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5.xml" ContentType="application/vnd.openxmlformats-officedocument.wordprocessingml.header+xml"/>
  <Override PartName="/word/charts/chart32.xml" ContentType="application/vnd.openxmlformats-officedocument.drawingml.chart+xml"/>
  <Override PartName="/word/header6.xml" ContentType="application/vnd.openxmlformats-officedocument.wordprocessingml.header+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68.xml" ContentType="application/vnd.openxmlformats-officedocument.drawingml.chart+xml"/>
  <Override PartName="/word/charts/chart169.xml" ContentType="application/vnd.openxmlformats-officedocument.drawingml.chart+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charts/chart177.xml" ContentType="application/vnd.openxmlformats-officedocument.drawingml.chart+xml"/>
  <Override PartName="/word/charts/chart178.xml" ContentType="application/vnd.openxmlformats-officedocument.drawingml.chart+xml"/>
  <Override PartName="/word/charts/chart179.xml" ContentType="application/vnd.openxmlformats-officedocument.drawingml.chart+xml"/>
  <Override PartName="/word/charts/chart180.xml" ContentType="application/vnd.openxmlformats-officedocument.drawingml.chart+xml"/>
  <Override PartName="/word/charts/chart181.xml" ContentType="application/vnd.openxmlformats-officedocument.drawingml.chart+xml"/>
  <Override PartName="/word/charts/chart182.xml" ContentType="application/vnd.openxmlformats-officedocument.drawingml.chart+xml"/>
  <Override PartName="/word/charts/chart183.xml" ContentType="application/vnd.openxmlformats-officedocument.drawingml.chart+xml"/>
  <Override PartName="/word/charts/chart184.xml" ContentType="application/vnd.openxmlformats-officedocument.drawingml.chart+xml"/>
  <Override PartName="/word/charts/chart185.xml" ContentType="application/vnd.openxmlformats-officedocument.drawingml.chart+xml"/>
  <Override PartName="/word/charts/chart186.xml" ContentType="application/vnd.openxmlformats-officedocument.drawingml.chart+xml"/>
  <Override PartName="/word/charts/chart187.xml" ContentType="application/vnd.openxmlformats-officedocument.drawingml.chart+xml"/>
  <Override PartName="/word/charts/chart188.xml" ContentType="application/vnd.openxmlformats-officedocument.drawingml.chart+xml"/>
  <Override PartName="/word/charts/chart189.xml" ContentType="application/vnd.openxmlformats-officedocument.drawingml.chart+xml"/>
  <Override PartName="/word/charts/chart190.xml" ContentType="application/vnd.openxmlformats-officedocument.drawingml.chart+xml"/>
  <Override PartName="/word/charts/chart191.xml" ContentType="application/vnd.openxmlformats-officedocument.drawingml.chart+xml"/>
  <Override PartName="/word/charts/chart192.xml" ContentType="application/vnd.openxmlformats-officedocument.drawingml.chart+xml"/>
  <Override PartName="/word/charts/chart193.xml" ContentType="application/vnd.openxmlformats-officedocument.drawingml.chart+xml"/>
  <Override PartName="/word/charts/chart194.xml" ContentType="application/vnd.openxmlformats-officedocument.drawingml.chart+xml"/>
  <Override PartName="/word/charts/chart195.xml" ContentType="application/vnd.openxmlformats-officedocument.drawingml.chart+xml"/>
  <Override PartName="/word/charts/chart196.xml" ContentType="application/vnd.openxmlformats-officedocument.drawingml.chart+xml"/>
  <Override PartName="/word/charts/chart197.xml" ContentType="application/vnd.openxmlformats-officedocument.drawingml.chart+xml"/>
  <Override PartName="/word/charts/chart198.xml" ContentType="application/vnd.openxmlformats-officedocument.drawingml.chart+xml"/>
  <Override PartName="/word/charts/chart199.xml" ContentType="application/vnd.openxmlformats-officedocument.drawingml.chart+xml"/>
  <Override PartName="/word/charts/chart200.xml" ContentType="application/vnd.openxmlformats-officedocument.drawingml.chart+xml"/>
  <Override PartName="/word/charts/chart201.xml" ContentType="application/vnd.openxmlformats-officedocument.drawingml.chart+xml"/>
  <Override PartName="/word/charts/chart202.xml" ContentType="application/vnd.openxmlformats-officedocument.drawingml.chart+xml"/>
  <Override PartName="/word/charts/chart203.xml" ContentType="application/vnd.openxmlformats-officedocument.drawingml.chart+xml"/>
  <Override PartName="/word/charts/chart204.xml" ContentType="application/vnd.openxmlformats-officedocument.drawingml.chart+xml"/>
  <Override PartName="/word/charts/chart205.xml" ContentType="application/vnd.openxmlformats-officedocument.drawingml.chart+xml"/>
  <Override PartName="/word/charts/chart206.xml" ContentType="application/vnd.openxmlformats-officedocument.drawingml.chart+xml"/>
  <Override PartName="/word/charts/chart207.xml" ContentType="application/vnd.openxmlformats-officedocument.drawingml.chart+xml"/>
  <Override PartName="/word/charts/chart208.xml" ContentType="application/vnd.openxmlformats-officedocument.drawingml.chart+xml"/>
  <Override PartName="/word/charts/chart209.xml" ContentType="application/vnd.openxmlformats-officedocument.drawingml.chart+xml"/>
  <Override PartName="/word/charts/chart210.xml" ContentType="application/vnd.openxmlformats-officedocument.drawingml.chart+xml"/>
  <Override PartName="/word/charts/chart211.xml" ContentType="application/vnd.openxmlformats-officedocument.drawingml.chart+xml"/>
  <Override PartName="/word/charts/chart212.xml" ContentType="application/vnd.openxmlformats-officedocument.drawingml.chart+xml"/>
  <Override PartName="/word/charts/chart213.xml" ContentType="application/vnd.openxmlformats-officedocument.drawingml.chart+xml"/>
  <Override PartName="/word/charts/chart214.xml" ContentType="application/vnd.openxmlformats-officedocument.drawingml.chart+xml"/>
  <Override PartName="/word/charts/chart215.xml" ContentType="application/vnd.openxmlformats-officedocument.drawingml.chart+xml"/>
  <Override PartName="/word/charts/chart216.xml" ContentType="application/vnd.openxmlformats-officedocument.drawingml.chart+xml"/>
  <Override PartName="/word/charts/chart217.xml" ContentType="application/vnd.openxmlformats-officedocument.drawingml.chart+xml"/>
  <Override PartName="/word/charts/chart218.xml" ContentType="application/vnd.openxmlformats-officedocument.drawingml.chart+xml"/>
  <Override PartName="/word/charts/chart219.xml" ContentType="application/vnd.openxmlformats-officedocument.drawingml.chart+xml"/>
  <Override PartName="/word/charts/chart220.xml" ContentType="application/vnd.openxmlformats-officedocument.drawingml.chart+xml"/>
  <Override PartName="/word/charts/chart221.xml" ContentType="application/vnd.openxmlformats-officedocument.drawingml.chart+xml"/>
  <Override PartName="/word/charts/chart222.xml" ContentType="application/vnd.openxmlformats-officedocument.drawingml.chart+xml"/>
  <Override PartName="/word/charts/chart223.xml" ContentType="application/vnd.openxmlformats-officedocument.drawingml.chart+xml"/>
  <Override PartName="/word/charts/chart224.xml" ContentType="application/vnd.openxmlformats-officedocument.drawingml.chart+xml"/>
  <Override PartName="/word/charts/chart225.xml" ContentType="application/vnd.openxmlformats-officedocument.drawingml.chart+xml"/>
  <Override PartName="/word/charts/chart226.xml" ContentType="application/vnd.openxmlformats-officedocument.drawingml.chart+xml"/>
  <Override PartName="/word/charts/chart227.xml" ContentType="application/vnd.openxmlformats-officedocument.drawingml.chart+xml"/>
  <Override PartName="/word/charts/chart228.xml" ContentType="application/vnd.openxmlformats-officedocument.drawingml.chart+xml"/>
  <Override PartName="/word/charts/chart229.xml" ContentType="application/vnd.openxmlformats-officedocument.drawingml.chart+xml"/>
  <Override PartName="/word/charts/chart230.xml" ContentType="application/vnd.openxmlformats-officedocument.drawingml.chart+xml"/>
  <Override PartName="/word/charts/chart231.xml" ContentType="application/vnd.openxmlformats-officedocument.drawingml.chart+xml"/>
  <Override PartName="/word/charts/chart232.xml" ContentType="application/vnd.openxmlformats-officedocument.drawingml.chart+xml"/>
  <Override PartName="/word/charts/chart233.xml" ContentType="application/vnd.openxmlformats-officedocument.drawingml.chart+xml"/>
  <Override PartName="/word/charts/chart234.xml" ContentType="application/vnd.openxmlformats-officedocument.drawingml.chart+xml"/>
  <Override PartName="/word/charts/chart235.xml" ContentType="application/vnd.openxmlformats-officedocument.drawingml.chart+xml"/>
  <Override PartName="/word/charts/chart236.xml" ContentType="application/vnd.openxmlformats-officedocument.drawingml.chart+xml"/>
  <Override PartName="/word/charts/chart237.xml" ContentType="application/vnd.openxmlformats-officedocument.drawingml.chart+xml"/>
  <Override PartName="/word/charts/chart238.xml" ContentType="application/vnd.openxmlformats-officedocument.drawingml.chart+xml"/>
  <Override PartName="/word/charts/chart239.xml" ContentType="application/vnd.openxmlformats-officedocument.drawingml.chart+xml"/>
  <Override PartName="/word/charts/chart240.xml" ContentType="application/vnd.openxmlformats-officedocument.drawingml.chart+xml"/>
  <Override PartName="/word/charts/chart241.xml" ContentType="application/vnd.openxmlformats-officedocument.drawingml.chart+xml"/>
  <Override PartName="/word/charts/chart242.xml" ContentType="application/vnd.openxmlformats-officedocument.drawingml.chart+xml"/>
  <Override PartName="/word/charts/chart24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031" w:rsidRDefault="00AA6031" w:rsidP="00AA6031">
      <w:pPr>
        <w:rPr>
          <w:rFonts w:cs="Arial"/>
          <w:b/>
          <w:sz w:val="34"/>
          <w:szCs w:val="34"/>
        </w:rPr>
      </w:pPr>
      <w:bookmarkStart w:id="0" w:name="_Toc301445631"/>
      <w:bookmarkStart w:id="1" w:name="_Toc301445753"/>
    </w:p>
    <w:p w:rsidR="00AA6031" w:rsidRDefault="00AA6031" w:rsidP="00AA6031">
      <w:pPr>
        <w:spacing w:line="360" w:lineRule="auto"/>
        <w:rPr>
          <w:rFonts w:cs="Arial"/>
          <w:b/>
          <w:sz w:val="34"/>
          <w:szCs w:val="34"/>
        </w:rPr>
      </w:pPr>
      <w:r>
        <w:rPr>
          <w:rFonts w:cs="Arial"/>
          <w:noProof/>
          <w:sz w:val="20"/>
          <w:szCs w:val="20"/>
          <w:lang w:eastAsia="es-EC"/>
        </w:rPr>
        <w:drawing>
          <wp:inline distT="0" distB="0" distL="0" distR="0">
            <wp:extent cx="1196340" cy="1228725"/>
            <wp:effectExtent l="0" t="0" r="0" b="0"/>
            <wp:docPr id="293" name="il_fi" descr="http://www.espol.edu.ec/espol/infopages/noticias/img/logo_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pol.edu.ec/espol/infopages/noticias/img/logo_espol.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6340" cy="1228725"/>
                    </a:xfrm>
                    <a:prstGeom prst="rect">
                      <a:avLst/>
                    </a:prstGeom>
                    <a:noFill/>
                    <a:ln w="9525">
                      <a:noFill/>
                      <a:miter lim="800000"/>
                      <a:headEnd/>
                      <a:tailEnd/>
                    </a:ln>
                  </pic:spPr>
                </pic:pic>
              </a:graphicData>
            </a:graphic>
          </wp:inline>
        </w:drawing>
      </w:r>
    </w:p>
    <w:p w:rsidR="00AA6031" w:rsidRPr="00AA6031" w:rsidRDefault="00AA6031" w:rsidP="00AA6031">
      <w:pPr>
        <w:spacing w:line="360" w:lineRule="auto"/>
        <w:rPr>
          <w:rFonts w:ascii="Arial" w:hAnsi="Arial" w:cs="Arial"/>
          <w:b/>
          <w:sz w:val="34"/>
          <w:szCs w:val="34"/>
        </w:rPr>
      </w:pPr>
      <w:r w:rsidRPr="00AA6031">
        <w:rPr>
          <w:rFonts w:ascii="Arial" w:hAnsi="Arial" w:cs="Arial"/>
          <w:b/>
          <w:sz w:val="34"/>
          <w:szCs w:val="34"/>
        </w:rPr>
        <w:t>ESCUELA SUPERIOR POLITÉCNICA DEL LITORAL</w:t>
      </w:r>
      <w:bookmarkStart w:id="2" w:name="_Toc301445632"/>
      <w:bookmarkStart w:id="3" w:name="_Toc301445754"/>
      <w:bookmarkEnd w:id="0"/>
      <w:bookmarkEnd w:id="1"/>
    </w:p>
    <w:p w:rsidR="00AA6031" w:rsidRDefault="00AA6031" w:rsidP="00AA6031">
      <w:pPr>
        <w:spacing w:line="360" w:lineRule="auto"/>
        <w:rPr>
          <w:rFonts w:ascii="Century Gothic" w:hAnsi="Century Gothic" w:cs="Arial"/>
          <w:b/>
          <w:sz w:val="36"/>
          <w:szCs w:val="36"/>
        </w:rPr>
      </w:pPr>
      <w:r w:rsidRPr="00957894">
        <w:rPr>
          <w:rFonts w:ascii="Century Gothic" w:hAnsi="Century Gothic" w:cs="Arial"/>
          <w:b/>
          <w:sz w:val="36"/>
          <w:szCs w:val="36"/>
        </w:rPr>
        <w:t>Instituto de Ciencias Matemáticas</w:t>
      </w:r>
      <w:bookmarkEnd w:id="2"/>
      <w:bookmarkEnd w:id="3"/>
    </w:p>
    <w:p w:rsidR="00AA6031" w:rsidRPr="00D65F7A" w:rsidRDefault="00AA6031" w:rsidP="00AA6031">
      <w:pPr>
        <w:spacing w:line="360" w:lineRule="auto"/>
        <w:rPr>
          <w:rFonts w:ascii="Century Gothic" w:hAnsi="Century Gothic" w:cs="Arial"/>
          <w:b/>
          <w:sz w:val="36"/>
          <w:szCs w:val="36"/>
        </w:rPr>
      </w:pPr>
      <w:r>
        <w:rPr>
          <w:rFonts w:ascii="Century Gothic" w:hAnsi="Century Gothic" w:cs="Arial"/>
          <w:b/>
          <w:sz w:val="36"/>
          <w:szCs w:val="36"/>
        </w:rPr>
        <w:t>Ingeniería en Estadística Informática</w:t>
      </w:r>
    </w:p>
    <w:p w:rsidR="00AA6031" w:rsidRPr="00173C16" w:rsidRDefault="00AA6031" w:rsidP="00AA6031">
      <w:pPr>
        <w:spacing w:line="360" w:lineRule="auto"/>
        <w:rPr>
          <w:rFonts w:cs="Arial"/>
          <w:sz w:val="28"/>
          <w:szCs w:val="24"/>
        </w:rPr>
      </w:pPr>
    </w:p>
    <w:p w:rsidR="00AA6031" w:rsidRPr="00AA6031" w:rsidRDefault="00AA6031" w:rsidP="00AA6031">
      <w:pPr>
        <w:spacing w:line="360" w:lineRule="auto"/>
        <w:rPr>
          <w:rFonts w:ascii="Arial" w:hAnsi="Arial" w:cs="Arial"/>
          <w:b/>
          <w:sz w:val="28"/>
          <w:szCs w:val="24"/>
        </w:rPr>
      </w:pPr>
      <w:bookmarkStart w:id="4" w:name="_Toc301445633"/>
      <w:bookmarkStart w:id="5" w:name="_Toc301445755"/>
      <w:r w:rsidRPr="00AA6031">
        <w:rPr>
          <w:rFonts w:ascii="Arial" w:hAnsi="Arial" w:cs="Arial"/>
          <w:b/>
          <w:sz w:val="28"/>
          <w:szCs w:val="24"/>
        </w:rPr>
        <w:t>“ESTADÍSTICAS Y DISTRIBUCIÓN ESPACIAL DE LA MIGRACIÓN EN EL ECUADOR SEGÚN CENSO 2010”</w:t>
      </w:r>
      <w:bookmarkEnd w:id="4"/>
      <w:bookmarkEnd w:id="5"/>
    </w:p>
    <w:p w:rsidR="00AA6031" w:rsidRDefault="00AA6031" w:rsidP="00AA6031">
      <w:pPr>
        <w:spacing w:line="360" w:lineRule="auto"/>
        <w:rPr>
          <w:rFonts w:ascii="Century Gothic" w:hAnsi="Century Gothic" w:cs="Arial"/>
          <w:b/>
          <w:sz w:val="28"/>
          <w:szCs w:val="24"/>
        </w:rPr>
      </w:pPr>
    </w:p>
    <w:p w:rsidR="00AA6031" w:rsidRPr="00173C16" w:rsidRDefault="00AA6031" w:rsidP="00AA6031">
      <w:pPr>
        <w:spacing w:line="360" w:lineRule="auto"/>
        <w:rPr>
          <w:rFonts w:ascii="Century Gothic" w:hAnsi="Century Gothic" w:cs="Arial"/>
          <w:b/>
          <w:sz w:val="30"/>
          <w:szCs w:val="30"/>
        </w:rPr>
      </w:pPr>
      <w:bookmarkStart w:id="6" w:name="_Toc301445635"/>
      <w:bookmarkStart w:id="7" w:name="_Toc301445757"/>
      <w:r>
        <w:rPr>
          <w:rFonts w:ascii="Century Gothic" w:hAnsi="Century Gothic" w:cs="Arial"/>
          <w:b/>
          <w:sz w:val="30"/>
          <w:szCs w:val="30"/>
        </w:rPr>
        <w:t xml:space="preserve">T  E  S  I  </w:t>
      </w:r>
      <w:r w:rsidRPr="00173C16">
        <w:rPr>
          <w:rFonts w:ascii="Century Gothic" w:hAnsi="Century Gothic" w:cs="Arial"/>
          <w:b/>
          <w:sz w:val="30"/>
          <w:szCs w:val="30"/>
        </w:rPr>
        <w:t xml:space="preserve">S </w:t>
      </w:r>
      <w:r>
        <w:rPr>
          <w:rFonts w:ascii="Century Gothic" w:hAnsi="Century Gothic" w:cs="Arial"/>
          <w:b/>
          <w:sz w:val="30"/>
          <w:szCs w:val="30"/>
        </w:rPr>
        <w:t xml:space="preserve">   D E     G R A D</w:t>
      </w:r>
      <w:r w:rsidRPr="00173C16">
        <w:rPr>
          <w:rFonts w:ascii="Century Gothic" w:hAnsi="Century Gothic" w:cs="Arial"/>
          <w:b/>
          <w:sz w:val="30"/>
          <w:szCs w:val="30"/>
        </w:rPr>
        <w:t xml:space="preserve"> O</w:t>
      </w:r>
      <w:bookmarkEnd w:id="6"/>
      <w:bookmarkEnd w:id="7"/>
    </w:p>
    <w:p w:rsidR="00AA6031" w:rsidRDefault="00AA6031" w:rsidP="00AA6031">
      <w:pPr>
        <w:spacing w:line="360" w:lineRule="auto"/>
        <w:rPr>
          <w:rFonts w:ascii="Century Gothic" w:hAnsi="Century Gothic" w:cs="Arial"/>
          <w:b/>
          <w:sz w:val="28"/>
          <w:szCs w:val="24"/>
        </w:rPr>
      </w:pPr>
    </w:p>
    <w:p w:rsidR="00AA6031" w:rsidRPr="00AA6031" w:rsidRDefault="00AA6031" w:rsidP="00AA6031">
      <w:pPr>
        <w:spacing w:line="360" w:lineRule="auto"/>
        <w:rPr>
          <w:rFonts w:ascii="Arial" w:hAnsi="Arial" w:cs="Arial"/>
          <w:b/>
          <w:sz w:val="28"/>
          <w:szCs w:val="24"/>
        </w:rPr>
      </w:pPr>
      <w:bookmarkStart w:id="8" w:name="_Toc301445636"/>
      <w:bookmarkStart w:id="9" w:name="_Toc301445758"/>
      <w:r w:rsidRPr="00AA6031">
        <w:rPr>
          <w:rFonts w:ascii="Arial" w:hAnsi="Arial" w:cs="Arial"/>
          <w:b/>
          <w:sz w:val="28"/>
          <w:szCs w:val="24"/>
        </w:rPr>
        <w:t>Previo a la obtención del Título de:</w:t>
      </w:r>
      <w:bookmarkEnd w:id="8"/>
      <w:bookmarkEnd w:id="9"/>
    </w:p>
    <w:p w:rsidR="00AA6031" w:rsidRPr="00957894" w:rsidRDefault="00AA6031" w:rsidP="00AA6031">
      <w:pPr>
        <w:spacing w:line="360" w:lineRule="auto"/>
        <w:rPr>
          <w:rFonts w:ascii="Century Gothic" w:hAnsi="Century Gothic" w:cs="Arial"/>
          <w:b/>
          <w:sz w:val="28"/>
          <w:szCs w:val="24"/>
        </w:rPr>
      </w:pPr>
    </w:p>
    <w:p w:rsidR="00AA6031" w:rsidRPr="00957894" w:rsidRDefault="00AA6031" w:rsidP="00AA6031">
      <w:pPr>
        <w:spacing w:line="360" w:lineRule="auto"/>
        <w:rPr>
          <w:rFonts w:ascii="Century Gothic" w:hAnsi="Century Gothic" w:cs="Arial"/>
          <w:b/>
          <w:sz w:val="28"/>
          <w:szCs w:val="24"/>
        </w:rPr>
      </w:pPr>
      <w:bookmarkStart w:id="10" w:name="_Toc301445637"/>
      <w:bookmarkStart w:id="11" w:name="_Toc301445759"/>
      <w:r>
        <w:rPr>
          <w:rFonts w:ascii="Century Gothic" w:hAnsi="Century Gothic" w:cs="Arial"/>
          <w:b/>
          <w:sz w:val="28"/>
          <w:szCs w:val="24"/>
        </w:rPr>
        <w:t>INGENIERA</w:t>
      </w:r>
      <w:r w:rsidRPr="00957894">
        <w:rPr>
          <w:rFonts w:ascii="Century Gothic" w:hAnsi="Century Gothic" w:cs="Arial"/>
          <w:b/>
          <w:sz w:val="28"/>
          <w:szCs w:val="24"/>
        </w:rPr>
        <w:t xml:space="preserve"> EN ESTADÍSTICA INFORMÁTICA</w:t>
      </w:r>
      <w:bookmarkEnd w:id="10"/>
      <w:bookmarkEnd w:id="11"/>
    </w:p>
    <w:p w:rsidR="00AA6031" w:rsidRDefault="00AA6031" w:rsidP="00AA6031">
      <w:pPr>
        <w:spacing w:line="360" w:lineRule="auto"/>
        <w:rPr>
          <w:rFonts w:cs="Arial"/>
          <w:b/>
          <w:sz w:val="28"/>
          <w:szCs w:val="24"/>
        </w:rPr>
      </w:pPr>
      <w:bookmarkStart w:id="12" w:name="_Toc301445638"/>
      <w:bookmarkStart w:id="13" w:name="_Toc301445760"/>
    </w:p>
    <w:p w:rsidR="00AA6031" w:rsidRPr="00AA6031" w:rsidRDefault="00AA6031" w:rsidP="00AA6031">
      <w:pPr>
        <w:spacing w:line="360" w:lineRule="auto"/>
        <w:rPr>
          <w:rFonts w:ascii="Arial" w:hAnsi="Arial" w:cs="Arial"/>
          <w:b/>
          <w:sz w:val="28"/>
          <w:szCs w:val="24"/>
        </w:rPr>
      </w:pPr>
      <w:r w:rsidRPr="00AA6031">
        <w:rPr>
          <w:rFonts w:ascii="Arial" w:hAnsi="Arial" w:cs="Arial"/>
          <w:b/>
          <w:sz w:val="28"/>
          <w:szCs w:val="24"/>
        </w:rPr>
        <w:t>Presentado por:</w:t>
      </w:r>
      <w:bookmarkEnd w:id="12"/>
      <w:bookmarkEnd w:id="13"/>
    </w:p>
    <w:p w:rsidR="00AA6031" w:rsidRPr="00AA6031" w:rsidRDefault="00AA6031" w:rsidP="00AA6031">
      <w:pPr>
        <w:spacing w:line="360" w:lineRule="auto"/>
        <w:rPr>
          <w:rFonts w:ascii="Arial" w:hAnsi="Arial" w:cs="Arial"/>
          <w:b/>
          <w:sz w:val="28"/>
          <w:szCs w:val="28"/>
        </w:rPr>
      </w:pPr>
      <w:r w:rsidRPr="00AA6031">
        <w:rPr>
          <w:rFonts w:ascii="Arial" w:hAnsi="Arial" w:cs="Arial"/>
          <w:b/>
          <w:sz w:val="28"/>
          <w:szCs w:val="28"/>
        </w:rPr>
        <w:t>Katherine Andreína Loor Valeriano</w:t>
      </w:r>
    </w:p>
    <w:p w:rsidR="00AA6031" w:rsidRDefault="00AA6031" w:rsidP="00AA6031">
      <w:pPr>
        <w:spacing w:line="360" w:lineRule="auto"/>
        <w:rPr>
          <w:rFonts w:cs="Arial"/>
          <w:b/>
          <w:sz w:val="28"/>
          <w:szCs w:val="24"/>
        </w:rPr>
      </w:pPr>
      <w:bookmarkStart w:id="14" w:name="_Toc301445640"/>
      <w:bookmarkStart w:id="15" w:name="_Toc301445762"/>
    </w:p>
    <w:p w:rsidR="00AA6031" w:rsidRPr="00AA6031" w:rsidRDefault="00AA6031" w:rsidP="00AA6031">
      <w:pPr>
        <w:spacing w:line="360" w:lineRule="auto"/>
        <w:rPr>
          <w:rFonts w:ascii="Arial" w:hAnsi="Arial" w:cs="Arial"/>
          <w:b/>
          <w:sz w:val="28"/>
          <w:szCs w:val="24"/>
        </w:rPr>
      </w:pPr>
      <w:r w:rsidRPr="00AA6031">
        <w:rPr>
          <w:rFonts w:ascii="Arial" w:hAnsi="Arial" w:cs="Arial"/>
          <w:b/>
          <w:sz w:val="28"/>
          <w:szCs w:val="24"/>
        </w:rPr>
        <w:t>Guayaquil – Ecuador</w:t>
      </w:r>
      <w:bookmarkEnd w:id="14"/>
      <w:bookmarkEnd w:id="15"/>
    </w:p>
    <w:p w:rsidR="00AA6031" w:rsidRDefault="00AA6031" w:rsidP="00AA6031">
      <w:pPr>
        <w:spacing w:line="360" w:lineRule="auto"/>
        <w:rPr>
          <w:rFonts w:ascii="Century Gothic" w:hAnsi="Century Gothic" w:cs="Arial"/>
          <w:b/>
          <w:sz w:val="28"/>
          <w:szCs w:val="24"/>
        </w:rPr>
      </w:pPr>
      <w:bookmarkStart w:id="16" w:name="_Toc301445641"/>
      <w:bookmarkStart w:id="17" w:name="_Toc301445763"/>
      <w:r w:rsidRPr="00957894">
        <w:rPr>
          <w:rFonts w:ascii="Century Gothic" w:hAnsi="Century Gothic" w:cs="Arial"/>
          <w:b/>
          <w:sz w:val="28"/>
          <w:szCs w:val="24"/>
        </w:rPr>
        <w:t>201</w:t>
      </w:r>
      <w:bookmarkEnd w:id="16"/>
      <w:bookmarkEnd w:id="17"/>
      <w:r>
        <w:rPr>
          <w:rFonts w:ascii="Century Gothic" w:hAnsi="Century Gothic" w:cs="Arial"/>
          <w:b/>
          <w:sz w:val="28"/>
          <w:szCs w:val="24"/>
        </w:rPr>
        <w:t>2</w:t>
      </w:r>
    </w:p>
    <w:p w:rsidR="009E292E" w:rsidRPr="00AA6031" w:rsidRDefault="009E292E" w:rsidP="00AA6031">
      <w:pPr>
        <w:spacing w:line="360" w:lineRule="auto"/>
        <w:rPr>
          <w:rFonts w:ascii="Arial" w:eastAsia="Calibri" w:hAnsi="Arial" w:cs="Arial"/>
          <w:b/>
          <w:sz w:val="27"/>
          <w:szCs w:val="27"/>
          <w:lang w:eastAsia="es-EC"/>
        </w:rPr>
        <w:sectPr w:rsidR="009E292E" w:rsidRPr="00AA6031" w:rsidSect="00B842A2">
          <w:headerReference w:type="default" r:id="rId10"/>
          <w:pgSz w:w="11907" w:h="16839" w:code="9"/>
          <w:pgMar w:top="2268" w:right="1361" w:bottom="2268" w:left="2268" w:header="708" w:footer="708" w:gutter="0"/>
          <w:pgNumType w:start="1"/>
          <w:cols w:space="708"/>
          <w:docGrid w:linePitch="360"/>
        </w:sectPr>
      </w:pPr>
    </w:p>
    <w:p w:rsidR="00650516" w:rsidRPr="00EA3ABD" w:rsidRDefault="00650516" w:rsidP="009A6904">
      <w:pPr>
        <w:spacing w:line="480" w:lineRule="auto"/>
        <w:rPr>
          <w:rFonts w:ascii="Arial" w:hAnsi="Arial" w:cs="Arial"/>
        </w:rPr>
      </w:pPr>
    </w:p>
    <w:p w:rsidR="00EA3ABD" w:rsidRPr="00EA3ABD" w:rsidRDefault="00EA3ABD" w:rsidP="009A6904">
      <w:pPr>
        <w:spacing w:line="480" w:lineRule="auto"/>
        <w:rPr>
          <w:rFonts w:ascii="Arial" w:hAnsi="Arial" w:cs="Arial"/>
        </w:rPr>
      </w:pPr>
    </w:p>
    <w:p w:rsidR="00EA3ABD" w:rsidRPr="00EA3ABD" w:rsidRDefault="00EA3ABD" w:rsidP="009A6904">
      <w:pPr>
        <w:spacing w:line="480" w:lineRule="auto"/>
        <w:rPr>
          <w:rFonts w:ascii="Arial" w:hAnsi="Arial" w:cs="Arial"/>
        </w:rPr>
      </w:pPr>
    </w:p>
    <w:p w:rsidR="00EA3ABD" w:rsidRPr="00EA3ABD" w:rsidRDefault="00EA3ABD" w:rsidP="009A6904">
      <w:pPr>
        <w:spacing w:line="480" w:lineRule="auto"/>
        <w:rPr>
          <w:rFonts w:ascii="Arial" w:hAnsi="Arial" w:cs="Arial"/>
        </w:rPr>
      </w:pPr>
    </w:p>
    <w:p w:rsidR="00EA3ABD" w:rsidRPr="00EA3ABD" w:rsidRDefault="00EA3ABD" w:rsidP="009A6904">
      <w:pPr>
        <w:spacing w:line="480" w:lineRule="auto"/>
        <w:rPr>
          <w:rFonts w:ascii="Arial" w:hAnsi="Arial" w:cs="Arial"/>
        </w:rPr>
      </w:pPr>
    </w:p>
    <w:p w:rsidR="00EA3ABD" w:rsidRPr="00EA3ABD" w:rsidRDefault="00EA3ABD" w:rsidP="009A6904">
      <w:pPr>
        <w:spacing w:line="480" w:lineRule="auto"/>
        <w:rPr>
          <w:rFonts w:ascii="Arial" w:hAnsi="Arial" w:cs="Arial"/>
        </w:rPr>
      </w:pPr>
    </w:p>
    <w:p w:rsidR="00EA3ABD" w:rsidRPr="00EA3ABD" w:rsidRDefault="00EA3ABD" w:rsidP="009A6904">
      <w:pPr>
        <w:spacing w:line="480" w:lineRule="auto"/>
        <w:rPr>
          <w:rFonts w:ascii="Arial" w:hAnsi="Arial" w:cs="Arial"/>
        </w:rPr>
      </w:pPr>
    </w:p>
    <w:p w:rsidR="00EA3ABD" w:rsidRPr="00FE7FBC" w:rsidRDefault="00EA3ABD" w:rsidP="00EA3ABD">
      <w:pPr>
        <w:spacing w:line="480" w:lineRule="auto"/>
        <w:jc w:val="right"/>
        <w:rPr>
          <w:rFonts w:ascii="Arial" w:hAnsi="Arial" w:cs="Arial"/>
          <w:b/>
          <w:sz w:val="32"/>
          <w:szCs w:val="32"/>
        </w:rPr>
      </w:pPr>
      <w:r w:rsidRPr="00FE7FBC">
        <w:rPr>
          <w:rFonts w:ascii="Arial" w:hAnsi="Arial" w:cs="Arial"/>
          <w:b/>
          <w:sz w:val="32"/>
          <w:szCs w:val="32"/>
        </w:rPr>
        <w:t>AGRADECIMIENTO</w:t>
      </w:r>
    </w:p>
    <w:p w:rsidR="00EA3ABD" w:rsidRDefault="004D787C" w:rsidP="004D787C">
      <w:pPr>
        <w:spacing w:line="480" w:lineRule="auto"/>
        <w:ind w:left="2552"/>
        <w:jc w:val="both"/>
        <w:rPr>
          <w:rFonts w:ascii="Arial" w:hAnsi="Arial" w:cs="Arial"/>
        </w:rPr>
      </w:pPr>
      <w:r>
        <w:rPr>
          <w:rFonts w:ascii="Arial" w:hAnsi="Arial" w:cs="Arial"/>
        </w:rPr>
        <w:t>A Dios por haberme dado la vida y la oportunidad de estudiar en una universidad como la Escuela Superior Politécnica del Litoral.</w:t>
      </w:r>
    </w:p>
    <w:p w:rsidR="004D787C" w:rsidRDefault="004D787C" w:rsidP="004D787C">
      <w:pPr>
        <w:spacing w:line="480" w:lineRule="auto"/>
        <w:ind w:left="2552"/>
        <w:jc w:val="both"/>
        <w:rPr>
          <w:rFonts w:ascii="Arial" w:hAnsi="Arial" w:cs="Arial"/>
        </w:rPr>
      </w:pPr>
    </w:p>
    <w:p w:rsidR="00A13F38" w:rsidRDefault="004D787C" w:rsidP="004D787C">
      <w:pPr>
        <w:spacing w:line="480" w:lineRule="auto"/>
        <w:ind w:left="2552"/>
        <w:jc w:val="both"/>
        <w:rPr>
          <w:rFonts w:ascii="Arial" w:hAnsi="Arial" w:cs="Arial"/>
        </w:rPr>
      </w:pPr>
      <w:r>
        <w:rPr>
          <w:rFonts w:ascii="Arial" w:hAnsi="Arial" w:cs="Arial"/>
        </w:rPr>
        <w:t xml:space="preserve">A mis padres, abuelos y tíos que cada año me acompañaron en </w:t>
      </w:r>
      <w:r w:rsidR="008E3A18">
        <w:rPr>
          <w:rFonts w:ascii="Arial" w:hAnsi="Arial" w:cs="Arial"/>
        </w:rPr>
        <w:t>cada uno de los retos y dificultades que se presentaban en mi camino</w:t>
      </w:r>
      <w:r w:rsidR="00A13F38">
        <w:rPr>
          <w:rFonts w:ascii="Arial" w:hAnsi="Arial" w:cs="Arial"/>
        </w:rPr>
        <w:t>; y, que además me animaban y daban fuerzas para continuar</w:t>
      </w:r>
      <w:r w:rsidR="008E3A18">
        <w:rPr>
          <w:rFonts w:ascii="Arial" w:hAnsi="Arial" w:cs="Arial"/>
        </w:rPr>
        <w:t>.</w:t>
      </w:r>
    </w:p>
    <w:p w:rsidR="00A13F38" w:rsidRDefault="00A13F38" w:rsidP="004D787C">
      <w:pPr>
        <w:spacing w:line="480" w:lineRule="auto"/>
        <w:ind w:left="2552"/>
        <w:jc w:val="both"/>
        <w:rPr>
          <w:rFonts w:ascii="Arial" w:hAnsi="Arial" w:cs="Arial"/>
        </w:rPr>
      </w:pPr>
    </w:p>
    <w:p w:rsidR="008E3A18" w:rsidRDefault="00A13F38" w:rsidP="00A87DD7">
      <w:pPr>
        <w:spacing w:line="480" w:lineRule="auto"/>
        <w:ind w:left="2552"/>
        <w:jc w:val="both"/>
        <w:rPr>
          <w:rFonts w:ascii="Arial" w:hAnsi="Arial" w:cs="Arial"/>
        </w:rPr>
      </w:pPr>
      <w:r>
        <w:rPr>
          <w:rFonts w:ascii="Arial" w:hAnsi="Arial" w:cs="Arial"/>
        </w:rPr>
        <w:t>A la Máster Eva María</w:t>
      </w:r>
      <w:r w:rsidR="00DE2EEC">
        <w:rPr>
          <w:rFonts w:ascii="Arial" w:hAnsi="Arial" w:cs="Arial"/>
        </w:rPr>
        <w:t xml:space="preserve"> Mera</w:t>
      </w:r>
      <w:r w:rsidR="008E3A18">
        <w:rPr>
          <w:rFonts w:ascii="Arial" w:hAnsi="Arial" w:cs="Arial"/>
        </w:rPr>
        <w:t xml:space="preserve"> </w:t>
      </w:r>
      <w:r w:rsidR="00860D4F">
        <w:rPr>
          <w:rFonts w:ascii="Arial" w:hAnsi="Arial" w:cs="Arial"/>
        </w:rPr>
        <w:t xml:space="preserve">por ser mi guía </w:t>
      </w:r>
      <w:r>
        <w:rPr>
          <w:rFonts w:ascii="Arial" w:hAnsi="Arial" w:cs="Arial"/>
        </w:rPr>
        <w:t xml:space="preserve">en la decisión de estudiar esta carrera; y, a todos mis amigos y profesores por brindarme su apoyo </w:t>
      </w:r>
      <w:r w:rsidR="00860D4F">
        <w:rPr>
          <w:rFonts w:ascii="Arial" w:hAnsi="Arial" w:cs="Arial"/>
        </w:rPr>
        <w:t xml:space="preserve">incondicional </w:t>
      </w:r>
      <w:r>
        <w:rPr>
          <w:rFonts w:ascii="Arial" w:hAnsi="Arial" w:cs="Arial"/>
        </w:rPr>
        <w:t xml:space="preserve">y </w:t>
      </w:r>
      <w:r w:rsidR="00860D4F">
        <w:rPr>
          <w:rFonts w:ascii="Arial" w:hAnsi="Arial" w:cs="Arial"/>
        </w:rPr>
        <w:t xml:space="preserve">sincera </w:t>
      </w:r>
      <w:r>
        <w:rPr>
          <w:rFonts w:ascii="Arial" w:hAnsi="Arial" w:cs="Arial"/>
        </w:rPr>
        <w:t>amistad.</w:t>
      </w:r>
    </w:p>
    <w:p w:rsidR="008E3A18" w:rsidRPr="00EA3ABD" w:rsidRDefault="008E3A18" w:rsidP="004D787C">
      <w:pPr>
        <w:spacing w:line="480" w:lineRule="auto"/>
        <w:ind w:left="2552"/>
        <w:jc w:val="both"/>
        <w:rPr>
          <w:rFonts w:ascii="Arial" w:hAnsi="Arial" w:cs="Arial"/>
        </w:rPr>
        <w:sectPr w:rsidR="008E3A18" w:rsidRPr="00EA3ABD" w:rsidSect="00B842A2">
          <w:headerReference w:type="default" r:id="rId11"/>
          <w:pgSz w:w="11907" w:h="16839" w:code="9"/>
          <w:pgMar w:top="2268" w:right="1361" w:bottom="2268" w:left="2268" w:header="708" w:footer="708" w:gutter="0"/>
          <w:pgNumType w:start="1"/>
          <w:cols w:space="708"/>
          <w:docGrid w:linePitch="360"/>
        </w:sectPr>
      </w:pPr>
    </w:p>
    <w:p w:rsidR="001500DB" w:rsidRPr="00EA3ABD" w:rsidRDefault="001500DB" w:rsidP="001500DB">
      <w:pPr>
        <w:spacing w:line="480" w:lineRule="auto"/>
        <w:rPr>
          <w:rFonts w:ascii="Arial" w:hAnsi="Arial" w:cs="Arial"/>
        </w:rPr>
      </w:pPr>
    </w:p>
    <w:p w:rsidR="001500DB" w:rsidRPr="00EA3ABD" w:rsidRDefault="001500DB" w:rsidP="001500DB">
      <w:pPr>
        <w:spacing w:line="480" w:lineRule="auto"/>
        <w:rPr>
          <w:rFonts w:ascii="Arial" w:hAnsi="Arial" w:cs="Arial"/>
        </w:rPr>
      </w:pPr>
    </w:p>
    <w:p w:rsidR="001500DB" w:rsidRPr="00EA3ABD" w:rsidRDefault="001500DB" w:rsidP="001500DB">
      <w:pPr>
        <w:spacing w:line="480" w:lineRule="auto"/>
        <w:rPr>
          <w:rFonts w:ascii="Arial" w:hAnsi="Arial" w:cs="Arial"/>
        </w:rPr>
      </w:pPr>
    </w:p>
    <w:p w:rsidR="001500DB" w:rsidRPr="00EA3ABD" w:rsidRDefault="001500DB" w:rsidP="001500DB">
      <w:pPr>
        <w:spacing w:line="480" w:lineRule="auto"/>
        <w:rPr>
          <w:rFonts w:ascii="Arial" w:hAnsi="Arial" w:cs="Arial"/>
        </w:rPr>
      </w:pPr>
    </w:p>
    <w:p w:rsidR="001500DB" w:rsidRPr="00EA3ABD" w:rsidRDefault="001500DB" w:rsidP="001500DB">
      <w:pPr>
        <w:spacing w:line="480" w:lineRule="auto"/>
        <w:rPr>
          <w:rFonts w:ascii="Arial" w:hAnsi="Arial" w:cs="Arial"/>
        </w:rPr>
      </w:pPr>
    </w:p>
    <w:p w:rsidR="001500DB" w:rsidRPr="00EA3ABD" w:rsidRDefault="001500DB" w:rsidP="001500DB">
      <w:pPr>
        <w:spacing w:line="480" w:lineRule="auto"/>
        <w:rPr>
          <w:rFonts w:ascii="Arial" w:hAnsi="Arial" w:cs="Arial"/>
        </w:rPr>
      </w:pPr>
    </w:p>
    <w:p w:rsidR="001500DB" w:rsidRPr="00EA3ABD" w:rsidRDefault="001500DB" w:rsidP="001500DB">
      <w:pPr>
        <w:spacing w:line="480" w:lineRule="auto"/>
        <w:rPr>
          <w:rFonts w:ascii="Arial" w:hAnsi="Arial" w:cs="Arial"/>
        </w:rPr>
      </w:pPr>
    </w:p>
    <w:p w:rsidR="001500DB" w:rsidRPr="00FE7FBC" w:rsidRDefault="001500DB" w:rsidP="001500DB">
      <w:pPr>
        <w:spacing w:line="480" w:lineRule="auto"/>
        <w:jc w:val="right"/>
        <w:rPr>
          <w:rFonts w:ascii="Arial" w:hAnsi="Arial" w:cs="Arial"/>
          <w:b/>
          <w:sz w:val="32"/>
          <w:szCs w:val="32"/>
        </w:rPr>
      </w:pPr>
      <w:r w:rsidRPr="00FE7FBC">
        <w:rPr>
          <w:rFonts w:ascii="Arial" w:hAnsi="Arial" w:cs="Arial"/>
          <w:b/>
          <w:sz w:val="32"/>
          <w:szCs w:val="32"/>
        </w:rPr>
        <w:t>DEDICATORIA</w:t>
      </w:r>
    </w:p>
    <w:p w:rsidR="002A1D6D" w:rsidRDefault="00CA2B33" w:rsidP="002A1D6D">
      <w:pPr>
        <w:spacing w:line="480" w:lineRule="auto"/>
        <w:ind w:left="2552"/>
        <w:jc w:val="both"/>
        <w:rPr>
          <w:rFonts w:ascii="Arial" w:hAnsi="Arial" w:cs="Arial"/>
        </w:rPr>
      </w:pPr>
      <w:r>
        <w:rPr>
          <w:rFonts w:ascii="Arial" w:hAnsi="Arial" w:cs="Arial"/>
        </w:rPr>
        <w:t>A mis pa</w:t>
      </w:r>
      <w:r w:rsidR="002A1D6D">
        <w:rPr>
          <w:rFonts w:ascii="Arial" w:hAnsi="Arial" w:cs="Arial"/>
        </w:rPr>
        <w:t xml:space="preserve">dres </w:t>
      </w:r>
      <w:r>
        <w:rPr>
          <w:rFonts w:ascii="Arial" w:hAnsi="Arial" w:cs="Arial"/>
        </w:rPr>
        <w:t>y tíos qu</w:t>
      </w:r>
      <w:r w:rsidR="00E12625">
        <w:rPr>
          <w:rFonts w:ascii="Arial" w:hAnsi="Arial" w:cs="Arial"/>
        </w:rPr>
        <w:t>e depositaron su confianza en mí</w:t>
      </w:r>
      <w:r w:rsidR="002A1D6D">
        <w:rPr>
          <w:rFonts w:ascii="Arial" w:hAnsi="Arial" w:cs="Arial"/>
        </w:rPr>
        <w:t xml:space="preserve"> y siempre me apoyaron en cada una de las actividades que debía realizar; pero, sobretodo a mis abuelitos que siempre estuvieron conmigo acompañándome, animándome y dándome fuerzas y ganas de seguir adelante, a ellos en especial por haber hecho de mi la persona que ahora soy.</w:t>
      </w:r>
    </w:p>
    <w:p w:rsidR="002A1D6D" w:rsidRDefault="002A1D6D" w:rsidP="002A1D6D">
      <w:pPr>
        <w:spacing w:line="480" w:lineRule="auto"/>
        <w:ind w:left="2552"/>
        <w:jc w:val="both"/>
        <w:rPr>
          <w:rFonts w:ascii="Arial" w:hAnsi="Arial" w:cs="Arial"/>
        </w:rPr>
      </w:pPr>
    </w:p>
    <w:p w:rsidR="00713F29" w:rsidRDefault="001F7D0B" w:rsidP="002A1D6D">
      <w:pPr>
        <w:spacing w:line="480" w:lineRule="auto"/>
        <w:ind w:left="2552"/>
        <w:jc w:val="both"/>
        <w:rPr>
          <w:rFonts w:ascii="Arial" w:hAnsi="Arial" w:cs="Arial"/>
        </w:rPr>
      </w:pPr>
      <w:r>
        <w:rPr>
          <w:rFonts w:ascii="Arial" w:hAnsi="Arial" w:cs="Arial"/>
        </w:rPr>
        <w:t xml:space="preserve">A mis profesores por </w:t>
      </w:r>
      <w:r w:rsidR="00713F29">
        <w:rPr>
          <w:rFonts w:ascii="Arial" w:hAnsi="Arial" w:cs="Arial"/>
        </w:rPr>
        <w:t>todos los conocimientos que compartieron conmigo, al Ing. Guillermo Baquerizo</w:t>
      </w:r>
      <w:r w:rsidR="00181A67">
        <w:rPr>
          <w:rFonts w:ascii="Arial" w:hAnsi="Arial" w:cs="Arial"/>
        </w:rPr>
        <w:t xml:space="preserve"> P.</w:t>
      </w:r>
      <w:r w:rsidR="00713F29">
        <w:rPr>
          <w:rFonts w:ascii="Arial" w:hAnsi="Arial" w:cs="Arial"/>
        </w:rPr>
        <w:t xml:space="preserve">, M.Sc. Gaudencio Zurita </w:t>
      </w:r>
      <w:r w:rsidR="00181A67">
        <w:rPr>
          <w:rFonts w:ascii="Arial" w:hAnsi="Arial" w:cs="Arial"/>
        </w:rPr>
        <w:t xml:space="preserve">H. </w:t>
      </w:r>
      <w:r w:rsidR="00713F29">
        <w:rPr>
          <w:rFonts w:ascii="Arial" w:hAnsi="Arial" w:cs="Arial"/>
        </w:rPr>
        <w:t xml:space="preserve">y Ph.D. Francisco Vera </w:t>
      </w:r>
      <w:r w:rsidR="00181A67">
        <w:rPr>
          <w:rFonts w:ascii="Arial" w:hAnsi="Arial" w:cs="Arial"/>
        </w:rPr>
        <w:t xml:space="preserve">A. </w:t>
      </w:r>
      <w:r w:rsidR="00713F29">
        <w:rPr>
          <w:rFonts w:ascii="Arial" w:hAnsi="Arial" w:cs="Arial"/>
        </w:rPr>
        <w:t xml:space="preserve">que fueron el pilar </w:t>
      </w:r>
      <w:r w:rsidR="00427B67">
        <w:rPr>
          <w:rFonts w:ascii="Arial" w:hAnsi="Arial" w:cs="Arial"/>
        </w:rPr>
        <w:t xml:space="preserve">fundamental </w:t>
      </w:r>
      <w:r w:rsidR="00713F29">
        <w:rPr>
          <w:rFonts w:ascii="Arial" w:hAnsi="Arial" w:cs="Arial"/>
        </w:rPr>
        <w:t>de mi educación a nivel profesional en ESPOL.</w:t>
      </w:r>
    </w:p>
    <w:p w:rsidR="00DF54AD" w:rsidRDefault="00E12625" w:rsidP="002A1D6D">
      <w:pPr>
        <w:spacing w:line="480" w:lineRule="auto"/>
        <w:ind w:left="2552"/>
        <w:jc w:val="both"/>
        <w:rPr>
          <w:rFonts w:ascii="Arial" w:hAnsi="Arial" w:cs="Arial"/>
        </w:rPr>
        <w:sectPr w:rsidR="00DF54AD" w:rsidSect="00B842A2">
          <w:pgSz w:w="11907" w:h="16839" w:code="9"/>
          <w:pgMar w:top="2268" w:right="1361" w:bottom="2268" w:left="2268" w:header="708" w:footer="708" w:gutter="0"/>
          <w:pgNumType w:start="1"/>
          <w:cols w:space="708"/>
          <w:docGrid w:linePitch="360"/>
        </w:sectPr>
      </w:pPr>
      <w:r>
        <w:rPr>
          <w:rFonts w:ascii="Arial" w:hAnsi="Arial" w:cs="Arial"/>
        </w:rPr>
        <w:t xml:space="preserve"> </w:t>
      </w:r>
    </w:p>
    <w:p w:rsidR="00DF54AD" w:rsidRPr="00EA3ABD" w:rsidRDefault="00DF54AD" w:rsidP="00DF54AD">
      <w:pPr>
        <w:spacing w:line="480" w:lineRule="auto"/>
        <w:rPr>
          <w:rFonts w:ascii="Arial" w:hAnsi="Arial" w:cs="Arial"/>
        </w:rPr>
      </w:pPr>
    </w:p>
    <w:p w:rsidR="00DF54AD" w:rsidRPr="00EA3ABD" w:rsidRDefault="00DF54AD" w:rsidP="00DF54AD">
      <w:pPr>
        <w:spacing w:line="480" w:lineRule="auto"/>
        <w:rPr>
          <w:rFonts w:ascii="Arial" w:hAnsi="Arial" w:cs="Arial"/>
        </w:rPr>
      </w:pPr>
    </w:p>
    <w:p w:rsidR="00DF54AD" w:rsidRPr="00EA3ABD" w:rsidRDefault="00DF54AD" w:rsidP="00DF54AD">
      <w:pPr>
        <w:spacing w:line="480" w:lineRule="auto"/>
        <w:rPr>
          <w:rFonts w:ascii="Arial" w:hAnsi="Arial" w:cs="Arial"/>
        </w:rPr>
      </w:pPr>
    </w:p>
    <w:p w:rsidR="00DF54AD" w:rsidRPr="00EA3ABD" w:rsidRDefault="00DF54AD" w:rsidP="00DF54AD">
      <w:pPr>
        <w:spacing w:line="480" w:lineRule="auto"/>
        <w:rPr>
          <w:rFonts w:ascii="Arial" w:hAnsi="Arial" w:cs="Arial"/>
        </w:rPr>
      </w:pPr>
    </w:p>
    <w:p w:rsidR="00DF54AD" w:rsidRPr="00EA3ABD" w:rsidRDefault="00DF54AD" w:rsidP="00DF54AD">
      <w:pPr>
        <w:spacing w:line="480" w:lineRule="auto"/>
        <w:rPr>
          <w:rFonts w:ascii="Arial" w:hAnsi="Arial" w:cs="Arial"/>
        </w:rPr>
      </w:pPr>
    </w:p>
    <w:p w:rsidR="00DF54AD" w:rsidRPr="00EA3ABD" w:rsidRDefault="00DF54AD" w:rsidP="00DF54AD">
      <w:pPr>
        <w:spacing w:line="480" w:lineRule="auto"/>
        <w:rPr>
          <w:rFonts w:ascii="Arial" w:hAnsi="Arial" w:cs="Arial"/>
        </w:rPr>
      </w:pPr>
    </w:p>
    <w:p w:rsidR="00DF54AD" w:rsidRPr="00EA3ABD" w:rsidRDefault="00DF54AD" w:rsidP="00DF54AD">
      <w:pPr>
        <w:spacing w:line="480" w:lineRule="auto"/>
        <w:rPr>
          <w:rFonts w:ascii="Arial" w:hAnsi="Arial" w:cs="Arial"/>
        </w:rPr>
      </w:pPr>
    </w:p>
    <w:p w:rsidR="00DF54AD" w:rsidRPr="00FE7FBC" w:rsidRDefault="00DF54AD" w:rsidP="00DF54AD">
      <w:pPr>
        <w:spacing w:line="480" w:lineRule="auto"/>
        <w:rPr>
          <w:rFonts w:ascii="Arial" w:hAnsi="Arial" w:cs="Arial"/>
          <w:b/>
          <w:sz w:val="32"/>
          <w:szCs w:val="32"/>
        </w:rPr>
      </w:pPr>
      <w:r w:rsidRPr="00FE7FBC">
        <w:rPr>
          <w:rFonts w:ascii="Arial" w:hAnsi="Arial" w:cs="Arial"/>
          <w:b/>
          <w:sz w:val="32"/>
          <w:szCs w:val="32"/>
        </w:rPr>
        <w:t>TRIBUNAL DE GRADUACIÓN</w:t>
      </w:r>
    </w:p>
    <w:p w:rsidR="001500DB" w:rsidRDefault="001500DB" w:rsidP="00DF54AD">
      <w:pPr>
        <w:spacing w:line="480" w:lineRule="auto"/>
        <w:rPr>
          <w:rFonts w:ascii="Arial" w:hAnsi="Arial" w:cs="Arial"/>
        </w:rPr>
      </w:pPr>
    </w:p>
    <w:p w:rsidR="00DF54AD" w:rsidRDefault="00DF54AD" w:rsidP="001C2FE6">
      <w:pPr>
        <w:spacing w:line="480" w:lineRule="auto"/>
        <w:jc w:val="both"/>
        <w:rPr>
          <w:rFonts w:ascii="Arial" w:hAnsi="Arial" w:cs="Arial"/>
        </w:rPr>
      </w:pPr>
    </w:p>
    <w:p w:rsidR="001C2FE6" w:rsidRDefault="001C2FE6" w:rsidP="001C2FE6">
      <w:pPr>
        <w:spacing w:line="480" w:lineRule="auto"/>
        <w:rPr>
          <w:rFonts w:ascii="Arial" w:hAnsi="Arial" w:cs="Arial"/>
        </w:rPr>
      </w:pPr>
    </w:p>
    <w:p w:rsidR="001C2FE6" w:rsidRDefault="001C2FE6" w:rsidP="001C2FE6">
      <w:pPr>
        <w:spacing w:line="480" w:lineRule="auto"/>
        <w:rPr>
          <w:rFonts w:ascii="Arial" w:hAnsi="Arial" w:cs="Arial"/>
        </w:rPr>
      </w:pPr>
    </w:p>
    <w:p w:rsidR="001C2FE6" w:rsidRDefault="001C2FE6" w:rsidP="007D333A">
      <w:pPr>
        <w:spacing w:line="360" w:lineRule="auto"/>
        <w:rPr>
          <w:rFonts w:ascii="Arial" w:hAnsi="Arial" w:cs="Arial"/>
        </w:rPr>
      </w:pPr>
      <w:r>
        <w:rPr>
          <w:rFonts w:ascii="Arial" w:hAnsi="Arial" w:cs="Arial"/>
        </w:rPr>
        <w:t>________________________________</w:t>
      </w:r>
    </w:p>
    <w:p w:rsidR="001C2FE6" w:rsidRDefault="001C2FE6" w:rsidP="007D333A">
      <w:pPr>
        <w:spacing w:line="360" w:lineRule="auto"/>
        <w:rPr>
          <w:rFonts w:ascii="Arial" w:hAnsi="Arial" w:cs="Arial"/>
        </w:rPr>
      </w:pPr>
      <w:r>
        <w:rPr>
          <w:rFonts w:ascii="Arial" w:hAnsi="Arial" w:cs="Arial"/>
        </w:rPr>
        <w:t>M.Sc. Gaudencio Zurita</w:t>
      </w:r>
      <w:r w:rsidR="00375862">
        <w:rPr>
          <w:rFonts w:ascii="Arial" w:hAnsi="Arial" w:cs="Arial"/>
        </w:rPr>
        <w:t xml:space="preserve"> Herrera</w:t>
      </w:r>
    </w:p>
    <w:p w:rsidR="001C2FE6" w:rsidRDefault="001C2FE6" w:rsidP="001C2FE6">
      <w:pPr>
        <w:spacing w:line="480" w:lineRule="auto"/>
        <w:rPr>
          <w:rFonts w:ascii="Arial" w:hAnsi="Arial" w:cs="Arial"/>
        </w:rPr>
      </w:pPr>
      <w:r>
        <w:rPr>
          <w:rFonts w:ascii="Arial" w:hAnsi="Arial" w:cs="Arial"/>
        </w:rPr>
        <w:t>DIRECTOR DE TESIS</w:t>
      </w:r>
    </w:p>
    <w:p w:rsidR="001C2FE6" w:rsidRDefault="001C2FE6" w:rsidP="001C2FE6">
      <w:pPr>
        <w:spacing w:line="480" w:lineRule="auto"/>
        <w:rPr>
          <w:rFonts w:ascii="Arial" w:hAnsi="Arial" w:cs="Arial"/>
        </w:rPr>
      </w:pPr>
    </w:p>
    <w:p w:rsidR="001C2FE6" w:rsidRDefault="001C2FE6" w:rsidP="001C2FE6">
      <w:pPr>
        <w:spacing w:line="480" w:lineRule="auto"/>
        <w:rPr>
          <w:rFonts w:ascii="Arial" w:hAnsi="Arial" w:cs="Arial"/>
        </w:rPr>
      </w:pPr>
    </w:p>
    <w:p w:rsidR="001C2FE6" w:rsidRDefault="001C2FE6" w:rsidP="001C2FE6">
      <w:pPr>
        <w:spacing w:line="480" w:lineRule="auto"/>
        <w:rPr>
          <w:rFonts w:ascii="Arial" w:hAnsi="Arial" w:cs="Arial"/>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9"/>
        <w:gridCol w:w="4209"/>
      </w:tblGrid>
      <w:tr w:rsidR="00D62C84" w:rsidTr="00D62C84">
        <w:tc>
          <w:tcPr>
            <w:tcW w:w="4209" w:type="dxa"/>
          </w:tcPr>
          <w:p w:rsidR="00D62C84" w:rsidRDefault="00D62C84" w:rsidP="00D62C84">
            <w:pPr>
              <w:spacing w:line="360" w:lineRule="auto"/>
              <w:rPr>
                <w:rFonts w:ascii="Arial" w:hAnsi="Arial" w:cs="Arial"/>
              </w:rPr>
            </w:pPr>
            <w:r>
              <w:rPr>
                <w:rFonts w:ascii="Arial" w:hAnsi="Arial" w:cs="Arial"/>
              </w:rPr>
              <w:t>______________________________</w:t>
            </w:r>
          </w:p>
          <w:p w:rsidR="00D62C84" w:rsidRDefault="00D62C84" w:rsidP="00D62C84">
            <w:pPr>
              <w:spacing w:line="360" w:lineRule="auto"/>
              <w:rPr>
                <w:rFonts w:ascii="Arial" w:hAnsi="Arial" w:cs="Arial"/>
              </w:rPr>
            </w:pPr>
            <w:r>
              <w:rPr>
                <w:rFonts w:ascii="Arial" w:hAnsi="Arial" w:cs="Arial"/>
              </w:rPr>
              <w:t>M.Sc. Vanessa Salazar Villalva</w:t>
            </w:r>
          </w:p>
          <w:p w:rsidR="00D62C84" w:rsidRDefault="00D62C84" w:rsidP="00D62C84">
            <w:pPr>
              <w:spacing w:line="480" w:lineRule="auto"/>
              <w:ind w:left="0"/>
              <w:rPr>
                <w:rFonts w:ascii="Arial" w:hAnsi="Arial" w:cs="Arial"/>
              </w:rPr>
            </w:pPr>
            <w:r>
              <w:rPr>
                <w:rFonts w:ascii="Arial" w:hAnsi="Arial" w:cs="Arial"/>
              </w:rPr>
              <w:t>PRESIDENTE</w:t>
            </w:r>
          </w:p>
        </w:tc>
        <w:tc>
          <w:tcPr>
            <w:tcW w:w="4209" w:type="dxa"/>
          </w:tcPr>
          <w:p w:rsidR="00D62C84" w:rsidRDefault="00D62C84" w:rsidP="00D62C84">
            <w:pPr>
              <w:spacing w:line="360" w:lineRule="auto"/>
              <w:rPr>
                <w:rFonts w:ascii="Arial" w:hAnsi="Arial" w:cs="Arial"/>
              </w:rPr>
            </w:pPr>
            <w:r>
              <w:rPr>
                <w:rFonts w:ascii="Arial" w:hAnsi="Arial" w:cs="Arial"/>
              </w:rPr>
              <w:t>______________________________</w:t>
            </w:r>
          </w:p>
          <w:p w:rsidR="00D62C84" w:rsidRDefault="00D62C84" w:rsidP="00D62C84">
            <w:pPr>
              <w:spacing w:line="360" w:lineRule="auto"/>
              <w:rPr>
                <w:rFonts w:ascii="Arial" w:hAnsi="Arial" w:cs="Arial"/>
              </w:rPr>
            </w:pPr>
            <w:r>
              <w:rPr>
                <w:rFonts w:ascii="Arial" w:hAnsi="Arial" w:cs="Arial"/>
              </w:rPr>
              <w:t>M.Sc. Candy Proaño Salvatierra</w:t>
            </w:r>
          </w:p>
          <w:p w:rsidR="00D62C84" w:rsidRDefault="00D62C84" w:rsidP="00D62C84">
            <w:pPr>
              <w:spacing w:line="480" w:lineRule="auto"/>
              <w:ind w:left="0"/>
              <w:rPr>
                <w:rFonts w:ascii="Arial" w:hAnsi="Arial" w:cs="Arial"/>
              </w:rPr>
            </w:pPr>
            <w:r>
              <w:rPr>
                <w:rFonts w:ascii="Arial" w:hAnsi="Arial" w:cs="Arial"/>
              </w:rPr>
              <w:t>VOCAL</w:t>
            </w:r>
          </w:p>
        </w:tc>
      </w:tr>
    </w:tbl>
    <w:p w:rsidR="00D62C84" w:rsidRDefault="00D62C84" w:rsidP="001C2FE6">
      <w:pPr>
        <w:spacing w:line="480" w:lineRule="auto"/>
        <w:rPr>
          <w:rFonts w:ascii="Arial" w:hAnsi="Arial" w:cs="Arial"/>
        </w:rPr>
      </w:pPr>
    </w:p>
    <w:p w:rsidR="004E1835" w:rsidRDefault="004E1835" w:rsidP="001C2FE6">
      <w:pPr>
        <w:spacing w:line="480" w:lineRule="auto"/>
        <w:rPr>
          <w:rFonts w:ascii="Arial" w:hAnsi="Arial" w:cs="Arial"/>
        </w:rPr>
        <w:sectPr w:rsidR="004E1835" w:rsidSect="00B842A2">
          <w:pgSz w:w="11907" w:h="16839" w:code="9"/>
          <w:pgMar w:top="2268" w:right="1361" w:bottom="2268" w:left="2268" w:header="708" w:footer="708" w:gutter="0"/>
          <w:pgNumType w:start="1"/>
          <w:cols w:space="708"/>
          <w:docGrid w:linePitch="360"/>
        </w:sectPr>
      </w:pPr>
    </w:p>
    <w:p w:rsidR="0028504B" w:rsidRPr="00EA3ABD" w:rsidRDefault="0028504B" w:rsidP="0028504B">
      <w:pPr>
        <w:spacing w:line="480" w:lineRule="auto"/>
        <w:rPr>
          <w:rFonts w:ascii="Arial" w:hAnsi="Arial" w:cs="Arial"/>
        </w:rPr>
      </w:pPr>
    </w:p>
    <w:p w:rsidR="0028504B" w:rsidRPr="00EA3ABD" w:rsidRDefault="0028504B" w:rsidP="0028504B">
      <w:pPr>
        <w:spacing w:line="480" w:lineRule="auto"/>
        <w:rPr>
          <w:rFonts w:ascii="Arial" w:hAnsi="Arial" w:cs="Arial"/>
        </w:rPr>
      </w:pPr>
    </w:p>
    <w:p w:rsidR="0028504B" w:rsidRPr="00EA3ABD" w:rsidRDefault="0028504B" w:rsidP="0028504B">
      <w:pPr>
        <w:spacing w:line="480" w:lineRule="auto"/>
        <w:rPr>
          <w:rFonts w:ascii="Arial" w:hAnsi="Arial" w:cs="Arial"/>
        </w:rPr>
      </w:pPr>
    </w:p>
    <w:p w:rsidR="0028504B" w:rsidRPr="00EA3ABD" w:rsidRDefault="0028504B" w:rsidP="0028504B">
      <w:pPr>
        <w:spacing w:line="480" w:lineRule="auto"/>
        <w:rPr>
          <w:rFonts w:ascii="Arial" w:hAnsi="Arial" w:cs="Arial"/>
        </w:rPr>
      </w:pPr>
    </w:p>
    <w:p w:rsidR="0028504B" w:rsidRPr="00EA3ABD" w:rsidRDefault="0028504B" w:rsidP="0028504B">
      <w:pPr>
        <w:spacing w:line="480" w:lineRule="auto"/>
        <w:rPr>
          <w:rFonts w:ascii="Arial" w:hAnsi="Arial" w:cs="Arial"/>
        </w:rPr>
      </w:pPr>
    </w:p>
    <w:p w:rsidR="0028504B" w:rsidRPr="00EA3ABD" w:rsidRDefault="0028504B" w:rsidP="0028504B">
      <w:pPr>
        <w:spacing w:line="480" w:lineRule="auto"/>
        <w:rPr>
          <w:rFonts w:ascii="Arial" w:hAnsi="Arial" w:cs="Arial"/>
        </w:rPr>
      </w:pPr>
    </w:p>
    <w:p w:rsidR="0028504B" w:rsidRPr="00EA3ABD" w:rsidRDefault="0028504B" w:rsidP="0028504B">
      <w:pPr>
        <w:spacing w:line="480" w:lineRule="auto"/>
        <w:rPr>
          <w:rFonts w:ascii="Arial" w:hAnsi="Arial" w:cs="Arial"/>
        </w:rPr>
      </w:pPr>
    </w:p>
    <w:p w:rsidR="0028504B" w:rsidRPr="00FE7FBC" w:rsidRDefault="0028504B" w:rsidP="0028504B">
      <w:pPr>
        <w:spacing w:line="480" w:lineRule="auto"/>
        <w:rPr>
          <w:rFonts w:ascii="Arial" w:hAnsi="Arial" w:cs="Arial"/>
          <w:b/>
          <w:sz w:val="32"/>
          <w:szCs w:val="32"/>
        </w:rPr>
      </w:pPr>
      <w:r w:rsidRPr="00FE7FBC">
        <w:rPr>
          <w:rFonts w:ascii="Arial" w:hAnsi="Arial" w:cs="Arial"/>
          <w:b/>
          <w:sz w:val="32"/>
          <w:szCs w:val="32"/>
        </w:rPr>
        <w:t>DECLARACIÓN EXPRESA</w:t>
      </w:r>
    </w:p>
    <w:p w:rsidR="0028504B" w:rsidRPr="00623553" w:rsidRDefault="00623553" w:rsidP="00623553">
      <w:pPr>
        <w:spacing w:line="480" w:lineRule="auto"/>
        <w:jc w:val="both"/>
        <w:rPr>
          <w:rFonts w:ascii="Arial" w:hAnsi="Arial" w:cs="Arial"/>
        </w:rPr>
      </w:pPr>
      <w:r w:rsidRPr="00623553">
        <w:rPr>
          <w:rFonts w:ascii="Arial" w:hAnsi="Arial" w:cs="Arial"/>
        </w:rPr>
        <w:t xml:space="preserve">"La responsabilidad del contenido de esta </w:t>
      </w:r>
      <w:r>
        <w:rPr>
          <w:rFonts w:ascii="Arial" w:hAnsi="Arial" w:cs="Arial"/>
        </w:rPr>
        <w:t>Tesis</w:t>
      </w:r>
      <w:r w:rsidRPr="00623553">
        <w:rPr>
          <w:rFonts w:ascii="Arial" w:hAnsi="Arial" w:cs="Arial"/>
        </w:rPr>
        <w:t xml:space="preserve"> de Grado, me corresponde exclusivamente; y el patrimonio intelectual de la misma a la Escuela Superior Politécnica del Litoral".</w:t>
      </w:r>
    </w:p>
    <w:p w:rsidR="001C2FE6" w:rsidRDefault="001C2FE6" w:rsidP="001C2FE6">
      <w:pPr>
        <w:spacing w:line="480" w:lineRule="auto"/>
        <w:rPr>
          <w:rFonts w:ascii="Arial" w:hAnsi="Arial" w:cs="Arial"/>
        </w:rPr>
      </w:pPr>
    </w:p>
    <w:p w:rsidR="00623553" w:rsidRDefault="00623553" w:rsidP="001C2FE6">
      <w:pPr>
        <w:spacing w:line="480" w:lineRule="auto"/>
        <w:rPr>
          <w:rFonts w:ascii="Arial" w:hAnsi="Arial" w:cs="Arial"/>
        </w:rPr>
      </w:pPr>
    </w:p>
    <w:p w:rsidR="00623553" w:rsidRDefault="00623553" w:rsidP="001C2FE6">
      <w:pPr>
        <w:spacing w:line="480" w:lineRule="auto"/>
        <w:rPr>
          <w:rFonts w:ascii="Arial" w:hAnsi="Arial" w:cs="Arial"/>
        </w:rPr>
      </w:pPr>
    </w:p>
    <w:p w:rsidR="00623553" w:rsidRDefault="00623553" w:rsidP="001C2FE6">
      <w:pPr>
        <w:spacing w:line="480" w:lineRule="auto"/>
        <w:rPr>
          <w:rFonts w:ascii="Arial" w:hAnsi="Arial" w:cs="Arial"/>
        </w:rPr>
      </w:pPr>
    </w:p>
    <w:p w:rsidR="00623553" w:rsidRDefault="00623553" w:rsidP="00002133">
      <w:pPr>
        <w:spacing w:line="360" w:lineRule="auto"/>
        <w:rPr>
          <w:rFonts w:ascii="Arial" w:hAnsi="Arial" w:cs="Arial"/>
        </w:rPr>
      </w:pPr>
      <w:r>
        <w:rPr>
          <w:rFonts w:ascii="Arial" w:hAnsi="Arial" w:cs="Arial"/>
        </w:rPr>
        <w:t>________________________________</w:t>
      </w:r>
    </w:p>
    <w:p w:rsidR="00623553" w:rsidRDefault="00623553" w:rsidP="00002133">
      <w:pPr>
        <w:spacing w:line="360" w:lineRule="auto"/>
        <w:rPr>
          <w:rFonts w:ascii="Arial" w:hAnsi="Arial" w:cs="Arial"/>
        </w:rPr>
      </w:pPr>
      <w:r>
        <w:rPr>
          <w:rFonts w:ascii="Arial" w:hAnsi="Arial" w:cs="Arial"/>
        </w:rPr>
        <w:t>Katherine Andreína Loor Valeriano</w:t>
      </w:r>
    </w:p>
    <w:p w:rsidR="00551808" w:rsidRDefault="00551808" w:rsidP="001C2FE6">
      <w:pPr>
        <w:spacing w:line="480" w:lineRule="auto"/>
        <w:rPr>
          <w:rFonts w:ascii="Arial" w:hAnsi="Arial" w:cs="Arial"/>
        </w:rPr>
        <w:sectPr w:rsidR="00551808" w:rsidSect="00B842A2">
          <w:pgSz w:w="11907" w:h="16839" w:code="9"/>
          <w:pgMar w:top="2268" w:right="1361" w:bottom="2268" w:left="2268" w:header="708" w:footer="708" w:gutter="0"/>
          <w:pgNumType w:start="1"/>
          <w:cols w:space="708"/>
          <w:docGrid w:linePitch="360"/>
        </w:sectPr>
      </w:pPr>
    </w:p>
    <w:p w:rsidR="00551808" w:rsidRPr="00FE7FBC" w:rsidRDefault="00551808" w:rsidP="00551808">
      <w:pPr>
        <w:spacing w:line="480" w:lineRule="auto"/>
        <w:rPr>
          <w:rFonts w:ascii="Arial" w:hAnsi="Arial" w:cs="Arial"/>
          <w:b/>
          <w:sz w:val="32"/>
          <w:szCs w:val="32"/>
        </w:rPr>
      </w:pPr>
      <w:r w:rsidRPr="00FE7FBC">
        <w:rPr>
          <w:rFonts w:ascii="Arial" w:hAnsi="Arial" w:cs="Arial"/>
          <w:b/>
          <w:sz w:val="32"/>
          <w:szCs w:val="32"/>
        </w:rPr>
        <w:lastRenderedPageBreak/>
        <w:t>RESUMEN</w:t>
      </w:r>
    </w:p>
    <w:p w:rsidR="006C57F2" w:rsidRDefault="00E27358" w:rsidP="00FC0131">
      <w:pPr>
        <w:spacing w:line="480" w:lineRule="auto"/>
        <w:jc w:val="both"/>
        <w:rPr>
          <w:rFonts w:ascii="Arial" w:hAnsi="Arial" w:cs="Arial"/>
        </w:rPr>
      </w:pPr>
      <w:r>
        <w:rPr>
          <w:rFonts w:ascii="Arial" w:hAnsi="Arial" w:cs="Arial"/>
        </w:rPr>
        <w:t xml:space="preserve">En el presente trabajo se aborda </w:t>
      </w:r>
      <w:r w:rsidR="006415A2">
        <w:rPr>
          <w:rFonts w:ascii="Arial" w:hAnsi="Arial" w:cs="Arial"/>
        </w:rPr>
        <w:t>el tema de la</w:t>
      </w:r>
      <w:r>
        <w:rPr>
          <w:rFonts w:ascii="Arial" w:hAnsi="Arial" w:cs="Arial"/>
        </w:rPr>
        <w:t xml:space="preserve"> migración </w:t>
      </w:r>
      <w:r w:rsidR="00801B7C">
        <w:rPr>
          <w:rFonts w:ascii="Arial" w:hAnsi="Arial" w:cs="Arial"/>
        </w:rPr>
        <w:t xml:space="preserve">en Ecuador </w:t>
      </w:r>
      <w:r w:rsidR="003B1E88">
        <w:rPr>
          <w:rFonts w:ascii="Arial" w:hAnsi="Arial" w:cs="Arial"/>
        </w:rPr>
        <w:t>desde el punto de vista</w:t>
      </w:r>
      <w:r w:rsidR="005D7C0F">
        <w:rPr>
          <w:rFonts w:ascii="Arial" w:hAnsi="Arial" w:cs="Arial"/>
        </w:rPr>
        <w:t xml:space="preserve"> intern</w:t>
      </w:r>
      <w:r w:rsidR="003B1E88">
        <w:rPr>
          <w:rFonts w:ascii="Arial" w:hAnsi="Arial" w:cs="Arial"/>
        </w:rPr>
        <w:t>o</w:t>
      </w:r>
      <w:r w:rsidR="00D62C84">
        <w:rPr>
          <w:rFonts w:ascii="Arial" w:hAnsi="Arial" w:cs="Arial"/>
        </w:rPr>
        <w:t>, así como desde el punto de vista</w:t>
      </w:r>
      <w:r w:rsidR="005D7C0F">
        <w:rPr>
          <w:rFonts w:ascii="Arial" w:hAnsi="Arial" w:cs="Arial"/>
        </w:rPr>
        <w:t xml:space="preserve"> internacional</w:t>
      </w:r>
      <w:r>
        <w:rPr>
          <w:rFonts w:ascii="Arial" w:hAnsi="Arial" w:cs="Arial"/>
        </w:rPr>
        <w:t>, basado en los datos obtenidos del Censo 2010</w:t>
      </w:r>
      <w:r w:rsidR="00D62C84">
        <w:rPr>
          <w:rFonts w:ascii="Arial" w:hAnsi="Arial" w:cs="Arial"/>
        </w:rPr>
        <w:t xml:space="preserve"> llevado a cabo por el Instituto Nacional de Estadística y Censos (INEC),</w:t>
      </w:r>
      <w:r w:rsidR="003B1E88">
        <w:rPr>
          <w:rFonts w:ascii="Arial" w:hAnsi="Arial" w:cs="Arial"/>
        </w:rPr>
        <w:t xml:space="preserve"> con la finalidad de determinar tanto en términos absolutos como relativos la distribución espacial de los inmigrantes y emigrantes internos de </w:t>
      </w:r>
      <w:r w:rsidR="00D62C84">
        <w:rPr>
          <w:rFonts w:ascii="Arial" w:hAnsi="Arial" w:cs="Arial"/>
        </w:rPr>
        <w:t>“</w:t>
      </w:r>
      <w:r w:rsidR="003B1E88">
        <w:rPr>
          <w:rFonts w:ascii="Arial" w:hAnsi="Arial" w:cs="Arial"/>
        </w:rPr>
        <w:t>toda la vida</w:t>
      </w:r>
      <w:r w:rsidR="00D62C84">
        <w:rPr>
          <w:rFonts w:ascii="Arial" w:hAnsi="Arial" w:cs="Arial"/>
        </w:rPr>
        <w:t>”</w:t>
      </w:r>
      <w:r w:rsidR="003B1E88">
        <w:rPr>
          <w:rFonts w:ascii="Arial" w:hAnsi="Arial" w:cs="Arial"/>
        </w:rPr>
        <w:t xml:space="preserve">; se busca además conocer algunas características de la población extranjera que habitualmente residía en Ecuador hasta noviembre de 2010; y, se analiza </w:t>
      </w:r>
      <w:r w:rsidR="0086520C">
        <w:rPr>
          <w:rFonts w:ascii="Arial" w:hAnsi="Arial" w:cs="Arial"/>
        </w:rPr>
        <w:t>de manera sucinta</w:t>
      </w:r>
      <w:r w:rsidR="003B1E88">
        <w:rPr>
          <w:rFonts w:ascii="Arial" w:hAnsi="Arial" w:cs="Arial"/>
        </w:rPr>
        <w:t xml:space="preserve"> la distribución y características de la población emigrante que salió del país entre novi</w:t>
      </w:r>
      <w:r w:rsidR="009778FC">
        <w:rPr>
          <w:rFonts w:ascii="Arial" w:hAnsi="Arial" w:cs="Arial"/>
        </w:rPr>
        <w:t>embre de 2001 y el mismo mes de</w:t>
      </w:r>
      <w:r w:rsidR="003B1E88">
        <w:rPr>
          <w:rFonts w:ascii="Arial" w:hAnsi="Arial" w:cs="Arial"/>
        </w:rPr>
        <w:t xml:space="preserve"> 2010.</w:t>
      </w:r>
    </w:p>
    <w:p w:rsidR="007B26EA" w:rsidRDefault="007B26EA" w:rsidP="00FC0131">
      <w:pPr>
        <w:spacing w:line="480" w:lineRule="auto"/>
        <w:jc w:val="both"/>
        <w:rPr>
          <w:rFonts w:ascii="Arial" w:hAnsi="Arial" w:cs="Arial"/>
        </w:rPr>
      </w:pPr>
    </w:p>
    <w:p w:rsidR="00470CE4" w:rsidRDefault="007B26EA" w:rsidP="007B26EA">
      <w:pPr>
        <w:spacing w:line="480" w:lineRule="auto"/>
        <w:jc w:val="both"/>
        <w:rPr>
          <w:rFonts w:ascii="Arial" w:hAnsi="Arial" w:cs="Arial"/>
        </w:rPr>
      </w:pPr>
      <w:r>
        <w:rPr>
          <w:rFonts w:ascii="Arial" w:hAnsi="Arial" w:cs="Arial"/>
        </w:rPr>
        <w:t>E</w:t>
      </w:r>
      <w:r w:rsidR="00DB7D6C">
        <w:rPr>
          <w:rFonts w:ascii="Arial" w:hAnsi="Arial" w:cs="Arial"/>
        </w:rPr>
        <w:t>n e</w:t>
      </w:r>
      <w:r>
        <w:rPr>
          <w:rFonts w:ascii="Arial" w:hAnsi="Arial" w:cs="Arial"/>
        </w:rPr>
        <w:t xml:space="preserve">l capítulo </w:t>
      </w:r>
      <w:r w:rsidR="00DB7D6C">
        <w:rPr>
          <w:rFonts w:ascii="Arial" w:hAnsi="Arial" w:cs="Arial"/>
        </w:rPr>
        <w:t xml:space="preserve">1 </w:t>
      </w:r>
      <w:r>
        <w:rPr>
          <w:rFonts w:ascii="Arial" w:hAnsi="Arial" w:cs="Arial"/>
        </w:rPr>
        <w:t>denominado “</w:t>
      </w:r>
      <w:r>
        <w:rPr>
          <w:rFonts w:ascii="Arial" w:hAnsi="Arial" w:cs="Arial"/>
          <w:i/>
        </w:rPr>
        <w:t>M</w:t>
      </w:r>
      <w:r w:rsidRPr="007B26EA">
        <w:rPr>
          <w:rFonts w:ascii="Arial" w:hAnsi="Arial" w:cs="Arial"/>
          <w:i/>
        </w:rPr>
        <w:t>arco teórico, obj</w:t>
      </w:r>
      <w:r>
        <w:rPr>
          <w:rFonts w:ascii="Arial" w:hAnsi="Arial" w:cs="Arial"/>
          <w:i/>
        </w:rPr>
        <w:t xml:space="preserve">etivos, metodología y fuente de </w:t>
      </w:r>
      <w:r w:rsidRPr="007B26EA">
        <w:rPr>
          <w:rFonts w:ascii="Arial" w:hAnsi="Arial" w:cs="Arial"/>
          <w:i/>
        </w:rPr>
        <w:t>datos</w:t>
      </w:r>
      <w:r>
        <w:rPr>
          <w:rFonts w:ascii="Arial" w:hAnsi="Arial" w:cs="Arial"/>
        </w:rPr>
        <w:t xml:space="preserve">”, </w:t>
      </w:r>
      <w:r w:rsidR="00295A40">
        <w:rPr>
          <w:rFonts w:ascii="Arial" w:hAnsi="Arial" w:cs="Arial"/>
        </w:rPr>
        <w:t xml:space="preserve">se presentan algunos hechos ocurridos </w:t>
      </w:r>
      <w:r w:rsidR="002E7EB4">
        <w:rPr>
          <w:rFonts w:ascii="Arial" w:hAnsi="Arial" w:cs="Arial"/>
        </w:rPr>
        <w:t>en el país que trajeron consigo movimientos migratorios dentro del Ecuador; así como también se mencionan</w:t>
      </w:r>
      <w:r w:rsidR="00D728CF">
        <w:rPr>
          <w:rFonts w:ascii="Arial" w:hAnsi="Arial" w:cs="Arial"/>
        </w:rPr>
        <w:t xml:space="preserve"> los antecedentes</w:t>
      </w:r>
      <w:r w:rsidR="002E7EB4">
        <w:rPr>
          <w:rFonts w:ascii="Arial" w:hAnsi="Arial" w:cs="Arial"/>
        </w:rPr>
        <w:t xml:space="preserve"> </w:t>
      </w:r>
      <w:r w:rsidR="00DB7D6C">
        <w:rPr>
          <w:rFonts w:ascii="Arial" w:hAnsi="Arial" w:cs="Arial"/>
        </w:rPr>
        <w:t>que han llevado a la población ecuatoriana a emigrar</w:t>
      </w:r>
      <w:r w:rsidR="00F00B57">
        <w:rPr>
          <w:rFonts w:ascii="Arial" w:hAnsi="Arial" w:cs="Arial"/>
        </w:rPr>
        <w:t xml:space="preserve"> hacia el exterior</w:t>
      </w:r>
      <w:r w:rsidR="00D728CF">
        <w:rPr>
          <w:rFonts w:ascii="Arial" w:hAnsi="Arial" w:cs="Arial"/>
        </w:rPr>
        <w:t xml:space="preserve"> y </w:t>
      </w:r>
      <w:r w:rsidR="00DB7D6C">
        <w:rPr>
          <w:rFonts w:ascii="Arial" w:hAnsi="Arial" w:cs="Arial"/>
        </w:rPr>
        <w:t xml:space="preserve">algunas </w:t>
      </w:r>
      <w:r w:rsidR="00F00B57">
        <w:rPr>
          <w:rFonts w:ascii="Arial" w:hAnsi="Arial" w:cs="Arial"/>
        </w:rPr>
        <w:t xml:space="preserve">situaciones ocurridas en otros países que </w:t>
      </w:r>
      <w:r w:rsidR="00D728CF">
        <w:rPr>
          <w:rFonts w:ascii="Arial" w:hAnsi="Arial" w:cs="Arial"/>
        </w:rPr>
        <w:t>convirtieron</w:t>
      </w:r>
      <w:r w:rsidR="00F00B57">
        <w:rPr>
          <w:rFonts w:ascii="Arial" w:hAnsi="Arial" w:cs="Arial"/>
        </w:rPr>
        <w:t xml:space="preserve"> a Ecuador en un </w:t>
      </w:r>
      <w:r w:rsidR="00D728CF">
        <w:rPr>
          <w:rFonts w:ascii="Arial" w:hAnsi="Arial" w:cs="Arial"/>
        </w:rPr>
        <w:t xml:space="preserve">país </w:t>
      </w:r>
      <w:r w:rsidR="00E209F9">
        <w:rPr>
          <w:rFonts w:ascii="Arial" w:hAnsi="Arial" w:cs="Arial"/>
        </w:rPr>
        <w:t>atractivo para emigrar</w:t>
      </w:r>
      <w:r w:rsidR="00F00B57">
        <w:rPr>
          <w:rFonts w:ascii="Arial" w:hAnsi="Arial" w:cs="Arial"/>
        </w:rPr>
        <w:t>.</w:t>
      </w:r>
      <w:r w:rsidR="00E209F9">
        <w:rPr>
          <w:rFonts w:ascii="Arial" w:hAnsi="Arial" w:cs="Arial"/>
        </w:rPr>
        <w:t xml:space="preserve"> </w:t>
      </w:r>
      <w:r w:rsidR="002917AC">
        <w:rPr>
          <w:rFonts w:ascii="Arial" w:hAnsi="Arial" w:cs="Arial"/>
        </w:rPr>
        <w:t xml:space="preserve">En el mismo capítulo se definen los objetivos de la investigación, </w:t>
      </w:r>
      <w:r w:rsidR="00181A67">
        <w:rPr>
          <w:rFonts w:ascii="Arial" w:hAnsi="Arial" w:cs="Arial"/>
        </w:rPr>
        <w:t>así como también se construyen algunas hipótesis acerca del tema</w:t>
      </w:r>
      <w:r w:rsidR="002917AC">
        <w:rPr>
          <w:rFonts w:ascii="Arial" w:hAnsi="Arial" w:cs="Arial"/>
        </w:rPr>
        <w:t>; y, finalmente se detallan las preguntas de la boleta censal que se usan para el análisis en capítulos posteriores.</w:t>
      </w:r>
    </w:p>
    <w:p w:rsidR="002917AC" w:rsidRDefault="002917AC" w:rsidP="007B26EA">
      <w:pPr>
        <w:spacing w:line="480" w:lineRule="auto"/>
        <w:jc w:val="both"/>
        <w:rPr>
          <w:rFonts w:ascii="Arial" w:hAnsi="Arial" w:cs="Arial"/>
        </w:rPr>
      </w:pPr>
    </w:p>
    <w:p w:rsidR="002917AC" w:rsidRDefault="00381439" w:rsidP="007B26EA">
      <w:pPr>
        <w:spacing w:line="480" w:lineRule="auto"/>
        <w:jc w:val="both"/>
        <w:rPr>
          <w:rFonts w:ascii="Arial" w:hAnsi="Arial" w:cs="Arial"/>
        </w:rPr>
      </w:pPr>
      <w:r>
        <w:rPr>
          <w:rFonts w:ascii="Arial" w:hAnsi="Arial" w:cs="Arial"/>
        </w:rPr>
        <w:t xml:space="preserve">El segundo capítulo </w:t>
      </w:r>
      <w:r w:rsidR="00F66F9F">
        <w:rPr>
          <w:rFonts w:ascii="Arial" w:hAnsi="Arial" w:cs="Arial"/>
        </w:rPr>
        <w:t>al que denominamos “</w:t>
      </w:r>
      <w:r w:rsidR="00F66F9F">
        <w:rPr>
          <w:rFonts w:ascii="Arial" w:hAnsi="Arial" w:cs="Arial"/>
          <w:i/>
        </w:rPr>
        <w:t>Migración Interna en Ecuador</w:t>
      </w:r>
      <w:r w:rsidR="00F66F9F">
        <w:rPr>
          <w:rFonts w:ascii="Arial" w:hAnsi="Arial" w:cs="Arial"/>
        </w:rPr>
        <w:t xml:space="preserve">” </w:t>
      </w:r>
      <w:r>
        <w:rPr>
          <w:rFonts w:ascii="Arial" w:hAnsi="Arial" w:cs="Arial"/>
        </w:rPr>
        <w:t xml:space="preserve">empieza con la descripción del software utilizado y una breve </w:t>
      </w:r>
      <w:r w:rsidR="00D645F2">
        <w:rPr>
          <w:rFonts w:ascii="Arial" w:hAnsi="Arial" w:cs="Arial"/>
        </w:rPr>
        <w:t xml:space="preserve">explicación </w:t>
      </w:r>
      <w:r>
        <w:rPr>
          <w:rFonts w:ascii="Arial" w:hAnsi="Arial" w:cs="Arial"/>
        </w:rPr>
        <w:t xml:space="preserve">del contenido de la boleta censal; y, a partir de la tercera sección se busca analizar </w:t>
      </w:r>
      <w:r w:rsidR="009778FC">
        <w:rPr>
          <w:rFonts w:ascii="Arial" w:hAnsi="Arial" w:cs="Arial"/>
        </w:rPr>
        <w:t>de manera sucinta</w:t>
      </w:r>
      <w:r>
        <w:rPr>
          <w:rFonts w:ascii="Arial" w:hAnsi="Arial" w:cs="Arial"/>
        </w:rPr>
        <w:t xml:space="preserve"> </w:t>
      </w:r>
      <w:r>
        <w:rPr>
          <w:rFonts w:ascii="Arial" w:hAnsi="Arial" w:cs="Arial"/>
        </w:rPr>
        <w:lastRenderedPageBreak/>
        <w:t>la</w:t>
      </w:r>
      <w:r w:rsidR="00D645F2">
        <w:rPr>
          <w:rFonts w:ascii="Arial" w:hAnsi="Arial" w:cs="Arial"/>
        </w:rPr>
        <w:t xml:space="preserve"> migración interna en el Ecuador</w:t>
      </w:r>
      <w:r w:rsidR="003647DC">
        <w:rPr>
          <w:rFonts w:ascii="Arial" w:hAnsi="Arial" w:cs="Arial"/>
        </w:rPr>
        <w:t xml:space="preserve"> estudiando aspectos como la distribución espacial, género, edad y participación económica de los inmigrantes y emigrantes; para finalmente estudiar las características de dos subpoblaciones de interés</w:t>
      </w:r>
      <w:r w:rsidR="007E5395">
        <w:rPr>
          <w:rFonts w:ascii="Arial" w:hAnsi="Arial" w:cs="Arial"/>
        </w:rPr>
        <w:t>,</w:t>
      </w:r>
      <w:r w:rsidR="003647DC">
        <w:rPr>
          <w:rFonts w:ascii="Arial" w:hAnsi="Arial" w:cs="Arial"/>
        </w:rPr>
        <w:t xml:space="preserve"> los emigrantes de </w:t>
      </w:r>
      <w:r w:rsidR="009778FC">
        <w:rPr>
          <w:rFonts w:ascii="Arial" w:hAnsi="Arial" w:cs="Arial"/>
        </w:rPr>
        <w:t>“</w:t>
      </w:r>
      <w:r w:rsidR="003647DC">
        <w:rPr>
          <w:rFonts w:ascii="Arial" w:hAnsi="Arial" w:cs="Arial"/>
        </w:rPr>
        <w:t>toda la vida</w:t>
      </w:r>
      <w:r w:rsidR="009778FC">
        <w:rPr>
          <w:rFonts w:ascii="Arial" w:hAnsi="Arial" w:cs="Arial"/>
        </w:rPr>
        <w:t>”</w:t>
      </w:r>
      <w:r w:rsidR="003647DC">
        <w:rPr>
          <w:rFonts w:ascii="Arial" w:hAnsi="Arial" w:cs="Arial"/>
        </w:rPr>
        <w:t xml:space="preserve"> nacidos en Manabí y los inmigrantes </w:t>
      </w:r>
      <w:r w:rsidR="009778FC">
        <w:rPr>
          <w:rFonts w:ascii="Arial" w:hAnsi="Arial" w:cs="Arial"/>
        </w:rPr>
        <w:t xml:space="preserve">“de toda la vida” </w:t>
      </w:r>
      <w:r w:rsidR="003647DC">
        <w:rPr>
          <w:rFonts w:ascii="Arial" w:hAnsi="Arial" w:cs="Arial"/>
        </w:rPr>
        <w:t>que habitualmente residen en Guayaquil</w:t>
      </w:r>
      <w:r w:rsidR="00763B63">
        <w:rPr>
          <w:rFonts w:ascii="Arial" w:hAnsi="Arial" w:cs="Arial"/>
        </w:rPr>
        <w:t>, pues en el primer caso Manabí es la provincia que mayor cantidad de población expulsa en términos absolutos y Guayaquil es uno de los cantones de</w:t>
      </w:r>
      <w:r w:rsidR="006933DF">
        <w:rPr>
          <w:rFonts w:ascii="Arial" w:hAnsi="Arial" w:cs="Arial"/>
        </w:rPr>
        <w:t>l</w:t>
      </w:r>
      <w:r w:rsidR="00763B63">
        <w:rPr>
          <w:rFonts w:ascii="Arial" w:hAnsi="Arial" w:cs="Arial"/>
        </w:rPr>
        <w:t xml:space="preserve"> Guayas que mayor cantidad de población ecuatoriana atrae</w:t>
      </w:r>
      <w:r w:rsidR="003647DC">
        <w:rPr>
          <w:rFonts w:ascii="Arial" w:hAnsi="Arial" w:cs="Arial"/>
        </w:rPr>
        <w:t>.</w:t>
      </w:r>
    </w:p>
    <w:p w:rsidR="004159AA" w:rsidRDefault="004159AA" w:rsidP="007B26EA">
      <w:pPr>
        <w:spacing w:line="480" w:lineRule="auto"/>
        <w:jc w:val="both"/>
        <w:rPr>
          <w:rFonts w:ascii="Arial" w:hAnsi="Arial" w:cs="Arial"/>
        </w:rPr>
      </w:pPr>
    </w:p>
    <w:p w:rsidR="004159AA" w:rsidRDefault="00BE7FBD" w:rsidP="007B26EA">
      <w:pPr>
        <w:spacing w:line="480" w:lineRule="auto"/>
        <w:jc w:val="both"/>
        <w:rPr>
          <w:rFonts w:ascii="Arial" w:hAnsi="Arial" w:cs="Arial"/>
        </w:rPr>
      </w:pPr>
      <w:r>
        <w:rPr>
          <w:rFonts w:ascii="Arial" w:hAnsi="Arial" w:cs="Arial"/>
        </w:rPr>
        <w:t>En el tercer capítulo denominado “</w:t>
      </w:r>
      <w:r>
        <w:rPr>
          <w:rFonts w:ascii="Arial" w:hAnsi="Arial" w:cs="Arial"/>
          <w:i/>
        </w:rPr>
        <w:t>Inmigración Internacional</w:t>
      </w:r>
      <w:r>
        <w:rPr>
          <w:rFonts w:ascii="Arial" w:hAnsi="Arial" w:cs="Arial"/>
        </w:rPr>
        <w:t>”,</w:t>
      </w:r>
      <w:r w:rsidR="004F72D3">
        <w:rPr>
          <w:rFonts w:ascii="Arial" w:hAnsi="Arial" w:cs="Arial"/>
        </w:rPr>
        <w:t xml:space="preserve"> se analizan algunas características sociodemográficas y espaciales de la población extranjera que a la fecha del empadronamiento</w:t>
      </w:r>
      <w:r w:rsidR="00C8066F">
        <w:rPr>
          <w:rFonts w:ascii="Arial" w:hAnsi="Arial" w:cs="Arial"/>
        </w:rPr>
        <w:t>,</w:t>
      </w:r>
      <w:r w:rsidR="004F72D3">
        <w:rPr>
          <w:rFonts w:ascii="Arial" w:hAnsi="Arial" w:cs="Arial"/>
        </w:rPr>
        <w:t xml:space="preserve"> noviembre de 2010</w:t>
      </w:r>
      <w:r w:rsidR="00C8066F">
        <w:rPr>
          <w:rFonts w:ascii="Arial" w:hAnsi="Arial" w:cs="Arial"/>
        </w:rPr>
        <w:t>,</w:t>
      </w:r>
      <w:r w:rsidR="004F72D3">
        <w:rPr>
          <w:rFonts w:ascii="Arial" w:hAnsi="Arial" w:cs="Arial"/>
        </w:rPr>
        <w:t xml:space="preserve"> respondieron </w:t>
      </w:r>
      <w:r w:rsidR="009778FC">
        <w:rPr>
          <w:rFonts w:ascii="Arial" w:hAnsi="Arial" w:cs="Arial"/>
        </w:rPr>
        <w:t xml:space="preserve">que residen </w:t>
      </w:r>
      <w:r w:rsidR="004F72D3">
        <w:rPr>
          <w:rFonts w:ascii="Arial" w:hAnsi="Arial" w:cs="Arial"/>
        </w:rPr>
        <w:t xml:space="preserve"> habitualmente en e</w:t>
      </w:r>
      <w:r w:rsidR="009778FC">
        <w:rPr>
          <w:rFonts w:ascii="Arial" w:hAnsi="Arial" w:cs="Arial"/>
        </w:rPr>
        <w:t>l</w:t>
      </w:r>
      <w:r w:rsidR="004F72D3">
        <w:rPr>
          <w:rFonts w:ascii="Arial" w:hAnsi="Arial" w:cs="Arial"/>
        </w:rPr>
        <w:t xml:space="preserve"> Ecuador</w:t>
      </w:r>
      <w:r w:rsidR="00D82296">
        <w:rPr>
          <w:rFonts w:ascii="Arial" w:hAnsi="Arial" w:cs="Arial"/>
        </w:rPr>
        <w:t xml:space="preserve">, dentro de las características estudiadas tenemos </w:t>
      </w:r>
      <w:r w:rsidR="009778FC">
        <w:rPr>
          <w:rFonts w:ascii="Arial" w:hAnsi="Arial" w:cs="Arial"/>
        </w:rPr>
        <w:t>“país de nacimiento”</w:t>
      </w:r>
      <w:r w:rsidR="00C828D5">
        <w:rPr>
          <w:rFonts w:ascii="Arial" w:hAnsi="Arial" w:cs="Arial"/>
        </w:rPr>
        <w:t xml:space="preserve">, </w:t>
      </w:r>
      <w:r w:rsidR="009778FC">
        <w:rPr>
          <w:rFonts w:ascii="Arial" w:hAnsi="Arial" w:cs="Arial"/>
        </w:rPr>
        <w:t>“</w:t>
      </w:r>
      <w:r w:rsidR="00C828D5">
        <w:rPr>
          <w:rFonts w:ascii="Arial" w:hAnsi="Arial" w:cs="Arial"/>
        </w:rPr>
        <w:t>provincia de residencia habitual</w:t>
      </w:r>
      <w:r w:rsidR="009778FC">
        <w:rPr>
          <w:rFonts w:ascii="Arial" w:hAnsi="Arial" w:cs="Arial"/>
        </w:rPr>
        <w:t>”</w:t>
      </w:r>
      <w:r w:rsidR="00C828D5">
        <w:rPr>
          <w:rFonts w:ascii="Arial" w:hAnsi="Arial" w:cs="Arial"/>
        </w:rPr>
        <w:t xml:space="preserve">, </w:t>
      </w:r>
      <w:r w:rsidR="009778FC">
        <w:rPr>
          <w:rFonts w:ascii="Arial" w:hAnsi="Arial" w:cs="Arial"/>
        </w:rPr>
        <w:t>“</w:t>
      </w:r>
      <w:r w:rsidR="00C828D5">
        <w:rPr>
          <w:rFonts w:ascii="Arial" w:hAnsi="Arial" w:cs="Arial"/>
        </w:rPr>
        <w:t>género</w:t>
      </w:r>
      <w:r w:rsidR="009778FC">
        <w:rPr>
          <w:rFonts w:ascii="Arial" w:hAnsi="Arial" w:cs="Arial"/>
        </w:rPr>
        <w:t>”</w:t>
      </w:r>
      <w:r w:rsidR="00C828D5">
        <w:rPr>
          <w:rFonts w:ascii="Arial" w:hAnsi="Arial" w:cs="Arial"/>
        </w:rPr>
        <w:t xml:space="preserve">, </w:t>
      </w:r>
      <w:r w:rsidR="009778FC">
        <w:rPr>
          <w:rFonts w:ascii="Arial" w:hAnsi="Arial" w:cs="Arial"/>
        </w:rPr>
        <w:t>“</w:t>
      </w:r>
      <w:r w:rsidR="00C828D5">
        <w:rPr>
          <w:rFonts w:ascii="Arial" w:hAnsi="Arial" w:cs="Arial"/>
        </w:rPr>
        <w:t>edad</w:t>
      </w:r>
      <w:r w:rsidR="009778FC">
        <w:rPr>
          <w:rFonts w:ascii="Arial" w:hAnsi="Arial" w:cs="Arial"/>
        </w:rPr>
        <w:t>”</w:t>
      </w:r>
      <w:r w:rsidR="00C828D5">
        <w:rPr>
          <w:rFonts w:ascii="Arial" w:hAnsi="Arial" w:cs="Arial"/>
        </w:rPr>
        <w:t xml:space="preserve">, </w:t>
      </w:r>
      <w:r w:rsidR="009778FC">
        <w:rPr>
          <w:rFonts w:ascii="Arial" w:hAnsi="Arial" w:cs="Arial"/>
        </w:rPr>
        <w:t>“</w:t>
      </w:r>
      <w:r w:rsidR="00C828D5">
        <w:rPr>
          <w:rFonts w:ascii="Arial" w:hAnsi="Arial" w:cs="Arial"/>
        </w:rPr>
        <w:t>nivel de instrucción</w:t>
      </w:r>
      <w:r w:rsidR="009778FC">
        <w:rPr>
          <w:rFonts w:ascii="Arial" w:hAnsi="Arial" w:cs="Arial"/>
        </w:rPr>
        <w:t>”</w:t>
      </w:r>
      <w:r w:rsidR="00C828D5">
        <w:rPr>
          <w:rFonts w:ascii="Arial" w:hAnsi="Arial" w:cs="Arial"/>
        </w:rPr>
        <w:t xml:space="preserve">, </w:t>
      </w:r>
      <w:r w:rsidR="009778FC">
        <w:rPr>
          <w:rFonts w:ascii="Arial" w:hAnsi="Arial" w:cs="Arial"/>
        </w:rPr>
        <w:t>“</w:t>
      </w:r>
      <w:r w:rsidR="00C828D5">
        <w:rPr>
          <w:rFonts w:ascii="Arial" w:hAnsi="Arial" w:cs="Arial"/>
        </w:rPr>
        <w:t>autoidentificación étnica</w:t>
      </w:r>
      <w:r w:rsidR="009778FC">
        <w:rPr>
          <w:rFonts w:ascii="Arial" w:hAnsi="Arial" w:cs="Arial"/>
        </w:rPr>
        <w:t>”</w:t>
      </w:r>
      <w:r w:rsidR="00C828D5">
        <w:rPr>
          <w:rFonts w:ascii="Arial" w:hAnsi="Arial" w:cs="Arial"/>
        </w:rPr>
        <w:t xml:space="preserve">, </w:t>
      </w:r>
      <w:r w:rsidR="009778FC">
        <w:rPr>
          <w:rFonts w:ascii="Arial" w:hAnsi="Arial" w:cs="Arial"/>
        </w:rPr>
        <w:t>“</w:t>
      </w:r>
      <w:r w:rsidR="00C828D5">
        <w:rPr>
          <w:rFonts w:ascii="Arial" w:hAnsi="Arial" w:cs="Arial"/>
        </w:rPr>
        <w:t>ocupación</w:t>
      </w:r>
      <w:r w:rsidR="009778FC">
        <w:rPr>
          <w:rFonts w:ascii="Arial" w:hAnsi="Arial" w:cs="Arial"/>
        </w:rPr>
        <w:t>”</w:t>
      </w:r>
      <w:r w:rsidR="00C828D5">
        <w:rPr>
          <w:rFonts w:ascii="Arial" w:hAnsi="Arial" w:cs="Arial"/>
        </w:rPr>
        <w:t>, entre otras características.</w:t>
      </w:r>
    </w:p>
    <w:p w:rsidR="003A5837" w:rsidRDefault="003A5837" w:rsidP="007B26EA">
      <w:pPr>
        <w:spacing w:line="480" w:lineRule="auto"/>
        <w:jc w:val="both"/>
        <w:rPr>
          <w:rFonts w:ascii="Arial" w:hAnsi="Arial" w:cs="Arial"/>
        </w:rPr>
      </w:pPr>
    </w:p>
    <w:p w:rsidR="003A5837" w:rsidRDefault="000424B6" w:rsidP="007B26EA">
      <w:pPr>
        <w:spacing w:line="480" w:lineRule="auto"/>
        <w:jc w:val="both"/>
        <w:rPr>
          <w:rFonts w:ascii="Arial" w:hAnsi="Arial" w:cs="Arial"/>
        </w:rPr>
      </w:pPr>
      <w:r>
        <w:rPr>
          <w:rFonts w:ascii="Arial" w:hAnsi="Arial" w:cs="Arial"/>
        </w:rPr>
        <w:t>En el capítulo 4</w:t>
      </w:r>
      <w:r w:rsidR="00F66F9F">
        <w:rPr>
          <w:rFonts w:ascii="Arial" w:hAnsi="Arial" w:cs="Arial"/>
        </w:rPr>
        <w:t xml:space="preserve"> denominado “</w:t>
      </w:r>
      <w:r w:rsidR="00F66F9F">
        <w:rPr>
          <w:rFonts w:ascii="Arial" w:hAnsi="Arial" w:cs="Arial"/>
          <w:i/>
        </w:rPr>
        <w:t>Inmigración referida a subpoblaciones de la población nacional</w:t>
      </w:r>
      <w:r w:rsidR="00F66F9F">
        <w:rPr>
          <w:rFonts w:ascii="Arial" w:hAnsi="Arial" w:cs="Arial"/>
        </w:rPr>
        <w:t>”</w:t>
      </w:r>
      <w:r>
        <w:rPr>
          <w:rFonts w:ascii="Arial" w:hAnsi="Arial" w:cs="Arial"/>
        </w:rPr>
        <w:t xml:space="preserve">, en cambio, se </w:t>
      </w:r>
      <w:r w:rsidR="00364358">
        <w:rPr>
          <w:rFonts w:ascii="Arial" w:hAnsi="Arial" w:cs="Arial"/>
        </w:rPr>
        <w:t xml:space="preserve">analiza la distribución espacial y las características sociodemográficas de </w:t>
      </w:r>
      <w:r>
        <w:rPr>
          <w:rFonts w:ascii="Arial" w:hAnsi="Arial" w:cs="Arial"/>
        </w:rPr>
        <w:t>cuatro subpoblaciones de inmigrantes extranjeros residentes en el país</w:t>
      </w:r>
      <w:r w:rsidR="007D7077">
        <w:rPr>
          <w:rFonts w:ascii="Arial" w:hAnsi="Arial" w:cs="Arial"/>
        </w:rPr>
        <w:t>, dichas subpoblaciones fueron seleccionadas para</w:t>
      </w:r>
      <w:r w:rsidR="007F3D85">
        <w:rPr>
          <w:rFonts w:ascii="Arial" w:hAnsi="Arial" w:cs="Arial"/>
        </w:rPr>
        <w:t xml:space="preserve"> estudio por ser las de mayor ponderación</w:t>
      </w:r>
      <w:r w:rsidR="00364358">
        <w:rPr>
          <w:rFonts w:ascii="Arial" w:hAnsi="Arial" w:cs="Arial"/>
        </w:rPr>
        <w:t>;</w:t>
      </w:r>
      <w:r w:rsidR="007F3D85">
        <w:rPr>
          <w:rFonts w:ascii="Arial" w:hAnsi="Arial" w:cs="Arial"/>
        </w:rPr>
        <w:t xml:space="preserve"> entre ellas están los colombianos que son la población más numerosa de extranjeros en el </w:t>
      </w:r>
      <w:r w:rsidR="00364358">
        <w:rPr>
          <w:rFonts w:ascii="Arial" w:hAnsi="Arial" w:cs="Arial"/>
        </w:rPr>
        <w:t>Ecuador</w:t>
      </w:r>
      <w:r w:rsidR="007F3D85">
        <w:rPr>
          <w:rFonts w:ascii="Arial" w:hAnsi="Arial" w:cs="Arial"/>
        </w:rPr>
        <w:t xml:space="preserve">, pues </w:t>
      </w:r>
      <w:r w:rsidR="009778FC">
        <w:rPr>
          <w:rFonts w:ascii="Arial" w:hAnsi="Arial" w:cs="Arial"/>
        </w:rPr>
        <w:t>constituyen</w:t>
      </w:r>
      <w:r w:rsidR="00364358">
        <w:rPr>
          <w:rFonts w:ascii="Arial" w:hAnsi="Arial" w:cs="Arial"/>
        </w:rPr>
        <w:t xml:space="preserve"> poco menos</w:t>
      </w:r>
      <w:r w:rsidR="007F3D85">
        <w:rPr>
          <w:rFonts w:ascii="Arial" w:hAnsi="Arial" w:cs="Arial"/>
        </w:rPr>
        <w:t xml:space="preserve"> </w:t>
      </w:r>
      <w:r w:rsidR="00364358">
        <w:rPr>
          <w:rFonts w:ascii="Arial" w:hAnsi="Arial" w:cs="Arial"/>
        </w:rPr>
        <w:t>d</w:t>
      </w:r>
      <w:r w:rsidR="007F3D85">
        <w:rPr>
          <w:rFonts w:ascii="Arial" w:hAnsi="Arial" w:cs="Arial"/>
        </w:rPr>
        <w:t>el 50% de</w:t>
      </w:r>
      <w:r w:rsidR="009778FC">
        <w:rPr>
          <w:rFonts w:ascii="Arial" w:hAnsi="Arial" w:cs="Arial"/>
        </w:rPr>
        <w:t>l total de</w:t>
      </w:r>
      <w:r w:rsidR="007F3D85">
        <w:rPr>
          <w:rFonts w:ascii="Arial" w:hAnsi="Arial" w:cs="Arial"/>
        </w:rPr>
        <w:t xml:space="preserve"> inmigrantes internacionales que </w:t>
      </w:r>
      <w:r w:rsidR="009778FC">
        <w:rPr>
          <w:rFonts w:ascii="Arial" w:hAnsi="Arial" w:cs="Arial"/>
        </w:rPr>
        <w:t>existen</w:t>
      </w:r>
      <w:r w:rsidR="007F3D85">
        <w:rPr>
          <w:rFonts w:ascii="Arial" w:hAnsi="Arial" w:cs="Arial"/>
        </w:rPr>
        <w:t xml:space="preserve"> en </w:t>
      </w:r>
      <w:r w:rsidR="00364358">
        <w:rPr>
          <w:rFonts w:ascii="Arial" w:hAnsi="Arial" w:cs="Arial"/>
        </w:rPr>
        <w:t>el país</w:t>
      </w:r>
      <w:r w:rsidR="00C8066F">
        <w:rPr>
          <w:rFonts w:ascii="Arial" w:hAnsi="Arial" w:cs="Arial"/>
        </w:rPr>
        <w:t>; las otras subpoblaciones a estudiar son la peruana, estadounidense y española.</w:t>
      </w:r>
    </w:p>
    <w:p w:rsidR="00364358" w:rsidRDefault="00E25208" w:rsidP="007B26EA">
      <w:pPr>
        <w:spacing w:line="480" w:lineRule="auto"/>
        <w:jc w:val="both"/>
        <w:rPr>
          <w:rFonts w:ascii="Arial" w:hAnsi="Arial" w:cs="Arial"/>
        </w:rPr>
      </w:pPr>
      <w:r>
        <w:rPr>
          <w:rFonts w:ascii="Arial" w:hAnsi="Arial" w:cs="Arial"/>
        </w:rPr>
        <w:lastRenderedPageBreak/>
        <w:t>En el quinto capítulo denominado “</w:t>
      </w:r>
      <w:r>
        <w:rPr>
          <w:rFonts w:ascii="Arial" w:hAnsi="Arial" w:cs="Arial"/>
          <w:i/>
        </w:rPr>
        <w:t>Emigración Internacional</w:t>
      </w:r>
      <w:r>
        <w:rPr>
          <w:rFonts w:ascii="Arial" w:hAnsi="Arial" w:cs="Arial"/>
        </w:rPr>
        <w:t>”, se estudian algunas de las características de la población que emigró desde Ecuador durante el período comprendido entre noviembre de 2001 y noviembre de 2010</w:t>
      </w:r>
      <w:r w:rsidR="00457836">
        <w:rPr>
          <w:rFonts w:ascii="Arial" w:hAnsi="Arial" w:cs="Arial"/>
        </w:rPr>
        <w:t>; así como también se analizan las características de dicha población dado el motivo principal del viaje, en otras palabras se trata de construir un perfil de la población que emigró desde el país por motivos de trabajo, unión familiar o estudio</w:t>
      </w:r>
      <w:r w:rsidR="00840829">
        <w:rPr>
          <w:rFonts w:ascii="Arial" w:hAnsi="Arial" w:cs="Arial"/>
        </w:rPr>
        <w:t xml:space="preserve">; todo este análisis se realiza en base a los datos </w:t>
      </w:r>
      <w:r w:rsidR="009778FC">
        <w:rPr>
          <w:rFonts w:ascii="Arial" w:hAnsi="Arial" w:cs="Arial"/>
        </w:rPr>
        <w:t>capturados</w:t>
      </w:r>
      <w:r w:rsidR="00840829">
        <w:rPr>
          <w:rFonts w:ascii="Arial" w:hAnsi="Arial" w:cs="Arial"/>
        </w:rPr>
        <w:t xml:space="preserve"> por medio de las preguntas contenidas en la sección </w:t>
      </w:r>
      <w:r w:rsidR="009778FC">
        <w:rPr>
          <w:rFonts w:ascii="Arial" w:hAnsi="Arial" w:cs="Arial"/>
        </w:rPr>
        <w:t>“</w:t>
      </w:r>
      <w:r w:rsidR="00840829">
        <w:rPr>
          <w:rFonts w:ascii="Arial" w:hAnsi="Arial" w:cs="Arial"/>
        </w:rPr>
        <w:t>Migración y Remesas</w:t>
      </w:r>
      <w:r w:rsidR="009778FC">
        <w:rPr>
          <w:rFonts w:ascii="Arial" w:hAnsi="Arial" w:cs="Arial"/>
        </w:rPr>
        <w:t>”</w:t>
      </w:r>
      <w:r w:rsidR="00840829">
        <w:rPr>
          <w:rFonts w:ascii="Arial" w:hAnsi="Arial" w:cs="Arial"/>
        </w:rPr>
        <w:t xml:space="preserve"> de la boleta censal</w:t>
      </w:r>
      <w:r w:rsidR="00FA298E">
        <w:rPr>
          <w:rFonts w:ascii="Arial" w:hAnsi="Arial" w:cs="Arial"/>
        </w:rPr>
        <w:t xml:space="preserve">; </w:t>
      </w:r>
      <w:r w:rsidR="00E56174">
        <w:rPr>
          <w:rFonts w:ascii="Arial" w:hAnsi="Arial" w:cs="Arial"/>
        </w:rPr>
        <w:t>estas preguntas</w:t>
      </w:r>
      <w:r w:rsidR="00840829">
        <w:rPr>
          <w:rFonts w:ascii="Arial" w:hAnsi="Arial" w:cs="Arial"/>
        </w:rPr>
        <w:t xml:space="preserve"> fueron respondidas p</w:t>
      </w:r>
      <w:r w:rsidR="00FA298E">
        <w:rPr>
          <w:rFonts w:ascii="Arial" w:hAnsi="Arial" w:cs="Arial"/>
        </w:rPr>
        <w:t xml:space="preserve">or familiares de los emigrantes, quienes </w:t>
      </w:r>
      <w:r w:rsidR="00840829">
        <w:rPr>
          <w:rFonts w:ascii="Arial" w:hAnsi="Arial" w:cs="Arial"/>
        </w:rPr>
        <w:t>a la fecha del empadronamiento vivían en Ecuador</w:t>
      </w:r>
      <w:r w:rsidR="00457836">
        <w:rPr>
          <w:rFonts w:ascii="Arial" w:hAnsi="Arial" w:cs="Arial"/>
        </w:rPr>
        <w:t>.</w:t>
      </w:r>
    </w:p>
    <w:p w:rsidR="00457836" w:rsidRDefault="00457836" w:rsidP="007B26EA">
      <w:pPr>
        <w:spacing w:line="480" w:lineRule="auto"/>
        <w:jc w:val="both"/>
        <w:rPr>
          <w:rFonts w:ascii="Arial" w:hAnsi="Arial" w:cs="Arial"/>
        </w:rPr>
      </w:pPr>
    </w:p>
    <w:p w:rsidR="00457836" w:rsidRDefault="001B237E" w:rsidP="007B26EA">
      <w:pPr>
        <w:spacing w:line="480" w:lineRule="auto"/>
        <w:jc w:val="both"/>
        <w:rPr>
          <w:rFonts w:ascii="Arial" w:hAnsi="Arial" w:cs="Arial"/>
        </w:rPr>
      </w:pPr>
      <w:r>
        <w:rPr>
          <w:rFonts w:ascii="Arial" w:hAnsi="Arial" w:cs="Arial"/>
        </w:rPr>
        <w:t>E</w:t>
      </w:r>
      <w:r w:rsidR="008C1020">
        <w:rPr>
          <w:rFonts w:ascii="Arial" w:hAnsi="Arial" w:cs="Arial"/>
        </w:rPr>
        <w:t>n el</w:t>
      </w:r>
      <w:r w:rsidR="00C47A64">
        <w:rPr>
          <w:rFonts w:ascii="Arial" w:hAnsi="Arial" w:cs="Arial"/>
        </w:rPr>
        <w:t xml:space="preserve"> capítulo seis de este trabajo, al que se denomina </w:t>
      </w:r>
      <w:r>
        <w:rPr>
          <w:rFonts w:ascii="Arial" w:hAnsi="Arial" w:cs="Arial"/>
        </w:rPr>
        <w:t>“</w:t>
      </w:r>
      <w:r w:rsidRPr="008C1020">
        <w:rPr>
          <w:rFonts w:ascii="Arial" w:hAnsi="Arial" w:cs="Arial"/>
          <w:i/>
        </w:rPr>
        <w:t>Análisis Multivariado: Aplicación del Modelo Logit</w:t>
      </w:r>
      <w:r>
        <w:rPr>
          <w:rFonts w:ascii="Arial" w:hAnsi="Arial" w:cs="Arial"/>
        </w:rPr>
        <w:t>”</w:t>
      </w:r>
      <w:r w:rsidR="008C1020">
        <w:rPr>
          <w:rFonts w:ascii="Arial" w:hAnsi="Arial" w:cs="Arial"/>
        </w:rPr>
        <w:t xml:space="preserve">, </w:t>
      </w:r>
      <w:r w:rsidR="00834700">
        <w:rPr>
          <w:rFonts w:ascii="Arial" w:hAnsi="Arial" w:cs="Arial"/>
        </w:rPr>
        <w:t>se utiliza la técnica de Regresión Logística para determinar los factores que influyen en los inmigrantes que residen habitualmente en Guayaquil</w:t>
      </w:r>
      <w:r w:rsidR="006933DF">
        <w:rPr>
          <w:rFonts w:ascii="Arial" w:hAnsi="Arial" w:cs="Arial"/>
        </w:rPr>
        <w:t>, esta técnica también es usada para encontrar los</w:t>
      </w:r>
      <w:r w:rsidR="00834700">
        <w:rPr>
          <w:rFonts w:ascii="Arial" w:hAnsi="Arial" w:cs="Arial"/>
        </w:rPr>
        <w:t xml:space="preserve"> factores que inciden en el nivel de instrucción superior de los estadounidenses; para ello se construye un primer modelo al que </w:t>
      </w:r>
      <w:r w:rsidR="00C47A64">
        <w:rPr>
          <w:rFonts w:ascii="Arial" w:hAnsi="Arial" w:cs="Arial"/>
        </w:rPr>
        <w:t xml:space="preserve">se ha </w:t>
      </w:r>
      <w:r w:rsidR="00834700">
        <w:rPr>
          <w:rFonts w:ascii="Arial" w:hAnsi="Arial" w:cs="Arial"/>
        </w:rPr>
        <w:t>denomina</w:t>
      </w:r>
      <w:r w:rsidR="00C47A64">
        <w:rPr>
          <w:rFonts w:ascii="Arial" w:hAnsi="Arial" w:cs="Arial"/>
        </w:rPr>
        <w:t>do</w:t>
      </w:r>
      <w:r w:rsidR="00834700">
        <w:rPr>
          <w:rFonts w:ascii="Arial" w:hAnsi="Arial" w:cs="Arial"/>
        </w:rPr>
        <w:t xml:space="preserve"> </w:t>
      </w:r>
      <w:r w:rsidR="00C47A64">
        <w:rPr>
          <w:rFonts w:ascii="Arial" w:hAnsi="Arial" w:cs="Arial"/>
        </w:rPr>
        <w:t xml:space="preserve">modelo </w:t>
      </w:r>
      <w:r w:rsidR="00834700">
        <w:rPr>
          <w:rFonts w:ascii="Arial" w:hAnsi="Arial" w:cs="Arial"/>
        </w:rPr>
        <w:t xml:space="preserve">completo y a partir de </w:t>
      </w:r>
      <w:r w:rsidR="003B1E88">
        <w:rPr>
          <w:rFonts w:ascii="Arial" w:hAnsi="Arial" w:cs="Arial"/>
        </w:rPr>
        <w:t>e</w:t>
      </w:r>
      <w:r w:rsidR="00834700">
        <w:rPr>
          <w:rFonts w:ascii="Arial" w:hAnsi="Arial" w:cs="Arial"/>
        </w:rPr>
        <w:t xml:space="preserve">ste modelo </w:t>
      </w:r>
      <w:r w:rsidR="000B60E7">
        <w:rPr>
          <w:rFonts w:ascii="Arial" w:hAnsi="Arial" w:cs="Arial"/>
        </w:rPr>
        <w:t xml:space="preserve">se hacen pruebas como la de la Razón de Verosimilitud para finalmente obtener un modelo al que </w:t>
      </w:r>
      <w:r w:rsidR="00C47A64">
        <w:rPr>
          <w:rFonts w:ascii="Arial" w:hAnsi="Arial" w:cs="Arial"/>
        </w:rPr>
        <w:t>llamaremos</w:t>
      </w:r>
      <w:r w:rsidR="000B60E7">
        <w:rPr>
          <w:rFonts w:ascii="Arial" w:hAnsi="Arial" w:cs="Arial"/>
        </w:rPr>
        <w:t xml:space="preserve"> modelo reducido.</w:t>
      </w:r>
    </w:p>
    <w:p w:rsidR="003B1E88" w:rsidRDefault="003B1E88" w:rsidP="007B26EA">
      <w:pPr>
        <w:spacing w:line="480" w:lineRule="auto"/>
        <w:jc w:val="both"/>
        <w:rPr>
          <w:rFonts w:ascii="Arial" w:hAnsi="Arial" w:cs="Arial"/>
        </w:rPr>
      </w:pPr>
    </w:p>
    <w:p w:rsidR="00457836" w:rsidRDefault="003B1E88" w:rsidP="007B26EA">
      <w:pPr>
        <w:spacing w:line="480" w:lineRule="auto"/>
        <w:jc w:val="both"/>
        <w:rPr>
          <w:rFonts w:ascii="Arial" w:hAnsi="Arial" w:cs="Arial"/>
        </w:rPr>
      </w:pPr>
      <w:r>
        <w:rPr>
          <w:rFonts w:ascii="Arial" w:hAnsi="Arial" w:cs="Arial"/>
        </w:rPr>
        <w:t xml:space="preserve">Finalmente, en </w:t>
      </w:r>
      <w:r w:rsidR="00E56174">
        <w:rPr>
          <w:rFonts w:ascii="Arial" w:hAnsi="Arial" w:cs="Arial"/>
        </w:rPr>
        <w:t>la parte final de es</w:t>
      </w:r>
      <w:r w:rsidR="008C4658">
        <w:rPr>
          <w:rFonts w:ascii="Arial" w:hAnsi="Arial" w:cs="Arial"/>
        </w:rPr>
        <w:t xml:space="preserve">te trabajo </w:t>
      </w:r>
      <w:r>
        <w:rPr>
          <w:rFonts w:ascii="Arial" w:hAnsi="Arial" w:cs="Arial"/>
        </w:rPr>
        <w:t xml:space="preserve">se exponen </w:t>
      </w:r>
      <w:r w:rsidR="005C20B7">
        <w:rPr>
          <w:rFonts w:ascii="Arial" w:hAnsi="Arial" w:cs="Arial"/>
        </w:rPr>
        <w:t>dieciocho</w:t>
      </w:r>
      <w:r>
        <w:rPr>
          <w:rFonts w:ascii="Arial" w:hAnsi="Arial" w:cs="Arial"/>
        </w:rPr>
        <w:t xml:space="preserve"> conclusiones y </w:t>
      </w:r>
      <w:r w:rsidR="00FA1B4F">
        <w:rPr>
          <w:rFonts w:ascii="Arial" w:hAnsi="Arial" w:cs="Arial"/>
        </w:rPr>
        <w:t>tres</w:t>
      </w:r>
      <w:r>
        <w:rPr>
          <w:rFonts w:ascii="Arial" w:hAnsi="Arial" w:cs="Arial"/>
        </w:rPr>
        <w:t xml:space="preserve"> recomendaciones a las cuales se llegaron después de haber realizado ésta investigación</w:t>
      </w:r>
      <w:r w:rsidR="00E56174">
        <w:rPr>
          <w:rFonts w:ascii="Arial" w:hAnsi="Arial" w:cs="Arial"/>
        </w:rPr>
        <w:t>; y, también se presentan las referencias bibliográficas</w:t>
      </w:r>
      <w:r>
        <w:rPr>
          <w:rFonts w:ascii="Arial" w:hAnsi="Arial" w:cs="Arial"/>
        </w:rPr>
        <w:t>.</w:t>
      </w:r>
    </w:p>
    <w:p w:rsidR="00457836" w:rsidRDefault="00457836" w:rsidP="007B26EA">
      <w:pPr>
        <w:spacing w:line="480" w:lineRule="auto"/>
        <w:jc w:val="both"/>
        <w:rPr>
          <w:rFonts w:ascii="Arial" w:hAnsi="Arial" w:cs="Arial"/>
        </w:rPr>
        <w:sectPr w:rsidR="00457836" w:rsidSect="00B842A2">
          <w:pgSz w:w="11907" w:h="16839" w:code="9"/>
          <w:pgMar w:top="2268" w:right="1361" w:bottom="2268" w:left="2268" w:header="708" w:footer="708" w:gutter="0"/>
          <w:pgNumType w:start="1"/>
          <w:cols w:space="708"/>
          <w:docGrid w:linePitch="360"/>
        </w:sectPr>
      </w:pPr>
    </w:p>
    <w:p w:rsidR="00470CE4" w:rsidRPr="00FE7FBC" w:rsidRDefault="00470CE4" w:rsidP="00470CE4">
      <w:pPr>
        <w:spacing w:line="480" w:lineRule="auto"/>
        <w:rPr>
          <w:rFonts w:ascii="Arial" w:hAnsi="Arial" w:cs="Arial"/>
          <w:b/>
          <w:sz w:val="32"/>
          <w:szCs w:val="32"/>
        </w:rPr>
      </w:pPr>
      <w:r w:rsidRPr="00FE7FBC">
        <w:rPr>
          <w:rFonts w:ascii="Arial" w:hAnsi="Arial" w:cs="Arial"/>
          <w:b/>
          <w:sz w:val="32"/>
          <w:szCs w:val="32"/>
        </w:rPr>
        <w:lastRenderedPageBreak/>
        <w:t>ÍNDICE GENERAL</w:t>
      </w:r>
    </w:p>
    <w:p w:rsidR="0069422D" w:rsidRPr="0069422D" w:rsidRDefault="00990535">
      <w:pPr>
        <w:pStyle w:val="TDC1"/>
        <w:tabs>
          <w:tab w:val="right" w:leader="dot" w:pos="8268"/>
        </w:tabs>
        <w:rPr>
          <w:rFonts w:ascii="Arial" w:eastAsiaTheme="minorEastAsia" w:hAnsi="Arial" w:cs="Arial"/>
          <w:b w:val="0"/>
          <w:bCs w:val="0"/>
          <w:i w:val="0"/>
          <w:iCs w:val="0"/>
          <w:noProof/>
          <w:sz w:val="20"/>
          <w:szCs w:val="20"/>
          <w:lang w:eastAsia="es-EC"/>
        </w:rPr>
      </w:pPr>
      <w:r w:rsidRPr="009955C9">
        <w:rPr>
          <w:rFonts w:ascii="Arial" w:hAnsi="Arial" w:cs="Arial"/>
          <w:b w:val="0"/>
          <w:bCs w:val="0"/>
          <w:i w:val="0"/>
          <w:iCs w:val="0"/>
          <w:sz w:val="22"/>
          <w:szCs w:val="22"/>
        </w:rPr>
        <w:fldChar w:fldCharType="begin"/>
      </w:r>
      <w:r w:rsidR="002F5870" w:rsidRPr="009955C9">
        <w:rPr>
          <w:rFonts w:ascii="Arial" w:hAnsi="Arial" w:cs="Arial"/>
          <w:b w:val="0"/>
          <w:bCs w:val="0"/>
          <w:i w:val="0"/>
          <w:iCs w:val="0"/>
          <w:sz w:val="22"/>
          <w:szCs w:val="22"/>
        </w:rPr>
        <w:instrText xml:space="preserve"> TOC \o "1-3" \h \z \t "Tesis_Titulo1,1,Tesis_Titulo2,2,Tesis_Titulo3,3,Indice1,1,TesisTitulo2,2,TesisTitulo1,1,Estilo41,1,Estilo42,2,5.1,1,5.2,2,6.1,1,6.2,2" </w:instrText>
      </w:r>
      <w:r w:rsidRPr="009955C9">
        <w:rPr>
          <w:rFonts w:ascii="Arial" w:hAnsi="Arial" w:cs="Arial"/>
          <w:b w:val="0"/>
          <w:bCs w:val="0"/>
          <w:i w:val="0"/>
          <w:iCs w:val="0"/>
          <w:sz w:val="22"/>
          <w:szCs w:val="22"/>
        </w:rPr>
        <w:fldChar w:fldCharType="separate"/>
      </w:r>
      <w:hyperlink w:anchor="_Toc341040582" w:history="1">
        <w:r w:rsidR="0069422D" w:rsidRPr="0069422D">
          <w:rPr>
            <w:rStyle w:val="Hipervnculo"/>
            <w:rFonts w:ascii="Arial" w:hAnsi="Arial" w:cs="Arial"/>
            <w:i w:val="0"/>
            <w:noProof/>
            <w:sz w:val="20"/>
            <w:szCs w:val="20"/>
          </w:rPr>
          <w:t>INTRODU</w:t>
        </w:r>
        <w:r w:rsidR="0069422D" w:rsidRPr="0069422D">
          <w:rPr>
            <w:rStyle w:val="Hipervnculo"/>
            <w:rFonts w:ascii="Arial" w:hAnsi="Arial" w:cs="Arial"/>
            <w:i w:val="0"/>
            <w:noProof/>
            <w:sz w:val="20"/>
            <w:szCs w:val="20"/>
          </w:rPr>
          <w:t>C</w:t>
        </w:r>
        <w:r w:rsidR="0069422D" w:rsidRPr="0069422D">
          <w:rPr>
            <w:rStyle w:val="Hipervnculo"/>
            <w:rFonts w:ascii="Arial" w:hAnsi="Arial" w:cs="Arial"/>
            <w:i w:val="0"/>
            <w:noProof/>
            <w:sz w:val="20"/>
            <w:szCs w:val="20"/>
          </w:rPr>
          <w:t>CIÓN</w:t>
        </w:r>
        <w:r w:rsidR="0069422D" w:rsidRPr="0069422D">
          <w:rPr>
            <w:rFonts w:ascii="Arial" w:hAnsi="Arial" w:cs="Arial"/>
            <w:b w:val="0"/>
            <w:i w:val="0"/>
            <w:noProof/>
            <w:webHidden/>
            <w:sz w:val="20"/>
            <w:szCs w:val="20"/>
          </w:rPr>
          <w:tab/>
        </w:r>
        <w:r w:rsidR="00A242E0">
          <w:rPr>
            <w:rFonts w:ascii="Arial" w:hAnsi="Arial" w:cs="Arial"/>
            <w:b w:val="0"/>
            <w:i w:val="0"/>
            <w:noProof/>
            <w:webHidden/>
            <w:sz w:val="20"/>
            <w:szCs w:val="20"/>
          </w:rPr>
          <w:t>i</w:t>
        </w:r>
      </w:hyperlink>
    </w:p>
    <w:p w:rsidR="0069422D" w:rsidRPr="0069422D" w:rsidRDefault="00436907">
      <w:pPr>
        <w:pStyle w:val="TDC1"/>
        <w:tabs>
          <w:tab w:val="left" w:pos="440"/>
          <w:tab w:val="right" w:leader="dot" w:pos="8268"/>
        </w:tabs>
        <w:rPr>
          <w:rFonts w:ascii="Arial" w:eastAsiaTheme="minorEastAsia" w:hAnsi="Arial" w:cs="Arial"/>
          <w:b w:val="0"/>
          <w:bCs w:val="0"/>
          <w:i w:val="0"/>
          <w:iCs w:val="0"/>
          <w:noProof/>
          <w:sz w:val="20"/>
          <w:szCs w:val="20"/>
          <w:lang w:eastAsia="es-EC"/>
        </w:rPr>
      </w:pPr>
      <w:hyperlink w:anchor="_Toc341040584" w:history="1">
        <w:r w:rsidR="0069422D" w:rsidRPr="0069422D">
          <w:rPr>
            <w:rStyle w:val="Hipervnculo"/>
            <w:rFonts w:ascii="Arial" w:hAnsi="Arial" w:cs="Arial"/>
            <w:i w:val="0"/>
            <w:noProof/>
            <w:sz w:val="20"/>
            <w:szCs w:val="20"/>
          </w:rPr>
          <w:t>1.</w:t>
        </w:r>
        <w:r w:rsidR="0069422D">
          <w:rPr>
            <w:rFonts w:ascii="Arial" w:eastAsiaTheme="minorEastAsia" w:hAnsi="Arial" w:cs="Arial"/>
            <w:bCs w:val="0"/>
            <w:i w:val="0"/>
            <w:iCs w:val="0"/>
            <w:noProof/>
            <w:sz w:val="20"/>
            <w:szCs w:val="20"/>
            <w:lang w:eastAsia="es-EC"/>
          </w:rPr>
          <w:t xml:space="preserve"> </w:t>
        </w:r>
        <w:r w:rsidR="0069422D" w:rsidRPr="0069422D">
          <w:rPr>
            <w:rStyle w:val="Hipervnculo"/>
            <w:rFonts w:ascii="Arial" w:hAnsi="Arial" w:cs="Arial"/>
            <w:i w:val="0"/>
            <w:noProof/>
            <w:sz w:val="20"/>
            <w:szCs w:val="20"/>
          </w:rPr>
          <w:t>MARCO TEÓRICO, OBJETIVOS, METODOLOGÍA Y FUENTE DE DATOS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_Toc341040584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585" w:history="1">
        <w:r w:rsidR="0069422D" w:rsidRPr="0069422D">
          <w:rPr>
            <w:rStyle w:val="Hipervnculo"/>
            <w:rFonts w:ascii="Arial" w:hAnsi="Arial" w:cs="Arial"/>
            <w:b w:val="0"/>
            <w:i w:val="0"/>
            <w:noProof/>
            <w:sz w:val="20"/>
            <w:szCs w:val="20"/>
          </w:rPr>
          <w:t>1.1.</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Introducción</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_Toc341040585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586" w:history="1">
        <w:r w:rsidR="0069422D" w:rsidRPr="0069422D">
          <w:rPr>
            <w:rStyle w:val="Hipervnculo"/>
            <w:rFonts w:ascii="Arial" w:hAnsi="Arial" w:cs="Arial"/>
            <w:b w:val="0"/>
            <w:i w:val="0"/>
            <w:noProof/>
            <w:sz w:val="20"/>
            <w:szCs w:val="20"/>
          </w:rPr>
          <w:t>1.2.</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 xml:space="preserve">Planteamiento del </w:t>
        </w:r>
        <w:r w:rsidR="006933DF">
          <w:rPr>
            <w:rStyle w:val="Hipervnculo"/>
            <w:rFonts w:ascii="Arial" w:hAnsi="Arial" w:cs="Arial"/>
            <w:b w:val="0"/>
            <w:i w:val="0"/>
            <w:noProof/>
            <w:sz w:val="20"/>
            <w:szCs w:val="20"/>
          </w:rPr>
          <w:t>p</w:t>
        </w:r>
        <w:r w:rsidR="0069422D" w:rsidRPr="0069422D">
          <w:rPr>
            <w:rStyle w:val="Hipervnculo"/>
            <w:rFonts w:ascii="Arial" w:hAnsi="Arial" w:cs="Arial"/>
            <w:b w:val="0"/>
            <w:i w:val="0"/>
            <w:noProof/>
            <w:sz w:val="20"/>
            <w:szCs w:val="20"/>
          </w:rPr>
          <w:t>roblema</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_Toc341040586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587" w:history="1">
        <w:r w:rsidR="0069422D" w:rsidRPr="0069422D">
          <w:rPr>
            <w:rStyle w:val="Hipervnculo"/>
            <w:rFonts w:ascii="Arial" w:hAnsi="Arial" w:cs="Arial"/>
            <w:b w:val="0"/>
            <w:i w:val="0"/>
            <w:noProof/>
            <w:sz w:val="20"/>
            <w:szCs w:val="20"/>
          </w:rPr>
          <w:t>1.3.</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Antecedentes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_Toc341040587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4</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588" w:history="1">
        <w:r w:rsidR="0069422D" w:rsidRPr="0069422D">
          <w:rPr>
            <w:rStyle w:val="Hipervnculo"/>
            <w:rFonts w:ascii="Arial" w:hAnsi="Arial" w:cs="Arial"/>
            <w:b w:val="0"/>
            <w:noProof/>
            <w:sz w:val="20"/>
            <w:szCs w:val="20"/>
          </w:rPr>
          <w:t>1.3.1.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Migración Internacional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_Toc341040588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9</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589" w:history="1">
        <w:r w:rsidR="0069422D" w:rsidRPr="0069422D">
          <w:rPr>
            <w:rStyle w:val="Hipervnculo"/>
            <w:rFonts w:ascii="Arial" w:hAnsi="Arial" w:cs="Arial"/>
            <w:b w:val="0"/>
            <w:noProof/>
            <w:sz w:val="20"/>
            <w:szCs w:val="20"/>
          </w:rPr>
          <w:t>1.3.2.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Migración Interna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_Toc341040589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17</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590" w:history="1">
        <w:r w:rsidR="0069422D" w:rsidRPr="0069422D">
          <w:rPr>
            <w:rStyle w:val="Hipervnculo"/>
            <w:rFonts w:ascii="Arial" w:hAnsi="Arial" w:cs="Arial"/>
            <w:b w:val="0"/>
            <w:i w:val="0"/>
            <w:noProof/>
            <w:sz w:val="20"/>
            <w:szCs w:val="20"/>
          </w:rPr>
          <w:t>1.4.</w:t>
        </w:r>
        <w:r w:rsidR="0069422D">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Objetivos de la Investigación</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_Toc341040590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20</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591" w:history="1">
        <w:r w:rsidR="0069422D" w:rsidRPr="0069422D">
          <w:rPr>
            <w:rStyle w:val="Hipervnculo"/>
            <w:rFonts w:ascii="Arial" w:hAnsi="Arial" w:cs="Arial"/>
            <w:b w:val="0"/>
            <w:noProof/>
            <w:sz w:val="20"/>
            <w:szCs w:val="20"/>
          </w:rPr>
          <w:t>1.4.1.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Objetivo General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_Toc341040591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20</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592" w:history="1">
        <w:r w:rsidR="0069422D" w:rsidRPr="0069422D">
          <w:rPr>
            <w:rStyle w:val="Hipervnculo"/>
            <w:rFonts w:ascii="Arial" w:hAnsi="Arial" w:cs="Arial"/>
            <w:b w:val="0"/>
            <w:noProof/>
            <w:sz w:val="20"/>
            <w:szCs w:val="20"/>
          </w:rPr>
          <w:t>1.4.2.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Objetivos Específicos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_Toc341040592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20</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593" w:history="1">
        <w:r w:rsidR="0069422D" w:rsidRPr="0069422D">
          <w:rPr>
            <w:rStyle w:val="Hipervnculo"/>
            <w:rFonts w:ascii="Arial" w:hAnsi="Arial" w:cs="Arial"/>
            <w:b w:val="0"/>
            <w:i w:val="0"/>
            <w:noProof/>
            <w:sz w:val="20"/>
            <w:szCs w:val="20"/>
          </w:rPr>
          <w:t>1.5.</w:t>
        </w:r>
        <w:r w:rsidR="0069422D">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Hipótesis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_Toc341040593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21</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594" w:history="1">
        <w:r w:rsidR="0069422D" w:rsidRPr="0069422D">
          <w:rPr>
            <w:rStyle w:val="Hipervnculo"/>
            <w:rFonts w:ascii="Arial" w:hAnsi="Arial" w:cs="Arial"/>
            <w:b w:val="0"/>
            <w:i w:val="0"/>
            <w:noProof/>
            <w:sz w:val="20"/>
            <w:szCs w:val="20"/>
          </w:rPr>
          <w:t>1.6.</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Metodología</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_Toc341040594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21</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595" w:history="1">
        <w:r w:rsidR="0069422D" w:rsidRPr="0069422D">
          <w:rPr>
            <w:rStyle w:val="Hipervnculo"/>
            <w:rFonts w:ascii="Arial" w:hAnsi="Arial" w:cs="Arial"/>
            <w:b w:val="0"/>
            <w:noProof/>
            <w:sz w:val="20"/>
            <w:szCs w:val="20"/>
          </w:rPr>
          <w:t>1.6.1.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Variables a utilizar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_Toc341040595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22</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440"/>
          <w:tab w:val="right" w:leader="dot" w:pos="8268"/>
        </w:tabs>
        <w:rPr>
          <w:rFonts w:ascii="Arial" w:eastAsiaTheme="minorEastAsia" w:hAnsi="Arial" w:cs="Arial"/>
          <w:b w:val="0"/>
          <w:bCs w:val="0"/>
          <w:i w:val="0"/>
          <w:iCs w:val="0"/>
          <w:noProof/>
          <w:sz w:val="20"/>
          <w:szCs w:val="20"/>
          <w:lang w:eastAsia="es-EC"/>
        </w:rPr>
      </w:pPr>
      <w:hyperlink w:anchor="_Toc341040597" w:history="1">
        <w:r w:rsidR="0069422D" w:rsidRPr="0069422D">
          <w:rPr>
            <w:rStyle w:val="Hipervnculo"/>
            <w:rFonts w:ascii="Arial" w:hAnsi="Arial" w:cs="Arial"/>
            <w:i w:val="0"/>
            <w:noProof/>
            <w:sz w:val="20"/>
            <w:szCs w:val="20"/>
          </w:rPr>
          <w:t>2.</w:t>
        </w:r>
        <w:r w:rsidR="0069422D">
          <w:rPr>
            <w:rStyle w:val="Hipervnculo"/>
            <w:rFonts w:ascii="Arial" w:hAnsi="Arial" w:cs="Arial"/>
            <w:i w:val="0"/>
            <w:noProof/>
            <w:sz w:val="20"/>
            <w:szCs w:val="20"/>
          </w:rPr>
          <w:t xml:space="preserve"> </w:t>
        </w:r>
        <w:r w:rsidR="0069422D" w:rsidRPr="0069422D">
          <w:rPr>
            <w:rStyle w:val="Hipervnculo"/>
            <w:rFonts w:ascii="Arial" w:hAnsi="Arial" w:cs="Arial"/>
            <w:i w:val="0"/>
            <w:noProof/>
            <w:sz w:val="20"/>
            <w:szCs w:val="20"/>
          </w:rPr>
          <w:t>MIGRACIÓN INTERNA EN ECUADOR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_Toc341040597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29</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598" w:history="1">
        <w:r w:rsidR="0069422D" w:rsidRPr="0069422D">
          <w:rPr>
            <w:rStyle w:val="Hipervnculo"/>
            <w:rFonts w:ascii="Arial" w:hAnsi="Arial" w:cs="Arial"/>
            <w:b w:val="0"/>
            <w:i w:val="0"/>
            <w:noProof/>
            <w:sz w:val="20"/>
            <w:szCs w:val="20"/>
          </w:rPr>
          <w:t>2.1. Introducción</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_Toc341040598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29</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599" w:history="1">
        <w:r w:rsidR="0069422D" w:rsidRPr="0069422D">
          <w:rPr>
            <w:rStyle w:val="Hipervnculo"/>
            <w:rFonts w:ascii="Arial" w:hAnsi="Arial" w:cs="Arial"/>
            <w:b w:val="0"/>
            <w:i w:val="0"/>
            <w:noProof/>
            <w:sz w:val="20"/>
            <w:szCs w:val="20"/>
          </w:rPr>
          <w:t>2.2.</w:t>
        </w:r>
        <w:r w:rsidR="0069422D">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Software utilizado</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_Toc341040599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30</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00" w:history="1">
        <w:r w:rsidR="0069422D" w:rsidRPr="0069422D">
          <w:rPr>
            <w:rStyle w:val="Hipervnculo"/>
            <w:rFonts w:ascii="Arial" w:hAnsi="Arial" w:cs="Arial"/>
            <w:b w:val="0"/>
            <w:noProof/>
            <w:sz w:val="20"/>
            <w:szCs w:val="20"/>
          </w:rPr>
          <w:t>2.2.1.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Software Estadístico SPSS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_Toc341040600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30</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01" w:history="1">
        <w:r w:rsidR="0069422D" w:rsidRPr="0069422D">
          <w:rPr>
            <w:rStyle w:val="Hipervnculo"/>
            <w:rFonts w:ascii="Arial" w:hAnsi="Arial" w:cs="Arial"/>
            <w:b w:val="0"/>
            <w:noProof/>
            <w:sz w:val="20"/>
            <w:szCs w:val="20"/>
          </w:rPr>
          <w:t>2.2.2.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Lenguaje de Programación 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_Toc341040601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31</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02" w:history="1">
        <w:r w:rsidR="0069422D" w:rsidRPr="0069422D">
          <w:rPr>
            <w:rStyle w:val="Hipervnculo"/>
            <w:rFonts w:ascii="Arial" w:hAnsi="Arial" w:cs="Arial"/>
            <w:b w:val="0"/>
            <w:noProof/>
            <w:sz w:val="20"/>
            <w:szCs w:val="20"/>
          </w:rPr>
          <w:t>2.2.3.</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Base de datos Redatam</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_Toc341040602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32</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03" w:history="1">
        <w:r w:rsidR="0069422D" w:rsidRPr="0069422D">
          <w:rPr>
            <w:rStyle w:val="Hipervnculo"/>
            <w:rFonts w:ascii="Arial" w:hAnsi="Arial" w:cs="Arial"/>
            <w:b w:val="0"/>
            <w:noProof/>
            <w:sz w:val="20"/>
            <w:szCs w:val="20"/>
          </w:rPr>
          <w:t>2.2.4.</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Microsoft Office Excel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_Toc341040603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32</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04" w:history="1">
        <w:r w:rsidR="0069422D" w:rsidRPr="0069422D">
          <w:rPr>
            <w:rStyle w:val="Hipervnculo"/>
            <w:rFonts w:ascii="Arial" w:hAnsi="Arial" w:cs="Arial"/>
            <w:b w:val="0"/>
            <w:i w:val="0"/>
            <w:noProof/>
            <w:sz w:val="20"/>
            <w:szCs w:val="20"/>
          </w:rPr>
          <w:t>2.3.</w:t>
        </w:r>
        <w:r w:rsidR="0069422D">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Descripción de la Boleta Censal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_Toc341040604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33</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05" w:history="1">
        <w:r w:rsidR="0069422D" w:rsidRPr="0069422D">
          <w:rPr>
            <w:rStyle w:val="Hipervnculo"/>
            <w:rFonts w:ascii="Arial" w:hAnsi="Arial" w:cs="Arial"/>
            <w:b w:val="0"/>
            <w:i w:val="0"/>
            <w:noProof/>
            <w:sz w:val="20"/>
            <w:szCs w:val="20"/>
          </w:rPr>
          <w:t>2.4.</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 xml:space="preserve">Inmigración y Emigración por </w:t>
        </w:r>
        <w:r w:rsidR="008F1FF2">
          <w:rPr>
            <w:rStyle w:val="Hipervnculo"/>
            <w:rFonts w:ascii="Arial" w:hAnsi="Arial" w:cs="Arial"/>
            <w:b w:val="0"/>
            <w:i w:val="0"/>
            <w:noProof/>
            <w:sz w:val="20"/>
            <w:szCs w:val="20"/>
          </w:rPr>
          <w:t>p</w:t>
        </w:r>
        <w:r w:rsidR="0069422D" w:rsidRPr="0069422D">
          <w:rPr>
            <w:rStyle w:val="Hipervnculo"/>
            <w:rFonts w:ascii="Arial" w:hAnsi="Arial" w:cs="Arial"/>
            <w:b w:val="0"/>
            <w:i w:val="0"/>
            <w:noProof/>
            <w:sz w:val="20"/>
            <w:szCs w:val="20"/>
          </w:rPr>
          <w:t>rovincia</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_Toc341040605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34</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06" w:history="1">
        <w:r w:rsidR="0069422D" w:rsidRPr="0069422D">
          <w:rPr>
            <w:rStyle w:val="Hipervnculo"/>
            <w:rFonts w:ascii="Arial" w:hAnsi="Arial" w:cs="Arial"/>
            <w:b w:val="0"/>
            <w:i w:val="0"/>
            <w:noProof/>
            <w:sz w:val="20"/>
            <w:szCs w:val="20"/>
          </w:rPr>
          <w:t>2.5.</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 xml:space="preserve">Total de Inmigrantes y Emigrantes por </w:t>
        </w:r>
        <w:r w:rsidR="008F1FF2">
          <w:rPr>
            <w:rStyle w:val="Hipervnculo"/>
            <w:rFonts w:ascii="Arial" w:hAnsi="Arial" w:cs="Arial"/>
            <w:b w:val="0"/>
            <w:i w:val="0"/>
            <w:noProof/>
            <w:sz w:val="20"/>
            <w:szCs w:val="20"/>
          </w:rPr>
          <w:t>k</w:t>
        </w:r>
        <w:r w:rsidR="0069422D" w:rsidRPr="0069422D">
          <w:rPr>
            <w:rStyle w:val="Hipervnculo"/>
            <w:rFonts w:ascii="Arial" w:hAnsi="Arial" w:cs="Arial"/>
            <w:b w:val="0"/>
            <w:i w:val="0"/>
            <w:noProof/>
            <w:sz w:val="20"/>
            <w:szCs w:val="20"/>
          </w:rPr>
          <w:t>ilómetro cuadrado.</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_Toc341040606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43</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07" w:history="1">
        <w:r w:rsidR="0069422D" w:rsidRPr="0069422D">
          <w:rPr>
            <w:rStyle w:val="Hipervnculo"/>
            <w:rFonts w:ascii="Arial" w:hAnsi="Arial" w:cs="Arial"/>
            <w:b w:val="0"/>
            <w:i w:val="0"/>
            <w:noProof/>
            <w:sz w:val="20"/>
            <w:szCs w:val="20"/>
          </w:rPr>
          <w:t>2.6.</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Migración Interna en los últimos cinco años por provincia.</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_Toc341040607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47</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08" w:history="1">
        <w:r w:rsidR="0069422D" w:rsidRPr="0069422D">
          <w:rPr>
            <w:rStyle w:val="Hipervnculo"/>
            <w:rFonts w:ascii="Arial" w:hAnsi="Arial" w:cs="Arial"/>
            <w:b w:val="0"/>
            <w:i w:val="0"/>
            <w:noProof/>
            <w:sz w:val="20"/>
            <w:szCs w:val="20"/>
          </w:rPr>
          <w:t>2.7.</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Tasa por área de residencia de los Inmigrantes a nivel provincial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_Toc341040608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51</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09" w:history="1">
        <w:r w:rsidR="0069422D" w:rsidRPr="0069422D">
          <w:rPr>
            <w:rStyle w:val="Hipervnculo"/>
            <w:rFonts w:ascii="Arial" w:hAnsi="Arial" w:cs="Arial"/>
            <w:b w:val="0"/>
            <w:i w:val="0"/>
            <w:noProof/>
            <w:sz w:val="20"/>
            <w:szCs w:val="20"/>
          </w:rPr>
          <w:t>2.8.</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 xml:space="preserve">Índice de feminidad de los Emigrantes por </w:t>
        </w:r>
        <w:r w:rsidR="008F1FF2">
          <w:rPr>
            <w:rStyle w:val="Hipervnculo"/>
            <w:rFonts w:ascii="Arial" w:hAnsi="Arial" w:cs="Arial"/>
            <w:b w:val="0"/>
            <w:i w:val="0"/>
            <w:noProof/>
            <w:sz w:val="20"/>
            <w:szCs w:val="20"/>
          </w:rPr>
          <w:t>p</w:t>
        </w:r>
        <w:r w:rsidR="0069422D" w:rsidRPr="0069422D">
          <w:rPr>
            <w:rStyle w:val="Hipervnculo"/>
            <w:rFonts w:ascii="Arial" w:hAnsi="Arial" w:cs="Arial"/>
            <w:b w:val="0"/>
            <w:i w:val="0"/>
            <w:noProof/>
            <w:sz w:val="20"/>
            <w:szCs w:val="20"/>
          </w:rPr>
          <w:t>rovincia</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_Toc341040609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53</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10" w:history="1">
        <w:r w:rsidR="0069422D" w:rsidRPr="0069422D">
          <w:rPr>
            <w:rStyle w:val="Hipervnculo"/>
            <w:rFonts w:ascii="Arial" w:hAnsi="Arial" w:cs="Arial"/>
            <w:b w:val="0"/>
            <w:i w:val="0"/>
            <w:noProof/>
            <w:sz w:val="20"/>
            <w:szCs w:val="20"/>
          </w:rPr>
          <w:t>2.9.</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Distribución de Edad de los Inmigrantes por provincia de residencia habitual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_Toc341040610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55</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880"/>
          <w:tab w:val="right" w:leader="dot" w:pos="8268"/>
        </w:tabs>
        <w:rPr>
          <w:rFonts w:ascii="Arial" w:eastAsiaTheme="minorEastAsia" w:hAnsi="Arial" w:cs="Arial"/>
          <w:b w:val="0"/>
          <w:bCs w:val="0"/>
          <w:i w:val="0"/>
          <w:iCs w:val="0"/>
          <w:noProof/>
          <w:sz w:val="20"/>
          <w:szCs w:val="20"/>
          <w:lang w:eastAsia="es-EC"/>
        </w:rPr>
      </w:pPr>
      <w:hyperlink w:anchor="_Toc341040611" w:history="1">
        <w:r w:rsidR="0069422D" w:rsidRPr="0069422D">
          <w:rPr>
            <w:rStyle w:val="Hipervnculo"/>
            <w:rFonts w:ascii="Arial" w:hAnsi="Arial" w:cs="Arial"/>
            <w:b w:val="0"/>
            <w:i w:val="0"/>
            <w:noProof/>
            <w:sz w:val="20"/>
            <w:szCs w:val="20"/>
          </w:rPr>
          <w:t>2.10.</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Distribución de Edad de los Emigrantes por provincia</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de nacimiento</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_Toc341040611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58</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880"/>
          <w:tab w:val="right" w:leader="dot" w:pos="8268"/>
        </w:tabs>
        <w:rPr>
          <w:rFonts w:ascii="Arial" w:eastAsiaTheme="minorEastAsia" w:hAnsi="Arial" w:cs="Arial"/>
          <w:b w:val="0"/>
          <w:bCs w:val="0"/>
          <w:i w:val="0"/>
          <w:iCs w:val="0"/>
          <w:noProof/>
          <w:sz w:val="20"/>
          <w:szCs w:val="20"/>
          <w:lang w:eastAsia="es-EC"/>
        </w:rPr>
      </w:pPr>
      <w:hyperlink w:anchor="_Toc341040613" w:history="1">
        <w:r w:rsidR="0069422D" w:rsidRPr="0069422D">
          <w:rPr>
            <w:rStyle w:val="Hipervnculo"/>
            <w:rFonts w:ascii="Arial" w:hAnsi="Arial" w:cs="Arial"/>
            <w:b w:val="0"/>
            <w:i w:val="0"/>
            <w:noProof/>
            <w:sz w:val="20"/>
            <w:szCs w:val="20"/>
          </w:rPr>
          <w:t>2.11.</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Tasa de Participación Económica de los Inmigrantes</w:t>
        </w:r>
        <w:r w:rsidR="0069422D" w:rsidRPr="0069422D">
          <w:t xml:space="preserve"> </w:t>
        </w:r>
        <w:r w:rsidR="0069422D" w:rsidRPr="0069422D">
          <w:rPr>
            <w:rStyle w:val="Hipervnculo"/>
            <w:rFonts w:ascii="Arial" w:hAnsi="Arial" w:cs="Arial"/>
            <w:b w:val="0"/>
            <w:i w:val="0"/>
            <w:noProof/>
            <w:sz w:val="20"/>
            <w:szCs w:val="20"/>
          </w:rPr>
          <w:t>en la provincia de destino</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_Toc341040613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60</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880"/>
          <w:tab w:val="right" w:leader="dot" w:pos="8268"/>
        </w:tabs>
        <w:rPr>
          <w:rFonts w:ascii="Arial" w:eastAsiaTheme="minorEastAsia" w:hAnsi="Arial" w:cs="Arial"/>
          <w:b w:val="0"/>
          <w:bCs w:val="0"/>
          <w:i w:val="0"/>
          <w:iCs w:val="0"/>
          <w:noProof/>
          <w:sz w:val="20"/>
          <w:szCs w:val="20"/>
          <w:lang w:eastAsia="es-EC"/>
        </w:rPr>
      </w:pPr>
      <w:hyperlink w:anchor="_Toc341040615" w:history="1">
        <w:r w:rsidR="0069422D" w:rsidRPr="0069422D">
          <w:rPr>
            <w:rStyle w:val="Hipervnculo"/>
            <w:rFonts w:ascii="Arial" w:hAnsi="Arial" w:cs="Arial"/>
            <w:b w:val="0"/>
            <w:i w:val="0"/>
            <w:noProof/>
            <w:sz w:val="20"/>
            <w:szCs w:val="20"/>
          </w:rPr>
          <w:t>2.12.</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Perfil de los emigrantes de Manabí residentes en otras</w:t>
        </w:r>
        <w:r w:rsidR="0069422D" w:rsidRPr="0069422D">
          <w:t xml:space="preserve"> </w:t>
        </w:r>
        <w:r w:rsidR="0069422D" w:rsidRPr="0069422D">
          <w:rPr>
            <w:rStyle w:val="Hipervnculo"/>
            <w:rFonts w:ascii="Arial" w:hAnsi="Arial" w:cs="Arial"/>
            <w:b w:val="0"/>
            <w:i w:val="0"/>
            <w:noProof/>
            <w:sz w:val="20"/>
            <w:szCs w:val="20"/>
          </w:rPr>
          <w:t>provincias del Ecuador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_Toc341040615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64</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17" w:history="1">
        <w:r w:rsidR="0069422D" w:rsidRPr="0069422D">
          <w:rPr>
            <w:rStyle w:val="Hipervnculo"/>
            <w:rFonts w:ascii="Arial" w:hAnsi="Arial" w:cs="Arial"/>
            <w:b w:val="0"/>
            <w:noProof/>
            <w:sz w:val="20"/>
            <w:szCs w:val="20"/>
          </w:rPr>
          <w:t>2.12.1.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Género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_Toc341040617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64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18" w:history="1">
        <w:r w:rsidR="0069422D" w:rsidRPr="0069422D">
          <w:rPr>
            <w:rStyle w:val="Hipervnculo"/>
            <w:rFonts w:ascii="Arial" w:hAnsi="Arial" w:cs="Arial"/>
            <w:b w:val="0"/>
            <w:noProof/>
            <w:sz w:val="20"/>
            <w:szCs w:val="20"/>
          </w:rPr>
          <w:t>2.12.2.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Edad</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_Toc341040618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65</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19" w:history="1">
        <w:r w:rsidR="0069422D" w:rsidRPr="0069422D">
          <w:rPr>
            <w:rStyle w:val="Hipervnculo"/>
            <w:rFonts w:ascii="Arial" w:hAnsi="Arial" w:cs="Arial"/>
            <w:b w:val="0"/>
            <w:noProof/>
            <w:sz w:val="20"/>
            <w:szCs w:val="20"/>
          </w:rPr>
          <w:t>2.12.3.</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Índice de feminidad por grupo de edad</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_Toc341040619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67</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20" w:history="1">
        <w:r w:rsidR="0069422D" w:rsidRPr="0069422D">
          <w:rPr>
            <w:rStyle w:val="Hipervnculo"/>
            <w:rFonts w:ascii="Arial" w:hAnsi="Arial" w:cs="Arial"/>
            <w:b w:val="0"/>
            <w:noProof/>
            <w:sz w:val="20"/>
            <w:szCs w:val="20"/>
          </w:rPr>
          <w:t>2.12.4.</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Tasa de área de residencia para grupo de edades</w:t>
        </w:r>
        <w:r w:rsidR="0069422D" w:rsidRPr="0069422D">
          <w:t xml:space="preserve"> </w:t>
        </w:r>
        <w:r w:rsidR="0069422D" w:rsidRPr="0069422D">
          <w:rPr>
            <w:rStyle w:val="Hipervnculo"/>
            <w:rFonts w:ascii="Arial" w:hAnsi="Arial" w:cs="Arial"/>
            <w:b w:val="0"/>
            <w:noProof/>
            <w:sz w:val="20"/>
            <w:szCs w:val="20"/>
          </w:rPr>
          <w:t xml:space="preserve">específicas y género por cada 1000 </w:t>
        </w:r>
        <w:r w:rsidR="008F1FF2">
          <w:rPr>
            <w:rStyle w:val="Hipervnculo"/>
            <w:rFonts w:ascii="Arial" w:hAnsi="Arial" w:cs="Arial"/>
            <w:b w:val="0"/>
            <w:noProof/>
            <w:sz w:val="20"/>
            <w:szCs w:val="20"/>
          </w:rPr>
          <w:t>e</w:t>
        </w:r>
        <w:r w:rsidR="0069422D" w:rsidRPr="0069422D">
          <w:rPr>
            <w:rStyle w:val="Hipervnculo"/>
            <w:rFonts w:ascii="Arial" w:hAnsi="Arial" w:cs="Arial"/>
            <w:b w:val="0"/>
            <w:noProof/>
            <w:sz w:val="20"/>
            <w:szCs w:val="20"/>
          </w:rPr>
          <w:t>migrantes de Manabí</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_Toc341040620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68</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22" w:history="1">
        <w:r w:rsidR="0069422D" w:rsidRPr="0069422D">
          <w:rPr>
            <w:rStyle w:val="Hipervnculo"/>
            <w:rFonts w:ascii="Arial" w:hAnsi="Arial" w:cs="Arial"/>
            <w:b w:val="0"/>
            <w:noProof/>
            <w:sz w:val="20"/>
            <w:szCs w:val="20"/>
          </w:rPr>
          <w:t>2.12.5.</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Nivel de Instrucción</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_Toc341040622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70</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23" w:history="1">
        <w:r w:rsidR="0069422D" w:rsidRPr="0069422D">
          <w:rPr>
            <w:rStyle w:val="Hipervnculo"/>
            <w:rFonts w:ascii="Arial" w:hAnsi="Arial" w:cs="Arial"/>
            <w:b w:val="0"/>
            <w:noProof/>
            <w:sz w:val="20"/>
            <w:szCs w:val="20"/>
          </w:rPr>
          <w:t>2.12.6.</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Actividad económica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_Toc341040623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72</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24" w:history="1">
        <w:r w:rsidR="0069422D" w:rsidRPr="0069422D">
          <w:rPr>
            <w:rStyle w:val="Hipervnculo"/>
            <w:rFonts w:ascii="Arial" w:hAnsi="Arial" w:cs="Arial"/>
            <w:b w:val="0"/>
            <w:noProof/>
            <w:sz w:val="20"/>
            <w:szCs w:val="20"/>
          </w:rPr>
          <w:t>2.12.7.</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Tipo de vivienda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_Toc341040624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74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25" w:history="1">
        <w:r w:rsidR="0069422D" w:rsidRPr="0069422D">
          <w:rPr>
            <w:rStyle w:val="Hipervnculo"/>
            <w:rFonts w:ascii="Arial" w:hAnsi="Arial" w:cs="Arial"/>
            <w:b w:val="0"/>
            <w:noProof/>
            <w:sz w:val="20"/>
            <w:szCs w:val="20"/>
          </w:rPr>
          <w:t>2.12.8.</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Agua y energía eléctrica de la vivienda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_Toc341040625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78</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26" w:history="1">
        <w:r w:rsidR="0069422D" w:rsidRPr="0069422D">
          <w:rPr>
            <w:rStyle w:val="Hipervnculo"/>
            <w:rFonts w:ascii="Arial" w:hAnsi="Arial" w:cs="Arial"/>
            <w:b w:val="0"/>
            <w:noProof/>
            <w:sz w:val="20"/>
            <w:szCs w:val="20"/>
          </w:rPr>
          <w:t>2.12.9.</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Teléfono fijo, Computadora y acceso a Internet</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_Toc341040626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80</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880"/>
          <w:tab w:val="right" w:leader="dot" w:pos="8268"/>
        </w:tabs>
        <w:rPr>
          <w:rFonts w:ascii="Arial" w:eastAsiaTheme="minorEastAsia" w:hAnsi="Arial" w:cs="Arial"/>
          <w:b w:val="0"/>
          <w:bCs w:val="0"/>
          <w:i w:val="0"/>
          <w:iCs w:val="0"/>
          <w:noProof/>
          <w:sz w:val="20"/>
          <w:szCs w:val="20"/>
          <w:lang w:eastAsia="es-EC"/>
        </w:rPr>
      </w:pPr>
      <w:hyperlink w:anchor="_Toc341040627" w:history="1">
        <w:r w:rsidR="0069422D" w:rsidRPr="0069422D">
          <w:rPr>
            <w:rStyle w:val="Hipervnculo"/>
            <w:rFonts w:ascii="Arial" w:hAnsi="Arial" w:cs="Arial"/>
            <w:b w:val="0"/>
            <w:i w:val="0"/>
            <w:noProof/>
            <w:sz w:val="20"/>
            <w:szCs w:val="20"/>
          </w:rPr>
          <w:t>2.13.</w:t>
        </w:r>
        <w:r w:rsidR="0069422D">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Perfil de los inmigrantes que residen en Guayaquil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_Toc341040627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83</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28" w:history="1">
        <w:r w:rsidR="0069422D" w:rsidRPr="0069422D">
          <w:rPr>
            <w:rStyle w:val="Hipervnculo"/>
            <w:rFonts w:ascii="Arial" w:hAnsi="Arial" w:cs="Arial"/>
            <w:b w:val="0"/>
            <w:noProof/>
            <w:sz w:val="20"/>
            <w:szCs w:val="20"/>
          </w:rPr>
          <w:t>2.13.1.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Provincia de nacimiento de los inmigrantes residentes en Guayaquil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_Toc341040628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83</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29" w:history="1">
        <w:r w:rsidR="0069422D" w:rsidRPr="0069422D">
          <w:rPr>
            <w:rStyle w:val="Hipervnculo"/>
            <w:rFonts w:ascii="Arial" w:hAnsi="Arial" w:cs="Arial"/>
            <w:b w:val="0"/>
            <w:noProof/>
            <w:sz w:val="20"/>
            <w:szCs w:val="20"/>
          </w:rPr>
          <w:t>2.13.2.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Género y Edad</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_Toc341040629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84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30" w:history="1">
        <w:r w:rsidR="0069422D" w:rsidRPr="0069422D">
          <w:rPr>
            <w:rStyle w:val="Hipervnculo"/>
            <w:rFonts w:ascii="Arial" w:hAnsi="Arial" w:cs="Arial"/>
            <w:b w:val="0"/>
            <w:noProof/>
            <w:sz w:val="20"/>
            <w:szCs w:val="20"/>
          </w:rPr>
          <w:t>2.13.3.</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 xml:space="preserve">Tasa de Analfabetismo para grupo de edades específicas y género por cada 1000 </w:t>
        </w:r>
        <w:r w:rsidR="008F1FF2">
          <w:rPr>
            <w:rStyle w:val="Hipervnculo"/>
            <w:rFonts w:ascii="Arial" w:hAnsi="Arial" w:cs="Arial"/>
            <w:b w:val="0"/>
            <w:noProof/>
            <w:sz w:val="20"/>
            <w:szCs w:val="20"/>
          </w:rPr>
          <w:t>i</w:t>
        </w:r>
        <w:r w:rsidR="0069422D" w:rsidRPr="0069422D">
          <w:rPr>
            <w:rStyle w:val="Hipervnculo"/>
            <w:rFonts w:ascii="Arial" w:hAnsi="Arial" w:cs="Arial"/>
            <w:b w:val="0"/>
            <w:noProof/>
            <w:sz w:val="20"/>
            <w:szCs w:val="20"/>
          </w:rPr>
          <w:t>nmigrantes residentes en Guayaquil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_Toc341040630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87</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31" w:history="1">
        <w:r w:rsidR="0069422D" w:rsidRPr="0069422D">
          <w:rPr>
            <w:rStyle w:val="Hipervnculo"/>
            <w:rFonts w:ascii="Arial" w:hAnsi="Arial" w:cs="Arial"/>
            <w:b w:val="0"/>
            <w:noProof/>
            <w:sz w:val="20"/>
            <w:szCs w:val="20"/>
          </w:rPr>
          <w:t>2.13.4.</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Nivel de Instrucción</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_Toc341040631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89</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32" w:history="1">
        <w:r w:rsidR="0069422D" w:rsidRPr="0069422D">
          <w:rPr>
            <w:rStyle w:val="Hipervnculo"/>
            <w:rFonts w:ascii="Arial" w:hAnsi="Arial" w:cs="Arial"/>
            <w:b w:val="0"/>
            <w:noProof/>
            <w:sz w:val="20"/>
            <w:szCs w:val="20"/>
          </w:rPr>
          <w:t>2.13.5.</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 xml:space="preserve">Tasa de área de residencia para grupo de edades específicas y género por cada 1000 </w:t>
        </w:r>
        <w:r w:rsidR="008F1FF2">
          <w:rPr>
            <w:rStyle w:val="Hipervnculo"/>
            <w:rFonts w:ascii="Arial" w:hAnsi="Arial" w:cs="Arial"/>
            <w:b w:val="0"/>
            <w:noProof/>
            <w:sz w:val="20"/>
            <w:szCs w:val="20"/>
          </w:rPr>
          <w:t>i</w:t>
        </w:r>
        <w:r w:rsidR="0069422D" w:rsidRPr="0069422D">
          <w:rPr>
            <w:rStyle w:val="Hipervnculo"/>
            <w:rFonts w:ascii="Arial" w:hAnsi="Arial" w:cs="Arial"/>
            <w:b w:val="0"/>
            <w:noProof/>
            <w:sz w:val="20"/>
            <w:szCs w:val="20"/>
          </w:rPr>
          <w:t>nmigrantes residentes en Guayaquil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_Toc341040632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92</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33" w:history="1">
        <w:r w:rsidR="0069422D" w:rsidRPr="0069422D">
          <w:rPr>
            <w:rStyle w:val="Hipervnculo"/>
            <w:rFonts w:ascii="Arial" w:hAnsi="Arial" w:cs="Arial"/>
            <w:b w:val="0"/>
            <w:noProof/>
            <w:sz w:val="20"/>
            <w:szCs w:val="20"/>
          </w:rPr>
          <w:t>2.13.6.</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 xml:space="preserve">Tasa de estado conyugal para grupo de edades específicas y género por cada 1000 </w:t>
        </w:r>
        <w:r w:rsidR="008F1FF2">
          <w:rPr>
            <w:rStyle w:val="Hipervnculo"/>
            <w:rFonts w:ascii="Arial" w:hAnsi="Arial" w:cs="Arial"/>
            <w:b w:val="0"/>
            <w:noProof/>
            <w:sz w:val="20"/>
            <w:szCs w:val="20"/>
          </w:rPr>
          <w:t>i</w:t>
        </w:r>
        <w:r w:rsidR="0069422D" w:rsidRPr="0069422D">
          <w:rPr>
            <w:rStyle w:val="Hipervnculo"/>
            <w:rFonts w:ascii="Arial" w:hAnsi="Arial" w:cs="Arial"/>
            <w:b w:val="0"/>
            <w:noProof/>
            <w:sz w:val="20"/>
            <w:szCs w:val="20"/>
          </w:rPr>
          <w:t>nmigrantes residentes en Guayaquil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_Toc341040633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94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34" w:history="1">
        <w:r w:rsidR="0069422D" w:rsidRPr="0069422D">
          <w:rPr>
            <w:rStyle w:val="Hipervnculo"/>
            <w:rFonts w:ascii="Arial" w:hAnsi="Arial" w:cs="Arial"/>
            <w:b w:val="0"/>
            <w:noProof/>
            <w:sz w:val="20"/>
            <w:szCs w:val="20"/>
          </w:rPr>
          <w:t>2.13.7.</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 xml:space="preserve">Tasa de estado ocupacional para edades específicas y género por cada 1000 </w:t>
        </w:r>
        <w:r w:rsidR="008F1FF2">
          <w:rPr>
            <w:rStyle w:val="Hipervnculo"/>
            <w:rFonts w:ascii="Arial" w:hAnsi="Arial" w:cs="Arial"/>
            <w:b w:val="0"/>
            <w:noProof/>
            <w:sz w:val="20"/>
            <w:szCs w:val="20"/>
          </w:rPr>
          <w:t>i</w:t>
        </w:r>
        <w:r w:rsidR="0069422D" w:rsidRPr="0069422D">
          <w:rPr>
            <w:rStyle w:val="Hipervnculo"/>
            <w:rFonts w:ascii="Arial" w:hAnsi="Arial" w:cs="Arial"/>
            <w:b w:val="0"/>
            <w:noProof/>
            <w:sz w:val="20"/>
            <w:szCs w:val="20"/>
          </w:rPr>
          <w:t>nmigrantes residentes en Guayaquil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_Toc341040634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96</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35" w:history="1">
        <w:r w:rsidR="0069422D" w:rsidRPr="0069422D">
          <w:rPr>
            <w:rStyle w:val="Hipervnculo"/>
            <w:rFonts w:ascii="Arial" w:hAnsi="Arial" w:cs="Arial"/>
            <w:b w:val="0"/>
            <w:noProof/>
            <w:sz w:val="20"/>
            <w:szCs w:val="20"/>
          </w:rPr>
          <w:t>2.13.8.</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Tasa de participación económica de los inmigrantes residentes en Guayaquil.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_Toc341040635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98</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36" w:history="1">
        <w:r w:rsidR="0069422D" w:rsidRPr="0069422D">
          <w:rPr>
            <w:rStyle w:val="Hipervnculo"/>
            <w:rFonts w:ascii="Arial" w:hAnsi="Arial" w:cs="Arial"/>
            <w:b w:val="0"/>
            <w:noProof/>
            <w:sz w:val="20"/>
            <w:szCs w:val="20"/>
          </w:rPr>
          <w:t>2.13.9.</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Actividad económica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_Toc341040636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100</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320"/>
          <w:tab w:val="right" w:leader="dot" w:pos="8268"/>
        </w:tabs>
        <w:rPr>
          <w:rFonts w:ascii="Arial" w:eastAsiaTheme="minorEastAsia" w:hAnsi="Arial" w:cs="Arial"/>
          <w:b w:val="0"/>
          <w:bCs w:val="0"/>
          <w:noProof/>
          <w:sz w:val="20"/>
          <w:szCs w:val="20"/>
          <w:lang w:eastAsia="es-EC"/>
        </w:rPr>
      </w:pPr>
      <w:hyperlink w:anchor="_Toc341040637" w:history="1">
        <w:r w:rsidR="0069422D" w:rsidRPr="0069422D">
          <w:rPr>
            <w:rStyle w:val="Hipervnculo"/>
            <w:rFonts w:ascii="Arial" w:hAnsi="Arial" w:cs="Arial"/>
            <w:b w:val="0"/>
            <w:noProof/>
            <w:sz w:val="20"/>
            <w:szCs w:val="20"/>
          </w:rPr>
          <w:t>2.13.10.</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Número de personas por dormitorio para los Inmigrantes que residen en Guayaquil</w:t>
        </w:r>
        <w:r w:rsidR="0069422D" w:rsidRPr="0069422D">
          <w:rPr>
            <w:rFonts w:ascii="Arial" w:hAnsi="Arial" w:cs="Arial"/>
            <w:b w:val="0"/>
            <w:noProof/>
            <w:webHidden/>
            <w:sz w:val="20"/>
            <w:szCs w:val="20"/>
          </w:rPr>
          <w:tab/>
        </w:r>
        <w:r w:rsidR="00F66F9F">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_Toc341040637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103</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638" w:history="1">
        <w:r w:rsidR="0069422D" w:rsidRPr="0069422D">
          <w:rPr>
            <w:rStyle w:val="Hipervnculo"/>
            <w:rFonts w:ascii="Arial" w:hAnsi="Arial" w:cs="Arial"/>
            <w:i w:val="0"/>
            <w:noProof/>
            <w:sz w:val="20"/>
            <w:szCs w:val="20"/>
          </w:rPr>
          <w:t>3. INMIGRACIÓN INTERNACIONAL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_Toc341040638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106</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39" w:history="1">
        <w:r w:rsidR="0069422D" w:rsidRPr="0069422D">
          <w:rPr>
            <w:rStyle w:val="Hipervnculo"/>
            <w:rFonts w:ascii="Arial" w:hAnsi="Arial" w:cs="Arial"/>
            <w:b w:val="0"/>
            <w:i w:val="0"/>
            <w:noProof/>
            <w:sz w:val="20"/>
            <w:szCs w:val="20"/>
          </w:rPr>
          <w:t>3.1.</w:t>
        </w:r>
        <w:r w:rsidR="0069422D">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Introducción</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_Toc341040639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106</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40" w:history="1">
        <w:r w:rsidR="0069422D" w:rsidRPr="0069422D">
          <w:rPr>
            <w:rStyle w:val="Hipervnculo"/>
            <w:rFonts w:ascii="Arial" w:hAnsi="Arial" w:cs="Arial"/>
            <w:b w:val="0"/>
            <w:i w:val="0"/>
            <w:noProof/>
            <w:sz w:val="20"/>
            <w:szCs w:val="20"/>
          </w:rPr>
          <w:t>3.2.</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Tasa de Inmigración extranjera por lugar de residencia</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_Toc341040640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107</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41" w:history="1">
        <w:r w:rsidR="0069422D" w:rsidRPr="0069422D">
          <w:rPr>
            <w:rStyle w:val="Hipervnculo"/>
            <w:rFonts w:ascii="Arial" w:hAnsi="Arial" w:cs="Arial"/>
            <w:b w:val="0"/>
            <w:noProof/>
            <w:sz w:val="20"/>
            <w:szCs w:val="20"/>
          </w:rPr>
          <w:t>3.2.1.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 xml:space="preserve">Tasa de Inmigración extranjera a nivel </w:t>
        </w:r>
        <w:r w:rsidR="008F1FF2">
          <w:rPr>
            <w:rStyle w:val="Hipervnculo"/>
            <w:rFonts w:ascii="Arial" w:hAnsi="Arial" w:cs="Arial"/>
            <w:b w:val="0"/>
            <w:noProof/>
            <w:sz w:val="20"/>
            <w:szCs w:val="20"/>
          </w:rPr>
          <w:t>r</w:t>
        </w:r>
        <w:r w:rsidR="0069422D" w:rsidRPr="0069422D">
          <w:rPr>
            <w:rStyle w:val="Hipervnculo"/>
            <w:rFonts w:ascii="Arial" w:hAnsi="Arial" w:cs="Arial"/>
            <w:b w:val="0"/>
            <w:noProof/>
            <w:sz w:val="20"/>
            <w:szCs w:val="20"/>
          </w:rPr>
          <w:t>egional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_Toc341040641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107</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42" w:history="1">
        <w:r w:rsidR="0069422D" w:rsidRPr="0069422D">
          <w:rPr>
            <w:rStyle w:val="Hipervnculo"/>
            <w:rFonts w:ascii="Arial" w:hAnsi="Arial" w:cs="Arial"/>
            <w:b w:val="0"/>
            <w:noProof/>
            <w:sz w:val="20"/>
            <w:szCs w:val="20"/>
          </w:rPr>
          <w:t>3.2.2.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Proporción de inmigrantes por provincia de</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residencia</w:t>
        </w:r>
        <w:r w:rsidR="0069422D">
          <w:rPr>
            <w:rStyle w:val="Hipervnculo"/>
            <w:rFonts w:ascii="Arial" w:hAnsi="Arial" w:cs="Arial"/>
            <w:b w:val="0"/>
            <w:noProof/>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_Toc341040642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107</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43" w:history="1">
        <w:r w:rsidR="0069422D" w:rsidRPr="0069422D">
          <w:rPr>
            <w:rStyle w:val="Hipervnculo"/>
            <w:rFonts w:ascii="Arial" w:hAnsi="Arial" w:cs="Arial"/>
            <w:b w:val="0"/>
            <w:noProof/>
            <w:sz w:val="20"/>
            <w:szCs w:val="20"/>
          </w:rPr>
          <w:t>3.2.3.</w:t>
        </w:r>
        <w:r w:rsidR="0069422D">
          <w:rPr>
            <w:rFonts w:ascii="Arial" w:eastAsiaTheme="minorEastAsia" w:hAnsi="Arial" w:cs="Arial"/>
            <w:b w:val="0"/>
            <w:bCs w:val="0"/>
            <w:noProof/>
            <w:sz w:val="20"/>
            <w:szCs w:val="20"/>
            <w:lang w:eastAsia="es-EC"/>
          </w:rPr>
          <w:t xml:space="preserve"> </w:t>
        </w:r>
        <w:r w:rsidR="0069422D" w:rsidRPr="0069422D">
          <w:rPr>
            <w:rStyle w:val="Hipervnculo"/>
            <w:rFonts w:ascii="Arial" w:hAnsi="Arial" w:cs="Arial"/>
            <w:b w:val="0"/>
            <w:noProof/>
            <w:sz w:val="20"/>
            <w:szCs w:val="20"/>
          </w:rPr>
          <w:t>Tasa de inmigración extranjera a nivel nacional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_Toc341040643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109</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44" w:history="1">
        <w:r w:rsidR="0069422D" w:rsidRPr="0069422D">
          <w:rPr>
            <w:rStyle w:val="Hipervnculo"/>
            <w:rFonts w:ascii="Arial" w:hAnsi="Arial" w:cs="Arial"/>
            <w:b w:val="0"/>
            <w:noProof/>
            <w:sz w:val="20"/>
            <w:szCs w:val="20"/>
          </w:rPr>
          <w:t>3.2.4.</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Tasa de Inmigración extranjera a nivel provincial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_Toc341040644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110</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45" w:history="1">
        <w:r w:rsidR="0069422D" w:rsidRPr="0069422D">
          <w:rPr>
            <w:rStyle w:val="Hipervnculo"/>
            <w:rFonts w:ascii="Arial" w:hAnsi="Arial" w:cs="Arial"/>
            <w:b w:val="0"/>
            <w:i w:val="0"/>
            <w:noProof/>
            <w:sz w:val="20"/>
            <w:szCs w:val="20"/>
          </w:rPr>
          <w:t>3.3.</w:t>
        </w:r>
        <w:r w:rsidR="0069422D">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Continente y país de nacimiento de los inmigrantes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_Toc341040645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113</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46" w:history="1">
        <w:r w:rsidR="0069422D" w:rsidRPr="0069422D">
          <w:rPr>
            <w:rStyle w:val="Hipervnculo"/>
            <w:rFonts w:ascii="Arial" w:hAnsi="Arial" w:cs="Arial"/>
            <w:b w:val="0"/>
            <w:i w:val="0"/>
            <w:noProof/>
            <w:sz w:val="20"/>
            <w:szCs w:val="20"/>
          </w:rPr>
          <w:t>3.4.</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Año de llegada al Ecuador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_Toc341040646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116</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47" w:history="1">
        <w:r w:rsidR="0069422D" w:rsidRPr="0069422D">
          <w:rPr>
            <w:rStyle w:val="Hipervnculo"/>
            <w:rFonts w:ascii="Arial" w:hAnsi="Arial" w:cs="Arial"/>
            <w:b w:val="0"/>
            <w:i w:val="0"/>
            <w:noProof/>
            <w:sz w:val="20"/>
            <w:szCs w:val="20"/>
          </w:rPr>
          <w:t>3.5.</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Área de residencia</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_Toc341040647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118</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48" w:history="1">
        <w:r w:rsidR="0069422D" w:rsidRPr="0069422D">
          <w:rPr>
            <w:rStyle w:val="Hipervnculo"/>
            <w:rFonts w:ascii="Arial" w:hAnsi="Arial" w:cs="Arial"/>
            <w:b w:val="0"/>
            <w:i w:val="0"/>
            <w:noProof/>
            <w:sz w:val="20"/>
            <w:szCs w:val="20"/>
          </w:rPr>
          <w:t>3.6.</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Género del inmigrante extranjero</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_Toc341040648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120</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49" w:history="1">
        <w:r w:rsidR="0069422D" w:rsidRPr="0069422D">
          <w:rPr>
            <w:rStyle w:val="Hipervnculo"/>
            <w:rFonts w:ascii="Arial" w:hAnsi="Arial" w:cs="Arial"/>
            <w:b w:val="0"/>
            <w:i w:val="0"/>
            <w:noProof/>
            <w:sz w:val="20"/>
            <w:szCs w:val="20"/>
          </w:rPr>
          <w:t>3.7.</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Edad del Inmigrante</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_Toc341040649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124</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50" w:history="1">
        <w:r w:rsidR="0069422D" w:rsidRPr="0069422D">
          <w:rPr>
            <w:rStyle w:val="Hipervnculo"/>
            <w:rFonts w:ascii="Arial" w:hAnsi="Arial" w:cs="Arial"/>
            <w:b w:val="0"/>
            <w:i w:val="0"/>
            <w:noProof/>
            <w:sz w:val="20"/>
            <w:szCs w:val="20"/>
          </w:rPr>
          <w:t>3.8.</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Nivel de Instrucción</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_Toc341040650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129</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51" w:history="1">
        <w:r w:rsidR="0069422D" w:rsidRPr="0069422D">
          <w:rPr>
            <w:rStyle w:val="Hipervnculo"/>
            <w:rFonts w:ascii="Arial" w:hAnsi="Arial" w:cs="Arial"/>
            <w:b w:val="0"/>
            <w:i w:val="0"/>
            <w:noProof/>
            <w:sz w:val="20"/>
            <w:szCs w:val="20"/>
          </w:rPr>
          <w:t>3.9.</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Autoidentificación étnica</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_Toc341040651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135</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880"/>
          <w:tab w:val="right" w:leader="dot" w:pos="8268"/>
        </w:tabs>
        <w:rPr>
          <w:rFonts w:ascii="Arial" w:eastAsiaTheme="minorEastAsia" w:hAnsi="Arial" w:cs="Arial"/>
          <w:b w:val="0"/>
          <w:bCs w:val="0"/>
          <w:i w:val="0"/>
          <w:iCs w:val="0"/>
          <w:noProof/>
          <w:sz w:val="20"/>
          <w:szCs w:val="20"/>
          <w:lang w:eastAsia="es-EC"/>
        </w:rPr>
      </w:pPr>
      <w:hyperlink w:anchor="_Toc341040652" w:history="1">
        <w:r w:rsidR="0069422D" w:rsidRPr="0069422D">
          <w:rPr>
            <w:rStyle w:val="Hipervnculo"/>
            <w:rFonts w:ascii="Arial" w:hAnsi="Arial" w:cs="Arial"/>
            <w:b w:val="0"/>
            <w:i w:val="0"/>
            <w:noProof/>
            <w:sz w:val="20"/>
            <w:szCs w:val="20"/>
          </w:rPr>
          <w:t>3.10.</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Analfabetismo Digital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_Toc341040652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138</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53" w:history="1">
        <w:r w:rsidR="0069422D" w:rsidRPr="0069422D">
          <w:rPr>
            <w:rStyle w:val="Hipervnculo"/>
            <w:rFonts w:ascii="Arial" w:hAnsi="Arial" w:cs="Arial"/>
            <w:b w:val="0"/>
            <w:noProof/>
            <w:sz w:val="20"/>
            <w:szCs w:val="20"/>
          </w:rPr>
          <w:t>3.10.1.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Ha utilizado Teléfono Celular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_Toc341040653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139</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54" w:history="1">
        <w:r w:rsidR="0069422D" w:rsidRPr="0069422D">
          <w:rPr>
            <w:rStyle w:val="Hipervnculo"/>
            <w:rFonts w:ascii="Arial" w:hAnsi="Arial" w:cs="Arial"/>
            <w:b w:val="0"/>
            <w:noProof/>
            <w:sz w:val="20"/>
            <w:szCs w:val="20"/>
          </w:rPr>
          <w:t>3.10.2.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Ha utilizado Internet</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_Toc341040654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141</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55" w:history="1">
        <w:r w:rsidR="0069422D" w:rsidRPr="0069422D">
          <w:rPr>
            <w:rStyle w:val="Hipervnculo"/>
            <w:rFonts w:ascii="Arial" w:hAnsi="Arial" w:cs="Arial"/>
            <w:b w:val="0"/>
            <w:noProof/>
            <w:sz w:val="20"/>
            <w:szCs w:val="20"/>
          </w:rPr>
          <w:t>3.10.3.</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Ha utilizado Computadora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_Toc341040655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143</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880"/>
          <w:tab w:val="right" w:leader="dot" w:pos="8268"/>
        </w:tabs>
        <w:rPr>
          <w:rFonts w:ascii="Arial" w:eastAsiaTheme="minorEastAsia" w:hAnsi="Arial" w:cs="Arial"/>
          <w:b w:val="0"/>
          <w:bCs w:val="0"/>
          <w:i w:val="0"/>
          <w:iCs w:val="0"/>
          <w:noProof/>
          <w:sz w:val="20"/>
          <w:szCs w:val="20"/>
          <w:lang w:eastAsia="es-EC"/>
        </w:rPr>
      </w:pPr>
      <w:hyperlink w:anchor="_Toc341040656" w:history="1">
        <w:r w:rsidR="0069422D" w:rsidRPr="0069422D">
          <w:rPr>
            <w:rStyle w:val="Hipervnculo"/>
            <w:rFonts w:ascii="Arial" w:hAnsi="Arial" w:cs="Arial"/>
            <w:b w:val="0"/>
            <w:i w:val="0"/>
            <w:noProof/>
            <w:sz w:val="20"/>
            <w:szCs w:val="20"/>
          </w:rPr>
          <w:t>3.11.</w:t>
        </w:r>
        <w:r w:rsidR="0069422D">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Población extranjeros económicamente activa e inactiva</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_Toc341040656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145</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880"/>
          <w:tab w:val="right" w:leader="dot" w:pos="8268"/>
        </w:tabs>
        <w:rPr>
          <w:rFonts w:ascii="Arial" w:eastAsiaTheme="minorEastAsia" w:hAnsi="Arial" w:cs="Arial"/>
          <w:b w:val="0"/>
          <w:bCs w:val="0"/>
          <w:i w:val="0"/>
          <w:iCs w:val="0"/>
          <w:noProof/>
          <w:sz w:val="20"/>
          <w:szCs w:val="20"/>
          <w:lang w:eastAsia="es-EC"/>
        </w:rPr>
      </w:pPr>
      <w:hyperlink w:anchor="_Toc341040657" w:history="1">
        <w:r w:rsidR="0069422D" w:rsidRPr="0069422D">
          <w:rPr>
            <w:rStyle w:val="Hipervnculo"/>
            <w:rFonts w:ascii="Arial" w:hAnsi="Arial" w:cs="Arial"/>
            <w:b w:val="0"/>
            <w:i w:val="0"/>
            <w:noProof/>
            <w:sz w:val="20"/>
            <w:szCs w:val="20"/>
          </w:rPr>
          <w:t>3.12.</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Trabajo que desempeñan los extranjeros residentes en Ecuador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_Toc341040657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148</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880"/>
          <w:tab w:val="right" w:leader="dot" w:pos="8268"/>
        </w:tabs>
        <w:rPr>
          <w:rFonts w:ascii="Arial" w:eastAsiaTheme="minorEastAsia" w:hAnsi="Arial" w:cs="Arial"/>
          <w:b w:val="0"/>
          <w:bCs w:val="0"/>
          <w:i w:val="0"/>
          <w:iCs w:val="0"/>
          <w:noProof/>
          <w:sz w:val="20"/>
          <w:szCs w:val="20"/>
          <w:lang w:eastAsia="es-EC"/>
        </w:rPr>
      </w:pPr>
      <w:hyperlink w:anchor="_Toc341040658" w:history="1">
        <w:r w:rsidR="0069422D" w:rsidRPr="0069422D">
          <w:rPr>
            <w:rStyle w:val="Hipervnculo"/>
            <w:rFonts w:ascii="Arial" w:hAnsi="Arial" w:cs="Arial"/>
            <w:b w:val="0"/>
            <w:i w:val="0"/>
            <w:noProof/>
            <w:sz w:val="20"/>
            <w:szCs w:val="20"/>
          </w:rPr>
          <w:t>3.13.</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Ocupación de los extranjeros residentes en Ecuador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_Toc341040658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153</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880"/>
          <w:tab w:val="right" w:leader="dot" w:pos="8268"/>
        </w:tabs>
        <w:rPr>
          <w:rFonts w:ascii="Arial" w:eastAsiaTheme="minorEastAsia" w:hAnsi="Arial" w:cs="Arial"/>
          <w:b w:val="0"/>
          <w:bCs w:val="0"/>
          <w:i w:val="0"/>
          <w:iCs w:val="0"/>
          <w:noProof/>
          <w:sz w:val="20"/>
          <w:szCs w:val="20"/>
          <w:lang w:eastAsia="es-EC"/>
        </w:rPr>
      </w:pPr>
      <w:hyperlink w:anchor="_Toc341040659" w:history="1">
        <w:r w:rsidR="0069422D" w:rsidRPr="0069422D">
          <w:rPr>
            <w:rStyle w:val="Hipervnculo"/>
            <w:rFonts w:ascii="Arial" w:hAnsi="Arial" w:cs="Arial"/>
            <w:b w:val="0"/>
            <w:i w:val="0"/>
            <w:noProof/>
            <w:sz w:val="20"/>
            <w:szCs w:val="20"/>
          </w:rPr>
          <w:t>3.14.</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Tipo de vivienda</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_Toc341040659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157</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880"/>
          <w:tab w:val="right" w:leader="dot" w:pos="8268"/>
        </w:tabs>
        <w:rPr>
          <w:rFonts w:ascii="Arial" w:eastAsiaTheme="minorEastAsia" w:hAnsi="Arial" w:cs="Arial"/>
          <w:b w:val="0"/>
          <w:bCs w:val="0"/>
          <w:i w:val="0"/>
          <w:iCs w:val="0"/>
          <w:noProof/>
          <w:sz w:val="20"/>
          <w:szCs w:val="20"/>
          <w:lang w:eastAsia="es-EC"/>
        </w:rPr>
      </w:pPr>
      <w:hyperlink w:anchor="_Toc341040660" w:history="1">
        <w:r w:rsidR="0069422D" w:rsidRPr="0069422D">
          <w:rPr>
            <w:rStyle w:val="Hipervnculo"/>
            <w:rFonts w:ascii="Arial" w:hAnsi="Arial" w:cs="Arial"/>
            <w:b w:val="0"/>
            <w:i w:val="0"/>
            <w:noProof/>
            <w:sz w:val="20"/>
            <w:szCs w:val="20"/>
          </w:rPr>
          <w:t>3.15.</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Número de personas por dormitorio</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_Toc341040660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160</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661" w:history="1">
        <w:r w:rsidR="0069422D" w:rsidRPr="0069422D">
          <w:rPr>
            <w:rStyle w:val="Hipervnculo"/>
            <w:rFonts w:ascii="Arial" w:hAnsi="Arial" w:cs="Arial"/>
            <w:i w:val="0"/>
            <w:noProof/>
            <w:sz w:val="20"/>
            <w:szCs w:val="20"/>
          </w:rPr>
          <w:t>4. INMIGRACIÓN REFERIDA A SUBPOBLACIONES DE LA POBLACIÓN NACIONAL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_Toc341040661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163</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62" w:history="1">
        <w:r w:rsidR="0069422D" w:rsidRPr="0069422D">
          <w:rPr>
            <w:rStyle w:val="Hipervnculo"/>
            <w:rFonts w:ascii="Arial" w:hAnsi="Arial" w:cs="Arial"/>
            <w:b w:val="0"/>
            <w:i w:val="0"/>
            <w:noProof/>
            <w:sz w:val="20"/>
            <w:szCs w:val="20"/>
          </w:rPr>
          <w:t>4.1.</w:t>
        </w:r>
        <w:r w:rsidR="0069422D">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Introducción</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_Toc341040662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163</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63" w:history="1">
        <w:r w:rsidR="0069422D" w:rsidRPr="0069422D">
          <w:rPr>
            <w:rStyle w:val="Hipervnculo"/>
            <w:rFonts w:ascii="Arial" w:hAnsi="Arial" w:cs="Arial"/>
            <w:b w:val="0"/>
            <w:i w:val="0"/>
            <w:noProof/>
            <w:sz w:val="20"/>
            <w:szCs w:val="20"/>
          </w:rPr>
          <w:t>4.2.</w:t>
        </w:r>
        <w:r w:rsidR="0069422D">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Colombianos residentes en el Ecuador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_Toc341040663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164</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64" w:history="1">
        <w:r w:rsidR="0069422D" w:rsidRPr="0069422D">
          <w:rPr>
            <w:rStyle w:val="Hipervnculo"/>
            <w:rFonts w:ascii="Arial" w:hAnsi="Arial" w:cs="Arial"/>
            <w:b w:val="0"/>
            <w:noProof/>
            <w:sz w:val="20"/>
            <w:szCs w:val="20"/>
          </w:rPr>
          <w:t>4.2.1.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Colombianos por provincia de residencia habitual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_Toc341040664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164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65" w:history="1">
        <w:r w:rsidR="0069422D" w:rsidRPr="0069422D">
          <w:rPr>
            <w:rStyle w:val="Hipervnculo"/>
            <w:rFonts w:ascii="Arial" w:hAnsi="Arial" w:cs="Arial"/>
            <w:b w:val="0"/>
            <w:noProof/>
            <w:sz w:val="20"/>
            <w:szCs w:val="20"/>
          </w:rPr>
          <w:t>4.2.2.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Tasa de inmigración colombiana por cada 1000 habitantes por Provincia de residencia habitual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_Toc341040665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165</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66" w:history="1">
        <w:r w:rsidR="0069422D" w:rsidRPr="0069422D">
          <w:rPr>
            <w:rStyle w:val="Hipervnculo"/>
            <w:rFonts w:ascii="Arial" w:hAnsi="Arial" w:cs="Arial"/>
            <w:b w:val="0"/>
            <w:noProof/>
            <w:sz w:val="20"/>
            <w:szCs w:val="20"/>
          </w:rPr>
          <w:t>4.2.3.</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Área de residencia de los colombianos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_Toc341040666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168</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67" w:history="1">
        <w:r w:rsidR="0069422D" w:rsidRPr="0069422D">
          <w:rPr>
            <w:rStyle w:val="Hipervnculo"/>
            <w:rFonts w:ascii="Arial" w:hAnsi="Arial" w:cs="Arial"/>
            <w:b w:val="0"/>
            <w:noProof/>
            <w:sz w:val="20"/>
            <w:szCs w:val="20"/>
          </w:rPr>
          <w:t>4.2.4.</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Años de residencia en Ecuador de los colombianos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_Toc341040667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172</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68" w:history="1">
        <w:r w:rsidR="0069422D" w:rsidRPr="0069422D">
          <w:rPr>
            <w:rStyle w:val="Hipervnculo"/>
            <w:rFonts w:ascii="Arial" w:hAnsi="Arial" w:cs="Arial"/>
            <w:b w:val="0"/>
            <w:noProof/>
            <w:sz w:val="20"/>
            <w:szCs w:val="20"/>
          </w:rPr>
          <w:t>4.2.5.</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Género de los colombianos que residen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_Toc341040668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173</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69" w:history="1">
        <w:r w:rsidR="0069422D" w:rsidRPr="0069422D">
          <w:rPr>
            <w:rStyle w:val="Hipervnculo"/>
            <w:rFonts w:ascii="Arial" w:hAnsi="Arial" w:cs="Arial"/>
            <w:b w:val="0"/>
            <w:noProof/>
            <w:sz w:val="20"/>
            <w:szCs w:val="20"/>
          </w:rPr>
          <w:t>4.2.6.</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Edad de los colombianos que residen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_Toc341040669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175</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70" w:history="1">
        <w:r w:rsidR="0069422D" w:rsidRPr="0069422D">
          <w:rPr>
            <w:rStyle w:val="Hipervnculo"/>
            <w:rFonts w:ascii="Arial" w:hAnsi="Arial" w:cs="Arial"/>
            <w:b w:val="0"/>
            <w:noProof/>
            <w:sz w:val="20"/>
            <w:szCs w:val="20"/>
          </w:rPr>
          <w:t>4.2.7.</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Nivel de Instrucción de los colombianos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_Toc341040670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178</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71" w:history="1">
        <w:r w:rsidR="0069422D" w:rsidRPr="0069422D">
          <w:rPr>
            <w:rStyle w:val="Hipervnculo"/>
            <w:rFonts w:ascii="Arial" w:hAnsi="Arial" w:cs="Arial"/>
            <w:b w:val="0"/>
            <w:noProof/>
            <w:sz w:val="20"/>
            <w:szCs w:val="20"/>
          </w:rPr>
          <w:t>4.2.8.</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 xml:space="preserve">Estado </w:t>
        </w:r>
        <w:r w:rsidR="008F1FF2">
          <w:rPr>
            <w:rStyle w:val="Hipervnculo"/>
            <w:rFonts w:ascii="Arial" w:hAnsi="Arial" w:cs="Arial"/>
            <w:b w:val="0"/>
            <w:noProof/>
            <w:sz w:val="20"/>
            <w:szCs w:val="20"/>
          </w:rPr>
          <w:t>C</w:t>
        </w:r>
        <w:r w:rsidR="0069422D" w:rsidRPr="0069422D">
          <w:rPr>
            <w:rStyle w:val="Hipervnculo"/>
            <w:rFonts w:ascii="Arial" w:hAnsi="Arial" w:cs="Arial"/>
            <w:b w:val="0"/>
            <w:noProof/>
            <w:sz w:val="20"/>
            <w:szCs w:val="20"/>
          </w:rPr>
          <w:t>ivil de los colombianos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_Toc341040671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184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72" w:history="1">
        <w:r w:rsidR="0069422D" w:rsidRPr="0069422D">
          <w:rPr>
            <w:rStyle w:val="Hipervnculo"/>
            <w:rFonts w:ascii="Arial" w:hAnsi="Arial" w:cs="Arial"/>
            <w:b w:val="0"/>
            <w:noProof/>
            <w:sz w:val="20"/>
            <w:szCs w:val="20"/>
          </w:rPr>
          <w:t>4.2.9.</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Analfabetismo Digital de la población colombiana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_Toc341040672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186</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73" w:history="1">
        <w:r w:rsidR="0069422D" w:rsidRPr="0069422D">
          <w:rPr>
            <w:rStyle w:val="Hipervnculo"/>
            <w:rFonts w:ascii="Arial" w:hAnsi="Arial" w:cs="Arial"/>
            <w:b w:val="0"/>
            <w:noProof/>
            <w:sz w:val="20"/>
            <w:szCs w:val="20"/>
          </w:rPr>
          <w:t>4.2.10.</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Población colombiana económicamente activa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_Toc341040673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187</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74" w:history="1">
        <w:r w:rsidR="0069422D" w:rsidRPr="0069422D">
          <w:rPr>
            <w:rStyle w:val="Hipervnculo"/>
            <w:rFonts w:ascii="Arial" w:hAnsi="Arial" w:cs="Arial"/>
            <w:b w:val="0"/>
            <w:noProof/>
            <w:sz w:val="20"/>
            <w:szCs w:val="20"/>
          </w:rPr>
          <w:t>4.2.11.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Trabajo desempeñado por los colombianos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_Toc341040674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189</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75" w:history="1">
        <w:r w:rsidR="0069422D" w:rsidRPr="0069422D">
          <w:rPr>
            <w:rStyle w:val="Hipervnculo"/>
            <w:rFonts w:ascii="Arial" w:hAnsi="Arial" w:cs="Arial"/>
            <w:b w:val="0"/>
            <w:noProof/>
            <w:sz w:val="20"/>
            <w:szCs w:val="20"/>
          </w:rPr>
          <w:t>4.2.12.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Ocupación de los colombianos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_Toc341040675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193</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76" w:history="1">
        <w:r w:rsidR="0069422D" w:rsidRPr="0069422D">
          <w:rPr>
            <w:rStyle w:val="Hipervnculo"/>
            <w:rFonts w:ascii="Arial" w:hAnsi="Arial" w:cs="Arial"/>
            <w:b w:val="0"/>
            <w:noProof/>
            <w:sz w:val="20"/>
            <w:szCs w:val="20"/>
          </w:rPr>
          <w:t>4.2.13.</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Tipo de Vivienda en las que reside algún colombiano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_Toc341040676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197</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77" w:history="1">
        <w:r w:rsidR="0069422D" w:rsidRPr="0069422D">
          <w:rPr>
            <w:rStyle w:val="Hipervnculo"/>
            <w:rFonts w:ascii="Arial" w:hAnsi="Arial" w:cs="Arial"/>
            <w:b w:val="0"/>
            <w:noProof/>
            <w:sz w:val="20"/>
            <w:szCs w:val="20"/>
          </w:rPr>
          <w:t>4.2.14.</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Número de personas por dormitorio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_Toc341040677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199</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78" w:history="1">
        <w:r w:rsidR="0069422D" w:rsidRPr="0069422D">
          <w:rPr>
            <w:rStyle w:val="Hipervnculo"/>
            <w:rFonts w:ascii="Arial" w:hAnsi="Arial" w:cs="Arial"/>
            <w:b w:val="0"/>
            <w:i w:val="0"/>
            <w:noProof/>
            <w:sz w:val="20"/>
            <w:szCs w:val="20"/>
          </w:rPr>
          <w:t>4.3.</w:t>
        </w:r>
        <w:r w:rsidR="0069422D">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Peruanos residentes en Ecuador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_Toc341040678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200</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79" w:history="1">
        <w:r w:rsidR="0069422D" w:rsidRPr="0069422D">
          <w:rPr>
            <w:rStyle w:val="Hipervnculo"/>
            <w:rFonts w:ascii="Arial" w:hAnsi="Arial" w:cs="Arial"/>
            <w:b w:val="0"/>
            <w:noProof/>
            <w:sz w:val="20"/>
            <w:szCs w:val="20"/>
          </w:rPr>
          <w:t>4.3.1.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Peruanos por provincia de residencia habitual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_Toc341040679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200</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80" w:history="1">
        <w:r w:rsidR="0069422D" w:rsidRPr="0069422D">
          <w:rPr>
            <w:rStyle w:val="Hipervnculo"/>
            <w:rFonts w:ascii="Arial" w:hAnsi="Arial" w:cs="Arial"/>
            <w:b w:val="0"/>
            <w:noProof/>
            <w:sz w:val="20"/>
            <w:szCs w:val="20"/>
          </w:rPr>
          <w:t>4.3.2.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Tasa de inmigración peruana por cada 1000 habitantes por Provincia de residencia habitual</w:t>
        </w:r>
        <w:r w:rsidR="0069422D">
          <w:rPr>
            <w:rStyle w:val="Hipervnculo"/>
            <w:rFonts w:ascii="Arial" w:hAnsi="Arial" w:cs="Arial"/>
            <w:b w:val="0"/>
            <w:noProof/>
            <w:sz w:val="20"/>
            <w:szCs w:val="20"/>
          </w:rPr>
          <w:tab/>
        </w:r>
        <w:r w:rsidR="0069422D">
          <w:rPr>
            <w:rStyle w:val="Hipervnculo"/>
            <w:rFonts w:ascii="Arial" w:hAnsi="Arial" w:cs="Arial"/>
            <w:b w:val="0"/>
            <w:noProof/>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_Toc341040680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201</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81" w:history="1">
        <w:r w:rsidR="0069422D" w:rsidRPr="0069422D">
          <w:rPr>
            <w:rStyle w:val="Hipervnculo"/>
            <w:rFonts w:ascii="Arial" w:hAnsi="Arial" w:cs="Arial"/>
            <w:b w:val="0"/>
            <w:noProof/>
            <w:sz w:val="20"/>
            <w:szCs w:val="20"/>
          </w:rPr>
          <w:t>4.3.3.</w:t>
        </w:r>
        <w:r w:rsidR="0069422D">
          <w:rPr>
            <w:rFonts w:ascii="Arial" w:eastAsiaTheme="minorEastAsia" w:hAnsi="Arial" w:cs="Arial"/>
            <w:b w:val="0"/>
            <w:bCs w:val="0"/>
            <w:noProof/>
            <w:sz w:val="20"/>
            <w:szCs w:val="20"/>
            <w:lang w:eastAsia="es-EC"/>
          </w:rPr>
          <w:t xml:space="preserve"> </w:t>
        </w:r>
        <w:r w:rsidR="0069422D" w:rsidRPr="0069422D">
          <w:rPr>
            <w:rStyle w:val="Hipervnculo"/>
            <w:rFonts w:ascii="Arial" w:hAnsi="Arial" w:cs="Arial"/>
            <w:b w:val="0"/>
            <w:noProof/>
            <w:sz w:val="20"/>
            <w:szCs w:val="20"/>
          </w:rPr>
          <w:t>Área de residencia de los peruanos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_Toc341040681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204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82" w:history="1">
        <w:r w:rsidR="0069422D" w:rsidRPr="0069422D">
          <w:rPr>
            <w:rStyle w:val="Hipervnculo"/>
            <w:rFonts w:ascii="Arial" w:hAnsi="Arial" w:cs="Arial"/>
            <w:b w:val="0"/>
            <w:noProof/>
            <w:sz w:val="20"/>
            <w:szCs w:val="20"/>
          </w:rPr>
          <w:t>4.3.4.</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Años de residencia en Ecuador de los peruanos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_Toc341040682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208</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83" w:history="1">
        <w:r w:rsidR="0069422D" w:rsidRPr="0069422D">
          <w:rPr>
            <w:rStyle w:val="Hipervnculo"/>
            <w:rFonts w:ascii="Arial" w:hAnsi="Arial" w:cs="Arial"/>
            <w:b w:val="0"/>
            <w:noProof/>
            <w:sz w:val="20"/>
            <w:szCs w:val="20"/>
          </w:rPr>
          <w:t>4.3.5.</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Género de los peruanos que residen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_Toc341040683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209</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84" w:history="1">
        <w:r w:rsidR="0069422D" w:rsidRPr="0069422D">
          <w:rPr>
            <w:rStyle w:val="Hipervnculo"/>
            <w:rFonts w:ascii="Arial" w:hAnsi="Arial" w:cs="Arial"/>
            <w:b w:val="0"/>
            <w:noProof/>
            <w:sz w:val="20"/>
            <w:szCs w:val="20"/>
          </w:rPr>
          <w:t>4.3.6.</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Edad de los peruanos que residen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_Toc341040684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210</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85" w:history="1">
        <w:r w:rsidR="0069422D" w:rsidRPr="0069422D">
          <w:rPr>
            <w:rStyle w:val="Hipervnculo"/>
            <w:rFonts w:ascii="Arial" w:hAnsi="Arial" w:cs="Arial"/>
            <w:b w:val="0"/>
            <w:noProof/>
            <w:sz w:val="20"/>
            <w:szCs w:val="20"/>
          </w:rPr>
          <w:t>4.3.7.</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Nivel de Instrucción de los peruanos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_Toc341040685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214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86" w:history="1">
        <w:r w:rsidR="0069422D" w:rsidRPr="0069422D">
          <w:rPr>
            <w:rStyle w:val="Hipervnculo"/>
            <w:rFonts w:ascii="Arial" w:hAnsi="Arial" w:cs="Arial"/>
            <w:b w:val="0"/>
            <w:noProof/>
            <w:sz w:val="20"/>
            <w:szCs w:val="20"/>
          </w:rPr>
          <w:t>4.3.8.</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Estado Civil de los peruanos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_Toc341040686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220</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87" w:history="1">
        <w:r w:rsidR="0069422D" w:rsidRPr="0069422D">
          <w:rPr>
            <w:rStyle w:val="Hipervnculo"/>
            <w:rFonts w:ascii="Arial" w:hAnsi="Arial" w:cs="Arial"/>
            <w:b w:val="0"/>
            <w:noProof/>
            <w:sz w:val="20"/>
            <w:szCs w:val="20"/>
          </w:rPr>
          <w:t>4.3.9.</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Analfabetismo Digital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_Toc341040687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222</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88" w:history="1">
        <w:r w:rsidR="0069422D" w:rsidRPr="0069422D">
          <w:rPr>
            <w:rStyle w:val="Hipervnculo"/>
            <w:rFonts w:ascii="Arial" w:hAnsi="Arial" w:cs="Arial"/>
            <w:b w:val="0"/>
            <w:noProof/>
            <w:sz w:val="20"/>
            <w:szCs w:val="20"/>
          </w:rPr>
          <w:t>4.3.10.</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Población peruana económicamente activa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_Toc341040688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223</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89" w:history="1">
        <w:r w:rsidR="0069422D" w:rsidRPr="0069422D">
          <w:rPr>
            <w:rStyle w:val="Hipervnculo"/>
            <w:rFonts w:ascii="Arial" w:hAnsi="Arial" w:cs="Arial"/>
            <w:b w:val="0"/>
            <w:noProof/>
            <w:sz w:val="20"/>
            <w:szCs w:val="20"/>
          </w:rPr>
          <w:t>4.3.11.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Trabajo desempeñado por los peruanos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_Toc341040689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225</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90" w:history="1">
        <w:r w:rsidR="0069422D" w:rsidRPr="0069422D">
          <w:rPr>
            <w:rStyle w:val="Hipervnculo"/>
            <w:rFonts w:ascii="Arial" w:hAnsi="Arial" w:cs="Arial"/>
            <w:b w:val="0"/>
            <w:noProof/>
            <w:sz w:val="20"/>
            <w:szCs w:val="20"/>
          </w:rPr>
          <w:t>4.3.12.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Ocupación de los peruanos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_Toc341040690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228</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91" w:history="1">
        <w:r w:rsidR="0069422D" w:rsidRPr="0069422D">
          <w:rPr>
            <w:rStyle w:val="Hipervnculo"/>
            <w:rFonts w:ascii="Arial" w:hAnsi="Arial" w:cs="Arial"/>
            <w:b w:val="0"/>
            <w:noProof/>
            <w:sz w:val="20"/>
            <w:szCs w:val="20"/>
          </w:rPr>
          <w:t>4.3.13.</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Tipo de Vivienda en las que reside algún peruano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_Toc341040691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231</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92" w:history="1">
        <w:r w:rsidR="0069422D" w:rsidRPr="0069422D">
          <w:rPr>
            <w:rStyle w:val="Hipervnculo"/>
            <w:rFonts w:ascii="Arial" w:hAnsi="Arial" w:cs="Arial"/>
            <w:b w:val="0"/>
            <w:noProof/>
            <w:sz w:val="20"/>
            <w:szCs w:val="20"/>
          </w:rPr>
          <w:t>4.3.14.</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Número de personas por dormitorio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_Toc341040692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233</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693" w:history="1">
        <w:r w:rsidR="0069422D" w:rsidRPr="0069422D">
          <w:rPr>
            <w:rStyle w:val="Hipervnculo"/>
            <w:rFonts w:ascii="Arial" w:hAnsi="Arial" w:cs="Arial"/>
            <w:b w:val="0"/>
            <w:i w:val="0"/>
            <w:noProof/>
            <w:sz w:val="20"/>
            <w:szCs w:val="20"/>
          </w:rPr>
          <w:t>4.4.</w:t>
        </w:r>
        <w:r w:rsidR="0069422D">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Estadounidenses residentes en Ecuador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_Toc341040693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233</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94" w:history="1">
        <w:r w:rsidR="0069422D" w:rsidRPr="0069422D">
          <w:rPr>
            <w:rStyle w:val="Hipervnculo"/>
            <w:rFonts w:ascii="Arial" w:hAnsi="Arial" w:cs="Arial"/>
            <w:b w:val="0"/>
            <w:noProof/>
            <w:sz w:val="20"/>
            <w:szCs w:val="20"/>
          </w:rPr>
          <w:t>4.4.1.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Estadounidenses por provincia de residencia habitual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_Toc341040694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233</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95" w:history="1">
        <w:r w:rsidR="0069422D" w:rsidRPr="0069422D">
          <w:rPr>
            <w:rStyle w:val="Hipervnculo"/>
            <w:rFonts w:ascii="Arial" w:hAnsi="Arial" w:cs="Arial"/>
            <w:b w:val="0"/>
            <w:noProof/>
            <w:sz w:val="20"/>
            <w:szCs w:val="20"/>
          </w:rPr>
          <w:t>4.4.2.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Tasa de inmigración estadounidense por cada 1000 habitantes por Provincia de residencia habitual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_Toc341040695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235</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96" w:history="1">
        <w:r w:rsidR="0069422D" w:rsidRPr="0069422D">
          <w:rPr>
            <w:rStyle w:val="Hipervnculo"/>
            <w:rFonts w:ascii="Arial" w:hAnsi="Arial" w:cs="Arial"/>
            <w:b w:val="0"/>
            <w:noProof/>
            <w:sz w:val="20"/>
            <w:szCs w:val="20"/>
          </w:rPr>
          <w:t>4.4.3.</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Área de residencia de los estadounidenses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_Toc341040696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238</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97" w:history="1">
        <w:r w:rsidR="0069422D" w:rsidRPr="0069422D">
          <w:rPr>
            <w:rStyle w:val="Hipervnculo"/>
            <w:rFonts w:ascii="Arial" w:hAnsi="Arial" w:cs="Arial"/>
            <w:b w:val="0"/>
            <w:noProof/>
            <w:sz w:val="20"/>
            <w:szCs w:val="20"/>
          </w:rPr>
          <w:t>4.4.4.</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Años de residencia en Ecuador de los estadounidenses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_Toc341040697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241</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98" w:history="1">
        <w:r w:rsidR="0069422D" w:rsidRPr="0069422D">
          <w:rPr>
            <w:rStyle w:val="Hipervnculo"/>
            <w:rFonts w:ascii="Arial" w:hAnsi="Arial" w:cs="Arial"/>
            <w:b w:val="0"/>
            <w:noProof/>
            <w:sz w:val="20"/>
            <w:szCs w:val="20"/>
          </w:rPr>
          <w:t>4.4.5.</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Género de los estadounidenses que residen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_Toc341040698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242</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699" w:history="1">
        <w:r w:rsidR="0069422D" w:rsidRPr="0069422D">
          <w:rPr>
            <w:rStyle w:val="Hipervnculo"/>
            <w:rFonts w:ascii="Arial" w:hAnsi="Arial" w:cs="Arial"/>
            <w:b w:val="0"/>
            <w:noProof/>
            <w:sz w:val="20"/>
            <w:szCs w:val="20"/>
          </w:rPr>
          <w:t>4.4.6.</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Edad de los estadounidenses que residen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_Toc341040699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243</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00" w:history="1">
        <w:r w:rsidR="0069422D" w:rsidRPr="0069422D">
          <w:rPr>
            <w:rStyle w:val="Hipervnculo"/>
            <w:rFonts w:ascii="Arial" w:hAnsi="Arial" w:cs="Arial"/>
            <w:b w:val="0"/>
            <w:noProof/>
            <w:sz w:val="20"/>
            <w:szCs w:val="20"/>
          </w:rPr>
          <w:t>4.4.7.</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Nivel de Instrucción de los estadounidenses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_Toc341040700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247</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01" w:history="1">
        <w:r w:rsidR="0069422D" w:rsidRPr="0069422D">
          <w:rPr>
            <w:rStyle w:val="Hipervnculo"/>
            <w:rFonts w:ascii="Arial" w:hAnsi="Arial" w:cs="Arial"/>
            <w:b w:val="0"/>
            <w:noProof/>
            <w:sz w:val="20"/>
            <w:szCs w:val="20"/>
          </w:rPr>
          <w:t>4.4.8.</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Estado Civil de los estadounidenses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_Toc341040701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252</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02" w:history="1">
        <w:r w:rsidR="0069422D" w:rsidRPr="0069422D">
          <w:rPr>
            <w:rStyle w:val="Hipervnculo"/>
            <w:rFonts w:ascii="Arial" w:hAnsi="Arial" w:cs="Arial"/>
            <w:b w:val="0"/>
            <w:noProof/>
            <w:sz w:val="20"/>
            <w:szCs w:val="20"/>
          </w:rPr>
          <w:t>4.4.9.</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Analfabetismo Digital de la población estadounidense</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_Toc341040702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254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03" w:history="1">
        <w:r w:rsidR="0069422D" w:rsidRPr="0069422D">
          <w:rPr>
            <w:rStyle w:val="Hipervnculo"/>
            <w:rFonts w:ascii="Arial" w:hAnsi="Arial" w:cs="Arial"/>
            <w:b w:val="0"/>
            <w:noProof/>
            <w:sz w:val="20"/>
            <w:szCs w:val="20"/>
          </w:rPr>
          <w:t>4.4.10.</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Población estadounidense económicamente activa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_Toc341040703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255</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04" w:history="1">
        <w:r w:rsidR="0069422D" w:rsidRPr="0069422D">
          <w:rPr>
            <w:rStyle w:val="Hipervnculo"/>
            <w:rFonts w:ascii="Arial" w:hAnsi="Arial" w:cs="Arial"/>
            <w:b w:val="0"/>
            <w:noProof/>
            <w:sz w:val="20"/>
            <w:szCs w:val="20"/>
          </w:rPr>
          <w:t>4.4.11.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Trabajo desempeñado por los estadounidenses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_Toc341040704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257</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05" w:history="1">
        <w:r w:rsidR="0069422D" w:rsidRPr="0069422D">
          <w:rPr>
            <w:rStyle w:val="Hipervnculo"/>
            <w:rFonts w:ascii="Arial" w:hAnsi="Arial" w:cs="Arial"/>
            <w:b w:val="0"/>
            <w:noProof/>
            <w:sz w:val="20"/>
            <w:szCs w:val="20"/>
          </w:rPr>
          <w:t>4.4.12.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Ocupación de los estadounidenses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_Toc341040705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260</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06" w:history="1">
        <w:r w:rsidR="0069422D" w:rsidRPr="0069422D">
          <w:rPr>
            <w:rStyle w:val="Hipervnculo"/>
            <w:rFonts w:ascii="Arial" w:hAnsi="Arial" w:cs="Arial"/>
            <w:b w:val="0"/>
            <w:noProof/>
            <w:sz w:val="20"/>
            <w:szCs w:val="20"/>
          </w:rPr>
          <w:t>4.4.13.</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Tipo de Vivienda en las que reside algún estadounidense</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_Toc341040706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264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07" w:history="1">
        <w:r w:rsidR="0069422D" w:rsidRPr="0069422D">
          <w:rPr>
            <w:rStyle w:val="Hipervnculo"/>
            <w:rFonts w:ascii="Arial" w:hAnsi="Arial" w:cs="Arial"/>
            <w:b w:val="0"/>
            <w:noProof/>
            <w:sz w:val="20"/>
            <w:szCs w:val="20"/>
          </w:rPr>
          <w:t>4.4.14.</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Número de personas por dormitorio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_Toc341040707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265</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08" w:history="1">
        <w:r w:rsidR="0069422D" w:rsidRPr="0069422D">
          <w:rPr>
            <w:rStyle w:val="Hipervnculo"/>
            <w:rFonts w:ascii="Arial" w:hAnsi="Arial" w:cs="Arial"/>
            <w:b w:val="0"/>
            <w:i w:val="0"/>
            <w:noProof/>
            <w:sz w:val="20"/>
            <w:szCs w:val="20"/>
          </w:rPr>
          <w:t>4.5.</w:t>
        </w:r>
        <w:r w:rsidR="0069422D">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Españoles residentes en Ecuador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_Toc341040708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266</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09" w:history="1">
        <w:r w:rsidR="0069422D" w:rsidRPr="0069422D">
          <w:rPr>
            <w:rStyle w:val="Hipervnculo"/>
            <w:rFonts w:ascii="Arial" w:hAnsi="Arial" w:cs="Arial"/>
            <w:b w:val="0"/>
            <w:noProof/>
            <w:sz w:val="20"/>
            <w:szCs w:val="20"/>
          </w:rPr>
          <w:t>4.5.1.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Españoles por provincia de residencia habitual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_Toc341040709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266</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10" w:history="1">
        <w:r w:rsidR="0069422D" w:rsidRPr="0069422D">
          <w:rPr>
            <w:rStyle w:val="Hipervnculo"/>
            <w:rFonts w:ascii="Arial" w:hAnsi="Arial" w:cs="Arial"/>
            <w:b w:val="0"/>
            <w:noProof/>
            <w:sz w:val="20"/>
            <w:szCs w:val="20"/>
          </w:rPr>
          <w:t>4.5.2.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Tasa de inmigración española por cada 1000 habitantes por Provincia de residencia habitual</w:t>
        </w:r>
        <w:r w:rsidR="0069422D">
          <w:rPr>
            <w:rStyle w:val="Hipervnculo"/>
            <w:rFonts w:ascii="Arial" w:hAnsi="Arial" w:cs="Arial"/>
            <w:b w:val="0"/>
            <w:noProof/>
            <w:sz w:val="20"/>
            <w:szCs w:val="20"/>
          </w:rPr>
          <w:tab/>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_Toc341040710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268</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11" w:history="1">
        <w:r w:rsidR="0069422D" w:rsidRPr="0069422D">
          <w:rPr>
            <w:rStyle w:val="Hipervnculo"/>
            <w:rFonts w:ascii="Arial" w:hAnsi="Arial" w:cs="Arial"/>
            <w:b w:val="0"/>
            <w:noProof/>
            <w:sz w:val="20"/>
            <w:szCs w:val="20"/>
          </w:rPr>
          <w:t>4.5.3.</w:t>
        </w:r>
        <w:r w:rsidR="0069422D">
          <w:rPr>
            <w:rFonts w:ascii="Arial" w:eastAsiaTheme="minorEastAsia" w:hAnsi="Arial" w:cs="Arial"/>
            <w:b w:val="0"/>
            <w:bCs w:val="0"/>
            <w:noProof/>
            <w:sz w:val="20"/>
            <w:szCs w:val="20"/>
            <w:lang w:eastAsia="es-EC"/>
          </w:rPr>
          <w:t xml:space="preserve"> </w:t>
        </w:r>
        <w:r w:rsidR="0069422D" w:rsidRPr="0069422D">
          <w:rPr>
            <w:rStyle w:val="Hipervnculo"/>
            <w:rFonts w:ascii="Arial" w:hAnsi="Arial" w:cs="Arial"/>
            <w:b w:val="0"/>
            <w:noProof/>
            <w:sz w:val="20"/>
            <w:szCs w:val="20"/>
          </w:rPr>
          <w:t>Área de residencia de los españoles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_Toc341040711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271</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12" w:history="1">
        <w:r w:rsidR="0069422D" w:rsidRPr="0069422D">
          <w:rPr>
            <w:rStyle w:val="Hipervnculo"/>
            <w:rFonts w:ascii="Arial" w:hAnsi="Arial" w:cs="Arial"/>
            <w:b w:val="0"/>
            <w:noProof/>
            <w:sz w:val="20"/>
            <w:szCs w:val="20"/>
          </w:rPr>
          <w:t>4.5.4.</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Años de residencia en Ecuador de los españoles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_Toc341040712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274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13" w:history="1">
        <w:r w:rsidR="0069422D" w:rsidRPr="0069422D">
          <w:rPr>
            <w:rStyle w:val="Hipervnculo"/>
            <w:rFonts w:ascii="Arial" w:hAnsi="Arial" w:cs="Arial"/>
            <w:b w:val="0"/>
            <w:noProof/>
            <w:sz w:val="20"/>
            <w:szCs w:val="20"/>
          </w:rPr>
          <w:t>4.5.5.</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Género de los españoles que residen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_Toc341040713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275</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14" w:history="1">
        <w:r w:rsidR="0069422D" w:rsidRPr="0069422D">
          <w:rPr>
            <w:rStyle w:val="Hipervnculo"/>
            <w:rFonts w:ascii="Arial" w:hAnsi="Arial" w:cs="Arial"/>
            <w:b w:val="0"/>
            <w:noProof/>
            <w:sz w:val="20"/>
            <w:szCs w:val="20"/>
          </w:rPr>
          <w:t>4.5.6.</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Edad de los españoles que residen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_Toc341040714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276</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15" w:history="1">
        <w:r w:rsidR="0069422D" w:rsidRPr="0069422D">
          <w:rPr>
            <w:rStyle w:val="Hipervnculo"/>
            <w:rFonts w:ascii="Arial" w:hAnsi="Arial" w:cs="Arial"/>
            <w:b w:val="0"/>
            <w:noProof/>
            <w:sz w:val="20"/>
            <w:szCs w:val="20"/>
          </w:rPr>
          <w:t>4.5.7.</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Nivel de Instrucción de los españoles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_Toc341040715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280</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16" w:history="1">
        <w:r w:rsidR="0069422D" w:rsidRPr="0069422D">
          <w:rPr>
            <w:rStyle w:val="Hipervnculo"/>
            <w:rFonts w:ascii="Arial" w:hAnsi="Arial" w:cs="Arial"/>
            <w:b w:val="0"/>
            <w:noProof/>
            <w:sz w:val="20"/>
            <w:szCs w:val="20"/>
          </w:rPr>
          <w:t>4.5.8.</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Estado Civil de los españoles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_Toc341040716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284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17" w:history="1">
        <w:r w:rsidR="0069422D" w:rsidRPr="0069422D">
          <w:rPr>
            <w:rStyle w:val="Hipervnculo"/>
            <w:rFonts w:ascii="Arial" w:hAnsi="Arial" w:cs="Arial"/>
            <w:b w:val="0"/>
            <w:noProof/>
            <w:sz w:val="20"/>
            <w:szCs w:val="20"/>
          </w:rPr>
          <w:t>4.5.9.</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Analfabetismo Digital de la población española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_Toc341040717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287</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18" w:history="1">
        <w:r w:rsidR="0069422D" w:rsidRPr="0069422D">
          <w:rPr>
            <w:rStyle w:val="Hipervnculo"/>
            <w:rFonts w:ascii="Arial" w:hAnsi="Arial" w:cs="Arial"/>
            <w:b w:val="0"/>
            <w:noProof/>
            <w:sz w:val="20"/>
            <w:szCs w:val="20"/>
          </w:rPr>
          <w:t>4.5.10.</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Población española económicamente activa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_Toc341040718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288</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19" w:history="1">
        <w:r w:rsidR="0069422D" w:rsidRPr="0069422D">
          <w:rPr>
            <w:rStyle w:val="Hipervnculo"/>
            <w:rFonts w:ascii="Arial" w:hAnsi="Arial" w:cs="Arial"/>
            <w:b w:val="0"/>
            <w:noProof/>
            <w:sz w:val="20"/>
            <w:szCs w:val="20"/>
          </w:rPr>
          <w:t>4.5.11.</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Trabajo desempeñado por los españoles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_Toc341040719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289</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20" w:history="1">
        <w:r w:rsidR="0069422D" w:rsidRPr="0069422D">
          <w:rPr>
            <w:rStyle w:val="Hipervnculo"/>
            <w:rFonts w:ascii="Arial" w:hAnsi="Arial" w:cs="Arial"/>
            <w:b w:val="0"/>
            <w:noProof/>
            <w:sz w:val="20"/>
            <w:szCs w:val="20"/>
          </w:rPr>
          <w:t>4.5.12.</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Ocupación de los españoles en Ecuador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_Toc341040720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292</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21" w:history="1">
        <w:r w:rsidR="0069422D" w:rsidRPr="0069422D">
          <w:rPr>
            <w:rStyle w:val="Hipervnculo"/>
            <w:rFonts w:ascii="Arial" w:hAnsi="Arial" w:cs="Arial"/>
            <w:b w:val="0"/>
            <w:noProof/>
            <w:sz w:val="20"/>
            <w:szCs w:val="20"/>
          </w:rPr>
          <w:t>4.5.13.</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Tipo de Vivienda en las que reside algún español</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_Toc341040721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295</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22" w:history="1">
        <w:r w:rsidR="0069422D" w:rsidRPr="0069422D">
          <w:rPr>
            <w:rStyle w:val="Hipervnculo"/>
            <w:rFonts w:ascii="Arial" w:hAnsi="Arial" w:cs="Arial"/>
            <w:b w:val="0"/>
            <w:noProof/>
            <w:sz w:val="20"/>
            <w:szCs w:val="20"/>
          </w:rPr>
          <w:t>4.5.14.</w:t>
        </w:r>
        <w:r w:rsidR="0069422D">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Número de personas por dormitorio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_Toc341040722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297</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723" w:history="1">
        <w:r w:rsidR="0069422D" w:rsidRPr="00455E98">
          <w:rPr>
            <w:rStyle w:val="Hipervnculo"/>
            <w:rFonts w:ascii="Arial" w:hAnsi="Arial" w:cs="Arial"/>
            <w:i w:val="0"/>
            <w:noProof/>
            <w:sz w:val="20"/>
            <w:szCs w:val="20"/>
          </w:rPr>
          <w:t xml:space="preserve">5. </w:t>
        </w:r>
        <w:r w:rsidR="00455E98" w:rsidRPr="00455E98">
          <w:rPr>
            <w:rStyle w:val="Hipervnculo"/>
            <w:rFonts w:ascii="Arial" w:hAnsi="Arial" w:cs="Arial"/>
            <w:i w:val="0"/>
            <w:noProof/>
            <w:sz w:val="20"/>
            <w:szCs w:val="20"/>
          </w:rPr>
          <w:t>EMIGRACIÓN INTERNACIONAL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_Toc341040723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298</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24" w:history="1">
        <w:r w:rsidR="0069422D" w:rsidRPr="0069422D">
          <w:rPr>
            <w:rStyle w:val="Hipervnculo"/>
            <w:rFonts w:ascii="Arial" w:hAnsi="Arial" w:cs="Arial"/>
            <w:b w:val="0"/>
            <w:i w:val="0"/>
            <w:noProof/>
            <w:sz w:val="20"/>
            <w:szCs w:val="20"/>
          </w:rPr>
          <w:t>5.1.</w:t>
        </w:r>
        <w:r w:rsidR="00455E98">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Introducción</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_Toc341040724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298</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25" w:history="1">
        <w:r w:rsidR="0069422D" w:rsidRPr="0069422D">
          <w:rPr>
            <w:rStyle w:val="Hipervnculo"/>
            <w:rFonts w:ascii="Arial" w:hAnsi="Arial" w:cs="Arial"/>
            <w:b w:val="0"/>
            <w:i w:val="0"/>
            <w:noProof/>
            <w:sz w:val="20"/>
            <w:szCs w:val="20"/>
          </w:rPr>
          <w:t>5.2.</w:t>
        </w:r>
        <w:r w:rsidR="00455E98">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Índice de Feminidad de los Emigrantes por país de residencia actual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_Toc341040725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299</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26" w:history="1">
        <w:r w:rsidR="0069422D" w:rsidRPr="0069422D">
          <w:rPr>
            <w:rStyle w:val="Hipervnculo"/>
            <w:rFonts w:ascii="Arial" w:hAnsi="Arial" w:cs="Arial"/>
            <w:b w:val="0"/>
            <w:i w:val="0"/>
            <w:noProof/>
            <w:sz w:val="20"/>
            <w:szCs w:val="20"/>
          </w:rPr>
          <w:t>5.3.</w:t>
        </w:r>
        <w:r w:rsidR="00455E98">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Edad del Emigrante al salir del Ecuador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_Toc341040726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303</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27" w:history="1">
        <w:r w:rsidR="0069422D" w:rsidRPr="0069422D">
          <w:rPr>
            <w:rStyle w:val="Hipervnculo"/>
            <w:rFonts w:ascii="Arial" w:hAnsi="Arial" w:cs="Arial"/>
            <w:b w:val="0"/>
            <w:i w:val="0"/>
            <w:noProof/>
            <w:sz w:val="20"/>
            <w:szCs w:val="20"/>
          </w:rPr>
          <w:t>5.4.</w:t>
        </w:r>
        <w:r w:rsidR="00455E98">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Continente de residencia actual de los Emigrantes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_Toc341040727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305</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28" w:history="1">
        <w:r w:rsidR="0069422D" w:rsidRPr="0069422D">
          <w:rPr>
            <w:rStyle w:val="Hipervnculo"/>
            <w:rFonts w:ascii="Arial" w:hAnsi="Arial" w:cs="Arial"/>
            <w:b w:val="0"/>
            <w:i w:val="0"/>
            <w:noProof/>
            <w:sz w:val="20"/>
            <w:szCs w:val="20"/>
          </w:rPr>
          <w:t>5.5.</w:t>
        </w:r>
        <w:r w:rsidR="00455E98">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País de residencia actual de los Emigrantes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_Toc341040728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310</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29" w:history="1">
        <w:r w:rsidR="0069422D" w:rsidRPr="0069422D">
          <w:rPr>
            <w:rStyle w:val="Hipervnculo"/>
            <w:rFonts w:ascii="Arial" w:hAnsi="Arial" w:cs="Arial"/>
            <w:b w:val="0"/>
            <w:i w:val="0"/>
            <w:noProof/>
            <w:sz w:val="20"/>
            <w:szCs w:val="20"/>
          </w:rPr>
          <w:t>5.6.</w:t>
        </w:r>
        <w:r w:rsidR="00455E98">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Año de salida del Ecuador de los emigrantes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_Toc341040729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311</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30" w:history="1">
        <w:r w:rsidR="0069422D" w:rsidRPr="0069422D">
          <w:rPr>
            <w:rStyle w:val="Hipervnculo"/>
            <w:rFonts w:ascii="Arial" w:hAnsi="Arial" w:cs="Arial"/>
            <w:b w:val="0"/>
            <w:i w:val="0"/>
            <w:noProof/>
            <w:sz w:val="20"/>
            <w:szCs w:val="20"/>
          </w:rPr>
          <w:t>5.7.</w:t>
        </w:r>
        <w:r w:rsidR="00455E98">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Motivo principal del viaje de los emigrantes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_Toc341040730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312</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31" w:history="1">
        <w:r w:rsidR="0069422D" w:rsidRPr="0069422D">
          <w:rPr>
            <w:rStyle w:val="Hipervnculo"/>
            <w:rFonts w:ascii="Arial" w:hAnsi="Arial" w:cs="Arial"/>
            <w:b w:val="0"/>
            <w:i w:val="0"/>
            <w:noProof/>
            <w:sz w:val="20"/>
            <w:szCs w:val="20"/>
          </w:rPr>
          <w:t>5.8.</w:t>
        </w:r>
        <w:r w:rsidR="00455E98">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Perfil de los Emigrantes cuyo motivo principal de viaje es trabajar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_Toc341040731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316</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32" w:history="1">
        <w:r w:rsidR="0069422D" w:rsidRPr="0069422D">
          <w:rPr>
            <w:rStyle w:val="Hipervnculo"/>
            <w:rFonts w:ascii="Arial" w:hAnsi="Arial" w:cs="Arial"/>
            <w:b w:val="0"/>
            <w:noProof/>
            <w:sz w:val="20"/>
            <w:szCs w:val="20"/>
          </w:rPr>
          <w:t>5.8.1.</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Año de salida de los emigrantes por trabajo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_Toc341040732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317</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33" w:history="1">
        <w:r w:rsidR="0069422D" w:rsidRPr="0069422D">
          <w:rPr>
            <w:rStyle w:val="Hipervnculo"/>
            <w:rFonts w:ascii="Arial" w:hAnsi="Arial" w:cs="Arial"/>
            <w:b w:val="0"/>
            <w:noProof/>
            <w:sz w:val="20"/>
            <w:szCs w:val="20"/>
          </w:rPr>
          <w:t>5.8.2.</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País de residencia actual de los emigrantes que salieron por trabajo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_Toc341040733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317</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34" w:history="1">
        <w:r w:rsidR="0069422D" w:rsidRPr="0069422D">
          <w:rPr>
            <w:rStyle w:val="Hipervnculo"/>
            <w:rFonts w:ascii="Arial" w:hAnsi="Arial" w:cs="Arial"/>
            <w:b w:val="0"/>
            <w:noProof/>
            <w:sz w:val="20"/>
            <w:szCs w:val="20"/>
          </w:rPr>
          <w:t>5.8.3.</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Índice de Feminidad de los emigrantes que salieron por trabajo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_Toc341040734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318</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35" w:history="1">
        <w:r w:rsidR="0069422D" w:rsidRPr="0069422D">
          <w:rPr>
            <w:rStyle w:val="Hipervnculo"/>
            <w:rFonts w:ascii="Arial" w:hAnsi="Arial" w:cs="Arial"/>
            <w:b w:val="0"/>
            <w:noProof/>
            <w:sz w:val="20"/>
            <w:szCs w:val="20"/>
          </w:rPr>
          <w:t>5.8.4.</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Distribución Género y Edad al salir del país de los emigrantes que viajaron para trabajar</w:t>
        </w:r>
        <w:r w:rsidR="00455E98">
          <w:rPr>
            <w:rStyle w:val="Hipervnculo"/>
            <w:rFonts w:ascii="Arial" w:hAnsi="Arial" w:cs="Arial"/>
            <w:b w:val="0"/>
            <w:noProof/>
            <w:sz w:val="20"/>
            <w:szCs w:val="20"/>
          </w:rPr>
          <w:tab/>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_Toc341040735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320</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36" w:history="1">
        <w:r w:rsidR="0069422D" w:rsidRPr="0069422D">
          <w:rPr>
            <w:rStyle w:val="Hipervnculo"/>
            <w:rFonts w:ascii="Arial" w:hAnsi="Arial" w:cs="Arial"/>
            <w:b w:val="0"/>
            <w:i w:val="0"/>
            <w:noProof/>
            <w:sz w:val="20"/>
            <w:szCs w:val="20"/>
          </w:rPr>
          <w:t>5.9.</w:t>
        </w:r>
        <w:r w:rsidR="00455E98">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Perfil de los Emigrantes cuyo motivo principal de viaje es unión familiar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_Toc341040736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324</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37" w:history="1">
        <w:r w:rsidR="0069422D" w:rsidRPr="0069422D">
          <w:rPr>
            <w:rStyle w:val="Hipervnculo"/>
            <w:rFonts w:ascii="Arial" w:hAnsi="Arial" w:cs="Arial"/>
            <w:b w:val="0"/>
            <w:noProof/>
            <w:sz w:val="20"/>
            <w:szCs w:val="20"/>
          </w:rPr>
          <w:t>5.9.1.</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Año de salida de los emigrantes por unión familiar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_Toc341040737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324</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39" w:history="1">
        <w:r w:rsidR="0069422D" w:rsidRPr="0069422D">
          <w:rPr>
            <w:rStyle w:val="Hipervnculo"/>
            <w:rFonts w:ascii="Arial" w:hAnsi="Arial" w:cs="Arial"/>
            <w:b w:val="0"/>
            <w:noProof/>
            <w:sz w:val="20"/>
            <w:szCs w:val="20"/>
          </w:rPr>
          <w:t>5.9.2.</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País de residencia actual de los emigrantes que salieron por unión familiar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_Toc341040739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325</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40" w:history="1">
        <w:r w:rsidR="0069422D" w:rsidRPr="0069422D">
          <w:rPr>
            <w:rStyle w:val="Hipervnculo"/>
            <w:rFonts w:ascii="Arial" w:hAnsi="Arial" w:cs="Arial"/>
            <w:b w:val="0"/>
            <w:noProof/>
            <w:sz w:val="20"/>
            <w:szCs w:val="20"/>
          </w:rPr>
          <w:t>5.9.3.</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Índice de Feminidad de los emigrantes que salieron por unión familiar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_Toc341040740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326</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41" w:history="1">
        <w:r w:rsidR="0069422D" w:rsidRPr="0069422D">
          <w:rPr>
            <w:rStyle w:val="Hipervnculo"/>
            <w:rFonts w:ascii="Arial" w:hAnsi="Arial" w:cs="Arial"/>
            <w:b w:val="0"/>
            <w:noProof/>
            <w:sz w:val="20"/>
            <w:szCs w:val="20"/>
          </w:rPr>
          <w:t>5.9.4.</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Distribución Género y Edad al salir del país de los emigrantes que viajaron por unión familiar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_Toc341040741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328</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880"/>
          <w:tab w:val="right" w:leader="dot" w:pos="8268"/>
        </w:tabs>
        <w:rPr>
          <w:rFonts w:ascii="Arial" w:eastAsiaTheme="minorEastAsia" w:hAnsi="Arial" w:cs="Arial"/>
          <w:b w:val="0"/>
          <w:bCs w:val="0"/>
          <w:i w:val="0"/>
          <w:iCs w:val="0"/>
          <w:noProof/>
          <w:sz w:val="20"/>
          <w:szCs w:val="20"/>
          <w:lang w:eastAsia="es-EC"/>
        </w:rPr>
      </w:pPr>
      <w:hyperlink w:anchor="_Toc341040742" w:history="1">
        <w:r w:rsidR="0069422D" w:rsidRPr="0069422D">
          <w:rPr>
            <w:rStyle w:val="Hipervnculo"/>
            <w:rFonts w:ascii="Arial" w:hAnsi="Arial" w:cs="Arial"/>
            <w:b w:val="0"/>
            <w:i w:val="0"/>
            <w:noProof/>
            <w:sz w:val="20"/>
            <w:szCs w:val="20"/>
          </w:rPr>
          <w:t>5.10.</w:t>
        </w:r>
        <w:r w:rsidR="00455E98">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Perfil de los Emigrantes cuyo motivo principal de viaje es estudiar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_Toc341040742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332</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43" w:history="1">
        <w:r w:rsidR="0069422D" w:rsidRPr="0069422D">
          <w:rPr>
            <w:rStyle w:val="Hipervnculo"/>
            <w:rFonts w:ascii="Arial" w:hAnsi="Arial" w:cs="Arial"/>
            <w:b w:val="0"/>
            <w:noProof/>
            <w:sz w:val="20"/>
            <w:szCs w:val="20"/>
          </w:rPr>
          <w:t>5.10.1.</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Año de salida de los emigrantes por estudios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_Toc341040743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332</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44" w:history="1">
        <w:r w:rsidR="0069422D" w:rsidRPr="0069422D">
          <w:rPr>
            <w:rStyle w:val="Hipervnculo"/>
            <w:rFonts w:ascii="Arial" w:hAnsi="Arial" w:cs="Arial"/>
            <w:b w:val="0"/>
            <w:noProof/>
            <w:sz w:val="20"/>
            <w:szCs w:val="20"/>
          </w:rPr>
          <w:t>5.10.2.</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País de residencia actual de los emigrantes que salieron para estudiar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_Toc341040744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333</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45" w:history="1">
        <w:r w:rsidR="0069422D" w:rsidRPr="0069422D">
          <w:rPr>
            <w:rStyle w:val="Hipervnculo"/>
            <w:rFonts w:ascii="Arial" w:hAnsi="Arial" w:cs="Arial"/>
            <w:b w:val="0"/>
            <w:noProof/>
            <w:sz w:val="20"/>
            <w:szCs w:val="20"/>
          </w:rPr>
          <w:t>5.10.3.</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Índice de Feminidad de los emigrantes que salieron para estudiar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_Toc341040745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335</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46" w:history="1">
        <w:r w:rsidR="0069422D" w:rsidRPr="0069422D">
          <w:rPr>
            <w:rStyle w:val="Hipervnculo"/>
            <w:rFonts w:ascii="Arial" w:hAnsi="Arial" w:cs="Arial"/>
            <w:b w:val="0"/>
            <w:noProof/>
            <w:sz w:val="20"/>
            <w:szCs w:val="20"/>
          </w:rPr>
          <w:t>5.10.4.</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Distribución Género y Edad al salir del país de los emigrantes que viajaron para estudiar</w:t>
        </w:r>
        <w:r w:rsidR="00455E98">
          <w:rPr>
            <w:rStyle w:val="Hipervnculo"/>
            <w:rFonts w:ascii="Arial" w:hAnsi="Arial" w:cs="Arial"/>
            <w:b w:val="0"/>
            <w:noProof/>
            <w:sz w:val="20"/>
            <w:szCs w:val="20"/>
          </w:rPr>
          <w:tab/>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_Toc341040746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336</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747" w:history="1">
        <w:r w:rsidR="0069422D" w:rsidRPr="00455E98">
          <w:rPr>
            <w:rStyle w:val="Hipervnculo"/>
            <w:rFonts w:ascii="Arial" w:hAnsi="Arial" w:cs="Arial"/>
            <w:i w:val="0"/>
            <w:noProof/>
            <w:sz w:val="20"/>
            <w:szCs w:val="20"/>
          </w:rPr>
          <w:t>6</w:t>
        </w:r>
        <w:r w:rsidR="00455E98" w:rsidRPr="00455E98">
          <w:rPr>
            <w:rStyle w:val="Hipervnculo"/>
            <w:rFonts w:ascii="Arial" w:hAnsi="Arial" w:cs="Arial"/>
            <w:i w:val="0"/>
            <w:noProof/>
            <w:sz w:val="20"/>
            <w:szCs w:val="20"/>
          </w:rPr>
          <w:t>. ANÁLISIS MULTIVARIADO: APLICACIÓN DEL MODELO LOGIT</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_Toc341040747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342</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48" w:history="1">
        <w:r w:rsidR="0069422D" w:rsidRPr="0069422D">
          <w:rPr>
            <w:rStyle w:val="Hipervnculo"/>
            <w:rFonts w:ascii="Arial" w:hAnsi="Arial" w:cs="Arial"/>
            <w:b w:val="0"/>
            <w:i w:val="0"/>
            <w:noProof/>
            <w:sz w:val="20"/>
            <w:szCs w:val="20"/>
          </w:rPr>
          <w:t>6.1.</w:t>
        </w:r>
        <w:r w:rsidR="00455E98">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Introducción</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_Toc341040748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342</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49" w:history="1">
        <w:r w:rsidR="0069422D" w:rsidRPr="0069422D">
          <w:rPr>
            <w:rStyle w:val="Hipervnculo"/>
            <w:rFonts w:ascii="Arial" w:hAnsi="Arial" w:cs="Arial"/>
            <w:b w:val="0"/>
            <w:i w:val="0"/>
            <w:noProof/>
            <w:sz w:val="20"/>
            <w:szCs w:val="20"/>
          </w:rPr>
          <w:t>6.2.</w:t>
        </w:r>
        <w:r w:rsidR="00455E98">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Introducción a la Regresión Logística</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_Toc341040749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343</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50" w:history="1">
        <w:r w:rsidR="0069422D" w:rsidRPr="0069422D">
          <w:rPr>
            <w:rStyle w:val="Hipervnculo"/>
            <w:rFonts w:ascii="Arial" w:hAnsi="Arial" w:cs="Arial"/>
            <w:b w:val="0"/>
            <w:noProof/>
            <w:sz w:val="20"/>
            <w:szCs w:val="20"/>
          </w:rPr>
          <w:t>6.2.1.</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Odds Ratio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_Toc341040750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345</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51" w:history="1">
        <w:r w:rsidR="0069422D" w:rsidRPr="0069422D">
          <w:rPr>
            <w:rStyle w:val="Hipervnculo"/>
            <w:rFonts w:ascii="Arial" w:hAnsi="Arial" w:cs="Arial"/>
            <w:b w:val="0"/>
            <w:noProof/>
            <w:sz w:val="20"/>
            <w:szCs w:val="20"/>
          </w:rPr>
          <w:t>6.2.2.</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Prueba de la razón de verosimilitud o desvianza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_Toc341040751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345</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52" w:history="1">
        <w:r w:rsidR="0069422D" w:rsidRPr="0069422D">
          <w:rPr>
            <w:rStyle w:val="Hipervnculo"/>
            <w:rFonts w:ascii="Arial" w:hAnsi="Arial" w:cs="Arial"/>
            <w:b w:val="0"/>
            <w:i w:val="0"/>
            <w:noProof/>
            <w:sz w:val="20"/>
            <w:szCs w:val="20"/>
          </w:rPr>
          <w:t>6.3.</w:t>
        </w:r>
        <w:r w:rsidR="00455E98">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Factores que influyen en los Inmigrantes residentes en Guayaquil, que nacieron en otra zona geográfica y son mayores de 15 años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_Toc341040752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346</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53" w:history="1">
        <w:r w:rsidR="0069422D" w:rsidRPr="0069422D">
          <w:rPr>
            <w:rStyle w:val="Hipervnculo"/>
            <w:rFonts w:ascii="Arial" w:hAnsi="Arial" w:cs="Arial"/>
            <w:b w:val="0"/>
            <w:noProof/>
            <w:sz w:val="20"/>
            <w:szCs w:val="20"/>
          </w:rPr>
          <w:t>6.3.1.</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Selección de una muestra</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_Toc341040753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346</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54" w:history="1">
        <w:r w:rsidR="0069422D" w:rsidRPr="0069422D">
          <w:rPr>
            <w:rStyle w:val="Hipervnculo"/>
            <w:rFonts w:ascii="Arial" w:hAnsi="Arial" w:cs="Arial"/>
            <w:b w:val="0"/>
            <w:noProof/>
            <w:sz w:val="20"/>
            <w:szCs w:val="20"/>
          </w:rPr>
          <w:t>6.3.2.</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Descripción de los factores a utilizar</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_Toc341040754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348</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55" w:history="1">
        <w:r w:rsidR="0069422D" w:rsidRPr="0069422D">
          <w:rPr>
            <w:rStyle w:val="Hipervnculo"/>
            <w:rFonts w:ascii="Arial" w:hAnsi="Arial" w:cs="Arial"/>
            <w:b w:val="0"/>
            <w:noProof/>
            <w:sz w:val="20"/>
            <w:szCs w:val="20"/>
          </w:rPr>
          <w:t>6.3.3.</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Resultados del modelo completo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_Toc341040755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349</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56" w:history="1">
        <w:r w:rsidR="0069422D" w:rsidRPr="0069422D">
          <w:rPr>
            <w:rStyle w:val="Hipervnculo"/>
            <w:rFonts w:ascii="Arial" w:hAnsi="Arial" w:cs="Arial"/>
            <w:b w:val="0"/>
            <w:noProof/>
            <w:sz w:val="20"/>
            <w:szCs w:val="20"/>
          </w:rPr>
          <w:t>6.3.4.</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Prueba de la razón de verosimilitud</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_Toc341040756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352</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57" w:history="1">
        <w:r w:rsidR="0069422D" w:rsidRPr="0069422D">
          <w:rPr>
            <w:rStyle w:val="Hipervnculo"/>
            <w:rFonts w:ascii="Arial" w:hAnsi="Arial" w:cs="Arial"/>
            <w:b w:val="0"/>
            <w:noProof/>
            <w:sz w:val="20"/>
            <w:szCs w:val="20"/>
          </w:rPr>
          <w:t>6.3.5.</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Resultados del Modelo reducido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_Toc341040757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354</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left" w:pos="660"/>
          <w:tab w:val="right" w:leader="dot" w:pos="8268"/>
        </w:tabs>
        <w:rPr>
          <w:rFonts w:ascii="Arial" w:eastAsiaTheme="minorEastAsia" w:hAnsi="Arial" w:cs="Arial"/>
          <w:b w:val="0"/>
          <w:bCs w:val="0"/>
          <w:i w:val="0"/>
          <w:iCs w:val="0"/>
          <w:noProof/>
          <w:sz w:val="20"/>
          <w:szCs w:val="20"/>
          <w:lang w:eastAsia="es-EC"/>
        </w:rPr>
      </w:pPr>
      <w:hyperlink w:anchor="_Toc341040758" w:history="1">
        <w:r w:rsidR="0069422D" w:rsidRPr="0069422D">
          <w:rPr>
            <w:rStyle w:val="Hipervnculo"/>
            <w:rFonts w:ascii="Arial" w:hAnsi="Arial" w:cs="Arial"/>
            <w:b w:val="0"/>
            <w:i w:val="0"/>
            <w:noProof/>
            <w:sz w:val="20"/>
            <w:szCs w:val="20"/>
          </w:rPr>
          <w:t>6.4.</w:t>
        </w:r>
        <w:r w:rsidR="00455E98">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Factores que influyen en el Nivel de Instrucción Superior de los estadounidenses mayores de 17 años que residen en Ecuador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_Toc341040758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355</w:t>
        </w:r>
        <w:r w:rsidR="00990535" w:rsidRPr="0069422D">
          <w:rPr>
            <w:rFonts w:ascii="Arial" w:hAnsi="Arial" w:cs="Arial"/>
            <w:b w:val="0"/>
            <w:i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59" w:history="1">
        <w:r w:rsidR="0069422D" w:rsidRPr="0069422D">
          <w:rPr>
            <w:rStyle w:val="Hipervnculo"/>
            <w:rFonts w:ascii="Arial" w:hAnsi="Arial" w:cs="Arial"/>
            <w:b w:val="0"/>
            <w:noProof/>
            <w:sz w:val="20"/>
            <w:szCs w:val="20"/>
          </w:rPr>
          <w:t>6.4.1.</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Descripción de las variables</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_Toc341040759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356</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60" w:history="1">
        <w:r w:rsidR="0069422D" w:rsidRPr="0069422D">
          <w:rPr>
            <w:rStyle w:val="Hipervnculo"/>
            <w:rFonts w:ascii="Arial" w:hAnsi="Arial" w:cs="Arial"/>
            <w:b w:val="0"/>
            <w:noProof/>
            <w:sz w:val="20"/>
            <w:szCs w:val="20"/>
          </w:rPr>
          <w:t>6.4.2.</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Resultados del modelo completo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_Toc341040760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357</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61" w:history="1">
        <w:r w:rsidR="0069422D" w:rsidRPr="0069422D">
          <w:rPr>
            <w:rStyle w:val="Hipervnculo"/>
            <w:rFonts w:ascii="Arial" w:hAnsi="Arial" w:cs="Arial"/>
            <w:b w:val="0"/>
            <w:noProof/>
            <w:sz w:val="20"/>
            <w:szCs w:val="20"/>
          </w:rPr>
          <w:t>6.4.3.</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Prueba de la razón de verosimilitud</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_Toc341040761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359</w:t>
        </w:r>
        <w:r w:rsidR="00990535" w:rsidRPr="0069422D">
          <w:rPr>
            <w:rFonts w:ascii="Arial" w:hAnsi="Arial" w:cs="Arial"/>
            <w:b w:val="0"/>
            <w:noProof/>
            <w:webHidden/>
            <w:sz w:val="20"/>
            <w:szCs w:val="20"/>
          </w:rPr>
          <w:fldChar w:fldCharType="end"/>
        </w:r>
      </w:hyperlink>
    </w:p>
    <w:p w:rsidR="0069422D" w:rsidRPr="0069422D" w:rsidRDefault="00436907">
      <w:pPr>
        <w:pStyle w:val="TDC2"/>
        <w:tabs>
          <w:tab w:val="left" w:pos="1100"/>
          <w:tab w:val="right" w:leader="dot" w:pos="8268"/>
        </w:tabs>
        <w:rPr>
          <w:rFonts w:ascii="Arial" w:eastAsiaTheme="minorEastAsia" w:hAnsi="Arial" w:cs="Arial"/>
          <w:b w:val="0"/>
          <w:bCs w:val="0"/>
          <w:noProof/>
          <w:sz w:val="20"/>
          <w:szCs w:val="20"/>
          <w:lang w:eastAsia="es-EC"/>
        </w:rPr>
      </w:pPr>
      <w:hyperlink w:anchor="_Toc341040762" w:history="1">
        <w:r w:rsidR="0069422D" w:rsidRPr="0069422D">
          <w:rPr>
            <w:rStyle w:val="Hipervnculo"/>
            <w:rFonts w:ascii="Arial" w:hAnsi="Arial" w:cs="Arial"/>
            <w:b w:val="0"/>
            <w:noProof/>
            <w:sz w:val="20"/>
            <w:szCs w:val="20"/>
          </w:rPr>
          <w:t>6.4.4.</w:t>
        </w:r>
        <w:r w:rsidR="00455E98">
          <w:rPr>
            <w:rStyle w:val="Hipervnculo"/>
            <w:rFonts w:ascii="Arial" w:hAnsi="Arial" w:cs="Arial"/>
            <w:b w:val="0"/>
            <w:noProof/>
            <w:sz w:val="20"/>
            <w:szCs w:val="20"/>
          </w:rPr>
          <w:t xml:space="preserve"> </w:t>
        </w:r>
        <w:r w:rsidR="0069422D" w:rsidRPr="0069422D">
          <w:rPr>
            <w:rStyle w:val="Hipervnculo"/>
            <w:rFonts w:ascii="Arial" w:hAnsi="Arial" w:cs="Arial"/>
            <w:b w:val="0"/>
            <w:noProof/>
            <w:sz w:val="20"/>
            <w:szCs w:val="20"/>
          </w:rPr>
          <w:t>Resultados del Modelo reducido</w:t>
        </w:r>
        <w:r w:rsidR="0069422D" w:rsidRPr="0069422D">
          <w:rPr>
            <w:rFonts w:ascii="Arial" w:hAnsi="Arial" w:cs="Arial"/>
            <w:b w:val="0"/>
            <w:noProof/>
            <w:webHidden/>
            <w:sz w:val="20"/>
            <w:szCs w:val="20"/>
          </w:rPr>
          <w:tab/>
        </w:r>
        <w:r w:rsidR="00990535" w:rsidRPr="0069422D">
          <w:rPr>
            <w:rFonts w:ascii="Arial" w:hAnsi="Arial" w:cs="Arial"/>
            <w:b w:val="0"/>
            <w:noProof/>
            <w:webHidden/>
            <w:sz w:val="20"/>
            <w:szCs w:val="20"/>
          </w:rPr>
          <w:fldChar w:fldCharType="begin"/>
        </w:r>
        <w:r w:rsidR="0069422D" w:rsidRPr="0069422D">
          <w:rPr>
            <w:rFonts w:ascii="Arial" w:hAnsi="Arial" w:cs="Arial"/>
            <w:b w:val="0"/>
            <w:noProof/>
            <w:webHidden/>
            <w:sz w:val="20"/>
            <w:szCs w:val="20"/>
          </w:rPr>
          <w:instrText xml:space="preserve"> PAGEREF _Toc341040762 \h </w:instrText>
        </w:r>
        <w:r w:rsidR="00990535" w:rsidRPr="0069422D">
          <w:rPr>
            <w:rFonts w:ascii="Arial" w:hAnsi="Arial" w:cs="Arial"/>
            <w:b w:val="0"/>
            <w:noProof/>
            <w:webHidden/>
            <w:sz w:val="20"/>
            <w:szCs w:val="20"/>
          </w:rPr>
        </w:r>
        <w:r w:rsidR="00990535" w:rsidRPr="0069422D">
          <w:rPr>
            <w:rFonts w:ascii="Arial" w:hAnsi="Arial" w:cs="Arial"/>
            <w:b w:val="0"/>
            <w:noProof/>
            <w:webHidden/>
            <w:sz w:val="20"/>
            <w:szCs w:val="20"/>
          </w:rPr>
          <w:fldChar w:fldCharType="separate"/>
        </w:r>
        <w:r w:rsidR="00A242E0">
          <w:rPr>
            <w:rFonts w:ascii="Arial" w:hAnsi="Arial" w:cs="Arial"/>
            <w:b w:val="0"/>
            <w:noProof/>
            <w:webHidden/>
            <w:sz w:val="20"/>
            <w:szCs w:val="20"/>
          </w:rPr>
          <w:t>360</w:t>
        </w:r>
        <w:r w:rsidR="00990535" w:rsidRPr="0069422D">
          <w:rPr>
            <w:rFonts w:ascii="Arial" w:hAnsi="Arial" w:cs="Arial"/>
            <w:b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763" w:history="1">
        <w:r w:rsidR="0069422D" w:rsidRPr="00455E98">
          <w:rPr>
            <w:rStyle w:val="Hipervnculo"/>
            <w:rFonts w:ascii="Arial" w:hAnsi="Arial" w:cs="Arial"/>
            <w:i w:val="0"/>
            <w:noProof/>
            <w:sz w:val="20"/>
            <w:szCs w:val="20"/>
          </w:rPr>
          <w:t>CONCLUSIONES Y RECOMENDACIONES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_Toc341040763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363</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440"/>
          <w:tab w:val="right" w:leader="dot" w:pos="8268"/>
        </w:tabs>
        <w:rPr>
          <w:rFonts w:ascii="Arial" w:eastAsiaTheme="minorEastAsia" w:hAnsi="Arial" w:cs="Arial"/>
          <w:b w:val="0"/>
          <w:bCs w:val="0"/>
          <w:i w:val="0"/>
          <w:iCs w:val="0"/>
          <w:noProof/>
          <w:sz w:val="20"/>
          <w:szCs w:val="20"/>
          <w:lang w:eastAsia="es-EC"/>
        </w:rPr>
      </w:pPr>
      <w:hyperlink w:anchor="_Toc341040764" w:history="1">
        <w:r w:rsidR="0069422D" w:rsidRPr="0069422D">
          <w:rPr>
            <w:rStyle w:val="Hipervnculo"/>
            <w:rFonts w:ascii="Arial" w:hAnsi="Arial" w:cs="Arial"/>
            <w:b w:val="0"/>
            <w:i w:val="0"/>
            <w:noProof/>
            <w:sz w:val="20"/>
            <w:szCs w:val="20"/>
          </w:rPr>
          <w:t>1.</w:t>
        </w:r>
        <w:r w:rsidR="00455E98">
          <w:rPr>
            <w:rFonts w:ascii="Arial" w:eastAsiaTheme="minorEastAsia" w:hAnsi="Arial" w:cs="Arial"/>
            <w:b w:val="0"/>
            <w:bCs w:val="0"/>
            <w:i w:val="0"/>
            <w:iCs w:val="0"/>
            <w:noProof/>
            <w:sz w:val="20"/>
            <w:szCs w:val="20"/>
            <w:lang w:eastAsia="es-EC"/>
          </w:rPr>
          <w:t xml:space="preserve"> </w:t>
        </w:r>
        <w:r w:rsidR="0069422D" w:rsidRPr="0069422D">
          <w:rPr>
            <w:rStyle w:val="Hipervnculo"/>
            <w:rFonts w:ascii="Arial" w:hAnsi="Arial" w:cs="Arial"/>
            <w:b w:val="0"/>
            <w:i w:val="0"/>
            <w:noProof/>
            <w:sz w:val="20"/>
            <w:szCs w:val="20"/>
          </w:rPr>
          <w:t>Conclusiones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_Toc341040764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363</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left" w:pos="440"/>
          <w:tab w:val="right" w:leader="dot" w:pos="8268"/>
        </w:tabs>
        <w:rPr>
          <w:rFonts w:ascii="Arial" w:eastAsiaTheme="minorEastAsia" w:hAnsi="Arial" w:cs="Arial"/>
          <w:b w:val="0"/>
          <w:bCs w:val="0"/>
          <w:i w:val="0"/>
          <w:iCs w:val="0"/>
          <w:noProof/>
          <w:sz w:val="20"/>
          <w:szCs w:val="20"/>
          <w:lang w:eastAsia="es-EC"/>
        </w:rPr>
      </w:pPr>
      <w:hyperlink w:anchor="_Toc341040765" w:history="1">
        <w:r w:rsidR="0069422D" w:rsidRPr="0069422D">
          <w:rPr>
            <w:rStyle w:val="Hipervnculo"/>
            <w:rFonts w:ascii="Arial" w:hAnsi="Arial" w:cs="Arial"/>
            <w:b w:val="0"/>
            <w:i w:val="0"/>
            <w:noProof/>
            <w:sz w:val="20"/>
            <w:szCs w:val="20"/>
          </w:rPr>
          <w:t>2.</w:t>
        </w:r>
        <w:r w:rsidR="00455E98">
          <w:rPr>
            <w:rStyle w:val="Hipervnculo"/>
            <w:rFonts w:ascii="Arial" w:hAnsi="Arial" w:cs="Arial"/>
            <w:b w:val="0"/>
            <w:i w:val="0"/>
            <w:noProof/>
            <w:sz w:val="20"/>
            <w:szCs w:val="20"/>
          </w:rPr>
          <w:t xml:space="preserve"> </w:t>
        </w:r>
        <w:r w:rsidR="0069422D" w:rsidRPr="0069422D">
          <w:rPr>
            <w:rStyle w:val="Hipervnculo"/>
            <w:rFonts w:ascii="Arial" w:hAnsi="Arial" w:cs="Arial"/>
            <w:b w:val="0"/>
            <w:i w:val="0"/>
            <w:noProof/>
            <w:sz w:val="20"/>
            <w:szCs w:val="20"/>
          </w:rPr>
          <w:t>Recomendaciones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_Toc341040765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373</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766" w:history="1">
        <w:r w:rsidR="0069422D" w:rsidRPr="00455E98">
          <w:rPr>
            <w:rStyle w:val="Hipervnculo"/>
            <w:rFonts w:ascii="Arial" w:hAnsi="Arial" w:cs="Arial"/>
            <w:i w:val="0"/>
            <w:noProof/>
            <w:sz w:val="20"/>
            <w:szCs w:val="20"/>
          </w:rPr>
          <w:t>REFERENCIAS BIBLIOGRÁFICAS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_Toc341040766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375</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767" w:history="1">
        <w:r w:rsidR="0069422D" w:rsidRPr="00455E98">
          <w:rPr>
            <w:rStyle w:val="Hipervnculo"/>
            <w:rFonts w:ascii="Arial" w:hAnsi="Arial" w:cs="Arial"/>
            <w:i w:val="0"/>
            <w:noProof/>
            <w:sz w:val="20"/>
            <w:szCs w:val="20"/>
            <w:lang w:val="en-US"/>
          </w:rPr>
          <w:t>ANEXOS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_Toc341040767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378</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768" w:history="1">
        <w:r w:rsidR="0069422D" w:rsidRPr="0069422D">
          <w:rPr>
            <w:rStyle w:val="Hipervnculo"/>
            <w:rFonts w:ascii="Arial" w:hAnsi="Arial" w:cs="Arial"/>
            <w:b w:val="0"/>
            <w:i w:val="0"/>
            <w:noProof/>
            <w:sz w:val="20"/>
            <w:szCs w:val="20"/>
            <w:lang w:val="en-US"/>
          </w:rPr>
          <w:t>ANEXO A.1: Boleta Censal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_Toc341040768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379</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769" w:history="1">
        <w:r w:rsidR="006933DF">
          <w:rPr>
            <w:rStyle w:val="Hipervnculo"/>
            <w:rFonts w:ascii="Arial" w:hAnsi="Arial" w:cs="Arial"/>
            <w:b w:val="0"/>
            <w:i w:val="0"/>
            <w:noProof/>
            <w:sz w:val="20"/>
            <w:szCs w:val="20"/>
          </w:rPr>
          <w:t>ANEXO</w:t>
        </w:r>
        <w:r w:rsidR="0069422D" w:rsidRPr="0069422D">
          <w:rPr>
            <w:rStyle w:val="Hipervnculo"/>
            <w:rFonts w:ascii="Arial" w:hAnsi="Arial" w:cs="Arial"/>
            <w:b w:val="0"/>
            <w:i w:val="0"/>
            <w:noProof/>
            <w:sz w:val="20"/>
            <w:szCs w:val="20"/>
          </w:rPr>
          <w:t xml:space="preserve"> A.2: Definiciones</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_Toc341040769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385</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770" w:history="1">
        <w:r w:rsidR="006933DF">
          <w:rPr>
            <w:rStyle w:val="Hipervnculo"/>
            <w:rFonts w:ascii="Arial" w:hAnsi="Arial" w:cs="Arial"/>
            <w:b w:val="0"/>
            <w:i w:val="0"/>
            <w:noProof/>
            <w:sz w:val="20"/>
            <w:szCs w:val="20"/>
          </w:rPr>
          <w:t>ANEXO</w:t>
        </w:r>
        <w:r w:rsidR="0069422D" w:rsidRPr="0069422D">
          <w:rPr>
            <w:rStyle w:val="Hipervnculo"/>
            <w:rFonts w:ascii="Arial" w:hAnsi="Arial" w:cs="Arial"/>
            <w:b w:val="0"/>
            <w:i w:val="0"/>
            <w:noProof/>
            <w:sz w:val="20"/>
            <w:szCs w:val="20"/>
          </w:rPr>
          <w:t xml:space="preserve"> A.3: Leyes de Ravenstein</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_Toc341040770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388</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771" w:history="1">
        <w:r w:rsidR="0069422D" w:rsidRPr="0069422D">
          <w:rPr>
            <w:rStyle w:val="Hipervnculo"/>
            <w:rFonts w:ascii="Arial" w:hAnsi="Arial" w:cs="Arial"/>
            <w:b w:val="0"/>
            <w:i w:val="0"/>
            <w:noProof/>
            <w:sz w:val="20"/>
            <w:szCs w:val="20"/>
          </w:rPr>
          <w:t>ANEXO B: Migración Interna en Ecuador</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_Toc341040771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390</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772" w:history="1">
        <w:r w:rsidR="0069422D" w:rsidRPr="0069422D">
          <w:rPr>
            <w:rStyle w:val="Hipervnculo"/>
            <w:rFonts w:ascii="Arial" w:hAnsi="Arial" w:cs="Arial"/>
            <w:b w:val="0"/>
            <w:i w:val="0"/>
            <w:noProof/>
            <w:sz w:val="20"/>
            <w:szCs w:val="20"/>
          </w:rPr>
          <w:t>ANEXO C: Inmigración Internacional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_Toc341040772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395</w:t>
        </w:r>
        <w:r w:rsidR="00990535" w:rsidRPr="0069422D">
          <w:rPr>
            <w:rFonts w:ascii="Arial" w:hAnsi="Arial" w:cs="Arial"/>
            <w:b w:val="0"/>
            <w:i w:val="0"/>
            <w:noProof/>
            <w:webHidden/>
            <w:sz w:val="20"/>
            <w:szCs w:val="20"/>
          </w:rPr>
          <w:fldChar w:fldCharType="end"/>
        </w:r>
      </w:hyperlink>
    </w:p>
    <w:p w:rsidR="0069422D" w:rsidRPr="0069422D" w:rsidRDefault="00436907">
      <w:pPr>
        <w:pStyle w:val="TDC1"/>
        <w:tabs>
          <w:tab w:val="right" w:leader="dot" w:pos="8268"/>
        </w:tabs>
        <w:rPr>
          <w:rFonts w:ascii="Arial" w:eastAsiaTheme="minorEastAsia" w:hAnsi="Arial" w:cs="Arial"/>
          <w:b w:val="0"/>
          <w:bCs w:val="0"/>
          <w:i w:val="0"/>
          <w:iCs w:val="0"/>
          <w:noProof/>
          <w:sz w:val="20"/>
          <w:szCs w:val="20"/>
          <w:lang w:eastAsia="es-EC"/>
        </w:rPr>
      </w:pPr>
      <w:hyperlink w:anchor="_Toc341040773" w:history="1">
        <w:r w:rsidR="0069422D" w:rsidRPr="0069422D">
          <w:rPr>
            <w:rStyle w:val="Hipervnculo"/>
            <w:rFonts w:ascii="Arial" w:hAnsi="Arial" w:cs="Arial"/>
            <w:b w:val="0"/>
            <w:i w:val="0"/>
            <w:noProof/>
            <w:sz w:val="20"/>
            <w:szCs w:val="20"/>
          </w:rPr>
          <w:t>ANEXO D: Inmigración referida a Subpoblaciones de la población Nacional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_Toc341040773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396</w:t>
        </w:r>
        <w:r w:rsidR="00990535" w:rsidRPr="0069422D">
          <w:rPr>
            <w:rFonts w:ascii="Arial" w:hAnsi="Arial" w:cs="Arial"/>
            <w:b w:val="0"/>
            <w:i w:val="0"/>
            <w:noProof/>
            <w:webHidden/>
            <w:sz w:val="20"/>
            <w:szCs w:val="20"/>
          </w:rPr>
          <w:fldChar w:fldCharType="end"/>
        </w:r>
      </w:hyperlink>
    </w:p>
    <w:p w:rsidR="0069422D" w:rsidRDefault="00436907">
      <w:pPr>
        <w:pStyle w:val="TDC1"/>
        <w:tabs>
          <w:tab w:val="right" w:leader="dot" w:pos="8268"/>
        </w:tabs>
        <w:rPr>
          <w:rFonts w:eastAsiaTheme="minorEastAsia" w:cstheme="minorBidi"/>
          <w:b w:val="0"/>
          <w:bCs w:val="0"/>
          <w:i w:val="0"/>
          <w:iCs w:val="0"/>
          <w:noProof/>
          <w:sz w:val="22"/>
          <w:szCs w:val="22"/>
          <w:lang w:eastAsia="es-EC"/>
        </w:rPr>
      </w:pPr>
      <w:hyperlink w:anchor="_Toc341040774" w:history="1">
        <w:r w:rsidR="0069422D" w:rsidRPr="0069422D">
          <w:rPr>
            <w:rStyle w:val="Hipervnculo"/>
            <w:rFonts w:ascii="Arial" w:hAnsi="Arial" w:cs="Arial"/>
            <w:b w:val="0"/>
            <w:i w:val="0"/>
            <w:noProof/>
            <w:sz w:val="20"/>
            <w:szCs w:val="20"/>
          </w:rPr>
          <w:t>ANEXO E: Emigración Internacional</w:t>
        </w:r>
        <w:r w:rsidR="0069422D" w:rsidRPr="0069422D">
          <w:rPr>
            <w:rFonts w:ascii="Arial" w:hAnsi="Arial" w:cs="Arial"/>
            <w:b w:val="0"/>
            <w:i w:val="0"/>
            <w:noProof/>
            <w:webHidden/>
            <w:sz w:val="20"/>
            <w:szCs w:val="20"/>
          </w:rPr>
          <w:tab/>
        </w:r>
        <w:r w:rsidR="00990535" w:rsidRPr="0069422D">
          <w:rPr>
            <w:rFonts w:ascii="Arial" w:hAnsi="Arial" w:cs="Arial"/>
            <w:b w:val="0"/>
            <w:i w:val="0"/>
            <w:noProof/>
            <w:webHidden/>
            <w:sz w:val="20"/>
            <w:szCs w:val="20"/>
          </w:rPr>
          <w:fldChar w:fldCharType="begin"/>
        </w:r>
        <w:r w:rsidR="0069422D" w:rsidRPr="0069422D">
          <w:rPr>
            <w:rFonts w:ascii="Arial" w:hAnsi="Arial" w:cs="Arial"/>
            <w:b w:val="0"/>
            <w:i w:val="0"/>
            <w:noProof/>
            <w:webHidden/>
            <w:sz w:val="20"/>
            <w:szCs w:val="20"/>
          </w:rPr>
          <w:instrText xml:space="preserve"> PAGEREF _Toc341040774 \h </w:instrText>
        </w:r>
        <w:r w:rsidR="00990535" w:rsidRPr="0069422D">
          <w:rPr>
            <w:rFonts w:ascii="Arial" w:hAnsi="Arial" w:cs="Arial"/>
            <w:b w:val="0"/>
            <w:i w:val="0"/>
            <w:noProof/>
            <w:webHidden/>
            <w:sz w:val="20"/>
            <w:szCs w:val="20"/>
          </w:rPr>
        </w:r>
        <w:r w:rsidR="00990535" w:rsidRPr="0069422D">
          <w:rPr>
            <w:rFonts w:ascii="Arial" w:hAnsi="Arial" w:cs="Arial"/>
            <w:b w:val="0"/>
            <w:i w:val="0"/>
            <w:noProof/>
            <w:webHidden/>
            <w:sz w:val="20"/>
            <w:szCs w:val="20"/>
          </w:rPr>
          <w:fldChar w:fldCharType="separate"/>
        </w:r>
        <w:r w:rsidR="00A242E0">
          <w:rPr>
            <w:rFonts w:ascii="Arial" w:hAnsi="Arial" w:cs="Arial"/>
            <w:b w:val="0"/>
            <w:i w:val="0"/>
            <w:noProof/>
            <w:webHidden/>
            <w:sz w:val="20"/>
            <w:szCs w:val="20"/>
          </w:rPr>
          <w:t>398</w:t>
        </w:r>
        <w:r w:rsidR="00990535" w:rsidRPr="0069422D">
          <w:rPr>
            <w:rFonts w:ascii="Arial" w:hAnsi="Arial" w:cs="Arial"/>
            <w:b w:val="0"/>
            <w:i w:val="0"/>
            <w:noProof/>
            <w:webHidden/>
            <w:sz w:val="20"/>
            <w:szCs w:val="20"/>
          </w:rPr>
          <w:fldChar w:fldCharType="end"/>
        </w:r>
      </w:hyperlink>
    </w:p>
    <w:p w:rsidR="00470CE4" w:rsidRDefault="00990535" w:rsidP="009955C9">
      <w:pPr>
        <w:spacing w:line="276" w:lineRule="auto"/>
        <w:rPr>
          <w:rFonts w:ascii="Arial" w:hAnsi="Arial" w:cs="Arial"/>
        </w:rPr>
        <w:sectPr w:rsidR="00470CE4" w:rsidSect="00B842A2">
          <w:pgSz w:w="11907" w:h="16839" w:code="9"/>
          <w:pgMar w:top="2268" w:right="1361" w:bottom="2268" w:left="2268" w:header="708" w:footer="708" w:gutter="0"/>
          <w:pgNumType w:start="1"/>
          <w:cols w:space="708"/>
          <w:docGrid w:linePitch="360"/>
        </w:sectPr>
      </w:pPr>
      <w:r w:rsidRPr="009955C9">
        <w:rPr>
          <w:rFonts w:ascii="Arial" w:hAnsi="Arial" w:cs="Arial"/>
          <w:bCs/>
          <w:iCs/>
        </w:rPr>
        <w:fldChar w:fldCharType="end"/>
      </w:r>
    </w:p>
    <w:p w:rsidR="00470CE4" w:rsidRPr="00FE7FBC" w:rsidRDefault="00470CE4" w:rsidP="00470CE4">
      <w:pPr>
        <w:spacing w:line="480" w:lineRule="auto"/>
        <w:rPr>
          <w:rFonts w:ascii="Arial" w:hAnsi="Arial" w:cs="Arial"/>
          <w:b/>
          <w:sz w:val="32"/>
          <w:szCs w:val="32"/>
        </w:rPr>
      </w:pPr>
      <w:r w:rsidRPr="00FE7FBC">
        <w:rPr>
          <w:rFonts w:ascii="Arial" w:hAnsi="Arial" w:cs="Arial"/>
          <w:b/>
          <w:sz w:val="32"/>
          <w:szCs w:val="32"/>
        </w:rPr>
        <w:lastRenderedPageBreak/>
        <w:t>ÍNDICE DE FIGURAS</w:t>
      </w:r>
    </w:p>
    <w:p w:rsidR="009C280A" w:rsidRPr="009C280A" w:rsidRDefault="009C280A" w:rsidP="00470CE4">
      <w:pPr>
        <w:spacing w:line="480" w:lineRule="auto"/>
        <w:rPr>
          <w:rFonts w:ascii="Arial" w:hAnsi="Arial" w:cs="Arial"/>
        </w:rPr>
      </w:pPr>
    </w:p>
    <w:p w:rsidR="00181359" w:rsidRPr="00DD394E" w:rsidRDefault="00103B23" w:rsidP="00DD394E">
      <w:pPr>
        <w:spacing w:line="360" w:lineRule="auto"/>
        <w:ind w:left="0"/>
        <w:jc w:val="left"/>
        <w:rPr>
          <w:rFonts w:ascii="Arial" w:hAnsi="Arial" w:cs="Arial"/>
          <w:b/>
          <w:sz w:val="20"/>
          <w:szCs w:val="20"/>
        </w:rPr>
      </w:pPr>
      <w:r w:rsidRPr="00DD394E">
        <w:rPr>
          <w:rFonts w:ascii="Arial" w:hAnsi="Arial" w:cs="Arial"/>
          <w:b/>
          <w:iCs/>
          <w:sz w:val="20"/>
          <w:szCs w:val="20"/>
        </w:rPr>
        <w:t>1</w:t>
      </w:r>
      <w:r w:rsidR="00DD394E">
        <w:rPr>
          <w:rFonts w:ascii="Arial" w:hAnsi="Arial" w:cs="Arial"/>
          <w:b/>
          <w:iCs/>
          <w:sz w:val="20"/>
          <w:szCs w:val="20"/>
        </w:rPr>
        <w:t>.</w:t>
      </w:r>
      <w:r w:rsidRPr="00DD394E">
        <w:rPr>
          <w:rFonts w:ascii="Arial" w:hAnsi="Arial" w:cs="Arial"/>
          <w:b/>
          <w:iCs/>
          <w:sz w:val="20"/>
          <w:szCs w:val="20"/>
        </w:rPr>
        <w:t xml:space="preserve"> MARCO TEÓRICO, OBJETIVOS, METODOLOGÍA Y FUENTE DE DATOS</w:t>
      </w:r>
    </w:p>
    <w:p w:rsidR="00DD394E" w:rsidRPr="00DD394E" w:rsidRDefault="00990535" w:rsidP="00DD394E">
      <w:pPr>
        <w:pStyle w:val="Tabladeilustraciones"/>
        <w:tabs>
          <w:tab w:val="right" w:leader="dot" w:pos="8268"/>
        </w:tabs>
        <w:spacing w:line="360" w:lineRule="auto"/>
        <w:rPr>
          <w:rFonts w:ascii="Arial" w:eastAsiaTheme="minorEastAsia" w:hAnsi="Arial" w:cs="Arial"/>
          <w:i w:val="0"/>
          <w:iCs w:val="0"/>
          <w:noProof/>
          <w:lang w:eastAsia="es-EC"/>
        </w:rPr>
      </w:pPr>
      <w:r w:rsidRPr="00DD394E">
        <w:rPr>
          <w:rFonts w:ascii="Arial" w:hAnsi="Arial" w:cs="Arial"/>
          <w:i w:val="0"/>
          <w:iCs w:val="0"/>
          <w:caps/>
        </w:rPr>
        <w:fldChar w:fldCharType="begin"/>
      </w:r>
      <w:r w:rsidR="00F43450" w:rsidRPr="00DD394E">
        <w:rPr>
          <w:rFonts w:ascii="Arial" w:hAnsi="Arial" w:cs="Arial"/>
          <w:i w:val="0"/>
          <w:iCs w:val="0"/>
          <w:caps/>
        </w:rPr>
        <w:instrText xml:space="preserve"> TOC \h \z \c "Figura 1." </w:instrText>
      </w:r>
      <w:r w:rsidRPr="00DD394E">
        <w:rPr>
          <w:rFonts w:ascii="Arial" w:hAnsi="Arial" w:cs="Arial"/>
          <w:i w:val="0"/>
          <w:iCs w:val="0"/>
          <w:caps/>
        </w:rPr>
        <w:fldChar w:fldCharType="separate"/>
      </w:r>
      <w:hyperlink w:anchor="_Toc341042780" w:history="1">
        <w:r w:rsidR="00DD394E" w:rsidRPr="00DD394E">
          <w:rPr>
            <w:rStyle w:val="Hipervnculo"/>
            <w:rFonts w:ascii="Arial" w:hAnsi="Arial" w:cs="Arial"/>
            <w:b/>
            <w:i w:val="0"/>
            <w:noProof/>
          </w:rPr>
          <w:t>Figura 1.1</w:t>
        </w:r>
        <w:r w:rsidR="00DD394E" w:rsidRPr="00DD394E">
          <w:rPr>
            <w:rStyle w:val="Hipervnculo"/>
            <w:rFonts w:ascii="Arial" w:hAnsi="Arial" w:cs="Arial"/>
            <w:i w:val="0"/>
            <w:noProof/>
          </w:rPr>
          <w:t xml:space="preserve"> “</w:t>
        </w:r>
        <w:r w:rsidR="00DD394E" w:rsidRPr="00DD394E">
          <w:rPr>
            <w:rFonts w:ascii="Arial" w:hAnsi="Arial" w:cs="Arial"/>
            <w:i w:val="0"/>
          </w:rPr>
          <w:t>Refugiados colombianos en Sucumbíos durante el período 2000 – 2003</w:t>
        </w:r>
        <w:r w:rsidR="00DD394E" w:rsidRPr="00DD394E">
          <w:rPr>
            <w:rStyle w:val="Hipervnculo"/>
            <w:rFonts w:ascii="Arial" w:hAnsi="Arial" w:cs="Arial"/>
            <w:i w:val="0"/>
            <w:noProof/>
          </w:rPr>
          <w:t>”</w:t>
        </w:r>
        <w:r w:rsidR="00DD394E" w:rsidRPr="00DD394E">
          <w:rPr>
            <w:rFonts w:ascii="Arial" w:hAnsi="Arial" w:cs="Arial"/>
            <w:i w:val="0"/>
            <w:noProof/>
            <w:webHidden/>
          </w:rPr>
          <w:tab/>
        </w:r>
        <w:r w:rsidRPr="00DD394E">
          <w:rPr>
            <w:rFonts w:ascii="Arial" w:hAnsi="Arial" w:cs="Arial"/>
            <w:i w:val="0"/>
            <w:noProof/>
            <w:webHidden/>
          </w:rPr>
          <w:fldChar w:fldCharType="begin"/>
        </w:r>
        <w:r w:rsidR="00DD394E" w:rsidRPr="00DD394E">
          <w:rPr>
            <w:rFonts w:ascii="Arial" w:hAnsi="Arial" w:cs="Arial"/>
            <w:i w:val="0"/>
            <w:noProof/>
            <w:webHidden/>
          </w:rPr>
          <w:instrText xml:space="preserve"> PAGEREF _Toc341042780 \h </w:instrText>
        </w:r>
        <w:r w:rsidRPr="00DD394E">
          <w:rPr>
            <w:rFonts w:ascii="Arial" w:hAnsi="Arial" w:cs="Arial"/>
            <w:i w:val="0"/>
            <w:noProof/>
            <w:webHidden/>
          </w:rPr>
        </w:r>
        <w:r w:rsidRPr="00DD394E">
          <w:rPr>
            <w:rFonts w:ascii="Arial" w:hAnsi="Arial" w:cs="Arial"/>
            <w:i w:val="0"/>
            <w:noProof/>
            <w:webHidden/>
          </w:rPr>
          <w:fldChar w:fldCharType="separate"/>
        </w:r>
        <w:r w:rsidR="00A242E0">
          <w:rPr>
            <w:rFonts w:ascii="Arial" w:hAnsi="Arial" w:cs="Arial"/>
            <w:i w:val="0"/>
            <w:noProof/>
            <w:webHidden/>
          </w:rPr>
          <w:t>12</w:t>
        </w:r>
        <w:r w:rsidRPr="00DD394E">
          <w:rPr>
            <w:rFonts w:ascii="Arial" w:hAnsi="Arial" w:cs="Arial"/>
            <w:i w:val="0"/>
            <w:noProof/>
            <w:webHidden/>
          </w:rPr>
          <w:fldChar w:fldCharType="end"/>
        </w:r>
      </w:hyperlink>
    </w:p>
    <w:p w:rsidR="00DD394E" w:rsidRPr="00DD394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781" w:history="1">
        <w:r w:rsidR="00DD394E" w:rsidRPr="00DD394E">
          <w:rPr>
            <w:rStyle w:val="Hipervnculo"/>
            <w:rFonts w:ascii="Arial" w:hAnsi="Arial" w:cs="Arial"/>
            <w:b/>
            <w:i w:val="0"/>
            <w:noProof/>
          </w:rPr>
          <w:t>Figura 1.2</w:t>
        </w:r>
        <w:r w:rsidR="00DD394E" w:rsidRPr="00DD394E">
          <w:rPr>
            <w:rStyle w:val="Hipervnculo"/>
            <w:rFonts w:ascii="Arial" w:hAnsi="Arial" w:cs="Arial"/>
            <w:i w:val="0"/>
            <w:noProof/>
          </w:rPr>
          <w:t xml:space="preserve"> “</w:t>
        </w:r>
        <w:r w:rsidR="00DD394E" w:rsidRPr="00DD394E">
          <w:rPr>
            <w:rFonts w:ascii="Arial" w:hAnsi="Arial" w:cs="Arial"/>
            <w:i w:val="0"/>
          </w:rPr>
          <w:t>Población Total del Ecuador desde Censo 1950 – 2001</w:t>
        </w:r>
        <w:r w:rsidR="00DD394E" w:rsidRPr="00DD394E">
          <w:rPr>
            <w:rStyle w:val="Hipervnculo"/>
            <w:rFonts w:ascii="Arial" w:hAnsi="Arial" w:cs="Arial"/>
            <w:i w:val="0"/>
            <w:noProof/>
          </w:rPr>
          <w:t>”</w:t>
        </w:r>
        <w:r w:rsidR="00DD394E" w:rsidRPr="00DD394E">
          <w:rPr>
            <w:rFonts w:ascii="Arial" w:hAnsi="Arial" w:cs="Arial"/>
            <w:i w:val="0"/>
            <w:noProof/>
            <w:webHidden/>
          </w:rPr>
          <w:tab/>
        </w:r>
        <w:r w:rsidR="00990535" w:rsidRPr="00DD394E">
          <w:rPr>
            <w:rFonts w:ascii="Arial" w:hAnsi="Arial" w:cs="Arial"/>
            <w:i w:val="0"/>
            <w:noProof/>
            <w:webHidden/>
          </w:rPr>
          <w:fldChar w:fldCharType="begin"/>
        </w:r>
        <w:r w:rsidR="00DD394E" w:rsidRPr="00DD394E">
          <w:rPr>
            <w:rFonts w:ascii="Arial" w:hAnsi="Arial" w:cs="Arial"/>
            <w:i w:val="0"/>
            <w:noProof/>
            <w:webHidden/>
          </w:rPr>
          <w:instrText xml:space="preserve"> PAGEREF _Toc341042781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13</w:t>
        </w:r>
        <w:r w:rsidR="00990535" w:rsidRPr="00DD394E">
          <w:rPr>
            <w:rFonts w:ascii="Arial" w:hAnsi="Arial" w:cs="Arial"/>
            <w:i w:val="0"/>
            <w:noProof/>
            <w:webHidden/>
          </w:rPr>
          <w:fldChar w:fldCharType="end"/>
        </w:r>
      </w:hyperlink>
    </w:p>
    <w:p w:rsidR="00DD394E" w:rsidRPr="00DD394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782" w:history="1">
        <w:r w:rsidR="00DD394E" w:rsidRPr="00DD394E">
          <w:rPr>
            <w:rStyle w:val="Hipervnculo"/>
            <w:rFonts w:ascii="Arial" w:hAnsi="Arial" w:cs="Arial"/>
            <w:b/>
            <w:i w:val="0"/>
            <w:noProof/>
          </w:rPr>
          <w:t>Figura 1.3</w:t>
        </w:r>
        <w:r w:rsidR="00DD394E" w:rsidRPr="00DD394E">
          <w:rPr>
            <w:rStyle w:val="Hipervnculo"/>
            <w:rFonts w:ascii="Arial" w:hAnsi="Arial" w:cs="Arial"/>
            <w:i w:val="0"/>
            <w:noProof/>
          </w:rPr>
          <w:t xml:space="preserve"> “</w:t>
        </w:r>
        <w:r w:rsidR="00DD394E" w:rsidRPr="00DD394E">
          <w:rPr>
            <w:rFonts w:ascii="Arial" w:hAnsi="Arial" w:cs="Arial"/>
            <w:i w:val="0"/>
          </w:rPr>
          <w:t>Inmigración ecuatoriana en Estados Unidos 1930 – 2005</w:t>
        </w:r>
        <w:r w:rsidR="00DD394E" w:rsidRPr="00DD394E">
          <w:rPr>
            <w:rStyle w:val="Hipervnculo"/>
            <w:rFonts w:ascii="Arial" w:hAnsi="Arial" w:cs="Arial"/>
            <w:i w:val="0"/>
            <w:noProof/>
          </w:rPr>
          <w:t>”</w:t>
        </w:r>
        <w:r w:rsidR="00DD394E" w:rsidRPr="00DD394E">
          <w:rPr>
            <w:rFonts w:ascii="Arial" w:hAnsi="Arial" w:cs="Arial"/>
            <w:i w:val="0"/>
            <w:noProof/>
            <w:webHidden/>
          </w:rPr>
          <w:tab/>
        </w:r>
        <w:r w:rsidR="00990535" w:rsidRPr="00DD394E">
          <w:rPr>
            <w:rFonts w:ascii="Arial" w:hAnsi="Arial" w:cs="Arial"/>
            <w:i w:val="0"/>
            <w:noProof/>
            <w:webHidden/>
          </w:rPr>
          <w:fldChar w:fldCharType="begin"/>
        </w:r>
        <w:r w:rsidR="00DD394E" w:rsidRPr="00DD394E">
          <w:rPr>
            <w:rFonts w:ascii="Arial" w:hAnsi="Arial" w:cs="Arial"/>
            <w:i w:val="0"/>
            <w:noProof/>
            <w:webHidden/>
          </w:rPr>
          <w:instrText xml:space="preserve"> PAGEREF _Toc341042782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14</w:t>
        </w:r>
        <w:r w:rsidR="00990535" w:rsidRPr="00DD394E">
          <w:rPr>
            <w:rFonts w:ascii="Arial" w:hAnsi="Arial" w:cs="Arial"/>
            <w:i w:val="0"/>
            <w:noProof/>
            <w:webHidden/>
          </w:rPr>
          <w:fldChar w:fldCharType="end"/>
        </w:r>
      </w:hyperlink>
    </w:p>
    <w:p w:rsidR="00DD394E" w:rsidRPr="00DD394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783" w:history="1">
        <w:r w:rsidR="00DD394E" w:rsidRPr="00DD394E">
          <w:rPr>
            <w:rStyle w:val="Hipervnculo"/>
            <w:rFonts w:ascii="Arial" w:hAnsi="Arial" w:cs="Arial"/>
            <w:b/>
            <w:i w:val="0"/>
            <w:noProof/>
          </w:rPr>
          <w:t>Figura 1.4</w:t>
        </w:r>
        <w:r w:rsidR="00DD394E" w:rsidRPr="00DD394E">
          <w:rPr>
            <w:rStyle w:val="Hipervnculo"/>
            <w:rFonts w:ascii="Arial" w:hAnsi="Arial" w:cs="Arial"/>
            <w:i w:val="0"/>
            <w:noProof/>
          </w:rPr>
          <w:t xml:space="preserve"> “</w:t>
        </w:r>
        <w:r w:rsidR="00DD394E" w:rsidRPr="00DD394E">
          <w:rPr>
            <w:rFonts w:ascii="Arial" w:hAnsi="Arial" w:cs="Arial"/>
            <w:i w:val="0"/>
          </w:rPr>
          <w:t>Inmigración ecuatoriana en España desde 1995 al 2004</w:t>
        </w:r>
        <w:r w:rsidR="00DD394E" w:rsidRPr="00DD394E">
          <w:rPr>
            <w:rStyle w:val="Hipervnculo"/>
            <w:rFonts w:ascii="Arial" w:hAnsi="Arial" w:cs="Arial"/>
            <w:i w:val="0"/>
            <w:noProof/>
          </w:rPr>
          <w:t>”</w:t>
        </w:r>
        <w:r w:rsidR="00DD394E" w:rsidRPr="00DD394E">
          <w:rPr>
            <w:rFonts w:ascii="Arial" w:hAnsi="Arial" w:cs="Arial"/>
            <w:i w:val="0"/>
            <w:noProof/>
            <w:webHidden/>
          </w:rPr>
          <w:tab/>
        </w:r>
        <w:r w:rsidR="00990535" w:rsidRPr="00DD394E">
          <w:rPr>
            <w:rFonts w:ascii="Arial" w:hAnsi="Arial" w:cs="Arial"/>
            <w:i w:val="0"/>
            <w:noProof/>
            <w:webHidden/>
          </w:rPr>
          <w:fldChar w:fldCharType="begin"/>
        </w:r>
        <w:r w:rsidR="00DD394E" w:rsidRPr="00DD394E">
          <w:rPr>
            <w:rFonts w:ascii="Arial" w:hAnsi="Arial" w:cs="Arial"/>
            <w:i w:val="0"/>
            <w:noProof/>
            <w:webHidden/>
          </w:rPr>
          <w:instrText xml:space="preserve"> PAGEREF _Toc341042783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15</w:t>
        </w:r>
        <w:r w:rsidR="00990535" w:rsidRPr="00DD394E">
          <w:rPr>
            <w:rFonts w:ascii="Arial" w:hAnsi="Arial" w:cs="Arial"/>
            <w:i w:val="0"/>
            <w:noProof/>
            <w:webHidden/>
          </w:rPr>
          <w:fldChar w:fldCharType="end"/>
        </w:r>
      </w:hyperlink>
    </w:p>
    <w:p w:rsidR="00DD394E" w:rsidRPr="00DD394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784" w:history="1">
        <w:r w:rsidR="00DD394E" w:rsidRPr="00DD394E">
          <w:rPr>
            <w:rStyle w:val="Hipervnculo"/>
            <w:rFonts w:ascii="Arial" w:hAnsi="Arial" w:cs="Arial"/>
            <w:b/>
            <w:i w:val="0"/>
            <w:noProof/>
          </w:rPr>
          <w:t>Figura 1.5</w:t>
        </w:r>
        <w:r w:rsidR="00DD394E" w:rsidRPr="00DD394E">
          <w:rPr>
            <w:rStyle w:val="Hipervnculo"/>
            <w:rFonts w:ascii="Arial" w:hAnsi="Arial" w:cs="Arial"/>
            <w:i w:val="0"/>
            <w:noProof/>
          </w:rPr>
          <w:t xml:space="preserve"> “</w:t>
        </w:r>
        <w:r w:rsidR="00DD394E" w:rsidRPr="00DD394E">
          <w:rPr>
            <w:rFonts w:ascii="Arial" w:hAnsi="Arial" w:cs="Arial"/>
            <w:i w:val="0"/>
          </w:rPr>
          <w:t>Inmigración ecuatoriana en Italia 1993 – 2005</w:t>
        </w:r>
        <w:r w:rsidR="00DD394E" w:rsidRPr="00DD394E">
          <w:rPr>
            <w:rStyle w:val="Hipervnculo"/>
            <w:rFonts w:ascii="Arial" w:hAnsi="Arial" w:cs="Arial"/>
            <w:i w:val="0"/>
            <w:noProof/>
          </w:rPr>
          <w:t>”</w:t>
        </w:r>
        <w:r w:rsidR="00DD394E" w:rsidRPr="00DD394E">
          <w:rPr>
            <w:rFonts w:ascii="Arial" w:hAnsi="Arial" w:cs="Arial"/>
            <w:i w:val="0"/>
            <w:noProof/>
            <w:webHidden/>
          </w:rPr>
          <w:tab/>
        </w:r>
        <w:r w:rsidR="00990535" w:rsidRPr="00DD394E">
          <w:rPr>
            <w:rFonts w:ascii="Arial" w:hAnsi="Arial" w:cs="Arial"/>
            <w:i w:val="0"/>
            <w:noProof/>
            <w:webHidden/>
          </w:rPr>
          <w:fldChar w:fldCharType="begin"/>
        </w:r>
        <w:r w:rsidR="00DD394E" w:rsidRPr="00DD394E">
          <w:rPr>
            <w:rFonts w:ascii="Arial" w:hAnsi="Arial" w:cs="Arial"/>
            <w:i w:val="0"/>
            <w:noProof/>
            <w:webHidden/>
          </w:rPr>
          <w:instrText xml:space="preserve"> PAGEREF _Toc341042784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16</w:t>
        </w:r>
        <w:r w:rsidR="00990535" w:rsidRPr="00DD394E">
          <w:rPr>
            <w:rFonts w:ascii="Arial" w:hAnsi="Arial" w:cs="Arial"/>
            <w:i w:val="0"/>
            <w:noProof/>
            <w:webHidden/>
          </w:rPr>
          <w:fldChar w:fldCharType="end"/>
        </w:r>
      </w:hyperlink>
    </w:p>
    <w:p w:rsidR="00DD394E" w:rsidRPr="00DD394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785" w:history="1">
        <w:r w:rsidR="00DD394E" w:rsidRPr="00DD394E">
          <w:rPr>
            <w:rStyle w:val="Hipervnculo"/>
            <w:rFonts w:ascii="Arial" w:hAnsi="Arial" w:cs="Arial"/>
            <w:b/>
            <w:i w:val="0"/>
            <w:noProof/>
          </w:rPr>
          <w:t>Figura 1.6</w:t>
        </w:r>
        <w:r w:rsidR="00DD394E" w:rsidRPr="00DD394E">
          <w:rPr>
            <w:rStyle w:val="Hipervnculo"/>
            <w:rFonts w:ascii="Arial" w:hAnsi="Arial" w:cs="Arial"/>
            <w:i w:val="0"/>
            <w:noProof/>
          </w:rPr>
          <w:t xml:space="preserve"> “</w:t>
        </w:r>
        <w:r w:rsidR="00DD394E" w:rsidRPr="00DD394E">
          <w:rPr>
            <w:rFonts w:ascii="Arial" w:hAnsi="Arial" w:cs="Arial"/>
            <w:i w:val="0"/>
          </w:rPr>
          <w:t>Movimientos del área rural al área urbana desde el censo de 1950 al 2001</w:t>
        </w:r>
        <w:r w:rsidR="00DD394E" w:rsidRPr="00DD394E">
          <w:rPr>
            <w:rStyle w:val="Hipervnculo"/>
            <w:rFonts w:ascii="Arial" w:hAnsi="Arial" w:cs="Arial"/>
            <w:i w:val="0"/>
            <w:noProof/>
          </w:rPr>
          <w:t>”</w:t>
        </w:r>
        <w:r w:rsidR="00DD394E" w:rsidRPr="00DD394E">
          <w:rPr>
            <w:rFonts w:ascii="Arial" w:hAnsi="Arial" w:cs="Arial"/>
            <w:i w:val="0"/>
            <w:noProof/>
            <w:webHidden/>
          </w:rPr>
          <w:tab/>
        </w:r>
        <w:r w:rsidR="00990535" w:rsidRPr="00DD394E">
          <w:rPr>
            <w:rFonts w:ascii="Arial" w:hAnsi="Arial" w:cs="Arial"/>
            <w:i w:val="0"/>
            <w:noProof/>
            <w:webHidden/>
          </w:rPr>
          <w:fldChar w:fldCharType="begin"/>
        </w:r>
        <w:r w:rsidR="00DD394E" w:rsidRPr="00DD394E">
          <w:rPr>
            <w:rFonts w:ascii="Arial" w:hAnsi="Arial" w:cs="Arial"/>
            <w:i w:val="0"/>
            <w:noProof/>
            <w:webHidden/>
          </w:rPr>
          <w:instrText xml:space="preserve"> PAGEREF _Toc341042785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19</w:t>
        </w:r>
        <w:r w:rsidR="00990535" w:rsidRPr="00DD394E">
          <w:rPr>
            <w:rFonts w:ascii="Arial" w:hAnsi="Arial" w:cs="Arial"/>
            <w:i w:val="0"/>
            <w:noProof/>
            <w:webHidden/>
          </w:rPr>
          <w:fldChar w:fldCharType="end"/>
        </w:r>
      </w:hyperlink>
    </w:p>
    <w:p w:rsidR="00DD394E" w:rsidRPr="009C410E" w:rsidRDefault="00990535" w:rsidP="00DD394E">
      <w:pPr>
        <w:spacing w:line="360" w:lineRule="auto"/>
        <w:ind w:left="0"/>
        <w:jc w:val="left"/>
        <w:rPr>
          <w:rFonts w:ascii="Arial" w:hAnsi="Arial" w:cs="Arial"/>
          <w:noProof/>
          <w:sz w:val="20"/>
          <w:szCs w:val="20"/>
        </w:rPr>
      </w:pPr>
      <w:r w:rsidRPr="00DD394E">
        <w:rPr>
          <w:rFonts w:ascii="Arial" w:hAnsi="Arial" w:cs="Arial"/>
          <w:iCs/>
          <w:caps/>
          <w:sz w:val="20"/>
          <w:szCs w:val="20"/>
        </w:rPr>
        <w:fldChar w:fldCharType="end"/>
      </w:r>
      <w:r w:rsidR="00103B23" w:rsidRPr="00DD394E">
        <w:rPr>
          <w:rFonts w:ascii="Arial" w:hAnsi="Arial" w:cs="Arial"/>
          <w:b/>
          <w:iCs/>
          <w:sz w:val="20"/>
          <w:szCs w:val="20"/>
        </w:rPr>
        <w:t>2</w:t>
      </w:r>
      <w:r w:rsidR="00DD394E">
        <w:rPr>
          <w:rFonts w:ascii="Arial" w:hAnsi="Arial" w:cs="Arial"/>
          <w:b/>
          <w:iCs/>
          <w:sz w:val="20"/>
          <w:szCs w:val="20"/>
        </w:rPr>
        <w:t>.</w:t>
      </w:r>
      <w:r w:rsidR="00103B23" w:rsidRPr="00DD394E">
        <w:rPr>
          <w:rFonts w:ascii="Arial" w:hAnsi="Arial" w:cs="Arial"/>
          <w:b/>
          <w:iCs/>
          <w:sz w:val="20"/>
          <w:szCs w:val="20"/>
        </w:rPr>
        <w:t xml:space="preserve"> MIGRACIÓN INTERNA EN ECUADOR</w:t>
      </w:r>
      <w:r w:rsidRPr="009C410E">
        <w:rPr>
          <w:rFonts w:ascii="Arial" w:hAnsi="Arial" w:cs="Arial"/>
          <w:b/>
          <w:iCs/>
          <w:caps/>
          <w:sz w:val="20"/>
          <w:szCs w:val="20"/>
        </w:rPr>
        <w:fldChar w:fldCharType="begin"/>
      </w:r>
      <w:r w:rsidR="00F43450" w:rsidRPr="009C410E">
        <w:rPr>
          <w:rFonts w:ascii="Arial" w:hAnsi="Arial" w:cs="Arial"/>
          <w:b/>
          <w:iCs/>
          <w:caps/>
          <w:sz w:val="20"/>
          <w:szCs w:val="20"/>
        </w:rPr>
        <w:instrText xml:space="preserve"> TOC \h \z \c "Figura 2." </w:instrText>
      </w:r>
      <w:r w:rsidRPr="009C410E">
        <w:rPr>
          <w:rFonts w:ascii="Arial" w:hAnsi="Arial" w:cs="Arial"/>
          <w:b/>
          <w:iCs/>
          <w:caps/>
          <w:sz w:val="20"/>
          <w:szCs w:val="20"/>
        </w:rPr>
        <w:fldChar w:fldCharType="separate"/>
      </w:r>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991" w:history="1">
        <w:r w:rsidR="00DD394E" w:rsidRPr="009C410E">
          <w:rPr>
            <w:rStyle w:val="Hipervnculo"/>
            <w:rFonts w:ascii="Arial" w:hAnsi="Arial" w:cs="Arial"/>
            <w:b/>
            <w:i w:val="0"/>
            <w:noProof/>
          </w:rPr>
          <w:t>Figura 2.1</w:t>
        </w:r>
        <w:r w:rsidR="00DD394E" w:rsidRPr="009C410E">
          <w:rPr>
            <w:rStyle w:val="Hipervnculo"/>
            <w:rFonts w:ascii="Arial" w:hAnsi="Arial" w:cs="Arial"/>
            <w:i w:val="0"/>
            <w:noProof/>
          </w:rPr>
          <w:t xml:space="preserve"> “</w:t>
        </w:r>
        <w:r w:rsidR="00DD394E" w:rsidRPr="009C410E">
          <w:rPr>
            <w:rFonts w:ascii="Arial" w:hAnsi="Arial" w:cs="Arial"/>
            <w:i w:val="0"/>
          </w:rPr>
          <w:t>Ecuador 2010: Tasa de Inmigración por cada 1000 residentes a nivel Provincial</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_Toc341042991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38</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992" w:history="1">
        <w:r w:rsidR="00DD394E" w:rsidRPr="009C410E">
          <w:rPr>
            <w:rStyle w:val="Hipervnculo"/>
            <w:rFonts w:ascii="Arial" w:hAnsi="Arial" w:cs="Arial"/>
            <w:b/>
            <w:i w:val="0"/>
            <w:noProof/>
          </w:rPr>
          <w:t>Figura 2.2</w:t>
        </w:r>
        <w:r w:rsidR="00DD394E" w:rsidRPr="009C410E">
          <w:rPr>
            <w:rStyle w:val="Hipervnculo"/>
            <w:rFonts w:ascii="Arial" w:hAnsi="Arial" w:cs="Arial"/>
            <w:i w:val="0"/>
            <w:noProof/>
          </w:rPr>
          <w:t xml:space="preserve"> “</w:t>
        </w:r>
        <w:r w:rsidR="00DD394E" w:rsidRPr="009C410E">
          <w:rPr>
            <w:rFonts w:ascii="Arial" w:hAnsi="Arial" w:cs="Arial"/>
            <w:i w:val="0"/>
          </w:rPr>
          <w:t>Ecuador 2010: Tasa de Emigración por cada 1000 nacidos en la Provincia</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_Toc341042992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42</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993" w:history="1">
        <w:r w:rsidR="00DD394E" w:rsidRPr="009C410E">
          <w:rPr>
            <w:rStyle w:val="Hipervnculo"/>
            <w:rFonts w:ascii="Arial" w:hAnsi="Arial" w:cs="Arial"/>
            <w:b/>
            <w:i w:val="0"/>
            <w:noProof/>
          </w:rPr>
          <w:t>Figura 2.3</w:t>
        </w:r>
        <w:r w:rsidR="00DD394E" w:rsidRPr="009C410E">
          <w:rPr>
            <w:rStyle w:val="Hipervnculo"/>
            <w:rFonts w:ascii="Arial" w:hAnsi="Arial" w:cs="Arial"/>
            <w:i w:val="0"/>
            <w:noProof/>
          </w:rPr>
          <w:t xml:space="preserve"> “</w:t>
        </w:r>
        <w:r w:rsidR="00DD394E" w:rsidRPr="009C410E">
          <w:rPr>
            <w:rFonts w:ascii="Arial" w:hAnsi="Arial" w:cs="Arial"/>
            <w:i w:val="0"/>
          </w:rPr>
          <w:t>Ecuador 2010: Total de Inmigrantes por Kilómetro cuadrado de la provincia de Residencia habitual</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_Toc341042993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45</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994" w:history="1">
        <w:r w:rsidR="00DD394E" w:rsidRPr="009C410E">
          <w:rPr>
            <w:rStyle w:val="Hipervnculo"/>
            <w:rFonts w:ascii="Arial" w:hAnsi="Arial" w:cs="Arial"/>
            <w:b/>
            <w:i w:val="0"/>
            <w:noProof/>
          </w:rPr>
          <w:t>Figura 2.4</w:t>
        </w:r>
        <w:r w:rsidR="00DD394E" w:rsidRPr="009C410E">
          <w:rPr>
            <w:rStyle w:val="Hipervnculo"/>
            <w:rFonts w:ascii="Arial" w:hAnsi="Arial" w:cs="Arial"/>
            <w:i w:val="0"/>
            <w:noProof/>
          </w:rPr>
          <w:t xml:space="preserve"> “</w:t>
        </w:r>
        <w:r w:rsidR="00DD394E" w:rsidRPr="009C410E">
          <w:rPr>
            <w:rFonts w:ascii="Arial" w:hAnsi="Arial" w:cs="Arial"/>
            <w:i w:val="0"/>
          </w:rPr>
          <w:t>Ecuador 2010: Total de Emigrantes por Kilómetro cuadrado de la provincia de Nacimiento</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_Toc341042994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46</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995" w:history="1">
        <w:r w:rsidR="00DD394E" w:rsidRPr="009C410E">
          <w:rPr>
            <w:rStyle w:val="Hipervnculo"/>
            <w:rFonts w:ascii="Arial" w:hAnsi="Arial" w:cs="Arial"/>
            <w:b/>
            <w:i w:val="0"/>
            <w:noProof/>
          </w:rPr>
          <w:t>Figura 2.5</w:t>
        </w:r>
        <w:r w:rsidR="00DD394E" w:rsidRPr="009C410E">
          <w:rPr>
            <w:rStyle w:val="Hipervnculo"/>
            <w:rFonts w:ascii="Arial" w:hAnsi="Arial" w:cs="Arial"/>
            <w:i w:val="0"/>
            <w:noProof/>
          </w:rPr>
          <w:t xml:space="preserve"> “</w:t>
        </w:r>
        <w:r w:rsidR="00DD394E" w:rsidRPr="009C410E">
          <w:rPr>
            <w:rFonts w:ascii="Arial" w:hAnsi="Arial" w:cs="Arial"/>
            <w:i w:val="0"/>
          </w:rPr>
          <w:t>Ecuador 2010: Tasa de Inmigración por cada 1000 residentes en la Provincia</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_Toc341042995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48</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996" w:history="1">
        <w:r w:rsidR="00DD394E" w:rsidRPr="009C410E">
          <w:rPr>
            <w:rStyle w:val="Hipervnculo"/>
            <w:rFonts w:ascii="Arial" w:hAnsi="Arial" w:cs="Arial"/>
            <w:b/>
            <w:i w:val="0"/>
            <w:noProof/>
          </w:rPr>
          <w:t>Figura 2.6</w:t>
        </w:r>
        <w:r w:rsidR="00DD394E" w:rsidRPr="009C410E">
          <w:rPr>
            <w:rStyle w:val="Hipervnculo"/>
            <w:rFonts w:ascii="Arial" w:hAnsi="Arial" w:cs="Arial"/>
            <w:i w:val="0"/>
            <w:noProof/>
          </w:rPr>
          <w:t xml:space="preserve"> “</w:t>
        </w:r>
        <w:r w:rsidR="00DD394E" w:rsidRPr="009C410E">
          <w:rPr>
            <w:rFonts w:ascii="Arial" w:hAnsi="Arial" w:cs="Arial"/>
            <w:i w:val="0"/>
          </w:rPr>
          <w:t>Ecuador 2010: Tasa de Emigración por cada 1000 habitantes que hace 5 años vivían en la Provincia</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_Toc341042996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50</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997" w:history="1">
        <w:r w:rsidR="00DD394E" w:rsidRPr="009C410E">
          <w:rPr>
            <w:rStyle w:val="Hipervnculo"/>
            <w:rFonts w:ascii="Arial" w:hAnsi="Arial" w:cs="Arial"/>
            <w:b/>
            <w:i w:val="0"/>
            <w:noProof/>
          </w:rPr>
          <w:t>Figura 2.7</w:t>
        </w:r>
        <w:r w:rsidR="00DD394E" w:rsidRPr="009C410E">
          <w:rPr>
            <w:rStyle w:val="Hipervnculo"/>
            <w:rFonts w:ascii="Arial" w:hAnsi="Arial" w:cs="Arial"/>
            <w:i w:val="0"/>
            <w:noProof/>
          </w:rPr>
          <w:t xml:space="preserve"> “</w:t>
        </w:r>
        <w:r w:rsidR="00DD394E" w:rsidRPr="009C410E">
          <w:rPr>
            <w:rFonts w:ascii="Arial" w:hAnsi="Arial" w:cs="Arial"/>
            <w:i w:val="0"/>
          </w:rPr>
          <w:t>Ecuador 2010: Tasa de área de residencia por cada 1000 Inmigrantes dado que se conoce la provincia de residencia habitual</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_Toc341042997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52</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998" w:history="1">
        <w:r w:rsidR="00DD394E" w:rsidRPr="009C410E">
          <w:rPr>
            <w:rStyle w:val="Hipervnculo"/>
            <w:rFonts w:ascii="Arial" w:hAnsi="Arial" w:cs="Arial"/>
            <w:b/>
            <w:i w:val="0"/>
            <w:noProof/>
          </w:rPr>
          <w:t>Figura 2.8</w:t>
        </w:r>
        <w:r w:rsidR="00DD394E" w:rsidRPr="009C410E">
          <w:rPr>
            <w:rStyle w:val="Hipervnculo"/>
            <w:rFonts w:ascii="Arial" w:hAnsi="Arial" w:cs="Arial"/>
            <w:i w:val="0"/>
            <w:noProof/>
          </w:rPr>
          <w:t xml:space="preserve"> “</w:t>
        </w:r>
        <w:r w:rsidR="00DD394E" w:rsidRPr="009C410E">
          <w:rPr>
            <w:rFonts w:ascii="Arial" w:hAnsi="Arial" w:cs="Arial"/>
            <w:i w:val="0"/>
          </w:rPr>
          <w:t>Ecuador 2010: Índice de Feminidad de los Emigrantes por provincia de nacimiento</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_Toc341042998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55</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2999" w:history="1">
        <w:r w:rsidR="00DD394E" w:rsidRPr="009C410E">
          <w:rPr>
            <w:rStyle w:val="Hipervnculo"/>
            <w:rFonts w:ascii="Arial" w:hAnsi="Arial" w:cs="Arial"/>
            <w:b/>
            <w:i w:val="0"/>
            <w:noProof/>
          </w:rPr>
          <w:t>Figura 2.9</w:t>
        </w:r>
        <w:r w:rsidR="00DD394E" w:rsidRPr="009C410E">
          <w:rPr>
            <w:rStyle w:val="Hipervnculo"/>
            <w:rFonts w:ascii="Arial" w:hAnsi="Arial" w:cs="Arial"/>
            <w:i w:val="0"/>
            <w:noProof/>
          </w:rPr>
          <w:t xml:space="preserve"> “</w:t>
        </w:r>
        <w:r w:rsidR="00DD394E" w:rsidRPr="009C410E">
          <w:rPr>
            <w:rFonts w:ascii="Arial" w:hAnsi="Arial" w:cs="Arial"/>
            <w:i w:val="0"/>
          </w:rPr>
          <w:t>Ecuador 2010: Distribución de Edad de los Inmigrantes por Provincia de residencia habitual</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_Toc341042999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56</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000" w:history="1">
        <w:r w:rsidR="00DD394E" w:rsidRPr="009C410E">
          <w:rPr>
            <w:rStyle w:val="Hipervnculo"/>
            <w:rFonts w:ascii="Arial" w:hAnsi="Arial" w:cs="Arial"/>
            <w:b/>
            <w:i w:val="0"/>
            <w:noProof/>
          </w:rPr>
          <w:t>Figura 2.10</w:t>
        </w:r>
        <w:r w:rsidR="00DD394E" w:rsidRPr="009C410E">
          <w:rPr>
            <w:rStyle w:val="Hipervnculo"/>
            <w:rFonts w:ascii="Arial" w:hAnsi="Arial" w:cs="Arial"/>
            <w:i w:val="0"/>
            <w:noProof/>
          </w:rPr>
          <w:t xml:space="preserve"> “</w:t>
        </w:r>
        <w:r w:rsidR="00DD394E" w:rsidRPr="009C410E">
          <w:rPr>
            <w:rFonts w:ascii="Arial" w:hAnsi="Arial" w:cs="Arial"/>
            <w:i w:val="0"/>
          </w:rPr>
          <w:t>Ecuador 2010: Distribución de Edad de los Emigrantes por Provincia de nacimiento</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_Toc341043000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58</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001" w:history="1">
        <w:r w:rsidR="00DD394E" w:rsidRPr="009C410E">
          <w:rPr>
            <w:rStyle w:val="Hipervnculo"/>
            <w:rFonts w:ascii="Arial" w:hAnsi="Arial" w:cs="Arial"/>
            <w:b/>
            <w:i w:val="0"/>
            <w:noProof/>
          </w:rPr>
          <w:t>Figura 2.11</w:t>
        </w:r>
        <w:r w:rsidR="00DD394E" w:rsidRPr="009C410E">
          <w:rPr>
            <w:rStyle w:val="Hipervnculo"/>
            <w:rFonts w:ascii="Arial" w:hAnsi="Arial" w:cs="Arial"/>
            <w:i w:val="0"/>
            <w:noProof/>
          </w:rPr>
          <w:t xml:space="preserve"> “</w:t>
        </w:r>
        <w:r w:rsidR="009C410E" w:rsidRPr="009C410E">
          <w:rPr>
            <w:rFonts w:ascii="Arial" w:hAnsi="Arial" w:cs="Arial"/>
            <w:i w:val="0"/>
          </w:rPr>
          <w:t>Ecuador 2010: Tasa de Participación Económica por cada 100 Inmigrantes por Provincia</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_Toc341043001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64</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002" w:history="1">
        <w:r w:rsidR="00DD394E" w:rsidRPr="009C410E">
          <w:rPr>
            <w:rStyle w:val="Hipervnculo"/>
            <w:rFonts w:ascii="Arial" w:hAnsi="Arial" w:cs="Arial"/>
            <w:b/>
            <w:i w:val="0"/>
            <w:noProof/>
          </w:rPr>
          <w:t>Figura 2.12</w:t>
        </w:r>
        <w:r w:rsidR="00DD394E" w:rsidRPr="009C410E">
          <w:rPr>
            <w:rStyle w:val="Hipervnculo"/>
            <w:rFonts w:ascii="Arial" w:hAnsi="Arial" w:cs="Arial"/>
            <w:i w:val="0"/>
            <w:noProof/>
          </w:rPr>
          <w:t xml:space="preserve"> “</w:t>
        </w:r>
        <w:r w:rsidR="009C410E" w:rsidRPr="009C410E">
          <w:rPr>
            <w:rFonts w:ascii="Arial" w:hAnsi="Arial" w:cs="Arial"/>
            <w:i w:val="0"/>
          </w:rPr>
          <w:t>Manabí 2010: Índice de feminidad por grupo de edad de los emigrantes nacidos en Manabí</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_Toc341043002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68</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003" w:history="1">
        <w:r w:rsidR="00DD394E" w:rsidRPr="009C410E">
          <w:rPr>
            <w:rStyle w:val="Hipervnculo"/>
            <w:rFonts w:ascii="Arial" w:hAnsi="Arial" w:cs="Arial"/>
            <w:b/>
            <w:i w:val="0"/>
            <w:noProof/>
          </w:rPr>
          <w:t>Figura 2.13</w:t>
        </w:r>
        <w:r w:rsidR="00DD394E" w:rsidRPr="009C410E">
          <w:rPr>
            <w:rStyle w:val="Hipervnculo"/>
            <w:rFonts w:ascii="Arial" w:hAnsi="Arial" w:cs="Arial"/>
            <w:i w:val="0"/>
            <w:noProof/>
          </w:rPr>
          <w:t xml:space="preserve"> “</w:t>
        </w:r>
        <w:r w:rsidR="009C410E" w:rsidRPr="009C410E">
          <w:rPr>
            <w:rFonts w:ascii="Arial" w:hAnsi="Arial" w:cs="Arial"/>
            <w:i w:val="0"/>
          </w:rPr>
          <w:t>Manabí 2010: Tasa de área de residencia para grupo de edades específicas y género</w:t>
        </w:r>
        <w:r w:rsidR="009C410E" w:rsidRPr="009C410E">
          <w:rPr>
            <w:rFonts w:ascii="Arial" w:hAnsi="Arial" w:cs="Arial"/>
          </w:rPr>
          <w:t xml:space="preserve"> </w:t>
        </w:r>
        <w:r w:rsidR="009C410E" w:rsidRPr="009C410E">
          <w:rPr>
            <w:rFonts w:ascii="Arial" w:hAnsi="Arial" w:cs="Arial"/>
            <w:i w:val="0"/>
          </w:rPr>
          <w:t>por cada 1000 emigrantes</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_Toc341043003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70</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004" w:history="1">
        <w:r w:rsidR="00DD394E" w:rsidRPr="009C410E">
          <w:rPr>
            <w:rStyle w:val="Hipervnculo"/>
            <w:rFonts w:ascii="Arial" w:hAnsi="Arial" w:cs="Arial"/>
            <w:b/>
            <w:i w:val="0"/>
            <w:noProof/>
          </w:rPr>
          <w:t>Figura 2.14</w:t>
        </w:r>
        <w:r w:rsidR="00DD394E" w:rsidRPr="009C410E">
          <w:rPr>
            <w:rStyle w:val="Hipervnculo"/>
            <w:rFonts w:ascii="Arial" w:hAnsi="Arial" w:cs="Arial"/>
            <w:i w:val="0"/>
            <w:noProof/>
          </w:rPr>
          <w:t xml:space="preserve"> “</w:t>
        </w:r>
        <w:r w:rsidR="009C410E" w:rsidRPr="009C410E">
          <w:rPr>
            <w:rFonts w:ascii="Arial" w:hAnsi="Arial" w:cs="Arial"/>
            <w:i w:val="0"/>
          </w:rPr>
          <w:t>Guayaquil 2010: Distribución Género - Edad de los Inmigrantes residentes en Guayaquil</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_Toc341043004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86</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005" w:history="1">
        <w:r w:rsidR="00DD394E" w:rsidRPr="009C410E">
          <w:rPr>
            <w:rStyle w:val="Hipervnculo"/>
            <w:rFonts w:ascii="Arial" w:hAnsi="Arial" w:cs="Arial"/>
            <w:b/>
            <w:i w:val="0"/>
            <w:noProof/>
          </w:rPr>
          <w:t>Figura 2.15</w:t>
        </w:r>
        <w:r w:rsidR="00DD394E" w:rsidRPr="009C410E">
          <w:rPr>
            <w:rStyle w:val="Hipervnculo"/>
            <w:rFonts w:ascii="Arial" w:hAnsi="Arial" w:cs="Arial"/>
            <w:i w:val="0"/>
            <w:noProof/>
          </w:rPr>
          <w:t xml:space="preserve"> “</w:t>
        </w:r>
        <w:r w:rsidR="009C410E" w:rsidRPr="009C410E">
          <w:rPr>
            <w:rFonts w:ascii="Arial" w:hAnsi="Arial" w:cs="Arial"/>
            <w:i w:val="0"/>
          </w:rPr>
          <w:t>Guayaquil 2010: Tasa de Analfabetismo para grupo de edades específicas y género por cada 1000 Inmigrantes</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_Toc341043005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88</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006" w:history="1">
        <w:r w:rsidR="00DD394E" w:rsidRPr="009C410E">
          <w:rPr>
            <w:rStyle w:val="Hipervnculo"/>
            <w:rFonts w:ascii="Arial" w:hAnsi="Arial" w:cs="Arial"/>
            <w:b/>
            <w:i w:val="0"/>
            <w:noProof/>
          </w:rPr>
          <w:t>Figura 2.16</w:t>
        </w:r>
        <w:r w:rsidR="00DD394E" w:rsidRPr="009C410E">
          <w:rPr>
            <w:rStyle w:val="Hipervnculo"/>
            <w:rFonts w:ascii="Arial" w:hAnsi="Arial" w:cs="Arial"/>
            <w:i w:val="0"/>
            <w:noProof/>
          </w:rPr>
          <w:t xml:space="preserve"> “</w:t>
        </w:r>
        <w:r w:rsidR="009C410E" w:rsidRPr="009C410E">
          <w:rPr>
            <w:rFonts w:ascii="Arial" w:hAnsi="Arial" w:cs="Arial"/>
            <w:i w:val="0"/>
          </w:rPr>
          <w:t>Guayaquil 2010: Tasa de área de residencia para grupo de edades específicas y género</w:t>
        </w:r>
        <w:r w:rsidR="009C410E" w:rsidRPr="009C410E">
          <w:rPr>
            <w:rFonts w:ascii="Arial" w:hAnsi="Arial" w:cs="Arial"/>
          </w:rPr>
          <w:t xml:space="preserve"> </w:t>
        </w:r>
        <w:r w:rsidR="009C410E" w:rsidRPr="009C410E">
          <w:rPr>
            <w:rFonts w:ascii="Arial" w:hAnsi="Arial" w:cs="Arial"/>
            <w:i w:val="0"/>
          </w:rPr>
          <w:t>por cada 1000 Inmigrantes</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_Toc341043006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93</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007" w:history="1">
        <w:r w:rsidR="00DD394E" w:rsidRPr="009C410E">
          <w:rPr>
            <w:rStyle w:val="Hipervnculo"/>
            <w:rFonts w:ascii="Arial" w:hAnsi="Arial" w:cs="Arial"/>
            <w:b/>
            <w:i w:val="0"/>
            <w:noProof/>
          </w:rPr>
          <w:t>Figura 2.17</w:t>
        </w:r>
        <w:r w:rsidR="00DD394E" w:rsidRPr="009C410E">
          <w:rPr>
            <w:rStyle w:val="Hipervnculo"/>
            <w:rFonts w:ascii="Arial" w:hAnsi="Arial" w:cs="Arial"/>
            <w:i w:val="0"/>
            <w:noProof/>
          </w:rPr>
          <w:t xml:space="preserve"> “</w:t>
        </w:r>
        <w:r w:rsidR="009C410E" w:rsidRPr="009C410E">
          <w:rPr>
            <w:rFonts w:ascii="Arial" w:hAnsi="Arial" w:cs="Arial"/>
            <w:i w:val="0"/>
          </w:rPr>
          <w:t>Guayaquil 2010: Tasa de estado conyugal para grupo de edades específicas y género</w:t>
        </w:r>
        <w:r w:rsidR="009C410E" w:rsidRPr="009C410E">
          <w:rPr>
            <w:rFonts w:ascii="Arial" w:hAnsi="Arial" w:cs="Arial"/>
          </w:rPr>
          <w:t xml:space="preserve"> </w:t>
        </w:r>
        <w:r w:rsidR="009C410E" w:rsidRPr="009C410E">
          <w:rPr>
            <w:rFonts w:ascii="Arial" w:hAnsi="Arial" w:cs="Arial"/>
            <w:i w:val="0"/>
          </w:rPr>
          <w:t>por cada 1000 Inmigrantes residentes en Guayaquil</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_Toc341043007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95</w:t>
        </w:r>
        <w:r w:rsidR="00990535" w:rsidRPr="009C410E">
          <w:rPr>
            <w:rFonts w:ascii="Arial" w:hAnsi="Arial" w:cs="Arial"/>
            <w:i w:val="0"/>
            <w:noProof/>
            <w:webHidden/>
          </w:rPr>
          <w:fldChar w:fldCharType="end"/>
        </w:r>
      </w:hyperlink>
    </w:p>
    <w:p w:rsidR="00DD394E" w:rsidRPr="009C410E" w:rsidRDefault="00436907" w:rsidP="00DD394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008" w:history="1">
        <w:r w:rsidR="00DD394E" w:rsidRPr="009C410E">
          <w:rPr>
            <w:rStyle w:val="Hipervnculo"/>
            <w:rFonts w:ascii="Arial" w:hAnsi="Arial" w:cs="Arial"/>
            <w:b/>
            <w:i w:val="0"/>
            <w:noProof/>
          </w:rPr>
          <w:t>Figura 2.18</w:t>
        </w:r>
        <w:r w:rsidR="00DD394E" w:rsidRPr="009C410E">
          <w:rPr>
            <w:rStyle w:val="Hipervnculo"/>
            <w:rFonts w:ascii="Arial" w:hAnsi="Arial" w:cs="Arial"/>
            <w:i w:val="0"/>
            <w:noProof/>
          </w:rPr>
          <w:t xml:space="preserve"> “</w:t>
        </w:r>
        <w:r w:rsidR="009C410E" w:rsidRPr="009C410E">
          <w:rPr>
            <w:rFonts w:ascii="Arial" w:hAnsi="Arial" w:cs="Arial"/>
            <w:i w:val="0"/>
          </w:rPr>
          <w:t>Guayaquil 2010: Tasa por Estado Ocupacional para Edades específicas y Género</w:t>
        </w:r>
        <w:r w:rsidR="009C410E" w:rsidRPr="009C410E">
          <w:rPr>
            <w:rFonts w:ascii="Arial" w:hAnsi="Arial" w:cs="Arial"/>
          </w:rPr>
          <w:t xml:space="preserve"> </w:t>
        </w:r>
        <w:r w:rsidR="009C410E" w:rsidRPr="009C410E">
          <w:rPr>
            <w:rFonts w:ascii="Arial" w:hAnsi="Arial" w:cs="Arial"/>
            <w:i w:val="0"/>
          </w:rPr>
          <w:t>por cada 1000 Inmigrantes residentes en Guayaquil</w:t>
        </w:r>
        <w:r w:rsidR="00DD394E" w:rsidRPr="009C410E">
          <w:rPr>
            <w:rStyle w:val="Hipervnculo"/>
            <w:rFonts w:ascii="Arial" w:hAnsi="Arial" w:cs="Arial"/>
            <w:i w:val="0"/>
            <w:noProof/>
          </w:rPr>
          <w:t>”</w:t>
        </w:r>
        <w:r w:rsidR="00DD394E" w:rsidRPr="009C410E">
          <w:rPr>
            <w:rFonts w:ascii="Arial" w:hAnsi="Arial" w:cs="Arial"/>
            <w:i w:val="0"/>
            <w:noProof/>
            <w:webHidden/>
          </w:rPr>
          <w:tab/>
        </w:r>
        <w:r w:rsidR="00990535" w:rsidRPr="009C410E">
          <w:rPr>
            <w:rFonts w:ascii="Arial" w:hAnsi="Arial" w:cs="Arial"/>
            <w:i w:val="0"/>
            <w:noProof/>
            <w:webHidden/>
          </w:rPr>
          <w:fldChar w:fldCharType="begin"/>
        </w:r>
        <w:r w:rsidR="00DD394E" w:rsidRPr="009C410E">
          <w:rPr>
            <w:rFonts w:ascii="Arial" w:hAnsi="Arial" w:cs="Arial"/>
            <w:i w:val="0"/>
            <w:noProof/>
            <w:webHidden/>
          </w:rPr>
          <w:instrText xml:space="preserve"> PAGEREF _Toc341043008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98</w:t>
        </w:r>
        <w:r w:rsidR="00990535" w:rsidRPr="009C410E">
          <w:rPr>
            <w:rFonts w:ascii="Arial" w:hAnsi="Arial" w:cs="Arial"/>
            <w:i w:val="0"/>
            <w:noProof/>
            <w:webHidden/>
          </w:rPr>
          <w:fldChar w:fldCharType="end"/>
        </w:r>
      </w:hyperlink>
    </w:p>
    <w:p w:rsidR="00687136" w:rsidRPr="009C410E" w:rsidRDefault="00990535" w:rsidP="009C410E">
      <w:pPr>
        <w:spacing w:line="360" w:lineRule="auto"/>
        <w:ind w:left="0"/>
        <w:jc w:val="left"/>
        <w:rPr>
          <w:rFonts w:ascii="Arial" w:hAnsi="Arial" w:cs="Arial"/>
          <w:b/>
          <w:sz w:val="20"/>
          <w:szCs w:val="20"/>
        </w:rPr>
      </w:pPr>
      <w:r w:rsidRPr="009C410E">
        <w:rPr>
          <w:rFonts w:ascii="Arial" w:hAnsi="Arial" w:cs="Arial"/>
          <w:iCs/>
          <w:caps/>
          <w:sz w:val="20"/>
          <w:szCs w:val="20"/>
        </w:rPr>
        <w:fldChar w:fldCharType="end"/>
      </w:r>
      <w:r w:rsidR="009C410E" w:rsidRPr="009C410E">
        <w:rPr>
          <w:rFonts w:ascii="Arial" w:hAnsi="Arial" w:cs="Arial"/>
          <w:b/>
          <w:iCs/>
          <w:caps/>
          <w:sz w:val="20"/>
          <w:szCs w:val="20"/>
        </w:rPr>
        <w:t>3.</w:t>
      </w:r>
      <w:r w:rsidR="00103B23" w:rsidRPr="009C410E">
        <w:rPr>
          <w:rFonts w:ascii="Arial" w:hAnsi="Arial" w:cs="Arial"/>
          <w:b/>
          <w:iCs/>
          <w:sz w:val="20"/>
          <w:szCs w:val="20"/>
        </w:rPr>
        <w:t xml:space="preserve"> INMIGRACIÓN INTERNACIONAL</w:t>
      </w:r>
    </w:p>
    <w:p w:rsidR="009C410E" w:rsidRPr="009C410E" w:rsidRDefault="00990535" w:rsidP="009C410E">
      <w:pPr>
        <w:pStyle w:val="Tabladeilustraciones"/>
        <w:tabs>
          <w:tab w:val="right" w:leader="dot" w:pos="8268"/>
        </w:tabs>
        <w:spacing w:line="360" w:lineRule="auto"/>
        <w:rPr>
          <w:rFonts w:ascii="Arial" w:eastAsiaTheme="minorEastAsia" w:hAnsi="Arial" w:cs="Arial"/>
          <w:i w:val="0"/>
          <w:iCs w:val="0"/>
          <w:noProof/>
          <w:lang w:eastAsia="es-EC"/>
        </w:rPr>
      </w:pPr>
      <w:r w:rsidRPr="009C410E">
        <w:rPr>
          <w:rFonts w:ascii="Arial" w:hAnsi="Arial" w:cs="Arial"/>
        </w:rPr>
        <w:fldChar w:fldCharType="begin"/>
      </w:r>
      <w:r w:rsidR="008A7C5A" w:rsidRPr="009C410E">
        <w:rPr>
          <w:rFonts w:ascii="Arial" w:hAnsi="Arial" w:cs="Arial"/>
        </w:rPr>
        <w:instrText xml:space="preserve"> TOC \h \z \c "Figura 3." </w:instrText>
      </w:r>
      <w:r w:rsidRPr="009C410E">
        <w:rPr>
          <w:rFonts w:ascii="Arial" w:hAnsi="Arial" w:cs="Arial"/>
        </w:rPr>
        <w:fldChar w:fldCharType="separate"/>
      </w:r>
      <w:hyperlink w:anchor="_Toc341043400" w:history="1">
        <w:r w:rsidR="009C410E" w:rsidRPr="009C410E">
          <w:rPr>
            <w:rStyle w:val="Hipervnculo"/>
            <w:rFonts w:ascii="Arial" w:hAnsi="Arial" w:cs="Arial"/>
            <w:b/>
            <w:i w:val="0"/>
            <w:noProof/>
          </w:rPr>
          <w:t>Figura 3.1</w:t>
        </w:r>
        <w:r w:rsidR="009C410E" w:rsidRPr="009C410E">
          <w:rPr>
            <w:rStyle w:val="Hipervnculo"/>
            <w:rFonts w:ascii="Arial" w:hAnsi="Arial" w:cs="Arial"/>
            <w:i w:val="0"/>
            <w:noProof/>
          </w:rPr>
          <w:t xml:space="preserve"> “</w:t>
        </w:r>
        <w:r w:rsidR="009C410E" w:rsidRPr="009C410E">
          <w:rPr>
            <w:rFonts w:ascii="Arial" w:hAnsi="Arial" w:cs="Arial"/>
            <w:i w:val="0"/>
          </w:rPr>
          <w:t>Ecuador 2010: Frecuencia Relativa de inmigrantes extranjeros por Provincia de residencia habitual</w:t>
        </w:r>
        <w:r w:rsidR="009C410E" w:rsidRPr="009C410E">
          <w:rPr>
            <w:rStyle w:val="Hipervnculo"/>
            <w:rFonts w:ascii="Arial" w:hAnsi="Arial" w:cs="Arial"/>
            <w:i w:val="0"/>
            <w:noProof/>
          </w:rPr>
          <w:t>”</w:t>
        </w:r>
        <w:r w:rsidR="009C410E" w:rsidRPr="009C410E">
          <w:rPr>
            <w:rFonts w:ascii="Arial" w:hAnsi="Arial" w:cs="Arial"/>
            <w:i w:val="0"/>
            <w:noProof/>
            <w:webHidden/>
          </w:rPr>
          <w:tab/>
        </w:r>
        <w:r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_Toc341043400 \h </w:instrText>
        </w:r>
        <w:r w:rsidRPr="009C410E">
          <w:rPr>
            <w:rFonts w:ascii="Arial" w:hAnsi="Arial" w:cs="Arial"/>
            <w:i w:val="0"/>
            <w:noProof/>
            <w:webHidden/>
          </w:rPr>
        </w:r>
        <w:r w:rsidRPr="009C410E">
          <w:rPr>
            <w:rFonts w:ascii="Arial" w:hAnsi="Arial" w:cs="Arial"/>
            <w:i w:val="0"/>
            <w:noProof/>
            <w:webHidden/>
          </w:rPr>
          <w:fldChar w:fldCharType="separate"/>
        </w:r>
        <w:r w:rsidR="00A242E0">
          <w:rPr>
            <w:rFonts w:ascii="Arial" w:hAnsi="Arial" w:cs="Arial"/>
            <w:i w:val="0"/>
            <w:noProof/>
            <w:webHidden/>
          </w:rPr>
          <w:t>108</w:t>
        </w:r>
        <w:r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01" w:history="1">
        <w:r w:rsidR="009C410E" w:rsidRPr="009C410E">
          <w:rPr>
            <w:rStyle w:val="Hipervnculo"/>
            <w:rFonts w:ascii="Arial" w:hAnsi="Arial" w:cs="Arial"/>
            <w:b/>
            <w:i w:val="0"/>
            <w:noProof/>
          </w:rPr>
          <w:t>Figura 3.2</w:t>
        </w:r>
        <w:r w:rsidR="009C410E" w:rsidRPr="009C410E">
          <w:rPr>
            <w:rStyle w:val="Hipervnculo"/>
            <w:rFonts w:ascii="Arial" w:hAnsi="Arial" w:cs="Arial"/>
            <w:i w:val="0"/>
            <w:noProof/>
          </w:rPr>
          <w:t xml:space="preserve"> “</w:t>
        </w:r>
        <w:r w:rsidR="009C410E" w:rsidRPr="009C410E">
          <w:rPr>
            <w:rFonts w:ascii="Arial" w:hAnsi="Arial" w:cs="Arial"/>
            <w:i w:val="0"/>
          </w:rPr>
          <w:t>Ecuador 2010: Tasa de Inmigración extranjera por cada 1000 habitantes del país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_Toc341043401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109</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02" w:history="1">
        <w:r w:rsidR="009C410E" w:rsidRPr="009C410E">
          <w:rPr>
            <w:rStyle w:val="Hipervnculo"/>
            <w:rFonts w:ascii="Arial" w:hAnsi="Arial" w:cs="Arial"/>
            <w:b/>
            <w:i w:val="0"/>
            <w:noProof/>
          </w:rPr>
          <w:t>Figura 3.3</w:t>
        </w:r>
        <w:r w:rsidR="009C410E" w:rsidRPr="009C410E">
          <w:rPr>
            <w:rStyle w:val="Hipervnculo"/>
            <w:rFonts w:ascii="Arial" w:hAnsi="Arial" w:cs="Arial"/>
            <w:i w:val="0"/>
            <w:noProof/>
          </w:rPr>
          <w:t xml:space="preserve"> “</w:t>
        </w:r>
        <w:r w:rsidR="009C410E" w:rsidRPr="009C410E">
          <w:rPr>
            <w:rFonts w:ascii="Arial" w:hAnsi="Arial" w:cs="Arial"/>
            <w:i w:val="0"/>
          </w:rPr>
          <w:t>Ecuador 2010: Tasa de Inmigración extranjera por cada 1000 residentes a nivel Provincial</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_Toc341043402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111</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03" w:history="1">
        <w:r w:rsidR="009C410E" w:rsidRPr="009C410E">
          <w:rPr>
            <w:rStyle w:val="Hipervnculo"/>
            <w:rFonts w:ascii="Arial" w:hAnsi="Arial" w:cs="Arial"/>
            <w:b/>
            <w:i w:val="0"/>
            <w:noProof/>
          </w:rPr>
          <w:t>Figura 3.4</w:t>
        </w:r>
        <w:r w:rsidR="009C410E" w:rsidRPr="009C410E">
          <w:rPr>
            <w:rStyle w:val="Hipervnculo"/>
            <w:rFonts w:ascii="Arial" w:hAnsi="Arial" w:cs="Arial"/>
            <w:i w:val="0"/>
            <w:noProof/>
          </w:rPr>
          <w:t xml:space="preserve"> “</w:t>
        </w:r>
        <w:r w:rsidR="009C410E" w:rsidRPr="009C410E">
          <w:rPr>
            <w:rFonts w:ascii="Arial" w:hAnsi="Arial" w:cs="Arial"/>
            <w:i w:val="0"/>
          </w:rPr>
          <w:t>Ecuador 2010: Comparación entre la Tasa de Inmigración extranjera a nivel Provincial y la tasa de Inmigración a nivel Nacional</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_Toc341043403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113</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04" w:history="1">
        <w:r w:rsidR="009C410E" w:rsidRPr="009C410E">
          <w:rPr>
            <w:rStyle w:val="Hipervnculo"/>
            <w:rFonts w:ascii="Arial" w:hAnsi="Arial" w:cs="Arial"/>
            <w:b/>
            <w:i w:val="0"/>
            <w:noProof/>
          </w:rPr>
          <w:t>Figura 3.5</w:t>
        </w:r>
        <w:r w:rsidR="009C410E" w:rsidRPr="009C410E">
          <w:rPr>
            <w:rStyle w:val="Hipervnculo"/>
            <w:rFonts w:ascii="Arial" w:hAnsi="Arial" w:cs="Arial"/>
            <w:i w:val="0"/>
            <w:noProof/>
          </w:rPr>
          <w:t xml:space="preserve"> “</w:t>
        </w:r>
        <w:r w:rsidR="009C410E" w:rsidRPr="009C410E">
          <w:rPr>
            <w:rFonts w:ascii="Arial" w:hAnsi="Arial" w:cs="Arial"/>
            <w:i w:val="0"/>
          </w:rPr>
          <w:t>Ecuador 2010: Frecuencia Relativa de inmigrantes por Continente de nacimiento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_Toc341043404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114</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05" w:history="1">
        <w:r w:rsidR="009C410E" w:rsidRPr="009C410E">
          <w:rPr>
            <w:rStyle w:val="Hipervnculo"/>
            <w:rFonts w:ascii="Arial" w:hAnsi="Arial" w:cs="Arial"/>
            <w:b/>
            <w:i w:val="0"/>
            <w:noProof/>
          </w:rPr>
          <w:t>Figura 3.6</w:t>
        </w:r>
        <w:r w:rsidR="009C410E" w:rsidRPr="009C410E">
          <w:rPr>
            <w:rStyle w:val="Hipervnculo"/>
            <w:rFonts w:ascii="Arial" w:hAnsi="Arial" w:cs="Arial"/>
            <w:i w:val="0"/>
            <w:noProof/>
          </w:rPr>
          <w:t xml:space="preserve"> “</w:t>
        </w:r>
        <w:r w:rsidR="009C410E" w:rsidRPr="009C410E">
          <w:rPr>
            <w:rFonts w:ascii="Arial" w:hAnsi="Arial" w:cs="Arial"/>
            <w:i w:val="0"/>
          </w:rPr>
          <w:t>Ecuador 2010: Frecuencia Relativa de inmigrantes por País de nacimiento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_Toc341043405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115</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06" w:history="1">
        <w:r w:rsidR="009C410E" w:rsidRPr="009C410E">
          <w:rPr>
            <w:rStyle w:val="Hipervnculo"/>
            <w:rFonts w:ascii="Arial" w:hAnsi="Arial" w:cs="Arial"/>
            <w:b/>
            <w:i w:val="0"/>
            <w:noProof/>
          </w:rPr>
          <w:t>Figura 3.7</w:t>
        </w:r>
        <w:r w:rsidR="009C410E" w:rsidRPr="009C410E">
          <w:rPr>
            <w:rStyle w:val="Hipervnculo"/>
            <w:rFonts w:ascii="Arial" w:hAnsi="Arial" w:cs="Arial"/>
            <w:i w:val="0"/>
            <w:noProof/>
          </w:rPr>
          <w:t xml:space="preserve"> “</w:t>
        </w:r>
        <w:r w:rsidR="009C410E" w:rsidRPr="009C410E">
          <w:rPr>
            <w:rFonts w:ascii="Arial" w:hAnsi="Arial" w:cs="Arial"/>
            <w:i w:val="0"/>
          </w:rPr>
          <w:t>Ecuador 2010: Frecuencia Relativa de cantidad de años de residencia en el país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_Toc341043406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116</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07" w:history="1">
        <w:r w:rsidR="009C410E" w:rsidRPr="009C410E">
          <w:rPr>
            <w:rStyle w:val="Hipervnculo"/>
            <w:rFonts w:ascii="Arial" w:hAnsi="Arial" w:cs="Arial"/>
            <w:b/>
            <w:i w:val="0"/>
            <w:noProof/>
          </w:rPr>
          <w:t>Figura 3.8</w:t>
        </w:r>
        <w:r w:rsidR="009C410E" w:rsidRPr="009C410E">
          <w:rPr>
            <w:rStyle w:val="Hipervnculo"/>
            <w:rFonts w:ascii="Arial" w:hAnsi="Arial" w:cs="Arial"/>
            <w:i w:val="0"/>
            <w:noProof/>
          </w:rPr>
          <w:t xml:space="preserve"> “</w:t>
        </w:r>
        <w:r w:rsidR="009C410E" w:rsidRPr="009C410E">
          <w:rPr>
            <w:rFonts w:ascii="Arial" w:hAnsi="Arial" w:cs="Arial"/>
            <w:i w:val="0"/>
          </w:rPr>
          <w:t>Ecuador 2010: Serie filtrada de 10 términos del total de inmigrantes extranjeros por año de llegada al país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_Toc341043407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117</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08" w:history="1">
        <w:r w:rsidR="009C410E" w:rsidRPr="009C410E">
          <w:rPr>
            <w:rStyle w:val="Hipervnculo"/>
            <w:rFonts w:ascii="Arial" w:hAnsi="Arial" w:cs="Arial"/>
            <w:b/>
            <w:i w:val="0"/>
            <w:noProof/>
          </w:rPr>
          <w:t>Figura 3.9</w:t>
        </w:r>
        <w:r w:rsidR="009C410E" w:rsidRPr="009C410E">
          <w:rPr>
            <w:rStyle w:val="Hipervnculo"/>
            <w:rFonts w:ascii="Arial" w:hAnsi="Arial" w:cs="Arial"/>
            <w:i w:val="0"/>
            <w:noProof/>
          </w:rPr>
          <w:t xml:space="preserve"> “</w:t>
        </w:r>
        <w:r w:rsidR="009C410E" w:rsidRPr="009C410E">
          <w:rPr>
            <w:rFonts w:ascii="Arial" w:hAnsi="Arial" w:cs="Arial"/>
            <w:i w:val="0"/>
          </w:rPr>
          <w:t>Ecuador 2010: Tasa Área de residencia por cada 1000 inmigrantes dado el País de nacimiento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_Toc341043408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119</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09" w:history="1">
        <w:r w:rsidR="009C410E" w:rsidRPr="009C410E">
          <w:rPr>
            <w:rStyle w:val="Hipervnculo"/>
            <w:rFonts w:ascii="Arial" w:hAnsi="Arial" w:cs="Arial"/>
            <w:b/>
            <w:i w:val="0"/>
            <w:noProof/>
          </w:rPr>
          <w:t>Figura 3.10</w:t>
        </w:r>
        <w:r w:rsidR="009C410E" w:rsidRPr="009C410E">
          <w:rPr>
            <w:rStyle w:val="Hipervnculo"/>
            <w:rFonts w:ascii="Arial" w:hAnsi="Arial" w:cs="Arial"/>
            <w:i w:val="0"/>
            <w:noProof/>
          </w:rPr>
          <w:t xml:space="preserve"> “</w:t>
        </w:r>
        <w:r w:rsidR="009C410E" w:rsidRPr="009C410E">
          <w:rPr>
            <w:rFonts w:ascii="Arial" w:hAnsi="Arial" w:cs="Arial"/>
            <w:i w:val="0"/>
          </w:rPr>
          <w:t>Ecuador 2010: Tasa por cada 1000 inmigrantes por zona urbana y rural a nivel Provincial</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_Toc341043409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120</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10" w:history="1">
        <w:r w:rsidR="009C410E" w:rsidRPr="009C410E">
          <w:rPr>
            <w:rStyle w:val="Hipervnculo"/>
            <w:rFonts w:ascii="Arial" w:hAnsi="Arial" w:cs="Arial"/>
            <w:b/>
            <w:i w:val="0"/>
            <w:noProof/>
          </w:rPr>
          <w:t>Figura 3.11</w:t>
        </w:r>
        <w:r w:rsidR="009C410E" w:rsidRPr="009C410E">
          <w:rPr>
            <w:rStyle w:val="Hipervnculo"/>
            <w:rFonts w:ascii="Arial" w:hAnsi="Arial" w:cs="Arial"/>
            <w:i w:val="0"/>
            <w:noProof/>
          </w:rPr>
          <w:t xml:space="preserve"> “</w:t>
        </w:r>
        <w:r w:rsidR="009C410E" w:rsidRPr="009C410E">
          <w:rPr>
            <w:rFonts w:ascii="Arial" w:hAnsi="Arial" w:cs="Arial"/>
            <w:i w:val="0"/>
          </w:rPr>
          <w:t>Ecuador 2010:</w:t>
        </w:r>
        <w:r w:rsidR="009C410E" w:rsidRPr="009C410E">
          <w:rPr>
            <w:rFonts w:ascii="Arial" w:hAnsi="Arial" w:cs="Arial"/>
          </w:rPr>
          <w:t xml:space="preserve"> </w:t>
        </w:r>
        <w:r w:rsidR="009C410E" w:rsidRPr="009C410E">
          <w:rPr>
            <w:rFonts w:ascii="Arial" w:hAnsi="Arial" w:cs="Arial"/>
            <w:i w:val="0"/>
          </w:rPr>
          <w:t xml:space="preserve">Índice de Feminidad de los Inmigrantes por país de nacimiento: </w:t>
        </w:r>
        <w:r w:rsidR="009C410E" w:rsidRPr="009C410E">
          <w:rPr>
            <w:rFonts w:ascii="Arial" w:hAnsi="Arial" w:cs="Arial"/>
          </w:rPr>
          <w:t>AMÉRICA</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_Toc341043410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121</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11" w:history="1">
        <w:r w:rsidR="009C410E" w:rsidRPr="009C410E">
          <w:rPr>
            <w:rStyle w:val="Hipervnculo"/>
            <w:rFonts w:ascii="Arial" w:hAnsi="Arial" w:cs="Arial"/>
            <w:b/>
            <w:i w:val="0"/>
            <w:noProof/>
          </w:rPr>
          <w:t>Figura 3.12</w:t>
        </w:r>
        <w:r w:rsidR="009C410E" w:rsidRPr="009C410E">
          <w:rPr>
            <w:rStyle w:val="Hipervnculo"/>
            <w:rFonts w:ascii="Arial" w:hAnsi="Arial" w:cs="Arial"/>
            <w:i w:val="0"/>
            <w:noProof/>
          </w:rPr>
          <w:t xml:space="preserve"> “</w:t>
        </w:r>
        <w:r w:rsidR="009C410E" w:rsidRPr="009C410E">
          <w:rPr>
            <w:rFonts w:ascii="Arial" w:hAnsi="Arial" w:cs="Arial"/>
            <w:i w:val="0"/>
          </w:rPr>
          <w:t xml:space="preserve">Ecuador 2010: Índice de Feminidad de los Inmigrantes por país de nacimiento: </w:t>
        </w:r>
        <w:r w:rsidR="009C410E" w:rsidRPr="009C410E">
          <w:rPr>
            <w:rFonts w:ascii="Arial" w:hAnsi="Arial" w:cs="Arial"/>
          </w:rPr>
          <w:t>EUROPA</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_Toc341043411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122</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12" w:history="1">
        <w:r w:rsidR="009C410E" w:rsidRPr="009C410E">
          <w:rPr>
            <w:rStyle w:val="Hipervnculo"/>
            <w:rFonts w:ascii="Arial" w:hAnsi="Arial" w:cs="Arial"/>
            <w:b/>
            <w:i w:val="0"/>
            <w:noProof/>
          </w:rPr>
          <w:t>Figura 3.13</w:t>
        </w:r>
        <w:r w:rsidR="009C410E" w:rsidRPr="009C410E">
          <w:rPr>
            <w:rStyle w:val="Hipervnculo"/>
            <w:rFonts w:ascii="Arial" w:hAnsi="Arial" w:cs="Arial"/>
            <w:i w:val="0"/>
            <w:noProof/>
          </w:rPr>
          <w:t xml:space="preserve"> “</w:t>
        </w:r>
        <w:r w:rsidR="009C410E" w:rsidRPr="009C410E">
          <w:rPr>
            <w:rFonts w:ascii="Arial" w:hAnsi="Arial" w:cs="Arial"/>
            <w:i w:val="0"/>
          </w:rPr>
          <w:t xml:space="preserve">Ecuador 2010: Índice de Feminidad de los Inmigrantes por país de nacimiento: </w:t>
        </w:r>
        <w:r w:rsidR="009C410E" w:rsidRPr="009C410E">
          <w:rPr>
            <w:rFonts w:ascii="Arial" w:hAnsi="Arial" w:cs="Arial"/>
          </w:rPr>
          <w:t>ASIA</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_Toc341043412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123</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13" w:history="1">
        <w:r w:rsidR="009C410E" w:rsidRPr="009C410E">
          <w:rPr>
            <w:rStyle w:val="Hipervnculo"/>
            <w:rFonts w:ascii="Arial" w:hAnsi="Arial" w:cs="Arial"/>
            <w:b/>
            <w:i w:val="0"/>
            <w:noProof/>
          </w:rPr>
          <w:t>Figura 3.14</w:t>
        </w:r>
        <w:r w:rsidR="009C410E" w:rsidRPr="009C410E">
          <w:rPr>
            <w:rStyle w:val="Hipervnculo"/>
            <w:rFonts w:ascii="Arial" w:hAnsi="Arial" w:cs="Arial"/>
            <w:i w:val="0"/>
            <w:noProof/>
          </w:rPr>
          <w:t xml:space="preserve"> “</w:t>
        </w:r>
        <w:r w:rsidR="009C410E" w:rsidRPr="009C410E">
          <w:rPr>
            <w:rFonts w:ascii="Arial" w:hAnsi="Arial" w:cs="Arial"/>
            <w:i w:val="0"/>
          </w:rPr>
          <w:t>Ecuador 2010:</w:t>
        </w:r>
        <w:r w:rsidR="009C410E" w:rsidRPr="009C410E">
          <w:rPr>
            <w:rFonts w:ascii="Arial" w:hAnsi="Arial" w:cs="Arial"/>
          </w:rPr>
          <w:t xml:space="preserve"> </w:t>
        </w:r>
        <w:r w:rsidR="009C410E" w:rsidRPr="009C410E">
          <w:rPr>
            <w:rFonts w:ascii="Arial" w:hAnsi="Arial" w:cs="Arial"/>
            <w:i w:val="0"/>
          </w:rPr>
          <w:t xml:space="preserve">Índice de Feminidad de los Inmigrantes por país de nacimiento: </w:t>
        </w:r>
        <w:r w:rsidR="009C410E" w:rsidRPr="009C410E">
          <w:rPr>
            <w:rFonts w:ascii="Arial" w:hAnsi="Arial" w:cs="Arial"/>
          </w:rPr>
          <w:t>ÁFRICA</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_Toc341043413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123</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14" w:history="1">
        <w:r w:rsidR="009C410E" w:rsidRPr="009C410E">
          <w:rPr>
            <w:rStyle w:val="Hipervnculo"/>
            <w:rFonts w:ascii="Arial" w:hAnsi="Arial" w:cs="Arial"/>
            <w:b/>
            <w:i w:val="0"/>
            <w:noProof/>
          </w:rPr>
          <w:t>Figura 3.15</w:t>
        </w:r>
        <w:r w:rsidR="009C410E" w:rsidRPr="009C410E">
          <w:rPr>
            <w:rStyle w:val="Hipervnculo"/>
            <w:rFonts w:ascii="Arial" w:hAnsi="Arial" w:cs="Arial"/>
            <w:i w:val="0"/>
            <w:noProof/>
          </w:rPr>
          <w:t xml:space="preserve"> “</w:t>
        </w:r>
        <w:r w:rsidR="009C410E" w:rsidRPr="009C410E">
          <w:rPr>
            <w:rFonts w:ascii="Arial" w:hAnsi="Arial" w:cs="Arial"/>
            <w:i w:val="0"/>
          </w:rPr>
          <w:t>Ecuador 2010: Distribución Género – Edad de la población extranjera que reside en el país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_Toc341043414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125</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15" w:history="1">
        <w:r w:rsidR="009C410E" w:rsidRPr="009C410E">
          <w:rPr>
            <w:rStyle w:val="Hipervnculo"/>
            <w:rFonts w:ascii="Arial" w:hAnsi="Arial" w:cs="Arial"/>
            <w:b/>
            <w:i w:val="0"/>
            <w:noProof/>
          </w:rPr>
          <w:t>Figura 3.16</w:t>
        </w:r>
        <w:r w:rsidR="009C410E" w:rsidRPr="009C410E">
          <w:rPr>
            <w:rStyle w:val="Hipervnculo"/>
            <w:rFonts w:ascii="Arial" w:hAnsi="Arial" w:cs="Arial"/>
            <w:i w:val="0"/>
            <w:noProof/>
          </w:rPr>
          <w:t xml:space="preserve"> “</w:t>
        </w:r>
        <w:r w:rsidR="009C410E" w:rsidRPr="009C410E">
          <w:rPr>
            <w:rFonts w:ascii="Arial" w:hAnsi="Arial" w:cs="Arial"/>
            <w:i w:val="0"/>
          </w:rPr>
          <w:t>Ecuador 2010: Índice de Feminidad de los Inmigrantes por Grupo de edad</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_Toc341043415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127</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16" w:history="1">
        <w:r w:rsidR="009C410E" w:rsidRPr="009C410E">
          <w:rPr>
            <w:rStyle w:val="Hipervnculo"/>
            <w:rFonts w:ascii="Arial" w:hAnsi="Arial" w:cs="Arial"/>
            <w:b/>
            <w:i w:val="0"/>
            <w:noProof/>
          </w:rPr>
          <w:t>Figura 3.17</w:t>
        </w:r>
        <w:r w:rsidR="009C410E" w:rsidRPr="009C410E">
          <w:rPr>
            <w:rStyle w:val="Hipervnculo"/>
            <w:rFonts w:ascii="Arial" w:hAnsi="Arial" w:cs="Arial"/>
            <w:i w:val="0"/>
            <w:noProof/>
          </w:rPr>
          <w:t xml:space="preserve"> “</w:t>
        </w:r>
        <w:r w:rsidR="009C410E" w:rsidRPr="009C410E">
          <w:rPr>
            <w:rFonts w:ascii="Arial" w:hAnsi="Arial" w:cs="Arial"/>
            <w:i w:val="0"/>
          </w:rPr>
          <w:t>Ecuador 2010: Índice de Feminidad de los Inmigrantes por Grupo de edad y país de nacimiento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_Toc341043416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129</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17" w:history="1">
        <w:r w:rsidR="009C410E" w:rsidRPr="009C410E">
          <w:rPr>
            <w:rStyle w:val="Hipervnculo"/>
            <w:rFonts w:ascii="Arial" w:hAnsi="Arial" w:cs="Arial"/>
            <w:b/>
            <w:i w:val="0"/>
            <w:noProof/>
          </w:rPr>
          <w:t>Figura 3.18</w:t>
        </w:r>
        <w:r w:rsidR="009C410E" w:rsidRPr="009C410E">
          <w:rPr>
            <w:rStyle w:val="Hipervnculo"/>
            <w:rFonts w:ascii="Arial" w:hAnsi="Arial" w:cs="Arial"/>
            <w:i w:val="0"/>
            <w:noProof/>
          </w:rPr>
          <w:t xml:space="preserve"> “</w:t>
        </w:r>
        <w:r w:rsidR="009C410E" w:rsidRPr="009C410E">
          <w:rPr>
            <w:rFonts w:ascii="Arial" w:hAnsi="Arial" w:cs="Arial"/>
            <w:i w:val="0"/>
          </w:rPr>
          <w:t>Ecuador 2010: Tasa de Analfabetismo para grupo de edades específicas y género</w:t>
        </w:r>
        <w:r w:rsidR="009C410E" w:rsidRPr="009C410E">
          <w:rPr>
            <w:rFonts w:ascii="Arial" w:hAnsi="Arial" w:cs="Arial"/>
          </w:rPr>
          <w:t xml:space="preserve"> </w:t>
        </w:r>
        <w:r w:rsidR="009C410E" w:rsidRPr="009C410E">
          <w:rPr>
            <w:rFonts w:ascii="Arial" w:hAnsi="Arial" w:cs="Arial"/>
            <w:i w:val="0"/>
          </w:rPr>
          <w:t>por cada 1000 Inmigrantes residentes en Ecuador</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_Toc341043417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131</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18" w:history="1">
        <w:r w:rsidR="009C410E" w:rsidRPr="009C410E">
          <w:rPr>
            <w:rStyle w:val="Hipervnculo"/>
            <w:rFonts w:ascii="Arial" w:hAnsi="Arial" w:cs="Arial"/>
            <w:b/>
            <w:i w:val="0"/>
            <w:noProof/>
          </w:rPr>
          <w:t>Figura 3.19</w:t>
        </w:r>
        <w:r w:rsidR="009C410E" w:rsidRPr="009C410E">
          <w:rPr>
            <w:rStyle w:val="Hipervnculo"/>
            <w:rFonts w:ascii="Arial" w:hAnsi="Arial" w:cs="Arial"/>
            <w:i w:val="0"/>
            <w:noProof/>
          </w:rPr>
          <w:t xml:space="preserve"> “</w:t>
        </w:r>
        <w:r w:rsidR="009C410E" w:rsidRPr="009C410E">
          <w:rPr>
            <w:rFonts w:ascii="Arial" w:hAnsi="Arial" w:cs="Arial"/>
            <w:i w:val="0"/>
          </w:rPr>
          <w:t>Ecuador 2010: Distribución Género, Edad y Nivel de Instrucción de los extranjeros residentes en el país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_Toc341043418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133</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19" w:history="1">
        <w:r w:rsidR="009C410E" w:rsidRPr="009C410E">
          <w:rPr>
            <w:rStyle w:val="Hipervnculo"/>
            <w:rFonts w:ascii="Arial" w:hAnsi="Arial" w:cs="Arial"/>
            <w:b/>
            <w:i w:val="0"/>
            <w:noProof/>
          </w:rPr>
          <w:t>Figura 3.20</w:t>
        </w:r>
        <w:r w:rsidR="009C410E" w:rsidRPr="009C410E">
          <w:rPr>
            <w:rStyle w:val="Hipervnculo"/>
            <w:rFonts w:ascii="Arial" w:hAnsi="Arial" w:cs="Arial"/>
            <w:i w:val="0"/>
            <w:noProof/>
          </w:rPr>
          <w:t xml:space="preserve"> “</w:t>
        </w:r>
        <w:r w:rsidR="009C410E" w:rsidRPr="009C410E">
          <w:rPr>
            <w:rFonts w:ascii="Arial" w:hAnsi="Arial" w:cs="Arial"/>
            <w:i w:val="0"/>
          </w:rPr>
          <w:t>Ecuador 2010: Tasa de Universitarios para grupo de edades específicas y género</w:t>
        </w:r>
        <w:r w:rsidR="009C410E" w:rsidRPr="009C410E">
          <w:rPr>
            <w:rFonts w:ascii="Arial" w:hAnsi="Arial" w:cs="Arial"/>
          </w:rPr>
          <w:t xml:space="preserve"> </w:t>
        </w:r>
        <w:r w:rsidR="009C410E" w:rsidRPr="009C410E">
          <w:rPr>
            <w:rFonts w:ascii="Arial" w:hAnsi="Arial" w:cs="Arial"/>
            <w:i w:val="0"/>
          </w:rPr>
          <w:t>por cada 1000 Inmigrantes extranjeros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_Toc341043419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134</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20" w:history="1">
        <w:r w:rsidR="009C410E" w:rsidRPr="009C410E">
          <w:rPr>
            <w:rStyle w:val="Hipervnculo"/>
            <w:rFonts w:ascii="Arial" w:hAnsi="Arial" w:cs="Arial"/>
            <w:b/>
            <w:i w:val="0"/>
            <w:noProof/>
          </w:rPr>
          <w:t>Figura 3.21</w:t>
        </w:r>
        <w:r w:rsidR="009C410E" w:rsidRPr="009C410E">
          <w:rPr>
            <w:rStyle w:val="Hipervnculo"/>
            <w:rFonts w:ascii="Arial" w:hAnsi="Arial" w:cs="Arial"/>
            <w:i w:val="0"/>
            <w:noProof/>
          </w:rPr>
          <w:t xml:space="preserve"> “</w:t>
        </w:r>
        <w:r w:rsidR="009C410E" w:rsidRPr="009C410E">
          <w:rPr>
            <w:rFonts w:ascii="Arial" w:hAnsi="Arial" w:cs="Arial"/>
            <w:i w:val="0"/>
          </w:rPr>
          <w:t>Ecuador 2010: Frecuencia Relativa de Autoidentificación étnica por país de nacimiento del Inmigrante</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_Toc341043420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137</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21" w:history="1">
        <w:r w:rsidR="009C410E" w:rsidRPr="009C410E">
          <w:rPr>
            <w:rStyle w:val="Hipervnculo"/>
            <w:rFonts w:ascii="Arial" w:hAnsi="Arial" w:cs="Arial"/>
            <w:b/>
            <w:i w:val="0"/>
            <w:noProof/>
          </w:rPr>
          <w:t>Figura 3.22</w:t>
        </w:r>
        <w:r w:rsidR="009C410E" w:rsidRPr="009C410E">
          <w:rPr>
            <w:rStyle w:val="Hipervnculo"/>
            <w:rFonts w:ascii="Arial" w:hAnsi="Arial" w:cs="Arial"/>
            <w:i w:val="0"/>
            <w:noProof/>
          </w:rPr>
          <w:t xml:space="preserve"> “</w:t>
        </w:r>
        <w:r w:rsidR="009C410E" w:rsidRPr="009C410E">
          <w:rPr>
            <w:rFonts w:ascii="Arial" w:hAnsi="Arial" w:cs="Arial"/>
            <w:i w:val="0"/>
          </w:rPr>
          <w:t>Ecuador 2010: Tasa de Área de residencia dado que se conoce la autoidentificación étnica</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_Toc341043421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138</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22" w:history="1">
        <w:r w:rsidR="009C410E" w:rsidRPr="009C410E">
          <w:rPr>
            <w:rStyle w:val="Hipervnculo"/>
            <w:rFonts w:ascii="Arial" w:hAnsi="Arial" w:cs="Arial"/>
            <w:b/>
            <w:i w:val="0"/>
            <w:noProof/>
          </w:rPr>
          <w:t>Figura 3.23</w:t>
        </w:r>
        <w:r w:rsidR="009C410E" w:rsidRPr="009C410E">
          <w:rPr>
            <w:rStyle w:val="Hipervnculo"/>
            <w:rFonts w:ascii="Arial" w:hAnsi="Arial" w:cs="Arial"/>
            <w:i w:val="0"/>
            <w:noProof/>
          </w:rPr>
          <w:t xml:space="preserve"> “</w:t>
        </w:r>
        <w:r w:rsidR="009C410E" w:rsidRPr="009C410E">
          <w:rPr>
            <w:rFonts w:ascii="Arial" w:hAnsi="Arial" w:cs="Arial"/>
            <w:i w:val="0"/>
          </w:rPr>
          <w:t>Ecuador 2010: Frecuencia Relativa de la Población extranjera que ha utilizado Teléfono Celular, Internet o Computadora en los últimos seis meses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_Toc341043422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139</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23" w:history="1">
        <w:r w:rsidR="009C410E" w:rsidRPr="009C410E">
          <w:rPr>
            <w:rStyle w:val="Hipervnculo"/>
            <w:rFonts w:ascii="Arial" w:hAnsi="Arial" w:cs="Arial"/>
            <w:b/>
            <w:i w:val="0"/>
            <w:noProof/>
          </w:rPr>
          <w:t>Figura 3.24</w:t>
        </w:r>
        <w:r w:rsidR="009C410E" w:rsidRPr="009C410E">
          <w:rPr>
            <w:rStyle w:val="Hipervnculo"/>
            <w:rFonts w:ascii="Arial" w:hAnsi="Arial" w:cs="Arial"/>
            <w:i w:val="0"/>
            <w:noProof/>
          </w:rPr>
          <w:t xml:space="preserve"> “</w:t>
        </w:r>
        <w:r w:rsidR="009C410E" w:rsidRPr="009C410E">
          <w:rPr>
            <w:rFonts w:ascii="Arial" w:hAnsi="Arial" w:cs="Arial"/>
            <w:i w:val="0"/>
          </w:rPr>
          <w:t>Ecuador 2010: Proporción de la Población extranjera que ha utilizado Teléfono Celular en los últimos seis meses por Grupos etarios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_Toc341043423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140</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24" w:history="1">
        <w:r w:rsidR="009C410E" w:rsidRPr="009C410E">
          <w:rPr>
            <w:rStyle w:val="Hipervnculo"/>
            <w:rFonts w:ascii="Arial" w:hAnsi="Arial" w:cs="Arial"/>
            <w:b/>
            <w:i w:val="0"/>
            <w:noProof/>
          </w:rPr>
          <w:t>Figura 3.25</w:t>
        </w:r>
        <w:r w:rsidR="009C410E" w:rsidRPr="009C410E">
          <w:rPr>
            <w:rStyle w:val="Hipervnculo"/>
            <w:rFonts w:ascii="Arial" w:hAnsi="Arial" w:cs="Arial"/>
            <w:i w:val="0"/>
            <w:noProof/>
          </w:rPr>
          <w:t xml:space="preserve"> “</w:t>
        </w:r>
        <w:r w:rsidR="009C410E" w:rsidRPr="009C410E">
          <w:rPr>
            <w:rFonts w:ascii="Arial" w:hAnsi="Arial" w:cs="Arial"/>
            <w:i w:val="0"/>
          </w:rPr>
          <w:t>Ecuador 2010: Proporción de la Población extranjera que ha utilizado Internet en los últimos seis meses por Grupos etarios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_Toc341043424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142</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25" w:history="1">
        <w:r w:rsidR="009C410E" w:rsidRPr="009C410E">
          <w:rPr>
            <w:rStyle w:val="Hipervnculo"/>
            <w:rFonts w:ascii="Arial" w:hAnsi="Arial" w:cs="Arial"/>
            <w:b/>
            <w:i w:val="0"/>
            <w:noProof/>
          </w:rPr>
          <w:t>Figura 3.26</w:t>
        </w:r>
        <w:r w:rsidR="009C410E" w:rsidRPr="009C410E">
          <w:rPr>
            <w:rStyle w:val="Hipervnculo"/>
            <w:rFonts w:ascii="Arial" w:hAnsi="Arial" w:cs="Arial"/>
            <w:i w:val="0"/>
            <w:noProof/>
          </w:rPr>
          <w:t xml:space="preserve"> “</w:t>
        </w:r>
        <w:r w:rsidR="009C410E" w:rsidRPr="009C410E">
          <w:rPr>
            <w:rFonts w:ascii="Arial" w:hAnsi="Arial" w:cs="Arial"/>
            <w:i w:val="0"/>
          </w:rPr>
          <w:t>Ecuador 2010: Proporción de la Población extranjera que ha utilizado Computadora en los últimos seis meses por Grupos etarios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_Toc341043425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144</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26" w:history="1">
        <w:r w:rsidR="009C410E" w:rsidRPr="009C410E">
          <w:rPr>
            <w:rStyle w:val="Hipervnculo"/>
            <w:rFonts w:ascii="Arial" w:hAnsi="Arial" w:cs="Arial"/>
            <w:b/>
            <w:i w:val="0"/>
            <w:noProof/>
          </w:rPr>
          <w:t>Figura 3. 27</w:t>
        </w:r>
        <w:r w:rsidR="009C410E" w:rsidRPr="009C410E">
          <w:rPr>
            <w:rStyle w:val="Hipervnculo"/>
            <w:rFonts w:ascii="Arial" w:hAnsi="Arial" w:cs="Arial"/>
            <w:i w:val="0"/>
            <w:noProof/>
          </w:rPr>
          <w:t xml:space="preserve"> “</w:t>
        </w:r>
        <w:r w:rsidR="009C410E" w:rsidRPr="009C410E">
          <w:rPr>
            <w:rFonts w:ascii="Arial" w:hAnsi="Arial" w:cs="Arial"/>
            <w:i w:val="0"/>
          </w:rPr>
          <w:t>Ecuador 2010: Población Extranjera Económicamente Activa e Inactiva residente en el país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_Toc341043426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146</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27" w:history="1">
        <w:r w:rsidR="009C410E" w:rsidRPr="009C410E">
          <w:rPr>
            <w:rStyle w:val="Hipervnculo"/>
            <w:rFonts w:ascii="Arial" w:hAnsi="Arial" w:cs="Arial"/>
            <w:b/>
            <w:i w:val="0"/>
            <w:noProof/>
          </w:rPr>
          <w:t>Figura 3.28</w:t>
        </w:r>
        <w:r w:rsidR="009C410E" w:rsidRPr="009C410E">
          <w:rPr>
            <w:rStyle w:val="Hipervnculo"/>
            <w:rFonts w:ascii="Arial" w:hAnsi="Arial" w:cs="Arial"/>
            <w:i w:val="0"/>
            <w:noProof/>
          </w:rPr>
          <w:t xml:space="preserve"> “</w:t>
        </w:r>
        <w:r w:rsidR="009C410E" w:rsidRPr="009C410E">
          <w:rPr>
            <w:rFonts w:ascii="Arial" w:hAnsi="Arial" w:cs="Arial"/>
            <w:bCs/>
            <w:i w:val="0"/>
          </w:rPr>
          <w:t xml:space="preserve">Ecuador 2010: </w:t>
        </w:r>
        <w:r w:rsidR="009C410E" w:rsidRPr="009C410E">
          <w:rPr>
            <w:rFonts w:ascii="Arial" w:hAnsi="Arial" w:cs="Arial"/>
            <w:i w:val="0"/>
          </w:rPr>
          <w:t>Población Extranjera Económicamente Activa e Inactiva por Género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_Toc341043427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147</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28" w:history="1">
        <w:r w:rsidR="009C410E" w:rsidRPr="009C410E">
          <w:rPr>
            <w:rStyle w:val="Hipervnculo"/>
            <w:rFonts w:ascii="Arial" w:hAnsi="Arial" w:cs="Arial"/>
            <w:b/>
            <w:i w:val="0"/>
            <w:noProof/>
          </w:rPr>
          <w:t>Figura 3.29</w:t>
        </w:r>
        <w:r w:rsidR="009C410E" w:rsidRPr="009C410E">
          <w:rPr>
            <w:rStyle w:val="Hipervnculo"/>
            <w:rFonts w:ascii="Arial" w:hAnsi="Arial" w:cs="Arial"/>
            <w:i w:val="0"/>
            <w:noProof/>
          </w:rPr>
          <w:t xml:space="preserve"> “</w:t>
        </w:r>
        <w:r w:rsidR="009C410E" w:rsidRPr="009C410E">
          <w:rPr>
            <w:rFonts w:ascii="Arial" w:hAnsi="Arial" w:cs="Arial"/>
            <w:i w:val="0"/>
          </w:rPr>
          <w:t>Ecuador 2010: Frecuencia Relativa del trabajo que desempeñan los extranjeros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_Toc341043428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149</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29" w:history="1">
        <w:r w:rsidR="009C410E" w:rsidRPr="009C410E">
          <w:rPr>
            <w:rStyle w:val="Hipervnculo"/>
            <w:rFonts w:ascii="Arial" w:hAnsi="Arial" w:cs="Arial"/>
            <w:b/>
            <w:i w:val="0"/>
            <w:noProof/>
          </w:rPr>
          <w:t>Figura 3.30</w:t>
        </w:r>
        <w:r w:rsidR="009C410E" w:rsidRPr="009C410E">
          <w:rPr>
            <w:rStyle w:val="Hipervnculo"/>
            <w:rFonts w:ascii="Arial" w:hAnsi="Arial" w:cs="Arial"/>
            <w:i w:val="0"/>
            <w:noProof/>
          </w:rPr>
          <w:t xml:space="preserve"> “</w:t>
        </w:r>
        <w:r w:rsidR="009C410E" w:rsidRPr="009C410E">
          <w:rPr>
            <w:rFonts w:ascii="Arial" w:hAnsi="Arial" w:cs="Arial"/>
            <w:i w:val="0"/>
          </w:rPr>
          <w:t>Ecuador 2010: Distribución condicional del Trabajo desempeñado por los extranjeros dado que se conoce el Género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_Toc341043429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150</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30" w:history="1">
        <w:r w:rsidR="009C410E" w:rsidRPr="009C410E">
          <w:rPr>
            <w:rStyle w:val="Hipervnculo"/>
            <w:rFonts w:ascii="Arial" w:hAnsi="Arial" w:cs="Arial"/>
            <w:b/>
            <w:i w:val="0"/>
            <w:noProof/>
          </w:rPr>
          <w:t>Figura 3. 31</w:t>
        </w:r>
        <w:r w:rsidR="009C410E" w:rsidRPr="009C410E">
          <w:rPr>
            <w:rStyle w:val="Hipervnculo"/>
            <w:rFonts w:ascii="Arial" w:hAnsi="Arial" w:cs="Arial"/>
            <w:i w:val="0"/>
            <w:noProof/>
          </w:rPr>
          <w:t xml:space="preserve"> “</w:t>
        </w:r>
        <w:r w:rsidR="009C410E" w:rsidRPr="009C410E">
          <w:rPr>
            <w:rFonts w:ascii="Arial" w:hAnsi="Arial" w:cs="Arial"/>
            <w:i w:val="0"/>
          </w:rPr>
          <w:t>Ecuador 2010: Distribución condicional del trabajo desempeñado por los extranjeros dado que se conoce el Grupo etario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_Toc341043430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152</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31" w:history="1">
        <w:r w:rsidR="009C410E" w:rsidRPr="009C410E">
          <w:rPr>
            <w:rStyle w:val="Hipervnculo"/>
            <w:rFonts w:ascii="Arial" w:hAnsi="Arial" w:cs="Arial"/>
            <w:b/>
            <w:i w:val="0"/>
            <w:noProof/>
          </w:rPr>
          <w:t>Figura 3.32</w:t>
        </w:r>
        <w:r w:rsidR="009C410E" w:rsidRPr="009C410E">
          <w:rPr>
            <w:rStyle w:val="Hipervnculo"/>
            <w:rFonts w:ascii="Arial" w:hAnsi="Arial" w:cs="Arial"/>
            <w:i w:val="0"/>
            <w:noProof/>
          </w:rPr>
          <w:t xml:space="preserve"> “</w:t>
        </w:r>
        <w:r w:rsidR="009C410E" w:rsidRPr="009C410E">
          <w:rPr>
            <w:rFonts w:ascii="Arial" w:hAnsi="Arial" w:cs="Arial"/>
            <w:i w:val="0"/>
          </w:rPr>
          <w:t>Ecuador 2010: Frecuencia Relativa de la ocupación de los extranjeros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_Toc341043431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153</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32" w:history="1">
        <w:r w:rsidR="009C410E" w:rsidRPr="009C410E">
          <w:rPr>
            <w:rStyle w:val="Hipervnculo"/>
            <w:rFonts w:ascii="Arial" w:hAnsi="Arial" w:cs="Arial"/>
            <w:b/>
            <w:i w:val="0"/>
            <w:noProof/>
          </w:rPr>
          <w:t>Figura 3.33</w:t>
        </w:r>
        <w:r w:rsidR="009C410E" w:rsidRPr="009C410E">
          <w:rPr>
            <w:rStyle w:val="Hipervnculo"/>
            <w:rFonts w:ascii="Arial" w:hAnsi="Arial" w:cs="Arial"/>
            <w:i w:val="0"/>
            <w:noProof/>
          </w:rPr>
          <w:t xml:space="preserve"> “</w:t>
        </w:r>
        <w:r w:rsidR="009C410E" w:rsidRPr="009C410E">
          <w:rPr>
            <w:rFonts w:ascii="Arial" w:hAnsi="Arial" w:cs="Arial"/>
            <w:i w:val="0"/>
          </w:rPr>
          <w:t>Ecuador 2010: Distribución condicional de la ocupación de los extranjeros dado que se conoce el Género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_Toc341043432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155</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33" w:history="1">
        <w:r w:rsidR="009C410E" w:rsidRPr="009C410E">
          <w:rPr>
            <w:rStyle w:val="Hipervnculo"/>
            <w:rFonts w:ascii="Arial" w:hAnsi="Arial" w:cs="Arial"/>
            <w:b/>
            <w:i w:val="0"/>
            <w:noProof/>
          </w:rPr>
          <w:t>Figura 3.34</w:t>
        </w:r>
        <w:r w:rsidR="009C410E" w:rsidRPr="009C410E">
          <w:rPr>
            <w:rStyle w:val="Hipervnculo"/>
            <w:rFonts w:ascii="Arial" w:hAnsi="Arial" w:cs="Arial"/>
            <w:i w:val="0"/>
            <w:noProof/>
          </w:rPr>
          <w:t xml:space="preserve"> “</w:t>
        </w:r>
        <w:r w:rsidR="009C410E" w:rsidRPr="009C410E">
          <w:rPr>
            <w:rFonts w:ascii="Arial" w:hAnsi="Arial" w:cs="Arial"/>
            <w:i w:val="0"/>
          </w:rPr>
          <w:t>Ecuador 2010: Distribución condicional de la ocupación de los extranjeros dado que se conoce el Grupo etario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_Toc341043433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157</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34" w:history="1">
        <w:r w:rsidR="009C410E" w:rsidRPr="009C410E">
          <w:rPr>
            <w:rStyle w:val="Hipervnculo"/>
            <w:rFonts w:ascii="Arial" w:hAnsi="Arial" w:cs="Arial"/>
            <w:b/>
            <w:i w:val="0"/>
            <w:noProof/>
          </w:rPr>
          <w:t>Figura 3.35</w:t>
        </w:r>
        <w:r w:rsidR="009C410E" w:rsidRPr="009C410E">
          <w:rPr>
            <w:rStyle w:val="Hipervnculo"/>
            <w:rFonts w:ascii="Arial" w:hAnsi="Arial" w:cs="Arial"/>
            <w:i w:val="0"/>
            <w:noProof/>
          </w:rPr>
          <w:t xml:space="preserve"> “</w:t>
        </w:r>
        <w:r w:rsidR="009C410E" w:rsidRPr="009C410E">
          <w:rPr>
            <w:rFonts w:ascii="Arial" w:hAnsi="Arial" w:cs="Arial"/>
            <w:i w:val="0"/>
          </w:rPr>
          <w:t>Ecuador 2010: Frecuencia Relativa del Tipo de Vivienda de los extranjeros</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_Toc341043434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158</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35" w:history="1">
        <w:r w:rsidR="009C410E" w:rsidRPr="009C410E">
          <w:rPr>
            <w:rStyle w:val="Hipervnculo"/>
            <w:rFonts w:ascii="Arial" w:hAnsi="Arial" w:cs="Arial"/>
            <w:b/>
            <w:i w:val="0"/>
            <w:noProof/>
          </w:rPr>
          <w:t>Figura 3.36</w:t>
        </w:r>
        <w:r w:rsidR="009C410E" w:rsidRPr="009C410E">
          <w:rPr>
            <w:rStyle w:val="Hipervnculo"/>
            <w:rFonts w:ascii="Arial" w:hAnsi="Arial" w:cs="Arial"/>
            <w:i w:val="0"/>
            <w:noProof/>
          </w:rPr>
          <w:t xml:space="preserve"> “</w:t>
        </w:r>
        <w:r w:rsidR="009C410E" w:rsidRPr="009C410E">
          <w:rPr>
            <w:rFonts w:ascii="Arial" w:hAnsi="Arial" w:cs="Arial"/>
            <w:i w:val="0"/>
          </w:rPr>
          <w:t>Ecuador 2010: Frecuencia Relativa de pertenencia de la vivienda del inmigrante extranjero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_Toc341043435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159</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36" w:history="1">
        <w:r w:rsidR="009C410E" w:rsidRPr="009C410E">
          <w:rPr>
            <w:rStyle w:val="Hipervnculo"/>
            <w:rFonts w:ascii="Arial" w:hAnsi="Arial" w:cs="Arial"/>
            <w:b/>
            <w:i w:val="0"/>
            <w:noProof/>
          </w:rPr>
          <w:t>Figura 3.37</w:t>
        </w:r>
        <w:r w:rsidR="009C410E" w:rsidRPr="009C410E">
          <w:rPr>
            <w:rStyle w:val="Hipervnculo"/>
            <w:rFonts w:ascii="Arial" w:hAnsi="Arial" w:cs="Arial"/>
            <w:i w:val="0"/>
            <w:noProof/>
          </w:rPr>
          <w:t xml:space="preserve"> “</w:t>
        </w:r>
        <w:r w:rsidR="009C410E" w:rsidRPr="009C410E">
          <w:rPr>
            <w:rFonts w:ascii="Arial" w:hAnsi="Arial" w:cs="Arial"/>
            <w:i w:val="0"/>
          </w:rPr>
          <w:t>Ecuador 2010: Distribución condicional de pertenencia de la vivienda dado que se conoce el país de nacimiento del inmigrante extranjero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_Toc341043436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160</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3437" w:history="1">
        <w:r w:rsidR="009C410E" w:rsidRPr="009C410E">
          <w:rPr>
            <w:rStyle w:val="Hipervnculo"/>
            <w:rFonts w:ascii="Arial" w:hAnsi="Arial" w:cs="Arial"/>
            <w:b/>
            <w:i w:val="0"/>
            <w:noProof/>
          </w:rPr>
          <w:t>Figura 3.38</w:t>
        </w:r>
        <w:r w:rsidR="009C410E" w:rsidRPr="009C410E">
          <w:rPr>
            <w:rStyle w:val="Hipervnculo"/>
            <w:rFonts w:ascii="Arial" w:hAnsi="Arial" w:cs="Arial"/>
            <w:i w:val="0"/>
            <w:noProof/>
          </w:rPr>
          <w:t xml:space="preserve"> “</w:t>
        </w:r>
        <w:r w:rsidR="009C410E" w:rsidRPr="009C410E">
          <w:rPr>
            <w:rFonts w:ascii="Arial" w:hAnsi="Arial" w:cs="Arial"/>
            <w:i w:val="0"/>
          </w:rPr>
          <w:t>Ecuador 2010: Frecuencia Relativa del Número de personas por dormitorio en la vivienda donde reside al menos un extranjero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_Toc341043437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161</w:t>
        </w:r>
        <w:r w:rsidR="00990535" w:rsidRPr="009C410E">
          <w:rPr>
            <w:rFonts w:ascii="Arial" w:hAnsi="Arial" w:cs="Arial"/>
            <w:i w:val="0"/>
            <w:noProof/>
            <w:webHidden/>
          </w:rPr>
          <w:fldChar w:fldCharType="end"/>
        </w:r>
      </w:hyperlink>
    </w:p>
    <w:p w:rsidR="009C410E" w:rsidRPr="009C410E" w:rsidRDefault="00436907" w:rsidP="009C410E">
      <w:pPr>
        <w:pStyle w:val="Tabladeilustraciones"/>
        <w:tabs>
          <w:tab w:val="right" w:leader="dot" w:pos="8268"/>
        </w:tabs>
        <w:spacing w:line="360" w:lineRule="auto"/>
        <w:rPr>
          <w:rFonts w:eastAsiaTheme="minorEastAsia" w:cstheme="minorBidi"/>
          <w:i w:val="0"/>
          <w:iCs w:val="0"/>
          <w:noProof/>
          <w:lang w:eastAsia="es-EC"/>
        </w:rPr>
      </w:pPr>
      <w:hyperlink w:anchor="_Toc341043438" w:history="1">
        <w:r w:rsidR="009C410E" w:rsidRPr="009C410E">
          <w:rPr>
            <w:rStyle w:val="Hipervnculo"/>
            <w:rFonts w:ascii="Arial" w:hAnsi="Arial" w:cs="Arial"/>
            <w:b/>
            <w:i w:val="0"/>
            <w:noProof/>
          </w:rPr>
          <w:t>Figura 3.39</w:t>
        </w:r>
        <w:r w:rsidR="009C410E" w:rsidRPr="009C410E">
          <w:rPr>
            <w:rStyle w:val="Hipervnculo"/>
            <w:rFonts w:ascii="Arial" w:hAnsi="Arial" w:cs="Arial"/>
            <w:i w:val="0"/>
            <w:noProof/>
          </w:rPr>
          <w:t xml:space="preserve"> “</w:t>
        </w:r>
        <w:r w:rsidR="009C410E" w:rsidRPr="009C410E">
          <w:rPr>
            <w:rFonts w:ascii="Arial" w:hAnsi="Arial" w:cs="Arial"/>
            <w:i w:val="0"/>
          </w:rPr>
          <w:t>Ecuador 2010: Distribución condicional del Número de personas por dormitorio en la vivienda donde reside al menos un extranjero dado que se conoce el país de nacimiento</w:t>
        </w:r>
        <w:r w:rsidR="009C410E" w:rsidRPr="009C410E">
          <w:rPr>
            <w:rStyle w:val="Hipervnculo"/>
            <w:rFonts w:ascii="Arial" w:hAnsi="Arial" w:cs="Arial"/>
            <w:i w:val="0"/>
            <w:noProof/>
          </w:rPr>
          <w:t>”</w:t>
        </w:r>
        <w:r w:rsidR="009C410E" w:rsidRPr="009C410E">
          <w:rPr>
            <w:rFonts w:ascii="Arial" w:hAnsi="Arial" w:cs="Arial"/>
            <w:i w:val="0"/>
            <w:noProof/>
            <w:webHidden/>
          </w:rPr>
          <w:tab/>
        </w:r>
        <w:r w:rsidR="00990535" w:rsidRPr="009C410E">
          <w:rPr>
            <w:rFonts w:ascii="Arial" w:hAnsi="Arial" w:cs="Arial"/>
            <w:i w:val="0"/>
            <w:noProof/>
            <w:webHidden/>
          </w:rPr>
          <w:fldChar w:fldCharType="begin"/>
        </w:r>
        <w:r w:rsidR="009C410E" w:rsidRPr="009C410E">
          <w:rPr>
            <w:rFonts w:ascii="Arial" w:hAnsi="Arial" w:cs="Arial"/>
            <w:i w:val="0"/>
            <w:noProof/>
            <w:webHidden/>
          </w:rPr>
          <w:instrText xml:space="preserve"> PAGEREF _Toc341043438 \h </w:instrText>
        </w:r>
        <w:r w:rsidR="00990535" w:rsidRPr="009C410E">
          <w:rPr>
            <w:rFonts w:ascii="Arial" w:hAnsi="Arial" w:cs="Arial"/>
            <w:i w:val="0"/>
            <w:noProof/>
            <w:webHidden/>
          </w:rPr>
        </w:r>
        <w:r w:rsidR="00990535" w:rsidRPr="009C410E">
          <w:rPr>
            <w:rFonts w:ascii="Arial" w:hAnsi="Arial" w:cs="Arial"/>
            <w:i w:val="0"/>
            <w:noProof/>
            <w:webHidden/>
          </w:rPr>
          <w:fldChar w:fldCharType="separate"/>
        </w:r>
        <w:r w:rsidR="00A242E0">
          <w:rPr>
            <w:rFonts w:ascii="Arial" w:hAnsi="Arial" w:cs="Arial"/>
            <w:i w:val="0"/>
            <w:noProof/>
            <w:webHidden/>
          </w:rPr>
          <w:t>162</w:t>
        </w:r>
        <w:r w:rsidR="00990535" w:rsidRPr="009C410E">
          <w:rPr>
            <w:rFonts w:ascii="Arial" w:hAnsi="Arial" w:cs="Arial"/>
            <w:i w:val="0"/>
            <w:noProof/>
            <w:webHidden/>
          </w:rPr>
          <w:fldChar w:fldCharType="end"/>
        </w:r>
      </w:hyperlink>
    </w:p>
    <w:p w:rsidR="00470CE4" w:rsidRPr="009C410E" w:rsidRDefault="00990535" w:rsidP="009C410E">
      <w:pPr>
        <w:spacing w:line="360" w:lineRule="auto"/>
        <w:ind w:left="0"/>
        <w:jc w:val="both"/>
        <w:rPr>
          <w:rFonts w:ascii="Arial" w:hAnsi="Arial" w:cs="Arial"/>
          <w:b/>
          <w:sz w:val="20"/>
          <w:szCs w:val="20"/>
        </w:rPr>
      </w:pPr>
      <w:r w:rsidRPr="009C410E">
        <w:rPr>
          <w:rFonts w:ascii="Arial" w:hAnsi="Arial" w:cs="Arial"/>
          <w:sz w:val="20"/>
          <w:szCs w:val="20"/>
        </w:rPr>
        <w:fldChar w:fldCharType="end"/>
      </w:r>
      <w:r w:rsidR="00103B23" w:rsidRPr="009C410E">
        <w:rPr>
          <w:rFonts w:ascii="Arial" w:hAnsi="Arial" w:cs="Arial"/>
          <w:b/>
          <w:sz w:val="20"/>
          <w:szCs w:val="20"/>
        </w:rPr>
        <w:t>4</w:t>
      </w:r>
      <w:r w:rsidR="009C410E" w:rsidRPr="009C410E">
        <w:rPr>
          <w:rFonts w:ascii="Arial" w:hAnsi="Arial" w:cs="Arial"/>
          <w:b/>
          <w:sz w:val="20"/>
          <w:szCs w:val="20"/>
        </w:rPr>
        <w:t>.</w:t>
      </w:r>
      <w:r w:rsidR="00103B23" w:rsidRPr="009C410E">
        <w:rPr>
          <w:rFonts w:ascii="Arial" w:hAnsi="Arial" w:cs="Arial"/>
          <w:b/>
          <w:sz w:val="20"/>
          <w:szCs w:val="20"/>
        </w:rPr>
        <w:t xml:space="preserve"> INMIGRACIÓN REFERIDA A SUBPOBLACIONES DE LA POBLACIÓN NACIONAL</w:t>
      </w:r>
    </w:p>
    <w:p w:rsidR="009C410E" w:rsidRPr="003F6608" w:rsidRDefault="00990535" w:rsidP="003F6608">
      <w:pPr>
        <w:pStyle w:val="Tabladeilustraciones"/>
        <w:tabs>
          <w:tab w:val="right" w:leader="dot" w:pos="8268"/>
        </w:tabs>
        <w:spacing w:line="360" w:lineRule="auto"/>
        <w:rPr>
          <w:rFonts w:ascii="Arial" w:eastAsiaTheme="minorEastAsia" w:hAnsi="Arial" w:cs="Arial"/>
          <w:i w:val="0"/>
          <w:iCs w:val="0"/>
          <w:noProof/>
          <w:lang w:eastAsia="es-EC"/>
        </w:rPr>
      </w:pPr>
      <w:r w:rsidRPr="003F6608">
        <w:rPr>
          <w:rFonts w:ascii="Arial" w:hAnsi="Arial" w:cs="Arial"/>
          <w:i w:val="0"/>
        </w:rPr>
        <w:fldChar w:fldCharType="begin"/>
      </w:r>
      <w:r w:rsidR="00181359" w:rsidRPr="003F6608">
        <w:rPr>
          <w:rFonts w:ascii="Arial" w:hAnsi="Arial" w:cs="Arial"/>
          <w:i w:val="0"/>
        </w:rPr>
        <w:instrText xml:space="preserve"> TOC \h \z \c "Figura 4." </w:instrText>
      </w:r>
      <w:r w:rsidRPr="003F6608">
        <w:rPr>
          <w:rFonts w:ascii="Arial" w:hAnsi="Arial" w:cs="Arial"/>
          <w:i w:val="0"/>
        </w:rPr>
        <w:fldChar w:fldCharType="separate"/>
      </w:r>
      <w:hyperlink w:anchor="_Toc341043973" w:history="1">
        <w:r w:rsidR="009C410E" w:rsidRPr="003F6608">
          <w:rPr>
            <w:rStyle w:val="Hipervnculo"/>
            <w:rFonts w:ascii="Arial" w:hAnsi="Arial" w:cs="Arial"/>
            <w:b/>
            <w:i w:val="0"/>
            <w:noProof/>
          </w:rPr>
          <w:t>Figura 4.1</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Provincia de residencia habitual de los colombianos</w:t>
        </w:r>
        <w:r w:rsidR="003F6608" w:rsidRPr="003F6608">
          <w:rPr>
            <w:rStyle w:val="Hipervnculo"/>
            <w:rFonts w:ascii="Arial" w:hAnsi="Arial" w:cs="Arial"/>
            <w:i w:val="0"/>
            <w:noProof/>
          </w:rPr>
          <w:t>”</w:t>
        </w:r>
        <w:r w:rsidR="009C410E" w:rsidRPr="003F6608">
          <w:rPr>
            <w:rFonts w:ascii="Arial" w:hAnsi="Arial" w:cs="Arial"/>
            <w:i w:val="0"/>
            <w:noProof/>
            <w:webHidden/>
          </w:rPr>
          <w:tab/>
        </w:r>
        <w:r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_Toc341043973 \h </w:instrText>
        </w:r>
        <w:r w:rsidRPr="003F6608">
          <w:rPr>
            <w:rFonts w:ascii="Arial" w:hAnsi="Arial" w:cs="Arial"/>
            <w:i w:val="0"/>
            <w:noProof/>
            <w:webHidden/>
          </w:rPr>
        </w:r>
        <w:r w:rsidRPr="003F6608">
          <w:rPr>
            <w:rFonts w:ascii="Arial" w:hAnsi="Arial" w:cs="Arial"/>
            <w:i w:val="0"/>
            <w:noProof/>
            <w:webHidden/>
          </w:rPr>
          <w:fldChar w:fldCharType="separate"/>
        </w:r>
        <w:r w:rsidR="00A242E0">
          <w:rPr>
            <w:rFonts w:ascii="Arial" w:hAnsi="Arial" w:cs="Arial"/>
            <w:i w:val="0"/>
            <w:noProof/>
            <w:webHidden/>
          </w:rPr>
          <w:t>165</w:t>
        </w:r>
        <w:r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74" w:history="1">
        <w:r w:rsidR="009C410E" w:rsidRPr="003F6608">
          <w:rPr>
            <w:rStyle w:val="Hipervnculo"/>
            <w:rFonts w:ascii="Arial" w:hAnsi="Arial" w:cs="Arial"/>
            <w:b/>
            <w:i w:val="0"/>
            <w:noProof/>
          </w:rPr>
          <w:t>Figura 4.2</w:t>
        </w:r>
        <w:r w:rsidR="003F6608" w:rsidRPr="003F6608">
          <w:rPr>
            <w:rStyle w:val="Hipervnculo"/>
            <w:rFonts w:ascii="Arial" w:hAnsi="Arial" w:cs="Arial"/>
            <w:i w:val="0"/>
            <w:noProof/>
          </w:rPr>
          <w:t xml:space="preserve"> “</w:t>
        </w:r>
        <w:r w:rsidR="003F6608" w:rsidRPr="003F6608">
          <w:rPr>
            <w:rFonts w:ascii="Arial" w:hAnsi="Arial" w:cs="Arial"/>
            <w:i w:val="0"/>
          </w:rPr>
          <w:t>Ecuador 2010: Tasa de Inmigración colombiana por cada 1000 residentes a nivel Provincial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_Toc341043974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166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75" w:history="1">
        <w:r w:rsidR="009C410E" w:rsidRPr="003F6608">
          <w:rPr>
            <w:rStyle w:val="Hipervnculo"/>
            <w:rFonts w:ascii="Arial" w:hAnsi="Arial" w:cs="Arial"/>
            <w:b/>
            <w:i w:val="0"/>
            <w:noProof/>
          </w:rPr>
          <w:t>Figura 4.3</w:t>
        </w:r>
        <w:r w:rsidR="003F6608" w:rsidRPr="003F6608">
          <w:rPr>
            <w:rStyle w:val="Hipervnculo"/>
            <w:rFonts w:ascii="Arial" w:hAnsi="Arial" w:cs="Arial"/>
            <w:i w:val="0"/>
            <w:noProof/>
          </w:rPr>
          <w:t xml:space="preserve"> “</w:t>
        </w:r>
        <w:r w:rsidR="003F6608" w:rsidRPr="003F6608">
          <w:rPr>
            <w:rFonts w:ascii="Arial" w:hAnsi="Arial" w:cs="Arial"/>
            <w:i w:val="0"/>
          </w:rPr>
          <w:t>Ecuador 2010: Tasa de Inmigración colombiana por cada 1000 residentes a nivel Provincial ordenada alfabéticamente y en forma descendente</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_Toc341043975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168</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76" w:history="1">
        <w:r w:rsidR="009C410E" w:rsidRPr="003F6608">
          <w:rPr>
            <w:rStyle w:val="Hipervnculo"/>
            <w:rFonts w:ascii="Arial" w:hAnsi="Arial" w:cs="Arial"/>
            <w:b/>
            <w:i w:val="0"/>
            <w:noProof/>
          </w:rPr>
          <w:t>Figura 4.4</w:t>
        </w:r>
        <w:r w:rsidR="003F6608" w:rsidRPr="003F6608">
          <w:rPr>
            <w:rStyle w:val="Hipervnculo"/>
            <w:rFonts w:ascii="Arial" w:hAnsi="Arial" w:cs="Arial"/>
            <w:i w:val="0"/>
            <w:noProof/>
          </w:rPr>
          <w:t xml:space="preserve"> “</w:t>
        </w:r>
        <w:r w:rsidR="003F6608" w:rsidRPr="003F6608">
          <w:rPr>
            <w:rFonts w:ascii="Arial" w:hAnsi="Arial" w:cs="Arial"/>
            <w:i w:val="0"/>
          </w:rPr>
          <w:t>Ecuador 2010: Tasa por cada 1000 colombianos por zona urbana y rural a nivel Provincial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_Toc341043976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170</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77" w:history="1">
        <w:r w:rsidR="009C410E" w:rsidRPr="003F6608">
          <w:rPr>
            <w:rStyle w:val="Hipervnculo"/>
            <w:rFonts w:ascii="Arial" w:hAnsi="Arial" w:cs="Arial"/>
            <w:b/>
            <w:i w:val="0"/>
            <w:noProof/>
          </w:rPr>
          <w:t>Figura 4.5</w:t>
        </w:r>
        <w:r w:rsidR="003F6608" w:rsidRPr="003F6608">
          <w:rPr>
            <w:rStyle w:val="Hipervnculo"/>
            <w:rFonts w:ascii="Arial" w:hAnsi="Arial" w:cs="Arial"/>
            <w:i w:val="0"/>
            <w:noProof/>
          </w:rPr>
          <w:t xml:space="preserve"> “</w:t>
        </w:r>
        <w:r w:rsidR="003F6608" w:rsidRPr="003F6608">
          <w:rPr>
            <w:rFonts w:ascii="Arial" w:hAnsi="Arial" w:cs="Arial"/>
            <w:i w:val="0"/>
          </w:rPr>
          <w:t>Ecuador 2010: Tasa por cada 1000 colombianos por zona urbana y rural por Sexo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_Toc341043977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172</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78" w:history="1">
        <w:r w:rsidR="009C410E" w:rsidRPr="003F6608">
          <w:rPr>
            <w:rStyle w:val="Hipervnculo"/>
            <w:rFonts w:ascii="Arial" w:hAnsi="Arial" w:cs="Arial"/>
            <w:b/>
            <w:i w:val="0"/>
            <w:noProof/>
          </w:rPr>
          <w:t>Figura 4.6</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la cantidad de años de residencia en el país de la población colombiana</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_Toc341043978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173</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79" w:history="1">
        <w:r w:rsidR="009C410E" w:rsidRPr="003F6608">
          <w:rPr>
            <w:rStyle w:val="Hipervnculo"/>
            <w:rFonts w:ascii="Arial" w:hAnsi="Arial" w:cs="Arial"/>
            <w:b/>
            <w:i w:val="0"/>
            <w:noProof/>
          </w:rPr>
          <w:t>Figura 4.7</w:t>
        </w:r>
        <w:r w:rsidR="003F6608" w:rsidRPr="003F6608">
          <w:rPr>
            <w:rStyle w:val="Hipervnculo"/>
            <w:rFonts w:ascii="Arial" w:hAnsi="Arial" w:cs="Arial"/>
            <w:i w:val="0"/>
            <w:noProof/>
          </w:rPr>
          <w:t xml:space="preserve"> “</w:t>
        </w:r>
        <w:r w:rsidR="003F6608" w:rsidRPr="003F6608">
          <w:rPr>
            <w:rFonts w:ascii="Arial" w:hAnsi="Arial" w:cs="Arial"/>
            <w:i w:val="0"/>
          </w:rPr>
          <w:t>Ecuador 2010: Índice de Feminidad de los colombianos por Provincia de residencia habitual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_Toc341043979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174</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80" w:history="1">
        <w:r w:rsidR="009C410E" w:rsidRPr="003F6608">
          <w:rPr>
            <w:rStyle w:val="Hipervnculo"/>
            <w:rFonts w:ascii="Arial" w:hAnsi="Arial" w:cs="Arial"/>
            <w:b/>
            <w:i w:val="0"/>
            <w:noProof/>
          </w:rPr>
          <w:t>Figura 4.8</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Género – Edad de los colombianos residentes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_Toc341043980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176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81" w:history="1">
        <w:r w:rsidR="009C410E" w:rsidRPr="003F6608">
          <w:rPr>
            <w:rStyle w:val="Hipervnculo"/>
            <w:rFonts w:ascii="Arial" w:hAnsi="Arial" w:cs="Arial"/>
            <w:b/>
            <w:i w:val="0"/>
            <w:noProof/>
          </w:rPr>
          <w:t>Figura 4.9</w:t>
        </w:r>
        <w:r w:rsidR="003F6608" w:rsidRPr="003F6608">
          <w:rPr>
            <w:rStyle w:val="Hipervnculo"/>
            <w:rFonts w:ascii="Arial" w:hAnsi="Arial" w:cs="Arial"/>
            <w:i w:val="0"/>
            <w:noProof/>
          </w:rPr>
          <w:t xml:space="preserve"> “</w:t>
        </w:r>
        <w:r w:rsidR="003F6608" w:rsidRPr="003F6608">
          <w:rPr>
            <w:rFonts w:ascii="Arial" w:hAnsi="Arial" w:cs="Arial"/>
            <w:i w:val="0"/>
          </w:rPr>
          <w:t>Ecuador 2010: Índice de Feminidad por Grupos etarios de la población colombiana</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_Toc341043981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177</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82" w:history="1">
        <w:r w:rsidR="009C410E" w:rsidRPr="003F6608">
          <w:rPr>
            <w:rStyle w:val="Hipervnculo"/>
            <w:rFonts w:ascii="Arial" w:hAnsi="Arial" w:cs="Arial"/>
            <w:b/>
            <w:i w:val="0"/>
            <w:noProof/>
          </w:rPr>
          <w:t>Figura 4.10</w:t>
        </w:r>
        <w:r w:rsidR="003F6608" w:rsidRPr="003F6608">
          <w:rPr>
            <w:rStyle w:val="Hipervnculo"/>
            <w:rFonts w:ascii="Arial" w:hAnsi="Arial" w:cs="Arial"/>
            <w:i w:val="0"/>
            <w:noProof/>
          </w:rPr>
          <w:t xml:space="preserve"> “</w:t>
        </w:r>
        <w:r w:rsidR="003F6608" w:rsidRPr="003F6608">
          <w:rPr>
            <w:rFonts w:ascii="Arial" w:hAnsi="Arial" w:cs="Arial"/>
            <w:i w:val="0"/>
          </w:rPr>
          <w:t>Ecuador 2010: Tasa de Analfabetismo por cada 1000 colombianos por Género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_Toc341043982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179</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83" w:history="1">
        <w:r w:rsidR="009C410E" w:rsidRPr="003F6608">
          <w:rPr>
            <w:rStyle w:val="Hipervnculo"/>
            <w:rFonts w:ascii="Arial" w:hAnsi="Arial" w:cs="Arial"/>
            <w:b/>
            <w:i w:val="0"/>
            <w:noProof/>
          </w:rPr>
          <w:t>Figura 4.11</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Género – Edad – Nivel de Instrucción de los colombianos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_Toc341043983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180</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84" w:history="1">
        <w:r w:rsidR="009C410E" w:rsidRPr="003F6608">
          <w:rPr>
            <w:rStyle w:val="Hipervnculo"/>
            <w:rFonts w:ascii="Arial" w:hAnsi="Arial" w:cs="Arial"/>
            <w:b/>
            <w:i w:val="0"/>
            <w:noProof/>
          </w:rPr>
          <w:t>Figura 4.12</w:t>
        </w:r>
        <w:r w:rsidR="003F6608" w:rsidRPr="003F6608">
          <w:rPr>
            <w:rStyle w:val="Hipervnculo"/>
            <w:rFonts w:ascii="Arial" w:hAnsi="Arial" w:cs="Arial"/>
            <w:i w:val="0"/>
            <w:noProof/>
          </w:rPr>
          <w:t xml:space="preserve"> “Ecuador 2010: Distribución condicional de Género de los colombianos dado que se conoce el Nivel más alto de instrucción”</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_Toc341043984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181</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85" w:history="1">
        <w:r w:rsidR="009C410E" w:rsidRPr="003F6608">
          <w:rPr>
            <w:rStyle w:val="Hipervnculo"/>
            <w:rFonts w:ascii="Arial" w:hAnsi="Arial" w:cs="Arial"/>
            <w:b/>
            <w:i w:val="0"/>
            <w:noProof/>
          </w:rPr>
          <w:t>Figura 4.13</w:t>
        </w:r>
        <w:r w:rsidR="003F6608" w:rsidRPr="003F6608">
          <w:rPr>
            <w:rStyle w:val="Hipervnculo"/>
            <w:rFonts w:ascii="Arial" w:hAnsi="Arial" w:cs="Arial"/>
            <w:i w:val="0"/>
            <w:noProof/>
          </w:rPr>
          <w:t xml:space="preserve"> “</w:t>
        </w:r>
        <w:r w:rsidR="003F6608" w:rsidRPr="003F6608">
          <w:rPr>
            <w:rFonts w:ascii="Arial" w:hAnsi="Arial" w:cs="Arial"/>
            <w:i w:val="0"/>
          </w:rPr>
          <w:t>Ecuador 2010: Tasa de universitarios por cada 1000 colombianos por Género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_Toc341043985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183</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86" w:history="1">
        <w:r w:rsidR="009C410E" w:rsidRPr="003F6608">
          <w:rPr>
            <w:rStyle w:val="Hipervnculo"/>
            <w:rFonts w:ascii="Arial" w:hAnsi="Arial" w:cs="Arial"/>
            <w:b/>
            <w:i w:val="0"/>
            <w:noProof/>
          </w:rPr>
          <w:t>Figura 4.14</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Estado Civil de los colombianos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_Toc341043986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184</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87" w:history="1">
        <w:r w:rsidR="009C410E" w:rsidRPr="003F6608">
          <w:rPr>
            <w:rStyle w:val="Hipervnculo"/>
            <w:rFonts w:ascii="Arial" w:hAnsi="Arial" w:cs="Arial"/>
            <w:b/>
            <w:i w:val="0"/>
            <w:noProof/>
          </w:rPr>
          <w:t>Figura 4.15</w:t>
        </w:r>
        <w:r w:rsidR="003F6608" w:rsidRPr="003F6608">
          <w:rPr>
            <w:rStyle w:val="Hipervnculo"/>
            <w:rFonts w:ascii="Arial" w:hAnsi="Arial" w:cs="Arial"/>
            <w:i w:val="0"/>
            <w:noProof/>
          </w:rPr>
          <w:t xml:space="preserve"> “</w:t>
        </w:r>
        <w:r w:rsidR="003F6608" w:rsidRPr="003F6608">
          <w:rPr>
            <w:rFonts w:ascii="Arial" w:hAnsi="Arial" w:cs="Arial"/>
            <w:i w:val="0"/>
          </w:rPr>
          <w:t>Ecuador 2010: Tasa de estado civil por cada 1000 colombianos por Género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_Toc341043987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186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88" w:history="1">
        <w:r w:rsidR="009C410E" w:rsidRPr="003F6608">
          <w:rPr>
            <w:rStyle w:val="Hipervnculo"/>
            <w:rFonts w:ascii="Arial" w:hAnsi="Arial" w:cs="Arial"/>
            <w:b/>
            <w:i w:val="0"/>
            <w:noProof/>
          </w:rPr>
          <w:t>Figura 4.16</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los colombianos que han utilizado Teléfono Celular, Internet o Computadora en los últimos seis meses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_Toc341043988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187</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89" w:history="1">
        <w:r w:rsidR="009C410E" w:rsidRPr="003F6608">
          <w:rPr>
            <w:rStyle w:val="Hipervnculo"/>
            <w:rFonts w:ascii="Arial" w:hAnsi="Arial" w:cs="Arial"/>
            <w:b/>
            <w:i w:val="0"/>
            <w:noProof/>
          </w:rPr>
          <w:t>Figura 4.17</w:t>
        </w:r>
        <w:r w:rsidR="003F6608" w:rsidRPr="003F6608">
          <w:rPr>
            <w:rStyle w:val="Hipervnculo"/>
            <w:rFonts w:ascii="Arial" w:hAnsi="Arial" w:cs="Arial"/>
            <w:i w:val="0"/>
            <w:noProof/>
          </w:rPr>
          <w:t xml:space="preserve"> “</w:t>
        </w:r>
        <w:r w:rsidR="003F6608" w:rsidRPr="003F6608">
          <w:rPr>
            <w:rFonts w:ascii="Arial" w:hAnsi="Arial" w:cs="Arial"/>
            <w:i w:val="0"/>
          </w:rPr>
          <w:t>Ecuador 2010: Población colombiana Económicamente Activa e Inactiva residente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_Toc341043989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188</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90" w:history="1">
        <w:r w:rsidR="009C410E" w:rsidRPr="003F6608">
          <w:rPr>
            <w:rStyle w:val="Hipervnculo"/>
            <w:rFonts w:ascii="Arial" w:hAnsi="Arial" w:cs="Arial"/>
            <w:b/>
            <w:i w:val="0"/>
            <w:noProof/>
          </w:rPr>
          <w:t>Figura 4.18</w:t>
        </w:r>
        <w:r w:rsidR="003F6608" w:rsidRPr="003F6608">
          <w:rPr>
            <w:rStyle w:val="Hipervnculo"/>
            <w:rFonts w:ascii="Arial" w:hAnsi="Arial" w:cs="Arial"/>
            <w:i w:val="0"/>
            <w:noProof/>
          </w:rPr>
          <w:t xml:space="preserve"> “</w:t>
        </w:r>
        <w:r w:rsidR="003F6608" w:rsidRPr="003F6608">
          <w:rPr>
            <w:rFonts w:ascii="Arial" w:hAnsi="Arial" w:cs="Arial"/>
            <w:i w:val="0"/>
          </w:rPr>
          <w:t>Ecuador 2010: Población colombiana Económicamente Activa e Inactiva por Género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_Toc341043990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189</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91" w:history="1">
        <w:r w:rsidR="009C410E" w:rsidRPr="003F6608">
          <w:rPr>
            <w:rStyle w:val="Hipervnculo"/>
            <w:rFonts w:ascii="Arial" w:hAnsi="Arial" w:cs="Arial"/>
            <w:b/>
            <w:i w:val="0"/>
            <w:noProof/>
          </w:rPr>
          <w:t>Figura 4.19</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del trabajo que desempeñan los colombianos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_Toc341043991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190</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92" w:history="1">
        <w:r w:rsidR="009C410E" w:rsidRPr="003F6608">
          <w:rPr>
            <w:rStyle w:val="Hipervnculo"/>
            <w:rFonts w:ascii="Arial" w:hAnsi="Arial" w:cs="Arial"/>
            <w:b/>
            <w:i w:val="0"/>
            <w:noProof/>
          </w:rPr>
          <w:t>Figura 4.20</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del Trabajo desempeñado por los colombianos dado que se conoce el  Género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_Toc341043992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191</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93" w:history="1">
        <w:r w:rsidR="009C410E" w:rsidRPr="003F6608">
          <w:rPr>
            <w:rStyle w:val="Hipervnculo"/>
            <w:rFonts w:ascii="Arial" w:hAnsi="Arial" w:cs="Arial"/>
            <w:b/>
            <w:i w:val="0"/>
            <w:noProof/>
          </w:rPr>
          <w:t>Figura 4.21</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del trabajo desempeñado por los colombianos dado que se conoce el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_Toc341043993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193</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94" w:history="1">
        <w:r w:rsidR="009C410E" w:rsidRPr="003F6608">
          <w:rPr>
            <w:rStyle w:val="Hipervnculo"/>
            <w:rFonts w:ascii="Arial" w:hAnsi="Arial" w:cs="Arial"/>
            <w:b/>
            <w:i w:val="0"/>
            <w:noProof/>
          </w:rPr>
          <w:t>Figura 4.22</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la ocupación de los colombianos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_Toc341043994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194</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95" w:history="1">
        <w:r w:rsidR="009C410E" w:rsidRPr="003F6608">
          <w:rPr>
            <w:rStyle w:val="Hipervnculo"/>
            <w:rFonts w:ascii="Arial" w:hAnsi="Arial" w:cs="Arial"/>
            <w:b/>
            <w:i w:val="0"/>
            <w:noProof/>
          </w:rPr>
          <w:t>Figura 4.23</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 la ocupación de los colombianos dado que se conoce el Género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_Toc341043995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195</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96" w:history="1">
        <w:r w:rsidR="009C410E" w:rsidRPr="003F6608">
          <w:rPr>
            <w:rStyle w:val="Hipervnculo"/>
            <w:rFonts w:ascii="Arial" w:hAnsi="Arial" w:cs="Arial"/>
            <w:b/>
            <w:i w:val="0"/>
            <w:noProof/>
          </w:rPr>
          <w:t>Figura 4.24</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 la ocupación de los colombianos dado que se conoce el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_Toc341043996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197</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97" w:history="1">
        <w:r w:rsidR="009C410E" w:rsidRPr="003F6608">
          <w:rPr>
            <w:rStyle w:val="Hipervnculo"/>
            <w:rFonts w:ascii="Arial" w:hAnsi="Arial" w:cs="Arial"/>
            <w:b/>
            <w:i w:val="0"/>
            <w:noProof/>
          </w:rPr>
          <w:t>Figura 4.25</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del Tipo de Vivienda en la que reside al menos un colombiano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_Toc341043997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198</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98" w:history="1">
        <w:r w:rsidR="009C410E" w:rsidRPr="003F6608">
          <w:rPr>
            <w:rStyle w:val="Hipervnculo"/>
            <w:rFonts w:ascii="Arial" w:hAnsi="Arial" w:cs="Arial"/>
            <w:b/>
            <w:i w:val="0"/>
            <w:noProof/>
          </w:rPr>
          <w:t>Figura 4.26</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pertenencia de la vivienda donde reside al menos un colombiano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_Toc341043998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199</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3999" w:history="1">
        <w:r w:rsidR="009C410E" w:rsidRPr="003F6608">
          <w:rPr>
            <w:rStyle w:val="Hipervnculo"/>
            <w:rFonts w:ascii="Arial" w:hAnsi="Arial" w:cs="Arial"/>
            <w:b/>
            <w:i w:val="0"/>
            <w:noProof/>
          </w:rPr>
          <w:t>Figura 4.27</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del Número de personas por dormitorio en la vivienda donde reside al menos un colombiano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_Toc341043999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199</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00" w:history="1">
        <w:r w:rsidR="009C410E" w:rsidRPr="003F6608">
          <w:rPr>
            <w:rStyle w:val="Hipervnculo"/>
            <w:rFonts w:ascii="Arial" w:hAnsi="Arial" w:cs="Arial"/>
            <w:b/>
            <w:i w:val="0"/>
            <w:noProof/>
          </w:rPr>
          <w:t>Figura 4.28</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Provincia de residencia habitual de los peruanos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_Toc341044000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201</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01" w:history="1">
        <w:r w:rsidR="009C410E" w:rsidRPr="003F6608">
          <w:rPr>
            <w:rStyle w:val="Hipervnculo"/>
            <w:rFonts w:ascii="Arial" w:hAnsi="Arial" w:cs="Arial"/>
            <w:b/>
            <w:i w:val="0"/>
            <w:noProof/>
          </w:rPr>
          <w:t>Figura 4.29</w:t>
        </w:r>
        <w:r w:rsidR="003F6608" w:rsidRPr="003F6608">
          <w:rPr>
            <w:rStyle w:val="Hipervnculo"/>
            <w:rFonts w:ascii="Arial" w:hAnsi="Arial" w:cs="Arial"/>
            <w:i w:val="0"/>
            <w:noProof/>
          </w:rPr>
          <w:t xml:space="preserve"> “</w:t>
        </w:r>
        <w:r w:rsidR="003F6608" w:rsidRPr="003F6608">
          <w:rPr>
            <w:rFonts w:ascii="Arial" w:hAnsi="Arial" w:cs="Arial"/>
            <w:i w:val="0"/>
          </w:rPr>
          <w:t>Ecuador 2010: Tasa de Inmigración peruana por cada 1000 residentes a nivel Provincial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_Toc341044001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202</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02" w:history="1">
        <w:r w:rsidR="009C410E" w:rsidRPr="003F6608">
          <w:rPr>
            <w:rStyle w:val="Hipervnculo"/>
            <w:rFonts w:ascii="Arial" w:hAnsi="Arial" w:cs="Arial"/>
            <w:b/>
            <w:i w:val="0"/>
            <w:noProof/>
          </w:rPr>
          <w:t>Figura 4.30</w:t>
        </w:r>
        <w:r w:rsidR="003F6608" w:rsidRPr="003F6608">
          <w:rPr>
            <w:rStyle w:val="Hipervnculo"/>
            <w:rFonts w:ascii="Arial" w:hAnsi="Arial" w:cs="Arial"/>
            <w:i w:val="0"/>
            <w:noProof/>
          </w:rPr>
          <w:t xml:space="preserve"> “</w:t>
        </w:r>
        <w:r w:rsidR="003F6608" w:rsidRPr="003F6608">
          <w:rPr>
            <w:rFonts w:ascii="Arial" w:hAnsi="Arial" w:cs="Arial"/>
            <w:i w:val="0"/>
          </w:rPr>
          <w:t>Ecuador 2010: Tasa de Inmigración peruana por cada 1000 residentes a nivel Provincial ordenada alfabéticamente y en forma descendente</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_Toc341044002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204</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03" w:history="1">
        <w:r w:rsidR="009C410E" w:rsidRPr="003F6608">
          <w:rPr>
            <w:rStyle w:val="Hipervnculo"/>
            <w:rFonts w:ascii="Arial" w:hAnsi="Arial" w:cs="Arial"/>
            <w:b/>
            <w:i w:val="0"/>
            <w:noProof/>
          </w:rPr>
          <w:t>Figura 4.31</w:t>
        </w:r>
        <w:r w:rsidR="003F6608" w:rsidRPr="003F6608">
          <w:rPr>
            <w:rStyle w:val="Hipervnculo"/>
            <w:rFonts w:ascii="Arial" w:hAnsi="Arial" w:cs="Arial"/>
            <w:i w:val="0"/>
            <w:noProof/>
          </w:rPr>
          <w:t xml:space="preserve"> “</w:t>
        </w:r>
        <w:r w:rsidR="003F6608" w:rsidRPr="003F6608">
          <w:rPr>
            <w:rFonts w:ascii="Arial" w:hAnsi="Arial" w:cs="Arial"/>
            <w:i w:val="0"/>
          </w:rPr>
          <w:t>Ecuador 2010: Tasa por cada 1000 peruanos por zona urbana y rural a nivel Provincial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_Toc341044003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205</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04" w:history="1">
        <w:r w:rsidR="009C410E" w:rsidRPr="003F6608">
          <w:rPr>
            <w:rStyle w:val="Hipervnculo"/>
            <w:rFonts w:ascii="Arial" w:hAnsi="Arial" w:cs="Arial"/>
            <w:b/>
            <w:i w:val="0"/>
            <w:noProof/>
          </w:rPr>
          <w:t>Figura 4.32</w:t>
        </w:r>
        <w:r w:rsidR="003F6608" w:rsidRPr="003F6608">
          <w:rPr>
            <w:rStyle w:val="Hipervnculo"/>
            <w:rFonts w:ascii="Arial" w:hAnsi="Arial" w:cs="Arial"/>
            <w:i w:val="0"/>
            <w:noProof/>
          </w:rPr>
          <w:t xml:space="preserve"> “</w:t>
        </w:r>
        <w:r w:rsidR="003F6608" w:rsidRPr="003F6608">
          <w:rPr>
            <w:rFonts w:ascii="Arial" w:hAnsi="Arial" w:cs="Arial"/>
            <w:i w:val="0"/>
          </w:rPr>
          <w:t>Ecuador 2010: Tasa por cada 1000 peruanos por zona urbana y rural por Sexo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_Toc341044004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207</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05" w:history="1">
        <w:r w:rsidR="009C410E" w:rsidRPr="003F6608">
          <w:rPr>
            <w:rStyle w:val="Hipervnculo"/>
            <w:rFonts w:ascii="Arial" w:hAnsi="Arial" w:cs="Arial"/>
            <w:b/>
            <w:i w:val="0"/>
            <w:noProof/>
          </w:rPr>
          <w:t>Figura 4.33</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la cantidad de años de residencia en el país de la población peruana</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_Toc341044005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208</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06" w:history="1">
        <w:r w:rsidR="009C410E" w:rsidRPr="003F6608">
          <w:rPr>
            <w:rStyle w:val="Hipervnculo"/>
            <w:rFonts w:ascii="Arial" w:hAnsi="Arial" w:cs="Arial"/>
            <w:b/>
            <w:i w:val="0"/>
            <w:noProof/>
          </w:rPr>
          <w:t>Figura 4.34</w:t>
        </w:r>
        <w:r w:rsidR="003F6608" w:rsidRPr="003F6608">
          <w:rPr>
            <w:rStyle w:val="Hipervnculo"/>
            <w:rFonts w:ascii="Arial" w:hAnsi="Arial" w:cs="Arial"/>
            <w:i w:val="0"/>
            <w:noProof/>
          </w:rPr>
          <w:t xml:space="preserve"> “</w:t>
        </w:r>
        <w:r w:rsidR="003F6608" w:rsidRPr="003F6608">
          <w:rPr>
            <w:rFonts w:ascii="Arial" w:hAnsi="Arial" w:cs="Arial"/>
            <w:i w:val="0"/>
          </w:rPr>
          <w:t>Ecuador 2010: Índice de Feminidad de los peruanos por Provincia de residencia habitual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_Toc341044006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209</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07" w:history="1">
        <w:r w:rsidR="009C410E" w:rsidRPr="003F6608">
          <w:rPr>
            <w:rStyle w:val="Hipervnculo"/>
            <w:rFonts w:ascii="Arial" w:hAnsi="Arial" w:cs="Arial"/>
            <w:b/>
            <w:i w:val="0"/>
            <w:noProof/>
          </w:rPr>
          <w:t>Figura 4.35</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Género – Edad de los peruanos residentes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_Toc341044007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212</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08" w:history="1">
        <w:r w:rsidR="009C410E" w:rsidRPr="003F6608">
          <w:rPr>
            <w:rStyle w:val="Hipervnculo"/>
            <w:rFonts w:ascii="Arial" w:hAnsi="Arial" w:cs="Arial"/>
            <w:b/>
            <w:i w:val="0"/>
            <w:noProof/>
          </w:rPr>
          <w:t>Figura 4.36</w:t>
        </w:r>
        <w:r w:rsidR="003F6608" w:rsidRPr="003F6608">
          <w:rPr>
            <w:rStyle w:val="Hipervnculo"/>
            <w:rFonts w:ascii="Arial" w:hAnsi="Arial" w:cs="Arial"/>
            <w:i w:val="0"/>
            <w:noProof/>
          </w:rPr>
          <w:t xml:space="preserve"> “</w:t>
        </w:r>
        <w:r w:rsidR="003F6608" w:rsidRPr="003F6608">
          <w:rPr>
            <w:rFonts w:ascii="Arial" w:hAnsi="Arial" w:cs="Arial"/>
            <w:i w:val="0"/>
          </w:rPr>
          <w:t>Ecuador 2010: Índice de Feminidad por Grupos etarios de la población peruana</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_Toc341044008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213</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09" w:history="1">
        <w:r w:rsidR="009C410E" w:rsidRPr="003F6608">
          <w:rPr>
            <w:rStyle w:val="Hipervnculo"/>
            <w:rFonts w:ascii="Arial" w:hAnsi="Arial" w:cs="Arial"/>
            <w:b/>
            <w:i w:val="0"/>
            <w:noProof/>
          </w:rPr>
          <w:t>Figura 4.37</w:t>
        </w:r>
        <w:r w:rsidR="003F6608" w:rsidRPr="003F6608">
          <w:rPr>
            <w:rStyle w:val="Hipervnculo"/>
            <w:rFonts w:ascii="Arial" w:hAnsi="Arial" w:cs="Arial"/>
            <w:i w:val="0"/>
            <w:noProof/>
          </w:rPr>
          <w:t xml:space="preserve"> “</w:t>
        </w:r>
        <w:r w:rsidR="003F6608" w:rsidRPr="003F6608">
          <w:rPr>
            <w:rFonts w:ascii="Arial" w:hAnsi="Arial" w:cs="Arial"/>
            <w:i w:val="0"/>
          </w:rPr>
          <w:t>Ecuador 2010: Tasa de Analfabetismo por cada 1000 peruanos por Género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_Toc341044009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215</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10" w:history="1">
        <w:r w:rsidR="009C410E" w:rsidRPr="003F6608">
          <w:rPr>
            <w:rStyle w:val="Hipervnculo"/>
            <w:rFonts w:ascii="Arial" w:hAnsi="Arial" w:cs="Arial"/>
            <w:b/>
            <w:i w:val="0"/>
            <w:noProof/>
          </w:rPr>
          <w:t>Figura 4.38</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Género – Edad – Nivel de Instrucción de los peruanos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_Toc341044010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216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11" w:history="1">
        <w:r w:rsidR="009C410E" w:rsidRPr="003F6608">
          <w:rPr>
            <w:rStyle w:val="Hipervnculo"/>
            <w:rFonts w:ascii="Arial" w:hAnsi="Arial" w:cs="Arial"/>
            <w:b/>
            <w:i w:val="0"/>
            <w:noProof/>
          </w:rPr>
          <w:t>Figura 4.39</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 Género de los peruanos dado que se conoce el Nivel más alto de instrucción</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_Toc341044011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217</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12" w:history="1">
        <w:r w:rsidR="009C410E" w:rsidRPr="003F6608">
          <w:rPr>
            <w:rStyle w:val="Hipervnculo"/>
            <w:rFonts w:ascii="Arial" w:hAnsi="Arial" w:cs="Arial"/>
            <w:b/>
            <w:i w:val="0"/>
            <w:noProof/>
          </w:rPr>
          <w:t>Figura 4.40</w:t>
        </w:r>
        <w:r w:rsidR="003F6608" w:rsidRPr="003F6608">
          <w:rPr>
            <w:rStyle w:val="Hipervnculo"/>
            <w:rFonts w:ascii="Arial" w:hAnsi="Arial" w:cs="Arial"/>
            <w:i w:val="0"/>
            <w:noProof/>
          </w:rPr>
          <w:t xml:space="preserve"> “</w:t>
        </w:r>
        <w:r w:rsidR="003F6608" w:rsidRPr="003F6608">
          <w:rPr>
            <w:rFonts w:ascii="Arial" w:hAnsi="Arial" w:cs="Arial"/>
            <w:i w:val="0"/>
          </w:rPr>
          <w:t>Ecuador 2010: Tasa de universitarios por cada 1000 peruanos por Género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_Toc341044012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219</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13" w:history="1">
        <w:r w:rsidR="009C410E" w:rsidRPr="003F6608">
          <w:rPr>
            <w:rStyle w:val="Hipervnculo"/>
            <w:rFonts w:ascii="Arial" w:hAnsi="Arial" w:cs="Arial"/>
            <w:b/>
            <w:i w:val="0"/>
            <w:noProof/>
          </w:rPr>
          <w:t>Figura 4.41</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Estado Civil de los peruanos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_Toc341044013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220</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14" w:history="1">
        <w:r w:rsidR="009C410E" w:rsidRPr="003F6608">
          <w:rPr>
            <w:rStyle w:val="Hipervnculo"/>
            <w:rFonts w:ascii="Arial" w:hAnsi="Arial" w:cs="Arial"/>
            <w:b/>
            <w:i w:val="0"/>
            <w:noProof/>
          </w:rPr>
          <w:t>Figura 4.42</w:t>
        </w:r>
        <w:r w:rsidR="003F6608" w:rsidRPr="003F6608">
          <w:rPr>
            <w:rStyle w:val="Hipervnculo"/>
            <w:rFonts w:ascii="Arial" w:hAnsi="Arial" w:cs="Arial"/>
            <w:i w:val="0"/>
            <w:noProof/>
          </w:rPr>
          <w:t xml:space="preserve"> “</w:t>
        </w:r>
        <w:r w:rsidR="003F6608" w:rsidRPr="003F6608">
          <w:rPr>
            <w:rFonts w:ascii="Arial" w:hAnsi="Arial" w:cs="Arial"/>
            <w:i w:val="0"/>
          </w:rPr>
          <w:t>Ecuador 2010: Tasa de estado civil por cada 1000 peruanos por Género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_Toc341044014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221</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15" w:history="1">
        <w:r w:rsidR="009C410E" w:rsidRPr="003F6608">
          <w:rPr>
            <w:rStyle w:val="Hipervnculo"/>
            <w:rFonts w:ascii="Arial" w:hAnsi="Arial" w:cs="Arial"/>
            <w:b/>
            <w:i w:val="0"/>
            <w:noProof/>
          </w:rPr>
          <w:t>Figura 4.43</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los peruanos que han utilizado Teléfono Celular, Internet o Computadora en los últimos seis meses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_Toc341044015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223</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16" w:history="1">
        <w:r w:rsidR="009C410E" w:rsidRPr="003F6608">
          <w:rPr>
            <w:rStyle w:val="Hipervnculo"/>
            <w:rFonts w:ascii="Arial" w:hAnsi="Arial" w:cs="Arial"/>
            <w:b/>
            <w:i w:val="0"/>
            <w:noProof/>
          </w:rPr>
          <w:t>Figura 4.44</w:t>
        </w:r>
        <w:r w:rsidR="003F6608" w:rsidRPr="003F6608">
          <w:rPr>
            <w:rStyle w:val="Hipervnculo"/>
            <w:rFonts w:ascii="Arial" w:hAnsi="Arial" w:cs="Arial"/>
            <w:i w:val="0"/>
            <w:noProof/>
          </w:rPr>
          <w:t xml:space="preserve"> “</w:t>
        </w:r>
        <w:r w:rsidR="003F6608" w:rsidRPr="003F6608">
          <w:rPr>
            <w:rFonts w:ascii="Arial" w:hAnsi="Arial" w:cs="Arial"/>
            <w:i w:val="0"/>
          </w:rPr>
          <w:t>Ecuador 2010: Población peruana Económicamente Activa e Inactiva residente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_Toc341044016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224</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17" w:history="1">
        <w:r w:rsidR="009C410E" w:rsidRPr="003F6608">
          <w:rPr>
            <w:rStyle w:val="Hipervnculo"/>
            <w:rFonts w:ascii="Arial" w:hAnsi="Arial" w:cs="Arial"/>
            <w:b/>
            <w:i w:val="0"/>
            <w:noProof/>
          </w:rPr>
          <w:t>Figura 4.45</w:t>
        </w:r>
        <w:r w:rsidR="003F6608" w:rsidRPr="003F6608">
          <w:rPr>
            <w:rStyle w:val="Hipervnculo"/>
            <w:rFonts w:ascii="Arial" w:hAnsi="Arial" w:cs="Arial"/>
            <w:i w:val="0"/>
            <w:noProof/>
          </w:rPr>
          <w:t xml:space="preserve"> “</w:t>
        </w:r>
        <w:r w:rsidR="003F6608" w:rsidRPr="003F6608">
          <w:rPr>
            <w:rFonts w:ascii="Arial" w:hAnsi="Arial" w:cs="Arial"/>
            <w:i w:val="0"/>
          </w:rPr>
          <w:t>Ecuador 2010: Población peruana Económicamente Activa e Inactiva por Género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_Toc341044017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224</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18" w:history="1">
        <w:r w:rsidR="009C410E" w:rsidRPr="003F6608">
          <w:rPr>
            <w:rStyle w:val="Hipervnculo"/>
            <w:rFonts w:ascii="Arial" w:hAnsi="Arial" w:cs="Arial"/>
            <w:b/>
            <w:i w:val="0"/>
            <w:noProof/>
          </w:rPr>
          <w:t>Figura 4.46</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del trabajo que desempeñan los peruanos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_Toc341044018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225</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19" w:history="1">
        <w:r w:rsidR="009C410E" w:rsidRPr="003F6608">
          <w:rPr>
            <w:rStyle w:val="Hipervnculo"/>
            <w:rFonts w:ascii="Arial" w:hAnsi="Arial" w:cs="Arial"/>
            <w:b/>
            <w:i w:val="0"/>
            <w:noProof/>
          </w:rPr>
          <w:t>Figura 4.47</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del Trabajo desempeñado por los peruanos dado que se conoce el  Género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_Toc341044019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226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20" w:history="1">
        <w:r w:rsidR="009C410E" w:rsidRPr="003F6608">
          <w:rPr>
            <w:rStyle w:val="Hipervnculo"/>
            <w:rFonts w:ascii="Arial" w:hAnsi="Arial" w:cs="Arial"/>
            <w:b/>
            <w:i w:val="0"/>
            <w:noProof/>
          </w:rPr>
          <w:t>Figura 4.48</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del trabajo desempeñado por los peruanos dado que se conoce el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_Toc341044020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227</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21" w:history="1">
        <w:r w:rsidR="009C410E" w:rsidRPr="003F6608">
          <w:rPr>
            <w:rStyle w:val="Hipervnculo"/>
            <w:rFonts w:ascii="Arial" w:hAnsi="Arial" w:cs="Arial"/>
            <w:b/>
            <w:i w:val="0"/>
            <w:noProof/>
          </w:rPr>
          <w:t>Figura 4.49</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la ocupación de los peruanos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_Toc341044021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229</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22" w:history="1">
        <w:r w:rsidR="009C410E" w:rsidRPr="003F6608">
          <w:rPr>
            <w:rStyle w:val="Hipervnculo"/>
            <w:rFonts w:ascii="Arial" w:hAnsi="Arial" w:cs="Arial"/>
            <w:b/>
            <w:i w:val="0"/>
            <w:noProof/>
          </w:rPr>
          <w:t>Figura 4.50</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 la ocupación de los peruanos dado que se conoce el Género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_Toc341044022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230</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23" w:history="1">
        <w:r w:rsidR="009C410E" w:rsidRPr="003F6608">
          <w:rPr>
            <w:rStyle w:val="Hipervnculo"/>
            <w:rFonts w:ascii="Arial" w:hAnsi="Arial" w:cs="Arial"/>
            <w:b/>
            <w:i w:val="0"/>
            <w:noProof/>
          </w:rPr>
          <w:t>Figura 4.51</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 la ocupación de los peruanos dado que se conoce el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_Toc341044023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231</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24" w:history="1">
        <w:r w:rsidR="009C410E" w:rsidRPr="003F6608">
          <w:rPr>
            <w:rStyle w:val="Hipervnculo"/>
            <w:rFonts w:ascii="Arial" w:hAnsi="Arial" w:cs="Arial"/>
            <w:b/>
            <w:i w:val="0"/>
            <w:noProof/>
          </w:rPr>
          <w:t>Figura 4.52</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del Tipo de Vivienda en la que reside al menos un peruano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_Toc341044024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232</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25" w:history="1">
        <w:r w:rsidR="009C410E" w:rsidRPr="003F6608">
          <w:rPr>
            <w:rStyle w:val="Hipervnculo"/>
            <w:rFonts w:ascii="Arial" w:hAnsi="Arial" w:cs="Arial"/>
            <w:b/>
            <w:i w:val="0"/>
            <w:noProof/>
          </w:rPr>
          <w:t>Figura 4.53</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pertenencia de la vivienda donde reside al menos un colombiano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_Toc341044025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232</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26" w:history="1">
        <w:r w:rsidR="009C410E" w:rsidRPr="003F6608">
          <w:rPr>
            <w:rStyle w:val="Hipervnculo"/>
            <w:rFonts w:ascii="Arial" w:hAnsi="Arial" w:cs="Arial"/>
            <w:b/>
            <w:i w:val="0"/>
            <w:noProof/>
          </w:rPr>
          <w:t>Figura 4.54</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del Número de personas por dormitorio en la vivienda donde reside al menos un peruano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_Toc341044026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233</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27" w:history="1">
        <w:r w:rsidR="009C410E" w:rsidRPr="003F6608">
          <w:rPr>
            <w:rStyle w:val="Hipervnculo"/>
            <w:rFonts w:ascii="Arial" w:hAnsi="Arial" w:cs="Arial"/>
            <w:b/>
            <w:i w:val="0"/>
            <w:noProof/>
          </w:rPr>
          <w:t>Figura 4.55</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Provincia de residencia habitual de los estadounidenses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_Toc341044027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234</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28" w:history="1">
        <w:r w:rsidR="009C410E" w:rsidRPr="003F6608">
          <w:rPr>
            <w:rStyle w:val="Hipervnculo"/>
            <w:rFonts w:ascii="Arial" w:hAnsi="Arial" w:cs="Arial"/>
            <w:b/>
            <w:i w:val="0"/>
            <w:noProof/>
          </w:rPr>
          <w:t>Figura 4.56</w:t>
        </w:r>
        <w:r w:rsidR="003F6608" w:rsidRPr="003F6608">
          <w:rPr>
            <w:rStyle w:val="Hipervnculo"/>
            <w:rFonts w:ascii="Arial" w:hAnsi="Arial" w:cs="Arial"/>
            <w:i w:val="0"/>
            <w:noProof/>
          </w:rPr>
          <w:t xml:space="preserve"> “</w:t>
        </w:r>
        <w:r w:rsidR="003F6608" w:rsidRPr="003F6608">
          <w:rPr>
            <w:rFonts w:ascii="Arial" w:hAnsi="Arial" w:cs="Arial"/>
            <w:i w:val="0"/>
          </w:rPr>
          <w:t>Ecuador 2010: Tasa de Inmigración estadounidense por cada 1000 residentes a nivel Provincial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_Toc341044028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236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29" w:history="1">
        <w:r w:rsidR="009C410E" w:rsidRPr="003F6608">
          <w:rPr>
            <w:rStyle w:val="Hipervnculo"/>
            <w:rFonts w:ascii="Arial" w:hAnsi="Arial" w:cs="Arial"/>
            <w:b/>
            <w:i w:val="0"/>
            <w:noProof/>
          </w:rPr>
          <w:t>Figura 4.57</w:t>
        </w:r>
        <w:r w:rsidR="003F6608" w:rsidRPr="003F6608">
          <w:rPr>
            <w:rStyle w:val="Hipervnculo"/>
            <w:rFonts w:ascii="Arial" w:hAnsi="Arial" w:cs="Arial"/>
            <w:i w:val="0"/>
            <w:noProof/>
          </w:rPr>
          <w:t xml:space="preserve"> “</w:t>
        </w:r>
        <w:r w:rsidR="003F6608" w:rsidRPr="003F6608">
          <w:rPr>
            <w:rFonts w:ascii="Arial" w:hAnsi="Arial" w:cs="Arial"/>
            <w:i w:val="0"/>
          </w:rPr>
          <w:t>Ecuador 2010: Tasa de Inmigración estadounidense por cada 1000 residentes a nivel Provincial ordenada alfabéticamente y en forma descendente</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_Toc341044029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237</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30" w:history="1">
        <w:r w:rsidR="009C410E" w:rsidRPr="003F6608">
          <w:rPr>
            <w:rStyle w:val="Hipervnculo"/>
            <w:rFonts w:ascii="Arial" w:hAnsi="Arial" w:cs="Arial"/>
            <w:b/>
            <w:i w:val="0"/>
            <w:noProof/>
          </w:rPr>
          <w:t>Figura 4.58</w:t>
        </w:r>
        <w:r w:rsidR="003F6608" w:rsidRPr="003F6608">
          <w:rPr>
            <w:rStyle w:val="Hipervnculo"/>
            <w:rFonts w:ascii="Arial" w:hAnsi="Arial" w:cs="Arial"/>
            <w:i w:val="0"/>
            <w:noProof/>
          </w:rPr>
          <w:t xml:space="preserve"> “</w:t>
        </w:r>
        <w:r w:rsidR="003F6608" w:rsidRPr="003F6608">
          <w:rPr>
            <w:rFonts w:ascii="Arial" w:hAnsi="Arial" w:cs="Arial"/>
            <w:i w:val="0"/>
          </w:rPr>
          <w:t>Ecuador 2010: Tasa por cada 1000 estadounidenses por zona urbana y rural a nivel Provincial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_Toc341044030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239</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31" w:history="1">
        <w:r w:rsidR="009C410E" w:rsidRPr="003F6608">
          <w:rPr>
            <w:rStyle w:val="Hipervnculo"/>
            <w:rFonts w:ascii="Arial" w:hAnsi="Arial" w:cs="Arial"/>
            <w:b/>
            <w:i w:val="0"/>
            <w:noProof/>
          </w:rPr>
          <w:t>Figura 4.59</w:t>
        </w:r>
        <w:r w:rsidR="003F6608" w:rsidRPr="003F6608">
          <w:rPr>
            <w:rStyle w:val="Hipervnculo"/>
            <w:rFonts w:ascii="Arial" w:hAnsi="Arial" w:cs="Arial"/>
            <w:i w:val="0"/>
            <w:noProof/>
          </w:rPr>
          <w:t xml:space="preserve"> “</w:t>
        </w:r>
        <w:r w:rsidR="003F6608" w:rsidRPr="003F6608">
          <w:rPr>
            <w:rFonts w:ascii="Arial" w:hAnsi="Arial" w:cs="Arial"/>
            <w:i w:val="0"/>
          </w:rPr>
          <w:t>Ecuador 2010: Tasa por cada 1000 estadounidenses por zona urbana y rural por Sexo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_Toc341044031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240</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32" w:history="1">
        <w:r w:rsidR="009C410E" w:rsidRPr="003F6608">
          <w:rPr>
            <w:rStyle w:val="Hipervnculo"/>
            <w:rFonts w:ascii="Arial" w:hAnsi="Arial" w:cs="Arial"/>
            <w:b/>
            <w:i w:val="0"/>
            <w:noProof/>
          </w:rPr>
          <w:t>Figura 4.60</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la cantidad de años de residencia en el país de la población estadounidense</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_Toc341044032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242</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33" w:history="1">
        <w:r w:rsidR="009C410E" w:rsidRPr="003F6608">
          <w:rPr>
            <w:rStyle w:val="Hipervnculo"/>
            <w:rFonts w:ascii="Arial" w:hAnsi="Arial" w:cs="Arial"/>
            <w:b/>
            <w:i w:val="0"/>
            <w:noProof/>
          </w:rPr>
          <w:t>Figura 4.61</w:t>
        </w:r>
        <w:r w:rsidR="003F6608" w:rsidRPr="003F6608">
          <w:rPr>
            <w:rStyle w:val="Hipervnculo"/>
            <w:rFonts w:ascii="Arial" w:hAnsi="Arial" w:cs="Arial"/>
            <w:i w:val="0"/>
            <w:noProof/>
          </w:rPr>
          <w:t xml:space="preserve"> “</w:t>
        </w:r>
        <w:r w:rsidR="003F6608" w:rsidRPr="003F6608">
          <w:rPr>
            <w:rFonts w:ascii="Arial" w:hAnsi="Arial" w:cs="Arial"/>
            <w:i w:val="0"/>
          </w:rPr>
          <w:t>Ecuador 2010: Índice de Feminidad de los estadounidenses por Provincia de residencia habitual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_Toc341044033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243</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34" w:history="1">
        <w:r w:rsidR="009C410E" w:rsidRPr="003F6608">
          <w:rPr>
            <w:rStyle w:val="Hipervnculo"/>
            <w:rFonts w:ascii="Arial" w:hAnsi="Arial" w:cs="Arial"/>
            <w:b/>
            <w:i w:val="0"/>
            <w:noProof/>
          </w:rPr>
          <w:t>Figura 4.62</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Género – Edad de los estadounidenses residentes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_Toc341044034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245</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35" w:history="1">
        <w:r w:rsidR="009C410E" w:rsidRPr="003F6608">
          <w:rPr>
            <w:rStyle w:val="Hipervnculo"/>
            <w:rFonts w:ascii="Arial" w:hAnsi="Arial" w:cs="Arial"/>
            <w:b/>
            <w:i w:val="0"/>
            <w:noProof/>
          </w:rPr>
          <w:t>Figura 4.63</w:t>
        </w:r>
        <w:r w:rsidR="003F6608" w:rsidRPr="003F6608">
          <w:rPr>
            <w:rStyle w:val="Hipervnculo"/>
            <w:rFonts w:ascii="Arial" w:hAnsi="Arial" w:cs="Arial"/>
            <w:i w:val="0"/>
            <w:noProof/>
          </w:rPr>
          <w:t xml:space="preserve"> “</w:t>
        </w:r>
        <w:r w:rsidR="003F6608" w:rsidRPr="003F6608">
          <w:rPr>
            <w:rFonts w:ascii="Arial" w:hAnsi="Arial" w:cs="Arial"/>
            <w:i w:val="0"/>
          </w:rPr>
          <w:t>Ecuador 2010: Índice de Feminidad por Grupos etarios de la población estadounidense</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_Toc341044035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246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36" w:history="1">
        <w:r w:rsidR="009C410E" w:rsidRPr="003F6608">
          <w:rPr>
            <w:rStyle w:val="Hipervnculo"/>
            <w:rFonts w:ascii="Arial" w:hAnsi="Arial" w:cs="Arial"/>
            <w:b/>
            <w:i w:val="0"/>
            <w:noProof/>
          </w:rPr>
          <w:t>Figura 4.64</w:t>
        </w:r>
        <w:r w:rsidR="003F6608" w:rsidRPr="003F6608">
          <w:rPr>
            <w:rStyle w:val="Hipervnculo"/>
            <w:rFonts w:ascii="Arial" w:hAnsi="Arial" w:cs="Arial"/>
            <w:i w:val="0"/>
            <w:noProof/>
          </w:rPr>
          <w:t xml:space="preserve"> “</w:t>
        </w:r>
        <w:r w:rsidR="003F6608" w:rsidRPr="003F6608">
          <w:rPr>
            <w:rFonts w:ascii="Arial" w:hAnsi="Arial" w:cs="Arial"/>
            <w:i w:val="0"/>
          </w:rPr>
          <w:t>Ecuador 2010: Tasa de Analfabetismo por cada 1000 estadounidenses por Género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_Toc341044036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248</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37" w:history="1">
        <w:r w:rsidR="009C410E" w:rsidRPr="003F6608">
          <w:rPr>
            <w:rStyle w:val="Hipervnculo"/>
            <w:rFonts w:ascii="Arial" w:hAnsi="Arial" w:cs="Arial"/>
            <w:b/>
            <w:i w:val="0"/>
            <w:noProof/>
          </w:rPr>
          <w:t>Figura 4.65</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Género – Edad – Nivel de Instrucción de los estadounidenses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_Toc341044037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249</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38" w:history="1">
        <w:r w:rsidR="009C410E" w:rsidRPr="003F6608">
          <w:rPr>
            <w:rStyle w:val="Hipervnculo"/>
            <w:rFonts w:ascii="Arial" w:hAnsi="Arial" w:cs="Arial"/>
            <w:b/>
            <w:i w:val="0"/>
            <w:noProof/>
          </w:rPr>
          <w:t>Figura 4.66</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 Género de los estadounidenses dado que se conoce el Nivel más alto de instrucción</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_Toc341044038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250</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39" w:history="1">
        <w:r w:rsidR="009C410E" w:rsidRPr="003F6608">
          <w:rPr>
            <w:rStyle w:val="Hipervnculo"/>
            <w:rFonts w:ascii="Arial" w:hAnsi="Arial" w:cs="Arial"/>
            <w:b/>
            <w:i w:val="0"/>
            <w:noProof/>
          </w:rPr>
          <w:t>Figura 4.67</w:t>
        </w:r>
        <w:r w:rsidR="003F6608" w:rsidRPr="003F6608">
          <w:rPr>
            <w:rStyle w:val="Hipervnculo"/>
            <w:rFonts w:ascii="Arial" w:hAnsi="Arial" w:cs="Arial"/>
            <w:i w:val="0"/>
            <w:noProof/>
          </w:rPr>
          <w:t xml:space="preserve"> “</w:t>
        </w:r>
        <w:r w:rsidR="003F6608" w:rsidRPr="003F6608">
          <w:rPr>
            <w:rFonts w:ascii="Arial" w:hAnsi="Arial" w:cs="Arial"/>
            <w:i w:val="0"/>
          </w:rPr>
          <w:t>Ecuador 2010: Tasa de universitarios por cada 1000 estadounidenses por Género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_Toc341044039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251</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40" w:history="1">
        <w:r w:rsidR="009C410E" w:rsidRPr="003F6608">
          <w:rPr>
            <w:rStyle w:val="Hipervnculo"/>
            <w:rFonts w:ascii="Arial" w:hAnsi="Arial" w:cs="Arial"/>
            <w:b/>
            <w:i w:val="0"/>
            <w:noProof/>
          </w:rPr>
          <w:t>Figura 4.68</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Estado Civil de los estadounidenses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_Toc341044040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252</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41" w:history="1">
        <w:r w:rsidR="009C410E" w:rsidRPr="003F6608">
          <w:rPr>
            <w:rStyle w:val="Hipervnculo"/>
            <w:rFonts w:ascii="Arial" w:hAnsi="Arial" w:cs="Arial"/>
            <w:b/>
            <w:i w:val="0"/>
            <w:noProof/>
          </w:rPr>
          <w:t>Figura 4.69</w:t>
        </w:r>
        <w:r w:rsidR="003F6608" w:rsidRPr="003F6608">
          <w:rPr>
            <w:rStyle w:val="Hipervnculo"/>
            <w:rFonts w:ascii="Arial" w:hAnsi="Arial" w:cs="Arial"/>
            <w:i w:val="0"/>
            <w:noProof/>
          </w:rPr>
          <w:t xml:space="preserve"> “</w:t>
        </w:r>
        <w:r w:rsidR="003F6608" w:rsidRPr="003F6608">
          <w:rPr>
            <w:rFonts w:ascii="Arial" w:hAnsi="Arial" w:cs="Arial"/>
            <w:i w:val="0"/>
          </w:rPr>
          <w:t>Ecuador 2010: Tasa de estado civil por cada 1000 estadounidenses por Género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_Toc341044041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254</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42" w:history="1">
        <w:r w:rsidR="009C410E" w:rsidRPr="003F6608">
          <w:rPr>
            <w:rStyle w:val="Hipervnculo"/>
            <w:rFonts w:ascii="Arial" w:hAnsi="Arial" w:cs="Arial"/>
            <w:b/>
            <w:i w:val="0"/>
            <w:noProof/>
          </w:rPr>
          <w:t>Figura 4.70</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los estadounidenses que han utilizado Teléfono Celular, Internet o Computadora en los últimos seis meses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_Toc341044042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255</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43" w:history="1">
        <w:r w:rsidR="009C410E" w:rsidRPr="003F6608">
          <w:rPr>
            <w:rStyle w:val="Hipervnculo"/>
            <w:rFonts w:ascii="Arial" w:hAnsi="Arial" w:cs="Arial"/>
            <w:b/>
            <w:i w:val="0"/>
            <w:noProof/>
          </w:rPr>
          <w:t>Figura 4.71</w:t>
        </w:r>
        <w:r w:rsidR="003F6608" w:rsidRPr="003F6608">
          <w:rPr>
            <w:rStyle w:val="Hipervnculo"/>
            <w:rFonts w:ascii="Arial" w:hAnsi="Arial" w:cs="Arial"/>
            <w:i w:val="0"/>
            <w:noProof/>
          </w:rPr>
          <w:t xml:space="preserve"> “</w:t>
        </w:r>
        <w:r w:rsidR="003F6608" w:rsidRPr="003F6608">
          <w:rPr>
            <w:rFonts w:ascii="Arial" w:hAnsi="Arial" w:cs="Arial"/>
            <w:i w:val="0"/>
          </w:rPr>
          <w:t>Ecuador 2010: Población estadounidense Económicamente Activa e Inactiva residente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_Toc341044043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256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44" w:history="1">
        <w:r w:rsidR="009C410E" w:rsidRPr="003F6608">
          <w:rPr>
            <w:rStyle w:val="Hipervnculo"/>
            <w:rFonts w:ascii="Arial" w:hAnsi="Arial" w:cs="Arial"/>
            <w:b/>
            <w:i w:val="0"/>
            <w:noProof/>
          </w:rPr>
          <w:t>Figura 4.72</w:t>
        </w:r>
        <w:r w:rsidR="003F6608" w:rsidRPr="003F6608">
          <w:rPr>
            <w:rStyle w:val="Hipervnculo"/>
            <w:rFonts w:ascii="Arial" w:hAnsi="Arial" w:cs="Arial"/>
            <w:i w:val="0"/>
            <w:noProof/>
          </w:rPr>
          <w:t xml:space="preserve"> “</w:t>
        </w:r>
        <w:r w:rsidR="003F6608" w:rsidRPr="003F6608">
          <w:rPr>
            <w:rFonts w:ascii="Arial" w:hAnsi="Arial" w:cs="Arial"/>
            <w:i w:val="0"/>
          </w:rPr>
          <w:t>Ecuador 2010: Población estadounidense Económicamente Activa e Inactiva por Género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_Toc341044044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256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45" w:history="1">
        <w:r w:rsidR="009C410E" w:rsidRPr="003F6608">
          <w:rPr>
            <w:rStyle w:val="Hipervnculo"/>
            <w:rFonts w:ascii="Arial" w:hAnsi="Arial" w:cs="Arial"/>
            <w:b/>
            <w:i w:val="0"/>
            <w:noProof/>
          </w:rPr>
          <w:t>Figura 4.73</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del trabajo que desempeñan los estadounidenses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_Toc341044045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257</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46" w:history="1">
        <w:r w:rsidR="009C410E" w:rsidRPr="003F6608">
          <w:rPr>
            <w:rStyle w:val="Hipervnculo"/>
            <w:rFonts w:ascii="Arial" w:hAnsi="Arial" w:cs="Arial"/>
            <w:b/>
            <w:i w:val="0"/>
            <w:noProof/>
          </w:rPr>
          <w:t>Figura 4.74</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del Trabajo desempeñado por los estadounidenses dado que se conoce el  Género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_Toc341044046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258</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47" w:history="1">
        <w:r w:rsidR="009C410E" w:rsidRPr="003F6608">
          <w:rPr>
            <w:rStyle w:val="Hipervnculo"/>
            <w:rFonts w:ascii="Arial" w:hAnsi="Arial" w:cs="Arial"/>
            <w:b/>
            <w:i w:val="0"/>
            <w:noProof/>
          </w:rPr>
          <w:t>Figura 4.75</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del trabajo desempeñado por los estadounidenses dado que se conoce el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_Toc341044047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260</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48" w:history="1">
        <w:r w:rsidR="009C410E" w:rsidRPr="003F6608">
          <w:rPr>
            <w:rStyle w:val="Hipervnculo"/>
            <w:rFonts w:ascii="Arial" w:hAnsi="Arial" w:cs="Arial"/>
            <w:b/>
            <w:i w:val="0"/>
            <w:noProof/>
          </w:rPr>
          <w:t>Figura 4.76</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la ocupación de los estadounidenses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_Toc341044048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261</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49" w:history="1">
        <w:r w:rsidR="009C410E" w:rsidRPr="003F6608">
          <w:rPr>
            <w:rStyle w:val="Hipervnculo"/>
            <w:rFonts w:ascii="Arial" w:hAnsi="Arial" w:cs="Arial"/>
            <w:b/>
            <w:i w:val="0"/>
            <w:noProof/>
          </w:rPr>
          <w:t>Figura 4.77</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 la ocupación de los estadounidenses dado que se conoce el Género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_Toc341044049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262</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50" w:history="1">
        <w:r w:rsidR="009C410E" w:rsidRPr="003F6608">
          <w:rPr>
            <w:rStyle w:val="Hipervnculo"/>
            <w:rFonts w:ascii="Arial" w:hAnsi="Arial" w:cs="Arial"/>
            <w:b/>
            <w:i w:val="0"/>
            <w:noProof/>
          </w:rPr>
          <w:t>Figura 4.78</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 la ocupación de los estadounidenses dado que se conoce el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_Toc341044050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263</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51" w:history="1">
        <w:r w:rsidR="009C410E" w:rsidRPr="003F6608">
          <w:rPr>
            <w:rStyle w:val="Hipervnculo"/>
            <w:rFonts w:ascii="Arial" w:hAnsi="Arial" w:cs="Arial"/>
            <w:b/>
            <w:i w:val="0"/>
            <w:noProof/>
          </w:rPr>
          <w:t>Figura 4.79</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del Tipo de Vivienda en la que reside al menos un estadounidense</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_Toc341044051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264</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52" w:history="1">
        <w:r w:rsidR="009C410E" w:rsidRPr="003F6608">
          <w:rPr>
            <w:rStyle w:val="Hipervnculo"/>
            <w:rFonts w:ascii="Arial" w:hAnsi="Arial" w:cs="Arial"/>
            <w:b/>
            <w:i w:val="0"/>
            <w:noProof/>
          </w:rPr>
          <w:t>Figura 4.80</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pertenencia de la vivienda donde reside al menos un estadounidense</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_Toc341044052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265</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53" w:history="1">
        <w:r w:rsidR="009C410E" w:rsidRPr="003F6608">
          <w:rPr>
            <w:rStyle w:val="Hipervnculo"/>
            <w:rFonts w:ascii="Arial" w:hAnsi="Arial" w:cs="Arial"/>
            <w:b/>
            <w:i w:val="0"/>
            <w:noProof/>
          </w:rPr>
          <w:t>Figura 4.81</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del Número de personas por dormitorio en la vivienda donde reside al menos un estadounidenses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_Toc341044053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266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54" w:history="1">
        <w:r w:rsidR="009C410E" w:rsidRPr="003F6608">
          <w:rPr>
            <w:rStyle w:val="Hipervnculo"/>
            <w:rFonts w:ascii="Arial" w:hAnsi="Arial" w:cs="Arial"/>
            <w:b/>
            <w:i w:val="0"/>
            <w:noProof/>
          </w:rPr>
          <w:t>Figura 4.82</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Provincia de residencia habitual de los españoles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_Toc341044054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267</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55" w:history="1">
        <w:r w:rsidR="009C410E" w:rsidRPr="003F6608">
          <w:rPr>
            <w:rStyle w:val="Hipervnculo"/>
            <w:rFonts w:ascii="Arial" w:hAnsi="Arial" w:cs="Arial"/>
            <w:b/>
            <w:i w:val="0"/>
            <w:noProof/>
          </w:rPr>
          <w:t>Figura 4.83</w:t>
        </w:r>
        <w:r w:rsidR="003F6608" w:rsidRPr="003F6608">
          <w:rPr>
            <w:rStyle w:val="Hipervnculo"/>
            <w:rFonts w:ascii="Arial" w:hAnsi="Arial" w:cs="Arial"/>
            <w:i w:val="0"/>
            <w:noProof/>
          </w:rPr>
          <w:t xml:space="preserve"> “</w:t>
        </w:r>
        <w:r w:rsidR="003F6608" w:rsidRPr="003F6608">
          <w:rPr>
            <w:rFonts w:ascii="Arial" w:hAnsi="Arial" w:cs="Arial"/>
            <w:i w:val="0"/>
          </w:rPr>
          <w:t>Ecuador 2010: Tasa de Inmigración española por cada 1000 residentes a nivel Provincial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_Toc341044055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269</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56" w:history="1">
        <w:r w:rsidR="009C410E" w:rsidRPr="003F6608">
          <w:rPr>
            <w:rStyle w:val="Hipervnculo"/>
            <w:rFonts w:ascii="Arial" w:hAnsi="Arial" w:cs="Arial"/>
            <w:b/>
            <w:i w:val="0"/>
            <w:noProof/>
          </w:rPr>
          <w:t>Figura 4.84</w:t>
        </w:r>
        <w:r w:rsidR="003F6608" w:rsidRPr="003F6608">
          <w:rPr>
            <w:rStyle w:val="Hipervnculo"/>
            <w:rFonts w:ascii="Arial" w:hAnsi="Arial" w:cs="Arial"/>
            <w:i w:val="0"/>
            <w:noProof/>
          </w:rPr>
          <w:t xml:space="preserve"> “</w:t>
        </w:r>
        <w:r w:rsidR="003F6608" w:rsidRPr="003F6608">
          <w:rPr>
            <w:rFonts w:ascii="Arial" w:hAnsi="Arial" w:cs="Arial"/>
            <w:i w:val="0"/>
          </w:rPr>
          <w:t>Ecuador 2010: Tasa de Inmigración española por cada 1000 residentes a nivel Provincial ordenada alfabéticamente y en forma descendente</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_Toc341044056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270</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57" w:history="1">
        <w:r w:rsidR="009C410E" w:rsidRPr="003F6608">
          <w:rPr>
            <w:rStyle w:val="Hipervnculo"/>
            <w:rFonts w:ascii="Arial" w:hAnsi="Arial" w:cs="Arial"/>
            <w:b/>
            <w:i w:val="0"/>
            <w:noProof/>
          </w:rPr>
          <w:t>Figura 4.85</w:t>
        </w:r>
        <w:r w:rsidR="003F6608" w:rsidRPr="003F6608">
          <w:rPr>
            <w:rStyle w:val="Hipervnculo"/>
            <w:rFonts w:ascii="Arial" w:hAnsi="Arial" w:cs="Arial"/>
            <w:i w:val="0"/>
            <w:noProof/>
          </w:rPr>
          <w:t xml:space="preserve"> “</w:t>
        </w:r>
        <w:r w:rsidR="003F6608" w:rsidRPr="003F6608">
          <w:rPr>
            <w:rFonts w:ascii="Arial" w:hAnsi="Arial" w:cs="Arial"/>
            <w:i w:val="0"/>
          </w:rPr>
          <w:t>Ecuador 2010: Tasa por cada 1000 españoles por zona urbana y rural a nivel Provincial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_Toc341044057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272</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58" w:history="1">
        <w:r w:rsidR="009C410E" w:rsidRPr="003F6608">
          <w:rPr>
            <w:rStyle w:val="Hipervnculo"/>
            <w:rFonts w:ascii="Arial" w:hAnsi="Arial" w:cs="Arial"/>
            <w:b/>
            <w:i w:val="0"/>
            <w:noProof/>
          </w:rPr>
          <w:t>Figura 4.86</w:t>
        </w:r>
        <w:r w:rsidR="003F6608" w:rsidRPr="003F6608">
          <w:rPr>
            <w:rStyle w:val="Hipervnculo"/>
            <w:rFonts w:ascii="Arial" w:hAnsi="Arial" w:cs="Arial"/>
            <w:i w:val="0"/>
            <w:noProof/>
          </w:rPr>
          <w:t xml:space="preserve"> “</w:t>
        </w:r>
        <w:r w:rsidR="003F6608" w:rsidRPr="003F6608">
          <w:rPr>
            <w:rFonts w:ascii="Arial" w:hAnsi="Arial" w:cs="Arial"/>
            <w:i w:val="0"/>
          </w:rPr>
          <w:t>Ecuador 2010: Tasa por cada 1000 españoles por zona urbana y rural por Sexo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_Toc341044058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273</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59" w:history="1">
        <w:r w:rsidR="009C410E" w:rsidRPr="003F6608">
          <w:rPr>
            <w:rStyle w:val="Hipervnculo"/>
            <w:rFonts w:ascii="Arial" w:hAnsi="Arial" w:cs="Arial"/>
            <w:b/>
            <w:i w:val="0"/>
            <w:noProof/>
          </w:rPr>
          <w:t>Figura 4.87</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la cantidad de años de residencia en el país de la población española</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_Toc341044059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274</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60" w:history="1">
        <w:r w:rsidR="009C410E" w:rsidRPr="003F6608">
          <w:rPr>
            <w:rStyle w:val="Hipervnculo"/>
            <w:rFonts w:ascii="Arial" w:hAnsi="Arial" w:cs="Arial"/>
            <w:b/>
            <w:i w:val="0"/>
            <w:noProof/>
          </w:rPr>
          <w:t>Figura 4.88</w:t>
        </w:r>
        <w:r w:rsidR="003F6608" w:rsidRPr="003F6608">
          <w:rPr>
            <w:rStyle w:val="Hipervnculo"/>
            <w:rFonts w:ascii="Arial" w:hAnsi="Arial" w:cs="Arial"/>
            <w:i w:val="0"/>
            <w:noProof/>
          </w:rPr>
          <w:t xml:space="preserve"> “</w:t>
        </w:r>
        <w:r w:rsidR="003F6608" w:rsidRPr="003F6608">
          <w:rPr>
            <w:rFonts w:ascii="Arial" w:hAnsi="Arial" w:cs="Arial"/>
            <w:i w:val="0"/>
          </w:rPr>
          <w:t>Ecuador 2010: Índice de Feminidad de los españoles por Provincia de residencia habitual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_Toc341044060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276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61" w:history="1">
        <w:r w:rsidR="009C410E" w:rsidRPr="003F6608">
          <w:rPr>
            <w:rStyle w:val="Hipervnculo"/>
            <w:rFonts w:ascii="Arial" w:hAnsi="Arial" w:cs="Arial"/>
            <w:b/>
            <w:i w:val="0"/>
            <w:noProof/>
          </w:rPr>
          <w:t>Figura 4.89</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Género – Edad de los españoles residentes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_Toc341044061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278</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62" w:history="1">
        <w:r w:rsidR="009C410E" w:rsidRPr="003F6608">
          <w:rPr>
            <w:rStyle w:val="Hipervnculo"/>
            <w:rFonts w:ascii="Arial" w:hAnsi="Arial" w:cs="Arial"/>
            <w:b/>
            <w:i w:val="0"/>
            <w:noProof/>
          </w:rPr>
          <w:t>Figura 4.90</w:t>
        </w:r>
        <w:r w:rsidR="003F6608" w:rsidRPr="003F6608">
          <w:rPr>
            <w:rStyle w:val="Hipervnculo"/>
            <w:rFonts w:ascii="Arial" w:hAnsi="Arial" w:cs="Arial"/>
            <w:i w:val="0"/>
            <w:noProof/>
          </w:rPr>
          <w:t xml:space="preserve"> “</w:t>
        </w:r>
        <w:r w:rsidR="003F6608" w:rsidRPr="003F6608">
          <w:rPr>
            <w:rFonts w:ascii="Arial" w:hAnsi="Arial" w:cs="Arial"/>
            <w:i w:val="0"/>
          </w:rPr>
          <w:t>Ecuador 2010: Índice de Feminidad por Grupos etarios de la población española</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_Toc341044062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279</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63" w:history="1">
        <w:r w:rsidR="009C410E" w:rsidRPr="003F6608">
          <w:rPr>
            <w:rStyle w:val="Hipervnculo"/>
            <w:rFonts w:ascii="Arial" w:hAnsi="Arial" w:cs="Arial"/>
            <w:b/>
            <w:i w:val="0"/>
            <w:noProof/>
          </w:rPr>
          <w:t>Figura 4.91</w:t>
        </w:r>
        <w:r w:rsidR="003F6608" w:rsidRPr="003F6608">
          <w:rPr>
            <w:rStyle w:val="Hipervnculo"/>
            <w:rFonts w:ascii="Arial" w:hAnsi="Arial" w:cs="Arial"/>
            <w:i w:val="0"/>
            <w:noProof/>
          </w:rPr>
          <w:t xml:space="preserve"> “</w:t>
        </w:r>
        <w:r w:rsidR="003F6608" w:rsidRPr="003F6608">
          <w:rPr>
            <w:rFonts w:ascii="Arial" w:hAnsi="Arial" w:cs="Arial"/>
            <w:i w:val="0"/>
          </w:rPr>
          <w:t>Ecuador 2010: Tasa de Analfabetismo por cada 1000 españoles por Género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_Toc341044063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281</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64" w:history="1">
        <w:r w:rsidR="009C410E" w:rsidRPr="003F6608">
          <w:rPr>
            <w:rStyle w:val="Hipervnculo"/>
            <w:rFonts w:ascii="Arial" w:hAnsi="Arial" w:cs="Arial"/>
            <w:b/>
            <w:i w:val="0"/>
            <w:noProof/>
          </w:rPr>
          <w:t>Figura 4.92</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Género – Edad – Nivel de Instrucción de los españoles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_Toc341044064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282</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65" w:history="1">
        <w:r w:rsidR="009C410E" w:rsidRPr="003F6608">
          <w:rPr>
            <w:rStyle w:val="Hipervnculo"/>
            <w:rFonts w:ascii="Arial" w:hAnsi="Arial" w:cs="Arial"/>
            <w:b/>
            <w:i w:val="0"/>
            <w:noProof/>
          </w:rPr>
          <w:t>Figura 4.93</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 Género de los españoles dado que se conoce el Nivel más alto de instrucción</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_Toc341044065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283</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66" w:history="1">
        <w:r w:rsidR="009C410E" w:rsidRPr="003F6608">
          <w:rPr>
            <w:rStyle w:val="Hipervnculo"/>
            <w:rFonts w:ascii="Arial" w:hAnsi="Arial" w:cs="Arial"/>
            <w:b/>
            <w:i w:val="0"/>
            <w:noProof/>
          </w:rPr>
          <w:t>Figura 4.94</w:t>
        </w:r>
        <w:r w:rsidR="003F6608" w:rsidRPr="003F6608">
          <w:rPr>
            <w:rStyle w:val="Hipervnculo"/>
            <w:rFonts w:ascii="Arial" w:hAnsi="Arial" w:cs="Arial"/>
            <w:i w:val="0"/>
            <w:noProof/>
          </w:rPr>
          <w:t xml:space="preserve"> “</w:t>
        </w:r>
        <w:r w:rsidR="003F6608" w:rsidRPr="003F6608">
          <w:rPr>
            <w:rFonts w:ascii="Arial" w:hAnsi="Arial" w:cs="Arial"/>
            <w:i w:val="0"/>
          </w:rPr>
          <w:t>Ecuador 2010: Tasa de universitarios por cada 1000 españoles por Género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_Toc341044066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284</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67" w:history="1">
        <w:r w:rsidR="009C410E" w:rsidRPr="003F6608">
          <w:rPr>
            <w:rStyle w:val="Hipervnculo"/>
            <w:rFonts w:ascii="Arial" w:hAnsi="Arial" w:cs="Arial"/>
            <w:b/>
            <w:i w:val="0"/>
            <w:noProof/>
          </w:rPr>
          <w:t>Figura 4.95</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Estado Civil de los españoles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_Toc341044067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285</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68" w:history="1">
        <w:r w:rsidR="009C410E" w:rsidRPr="003F6608">
          <w:rPr>
            <w:rStyle w:val="Hipervnculo"/>
            <w:rFonts w:ascii="Arial" w:hAnsi="Arial" w:cs="Arial"/>
            <w:b/>
            <w:i w:val="0"/>
            <w:noProof/>
          </w:rPr>
          <w:t>Figura 4.96</w:t>
        </w:r>
        <w:r w:rsidR="003F6608" w:rsidRPr="003F6608">
          <w:rPr>
            <w:rStyle w:val="Hipervnculo"/>
            <w:rFonts w:ascii="Arial" w:hAnsi="Arial" w:cs="Arial"/>
            <w:i w:val="0"/>
            <w:noProof/>
          </w:rPr>
          <w:t xml:space="preserve"> “</w:t>
        </w:r>
        <w:r w:rsidR="003F6608" w:rsidRPr="003F6608">
          <w:rPr>
            <w:rFonts w:ascii="Arial" w:hAnsi="Arial" w:cs="Arial"/>
            <w:i w:val="0"/>
          </w:rPr>
          <w:t>Ecuador 2010: Tasa de estado civil por cada 1000 españoles por Género y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_Toc341044068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286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69" w:history="1">
        <w:r w:rsidR="009C410E" w:rsidRPr="003F6608">
          <w:rPr>
            <w:rStyle w:val="Hipervnculo"/>
            <w:rFonts w:ascii="Arial" w:hAnsi="Arial" w:cs="Arial"/>
            <w:b/>
            <w:i w:val="0"/>
            <w:noProof/>
          </w:rPr>
          <w:t>Figura 4.97</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los españoles que han utilizado Teléfono Celular, Internet o Computadora en los últimos seis meses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_Toc341044069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287</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70" w:history="1">
        <w:r w:rsidR="009C410E" w:rsidRPr="003F6608">
          <w:rPr>
            <w:rStyle w:val="Hipervnculo"/>
            <w:rFonts w:ascii="Arial" w:hAnsi="Arial" w:cs="Arial"/>
            <w:b/>
            <w:i w:val="0"/>
            <w:noProof/>
          </w:rPr>
          <w:t>Figura 4.98</w:t>
        </w:r>
        <w:r w:rsidR="003F6608" w:rsidRPr="003F6608">
          <w:rPr>
            <w:rStyle w:val="Hipervnculo"/>
            <w:rFonts w:ascii="Arial" w:hAnsi="Arial" w:cs="Arial"/>
            <w:i w:val="0"/>
            <w:noProof/>
          </w:rPr>
          <w:t xml:space="preserve"> “</w:t>
        </w:r>
        <w:r w:rsidR="003F6608" w:rsidRPr="003F6608">
          <w:rPr>
            <w:rFonts w:ascii="Arial" w:hAnsi="Arial" w:cs="Arial"/>
            <w:i w:val="0"/>
          </w:rPr>
          <w:t>Ecuador 2010: Población española Económicamente Activa e Inactiva residente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_Toc341044070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288</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71" w:history="1">
        <w:r w:rsidR="009C410E" w:rsidRPr="003F6608">
          <w:rPr>
            <w:rStyle w:val="Hipervnculo"/>
            <w:rFonts w:ascii="Arial" w:hAnsi="Arial" w:cs="Arial"/>
            <w:b/>
            <w:i w:val="0"/>
            <w:noProof/>
          </w:rPr>
          <w:t>Figura 4.99</w:t>
        </w:r>
        <w:r w:rsidR="003F6608" w:rsidRPr="003F6608">
          <w:rPr>
            <w:rStyle w:val="Hipervnculo"/>
            <w:rFonts w:ascii="Arial" w:hAnsi="Arial" w:cs="Arial"/>
            <w:i w:val="0"/>
            <w:noProof/>
          </w:rPr>
          <w:t xml:space="preserve"> “</w:t>
        </w:r>
        <w:r w:rsidR="003F6608" w:rsidRPr="003F6608">
          <w:rPr>
            <w:rFonts w:ascii="Arial" w:hAnsi="Arial" w:cs="Arial"/>
            <w:i w:val="0"/>
          </w:rPr>
          <w:t>Ecuador 2010: Población española Económicamente Activa e Inactiva por Género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_Toc341044071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289</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72" w:history="1">
        <w:r w:rsidR="009C410E" w:rsidRPr="003F6608">
          <w:rPr>
            <w:rStyle w:val="Hipervnculo"/>
            <w:rFonts w:ascii="Arial" w:hAnsi="Arial" w:cs="Arial"/>
            <w:b/>
            <w:i w:val="0"/>
            <w:noProof/>
          </w:rPr>
          <w:t>Figura 4.100</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del trabajo que desempeñan los españoles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_Toc341044072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290</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73" w:history="1">
        <w:r w:rsidR="009C410E" w:rsidRPr="003F6608">
          <w:rPr>
            <w:rStyle w:val="Hipervnculo"/>
            <w:rFonts w:ascii="Arial" w:hAnsi="Arial" w:cs="Arial"/>
            <w:b/>
            <w:i w:val="0"/>
            <w:noProof/>
          </w:rPr>
          <w:t>Figura 4.101</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del Trabajo desempeñado por los españoles dado que se conoce el  Género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_Toc341044073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291</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74" w:history="1">
        <w:r w:rsidR="009C410E" w:rsidRPr="003F6608">
          <w:rPr>
            <w:rStyle w:val="Hipervnculo"/>
            <w:rFonts w:ascii="Arial" w:hAnsi="Arial" w:cs="Arial"/>
            <w:b/>
            <w:i w:val="0"/>
            <w:noProof/>
          </w:rPr>
          <w:t>Figura 4.102</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del trabajo desempeñado por los españoles dado que se conoce el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_Toc341044074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292</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75" w:history="1">
        <w:r w:rsidR="009C410E" w:rsidRPr="003F6608">
          <w:rPr>
            <w:rStyle w:val="Hipervnculo"/>
            <w:rFonts w:ascii="Arial" w:hAnsi="Arial" w:cs="Arial"/>
            <w:b/>
            <w:i w:val="0"/>
            <w:noProof/>
          </w:rPr>
          <w:t>Figura 4.103</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la ocupación de los españoles en el país</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_Toc341044075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293</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76" w:history="1">
        <w:r w:rsidR="009C410E" w:rsidRPr="003F6608">
          <w:rPr>
            <w:rStyle w:val="Hipervnculo"/>
            <w:rFonts w:ascii="Arial" w:hAnsi="Arial" w:cs="Arial"/>
            <w:b/>
            <w:i w:val="0"/>
            <w:noProof/>
          </w:rPr>
          <w:t>Figura 4.104</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 la ocupación de los españoles dado que se conoce el Género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_Toc341044076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294</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77" w:history="1">
        <w:r w:rsidR="009C410E" w:rsidRPr="003F6608">
          <w:rPr>
            <w:rStyle w:val="Hipervnculo"/>
            <w:rFonts w:ascii="Arial" w:hAnsi="Arial" w:cs="Arial"/>
            <w:b/>
            <w:i w:val="0"/>
            <w:noProof/>
          </w:rPr>
          <w:t>Figura 4.105</w:t>
        </w:r>
        <w:r w:rsidR="003F6608" w:rsidRPr="003F6608">
          <w:rPr>
            <w:rStyle w:val="Hipervnculo"/>
            <w:rFonts w:ascii="Arial" w:hAnsi="Arial" w:cs="Arial"/>
            <w:i w:val="0"/>
            <w:noProof/>
          </w:rPr>
          <w:t xml:space="preserve"> “</w:t>
        </w:r>
        <w:r w:rsidR="003F6608" w:rsidRPr="003F6608">
          <w:rPr>
            <w:rFonts w:ascii="Arial" w:hAnsi="Arial" w:cs="Arial"/>
            <w:i w:val="0"/>
          </w:rPr>
          <w:t>Ecuador 2010: Distribución condicional de la ocupación de los españoles dado que se conoce el Grupo etario</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_Toc341044077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295</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78" w:history="1">
        <w:r w:rsidR="009C410E" w:rsidRPr="003F6608">
          <w:rPr>
            <w:rStyle w:val="Hipervnculo"/>
            <w:rFonts w:ascii="Arial" w:hAnsi="Arial" w:cs="Arial"/>
            <w:b/>
            <w:i w:val="0"/>
            <w:noProof/>
          </w:rPr>
          <w:t>Figura 4.106</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del Tipo de Vivienda en la que reside al menos un español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_Toc341044078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296</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79" w:history="1">
        <w:r w:rsidR="009C410E" w:rsidRPr="003F6608">
          <w:rPr>
            <w:rStyle w:val="Hipervnculo"/>
            <w:rFonts w:ascii="Arial" w:hAnsi="Arial" w:cs="Arial"/>
            <w:b/>
            <w:i w:val="0"/>
            <w:noProof/>
          </w:rPr>
          <w:t>Figura 4.107</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 pertenencia de la vivienda donde reside al menos un español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_Toc341044079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297</w:t>
        </w:r>
        <w:r w:rsidR="00990535" w:rsidRPr="003F6608">
          <w:rPr>
            <w:rFonts w:ascii="Arial" w:hAnsi="Arial" w:cs="Arial"/>
            <w:i w:val="0"/>
            <w:noProof/>
            <w:webHidden/>
          </w:rPr>
          <w:fldChar w:fldCharType="end"/>
        </w:r>
      </w:hyperlink>
    </w:p>
    <w:p w:rsidR="009C410E" w:rsidRPr="003F6608" w:rsidRDefault="00436907" w:rsidP="003F6608">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80" w:history="1">
        <w:r w:rsidR="009C410E" w:rsidRPr="003F6608">
          <w:rPr>
            <w:rStyle w:val="Hipervnculo"/>
            <w:rFonts w:ascii="Arial" w:hAnsi="Arial" w:cs="Arial"/>
            <w:b/>
            <w:i w:val="0"/>
            <w:noProof/>
          </w:rPr>
          <w:t>Figura 4.108</w:t>
        </w:r>
        <w:r w:rsidR="003F6608" w:rsidRPr="003F6608">
          <w:rPr>
            <w:rStyle w:val="Hipervnculo"/>
            <w:rFonts w:ascii="Arial" w:hAnsi="Arial" w:cs="Arial"/>
            <w:i w:val="0"/>
            <w:noProof/>
          </w:rPr>
          <w:t xml:space="preserve"> “</w:t>
        </w:r>
        <w:r w:rsidR="003F6608" w:rsidRPr="003F6608">
          <w:rPr>
            <w:rFonts w:ascii="Arial" w:hAnsi="Arial" w:cs="Arial"/>
            <w:i w:val="0"/>
          </w:rPr>
          <w:t>Ecuador 2010: Frecuencia Relativa del Número de personas por dormitorio en la vivienda donde reside al menos un español</w:t>
        </w:r>
        <w:r w:rsidR="003F6608" w:rsidRPr="003F6608">
          <w:rPr>
            <w:rStyle w:val="Hipervnculo"/>
            <w:rFonts w:ascii="Arial" w:hAnsi="Arial" w:cs="Arial"/>
            <w:i w:val="0"/>
            <w:noProof/>
          </w:rPr>
          <w:t>”</w:t>
        </w:r>
        <w:r w:rsidR="009C410E" w:rsidRPr="003F6608">
          <w:rPr>
            <w:rFonts w:ascii="Arial" w:hAnsi="Arial" w:cs="Arial"/>
            <w:i w:val="0"/>
            <w:noProof/>
            <w:webHidden/>
          </w:rPr>
          <w:tab/>
        </w:r>
        <w:r w:rsidR="00990535" w:rsidRPr="003F6608">
          <w:rPr>
            <w:rFonts w:ascii="Arial" w:hAnsi="Arial" w:cs="Arial"/>
            <w:i w:val="0"/>
            <w:noProof/>
            <w:webHidden/>
          </w:rPr>
          <w:fldChar w:fldCharType="begin"/>
        </w:r>
        <w:r w:rsidR="009C410E" w:rsidRPr="003F6608">
          <w:rPr>
            <w:rFonts w:ascii="Arial" w:hAnsi="Arial" w:cs="Arial"/>
            <w:i w:val="0"/>
            <w:noProof/>
            <w:webHidden/>
          </w:rPr>
          <w:instrText xml:space="preserve"> PAGEREF _Toc341044080 \h </w:instrText>
        </w:r>
        <w:r w:rsidR="00990535" w:rsidRPr="003F6608">
          <w:rPr>
            <w:rFonts w:ascii="Arial" w:hAnsi="Arial" w:cs="Arial"/>
            <w:i w:val="0"/>
            <w:noProof/>
            <w:webHidden/>
          </w:rPr>
        </w:r>
        <w:r w:rsidR="00990535" w:rsidRPr="003F6608">
          <w:rPr>
            <w:rFonts w:ascii="Arial" w:hAnsi="Arial" w:cs="Arial"/>
            <w:i w:val="0"/>
            <w:noProof/>
            <w:webHidden/>
          </w:rPr>
          <w:fldChar w:fldCharType="separate"/>
        </w:r>
        <w:r w:rsidR="00A242E0">
          <w:rPr>
            <w:rFonts w:ascii="Arial" w:hAnsi="Arial" w:cs="Arial"/>
            <w:i w:val="0"/>
            <w:noProof/>
            <w:webHidden/>
          </w:rPr>
          <w:t>297</w:t>
        </w:r>
        <w:r w:rsidR="00990535" w:rsidRPr="003F6608">
          <w:rPr>
            <w:rFonts w:ascii="Arial" w:hAnsi="Arial" w:cs="Arial"/>
            <w:i w:val="0"/>
            <w:noProof/>
            <w:webHidden/>
          </w:rPr>
          <w:fldChar w:fldCharType="end"/>
        </w:r>
      </w:hyperlink>
    </w:p>
    <w:p w:rsidR="00551808" w:rsidRPr="003F6608" w:rsidRDefault="00990535" w:rsidP="003F6608">
      <w:pPr>
        <w:spacing w:line="360" w:lineRule="auto"/>
        <w:ind w:left="0"/>
        <w:jc w:val="left"/>
        <w:rPr>
          <w:rFonts w:ascii="Arial" w:hAnsi="Arial" w:cs="Arial"/>
          <w:b/>
          <w:sz w:val="20"/>
          <w:szCs w:val="20"/>
        </w:rPr>
      </w:pPr>
      <w:r w:rsidRPr="003F6608">
        <w:rPr>
          <w:rFonts w:ascii="Arial" w:hAnsi="Arial" w:cs="Arial"/>
          <w:sz w:val="20"/>
          <w:szCs w:val="20"/>
        </w:rPr>
        <w:fldChar w:fldCharType="end"/>
      </w:r>
      <w:r w:rsidR="00103B23" w:rsidRPr="003F6608">
        <w:rPr>
          <w:rFonts w:ascii="Arial" w:hAnsi="Arial" w:cs="Arial"/>
          <w:b/>
          <w:sz w:val="20"/>
          <w:szCs w:val="20"/>
        </w:rPr>
        <w:t>5</w:t>
      </w:r>
      <w:r w:rsidR="009C410E" w:rsidRPr="003F6608">
        <w:rPr>
          <w:rFonts w:ascii="Arial" w:hAnsi="Arial" w:cs="Arial"/>
          <w:b/>
          <w:sz w:val="20"/>
          <w:szCs w:val="20"/>
        </w:rPr>
        <w:t>.</w:t>
      </w:r>
      <w:r w:rsidR="00103B23" w:rsidRPr="003F6608">
        <w:rPr>
          <w:rFonts w:ascii="Arial" w:hAnsi="Arial" w:cs="Arial"/>
          <w:b/>
          <w:sz w:val="20"/>
          <w:szCs w:val="20"/>
        </w:rPr>
        <w:t xml:space="preserve"> EMIGRACIÓN INTERNACIONAL</w:t>
      </w:r>
    </w:p>
    <w:p w:rsidR="009C410E" w:rsidRPr="00C9342D" w:rsidRDefault="00990535" w:rsidP="009C410E">
      <w:pPr>
        <w:pStyle w:val="Tabladeilustraciones"/>
        <w:tabs>
          <w:tab w:val="right" w:leader="dot" w:pos="8268"/>
        </w:tabs>
        <w:spacing w:line="360" w:lineRule="auto"/>
        <w:rPr>
          <w:rFonts w:ascii="Arial" w:eastAsiaTheme="minorEastAsia" w:hAnsi="Arial" w:cs="Arial"/>
          <w:i w:val="0"/>
          <w:iCs w:val="0"/>
          <w:noProof/>
          <w:lang w:eastAsia="es-EC"/>
        </w:rPr>
      </w:pPr>
      <w:r w:rsidRPr="009C410E">
        <w:rPr>
          <w:rFonts w:ascii="Arial" w:hAnsi="Arial" w:cs="Arial"/>
          <w:i w:val="0"/>
        </w:rPr>
        <w:fldChar w:fldCharType="begin"/>
      </w:r>
      <w:r w:rsidR="00067A17" w:rsidRPr="009C410E">
        <w:rPr>
          <w:rFonts w:ascii="Arial" w:hAnsi="Arial" w:cs="Arial"/>
          <w:i w:val="0"/>
        </w:rPr>
        <w:instrText xml:space="preserve"> TOC \h \z \c "Figura 5." </w:instrText>
      </w:r>
      <w:r w:rsidRPr="009C410E">
        <w:rPr>
          <w:rFonts w:ascii="Arial" w:hAnsi="Arial" w:cs="Arial"/>
          <w:i w:val="0"/>
        </w:rPr>
        <w:fldChar w:fldCharType="separate"/>
      </w:r>
      <w:hyperlink w:anchor="_Toc341044081" w:history="1">
        <w:r w:rsidR="009C410E" w:rsidRPr="00C9342D">
          <w:rPr>
            <w:rStyle w:val="Hipervnculo"/>
            <w:rFonts w:ascii="Arial" w:hAnsi="Arial" w:cs="Arial"/>
            <w:b/>
            <w:i w:val="0"/>
            <w:noProof/>
          </w:rPr>
          <w:t>Figura 5.1</w:t>
        </w:r>
        <w:r w:rsidR="009C410E" w:rsidRPr="00C9342D">
          <w:rPr>
            <w:rStyle w:val="Hipervnculo"/>
            <w:rFonts w:ascii="Arial" w:hAnsi="Arial" w:cs="Arial"/>
            <w:i w:val="0"/>
            <w:noProof/>
          </w:rPr>
          <w:t xml:space="preserve"> “</w:t>
        </w:r>
        <w:r w:rsidR="009C410E" w:rsidRPr="00C9342D">
          <w:rPr>
            <w:rFonts w:ascii="Arial" w:hAnsi="Arial" w:cs="Arial"/>
            <w:i w:val="0"/>
          </w:rPr>
          <w:t xml:space="preserve">Ecuador 2010: Índice de Feminidad de los emigrantes por País de residencia actual: </w:t>
        </w:r>
        <w:r w:rsidR="009C410E" w:rsidRPr="00C9342D">
          <w:rPr>
            <w:rFonts w:ascii="Arial" w:hAnsi="Arial" w:cs="Arial"/>
          </w:rPr>
          <w:t>“AMÉRICA”</w:t>
        </w:r>
        <w:r w:rsidR="009C410E" w:rsidRPr="00C9342D">
          <w:rPr>
            <w:rStyle w:val="Hipervnculo"/>
            <w:rFonts w:ascii="Arial" w:hAnsi="Arial" w:cs="Arial"/>
            <w:i w:val="0"/>
            <w:noProof/>
          </w:rPr>
          <w:t>”</w:t>
        </w:r>
        <w:r w:rsidR="009C410E" w:rsidRPr="00C9342D">
          <w:rPr>
            <w:rFonts w:ascii="Arial" w:hAnsi="Arial" w:cs="Arial"/>
            <w:i w:val="0"/>
            <w:noProof/>
            <w:webHidden/>
          </w:rPr>
          <w:tab/>
        </w:r>
        <w:r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_Toc341044081 \h </w:instrText>
        </w:r>
        <w:r w:rsidRPr="00C9342D">
          <w:rPr>
            <w:rFonts w:ascii="Arial" w:hAnsi="Arial" w:cs="Arial"/>
            <w:i w:val="0"/>
            <w:noProof/>
            <w:webHidden/>
          </w:rPr>
        </w:r>
        <w:r w:rsidRPr="00C9342D">
          <w:rPr>
            <w:rFonts w:ascii="Arial" w:hAnsi="Arial" w:cs="Arial"/>
            <w:i w:val="0"/>
            <w:noProof/>
            <w:webHidden/>
          </w:rPr>
          <w:fldChar w:fldCharType="separate"/>
        </w:r>
        <w:r w:rsidR="00A242E0">
          <w:rPr>
            <w:rFonts w:ascii="Arial" w:hAnsi="Arial" w:cs="Arial"/>
            <w:i w:val="0"/>
            <w:noProof/>
            <w:webHidden/>
          </w:rPr>
          <w:t>300</w:t>
        </w:r>
        <w:r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82" w:history="1">
        <w:r w:rsidR="009C410E" w:rsidRPr="00C9342D">
          <w:rPr>
            <w:rStyle w:val="Hipervnculo"/>
            <w:rFonts w:ascii="Arial" w:hAnsi="Arial" w:cs="Arial"/>
            <w:b/>
            <w:i w:val="0"/>
            <w:noProof/>
          </w:rPr>
          <w:t>Figura 5.2</w:t>
        </w:r>
        <w:r w:rsidR="009C410E" w:rsidRPr="00C9342D">
          <w:rPr>
            <w:rStyle w:val="Hipervnculo"/>
            <w:rFonts w:ascii="Arial" w:hAnsi="Arial" w:cs="Arial"/>
            <w:i w:val="0"/>
            <w:noProof/>
          </w:rPr>
          <w:t xml:space="preserve"> “</w:t>
        </w:r>
        <w:r w:rsidR="00C9342D" w:rsidRPr="00C9342D">
          <w:rPr>
            <w:rFonts w:ascii="Arial" w:hAnsi="Arial" w:cs="Arial"/>
            <w:i w:val="0"/>
          </w:rPr>
          <w:t xml:space="preserve">Ecuador 2010: Índice de Feminidad de los emigrantes por País de residencia actual: </w:t>
        </w:r>
        <w:r w:rsidR="00C9342D" w:rsidRPr="00C9342D">
          <w:rPr>
            <w:rFonts w:ascii="Arial" w:hAnsi="Arial" w:cs="Arial"/>
          </w:rPr>
          <w:t>“EUROPA”</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_Toc341044082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300</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83" w:history="1">
        <w:r w:rsidR="009C410E" w:rsidRPr="00C9342D">
          <w:rPr>
            <w:rStyle w:val="Hipervnculo"/>
            <w:rFonts w:ascii="Arial" w:hAnsi="Arial" w:cs="Arial"/>
            <w:b/>
            <w:i w:val="0"/>
            <w:noProof/>
          </w:rPr>
          <w:t>Figura 5.3</w:t>
        </w:r>
        <w:r w:rsidR="009C410E" w:rsidRPr="00C9342D">
          <w:rPr>
            <w:rStyle w:val="Hipervnculo"/>
            <w:rFonts w:ascii="Arial" w:hAnsi="Arial" w:cs="Arial"/>
            <w:i w:val="0"/>
            <w:noProof/>
          </w:rPr>
          <w:t xml:space="preserve"> “</w:t>
        </w:r>
        <w:r w:rsidR="00C9342D" w:rsidRPr="00C9342D">
          <w:rPr>
            <w:rFonts w:ascii="Arial" w:hAnsi="Arial" w:cs="Arial"/>
            <w:i w:val="0"/>
          </w:rPr>
          <w:t xml:space="preserve">Ecuador 2010: Índice de Feminidad de los emigrantes por País de residencia actual: </w:t>
        </w:r>
        <w:r w:rsidR="00C9342D" w:rsidRPr="00C9342D">
          <w:rPr>
            <w:rFonts w:ascii="Arial" w:hAnsi="Arial" w:cs="Arial"/>
          </w:rPr>
          <w:t>“ASIA”</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_Toc341044083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301</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84" w:history="1">
        <w:r w:rsidR="009C410E" w:rsidRPr="00C9342D">
          <w:rPr>
            <w:rStyle w:val="Hipervnculo"/>
            <w:rFonts w:ascii="Arial" w:hAnsi="Arial" w:cs="Arial"/>
            <w:b/>
            <w:i w:val="0"/>
            <w:noProof/>
          </w:rPr>
          <w:t>Figura 5.4</w:t>
        </w:r>
        <w:r w:rsidR="009C410E" w:rsidRPr="00C9342D">
          <w:rPr>
            <w:rStyle w:val="Hipervnculo"/>
            <w:rFonts w:ascii="Arial" w:hAnsi="Arial" w:cs="Arial"/>
            <w:i w:val="0"/>
            <w:noProof/>
          </w:rPr>
          <w:t xml:space="preserve"> “</w:t>
        </w:r>
        <w:r w:rsidR="00C9342D" w:rsidRPr="00C9342D">
          <w:rPr>
            <w:rFonts w:ascii="Arial" w:hAnsi="Arial" w:cs="Arial"/>
            <w:i w:val="0"/>
          </w:rPr>
          <w:t xml:space="preserve">Ecuador 2010: Índice de Feminidad de los emigrantes por País de residencia actual: </w:t>
        </w:r>
        <w:r w:rsidR="00C9342D" w:rsidRPr="00C9342D">
          <w:rPr>
            <w:rFonts w:ascii="Arial" w:hAnsi="Arial" w:cs="Arial"/>
          </w:rPr>
          <w:t>“ÁFRICA”</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_Toc341044084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302</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85" w:history="1">
        <w:r w:rsidR="009C410E" w:rsidRPr="00C9342D">
          <w:rPr>
            <w:rStyle w:val="Hipervnculo"/>
            <w:rFonts w:ascii="Arial" w:hAnsi="Arial" w:cs="Arial"/>
            <w:b/>
            <w:i w:val="0"/>
            <w:noProof/>
          </w:rPr>
          <w:t>Figura 5.5</w:t>
        </w:r>
        <w:r w:rsidR="009C410E" w:rsidRPr="00C9342D">
          <w:rPr>
            <w:rStyle w:val="Hipervnculo"/>
            <w:rFonts w:ascii="Arial" w:hAnsi="Arial" w:cs="Arial"/>
            <w:i w:val="0"/>
            <w:noProof/>
          </w:rPr>
          <w:t xml:space="preserve"> “</w:t>
        </w:r>
        <w:r w:rsidR="00C9342D" w:rsidRPr="00C9342D">
          <w:rPr>
            <w:rFonts w:ascii="Arial" w:hAnsi="Arial" w:cs="Arial"/>
            <w:i w:val="0"/>
          </w:rPr>
          <w:t xml:space="preserve">Ecuador 2010: Índice de Feminidad de los emigrantes por País de residencia actual: </w:t>
        </w:r>
        <w:r w:rsidR="00C9342D" w:rsidRPr="00C9342D">
          <w:rPr>
            <w:rFonts w:ascii="Arial" w:hAnsi="Arial" w:cs="Arial"/>
          </w:rPr>
          <w:t>“OCEANÍA”</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_Toc341044085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303</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86" w:history="1">
        <w:r w:rsidR="009C410E" w:rsidRPr="00C9342D">
          <w:rPr>
            <w:rStyle w:val="Hipervnculo"/>
            <w:rFonts w:ascii="Arial" w:hAnsi="Arial" w:cs="Arial"/>
            <w:b/>
            <w:i w:val="0"/>
            <w:noProof/>
          </w:rPr>
          <w:t>Figura 5.6</w:t>
        </w:r>
        <w:r w:rsidR="009C410E" w:rsidRPr="00C9342D">
          <w:rPr>
            <w:rStyle w:val="Hipervnculo"/>
            <w:rFonts w:ascii="Arial" w:hAnsi="Arial" w:cs="Arial"/>
            <w:i w:val="0"/>
            <w:noProof/>
          </w:rPr>
          <w:t xml:space="preserve"> “</w:t>
        </w:r>
        <w:r w:rsidR="00C9342D" w:rsidRPr="00C9342D">
          <w:rPr>
            <w:rFonts w:ascii="Arial" w:hAnsi="Arial" w:cs="Arial"/>
            <w:i w:val="0"/>
          </w:rPr>
          <w:t>Ecuador 2010: Distribución Género – Edad al salir del país de los emigrantes</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_Toc341044086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305</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87" w:history="1">
        <w:r w:rsidR="009C410E" w:rsidRPr="00C9342D">
          <w:rPr>
            <w:rStyle w:val="Hipervnculo"/>
            <w:rFonts w:ascii="Arial" w:hAnsi="Arial" w:cs="Arial"/>
            <w:b/>
            <w:i w:val="0"/>
            <w:noProof/>
          </w:rPr>
          <w:t>Figura 5.7</w:t>
        </w:r>
        <w:r w:rsidR="009C410E" w:rsidRPr="00C9342D">
          <w:rPr>
            <w:rStyle w:val="Hipervnculo"/>
            <w:rFonts w:ascii="Arial" w:hAnsi="Arial" w:cs="Arial"/>
            <w:i w:val="0"/>
            <w:noProof/>
          </w:rPr>
          <w:t xml:space="preserve"> “</w:t>
        </w:r>
        <w:r w:rsidR="00C9342D" w:rsidRPr="00C9342D">
          <w:rPr>
            <w:rFonts w:ascii="Arial" w:hAnsi="Arial" w:cs="Arial"/>
            <w:i w:val="0"/>
          </w:rPr>
          <w:t>Ecuador 2010: Frecuencia Relativa y Absoluta de Continente de residencia actual de los emigrantes</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_Toc341044087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306</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88" w:history="1">
        <w:r w:rsidR="009C410E" w:rsidRPr="00C9342D">
          <w:rPr>
            <w:rStyle w:val="Hipervnculo"/>
            <w:rFonts w:ascii="Arial" w:hAnsi="Arial" w:cs="Arial"/>
            <w:b/>
            <w:i w:val="0"/>
            <w:noProof/>
          </w:rPr>
          <w:t>Figura 5.8</w:t>
        </w:r>
        <w:r w:rsidR="009C410E" w:rsidRPr="00C9342D">
          <w:rPr>
            <w:rStyle w:val="Hipervnculo"/>
            <w:rFonts w:ascii="Arial" w:hAnsi="Arial" w:cs="Arial"/>
            <w:i w:val="0"/>
            <w:noProof/>
          </w:rPr>
          <w:t xml:space="preserve"> “</w:t>
        </w:r>
        <w:r w:rsidR="00C9342D" w:rsidRPr="00C9342D">
          <w:rPr>
            <w:rFonts w:ascii="Arial" w:hAnsi="Arial" w:cs="Arial"/>
            <w:i w:val="0"/>
          </w:rPr>
          <w:t>Ecuador 2010: Tasa de edad al salir del país por cada 1000 emigrantes por género y continente de residencia actual</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_Toc341044088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308</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89" w:history="1">
        <w:r w:rsidR="009C410E" w:rsidRPr="00C9342D">
          <w:rPr>
            <w:rStyle w:val="Hipervnculo"/>
            <w:rFonts w:ascii="Arial" w:hAnsi="Arial" w:cs="Arial"/>
            <w:b/>
            <w:i w:val="0"/>
            <w:noProof/>
          </w:rPr>
          <w:t>Figura 5.9</w:t>
        </w:r>
        <w:r w:rsidR="009C410E" w:rsidRPr="00C9342D">
          <w:rPr>
            <w:rStyle w:val="Hipervnculo"/>
            <w:rFonts w:ascii="Arial" w:hAnsi="Arial" w:cs="Arial"/>
            <w:i w:val="0"/>
            <w:noProof/>
          </w:rPr>
          <w:t xml:space="preserve"> “</w:t>
        </w:r>
        <w:r w:rsidR="00C9342D" w:rsidRPr="00C9342D">
          <w:rPr>
            <w:rFonts w:ascii="Arial" w:hAnsi="Arial" w:cs="Arial"/>
            <w:i w:val="0"/>
          </w:rPr>
          <w:t>Ecuador 2010: Tasa de continente de residencia actual por cada 1000 emigrantes por género y edad al salir del país</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_Toc341044089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309</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90" w:history="1">
        <w:r w:rsidR="009C410E" w:rsidRPr="00C9342D">
          <w:rPr>
            <w:rStyle w:val="Hipervnculo"/>
            <w:rFonts w:ascii="Arial" w:hAnsi="Arial" w:cs="Arial"/>
            <w:b/>
            <w:i w:val="0"/>
            <w:noProof/>
          </w:rPr>
          <w:t>Figura 5.10</w:t>
        </w:r>
        <w:r w:rsidR="009C410E" w:rsidRPr="00C9342D">
          <w:rPr>
            <w:rStyle w:val="Hipervnculo"/>
            <w:rFonts w:ascii="Arial" w:hAnsi="Arial" w:cs="Arial"/>
            <w:i w:val="0"/>
            <w:noProof/>
          </w:rPr>
          <w:t xml:space="preserve"> “</w:t>
        </w:r>
        <w:r w:rsidR="00C9342D" w:rsidRPr="00C9342D">
          <w:rPr>
            <w:rFonts w:ascii="Arial" w:hAnsi="Arial" w:cs="Arial"/>
            <w:i w:val="0"/>
          </w:rPr>
          <w:t>Ecuador 2010: Frecuencia Relativa por País de residencia actual de los emigrantes</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_Toc341044090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311</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91" w:history="1">
        <w:r w:rsidR="009C410E" w:rsidRPr="00C9342D">
          <w:rPr>
            <w:rStyle w:val="Hipervnculo"/>
            <w:rFonts w:ascii="Arial" w:hAnsi="Arial" w:cs="Arial"/>
            <w:b/>
            <w:i w:val="0"/>
            <w:noProof/>
          </w:rPr>
          <w:t>Figura 5.11</w:t>
        </w:r>
        <w:r w:rsidR="009C410E" w:rsidRPr="00C9342D">
          <w:rPr>
            <w:rStyle w:val="Hipervnculo"/>
            <w:rFonts w:ascii="Arial" w:hAnsi="Arial" w:cs="Arial"/>
            <w:i w:val="0"/>
            <w:noProof/>
          </w:rPr>
          <w:t xml:space="preserve"> “</w:t>
        </w:r>
        <w:r w:rsidR="00C9342D" w:rsidRPr="00C9342D">
          <w:rPr>
            <w:rFonts w:ascii="Arial" w:hAnsi="Arial" w:cs="Arial"/>
            <w:i w:val="0"/>
          </w:rPr>
          <w:t>Ecuador 2010: Total de emigrantes por Año de salida del Ecuador</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_Toc341044091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312</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92" w:history="1">
        <w:r w:rsidR="009C410E" w:rsidRPr="00C9342D">
          <w:rPr>
            <w:rStyle w:val="Hipervnculo"/>
            <w:rFonts w:ascii="Arial" w:hAnsi="Arial" w:cs="Arial"/>
            <w:b/>
            <w:i w:val="0"/>
            <w:noProof/>
          </w:rPr>
          <w:t>Figura 5.12</w:t>
        </w:r>
        <w:r w:rsidR="009C410E" w:rsidRPr="00C9342D">
          <w:rPr>
            <w:rStyle w:val="Hipervnculo"/>
            <w:rFonts w:ascii="Arial" w:hAnsi="Arial" w:cs="Arial"/>
            <w:i w:val="0"/>
            <w:noProof/>
          </w:rPr>
          <w:t xml:space="preserve"> “</w:t>
        </w:r>
        <w:r w:rsidR="00C9342D" w:rsidRPr="00C9342D">
          <w:rPr>
            <w:rFonts w:ascii="Arial" w:hAnsi="Arial" w:cs="Arial"/>
            <w:i w:val="0"/>
          </w:rPr>
          <w:t>Ecuador 2010: Frecuencia Relativa del motivo principal del viaje de los emigrantes</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_Toc341044092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313</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93" w:history="1">
        <w:r w:rsidR="009C410E" w:rsidRPr="00C9342D">
          <w:rPr>
            <w:rStyle w:val="Hipervnculo"/>
            <w:rFonts w:ascii="Arial" w:hAnsi="Arial" w:cs="Arial"/>
            <w:b/>
            <w:i w:val="0"/>
            <w:noProof/>
          </w:rPr>
          <w:t>Figura 5.13</w:t>
        </w:r>
        <w:r w:rsidR="009C410E" w:rsidRPr="00C9342D">
          <w:rPr>
            <w:rStyle w:val="Hipervnculo"/>
            <w:rFonts w:ascii="Arial" w:hAnsi="Arial" w:cs="Arial"/>
            <w:i w:val="0"/>
            <w:noProof/>
          </w:rPr>
          <w:t xml:space="preserve"> “</w:t>
        </w:r>
        <w:r w:rsidR="00C9342D" w:rsidRPr="00C9342D">
          <w:rPr>
            <w:rFonts w:ascii="Arial" w:hAnsi="Arial" w:cs="Arial"/>
            <w:i w:val="0"/>
          </w:rPr>
          <w:t>Ecuador 2010: Tasa de edad al salir del país por cada 1000 emigrantes por género y motivo principal del viaje</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_Toc341044093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314</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94" w:history="1">
        <w:r w:rsidR="009C410E" w:rsidRPr="00C9342D">
          <w:rPr>
            <w:rStyle w:val="Hipervnculo"/>
            <w:rFonts w:ascii="Arial" w:hAnsi="Arial" w:cs="Arial"/>
            <w:b/>
            <w:i w:val="0"/>
            <w:noProof/>
          </w:rPr>
          <w:t>Figura 5.14</w:t>
        </w:r>
        <w:r w:rsidR="009C410E" w:rsidRPr="00C9342D">
          <w:rPr>
            <w:rStyle w:val="Hipervnculo"/>
            <w:rFonts w:ascii="Arial" w:hAnsi="Arial" w:cs="Arial"/>
            <w:i w:val="0"/>
            <w:noProof/>
          </w:rPr>
          <w:t xml:space="preserve"> “</w:t>
        </w:r>
        <w:r w:rsidR="00C9342D" w:rsidRPr="00C9342D">
          <w:rPr>
            <w:rFonts w:ascii="Arial" w:hAnsi="Arial" w:cs="Arial"/>
            <w:i w:val="0"/>
          </w:rPr>
          <w:t>Ecuador 2010: Tasa de motivo principal del viaje por cada 1000 emigrantes por género y edad al salir del país</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_Toc341044094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316</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95" w:history="1">
        <w:r w:rsidR="009C410E" w:rsidRPr="00C9342D">
          <w:rPr>
            <w:rStyle w:val="Hipervnculo"/>
            <w:rFonts w:ascii="Arial" w:hAnsi="Arial" w:cs="Arial"/>
            <w:b/>
            <w:i w:val="0"/>
            <w:noProof/>
          </w:rPr>
          <w:t>Figura 5.15</w:t>
        </w:r>
        <w:r w:rsidR="009C410E" w:rsidRPr="00C9342D">
          <w:rPr>
            <w:rStyle w:val="Hipervnculo"/>
            <w:rFonts w:ascii="Arial" w:hAnsi="Arial" w:cs="Arial"/>
            <w:i w:val="0"/>
            <w:noProof/>
          </w:rPr>
          <w:t xml:space="preserve"> “</w:t>
        </w:r>
        <w:r w:rsidR="00C9342D" w:rsidRPr="00C9342D">
          <w:rPr>
            <w:rFonts w:ascii="Arial" w:hAnsi="Arial" w:cs="Arial"/>
            <w:i w:val="0"/>
          </w:rPr>
          <w:t>Ecuador 2010: Total de emigrantes que salieron para trabajar por Año de salida del país</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_Toc341044095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317</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96" w:history="1">
        <w:r w:rsidR="009C410E" w:rsidRPr="00C9342D">
          <w:rPr>
            <w:rStyle w:val="Hipervnculo"/>
            <w:rFonts w:ascii="Arial" w:hAnsi="Arial" w:cs="Arial"/>
            <w:b/>
            <w:i w:val="0"/>
            <w:noProof/>
          </w:rPr>
          <w:t>Figura 5.16</w:t>
        </w:r>
        <w:r w:rsidR="009C410E" w:rsidRPr="00C9342D">
          <w:rPr>
            <w:rStyle w:val="Hipervnculo"/>
            <w:rFonts w:ascii="Arial" w:hAnsi="Arial" w:cs="Arial"/>
            <w:i w:val="0"/>
            <w:noProof/>
          </w:rPr>
          <w:t xml:space="preserve"> “</w:t>
        </w:r>
        <w:r w:rsidR="00C9342D" w:rsidRPr="00C9342D">
          <w:rPr>
            <w:rFonts w:ascii="Arial" w:hAnsi="Arial" w:cs="Arial"/>
            <w:i w:val="0"/>
          </w:rPr>
          <w:t>Ecuador 2010: Frecuencia Relativa de País de residencia actual de los emigrantes que viajaron para trabajar</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_Toc341044096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318</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97" w:history="1">
        <w:r w:rsidR="009C410E" w:rsidRPr="00C9342D">
          <w:rPr>
            <w:rStyle w:val="Hipervnculo"/>
            <w:rFonts w:ascii="Arial" w:hAnsi="Arial" w:cs="Arial"/>
            <w:b/>
            <w:i w:val="0"/>
            <w:noProof/>
          </w:rPr>
          <w:t>Figura 5.17</w:t>
        </w:r>
        <w:r w:rsidR="009C410E" w:rsidRPr="00C9342D">
          <w:rPr>
            <w:rStyle w:val="Hipervnculo"/>
            <w:rFonts w:ascii="Arial" w:hAnsi="Arial" w:cs="Arial"/>
            <w:i w:val="0"/>
            <w:noProof/>
          </w:rPr>
          <w:t xml:space="preserve"> “</w:t>
        </w:r>
        <w:r w:rsidR="00C9342D" w:rsidRPr="00C9342D">
          <w:rPr>
            <w:rFonts w:ascii="Arial" w:hAnsi="Arial" w:cs="Arial"/>
            <w:i w:val="0"/>
          </w:rPr>
          <w:t>Ecuador 2010: Índice de Feminidad de los emigrantes que viajaron para trabajar por País de residencia actual</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_Toc341044097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319</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98" w:history="1">
        <w:r w:rsidR="009C410E" w:rsidRPr="00C9342D">
          <w:rPr>
            <w:rStyle w:val="Hipervnculo"/>
            <w:rFonts w:ascii="Arial" w:hAnsi="Arial" w:cs="Arial"/>
            <w:b/>
            <w:i w:val="0"/>
            <w:noProof/>
          </w:rPr>
          <w:t>Figura 5.18</w:t>
        </w:r>
        <w:r w:rsidR="009C410E" w:rsidRPr="00C9342D">
          <w:rPr>
            <w:rStyle w:val="Hipervnculo"/>
            <w:rFonts w:ascii="Arial" w:hAnsi="Arial" w:cs="Arial"/>
            <w:i w:val="0"/>
            <w:noProof/>
          </w:rPr>
          <w:t xml:space="preserve"> “</w:t>
        </w:r>
        <w:r w:rsidR="00C9342D" w:rsidRPr="00C9342D">
          <w:rPr>
            <w:rFonts w:ascii="Arial" w:hAnsi="Arial" w:cs="Arial"/>
            <w:i w:val="0"/>
          </w:rPr>
          <w:t>Ecuador 2010: Distribución Género – Edad al salir del país de los emigrantes que viajaron para trabajar</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_Toc341044098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321</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099" w:history="1">
        <w:r w:rsidR="009C410E" w:rsidRPr="00C9342D">
          <w:rPr>
            <w:rStyle w:val="Hipervnculo"/>
            <w:rFonts w:ascii="Arial" w:hAnsi="Arial" w:cs="Arial"/>
            <w:b/>
            <w:i w:val="0"/>
            <w:noProof/>
          </w:rPr>
          <w:t>Figura 5.19</w:t>
        </w:r>
        <w:r w:rsidR="009C410E" w:rsidRPr="00C9342D">
          <w:rPr>
            <w:rStyle w:val="Hipervnculo"/>
            <w:rFonts w:ascii="Arial" w:hAnsi="Arial" w:cs="Arial"/>
            <w:i w:val="0"/>
            <w:noProof/>
          </w:rPr>
          <w:t xml:space="preserve"> “</w:t>
        </w:r>
        <w:r w:rsidR="00C9342D" w:rsidRPr="00C9342D">
          <w:rPr>
            <w:rFonts w:ascii="Arial" w:hAnsi="Arial" w:cs="Arial"/>
            <w:i w:val="0"/>
          </w:rPr>
          <w:t>Ecuador 2010: Distribución condicional de la Edad al salir del país de los Emigrantes que viajaron para trabajar dado que se conoce el País de residencia actual</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_Toc341044099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322</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00" w:history="1">
        <w:r w:rsidR="009C410E" w:rsidRPr="00C9342D">
          <w:rPr>
            <w:rStyle w:val="Hipervnculo"/>
            <w:rFonts w:ascii="Arial" w:hAnsi="Arial" w:cs="Arial"/>
            <w:b/>
            <w:i w:val="0"/>
            <w:noProof/>
          </w:rPr>
          <w:t>Figura 5.20</w:t>
        </w:r>
        <w:r w:rsidR="009C410E" w:rsidRPr="00C9342D">
          <w:rPr>
            <w:rStyle w:val="Hipervnculo"/>
            <w:rFonts w:ascii="Arial" w:hAnsi="Arial" w:cs="Arial"/>
            <w:i w:val="0"/>
            <w:noProof/>
          </w:rPr>
          <w:t xml:space="preserve"> “</w:t>
        </w:r>
        <w:r w:rsidR="00C9342D" w:rsidRPr="00C9342D">
          <w:rPr>
            <w:rFonts w:ascii="Arial" w:hAnsi="Arial" w:cs="Arial"/>
            <w:i w:val="0"/>
          </w:rPr>
          <w:t>Ecuador 2010: Tasa de país de residencia actual por cada 1000 emigrantes que viajaron para trabajar por género y edad al salir del país</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_Toc341044100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324</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01" w:history="1">
        <w:r w:rsidR="009C410E" w:rsidRPr="00C9342D">
          <w:rPr>
            <w:rStyle w:val="Hipervnculo"/>
            <w:rFonts w:ascii="Arial" w:hAnsi="Arial" w:cs="Arial"/>
            <w:b/>
            <w:i w:val="0"/>
            <w:noProof/>
          </w:rPr>
          <w:t>Figura 5.21</w:t>
        </w:r>
        <w:r w:rsidR="009C410E" w:rsidRPr="00C9342D">
          <w:rPr>
            <w:rStyle w:val="Hipervnculo"/>
            <w:rFonts w:ascii="Arial" w:hAnsi="Arial" w:cs="Arial"/>
            <w:i w:val="0"/>
            <w:noProof/>
          </w:rPr>
          <w:t xml:space="preserve"> “</w:t>
        </w:r>
        <w:r w:rsidR="00C9342D" w:rsidRPr="00C9342D">
          <w:rPr>
            <w:rFonts w:ascii="Arial" w:hAnsi="Arial" w:cs="Arial"/>
            <w:i w:val="0"/>
          </w:rPr>
          <w:t>Ecuador 2010: Total de emigrantes que salieron por unión familiar por Año de salida del país</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_Toc341044101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325</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02" w:history="1">
        <w:r w:rsidR="009C410E" w:rsidRPr="00C9342D">
          <w:rPr>
            <w:rStyle w:val="Hipervnculo"/>
            <w:rFonts w:ascii="Arial" w:hAnsi="Arial" w:cs="Arial"/>
            <w:b/>
            <w:i w:val="0"/>
            <w:noProof/>
          </w:rPr>
          <w:t>Figura 5.22</w:t>
        </w:r>
        <w:r w:rsidR="009C410E" w:rsidRPr="00C9342D">
          <w:rPr>
            <w:rStyle w:val="Hipervnculo"/>
            <w:rFonts w:ascii="Arial" w:hAnsi="Arial" w:cs="Arial"/>
            <w:i w:val="0"/>
            <w:noProof/>
          </w:rPr>
          <w:t xml:space="preserve"> “</w:t>
        </w:r>
        <w:r w:rsidR="00C9342D" w:rsidRPr="00C9342D">
          <w:rPr>
            <w:rFonts w:ascii="Arial" w:hAnsi="Arial" w:cs="Arial"/>
            <w:i w:val="0"/>
          </w:rPr>
          <w:t>Ecuador 2010: Frecuencia Relativa de País de residencia actual de los emigrantes que viajaron por unión familiar</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_Toc341044102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326</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03" w:history="1">
        <w:r w:rsidR="009C410E" w:rsidRPr="00C9342D">
          <w:rPr>
            <w:rStyle w:val="Hipervnculo"/>
            <w:rFonts w:ascii="Arial" w:hAnsi="Arial" w:cs="Arial"/>
            <w:b/>
            <w:i w:val="0"/>
            <w:noProof/>
          </w:rPr>
          <w:t>Figura 5.23</w:t>
        </w:r>
        <w:r w:rsidR="009C410E" w:rsidRPr="00C9342D">
          <w:rPr>
            <w:rStyle w:val="Hipervnculo"/>
            <w:rFonts w:ascii="Arial" w:hAnsi="Arial" w:cs="Arial"/>
            <w:i w:val="0"/>
            <w:noProof/>
          </w:rPr>
          <w:t xml:space="preserve"> “</w:t>
        </w:r>
        <w:r w:rsidR="00C9342D" w:rsidRPr="00C9342D">
          <w:rPr>
            <w:rFonts w:ascii="Arial" w:hAnsi="Arial" w:cs="Arial"/>
            <w:i w:val="0"/>
          </w:rPr>
          <w:t>Ecuador 2010: Índice de Feminidad de los emigrantes que viajaron para unión familiar por País de residencia actual</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_Toc341044103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327</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04" w:history="1">
        <w:r w:rsidR="009C410E" w:rsidRPr="00C9342D">
          <w:rPr>
            <w:rStyle w:val="Hipervnculo"/>
            <w:rFonts w:ascii="Arial" w:hAnsi="Arial" w:cs="Arial"/>
            <w:b/>
            <w:i w:val="0"/>
            <w:noProof/>
          </w:rPr>
          <w:t>Figura 5.24</w:t>
        </w:r>
        <w:r w:rsidR="009C410E" w:rsidRPr="00C9342D">
          <w:rPr>
            <w:rStyle w:val="Hipervnculo"/>
            <w:rFonts w:ascii="Arial" w:hAnsi="Arial" w:cs="Arial"/>
            <w:i w:val="0"/>
            <w:noProof/>
          </w:rPr>
          <w:t xml:space="preserve"> “</w:t>
        </w:r>
        <w:r w:rsidR="00C9342D" w:rsidRPr="00C9342D">
          <w:rPr>
            <w:rFonts w:ascii="Arial" w:hAnsi="Arial" w:cs="Arial"/>
            <w:i w:val="0"/>
          </w:rPr>
          <w:t>Ecuador 2010: Distribución Género – Edad al salir del país de los emigrantes que viajaron por unión familiar</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_Toc341044104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329</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05" w:history="1">
        <w:r w:rsidR="009C410E" w:rsidRPr="00C9342D">
          <w:rPr>
            <w:rStyle w:val="Hipervnculo"/>
            <w:rFonts w:ascii="Arial" w:hAnsi="Arial" w:cs="Arial"/>
            <w:b/>
            <w:i w:val="0"/>
            <w:noProof/>
          </w:rPr>
          <w:t>Figura 5.25</w:t>
        </w:r>
        <w:r w:rsidR="009C410E" w:rsidRPr="00C9342D">
          <w:rPr>
            <w:rStyle w:val="Hipervnculo"/>
            <w:rFonts w:ascii="Arial" w:hAnsi="Arial" w:cs="Arial"/>
            <w:i w:val="0"/>
            <w:noProof/>
          </w:rPr>
          <w:t xml:space="preserve"> “</w:t>
        </w:r>
        <w:r w:rsidR="00C9342D" w:rsidRPr="00C9342D">
          <w:rPr>
            <w:rFonts w:ascii="Arial" w:hAnsi="Arial" w:cs="Arial"/>
            <w:i w:val="0"/>
          </w:rPr>
          <w:t>Ecuador 2010: Distribución condicional de la Edad al salir del país de los Emigrantes que viajaron por unión familiar dado que se conoce el País de residencia actual</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_Toc341044105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330</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06" w:history="1">
        <w:r w:rsidR="009C410E" w:rsidRPr="00C9342D">
          <w:rPr>
            <w:rStyle w:val="Hipervnculo"/>
            <w:rFonts w:ascii="Arial" w:hAnsi="Arial" w:cs="Arial"/>
            <w:b/>
            <w:i w:val="0"/>
            <w:noProof/>
          </w:rPr>
          <w:t>Figura 5.26</w:t>
        </w:r>
        <w:r w:rsidR="009C410E" w:rsidRPr="00C9342D">
          <w:rPr>
            <w:rStyle w:val="Hipervnculo"/>
            <w:rFonts w:ascii="Arial" w:hAnsi="Arial" w:cs="Arial"/>
            <w:i w:val="0"/>
            <w:noProof/>
          </w:rPr>
          <w:t xml:space="preserve"> “</w:t>
        </w:r>
        <w:r w:rsidR="00C9342D" w:rsidRPr="00C9342D">
          <w:rPr>
            <w:rFonts w:ascii="Arial" w:hAnsi="Arial" w:cs="Arial"/>
            <w:i w:val="0"/>
          </w:rPr>
          <w:t>Ecuador 2010: Tasa de país de residencia actual por cada 1000 emigrantes que viajaron por unión familiar por género y edad al salir del país</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_Toc341044106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331</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07" w:history="1">
        <w:r w:rsidR="009C410E" w:rsidRPr="00C9342D">
          <w:rPr>
            <w:rStyle w:val="Hipervnculo"/>
            <w:rFonts w:ascii="Arial" w:hAnsi="Arial" w:cs="Arial"/>
            <w:b/>
            <w:i w:val="0"/>
            <w:noProof/>
          </w:rPr>
          <w:t>Figura 5.27</w:t>
        </w:r>
        <w:r w:rsidR="009C410E" w:rsidRPr="00C9342D">
          <w:rPr>
            <w:rStyle w:val="Hipervnculo"/>
            <w:rFonts w:ascii="Arial" w:hAnsi="Arial" w:cs="Arial"/>
            <w:i w:val="0"/>
            <w:noProof/>
          </w:rPr>
          <w:t xml:space="preserve"> “</w:t>
        </w:r>
        <w:r w:rsidR="00C9342D" w:rsidRPr="00C9342D">
          <w:rPr>
            <w:rFonts w:ascii="Arial" w:hAnsi="Arial" w:cs="Arial"/>
            <w:i w:val="0"/>
          </w:rPr>
          <w:t>Ecuador 2010: Total de emigrantes que salieron para estudiar por Año de salida del país</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_Toc341044107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333</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08" w:history="1">
        <w:r w:rsidR="009C410E" w:rsidRPr="00C9342D">
          <w:rPr>
            <w:rStyle w:val="Hipervnculo"/>
            <w:rFonts w:ascii="Arial" w:hAnsi="Arial" w:cs="Arial"/>
            <w:b/>
            <w:i w:val="0"/>
            <w:noProof/>
          </w:rPr>
          <w:t>Figura 5.28</w:t>
        </w:r>
        <w:r w:rsidR="009C410E" w:rsidRPr="00C9342D">
          <w:rPr>
            <w:rStyle w:val="Hipervnculo"/>
            <w:rFonts w:ascii="Arial" w:hAnsi="Arial" w:cs="Arial"/>
            <w:i w:val="0"/>
            <w:noProof/>
          </w:rPr>
          <w:t xml:space="preserve"> “</w:t>
        </w:r>
        <w:r w:rsidR="00C9342D" w:rsidRPr="00C9342D">
          <w:rPr>
            <w:rFonts w:ascii="Arial" w:hAnsi="Arial" w:cs="Arial"/>
            <w:i w:val="0"/>
          </w:rPr>
          <w:t>Ecuador 2010: Frecuencia Relativa de País de residencia actual de los emigrantes que viajaron para estudiar</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_Toc341044108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334</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09" w:history="1">
        <w:r w:rsidR="009C410E" w:rsidRPr="00C9342D">
          <w:rPr>
            <w:rStyle w:val="Hipervnculo"/>
            <w:rFonts w:ascii="Arial" w:hAnsi="Arial" w:cs="Arial"/>
            <w:b/>
            <w:i w:val="0"/>
            <w:noProof/>
          </w:rPr>
          <w:t>Figura 5.29</w:t>
        </w:r>
        <w:r w:rsidR="009C410E" w:rsidRPr="00C9342D">
          <w:rPr>
            <w:rStyle w:val="Hipervnculo"/>
            <w:rFonts w:ascii="Arial" w:hAnsi="Arial" w:cs="Arial"/>
            <w:i w:val="0"/>
            <w:noProof/>
          </w:rPr>
          <w:t xml:space="preserve"> “</w:t>
        </w:r>
        <w:r w:rsidR="00C9342D" w:rsidRPr="00C9342D">
          <w:rPr>
            <w:rFonts w:ascii="Arial" w:hAnsi="Arial" w:cs="Arial"/>
            <w:i w:val="0"/>
          </w:rPr>
          <w:t>Ecuador 2010: Índice de Feminidad de los emigrantes que viajaron para estudiar  por País de residencia actual</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_Toc341044109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336</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10" w:history="1">
        <w:r w:rsidR="009C410E" w:rsidRPr="00C9342D">
          <w:rPr>
            <w:rStyle w:val="Hipervnculo"/>
            <w:rFonts w:ascii="Arial" w:hAnsi="Arial" w:cs="Arial"/>
            <w:b/>
            <w:i w:val="0"/>
            <w:noProof/>
          </w:rPr>
          <w:t>Figura 5.30</w:t>
        </w:r>
        <w:r w:rsidR="009C410E" w:rsidRPr="00C9342D">
          <w:rPr>
            <w:rStyle w:val="Hipervnculo"/>
            <w:rFonts w:ascii="Arial" w:hAnsi="Arial" w:cs="Arial"/>
            <w:i w:val="0"/>
            <w:noProof/>
          </w:rPr>
          <w:t xml:space="preserve"> “</w:t>
        </w:r>
        <w:r w:rsidR="00C9342D" w:rsidRPr="00C9342D">
          <w:rPr>
            <w:rFonts w:ascii="Arial" w:hAnsi="Arial" w:cs="Arial"/>
            <w:i w:val="0"/>
          </w:rPr>
          <w:t>Ecuador 2010: Distribución Género – Edad al salir del país de los emigrantes que viajaron para estudiar</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_Toc341044110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338</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11" w:history="1">
        <w:r w:rsidR="009C410E" w:rsidRPr="00C9342D">
          <w:rPr>
            <w:rStyle w:val="Hipervnculo"/>
            <w:rFonts w:ascii="Arial" w:hAnsi="Arial" w:cs="Arial"/>
            <w:b/>
            <w:i w:val="0"/>
            <w:noProof/>
          </w:rPr>
          <w:t>Figura 5.31</w:t>
        </w:r>
        <w:r w:rsidR="009C410E" w:rsidRPr="00C9342D">
          <w:rPr>
            <w:rStyle w:val="Hipervnculo"/>
            <w:rFonts w:ascii="Arial" w:hAnsi="Arial" w:cs="Arial"/>
            <w:i w:val="0"/>
            <w:noProof/>
          </w:rPr>
          <w:t xml:space="preserve"> “</w:t>
        </w:r>
        <w:r w:rsidR="00C9342D" w:rsidRPr="00C9342D">
          <w:rPr>
            <w:rFonts w:ascii="Arial" w:hAnsi="Arial" w:cs="Arial"/>
            <w:i w:val="0"/>
          </w:rPr>
          <w:t>Ecuador 2010: Distribución condicional de la Edad al salir del país de los Emigrantes que viajaron para estudiar dado que se conoce el País de residencia actual</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_Toc341044111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339</w:t>
        </w:r>
        <w:r w:rsidR="00990535" w:rsidRPr="00C9342D">
          <w:rPr>
            <w:rFonts w:ascii="Arial" w:hAnsi="Arial" w:cs="Arial"/>
            <w:i w:val="0"/>
            <w:noProof/>
            <w:webHidden/>
          </w:rPr>
          <w:fldChar w:fldCharType="end"/>
        </w:r>
      </w:hyperlink>
    </w:p>
    <w:p w:rsidR="009C410E" w:rsidRPr="00C9342D" w:rsidRDefault="00436907" w:rsidP="009C410E">
      <w:pPr>
        <w:pStyle w:val="Tabladeilustraciones"/>
        <w:tabs>
          <w:tab w:val="right" w:leader="dot" w:pos="8268"/>
        </w:tabs>
        <w:spacing w:line="360" w:lineRule="auto"/>
        <w:rPr>
          <w:rFonts w:ascii="Arial" w:eastAsiaTheme="minorEastAsia" w:hAnsi="Arial" w:cs="Arial"/>
          <w:i w:val="0"/>
          <w:iCs w:val="0"/>
          <w:noProof/>
          <w:lang w:eastAsia="es-EC"/>
        </w:rPr>
      </w:pPr>
      <w:hyperlink w:anchor="_Toc341044112" w:history="1">
        <w:r w:rsidR="009C410E" w:rsidRPr="00C9342D">
          <w:rPr>
            <w:rStyle w:val="Hipervnculo"/>
            <w:rFonts w:ascii="Arial" w:hAnsi="Arial" w:cs="Arial"/>
            <w:b/>
            <w:i w:val="0"/>
            <w:noProof/>
          </w:rPr>
          <w:t>Figura 5.32</w:t>
        </w:r>
        <w:r w:rsidR="009C410E" w:rsidRPr="00C9342D">
          <w:rPr>
            <w:rStyle w:val="Hipervnculo"/>
            <w:rFonts w:ascii="Arial" w:hAnsi="Arial" w:cs="Arial"/>
            <w:i w:val="0"/>
            <w:noProof/>
          </w:rPr>
          <w:t xml:space="preserve"> “</w:t>
        </w:r>
        <w:r w:rsidR="00C9342D" w:rsidRPr="00C9342D">
          <w:rPr>
            <w:rFonts w:ascii="Arial" w:hAnsi="Arial" w:cs="Arial"/>
            <w:i w:val="0"/>
          </w:rPr>
          <w:t>Ecuador 2010: Tasa de país de residencia actual por cada 1000 emigrantes que viajaron para estudiar por género y edad al salir del país</w:t>
        </w:r>
        <w:r w:rsidR="009C410E" w:rsidRPr="00C9342D">
          <w:rPr>
            <w:rStyle w:val="Hipervnculo"/>
            <w:rFonts w:ascii="Arial" w:hAnsi="Arial" w:cs="Arial"/>
            <w:i w:val="0"/>
            <w:noProof/>
          </w:rPr>
          <w:t>”</w:t>
        </w:r>
        <w:r w:rsidR="009C410E" w:rsidRPr="00C9342D">
          <w:rPr>
            <w:rFonts w:ascii="Arial" w:hAnsi="Arial" w:cs="Arial"/>
            <w:i w:val="0"/>
            <w:noProof/>
            <w:webHidden/>
          </w:rPr>
          <w:tab/>
        </w:r>
        <w:r w:rsidR="00990535" w:rsidRPr="00C9342D">
          <w:rPr>
            <w:rFonts w:ascii="Arial" w:hAnsi="Arial" w:cs="Arial"/>
            <w:i w:val="0"/>
            <w:noProof/>
            <w:webHidden/>
          </w:rPr>
          <w:fldChar w:fldCharType="begin"/>
        </w:r>
        <w:r w:rsidR="009C410E" w:rsidRPr="00C9342D">
          <w:rPr>
            <w:rFonts w:ascii="Arial" w:hAnsi="Arial" w:cs="Arial"/>
            <w:i w:val="0"/>
            <w:noProof/>
            <w:webHidden/>
          </w:rPr>
          <w:instrText xml:space="preserve"> PAGEREF _Toc341044112 \h </w:instrText>
        </w:r>
        <w:r w:rsidR="00990535" w:rsidRPr="00C9342D">
          <w:rPr>
            <w:rFonts w:ascii="Arial" w:hAnsi="Arial" w:cs="Arial"/>
            <w:i w:val="0"/>
            <w:noProof/>
            <w:webHidden/>
          </w:rPr>
        </w:r>
        <w:r w:rsidR="00990535" w:rsidRPr="00C9342D">
          <w:rPr>
            <w:rFonts w:ascii="Arial" w:hAnsi="Arial" w:cs="Arial"/>
            <w:i w:val="0"/>
            <w:noProof/>
            <w:webHidden/>
          </w:rPr>
          <w:fldChar w:fldCharType="separate"/>
        </w:r>
        <w:r w:rsidR="00A242E0">
          <w:rPr>
            <w:rFonts w:ascii="Arial" w:hAnsi="Arial" w:cs="Arial"/>
            <w:i w:val="0"/>
            <w:noProof/>
            <w:webHidden/>
          </w:rPr>
          <w:t>340</w:t>
        </w:r>
        <w:r w:rsidR="00990535" w:rsidRPr="00C9342D">
          <w:rPr>
            <w:rFonts w:ascii="Arial" w:hAnsi="Arial" w:cs="Arial"/>
            <w:i w:val="0"/>
            <w:noProof/>
            <w:webHidden/>
          </w:rPr>
          <w:fldChar w:fldCharType="end"/>
        </w:r>
      </w:hyperlink>
    </w:p>
    <w:p w:rsidR="00067A17" w:rsidRDefault="00990535" w:rsidP="009C410E">
      <w:pPr>
        <w:spacing w:line="360" w:lineRule="auto"/>
        <w:jc w:val="left"/>
        <w:rPr>
          <w:rFonts w:ascii="Arial" w:hAnsi="Arial" w:cs="Arial"/>
        </w:rPr>
      </w:pPr>
      <w:r w:rsidRPr="009C410E">
        <w:rPr>
          <w:rFonts w:ascii="Arial" w:hAnsi="Arial" w:cs="Arial"/>
          <w:sz w:val="20"/>
          <w:szCs w:val="20"/>
        </w:rPr>
        <w:fldChar w:fldCharType="end"/>
      </w:r>
    </w:p>
    <w:p w:rsidR="00470CE4" w:rsidRDefault="00470CE4" w:rsidP="001C2FE6">
      <w:pPr>
        <w:spacing w:line="480" w:lineRule="auto"/>
        <w:rPr>
          <w:rFonts w:ascii="Arial" w:hAnsi="Arial" w:cs="Arial"/>
        </w:rPr>
        <w:sectPr w:rsidR="00470CE4" w:rsidSect="00B842A2">
          <w:pgSz w:w="11907" w:h="16839" w:code="9"/>
          <w:pgMar w:top="2268" w:right="1361" w:bottom="2268" w:left="2268" w:header="708" w:footer="708" w:gutter="0"/>
          <w:pgNumType w:start="1"/>
          <w:cols w:space="708"/>
          <w:docGrid w:linePitch="360"/>
        </w:sectPr>
      </w:pPr>
    </w:p>
    <w:p w:rsidR="00470CE4" w:rsidRPr="00FE7FBC" w:rsidRDefault="00470CE4" w:rsidP="00470CE4">
      <w:pPr>
        <w:spacing w:line="480" w:lineRule="auto"/>
        <w:rPr>
          <w:rFonts w:ascii="Arial" w:hAnsi="Arial" w:cs="Arial"/>
          <w:b/>
          <w:sz w:val="32"/>
          <w:szCs w:val="32"/>
        </w:rPr>
      </w:pPr>
      <w:r w:rsidRPr="00FE7FBC">
        <w:rPr>
          <w:rFonts w:ascii="Arial" w:hAnsi="Arial" w:cs="Arial"/>
          <w:b/>
          <w:sz w:val="32"/>
          <w:szCs w:val="32"/>
        </w:rPr>
        <w:lastRenderedPageBreak/>
        <w:t>ÍNDICE DE TABLAS</w:t>
      </w:r>
    </w:p>
    <w:p w:rsidR="00807CDA" w:rsidRPr="00807CDA" w:rsidRDefault="00807CDA" w:rsidP="00470CE4">
      <w:pPr>
        <w:spacing w:line="480" w:lineRule="auto"/>
        <w:rPr>
          <w:rFonts w:ascii="Arial" w:hAnsi="Arial" w:cs="Arial"/>
        </w:rPr>
      </w:pPr>
    </w:p>
    <w:p w:rsidR="00807CDA" w:rsidRPr="00B345DA" w:rsidRDefault="00103B23" w:rsidP="00B345DA">
      <w:pPr>
        <w:spacing w:line="360" w:lineRule="auto"/>
        <w:ind w:left="0"/>
        <w:jc w:val="left"/>
        <w:rPr>
          <w:rFonts w:ascii="Arial" w:hAnsi="Arial" w:cs="Arial"/>
          <w:b/>
          <w:sz w:val="20"/>
          <w:szCs w:val="20"/>
        </w:rPr>
      </w:pPr>
      <w:r w:rsidRPr="00B345DA">
        <w:rPr>
          <w:rFonts w:ascii="Arial" w:hAnsi="Arial" w:cs="Arial"/>
          <w:b/>
          <w:iCs/>
          <w:sz w:val="20"/>
          <w:szCs w:val="20"/>
        </w:rPr>
        <w:t>1</w:t>
      </w:r>
      <w:r w:rsidR="00B345DA" w:rsidRPr="00B345DA">
        <w:rPr>
          <w:rFonts w:ascii="Arial" w:hAnsi="Arial" w:cs="Arial"/>
          <w:b/>
          <w:iCs/>
          <w:sz w:val="20"/>
          <w:szCs w:val="20"/>
        </w:rPr>
        <w:t>.</w:t>
      </w:r>
      <w:r w:rsidRPr="00B345DA">
        <w:rPr>
          <w:rFonts w:ascii="Arial" w:hAnsi="Arial" w:cs="Arial"/>
          <w:b/>
          <w:iCs/>
          <w:sz w:val="20"/>
          <w:szCs w:val="20"/>
        </w:rPr>
        <w:t xml:space="preserve"> MARCO TEÓRICO, OBJETIVOS, METODOLOGÍA Y FUENTE DE DATOS</w:t>
      </w:r>
    </w:p>
    <w:p w:rsidR="00B345DA" w:rsidRPr="00DD394E" w:rsidRDefault="00990535" w:rsidP="00B345DA">
      <w:pPr>
        <w:pStyle w:val="Tabladeilustraciones"/>
        <w:tabs>
          <w:tab w:val="right" w:leader="dot" w:pos="8268"/>
        </w:tabs>
        <w:spacing w:line="360" w:lineRule="auto"/>
        <w:rPr>
          <w:rFonts w:ascii="Arial" w:eastAsiaTheme="minorEastAsia" w:hAnsi="Arial" w:cs="Arial"/>
          <w:i w:val="0"/>
          <w:iCs w:val="0"/>
          <w:noProof/>
          <w:lang w:eastAsia="es-EC"/>
        </w:rPr>
      </w:pPr>
      <w:r w:rsidRPr="00DD394E">
        <w:rPr>
          <w:rFonts w:ascii="Arial" w:hAnsi="Arial" w:cs="Arial"/>
          <w:i w:val="0"/>
        </w:rPr>
        <w:fldChar w:fldCharType="begin"/>
      </w:r>
      <w:r w:rsidR="004865D5" w:rsidRPr="00DD394E">
        <w:rPr>
          <w:rFonts w:ascii="Arial" w:hAnsi="Arial" w:cs="Arial"/>
          <w:i w:val="0"/>
        </w:rPr>
        <w:instrText xml:space="preserve"> TOC \h \z \c "Tabla 1." </w:instrText>
      </w:r>
      <w:r w:rsidRPr="00DD394E">
        <w:rPr>
          <w:rFonts w:ascii="Arial" w:hAnsi="Arial" w:cs="Arial"/>
          <w:i w:val="0"/>
        </w:rPr>
        <w:fldChar w:fldCharType="separate"/>
      </w:r>
      <w:hyperlink w:anchor="_Toc341041381" w:history="1">
        <w:r w:rsidR="00B345DA" w:rsidRPr="00DD394E">
          <w:rPr>
            <w:rStyle w:val="Hipervnculo"/>
            <w:rFonts w:ascii="Arial" w:hAnsi="Arial" w:cs="Arial"/>
            <w:b/>
            <w:i w:val="0"/>
            <w:noProof/>
          </w:rPr>
          <w:t>Tabla 1.1</w:t>
        </w:r>
        <w:r w:rsidR="00B345DA" w:rsidRPr="00DD394E">
          <w:rPr>
            <w:rStyle w:val="Hipervnculo"/>
            <w:rFonts w:ascii="Arial" w:hAnsi="Arial" w:cs="Arial"/>
            <w:i w:val="0"/>
            <w:noProof/>
          </w:rPr>
          <w:t xml:space="preserve"> “</w:t>
        </w:r>
        <w:r w:rsidR="00B345DA" w:rsidRPr="00DD394E">
          <w:rPr>
            <w:rFonts w:ascii="Arial" w:hAnsi="Arial" w:cs="Arial"/>
            <w:i w:val="0"/>
          </w:rPr>
          <w:t>Distribución de la Migración Internacional, según Grandes Regiones, 1960-2000</w:t>
        </w:r>
        <w:r w:rsidR="00B345DA" w:rsidRPr="00DD394E">
          <w:rPr>
            <w:rStyle w:val="Hipervnculo"/>
            <w:rFonts w:ascii="Arial" w:hAnsi="Arial" w:cs="Arial"/>
            <w:i w:val="0"/>
            <w:noProof/>
          </w:rPr>
          <w:t>”</w:t>
        </w:r>
        <w:r w:rsidR="00B345DA" w:rsidRPr="00DD394E">
          <w:rPr>
            <w:rFonts w:ascii="Arial" w:hAnsi="Arial" w:cs="Arial"/>
            <w:i w:val="0"/>
            <w:noProof/>
            <w:webHidden/>
          </w:rPr>
          <w:tab/>
        </w:r>
        <w:r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_Toc341041381 \h </w:instrText>
        </w:r>
        <w:r w:rsidRPr="00DD394E">
          <w:rPr>
            <w:rFonts w:ascii="Arial" w:hAnsi="Arial" w:cs="Arial"/>
            <w:i w:val="0"/>
            <w:noProof/>
            <w:webHidden/>
          </w:rPr>
        </w:r>
        <w:r w:rsidRPr="00DD394E">
          <w:rPr>
            <w:rFonts w:ascii="Arial" w:hAnsi="Arial" w:cs="Arial"/>
            <w:i w:val="0"/>
            <w:noProof/>
            <w:webHidden/>
          </w:rPr>
          <w:fldChar w:fldCharType="separate"/>
        </w:r>
        <w:r w:rsidR="00A242E0">
          <w:rPr>
            <w:rFonts w:ascii="Arial" w:hAnsi="Arial" w:cs="Arial"/>
            <w:i w:val="0"/>
            <w:noProof/>
            <w:webHidden/>
          </w:rPr>
          <w:t>6</w:t>
        </w:r>
        <w:r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382" w:history="1">
        <w:r w:rsidR="00B345DA" w:rsidRPr="00DD394E">
          <w:rPr>
            <w:rStyle w:val="Hipervnculo"/>
            <w:rFonts w:ascii="Arial" w:hAnsi="Arial" w:cs="Arial"/>
            <w:b/>
            <w:i w:val="0"/>
            <w:noProof/>
          </w:rPr>
          <w:t>Tabla 1.2</w:t>
        </w:r>
        <w:r w:rsidR="00B345DA" w:rsidRPr="00DD394E">
          <w:rPr>
            <w:rStyle w:val="Hipervnculo"/>
            <w:rFonts w:ascii="Arial" w:hAnsi="Arial" w:cs="Arial"/>
            <w:i w:val="0"/>
            <w:noProof/>
          </w:rPr>
          <w:t xml:space="preserve"> “</w:t>
        </w:r>
        <w:r w:rsidR="00B345DA" w:rsidRPr="00DD394E">
          <w:rPr>
            <w:rFonts w:ascii="Arial" w:hAnsi="Arial" w:cs="Arial"/>
            <w:i w:val="0"/>
          </w:rPr>
          <w:t>Población Emigrante en relación a la Población Total</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_Toc341041382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9</w:t>
        </w:r>
        <w:r w:rsidR="00990535" w:rsidRPr="00DD394E">
          <w:rPr>
            <w:rFonts w:ascii="Arial" w:hAnsi="Arial" w:cs="Arial"/>
            <w:i w:val="0"/>
            <w:noProof/>
            <w:webHidden/>
          </w:rPr>
          <w:fldChar w:fldCharType="end"/>
        </w:r>
      </w:hyperlink>
    </w:p>
    <w:p w:rsidR="00807CDA" w:rsidRPr="00B345DA" w:rsidRDefault="00990535" w:rsidP="00B345DA">
      <w:pPr>
        <w:spacing w:line="360" w:lineRule="auto"/>
        <w:ind w:left="0"/>
        <w:jc w:val="left"/>
        <w:rPr>
          <w:rFonts w:ascii="Arial" w:hAnsi="Arial" w:cs="Arial"/>
          <w:b/>
          <w:iCs/>
          <w:sz w:val="20"/>
          <w:szCs w:val="20"/>
        </w:rPr>
      </w:pPr>
      <w:r w:rsidRPr="00DD394E">
        <w:rPr>
          <w:rFonts w:ascii="Arial" w:hAnsi="Arial" w:cs="Arial"/>
          <w:sz w:val="20"/>
          <w:szCs w:val="20"/>
        </w:rPr>
        <w:fldChar w:fldCharType="end"/>
      </w:r>
      <w:r w:rsidR="00103B23" w:rsidRPr="00B345DA">
        <w:rPr>
          <w:rFonts w:ascii="Arial" w:hAnsi="Arial" w:cs="Arial"/>
          <w:b/>
          <w:iCs/>
          <w:sz w:val="20"/>
          <w:szCs w:val="20"/>
        </w:rPr>
        <w:t>2</w:t>
      </w:r>
      <w:r w:rsidR="00B345DA" w:rsidRPr="00B345DA">
        <w:rPr>
          <w:rFonts w:ascii="Arial" w:hAnsi="Arial" w:cs="Arial"/>
          <w:b/>
          <w:iCs/>
          <w:sz w:val="20"/>
          <w:szCs w:val="20"/>
        </w:rPr>
        <w:t>.</w:t>
      </w:r>
      <w:r w:rsidR="00103B23" w:rsidRPr="00B345DA">
        <w:rPr>
          <w:rFonts w:ascii="Arial" w:hAnsi="Arial" w:cs="Arial"/>
          <w:b/>
          <w:iCs/>
          <w:sz w:val="20"/>
          <w:szCs w:val="20"/>
        </w:rPr>
        <w:t xml:space="preserve"> MIGRACIÓN INTERNA EN ECUADOR</w:t>
      </w:r>
    </w:p>
    <w:p w:rsidR="00B345DA" w:rsidRPr="00DD394E" w:rsidRDefault="00990535" w:rsidP="00B345DA">
      <w:pPr>
        <w:pStyle w:val="Tabladeilustraciones"/>
        <w:tabs>
          <w:tab w:val="right" w:leader="dot" w:pos="8268"/>
        </w:tabs>
        <w:spacing w:line="360" w:lineRule="auto"/>
        <w:rPr>
          <w:rFonts w:ascii="Arial" w:eastAsiaTheme="minorEastAsia" w:hAnsi="Arial" w:cs="Arial"/>
          <w:i w:val="0"/>
          <w:iCs w:val="0"/>
          <w:noProof/>
          <w:lang w:eastAsia="es-EC"/>
        </w:rPr>
      </w:pPr>
      <w:r w:rsidRPr="00DD394E">
        <w:rPr>
          <w:rFonts w:ascii="Arial" w:hAnsi="Arial" w:cs="Arial"/>
          <w:i w:val="0"/>
        </w:rPr>
        <w:fldChar w:fldCharType="begin"/>
      </w:r>
      <w:r w:rsidR="004865D5" w:rsidRPr="00DD394E">
        <w:rPr>
          <w:rFonts w:ascii="Arial" w:hAnsi="Arial" w:cs="Arial"/>
          <w:i w:val="0"/>
        </w:rPr>
        <w:instrText xml:space="preserve"> TOC \h \z \c "Tabla2." </w:instrText>
      </w:r>
      <w:r w:rsidRPr="00DD394E">
        <w:rPr>
          <w:rFonts w:ascii="Arial" w:hAnsi="Arial" w:cs="Arial"/>
          <w:i w:val="0"/>
        </w:rPr>
        <w:fldChar w:fldCharType="separate"/>
      </w:r>
      <w:hyperlink w:anchor="_Toc341041576" w:history="1">
        <w:r w:rsidR="00B345DA" w:rsidRPr="00DD394E">
          <w:rPr>
            <w:rStyle w:val="Hipervnculo"/>
            <w:rFonts w:ascii="Arial" w:hAnsi="Arial" w:cs="Arial"/>
            <w:b/>
            <w:i w:val="0"/>
            <w:noProof/>
          </w:rPr>
          <w:t>Tabla 2.1</w:t>
        </w:r>
        <w:r w:rsidR="00B345DA" w:rsidRPr="00DD394E">
          <w:rPr>
            <w:rStyle w:val="Hipervnculo"/>
            <w:rFonts w:ascii="Arial" w:hAnsi="Arial" w:cs="Arial"/>
            <w:i w:val="0"/>
            <w:noProof/>
          </w:rPr>
          <w:t xml:space="preserve"> “</w:t>
        </w:r>
        <w:r w:rsidR="00B345DA" w:rsidRPr="00DD394E">
          <w:rPr>
            <w:rFonts w:ascii="Arial" w:hAnsi="Arial" w:cs="Arial"/>
            <w:i w:val="0"/>
          </w:rPr>
          <w:t>Ecuador 2010: Tasa de Inmigración y Emigración interna por cada 1000 habitantes a nivel regional</w:t>
        </w:r>
        <w:r w:rsidR="00B345DA" w:rsidRPr="00DD394E">
          <w:rPr>
            <w:rStyle w:val="Hipervnculo"/>
            <w:rFonts w:ascii="Arial" w:hAnsi="Arial" w:cs="Arial"/>
            <w:i w:val="0"/>
            <w:noProof/>
          </w:rPr>
          <w:t>”</w:t>
        </w:r>
        <w:r w:rsidR="00B345DA" w:rsidRPr="00DD394E">
          <w:rPr>
            <w:rFonts w:ascii="Arial" w:hAnsi="Arial" w:cs="Arial"/>
            <w:i w:val="0"/>
            <w:noProof/>
            <w:webHidden/>
          </w:rPr>
          <w:tab/>
        </w:r>
        <w:r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_Toc341041576 \h </w:instrText>
        </w:r>
        <w:r w:rsidRPr="00DD394E">
          <w:rPr>
            <w:rFonts w:ascii="Arial" w:hAnsi="Arial" w:cs="Arial"/>
            <w:i w:val="0"/>
            <w:noProof/>
            <w:webHidden/>
          </w:rPr>
        </w:r>
        <w:r w:rsidRPr="00DD394E">
          <w:rPr>
            <w:rFonts w:ascii="Arial" w:hAnsi="Arial" w:cs="Arial"/>
            <w:i w:val="0"/>
            <w:noProof/>
            <w:webHidden/>
          </w:rPr>
          <w:fldChar w:fldCharType="separate"/>
        </w:r>
        <w:r w:rsidR="00A242E0">
          <w:rPr>
            <w:rFonts w:ascii="Arial" w:hAnsi="Arial" w:cs="Arial"/>
            <w:i w:val="0"/>
            <w:noProof/>
            <w:webHidden/>
          </w:rPr>
          <w:t>35</w:t>
        </w:r>
        <w:r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77" w:history="1">
        <w:r w:rsidR="00B345DA" w:rsidRPr="00DD394E">
          <w:rPr>
            <w:rStyle w:val="Hipervnculo"/>
            <w:rFonts w:ascii="Arial" w:hAnsi="Arial" w:cs="Arial"/>
            <w:b/>
            <w:i w:val="0"/>
            <w:noProof/>
          </w:rPr>
          <w:t>Tabla 2.2</w:t>
        </w:r>
        <w:r w:rsidR="00B345DA" w:rsidRPr="00DD394E">
          <w:rPr>
            <w:rStyle w:val="Hipervnculo"/>
            <w:rFonts w:ascii="Arial" w:hAnsi="Arial" w:cs="Arial"/>
            <w:i w:val="0"/>
            <w:noProof/>
          </w:rPr>
          <w:t xml:space="preserve"> “</w:t>
        </w:r>
        <w:r w:rsidR="00B345DA" w:rsidRPr="00DD394E">
          <w:rPr>
            <w:rFonts w:ascii="Arial" w:hAnsi="Arial" w:cs="Arial"/>
            <w:i w:val="0"/>
          </w:rPr>
          <w:t>Ecuador2010: Total de Inmigrantes y Emigrantes por Provincia</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_Toc341041577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37</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78" w:history="1">
        <w:r w:rsidR="00B345DA" w:rsidRPr="00DD394E">
          <w:rPr>
            <w:rStyle w:val="Hipervnculo"/>
            <w:rFonts w:ascii="Arial" w:hAnsi="Arial" w:cs="Arial"/>
            <w:b/>
            <w:i w:val="0"/>
            <w:noProof/>
          </w:rPr>
          <w:t>Tabla 2.3</w:t>
        </w:r>
        <w:r w:rsidR="00B345DA" w:rsidRPr="00DD394E">
          <w:rPr>
            <w:rStyle w:val="Hipervnculo"/>
            <w:rFonts w:ascii="Arial" w:hAnsi="Arial" w:cs="Arial"/>
            <w:i w:val="0"/>
            <w:noProof/>
          </w:rPr>
          <w:t xml:space="preserve"> “</w:t>
        </w:r>
        <w:r w:rsidR="00B345DA" w:rsidRPr="00DD394E">
          <w:rPr>
            <w:rFonts w:ascii="Arial" w:hAnsi="Arial" w:cs="Arial"/>
            <w:i w:val="0"/>
          </w:rPr>
          <w:t>Guayas 2010: Tasa de Inmigración por cada 1000 habitantes</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_Toc341041578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40</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79" w:history="1">
        <w:r w:rsidR="00B345DA" w:rsidRPr="00DD394E">
          <w:rPr>
            <w:rStyle w:val="Hipervnculo"/>
            <w:rFonts w:ascii="Arial" w:hAnsi="Arial" w:cs="Arial"/>
            <w:b/>
            <w:i w:val="0"/>
            <w:noProof/>
          </w:rPr>
          <w:t>Tabla 2.4</w:t>
        </w:r>
        <w:r w:rsidR="00B345DA" w:rsidRPr="00DD394E">
          <w:rPr>
            <w:rStyle w:val="Hipervnculo"/>
            <w:rFonts w:ascii="Arial" w:hAnsi="Arial" w:cs="Arial"/>
            <w:i w:val="0"/>
            <w:noProof/>
          </w:rPr>
          <w:t xml:space="preserve"> “</w:t>
        </w:r>
        <w:r w:rsidR="00B345DA" w:rsidRPr="00DD394E">
          <w:rPr>
            <w:rFonts w:ascii="Arial" w:hAnsi="Arial" w:cs="Arial"/>
            <w:i w:val="0"/>
          </w:rPr>
          <w:t>Pichincha 2010: Tasa de Inmigración por cada 1000 habitantes</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_Toc341041579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41</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80" w:history="1">
        <w:r w:rsidR="00B345DA" w:rsidRPr="00DD394E">
          <w:rPr>
            <w:rStyle w:val="Hipervnculo"/>
            <w:rFonts w:ascii="Arial" w:hAnsi="Arial" w:cs="Arial"/>
            <w:b/>
            <w:i w:val="0"/>
            <w:noProof/>
          </w:rPr>
          <w:t>Tabla 2.5</w:t>
        </w:r>
        <w:r w:rsidR="00B345DA" w:rsidRPr="00DD394E">
          <w:rPr>
            <w:rStyle w:val="Hipervnculo"/>
            <w:rFonts w:ascii="Arial" w:hAnsi="Arial" w:cs="Arial"/>
            <w:i w:val="0"/>
            <w:noProof/>
          </w:rPr>
          <w:t xml:space="preserve"> “</w:t>
        </w:r>
        <w:r w:rsidR="00B345DA" w:rsidRPr="00DD394E">
          <w:rPr>
            <w:rFonts w:ascii="Arial" w:hAnsi="Arial" w:cs="Arial"/>
            <w:i w:val="0"/>
          </w:rPr>
          <w:t>Manabí 2010: Tasa de Emigración por cada 1000 habitantes</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_Toc341041580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43</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81" w:history="1">
        <w:r w:rsidR="00B345DA" w:rsidRPr="00DD394E">
          <w:rPr>
            <w:rStyle w:val="Hipervnculo"/>
            <w:rFonts w:ascii="Arial" w:hAnsi="Arial" w:cs="Arial"/>
            <w:b/>
            <w:i w:val="0"/>
            <w:noProof/>
          </w:rPr>
          <w:t>Tabla 2.6</w:t>
        </w:r>
        <w:r w:rsidR="00B345DA" w:rsidRPr="00DD394E">
          <w:rPr>
            <w:rStyle w:val="Hipervnculo"/>
            <w:rFonts w:ascii="Arial" w:hAnsi="Arial" w:cs="Arial"/>
            <w:i w:val="0"/>
            <w:noProof/>
          </w:rPr>
          <w:t xml:space="preserve"> “</w:t>
        </w:r>
        <w:r w:rsidR="00B345DA" w:rsidRPr="00DD394E">
          <w:rPr>
            <w:rFonts w:ascii="Arial" w:hAnsi="Arial" w:cs="Arial"/>
            <w:i w:val="0"/>
          </w:rPr>
          <w:t>Ecuador 2010: Estadísticas Descriptivas de la Edad de los Inmigrantes por Provincia de residencia habitual</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_Toc341041581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57</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82" w:history="1">
        <w:r w:rsidR="00B345DA" w:rsidRPr="00DD394E">
          <w:rPr>
            <w:rStyle w:val="Hipervnculo"/>
            <w:rFonts w:ascii="Arial" w:hAnsi="Arial" w:cs="Arial"/>
            <w:b/>
            <w:i w:val="0"/>
            <w:noProof/>
          </w:rPr>
          <w:t>Tabla 2.7</w:t>
        </w:r>
        <w:r w:rsidR="00B345DA" w:rsidRPr="00DD394E">
          <w:rPr>
            <w:rStyle w:val="Hipervnculo"/>
            <w:rFonts w:ascii="Arial" w:hAnsi="Arial" w:cs="Arial"/>
            <w:i w:val="0"/>
            <w:noProof/>
          </w:rPr>
          <w:t xml:space="preserve"> “</w:t>
        </w:r>
        <w:r w:rsidR="00B345DA" w:rsidRPr="00DD394E">
          <w:rPr>
            <w:rFonts w:ascii="Arial" w:hAnsi="Arial" w:cs="Arial"/>
            <w:i w:val="0"/>
          </w:rPr>
          <w:t>Ecuador 2010: Estadísticas Descriptivas de la Edad de los Emigrantes por Provincia de nacimiento</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_Toc341041582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59</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83" w:history="1">
        <w:r w:rsidR="00B345DA" w:rsidRPr="00DD394E">
          <w:rPr>
            <w:rStyle w:val="Hipervnculo"/>
            <w:rFonts w:ascii="Arial" w:hAnsi="Arial" w:cs="Arial"/>
            <w:b/>
            <w:i w:val="0"/>
            <w:noProof/>
          </w:rPr>
          <w:t>Tabla 2.8</w:t>
        </w:r>
        <w:r w:rsidR="00B345DA" w:rsidRPr="00DD394E">
          <w:rPr>
            <w:rStyle w:val="Hipervnculo"/>
            <w:rFonts w:ascii="Arial" w:hAnsi="Arial" w:cs="Arial"/>
            <w:i w:val="0"/>
            <w:noProof/>
          </w:rPr>
          <w:t xml:space="preserve"> “</w:t>
        </w:r>
        <w:r w:rsidR="00B345DA" w:rsidRPr="00DD394E">
          <w:rPr>
            <w:rFonts w:ascii="Arial" w:hAnsi="Arial" w:cs="Arial"/>
            <w:i w:val="0"/>
          </w:rPr>
          <w:t>Manabí 2010: Proporción de Género dado que se conoce la provincia de Residencia habitual</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_Toc341041583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65</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84" w:history="1">
        <w:r w:rsidR="00B345DA" w:rsidRPr="00DD394E">
          <w:rPr>
            <w:rStyle w:val="Hipervnculo"/>
            <w:rFonts w:ascii="Arial" w:hAnsi="Arial" w:cs="Arial"/>
            <w:b/>
            <w:i w:val="0"/>
            <w:noProof/>
          </w:rPr>
          <w:t>Tabla 2.9</w:t>
        </w:r>
        <w:r w:rsidR="00B345DA" w:rsidRPr="00DD394E">
          <w:rPr>
            <w:rStyle w:val="Hipervnculo"/>
            <w:rFonts w:ascii="Arial" w:hAnsi="Arial" w:cs="Arial"/>
            <w:i w:val="0"/>
            <w:noProof/>
          </w:rPr>
          <w:t xml:space="preserve"> “</w:t>
        </w:r>
        <w:r w:rsidR="00B345DA" w:rsidRPr="00DD394E">
          <w:rPr>
            <w:rFonts w:ascii="Arial" w:hAnsi="Arial" w:cs="Arial"/>
            <w:i w:val="0"/>
          </w:rPr>
          <w:t>Manabí 2010: Proporción de Edad dado que se conoce la provincia de Residencia habitual</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_Toc341041584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66</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85" w:history="1">
        <w:r w:rsidR="00B345DA" w:rsidRPr="00DD394E">
          <w:rPr>
            <w:rStyle w:val="Hipervnculo"/>
            <w:rFonts w:ascii="Arial" w:hAnsi="Arial" w:cs="Arial"/>
            <w:b/>
            <w:i w:val="0"/>
            <w:noProof/>
          </w:rPr>
          <w:t>Tabla 2.10</w:t>
        </w:r>
        <w:r w:rsidR="00B345DA" w:rsidRPr="00DD394E">
          <w:rPr>
            <w:rStyle w:val="Hipervnculo"/>
            <w:rFonts w:ascii="Arial" w:hAnsi="Arial" w:cs="Arial"/>
            <w:i w:val="0"/>
            <w:noProof/>
          </w:rPr>
          <w:t xml:space="preserve"> “</w:t>
        </w:r>
        <w:r w:rsidR="00B345DA" w:rsidRPr="00DD394E">
          <w:rPr>
            <w:rFonts w:ascii="Arial" w:hAnsi="Arial" w:cs="Arial"/>
            <w:i w:val="0"/>
          </w:rPr>
          <w:t>Manabí 2010: Nivel de Instrucción de los Emigrantes manabitas dado que se conoce la provincia de Residencia habitual</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_Toc341041585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71</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86" w:history="1">
        <w:r w:rsidR="00B345DA" w:rsidRPr="00DD394E">
          <w:rPr>
            <w:rStyle w:val="Hipervnculo"/>
            <w:rFonts w:ascii="Arial" w:hAnsi="Arial" w:cs="Arial"/>
            <w:b/>
            <w:i w:val="0"/>
            <w:noProof/>
          </w:rPr>
          <w:t>Tabla 2.11</w:t>
        </w:r>
        <w:r w:rsidR="00B345DA" w:rsidRPr="00DD394E">
          <w:rPr>
            <w:rStyle w:val="Hipervnculo"/>
            <w:rFonts w:ascii="Arial" w:hAnsi="Arial" w:cs="Arial"/>
            <w:i w:val="0"/>
            <w:noProof/>
          </w:rPr>
          <w:t xml:space="preserve"> “</w:t>
        </w:r>
        <w:r w:rsidR="00B345DA" w:rsidRPr="00DD394E">
          <w:rPr>
            <w:rFonts w:ascii="Arial" w:hAnsi="Arial" w:cs="Arial"/>
            <w:i w:val="0"/>
          </w:rPr>
          <w:t>Manabí 2010: Actividad económica dado que se conoce la provincia de Residencia habitual</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_Toc341041586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74</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87" w:history="1">
        <w:r w:rsidR="00B345DA" w:rsidRPr="00DD394E">
          <w:rPr>
            <w:rStyle w:val="Hipervnculo"/>
            <w:rFonts w:ascii="Arial" w:hAnsi="Arial" w:cs="Arial"/>
            <w:b/>
            <w:i w:val="0"/>
            <w:noProof/>
          </w:rPr>
          <w:t>Tabla 2.12</w:t>
        </w:r>
        <w:r w:rsidR="00B345DA" w:rsidRPr="00DD394E">
          <w:rPr>
            <w:rStyle w:val="Hipervnculo"/>
            <w:rFonts w:ascii="Arial" w:hAnsi="Arial" w:cs="Arial"/>
            <w:i w:val="0"/>
            <w:noProof/>
          </w:rPr>
          <w:t xml:space="preserve"> “</w:t>
        </w:r>
        <w:r w:rsidR="00B345DA" w:rsidRPr="00DD394E">
          <w:rPr>
            <w:rFonts w:ascii="Arial" w:hAnsi="Arial" w:cs="Arial"/>
            <w:i w:val="0"/>
          </w:rPr>
          <w:t>Manabí 2010: Tipo de vivienda dado que se conoce la provincia de Residencia habitual</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_Toc341041587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77</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88" w:history="1">
        <w:r w:rsidR="00B345DA" w:rsidRPr="00DD394E">
          <w:rPr>
            <w:rStyle w:val="Hipervnculo"/>
            <w:rFonts w:ascii="Arial" w:hAnsi="Arial" w:cs="Arial"/>
            <w:b/>
            <w:i w:val="0"/>
            <w:noProof/>
          </w:rPr>
          <w:t>Tabla 2.13</w:t>
        </w:r>
        <w:r w:rsidR="00B345DA" w:rsidRPr="00DD394E">
          <w:rPr>
            <w:rStyle w:val="Hipervnculo"/>
            <w:rFonts w:ascii="Arial" w:hAnsi="Arial" w:cs="Arial"/>
            <w:i w:val="0"/>
            <w:noProof/>
          </w:rPr>
          <w:t xml:space="preserve"> “</w:t>
        </w:r>
        <w:r w:rsidR="00B345DA" w:rsidRPr="00DD394E">
          <w:rPr>
            <w:rFonts w:ascii="Arial" w:hAnsi="Arial" w:cs="Arial"/>
            <w:i w:val="0"/>
          </w:rPr>
          <w:t>Manabí 2010: De dónde proviene el agua y energía eléctrica de la vivienda de los inmigrantes Dado que se conoce la provincia de Residencia habitual</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_Toc341041588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79</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89" w:history="1">
        <w:r w:rsidR="00B345DA" w:rsidRPr="00DD394E">
          <w:rPr>
            <w:rStyle w:val="Hipervnculo"/>
            <w:rFonts w:ascii="Arial" w:hAnsi="Arial" w:cs="Arial"/>
            <w:b/>
            <w:i w:val="0"/>
            <w:noProof/>
          </w:rPr>
          <w:t>Tabla 2.14</w:t>
        </w:r>
        <w:r w:rsidR="00B345DA" w:rsidRPr="00DD394E">
          <w:rPr>
            <w:rStyle w:val="Hipervnculo"/>
            <w:rFonts w:ascii="Arial" w:hAnsi="Arial" w:cs="Arial"/>
            <w:i w:val="0"/>
            <w:noProof/>
          </w:rPr>
          <w:t xml:space="preserve"> “</w:t>
        </w:r>
        <w:r w:rsidR="00B345DA" w:rsidRPr="00DD394E">
          <w:rPr>
            <w:rFonts w:ascii="Arial" w:hAnsi="Arial" w:cs="Arial"/>
            <w:i w:val="0"/>
          </w:rPr>
          <w:t>Manabí 2010: Disponibilidad de teléfono fijo, computadora y acceso a Internet en hogares de Emigrantes manabitas dado que se conoce la provincia de Residencia habitual</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_Toc341041589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82</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90" w:history="1">
        <w:r w:rsidR="00B345DA" w:rsidRPr="00DD394E">
          <w:rPr>
            <w:rStyle w:val="Hipervnculo"/>
            <w:rFonts w:ascii="Arial" w:hAnsi="Arial" w:cs="Arial"/>
            <w:b/>
            <w:i w:val="0"/>
            <w:noProof/>
          </w:rPr>
          <w:t>Tabla 2.15</w:t>
        </w:r>
        <w:r w:rsidR="00B345DA" w:rsidRPr="00DD394E">
          <w:rPr>
            <w:rStyle w:val="Hipervnculo"/>
            <w:rFonts w:ascii="Arial" w:hAnsi="Arial" w:cs="Arial"/>
            <w:i w:val="0"/>
            <w:noProof/>
          </w:rPr>
          <w:t xml:space="preserve"> “</w:t>
        </w:r>
        <w:r w:rsidR="00B345DA" w:rsidRPr="00DD394E">
          <w:rPr>
            <w:rFonts w:ascii="Arial" w:hAnsi="Arial" w:cs="Arial"/>
            <w:i w:val="0"/>
          </w:rPr>
          <w:t>Guayaquil 2010: Tasa de Inmigración por cada 1000 habitantes</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_Toc341041590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84</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91" w:history="1">
        <w:r w:rsidR="00B345DA" w:rsidRPr="00DD394E">
          <w:rPr>
            <w:rStyle w:val="Hipervnculo"/>
            <w:rFonts w:ascii="Arial" w:hAnsi="Arial" w:cs="Arial"/>
            <w:b/>
            <w:i w:val="0"/>
            <w:noProof/>
          </w:rPr>
          <w:t>Tabla 2.16</w:t>
        </w:r>
        <w:r w:rsidR="00B345DA" w:rsidRPr="00DD394E">
          <w:rPr>
            <w:rStyle w:val="Hipervnculo"/>
            <w:rFonts w:ascii="Arial" w:hAnsi="Arial" w:cs="Arial"/>
            <w:i w:val="0"/>
            <w:noProof/>
          </w:rPr>
          <w:t xml:space="preserve"> “</w:t>
        </w:r>
        <w:r w:rsidR="00B345DA" w:rsidRPr="00DD394E">
          <w:rPr>
            <w:rFonts w:ascii="Arial" w:hAnsi="Arial" w:cs="Arial"/>
            <w:i w:val="0"/>
          </w:rPr>
          <w:t>Guayaquil 2010: Nivel de instrucción de los Inmigrantes dado que se conoce el lugar de nacimiento</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_Toc341041591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91</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92" w:history="1">
        <w:r w:rsidR="00B345DA" w:rsidRPr="00DD394E">
          <w:rPr>
            <w:rStyle w:val="Hipervnculo"/>
            <w:rFonts w:ascii="Arial" w:hAnsi="Arial" w:cs="Arial"/>
            <w:b/>
            <w:i w:val="0"/>
            <w:noProof/>
          </w:rPr>
          <w:t>Tabla 2.17</w:t>
        </w:r>
        <w:r w:rsidR="00B345DA" w:rsidRPr="00DD394E">
          <w:rPr>
            <w:rStyle w:val="Hipervnculo"/>
            <w:rFonts w:ascii="Arial" w:hAnsi="Arial" w:cs="Arial"/>
            <w:i w:val="0"/>
            <w:noProof/>
          </w:rPr>
          <w:t xml:space="preserve"> “</w:t>
        </w:r>
        <w:r w:rsidR="00B345DA" w:rsidRPr="00DD394E">
          <w:rPr>
            <w:rFonts w:ascii="Arial" w:hAnsi="Arial" w:cs="Arial"/>
            <w:i w:val="0"/>
          </w:rPr>
          <w:t>Guayaquil 2010: Tasa de participación económica de los Inmigrantes  por cada 100 habitantes mayores de 15 años</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_Toc341041592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100</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93" w:history="1">
        <w:r w:rsidR="00B345DA" w:rsidRPr="00DD394E">
          <w:rPr>
            <w:rStyle w:val="Hipervnculo"/>
            <w:rFonts w:ascii="Arial" w:hAnsi="Arial" w:cs="Arial"/>
            <w:b/>
            <w:i w:val="0"/>
            <w:noProof/>
          </w:rPr>
          <w:t>Tabla 2.18</w:t>
        </w:r>
        <w:r w:rsidR="00B345DA" w:rsidRPr="00DD394E">
          <w:rPr>
            <w:rStyle w:val="Hipervnculo"/>
            <w:rFonts w:ascii="Arial" w:hAnsi="Arial" w:cs="Arial"/>
            <w:i w:val="0"/>
            <w:noProof/>
          </w:rPr>
          <w:t xml:space="preserve"> “</w:t>
        </w:r>
        <w:r w:rsidR="00B345DA" w:rsidRPr="00DD394E">
          <w:rPr>
            <w:rFonts w:ascii="Arial" w:hAnsi="Arial" w:cs="Arial"/>
            <w:i w:val="0"/>
          </w:rPr>
          <w:t>Guayaquil 2010: Actividad económica de los Inmigrantes dado que se conoce la provincia de nacimiento</w:t>
        </w:r>
        <w:r w:rsidR="00B345DA"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_Toc341041593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102</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94" w:history="1">
        <w:r w:rsidR="00B345DA" w:rsidRPr="00DD394E">
          <w:rPr>
            <w:rStyle w:val="Hipervnculo"/>
            <w:rFonts w:ascii="Arial" w:hAnsi="Arial" w:cs="Arial"/>
            <w:b/>
            <w:i w:val="0"/>
            <w:noProof/>
          </w:rPr>
          <w:t>Tabla 2.19</w:t>
        </w:r>
        <w:r w:rsidR="00323FC5" w:rsidRPr="00DD394E">
          <w:rPr>
            <w:rStyle w:val="Hipervnculo"/>
            <w:rFonts w:ascii="Arial" w:hAnsi="Arial" w:cs="Arial"/>
            <w:i w:val="0"/>
            <w:noProof/>
          </w:rPr>
          <w:t xml:space="preserve"> “</w:t>
        </w:r>
        <w:r w:rsidR="00323FC5" w:rsidRPr="00DD394E">
          <w:rPr>
            <w:rFonts w:ascii="Arial" w:hAnsi="Arial" w:cs="Arial"/>
            <w:i w:val="0"/>
          </w:rPr>
          <w:t>Guayaquil 2010: Número de personas por dormitorio en viviendas donde reside al menos un Inmigrante interno</w:t>
        </w:r>
        <w:r w:rsidR="00323FC5"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_Toc341041594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104</w:t>
        </w:r>
        <w:r w:rsidR="00990535" w:rsidRPr="00DD394E">
          <w:rPr>
            <w:rFonts w:ascii="Arial" w:hAnsi="Arial" w:cs="Arial"/>
            <w:i w:val="0"/>
            <w:noProof/>
            <w:webHidden/>
          </w:rPr>
          <w:fldChar w:fldCharType="end"/>
        </w:r>
      </w:hyperlink>
    </w:p>
    <w:p w:rsidR="00B345DA" w:rsidRPr="00DD394E" w:rsidRDefault="00436907" w:rsidP="00B345DA">
      <w:pPr>
        <w:pStyle w:val="Tabladeilustraciones"/>
        <w:tabs>
          <w:tab w:val="right" w:leader="dot" w:pos="8268"/>
        </w:tabs>
        <w:spacing w:line="360" w:lineRule="auto"/>
        <w:rPr>
          <w:rFonts w:ascii="Arial" w:eastAsiaTheme="minorEastAsia" w:hAnsi="Arial" w:cs="Arial"/>
          <w:i w:val="0"/>
          <w:iCs w:val="0"/>
          <w:noProof/>
          <w:lang w:eastAsia="es-EC"/>
        </w:rPr>
      </w:pPr>
      <w:hyperlink w:anchor="_Toc341041595" w:history="1">
        <w:r w:rsidR="00B345DA" w:rsidRPr="00DD394E">
          <w:rPr>
            <w:rStyle w:val="Hipervnculo"/>
            <w:rFonts w:ascii="Arial" w:hAnsi="Arial" w:cs="Arial"/>
            <w:b/>
            <w:i w:val="0"/>
            <w:noProof/>
          </w:rPr>
          <w:t>Tabla 2.20</w:t>
        </w:r>
        <w:r w:rsidR="00323FC5" w:rsidRPr="00DD394E">
          <w:rPr>
            <w:rStyle w:val="Hipervnculo"/>
            <w:rFonts w:ascii="Arial" w:hAnsi="Arial" w:cs="Arial"/>
            <w:i w:val="0"/>
            <w:noProof/>
          </w:rPr>
          <w:t xml:space="preserve"> “</w:t>
        </w:r>
        <w:r w:rsidR="00323FC5" w:rsidRPr="00DD394E">
          <w:rPr>
            <w:rFonts w:ascii="Arial" w:hAnsi="Arial" w:cs="Arial"/>
            <w:i w:val="0"/>
          </w:rPr>
          <w:t>Guayaquil 2010: Número de personas en viviendas sin dormitorio donde reside al menos un Inmigrante interno</w:t>
        </w:r>
        <w:r w:rsidR="00323FC5" w:rsidRPr="00DD394E">
          <w:rPr>
            <w:rStyle w:val="Hipervnculo"/>
            <w:rFonts w:ascii="Arial" w:hAnsi="Arial" w:cs="Arial"/>
            <w:i w:val="0"/>
            <w:noProof/>
          </w:rPr>
          <w:t>”</w:t>
        </w:r>
        <w:r w:rsidR="00B345DA" w:rsidRPr="00DD394E">
          <w:rPr>
            <w:rFonts w:ascii="Arial" w:hAnsi="Arial" w:cs="Arial"/>
            <w:i w:val="0"/>
            <w:noProof/>
            <w:webHidden/>
          </w:rPr>
          <w:tab/>
        </w:r>
        <w:r w:rsidR="00990535" w:rsidRPr="00DD394E">
          <w:rPr>
            <w:rFonts w:ascii="Arial" w:hAnsi="Arial" w:cs="Arial"/>
            <w:i w:val="0"/>
            <w:noProof/>
            <w:webHidden/>
          </w:rPr>
          <w:fldChar w:fldCharType="begin"/>
        </w:r>
        <w:r w:rsidR="00B345DA" w:rsidRPr="00DD394E">
          <w:rPr>
            <w:rFonts w:ascii="Arial" w:hAnsi="Arial" w:cs="Arial"/>
            <w:i w:val="0"/>
            <w:noProof/>
            <w:webHidden/>
          </w:rPr>
          <w:instrText xml:space="preserve"> PAGEREF _Toc341041595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105</w:t>
        </w:r>
        <w:r w:rsidR="00990535" w:rsidRPr="00DD394E">
          <w:rPr>
            <w:rFonts w:ascii="Arial" w:hAnsi="Arial" w:cs="Arial"/>
            <w:i w:val="0"/>
            <w:noProof/>
            <w:webHidden/>
          </w:rPr>
          <w:fldChar w:fldCharType="end"/>
        </w:r>
      </w:hyperlink>
    </w:p>
    <w:p w:rsidR="004865D5" w:rsidRPr="00323FC5" w:rsidRDefault="00990535" w:rsidP="00323FC5">
      <w:pPr>
        <w:spacing w:line="360" w:lineRule="auto"/>
        <w:ind w:left="0"/>
        <w:jc w:val="left"/>
        <w:rPr>
          <w:rFonts w:ascii="Arial" w:hAnsi="Arial" w:cs="Arial"/>
          <w:i/>
          <w:sz w:val="20"/>
          <w:szCs w:val="20"/>
        </w:rPr>
      </w:pPr>
      <w:r w:rsidRPr="00DD394E">
        <w:rPr>
          <w:rFonts w:ascii="Arial" w:hAnsi="Arial" w:cs="Arial"/>
          <w:sz w:val="20"/>
          <w:szCs w:val="20"/>
        </w:rPr>
        <w:fldChar w:fldCharType="end"/>
      </w:r>
      <w:r w:rsidR="00103B23" w:rsidRPr="00323FC5">
        <w:rPr>
          <w:rFonts w:ascii="Arial" w:hAnsi="Arial" w:cs="Arial"/>
          <w:b/>
          <w:iCs/>
          <w:sz w:val="20"/>
          <w:szCs w:val="20"/>
        </w:rPr>
        <w:t>3</w:t>
      </w:r>
      <w:r w:rsidR="00323FC5" w:rsidRPr="00323FC5">
        <w:rPr>
          <w:rFonts w:ascii="Arial" w:hAnsi="Arial" w:cs="Arial"/>
          <w:b/>
          <w:iCs/>
          <w:sz w:val="20"/>
          <w:szCs w:val="20"/>
        </w:rPr>
        <w:t>.</w:t>
      </w:r>
      <w:r w:rsidR="00103B23" w:rsidRPr="00323FC5">
        <w:rPr>
          <w:rFonts w:ascii="Arial" w:hAnsi="Arial" w:cs="Arial"/>
          <w:b/>
          <w:iCs/>
          <w:sz w:val="20"/>
          <w:szCs w:val="20"/>
        </w:rPr>
        <w:t xml:space="preserve"> INMIGRACIÓN INTERNACIONAL</w:t>
      </w:r>
    </w:p>
    <w:p w:rsidR="00323FC5" w:rsidRPr="00DD394E" w:rsidRDefault="00990535" w:rsidP="00323FC5">
      <w:pPr>
        <w:pStyle w:val="Tabladeilustraciones"/>
        <w:tabs>
          <w:tab w:val="right" w:leader="dot" w:pos="8268"/>
        </w:tabs>
        <w:spacing w:line="360" w:lineRule="auto"/>
        <w:rPr>
          <w:rFonts w:ascii="Arial" w:eastAsiaTheme="minorEastAsia" w:hAnsi="Arial" w:cs="Arial"/>
          <w:i w:val="0"/>
          <w:iCs w:val="0"/>
          <w:noProof/>
          <w:lang w:eastAsia="es-EC"/>
        </w:rPr>
      </w:pPr>
      <w:r w:rsidRPr="00323FC5">
        <w:rPr>
          <w:rFonts w:ascii="Arial" w:hAnsi="Arial" w:cs="Arial"/>
          <w:i w:val="0"/>
        </w:rPr>
        <w:fldChar w:fldCharType="begin"/>
      </w:r>
      <w:r w:rsidR="004865D5" w:rsidRPr="00323FC5">
        <w:rPr>
          <w:rFonts w:ascii="Arial" w:hAnsi="Arial" w:cs="Arial"/>
          <w:i w:val="0"/>
        </w:rPr>
        <w:instrText xml:space="preserve"> TOC \h \z \c "Tabla 3." </w:instrText>
      </w:r>
      <w:r w:rsidRPr="00323FC5">
        <w:rPr>
          <w:rFonts w:ascii="Arial" w:hAnsi="Arial" w:cs="Arial"/>
          <w:i w:val="0"/>
        </w:rPr>
        <w:fldChar w:fldCharType="separate"/>
      </w:r>
      <w:hyperlink w:anchor="_Toc341041912" w:history="1">
        <w:r w:rsidR="00323FC5" w:rsidRPr="00DD394E">
          <w:rPr>
            <w:rStyle w:val="Hipervnculo"/>
            <w:rFonts w:ascii="Arial" w:hAnsi="Arial" w:cs="Arial"/>
            <w:b/>
            <w:i w:val="0"/>
            <w:noProof/>
          </w:rPr>
          <w:t xml:space="preserve">Tabla 3.1 </w:t>
        </w:r>
        <w:r w:rsidR="00323FC5" w:rsidRPr="00DD394E">
          <w:rPr>
            <w:rStyle w:val="Hipervnculo"/>
            <w:rFonts w:ascii="Arial" w:hAnsi="Arial" w:cs="Arial"/>
            <w:i w:val="0"/>
            <w:noProof/>
          </w:rPr>
          <w:t>“</w:t>
        </w:r>
        <w:r w:rsidR="00323FC5" w:rsidRPr="00DD394E">
          <w:rPr>
            <w:rFonts w:ascii="Arial" w:hAnsi="Arial" w:cs="Arial"/>
            <w:i w:val="0"/>
          </w:rPr>
          <w:t>Ecuador 2010: Tasa de Inmigración extranjera por cada 1000 habitantes a nivel regional</w:t>
        </w:r>
        <w:r w:rsidR="00323FC5" w:rsidRPr="00DD394E">
          <w:rPr>
            <w:rStyle w:val="Hipervnculo"/>
            <w:rFonts w:ascii="Arial" w:hAnsi="Arial" w:cs="Arial"/>
            <w:i w:val="0"/>
            <w:noProof/>
          </w:rPr>
          <w:t>”</w:t>
        </w:r>
        <w:r w:rsidR="00323FC5" w:rsidRPr="00DD394E">
          <w:rPr>
            <w:rFonts w:ascii="Arial" w:hAnsi="Arial" w:cs="Arial"/>
            <w:i w:val="0"/>
            <w:noProof/>
            <w:webHidden/>
          </w:rPr>
          <w:tab/>
        </w:r>
        <w:r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_Toc341041912 \h </w:instrText>
        </w:r>
        <w:r w:rsidRPr="00DD394E">
          <w:rPr>
            <w:rFonts w:ascii="Arial" w:hAnsi="Arial" w:cs="Arial"/>
            <w:i w:val="0"/>
            <w:noProof/>
            <w:webHidden/>
          </w:rPr>
        </w:r>
        <w:r w:rsidRPr="00DD394E">
          <w:rPr>
            <w:rFonts w:ascii="Arial" w:hAnsi="Arial" w:cs="Arial"/>
            <w:i w:val="0"/>
            <w:noProof/>
            <w:webHidden/>
          </w:rPr>
          <w:fldChar w:fldCharType="separate"/>
        </w:r>
        <w:r w:rsidR="00A242E0">
          <w:rPr>
            <w:rFonts w:ascii="Arial" w:hAnsi="Arial" w:cs="Arial"/>
            <w:i w:val="0"/>
            <w:noProof/>
            <w:webHidden/>
          </w:rPr>
          <w:t>107</w:t>
        </w:r>
        <w:r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1913" w:history="1">
        <w:r w:rsidR="00323FC5" w:rsidRPr="00DD394E">
          <w:rPr>
            <w:rStyle w:val="Hipervnculo"/>
            <w:rFonts w:ascii="Arial" w:hAnsi="Arial" w:cs="Arial"/>
            <w:b/>
            <w:i w:val="0"/>
            <w:noProof/>
          </w:rPr>
          <w:t>Tabla 3.2</w:t>
        </w:r>
        <w:r w:rsidR="00323FC5" w:rsidRPr="00DD394E">
          <w:rPr>
            <w:rStyle w:val="Hipervnculo"/>
            <w:rFonts w:ascii="Arial" w:hAnsi="Arial" w:cs="Arial"/>
            <w:i w:val="0"/>
            <w:noProof/>
          </w:rPr>
          <w:t xml:space="preserve"> “</w:t>
        </w:r>
        <w:r w:rsidR="00323FC5" w:rsidRPr="00DD394E">
          <w:rPr>
            <w:rFonts w:ascii="Arial" w:hAnsi="Arial" w:cs="Arial"/>
            <w:i w:val="0"/>
          </w:rPr>
          <w:t>Ecuador 2010: Estadísticas Descriptivas de la Edad de los Inmigrantes extranjeros</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_Toc341041913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124</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1914" w:history="1">
        <w:r w:rsidR="00323FC5" w:rsidRPr="00DD394E">
          <w:rPr>
            <w:rStyle w:val="Hipervnculo"/>
            <w:rFonts w:ascii="Arial" w:hAnsi="Arial" w:cs="Arial"/>
            <w:b/>
            <w:i w:val="0"/>
            <w:noProof/>
          </w:rPr>
          <w:t>Tabla 3.3</w:t>
        </w:r>
        <w:r w:rsidR="00323FC5" w:rsidRPr="00DD394E">
          <w:rPr>
            <w:rStyle w:val="Hipervnculo"/>
            <w:rFonts w:ascii="Arial" w:hAnsi="Arial" w:cs="Arial"/>
            <w:i w:val="0"/>
            <w:noProof/>
          </w:rPr>
          <w:t xml:space="preserve"> “</w:t>
        </w:r>
        <w:r w:rsidR="00323FC5" w:rsidRPr="00DD394E">
          <w:rPr>
            <w:rFonts w:ascii="Arial" w:hAnsi="Arial" w:cs="Arial"/>
            <w:i w:val="0"/>
          </w:rPr>
          <w:t>Ecuador 2010: Distribución condicional de los extranjeros que han utilizado Teléfono Celular en los últimos seis meses dado que se conoce el Nivel más alto de Instrucción</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_Toc341041914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141</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1915" w:history="1">
        <w:r w:rsidR="00323FC5" w:rsidRPr="00DD394E">
          <w:rPr>
            <w:rStyle w:val="Hipervnculo"/>
            <w:rFonts w:ascii="Arial" w:hAnsi="Arial" w:cs="Arial"/>
            <w:b/>
            <w:i w:val="0"/>
            <w:noProof/>
          </w:rPr>
          <w:t>Tabla 3.4</w:t>
        </w:r>
        <w:r w:rsidR="00323FC5" w:rsidRPr="00DD394E">
          <w:rPr>
            <w:rStyle w:val="Hipervnculo"/>
            <w:rFonts w:ascii="Arial" w:hAnsi="Arial" w:cs="Arial"/>
            <w:i w:val="0"/>
            <w:noProof/>
          </w:rPr>
          <w:t xml:space="preserve"> “</w:t>
        </w:r>
        <w:r w:rsidR="00323FC5" w:rsidRPr="00DD394E">
          <w:rPr>
            <w:rFonts w:ascii="Arial" w:hAnsi="Arial" w:cs="Arial"/>
            <w:i w:val="0"/>
          </w:rPr>
          <w:t>Ecuador 2010: Distribución condicional de los extranjeros que han utilizado Internet en los últimos seis meses dado que se conoce el Nivel más alto de Instrucción</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_Toc341041915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143</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1916" w:history="1">
        <w:r w:rsidR="00323FC5" w:rsidRPr="00DD394E">
          <w:rPr>
            <w:rStyle w:val="Hipervnculo"/>
            <w:rFonts w:ascii="Arial" w:hAnsi="Arial" w:cs="Arial"/>
            <w:b/>
            <w:i w:val="0"/>
            <w:noProof/>
          </w:rPr>
          <w:t>Tabla 3.5</w:t>
        </w:r>
        <w:r w:rsidR="00323FC5" w:rsidRPr="00DD394E">
          <w:rPr>
            <w:rStyle w:val="Hipervnculo"/>
            <w:rFonts w:ascii="Arial" w:hAnsi="Arial" w:cs="Arial"/>
            <w:i w:val="0"/>
            <w:noProof/>
          </w:rPr>
          <w:t xml:space="preserve"> “</w:t>
        </w:r>
        <w:r w:rsidR="00323FC5" w:rsidRPr="00DD394E">
          <w:rPr>
            <w:rFonts w:ascii="Arial" w:hAnsi="Arial" w:cs="Arial"/>
            <w:i w:val="0"/>
          </w:rPr>
          <w:t>Ecuador 2010: Distribución condicional de los extranjeros que han utilizado Computadora en los últimos seis meses dado que se conoce el Nivel más alto de Instrucción</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_Toc341041916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145</w:t>
        </w:r>
        <w:r w:rsidR="00990535" w:rsidRPr="00DD394E">
          <w:rPr>
            <w:rFonts w:ascii="Arial" w:hAnsi="Arial" w:cs="Arial"/>
            <w:i w:val="0"/>
            <w:noProof/>
            <w:webHidden/>
          </w:rPr>
          <w:fldChar w:fldCharType="end"/>
        </w:r>
      </w:hyperlink>
    </w:p>
    <w:p w:rsidR="00470CE4" w:rsidRPr="00323FC5" w:rsidRDefault="00990535" w:rsidP="00323FC5">
      <w:pPr>
        <w:spacing w:line="360" w:lineRule="auto"/>
        <w:ind w:left="0"/>
        <w:jc w:val="left"/>
        <w:rPr>
          <w:rFonts w:ascii="Arial" w:hAnsi="Arial" w:cs="Arial"/>
          <w:i/>
          <w:sz w:val="20"/>
          <w:szCs w:val="20"/>
        </w:rPr>
      </w:pPr>
      <w:r w:rsidRPr="00323FC5">
        <w:rPr>
          <w:rFonts w:ascii="Arial" w:hAnsi="Arial" w:cs="Arial"/>
          <w:sz w:val="20"/>
          <w:szCs w:val="20"/>
        </w:rPr>
        <w:fldChar w:fldCharType="end"/>
      </w:r>
      <w:r w:rsidR="00323FC5" w:rsidRPr="00323FC5">
        <w:rPr>
          <w:rFonts w:ascii="Arial" w:hAnsi="Arial" w:cs="Arial"/>
          <w:b/>
          <w:sz w:val="20"/>
          <w:szCs w:val="20"/>
        </w:rPr>
        <w:t>4.</w:t>
      </w:r>
      <w:r w:rsidR="00103B23" w:rsidRPr="00323FC5">
        <w:rPr>
          <w:rFonts w:ascii="Arial" w:hAnsi="Arial" w:cs="Arial"/>
          <w:b/>
          <w:sz w:val="20"/>
          <w:szCs w:val="20"/>
        </w:rPr>
        <w:t xml:space="preserve"> INMIGRACIÓN REFERIDA A SUBPOBLACIONES DE LA POBLACIÓN NACIONAL</w:t>
      </w:r>
    </w:p>
    <w:p w:rsidR="00323FC5" w:rsidRPr="00DD394E" w:rsidRDefault="00990535" w:rsidP="00323FC5">
      <w:pPr>
        <w:pStyle w:val="Tabladeilustraciones"/>
        <w:tabs>
          <w:tab w:val="right" w:leader="dot" w:pos="8268"/>
        </w:tabs>
        <w:spacing w:line="360" w:lineRule="auto"/>
        <w:rPr>
          <w:rFonts w:ascii="Arial" w:eastAsiaTheme="minorEastAsia" w:hAnsi="Arial" w:cs="Arial"/>
          <w:i w:val="0"/>
          <w:iCs w:val="0"/>
          <w:noProof/>
          <w:lang w:eastAsia="es-EC"/>
        </w:rPr>
      </w:pPr>
      <w:r w:rsidRPr="00DD394E">
        <w:rPr>
          <w:rFonts w:ascii="Arial" w:hAnsi="Arial" w:cs="Arial"/>
          <w:i w:val="0"/>
        </w:rPr>
        <w:fldChar w:fldCharType="begin"/>
      </w:r>
      <w:r w:rsidR="004865D5" w:rsidRPr="00DD394E">
        <w:rPr>
          <w:rFonts w:ascii="Arial" w:hAnsi="Arial" w:cs="Arial"/>
          <w:i w:val="0"/>
        </w:rPr>
        <w:instrText xml:space="preserve"> TOC \h \z \c "Tabla 4." </w:instrText>
      </w:r>
      <w:r w:rsidRPr="00DD394E">
        <w:rPr>
          <w:rFonts w:ascii="Arial" w:hAnsi="Arial" w:cs="Arial"/>
          <w:i w:val="0"/>
        </w:rPr>
        <w:fldChar w:fldCharType="separate"/>
      </w:r>
      <w:hyperlink w:anchor="_Toc341042055" w:history="1">
        <w:r w:rsidR="00323FC5" w:rsidRPr="00DD394E">
          <w:rPr>
            <w:rStyle w:val="Hipervnculo"/>
            <w:rFonts w:ascii="Arial" w:hAnsi="Arial" w:cs="Arial"/>
            <w:b/>
            <w:i w:val="0"/>
            <w:noProof/>
          </w:rPr>
          <w:t>Tabla 4.1</w:t>
        </w:r>
        <w:r w:rsidR="00323FC5" w:rsidRPr="00DD394E">
          <w:rPr>
            <w:rStyle w:val="Hipervnculo"/>
            <w:rFonts w:ascii="Arial" w:hAnsi="Arial" w:cs="Arial"/>
            <w:i w:val="0"/>
            <w:noProof/>
          </w:rPr>
          <w:t xml:space="preserve"> “</w:t>
        </w:r>
        <w:r w:rsidR="00323FC5" w:rsidRPr="00DD394E">
          <w:rPr>
            <w:rFonts w:ascii="Arial" w:hAnsi="Arial" w:cs="Arial"/>
            <w:i w:val="0"/>
          </w:rPr>
          <w:t>Ecuador 2010: Estadísticas Descriptivas de la Edad de los colombianos residentes en Ecuador</w:t>
        </w:r>
        <w:r w:rsidR="00323FC5" w:rsidRPr="00DD394E">
          <w:rPr>
            <w:rStyle w:val="Hipervnculo"/>
            <w:rFonts w:ascii="Arial" w:hAnsi="Arial" w:cs="Arial"/>
            <w:i w:val="0"/>
            <w:noProof/>
          </w:rPr>
          <w:t>”</w:t>
        </w:r>
        <w:r w:rsidR="00323FC5" w:rsidRPr="00DD394E">
          <w:rPr>
            <w:rFonts w:ascii="Arial" w:hAnsi="Arial" w:cs="Arial"/>
            <w:i w:val="0"/>
            <w:noProof/>
            <w:webHidden/>
          </w:rPr>
          <w:tab/>
        </w:r>
        <w:r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_Toc341042055 \h </w:instrText>
        </w:r>
        <w:r w:rsidRPr="00DD394E">
          <w:rPr>
            <w:rFonts w:ascii="Arial" w:hAnsi="Arial" w:cs="Arial"/>
            <w:i w:val="0"/>
            <w:noProof/>
            <w:webHidden/>
          </w:rPr>
        </w:r>
        <w:r w:rsidRPr="00DD394E">
          <w:rPr>
            <w:rFonts w:ascii="Arial" w:hAnsi="Arial" w:cs="Arial"/>
            <w:i w:val="0"/>
            <w:noProof/>
            <w:webHidden/>
          </w:rPr>
          <w:fldChar w:fldCharType="separate"/>
        </w:r>
        <w:r w:rsidR="00A242E0">
          <w:rPr>
            <w:rFonts w:ascii="Arial" w:hAnsi="Arial" w:cs="Arial"/>
            <w:i w:val="0"/>
            <w:noProof/>
            <w:webHidden/>
          </w:rPr>
          <w:t>175</w:t>
        </w:r>
        <w:r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056" w:history="1">
        <w:r w:rsidR="00323FC5" w:rsidRPr="00DD394E">
          <w:rPr>
            <w:rStyle w:val="Hipervnculo"/>
            <w:rFonts w:ascii="Arial" w:hAnsi="Arial" w:cs="Arial"/>
            <w:b/>
            <w:i w:val="0"/>
            <w:noProof/>
          </w:rPr>
          <w:t>Tabla 4.2</w:t>
        </w:r>
        <w:r w:rsidR="00323FC5" w:rsidRPr="00DD394E">
          <w:rPr>
            <w:rStyle w:val="Hipervnculo"/>
            <w:rFonts w:ascii="Arial" w:hAnsi="Arial" w:cs="Arial"/>
            <w:i w:val="0"/>
            <w:noProof/>
          </w:rPr>
          <w:t xml:space="preserve"> “</w:t>
        </w:r>
        <w:r w:rsidR="00323FC5" w:rsidRPr="00DD394E">
          <w:rPr>
            <w:rFonts w:ascii="Arial" w:hAnsi="Arial" w:cs="Arial"/>
            <w:i w:val="0"/>
          </w:rPr>
          <w:t>Ecuador 2010: Estadísticas Descriptivas de la Edad de los peruanos residentes en Ecuador</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_Toc341042056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211</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057" w:history="1">
        <w:r w:rsidR="00323FC5" w:rsidRPr="00DD394E">
          <w:rPr>
            <w:rStyle w:val="Hipervnculo"/>
            <w:rFonts w:ascii="Arial" w:hAnsi="Arial" w:cs="Arial"/>
            <w:b/>
            <w:i w:val="0"/>
            <w:noProof/>
          </w:rPr>
          <w:t>Tabla 4.3</w:t>
        </w:r>
        <w:r w:rsidR="00323FC5" w:rsidRPr="00DD394E">
          <w:rPr>
            <w:rStyle w:val="Hipervnculo"/>
            <w:rFonts w:ascii="Arial" w:hAnsi="Arial" w:cs="Arial"/>
            <w:i w:val="0"/>
            <w:noProof/>
          </w:rPr>
          <w:t xml:space="preserve"> “</w:t>
        </w:r>
        <w:r w:rsidR="00323FC5" w:rsidRPr="00DD394E">
          <w:rPr>
            <w:rFonts w:ascii="Arial" w:hAnsi="Arial" w:cs="Arial"/>
            <w:i w:val="0"/>
          </w:rPr>
          <w:t>Ecuador 2010: Estadísticas Descriptivas de la Edad de los estadounidenses residentes en Ecuador</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_Toc341042057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244</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058" w:history="1">
        <w:r w:rsidR="00323FC5" w:rsidRPr="00DD394E">
          <w:rPr>
            <w:rStyle w:val="Hipervnculo"/>
            <w:rFonts w:ascii="Arial" w:hAnsi="Arial" w:cs="Arial"/>
            <w:b/>
            <w:i w:val="0"/>
            <w:noProof/>
          </w:rPr>
          <w:t>Tabla 4.4</w:t>
        </w:r>
        <w:r w:rsidR="00323FC5" w:rsidRPr="00DD394E">
          <w:rPr>
            <w:rStyle w:val="Hipervnculo"/>
            <w:rFonts w:ascii="Arial" w:hAnsi="Arial" w:cs="Arial"/>
            <w:i w:val="0"/>
            <w:noProof/>
          </w:rPr>
          <w:t xml:space="preserve"> “</w:t>
        </w:r>
        <w:r w:rsidR="00323FC5" w:rsidRPr="00DD394E">
          <w:rPr>
            <w:rFonts w:ascii="Arial" w:hAnsi="Arial" w:cs="Arial"/>
            <w:i w:val="0"/>
          </w:rPr>
          <w:t>Ecuador 2010: Estadísticas Descriptivas de la Edad de los españoles residentes en Ecuador</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_Toc341042058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277</w:t>
        </w:r>
        <w:r w:rsidR="00990535" w:rsidRPr="00DD394E">
          <w:rPr>
            <w:rFonts w:ascii="Arial" w:hAnsi="Arial" w:cs="Arial"/>
            <w:i w:val="0"/>
            <w:noProof/>
            <w:webHidden/>
          </w:rPr>
          <w:fldChar w:fldCharType="end"/>
        </w:r>
      </w:hyperlink>
    </w:p>
    <w:p w:rsidR="00807CDA" w:rsidRPr="00323FC5" w:rsidRDefault="00990535" w:rsidP="00323FC5">
      <w:pPr>
        <w:spacing w:line="360" w:lineRule="auto"/>
        <w:ind w:left="0"/>
        <w:jc w:val="left"/>
        <w:rPr>
          <w:rFonts w:ascii="Arial" w:hAnsi="Arial" w:cs="Arial"/>
          <w:b/>
          <w:sz w:val="20"/>
          <w:szCs w:val="20"/>
        </w:rPr>
      </w:pPr>
      <w:r w:rsidRPr="00DD394E">
        <w:rPr>
          <w:rFonts w:ascii="Arial" w:hAnsi="Arial" w:cs="Arial"/>
          <w:sz w:val="20"/>
          <w:szCs w:val="20"/>
        </w:rPr>
        <w:fldChar w:fldCharType="end"/>
      </w:r>
      <w:r w:rsidR="00103B23" w:rsidRPr="00323FC5">
        <w:rPr>
          <w:rFonts w:ascii="Arial" w:hAnsi="Arial" w:cs="Arial"/>
          <w:b/>
          <w:sz w:val="20"/>
          <w:szCs w:val="20"/>
        </w:rPr>
        <w:t>5</w:t>
      </w:r>
      <w:r w:rsidR="00323FC5">
        <w:rPr>
          <w:rFonts w:ascii="Arial" w:hAnsi="Arial" w:cs="Arial"/>
          <w:b/>
          <w:sz w:val="20"/>
          <w:szCs w:val="20"/>
        </w:rPr>
        <w:t>.</w:t>
      </w:r>
      <w:r w:rsidR="00103B23" w:rsidRPr="00323FC5">
        <w:rPr>
          <w:rFonts w:ascii="Arial" w:hAnsi="Arial" w:cs="Arial"/>
          <w:b/>
          <w:sz w:val="20"/>
          <w:szCs w:val="20"/>
        </w:rPr>
        <w:t xml:space="preserve"> EMIGRACIÓN INTERNACIONAL</w:t>
      </w:r>
    </w:p>
    <w:p w:rsidR="00323FC5" w:rsidRPr="00DD394E" w:rsidRDefault="00990535" w:rsidP="00323FC5">
      <w:pPr>
        <w:pStyle w:val="Tabladeilustraciones"/>
        <w:tabs>
          <w:tab w:val="right" w:leader="dot" w:pos="8268"/>
        </w:tabs>
        <w:spacing w:line="360" w:lineRule="auto"/>
        <w:rPr>
          <w:rFonts w:ascii="Arial" w:eastAsiaTheme="minorEastAsia" w:hAnsi="Arial" w:cs="Arial"/>
          <w:i w:val="0"/>
          <w:iCs w:val="0"/>
          <w:noProof/>
          <w:lang w:eastAsia="es-EC"/>
        </w:rPr>
      </w:pPr>
      <w:r w:rsidRPr="00DD394E">
        <w:rPr>
          <w:rFonts w:ascii="Arial" w:hAnsi="Arial" w:cs="Arial"/>
          <w:i w:val="0"/>
        </w:rPr>
        <w:fldChar w:fldCharType="begin"/>
      </w:r>
      <w:r w:rsidR="00807CDA" w:rsidRPr="00DD394E">
        <w:rPr>
          <w:rFonts w:ascii="Arial" w:hAnsi="Arial" w:cs="Arial"/>
          <w:i w:val="0"/>
        </w:rPr>
        <w:instrText xml:space="preserve"> TOC \h \z \c "Tabla 5." </w:instrText>
      </w:r>
      <w:r w:rsidRPr="00DD394E">
        <w:rPr>
          <w:rFonts w:ascii="Arial" w:hAnsi="Arial" w:cs="Arial"/>
          <w:i w:val="0"/>
        </w:rPr>
        <w:fldChar w:fldCharType="separate"/>
      </w:r>
      <w:hyperlink w:anchor="_Toc341042147" w:history="1">
        <w:r w:rsidR="00323FC5" w:rsidRPr="00DD394E">
          <w:rPr>
            <w:rStyle w:val="Hipervnculo"/>
            <w:rFonts w:ascii="Arial" w:hAnsi="Arial" w:cs="Arial"/>
            <w:b/>
            <w:i w:val="0"/>
            <w:noProof/>
          </w:rPr>
          <w:t>Tabla 5.1</w:t>
        </w:r>
        <w:r w:rsidR="00323FC5" w:rsidRPr="00DD394E">
          <w:rPr>
            <w:rStyle w:val="Hipervnculo"/>
            <w:rFonts w:ascii="Arial" w:hAnsi="Arial" w:cs="Arial"/>
            <w:i w:val="0"/>
            <w:noProof/>
          </w:rPr>
          <w:t xml:space="preserve"> “</w:t>
        </w:r>
        <w:r w:rsidR="00323FC5" w:rsidRPr="00DD394E">
          <w:rPr>
            <w:rFonts w:ascii="Arial" w:hAnsi="Arial" w:cs="Arial"/>
            <w:i w:val="0"/>
          </w:rPr>
          <w:t>Ecuador 2010: Estadísticas Descriptivas de la Edad al salir del país de los Emigrantes</w:t>
        </w:r>
        <w:r w:rsidR="00323FC5" w:rsidRPr="00DD394E">
          <w:rPr>
            <w:rStyle w:val="Hipervnculo"/>
            <w:rFonts w:ascii="Arial" w:hAnsi="Arial" w:cs="Arial"/>
            <w:i w:val="0"/>
            <w:noProof/>
          </w:rPr>
          <w:t>”</w:t>
        </w:r>
        <w:r w:rsidR="00323FC5" w:rsidRPr="00DD394E">
          <w:rPr>
            <w:rFonts w:ascii="Arial" w:hAnsi="Arial" w:cs="Arial"/>
            <w:i w:val="0"/>
            <w:noProof/>
            <w:webHidden/>
          </w:rPr>
          <w:tab/>
        </w:r>
        <w:r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_Toc341042147 \h </w:instrText>
        </w:r>
        <w:r w:rsidRPr="00DD394E">
          <w:rPr>
            <w:rFonts w:ascii="Arial" w:hAnsi="Arial" w:cs="Arial"/>
            <w:i w:val="0"/>
            <w:noProof/>
            <w:webHidden/>
          </w:rPr>
        </w:r>
        <w:r w:rsidRPr="00DD394E">
          <w:rPr>
            <w:rFonts w:ascii="Arial" w:hAnsi="Arial" w:cs="Arial"/>
            <w:i w:val="0"/>
            <w:noProof/>
            <w:webHidden/>
          </w:rPr>
          <w:fldChar w:fldCharType="separate"/>
        </w:r>
        <w:r w:rsidR="00A242E0">
          <w:rPr>
            <w:rFonts w:ascii="Arial" w:hAnsi="Arial" w:cs="Arial"/>
            <w:i w:val="0"/>
            <w:noProof/>
            <w:webHidden/>
          </w:rPr>
          <w:t>304</w:t>
        </w:r>
        <w:r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148" w:history="1">
        <w:r w:rsidR="00323FC5" w:rsidRPr="00DD394E">
          <w:rPr>
            <w:rStyle w:val="Hipervnculo"/>
            <w:rFonts w:ascii="Arial" w:hAnsi="Arial" w:cs="Arial"/>
            <w:b/>
            <w:i w:val="0"/>
            <w:noProof/>
          </w:rPr>
          <w:t>Tabla 5.2</w:t>
        </w:r>
        <w:r w:rsidR="00323FC5" w:rsidRPr="00DD394E">
          <w:rPr>
            <w:rStyle w:val="Hipervnculo"/>
            <w:rFonts w:ascii="Arial" w:hAnsi="Arial" w:cs="Arial"/>
            <w:i w:val="0"/>
            <w:noProof/>
          </w:rPr>
          <w:t xml:space="preserve"> “</w:t>
        </w:r>
        <w:r w:rsidR="00323FC5" w:rsidRPr="00DD394E">
          <w:rPr>
            <w:rFonts w:ascii="Arial" w:hAnsi="Arial" w:cs="Arial"/>
            <w:i w:val="0"/>
          </w:rPr>
          <w:t>Ecuador 2010: Estadísticas Descriptivas de la Edad al salir del país de los emigrantes que viajaron por trabajo</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_Toc341042148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320</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149" w:history="1">
        <w:r w:rsidR="00323FC5" w:rsidRPr="00DD394E">
          <w:rPr>
            <w:rStyle w:val="Hipervnculo"/>
            <w:rFonts w:ascii="Arial" w:hAnsi="Arial" w:cs="Arial"/>
            <w:b/>
            <w:i w:val="0"/>
            <w:noProof/>
          </w:rPr>
          <w:t>Tabla 5.3</w:t>
        </w:r>
        <w:r w:rsidR="00323FC5" w:rsidRPr="00DD394E">
          <w:rPr>
            <w:rStyle w:val="Hipervnculo"/>
            <w:rFonts w:ascii="Arial" w:hAnsi="Arial" w:cs="Arial"/>
            <w:i w:val="0"/>
            <w:noProof/>
          </w:rPr>
          <w:t xml:space="preserve"> “Ecuador 2010: Estadísticas Descriptivas de la Edad al salir del país de los emigrantes que viajaron por unión familiar”</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_Toc341042149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328</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150" w:history="1">
        <w:r w:rsidR="00323FC5" w:rsidRPr="00DD394E">
          <w:rPr>
            <w:rStyle w:val="Hipervnculo"/>
            <w:rFonts w:ascii="Arial" w:hAnsi="Arial" w:cs="Arial"/>
            <w:b/>
            <w:i w:val="0"/>
            <w:noProof/>
          </w:rPr>
          <w:t>Tabla 5.4</w:t>
        </w:r>
        <w:r w:rsidR="00323FC5" w:rsidRPr="00DD394E">
          <w:rPr>
            <w:rStyle w:val="Hipervnculo"/>
            <w:rFonts w:ascii="Arial" w:hAnsi="Arial" w:cs="Arial"/>
            <w:i w:val="0"/>
            <w:noProof/>
          </w:rPr>
          <w:t xml:space="preserve"> “</w:t>
        </w:r>
        <w:r w:rsidR="00323FC5" w:rsidRPr="00DD394E">
          <w:rPr>
            <w:rFonts w:ascii="Arial" w:hAnsi="Arial" w:cs="Arial"/>
            <w:i w:val="0"/>
          </w:rPr>
          <w:t>Ecuador 2010: Estadísticas Descriptivas de la Edad al salir del país de los emigrantes que viajaron para estudiar</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_Toc341042150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337</w:t>
        </w:r>
        <w:r w:rsidR="00990535" w:rsidRPr="00DD394E">
          <w:rPr>
            <w:rFonts w:ascii="Arial" w:hAnsi="Arial" w:cs="Arial"/>
            <w:i w:val="0"/>
            <w:noProof/>
            <w:webHidden/>
          </w:rPr>
          <w:fldChar w:fldCharType="end"/>
        </w:r>
      </w:hyperlink>
    </w:p>
    <w:p w:rsidR="00323FC5" w:rsidRPr="00DD394E" w:rsidRDefault="00990535" w:rsidP="00323FC5">
      <w:pPr>
        <w:spacing w:line="360" w:lineRule="auto"/>
        <w:ind w:left="0"/>
        <w:jc w:val="left"/>
        <w:rPr>
          <w:noProof/>
          <w:sz w:val="20"/>
          <w:szCs w:val="20"/>
        </w:rPr>
      </w:pPr>
      <w:r w:rsidRPr="00DD394E">
        <w:rPr>
          <w:rFonts w:ascii="Arial" w:hAnsi="Arial" w:cs="Arial"/>
          <w:sz w:val="20"/>
          <w:szCs w:val="20"/>
        </w:rPr>
        <w:fldChar w:fldCharType="end"/>
      </w:r>
      <w:r w:rsidR="00103B23" w:rsidRPr="00323FC5">
        <w:rPr>
          <w:rFonts w:ascii="Arial" w:hAnsi="Arial" w:cs="Arial"/>
          <w:b/>
          <w:sz w:val="20"/>
          <w:szCs w:val="20"/>
        </w:rPr>
        <w:t>6</w:t>
      </w:r>
      <w:r w:rsidR="00323FC5">
        <w:rPr>
          <w:rFonts w:ascii="Arial" w:hAnsi="Arial" w:cs="Arial"/>
          <w:b/>
          <w:sz w:val="20"/>
          <w:szCs w:val="20"/>
        </w:rPr>
        <w:t>.</w:t>
      </w:r>
      <w:r w:rsidR="00103B23" w:rsidRPr="00323FC5">
        <w:rPr>
          <w:rFonts w:ascii="Arial" w:hAnsi="Arial" w:cs="Arial"/>
          <w:b/>
          <w:sz w:val="20"/>
          <w:szCs w:val="20"/>
        </w:rPr>
        <w:t xml:space="preserve"> ANÁLISIS MULTIVARIADO: APLICACIÓN DEL MODELO LOGIT</w:t>
      </w:r>
      <w:r w:rsidRPr="00DD394E">
        <w:rPr>
          <w:rFonts w:ascii="Arial" w:hAnsi="Arial" w:cs="Arial"/>
          <w:sz w:val="20"/>
          <w:szCs w:val="20"/>
        </w:rPr>
        <w:fldChar w:fldCharType="begin"/>
      </w:r>
      <w:r w:rsidR="00807CDA" w:rsidRPr="00DD394E">
        <w:rPr>
          <w:rFonts w:ascii="Arial" w:hAnsi="Arial" w:cs="Arial"/>
          <w:sz w:val="20"/>
          <w:szCs w:val="20"/>
        </w:rPr>
        <w:instrText xml:space="preserve"> TOC \h \z \c "Tabla 6." </w:instrText>
      </w:r>
      <w:r w:rsidRPr="00DD394E">
        <w:rPr>
          <w:rFonts w:ascii="Arial" w:hAnsi="Arial" w:cs="Arial"/>
          <w:sz w:val="20"/>
          <w:szCs w:val="20"/>
        </w:rPr>
        <w:fldChar w:fldCharType="separate"/>
      </w:r>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347" w:history="1">
        <w:r w:rsidR="00323FC5" w:rsidRPr="00DD394E">
          <w:rPr>
            <w:rStyle w:val="Hipervnculo"/>
            <w:rFonts w:ascii="Arial" w:hAnsi="Arial" w:cs="Arial"/>
            <w:b/>
            <w:i w:val="0"/>
            <w:noProof/>
          </w:rPr>
          <w:t>Tabla 6.1</w:t>
        </w:r>
        <w:r w:rsidR="00323FC5" w:rsidRPr="00DD394E">
          <w:rPr>
            <w:rStyle w:val="Hipervnculo"/>
            <w:rFonts w:ascii="Arial" w:hAnsi="Arial" w:cs="Arial"/>
            <w:i w:val="0"/>
            <w:noProof/>
          </w:rPr>
          <w:t xml:space="preserve"> “</w:t>
        </w:r>
        <w:r w:rsidR="00323FC5" w:rsidRPr="00DD394E">
          <w:rPr>
            <w:rFonts w:ascii="Arial" w:hAnsi="Arial" w:cs="Arial"/>
            <w:i w:val="0"/>
          </w:rPr>
          <w:t>Guayaquil 2010: Selección de una muestra de la población ecuatoriana residente en Guayaquil utilizando muestreo aleatorio estratificado con afijación proporcional</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_Toc341042347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347</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348" w:history="1">
        <w:r w:rsidR="00323FC5" w:rsidRPr="00DD394E">
          <w:rPr>
            <w:rStyle w:val="Hipervnculo"/>
            <w:rFonts w:ascii="Arial" w:hAnsi="Arial" w:cs="Arial"/>
            <w:b/>
            <w:i w:val="0"/>
            <w:noProof/>
          </w:rPr>
          <w:t>Tabla 6.2</w:t>
        </w:r>
        <w:r w:rsidR="00323FC5" w:rsidRPr="00DD394E">
          <w:rPr>
            <w:rStyle w:val="Hipervnculo"/>
            <w:rFonts w:ascii="Arial" w:hAnsi="Arial" w:cs="Arial"/>
            <w:i w:val="0"/>
            <w:noProof/>
          </w:rPr>
          <w:t xml:space="preserve"> “</w:t>
        </w:r>
        <w:r w:rsidR="00323FC5" w:rsidRPr="00DD394E">
          <w:rPr>
            <w:rFonts w:ascii="Arial" w:hAnsi="Arial" w:cs="Arial"/>
            <w:i w:val="0"/>
          </w:rPr>
          <w:t>Guayaquil 2010: Estimadores de los parámetros del modelo completo de la migración hacia Guayaquil (y = 1 = Inmigrante; y =  0 = Nativo)</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_Toc341042348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350</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349" w:history="1">
        <w:r w:rsidR="00323FC5" w:rsidRPr="00DD394E">
          <w:rPr>
            <w:rStyle w:val="Hipervnculo"/>
            <w:rFonts w:ascii="Arial" w:hAnsi="Arial" w:cs="Arial"/>
            <w:b/>
            <w:i w:val="0"/>
            <w:noProof/>
          </w:rPr>
          <w:t>Tabla 6.3</w:t>
        </w:r>
        <w:r w:rsidR="00323FC5" w:rsidRPr="00DD394E">
          <w:rPr>
            <w:rStyle w:val="Hipervnculo"/>
            <w:rFonts w:ascii="Arial" w:hAnsi="Arial" w:cs="Arial"/>
            <w:i w:val="0"/>
            <w:noProof/>
          </w:rPr>
          <w:t xml:space="preserve"> “</w:t>
        </w:r>
        <w:r w:rsidR="00323FC5" w:rsidRPr="00DD394E">
          <w:rPr>
            <w:rFonts w:ascii="Arial" w:hAnsi="Arial" w:cs="Arial"/>
            <w:i w:val="0"/>
          </w:rPr>
          <w:t>Guayaquil 2010: Tabla de Clasificación de los inmigrantes y nativos residentes en Guayaquil (y = 1 = Inmigrante; y =  0 = Nativo)</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_Toc341042349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351</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350" w:history="1">
        <w:r w:rsidR="00323FC5" w:rsidRPr="00DD394E">
          <w:rPr>
            <w:rStyle w:val="Hipervnculo"/>
            <w:rFonts w:ascii="Arial" w:hAnsi="Arial" w:cs="Arial"/>
            <w:b/>
            <w:i w:val="0"/>
            <w:noProof/>
          </w:rPr>
          <w:t>Tabla 6.4</w:t>
        </w:r>
        <w:r w:rsidR="00323FC5" w:rsidRPr="00DD394E">
          <w:rPr>
            <w:rStyle w:val="Hipervnculo"/>
            <w:rFonts w:ascii="Arial" w:hAnsi="Arial" w:cs="Arial"/>
            <w:i w:val="0"/>
            <w:noProof/>
          </w:rPr>
          <w:t xml:space="preserve"> “</w:t>
        </w:r>
        <w:r w:rsidR="00323FC5" w:rsidRPr="00DD394E">
          <w:rPr>
            <w:rFonts w:ascii="Arial" w:hAnsi="Arial" w:cs="Arial"/>
            <w:i w:val="0"/>
          </w:rPr>
          <w:t>Guayaquil 2010: Odds Ratio del modelo completo de la migración hacia Guayaquil (y = 1 = Inmigrante; y =  0 = Nativo)</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_Toc341042350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352</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351" w:history="1">
        <w:r w:rsidR="00323FC5" w:rsidRPr="00DD394E">
          <w:rPr>
            <w:rStyle w:val="Hipervnculo"/>
            <w:rFonts w:ascii="Arial" w:hAnsi="Arial" w:cs="Arial"/>
            <w:b/>
            <w:i w:val="0"/>
            <w:noProof/>
          </w:rPr>
          <w:t>Tabla 6.5</w:t>
        </w:r>
        <w:r w:rsidR="00323FC5" w:rsidRPr="00DD394E">
          <w:rPr>
            <w:rStyle w:val="Hipervnculo"/>
            <w:rFonts w:ascii="Arial" w:hAnsi="Arial" w:cs="Arial"/>
            <w:i w:val="0"/>
            <w:noProof/>
          </w:rPr>
          <w:t xml:space="preserve"> “</w:t>
        </w:r>
        <w:r w:rsidR="00323FC5" w:rsidRPr="00DD394E">
          <w:rPr>
            <w:rFonts w:ascii="Arial" w:hAnsi="Arial" w:cs="Arial"/>
            <w:i w:val="0"/>
          </w:rPr>
          <w:t>Guayaquil 2010: Prueba de la razón de la verosimilitud (desvianza)</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_Toc341042351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353</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352" w:history="1">
        <w:r w:rsidR="00323FC5" w:rsidRPr="00DD394E">
          <w:rPr>
            <w:rStyle w:val="Hipervnculo"/>
            <w:rFonts w:ascii="Arial" w:hAnsi="Arial" w:cs="Arial"/>
            <w:b/>
            <w:i w:val="0"/>
            <w:noProof/>
          </w:rPr>
          <w:t>Tabla 6.6</w:t>
        </w:r>
        <w:r w:rsidR="00323FC5" w:rsidRPr="00DD394E">
          <w:rPr>
            <w:rStyle w:val="Hipervnculo"/>
            <w:rFonts w:ascii="Arial" w:hAnsi="Arial" w:cs="Arial"/>
            <w:i w:val="0"/>
            <w:noProof/>
          </w:rPr>
          <w:t xml:space="preserve"> “</w:t>
        </w:r>
        <w:r w:rsidR="00323FC5" w:rsidRPr="00DD394E">
          <w:rPr>
            <w:rFonts w:ascii="Arial" w:hAnsi="Arial" w:cs="Arial"/>
            <w:i w:val="0"/>
          </w:rPr>
          <w:t>Guayaquil 2010: Estimadores de los parámetros del modelo reducido de la migración hacia Guayaquil (y = 1 = Inmigrante; y =  0 = Nativo)</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_Toc341042352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354</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353" w:history="1">
        <w:r w:rsidR="00323FC5" w:rsidRPr="00DD394E">
          <w:rPr>
            <w:rStyle w:val="Hipervnculo"/>
            <w:rFonts w:ascii="Arial" w:hAnsi="Arial" w:cs="Arial"/>
            <w:b/>
            <w:i w:val="0"/>
            <w:noProof/>
          </w:rPr>
          <w:t>Tabla 6.7</w:t>
        </w:r>
        <w:r w:rsidR="00323FC5" w:rsidRPr="00DD394E">
          <w:rPr>
            <w:rStyle w:val="Hipervnculo"/>
            <w:rFonts w:ascii="Arial" w:hAnsi="Arial" w:cs="Arial"/>
            <w:i w:val="0"/>
            <w:noProof/>
          </w:rPr>
          <w:t xml:space="preserve"> “</w:t>
        </w:r>
        <w:r w:rsidR="00323FC5" w:rsidRPr="00DD394E">
          <w:rPr>
            <w:rFonts w:ascii="Arial" w:hAnsi="Arial" w:cs="Arial"/>
            <w:i w:val="0"/>
          </w:rPr>
          <w:t>Guayaquil 2010: Tabla de Clasificación de los inmigrantes y nativos residentes en Guayaquil  (y = 1 = Inmigrante; y =  0 = Nativo)</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_Toc341042353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355</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354" w:history="1">
        <w:r w:rsidR="00323FC5" w:rsidRPr="00DD394E">
          <w:rPr>
            <w:rStyle w:val="Hipervnculo"/>
            <w:rFonts w:ascii="Arial" w:hAnsi="Arial" w:cs="Arial"/>
            <w:b/>
            <w:i w:val="0"/>
            <w:noProof/>
          </w:rPr>
          <w:t>Tabla 6.8</w:t>
        </w:r>
        <w:r w:rsidR="00323FC5" w:rsidRPr="00DD394E">
          <w:rPr>
            <w:rStyle w:val="Hipervnculo"/>
            <w:rFonts w:ascii="Arial" w:hAnsi="Arial" w:cs="Arial"/>
            <w:i w:val="0"/>
            <w:noProof/>
          </w:rPr>
          <w:t xml:space="preserve"> “</w:t>
        </w:r>
        <w:r w:rsidR="00323FC5" w:rsidRPr="00DD394E">
          <w:rPr>
            <w:rFonts w:ascii="Arial" w:hAnsi="Arial" w:cs="Arial"/>
            <w:i w:val="0"/>
          </w:rPr>
          <w:t>Ecuador 2010: Estimadores de los parámetros del modelo completo del Nivel de instrucción de los estadounidenses (y = 1 = Universitario; y =  0 = No Universitario)</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_Toc341042354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358</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355" w:history="1">
        <w:r w:rsidR="00323FC5" w:rsidRPr="00DD394E">
          <w:rPr>
            <w:rStyle w:val="Hipervnculo"/>
            <w:rFonts w:ascii="Arial" w:hAnsi="Arial" w:cs="Arial"/>
            <w:b/>
            <w:i w:val="0"/>
            <w:noProof/>
          </w:rPr>
          <w:t>Tabla 6.9</w:t>
        </w:r>
        <w:r w:rsidR="00323FC5" w:rsidRPr="00DD394E">
          <w:rPr>
            <w:rStyle w:val="Hipervnculo"/>
            <w:rFonts w:ascii="Arial" w:hAnsi="Arial" w:cs="Arial"/>
            <w:i w:val="0"/>
            <w:noProof/>
          </w:rPr>
          <w:t xml:space="preserve"> “</w:t>
        </w:r>
        <w:r w:rsidR="00323FC5" w:rsidRPr="00DD394E">
          <w:rPr>
            <w:rFonts w:ascii="Arial" w:hAnsi="Arial" w:cs="Arial"/>
            <w:i w:val="0"/>
          </w:rPr>
          <w:t>Ecuador 2010: Tabla de Clasificación del Nivel de instrucción de los estadounidenses (y = 1 = Universitario; y =  0 = No Universitario)</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_Toc341042355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359</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356" w:history="1">
        <w:r w:rsidR="00323FC5" w:rsidRPr="00DD394E">
          <w:rPr>
            <w:rStyle w:val="Hipervnculo"/>
            <w:rFonts w:ascii="Arial" w:hAnsi="Arial" w:cs="Arial"/>
            <w:b/>
            <w:i w:val="0"/>
            <w:noProof/>
          </w:rPr>
          <w:t>Tabla 6.10</w:t>
        </w:r>
        <w:r w:rsidR="00323FC5" w:rsidRPr="00DD394E">
          <w:rPr>
            <w:rStyle w:val="Hipervnculo"/>
            <w:rFonts w:ascii="Arial" w:hAnsi="Arial" w:cs="Arial"/>
            <w:i w:val="0"/>
            <w:noProof/>
          </w:rPr>
          <w:t xml:space="preserve"> “</w:t>
        </w:r>
        <w:r w:rsidR="00323FC5" w:rsidRPr="00DD394E">
          <w:rPr>
            <w:rFonts w:ascii="Arial" w:hAnsi="Arial" w:cs="Arial"/>
            <w:i w:val="0"/>
          </w:rPr>
          <w:t>Ecuador 2010: Prueba de la razón de la verosimilitud (desvianza)</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_Toc341042356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360</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357" w:history="1">
        <w:r w:rsidR="00323FC5" w:rsidRPr="00DD394E">
          <w:rPr>
            <w:rStyle w:val="Hipervnculo"/>
            <w:rFonts w:ascii="Arial" w:hAnsi="Arial" w:cs="Arial"/>
            <w:b/>
            <w:i w:val="0"/>
            <w:noProof/>
          </w:rPr>
          <w:t>Tabla 6.11</w:t>
        </w:r>
        <w:r w:rsidR="00323FC5" w:rsidRPr="00DD394E">
          <w:rPr>
            <w:rStyle w:val="Hipervnculo"/>
            <w:rFonts w:ascii="Arial" w:hAnsi="Arial" w:cs="Arial"/>
            <w:i w:val="0"/>
            <w:noProof/>
          </w:rPr>
          <w:t xml:space="preserve"> “</w:t>
        </w:r>
        <w:r w:rsidR="00323FC5" w:rsidRPr="00DD394E">
          <w:rPr>
            <w:rFonts w:ascii="Arial" w:hAnsi="Arial" w:cs="Arial"/>
            <w:i w:val="0"/>
          </w:rPr>
          <w:t>Ecuador 2010: Estimadores de los parámetros del modelo reducido del Nivel de instrucción de los estadounidenses (y = 1 = Universitario; y =  0 = No Universitario)</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_Toc341042357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361</w:t>
        </w:r>
        <w:r w:rsidR="00990535" w:rsidRPr="00DD394E">
          <w:rPr>
            <w:rFonts w:ascii="Arial" w:hAnsi="Arial" w:cs="Arial"/>
            <w:i w:val="0"/>
            <w:noProof/>
            <w:webHidden/>
          </w:rPr>
          <w:fldChar w:fldCharType="end"/>
        </w:r>
      </w:hyperlink>
    </w:p>
    <w:p w:rsidR="00323FC5" w:rsidRPr="00DD394E" w:rsidRDefault="00436907" w:rsidP="00323FC5">
      <w:pPr>
        <w:pStyle w:val="Tabladeilustraciones"/>
        <w:tabs>
          <w:tab w:val="right" w:leader="dot" w:pos="8268"/>
        </w:tabs>
        <w:spacing w:line="360" w:lineRule="auto"/>
        <w:rPr>
          <w:rFonts w:ascii="Arial" w:eastAsiaTheme="minorEastAsia" w:hAnsi="Arial" w:cs="Arial"/>
          <w:i w:val="0"/>
          <w:iCs w:val="0"/>
          <w:noProof/>
          <w:lang w:eastAsia="es-EC"/>
        </w:rPr>
      </w:pPr>
      <w:hyperlink w:anchor="_Toc341042358" w:history="1">
        <w:r w:rsidR="00323FC5" w:rsidRPr="00DD394E">
          <w:rPr>
            <w:rStyle w:val="Hipervnculo"/>
            <w:rFonts w:ascii="Arial" w:hAnsi="Arial" w:cs="Arial"/>
            <w:b/>
            <w:i w:val="0"/>
            <w:noProof/>
          </w:rPr>
          <w:t>Tabla 6.12</w:t>
        </w:r>
        <w:r w:rsidR="00323FC5" w:rsidRPr="00DD394E">
          <w:rPr>
            <w:rStyle w:val="Hipervnculo"/>
            <w:rFonts w:ascii="Arial" w:hAnsi="Arial" w:cs="Arial"/>
            <w:i w:val="0"/>
            <w:noProof/>
          </w:rPr>
          <w:t xml:space="preserve"> “</w:t>
        </w:r>
        <w:r w:rsidR="00323FC5" w:rsidRPr="00DD394E">
          <w:rPr>
            <w:rFonts w:ascii="Arial" w:hAnsi="Arial" w:cs="Arial"/>
            <w:i w:val="0"/>
          </w:rPr>
          <w:t>Ecuador 2010: Tabla de Clasificación del Nivel de instrucción de los estadounidenses (y = 1 = Universitario; y =  0 = No Universitario)</w:t>
        </w:r>
        <w:r w:rsidR="00323FC5" w:rsidRPr="00DD394E">
          <w:rPr>
            <w:rStyle w:val="Hipervnculo"/>
            <w:rFonts w:ascii="Arial" w:hAnsi="Arial" w:cs="Arial"/>
            <w:i w:val="0"/>
            <w:noProof/>
          </w:rPr>
          <w:t>”</w:t>
        </w:r>
        <w:r w:rsidR="00323FC5" w:rsidRPr="00DD394E">
          <w:rPr>
            <w:rFonts w:ascii="Arial" w:hAnsi="Arial" w:cs="Arial"/>
            <w:i w:val="0"/>
            <w:noProof/>
            <w:webHidden/>
          </w:rPr>
          <w:tab/>
        </w:r>
        <w:r w:rsidR="00990535" w:rsidRPr="00DD394E">
          <w:rPr>
            <w:rFonts w:ascii="Arial" w:hAnsi="Arial" w:cs="Arial"/>
            <w:i w:val="0"/>
            <w:noProof/>
            <w:webHidden/>
          </w:rPr>
          <w:fldChar w:fldCharType="begin"/>
        </w:r>
        <w:r w:rsidR="00323FC5" w:rsidRPr="00DD394E">
          <w:rPr>
            <w:rFonts w:ascii="Arial" w:hAnsi="Arial" w:cs="Arial"/>
            <w:i w:val="0"/>
            <w:noProof/>
            <w:webHidden/>
          </w:rPr>
          <w:instrText xml:space="preserve"> PAGEREF _Toc341042358 \h </w:instrText>
        </w:r>
        <w:r w:rsidR="00990535" w:rsidRPr="00DD394E">
          <w:rPr>
            <w:rFonts w:ascii="Arial" w:hAnsi="Arial" w:cs="Arial"/>
            <w:i w:val="0"/>
            <w:noProof/>
            <w:webHidden/>
          </w:rPr>
        </w:r>
        <w:r w:rsidR="00990535" w:rsidRPr="00DD394E">
          <w:rPr>
            <w:rFonts w:ascii="Arial" w:hAnsi="Arial" w:cs="Arial"/>
            <w:i w:val="0"/>
            <w:noProof/>
            <w:webHidden/>
          </w:rPr>
          <w:fldChar w:fldCharType="separate"/>
        </w:r>
        <w:r w:rsidR="00A242E0">
          <w:rPr>
            <w:rFonts w:ascii="Arial" w:hAnsi="Arial" w:cs="Arial"/>
            <w:i w:val="0"/>
            <w:noProof/>
            <w:webHidden/>
          </w:rPr>
          <w:t>362</w:t>
        </w:r>
        <w:r w:rsidR="00990535" w:rsidRPr="00DD394E">
          <w:rPr>
            <w:rFonts w:ascii="Arial" w:hAnsi="Arial" w:cs="Arial"/>
            <w:i w:val="0"/>
            <w:noProof/>
            <w:webHidden/>
          </w:rPr>
          <w:fldChar w:fldCharType="end"/>
        </w:r>
      </w:hyperlink>
    </w:p>
    <w:p w:rsidR="00807CDA" w:rsidRDefault="00990535" w:rsidP="00323FC5">
      <w:pPr>
        <w:tabs>
          <w:tab w:val="left" w:pos="2250"/>
        </w:tabs>
        <w:spacing w:line="360" w:lineRule="auto"/>
        <w:ind w:left="0"/>
        <w:jc w:val="both"/>
        <w:rPr>
          <w:rFonts w:ascii="Arial" w:hAnsi="Arial" w:cs="Arial"/>
        </w:rPr>
      </w:pPr>
      <w:r w:rsidRPr="00DD394E">
        <w:rPr>
          <w:rFonts w:ascii="Arial" w:hAnsi="Arial" w:cs="Arial"/>
          <w:sz w:val="20"/>
          <w:szCs w:val="20"/>
        </w:rPr>
        <w:fldChar w:fldCharType="end"/>
      </w:r>
    </w:p>
    <w:p w:rsidR="00807CDA" w:rsidRPr="00807CDA" w:rsidRDefault="00807CDA" w:rsidP="00807CDA">
      <w:pPr>
        <w:rPr>
          <w:rFonts w:ascii="Arial" w:hAnsi="Arial" w:cs="Arial"/>
        </w:rPr>
        <w:sectPr w:rsidR="00807CDA" w:rsidRPr="00807CDA" w:rsidSect="00B842A2">
          <w:pgSz w:w="11907" w:h="16839" w:code="9"/>
          <w:pgMar w:top="2268" w:right="1361" w:bottom="2268" w:left="2268" w:header="708" w:footer="708" w:gutter="0"/>
          <w:pgNumType w:start="1"/>
          <w:cols w:space="708"/>
          <w:docGrid w:linePitch="360"/>
        </w:sectPr>
      </w:pPr>
    </w:p>
    <w:p w:rsidR="00AF3D2F" w:rsidRPr="00FE7FBC" w:rsidRDefault="00AF3D2F" w:rsidP="00852750">
      <w:pPr>
        <w:pStyle w:val="Indice1"/>
        <w:rPr>
          <w:sz w:val="32"/>
          <w:szCs w:val="32"/>
        </w:rPr>
      </w:pPr>
      <w:bookmarkStart w:id="18" w:name="_Toc341040582"/>
      <w:bookmarkStart w:id="19" w:name="_GoBack"/>
      <w:bookmarkEnd w:id="19"/>
      <w:r w:rsidRPr="00FE7FBC">
        <w:rPr>
          <w:sz w:val="32"/>
          <w:szCs w:val="32"/>
        </w:rPr>
        <w:lastRenderedPageBreak/>
        <w:t>INTRODUCCIÓN</w:t>
      </w:r>
      <w:bookmarkEnd w:id="18"/>
    </w:p>
    <w:p w:rsidR="00AF3D2F" w:rsidRDefault="00AF3D2F" w:rsidP="00470CE4">
      <w:pPr>
        <w:spacing w:line="480" w:lineRule="auto"/>
        <w:rPr>
          <w:rFonts w:ascii="Arial" w:hAnsi="Arial" w:cs="Arial"/>
        </w:rPr>
      </w:pPr>
    </w:p>
    <w:p w:rsidR="00043FA6" w:rsidRDefault="00AA43A9" w:rsidP="00F226D6">
      <w:pPr>
        <w:spacing w:line="480" w:lineRule="auto"/>
        <w:jc w:val="both"/>
        <w:rPr>
          <w:rFonts w:ascii="Arial" w:hAnsi="Arial" w:cs="Arial"/>
        </w:rPr>
      </w:pPr>
      <w:r>
        <w:rPr>
          <w:rFonts w:ascii="Arial" w:hAnsi="Arial" w:cs="Arial"/>
        </w:rPr>
        <w:t xml:space="preserve">El Ecuador es un país que no solamente expulsa población hacia el exterior, o desde las áreas </w:t>
      </w:r>
      <w:r w:rsidR="007E49BA">
        <w:rPr>
          <w:rFonts w:ascii="Arial" w:hAnsi="Arial" w:cs="Arial"/>
        </w:rPr>
        <w:t>rurales</w:t>
      </w:r>
      <w:r>
        <w:rPr>
          <w:rFonts w:ascii="Arial" w:hAnsi="Arial" w:cs="Arial"/>
        </w:rPr>
        <w:t xml:space="preserve"> hacia las </w:t>
      </w:r>
      <w:r w:rsidR="007E49BA">
        <w:rPr>
          <w:rFonts w:ascii="Arial" w:hAnsi="Arial" w:cs="Arial"/>
        </w:rPr>
        <w:t>áreas urbanas</w:t>
      </w:r>
      <w:r>
        <w:rPr>
          <w:rFonts w:ascii="Arial" w:hAnsi="Arial" w:cs="Arial"/>
        </w:rPr>
        <w:t>, sino que también atrae población desde el exterior, por tanto l</w:t>
      </w:r>
      <w:r w:rsidR="00043FA6">
        <w:rPr>
          <w:rFonts w:ascii="Arial" w:hAnsi="Arial" w:cs="Arial"/>
        </w:rPr>
        <w:t xml:space="preserve">a elaboración de esta investigación </w:t>
      </w:r>
      <w:r w:rsidR="0086520C">
        <w:rPr>
          <w:rFonts w:ascii="Arial" w:hAnsi="Arial" w:cs="Arial"/>
        </w:rPr>
        <w:t>tiene</w:t>
      </w:r>
      <w:r w:rsidR="00043FA6">
        <w:rPr>
          <w:rFonts w:ascii="Arial" w:hAnsi="Arial" w:cs="Arial"/>
        </w:rPr>
        <w:t xml:space="preserve"> como objetivo principal determinar la distribución espacial y algunas características sociodemográficas </w:t>
      </w:r>
      <w:r w:rsidR="00F226D6">
        <w:rPr>
          <w:rFonts w:ascii="Arial" w:hAnsi="Arial" w:cs="Arial"/>
        </w:rPr>
        <w:t>de nuestra</w:t>
      </w:r>
      <w:r w:rsidR="000A7AFD">
        <w:rPr>
          <w:rFonts w:ascii="Arial" w:hAnsi="Arial" w:cs="Arial"/>
        </w:rPr>
        <w:t>s cuatro</w:t>
      </w:r>
      <w:r w:rsidR="00F226D6">
        <w:rPr>
          <w:rFonts w:ascii="Arial" w:hAnsi="Arial" w:cs="Arial"/>
        </w:rPr>
        <w:t xml:space="preserve"> poblaci</w:t>
      </w:r>
      <w:r w:rsidR="000A7AFD">
        <w:rPr>
          <w:rFonts w:ascii="Arial" w:hAnsi="Arial" w:cs="Arial"/>
        </w:rPr>
        <w:t>o</w:t>
      </w:r>
      <w:r w:rsidR="00F226D6">
        <w:rPr>
          <w:rFonts w:ascii="Arial" w:hAnsi="Arial" w:cs="Arial"/>
        </w:rPr>
        <w:t>n</w:t>
      </w:r>
      <w:r w:rsidR="000A7AFD">
        <w:rPr>
          <w:rFonts w:ascii="Arial" w:hAnsi="Arial" w:cs="Arial"/>
        </w:rPr>
        <w:t>es</w:t>
      </w:r>
      <w:r w:rsidR="00F226D6">
        <w:rPr>
          <w:rFonts w:ascii="Arial" w:hAnsi="Arial" w:cs="Arial"/>
        </w:rPr>
        <w:t xml:space="preserve"> objetivo</w:t>
      </w:r>
      <w:r w:rsidR="000A7AFD">
        <w:rPr>
          <w:rFonts w:ascii="Arial" w:hAnsi="Arial" w:cs="Arial"/>
        </w:rPr>
        <w:t>s</w:t>
      </w:r>
      <w:r w:rsidR="00F226D6">
        <w:rPr>
          <w:rFonts w:ascii="Arial" w:hAnsi="Arial" w:cs="Arial"/>
        </w:rPr>
        <w:t xml:space="preserve"> que son los</w:t>
      </w:r>
      <w:r w:rsidR="00043FA6">
        <w:rPr>
          <w:rFonts w:ascii="Arial" w:hAnsi="Arial" w:cs="Arial"/>
        </w:rPr>
        <w:t xml:space="preserve"> inmigrante</w:t>
      </w:r>
      <w:r w:rsidR="00F226D6">
        <w:rPr>
          <w:rFonts w:ascii="Arial" w:hAnsi="Arial" w:cs="Arial"/>
        </w:rPr>
        <w:t>s</w:t>
      </w:r>
      <w:r w:rsidR="00043FA6">
        <w:rPr>
          <w:rFonts w:ascii="Arial" w:hAnsi="Arial" w:cs="Arial"/>
        </w:rPr>
        <w:t xml:space="preserve"> extranjer</w:t>
      </w:r>
      <w:r w:rsidR="00F226D6">
        <w:rPr>
          <w:rFonts w:ascii="Arial" w:hAnsi="Arial" w:cs="Arial"/>
        </w:rPr>
        <w:t>os</w:t>
      </w:r>
      <w:r w:rsidR="00043FA6">
        <w:rPr>
          <w:rFonts w:ascii="Arial" w:hAnsi="Arial" w:cs="Arial"/>
        </w:rPr>
        <w:t xml:space="preserve"> que reside</w:t>
      </w:r>
      <w:r w:rsidR="00F226D6">
        <w:rPr>
          <w:rFonts w:ascii="Arial" w:hAnsi="Arial" w:cs="Arial"/>
        </w:rPr>
        <w:t>n habitualmente</w:t>
      </w:r>
      <w:r w:rsidR="00043FA6">
        <w:rPr>
          <w:rFonts w:ascii="Arial" w:hAnsi="Arial" w:cs="Arial"/>
        </w:rPr>
        <w:t xml:space="preserve"> en el Ecuador</w:t>
      </w:r>
      <w:r w:rsidR="00F226D6">
        <w:rPr>
          <w:rFonts w:ascii="Arial" w:hAnsi="Arial" w:cs="Arial"/>
        </w:rPr>
        <w:t>,</w:t>
      </w:r>
      <w:r w:rsidR="00043FA6">
        <w:rPr>
          <w:rFonts w:ascii="Arial" w:hAnsi="Arial" w:cs="Arial"/>
        </w:rPr>
        <w:t xml:space="preserve"> los </w:t>
      </w:r>
      <w:r w:rsidR="00F226D6">
        <w:rPr>
          <w:rFonts w:ascii="Arial" w:hAnsi="Arial" w:cs="Arial"/>
        </w:rPr>
        <w:t>in</w:t>
      </w:r>
      <w:r w:rsidR="00043FA6">
        <w:rPr>
          <w:rFonts w:ascii="Arial" w:hAnsi="Arial" w:cs="Arial"/>
        </w:rPr>
        <w:t xml:space="preserve">migrantes </w:t>
      </w:r>
      <w:r w:rsidR="00F226D6">
        <w:rPr>
          <w:rFonts w:ascii="Arial" w:hAnsi="Arial" w:cs="Arial"/>
        </w:rPr>
        <w:t xml:space="preserve">y emigrantes </w:t>
      </w:r>
      <w:r w:rsidR="00043FA6">
        <w:rPr>
          <w:rFonts w:ascii="Arial" w:hAnsi="Arial" w:cs="Arial"/>
        </w:rPr>
        <w:t xml:space="preserve">internos de </w:t>
      </w:r>
      <w:r w:rsidR="00F226D6">
        <w:rPr>
          <w:rFonts w:ascii="Arial" w:hAnsi="Arial" w:cs="Arial"/>
        </w:rPr>
        <w:t>“</w:t>
      </w:r>
      <w:r w:rsidR="00043FA6">
        <w:rPr>
          <w:rFonts w:ascii="Arial" w:hAnsi="Arial" w:cs="Arial"/>
        </w:rPr>
        <w:t>toda la vida</w:t>
      </w:r>
      <w:r w:rsidR="00F226D6">
        <w:rPr>
          <w:rFonts w:ascii="Arial" w:hAnsi="Arial" w:cs="Arial"/>
        </w:rPr>
        <w:t>”</w:t>
      </w:r>
      <w:r w:rsidR="00043FA6">
        <w:rPr>
          <w:rFonts w:ascii="Arial" w:hAnsi="Arial" w:cs="Arial"/>
        </w:rPr>
        <w:t xml:space="preserve"> </w:t>
      </w:r>
      <w:r w:rsidR="00F226D6">
        <w:rPr>
          <w:rFonts w:ascii="Arial" w:hAnsi="Arial" w:cs="Arial"/>
        </w:rPr>
        <w:t xml:space="preserve">(personas </w:t>
      </w:r>
      <w:r w:rsidR="00F226D6" w:rsidRPr="00F226D6">
        <w:rPr>
          <w:rFonts w:ascii="Arial" w:hAnsi="Arial" w:cs="Arial"/>
        </w:rPr>
        <w:t>que al momento del censo residían en un área geográfica distinta a la de su lugar de nacimiento</w:t>
      </w:r>
      <w:r w:rsidR="00F226D6">
        <w:rPr>
          <w:rFonts w:ascii="Arial" w:hAnsi="Arial" w:cs="Arial"/>
        </w:rPr>
        <w:t xml:space="preserve">); </w:t>
      </w:r>
      <w:r w:rsidR="00043FA6">
        <w:rPr>
          <w:rFonts w:ascii="Arial" w:hAnsi="Arial" w:cs="Arial"/>
        </w:rPr>
        <w:t>y</w:t>
      </w:r>
      <w:r w:rsidR="00F226D6">
        <w:rPr>
          <w:rFonts w:ascii="Arial" w:hAnsi="Arial" w:cs="Arial"/>
        </w:rPr>
        <w:t>,</w:t>
      </w:r>
      <w:r w:rsidR="00043FA6">
        <w:rPr>
          <w:rFonts w:ascii="Arial" w:hAnsi="Arial" w:cs="Arial"/>
        </w:rPr>
        <w:t xml:space="preserve"> la población </w:t>
      </w:r>
      <w:r w:rsidR="000A7AFD">
        <w:rPr>
          <w:rFonts w:ascii="Arial" w:hAnsi="Arial" w:cs="Arial"/>
        </w:rPr>
        <w:t>de</w:t>
      </w:r>
      <w:r w:rsidR="00043FA6">
        <w:rPr>
          <w:rFonts w:ascii="Arial" w:hAnsi="Arial" w:cs="Arial"/>
        </w:rPr>
        <w:t xml:space="preserve"> emigr</w:t>
      </w:r>
      <w:r w:rsidR="00F226D6">
        <w:rPr>
          <w:rFonts w:ascii="Arial" w:hAnsi="Arial" w:cs="Arial"/>
        </w:rPr>
        <w:t>antes</w:t>
      </w:r>
      <w:r w:rsidR="00043FA6">
        <w:rPr>
          <w:rFonts w:ascii="Arial" w:hAnsi="Arial" w:cs="Arial"/>
        </w:rPr>
        <w:t xml:space="preserve"> </w:t>
      </w:r>
      <w:r w:rsidR="00F226D6">
        <w:rPr>
          <w:rFonts w:ascii="Arial" w:hAnsi="Arial" w:cs="Arial"/>
        </w:rPr>
        <w:t xml:space="preserve">que salieron </w:t>
      </w:r>
      <w:r w:rsidR="00043FA6">
        <w:rPr>
          <w:rFonts w:ascii="Arial" w:hAnsi="Arial" w:cs="Arial"/>
        </w:rPr>
        <w:t>del país entre noviembre de 2001 y el mismo mes de 2010.</w:t>
      </w:r>
    </w:p>
    <w:p w:rsidR="00043FA6" w:rsidRDefault="00043FA6" w:rsidP="00373E85">
      <w:pPr>
        <w:spacing w:line="480" w:lineRule="auto"/>
        <w:jc w:val="both"/>
        <w:rPr>
          <w:rFonts w:ascii="Arial" w:hAnsi="Arial" w:cs="Arial"/>
        </w:rPr>
      </w:pPr>
    </w:p>
    <w:p w:rsidR="00373E85" w:rsidRDefault="00043FA6" w:rsidP="00373E85">
      <w:pPr>
        <w:spacing w:line="480" w:lineRule="auto"/>
        <w:jc w:val="both"/>
        <w:rPr>
          <w:rFonts w:ascii="Arial" w:hAnsi="Arial" w:cs="Arial"/>
        </w:rPr>
      </w:pPr>
      <w:r>
        <w:rPr>
          <w:rFonts w:ascii="Arial" w:hAnsi="Arial" w:cs="Arial"/>
        </w:rPr>
        <w:t>Para llevar a cabo este estudio transversal</w:t>
      </w:r>
      <w:r w:rsidR="00F246B5">
        <w:rPr>
          <w:rFonts w:ascii="Arial" w:hAnsi="Arial" w:cs="Arial"/>
        </w:rPr>
        <w:t>,</w:t>
      </w:r>
      <w:r>
        <w:rPr>
          <w:rFonts w:ascii="Arial" w:hAnsi="Arial" w:cs="Arial"/>
        </w:rPr>
        <w:t xml:space="preserve"> se </w:t>
      </w:r>
      <w:r w:rsidR="00AA43A9">
        <w:rPr>
          <w:rFonts w:ascii="Arial" w:hAnsi="Arial" w:cs="Arial"/>
        </w:rPr>
        <w:t>construyeron</w:t>
      </w:r>
      <w:r>
        <w:rPr>
          <w:rFonts w:ascii="Arial" w:hAnsi="Arial" w:cs="Arial"/>
        </w:rPr>
        <w:t xml:space="preserve"> tasas de inmigración, emigración, tasas de participación económica, índices de feminidad</w:t>
      </w:r>
      <w:r w:rsidR="001F4A68">
        <w:rPr>
          <w:rFonts w:ascii="Arial" w:hAnsi="Arial" w:cs="Arial"/>
        </w:rPr>
        <w:t>;</w:t>
      </w:r>
      <w:r>
        <w:rPr>
          <w:rFonts w:ascii="Arial" w:hAnsi="Arial" w:cs="Arial"/>
        </w:rPr>
        <w:t xml:space="preserve"> se elaboraron además mapas temáticos, diagrama</w:t>
      </w:r>
      <w:r w:rsidR="00AA43A9">
        <w:rPr>
          <w:rFonts w:ascii="Arial" w:hAnsi="Arial" w:cs="Arial"/>
        </w:rPr>
        <w:t>s</w:t>
      </w:r>
      <w:r>
        <w:rPr>
          <w:rFonts w:ascii="Arial" w:hAnsi="Arial" w:cs="Arial"/>
        </w:rPr>
        <w:t xml:space="preserve"> de barras, </w:t>
      </w:r>
      <w:r w:rsidR="00AA43A9">
        <w:rPr>
          <w:rFonts w:ascii="Arial" w:hAnsi="Arial" w:cs="Arial"/>
        </w:rPr>
        <w:t xml:space="preserve">entre otros; así como también se hizo uso de la técnica de Regresión Logística para conocer los factores que influyen sobre ciertas características de las poblaciones de migrantes, como </w:t>
      </w:r>
      <w:r w:rsidR="001F4A68">
        <w:rPr>
          <w:rFonts w:ascii="Arial" w:hAnsi="Arial" w:cs="Arial"/>
        </w:rPr>
        <w:t>es</w:t>
      </w:r>
      <w:r w:rsidR="00AA43A9">
        <w:rPr>
          <w:rFonts w:ascii="Arial" w:hAnsi="Arial" w:cs="Arial"/>
        </w:rPr>
        <w:t xml:space="preserve"> el estudio de los factores que influyen en </w:t>
      </w:r>
      <w:r w:rsidR="00F246B5">
        <w:rPr>
          <w:rFonts w:ascii="Arial" w:hAnsi="Arial" w:cs="Arial"/>
        </w:rPr>
        <w:t>el nivel de instrucción superior de los estadounidenses mayores de 1</w:t>
      </w:r>
      <w:r w:rsidR="00355D4D">
        <w:rPr>
          <w:rFonts w:ascii="Arial" w:hAnsi="Arial" w:cs="Arial"/>
        </w:rPr>
        <w:t>7</w:t>
      </w:r>
      <w:r w:rsidR="00F246B5">
        <w:rPr>
          <w:rFonts w:ascii="Arial" w:hAnsi="Arial" w:cs="Arial"/>
        </w:rPr>
        <w:t xml:space="preserve"> años que a la fecha del empadronamiento respondieron residir habitualmente en el país</w:t>
      </w:r>
      <w:r w:rsidR="00AA43A9">
        <w:rPr>
          <w:rFonts w:ascii="Arial" w:hAnsi="Arial" w:cs="Arial"/>
        </w:rPr>
        <w:t>.</w:t>
      </w:r>
    </w:p>
    <w:p w:rsidR="00043FA6" w:rsidRDefault="00043FA6" w:rsidP="00373E85">
      <w:pPr>
        <w:spacing w:line="480" w:lineRule="auto"/>
        <w:jc w:val="both"/>
        <w:rPr>
          <w:rFonts w:ascii="Arial" w:hAnsi="Arial" w:cs="Arial"/>
        </w:rPr>
      </w:pPr>
    </w:p>
    <w:p w:rsidR="00043FA6" w:rsidRDefault="00043FA6" w:rsidP="00373E85">
      <w:pPr>
        <w:spacing w:line="480" w:lineRule="auto"/>
        <w:jc w:val="both"/>
        <w:rPr>
          <w:rFonts w:ascii="Arial" w:hAnsi="Arial" w:cs="Arial"/>
        </w:rPr>
      </w:pPr>
    </w:p>
    <w:p w:rsidR="00AF3D2F" w:rsidRPr="00470CE4" w:rsidRDefault="00AF3D2F" w:rsidP="00470CE4">
      <w:pPr>
        <w:spacing w:line="480" w:lineRule="auto"/>
        <w:rPr>
          <w:rFonts w:ascii="Arial" w:hAnsi="Arial" w:cs="Arial"/>
        </w:rPr>
      </w:pPr>
    </w:p>
    <w:p w:rsidR="00623553" w:rsidRPr="00470CE4" w:rsidRDefault="00623553" w:rsidP="001C2FE6">
      <w:pPr>
        <w:spacing w:line="480" w:lineRule="auto"/>
        <w:rPr>
          <w:rFonts w:ascii="Arial" w:hAnsi="Arial" w:cs="Arial"/>
        </w:rPr>
        <w:sectPr w:rsidR="00623553" w:rsidRPr="00470CE4" w:rsidSect="00D46F2A">
          <w:headerReference w:type="default" r:id="rId12"/>
          <w:pgSz w:w="11907" w:h="16839" w:code="9"/>
          <w:pgMar w:top="2268" w:right="1361" w:bottom="2268" w:left="2268" w:header="708" w:footer="708" w:gutter="0"/>
          <w:pgNumType w:fmt="lowerRoman" w:start="1"/>
          <w:cols w:space="708"/>
          <w:docGrid w:linePitch="360"/>
        </w:sectPr>
      </w:pPr>
    </w:p>
    <w:p w:rsidR="00C5545E" w:rsidRPr="00351EAD" w:rsidRDefault="00C5545E" w:rsidP="009A6904">
      <w:pPr>
        <w:spacing w:line="480" w:lineRule="auto"/>
        <w:rPr>
          <w:rFonts w:ascii="Arial" w:hAnsi="Arial" w:cs="Arial"/>
        </w:rPr>
      </w:pPr>
    </w:p>
    <w:p w:rsidR="00254597" w:rsidRPr="00351EAD" w:rsidRDefault="00254597" w:rsidP="009A6904">
      <w:pPr>
        <w:spacing w:line="480" w:lineRule="auto"/>
        <w:rPr>
          <w:rFonts w:ascii="Arial" w:hAnsi="Arial" w:cs="Arial"/>
        </w:rPr>
      </w:pPr>
    </w:p>
    <w:p w:rsidR="00254597" w:rsidRPr="00351EAD" w:rsidRDefault="00254597" w:rsidP="009A6904">
      <w:pPr>
        <w:spacing w:line="480" w:lineRule="auto"/>
        <w:rPr>
          <w:rFonts w:ascii="Arial" w:hAnsi="Arial" w:cs="Arial"/>
        </w:rPr>
      </w:pPr>
    </w:p>
    <w:p w:rsidR="00A94424" w:rsidRPr="00351EAD" w:rsidRDefault="00A94424" w:rsidP="009A6904">
      <w:pPr>
        <w:spacing w:line="480" w:lineRule="auto"/>
        <w:rPr>
          <w:rFonts w:ascii="Arial" w:hAnsi="Arial" w:cs="Arial"/>
        </w:rPr>
      </w:pPr>
    </w:p>
    <w:p w:rsidR="0079750A" w:rsidRDefault="0079750A" w:rsidP="009A6904">
      <w:pPr>
        <w:spacing w:line="480" w:lineRule="auto"/>
        <w:rPr>
          <w:rFonts w:ascii="Arial" w:hAnsi="Arial" w:cs="Arial"/>
          <w:sz w:val="24"/>
          <w:szCs w:val="24"/>
        </w:rPr>
      </w:pPr>
    </w:p>
    <w:p w:rsidR="00351EAD" w:rsidRPr="0079750A" w:rsidRDefault="00351EAD" w:rsidP="009A6904">
      <w:pPr>
        <w:spacing w:line="480" w:lineRule="auto"/>
        <w:rPr>
          <w:rFonts w:ascii="Arial" w:hAnsi="Arial" w:cs="Arial"/>
          <w:sz w:val="24"/>
          <w:szCs w:val="24"/>
        </w:rPr>
      </w:pPr>
    </w:p>
    <w:p w:rsidR="00254597" w:rsidRPr="00254597" w:rsidRDefault="00254597" w:rsidP="00664EA0">
      <w:pPr>
        <w:pStyle w:val="Indice1"/>
      </w:pPr>
      <w:bookmarkStart w:id="20" w:name="_Toc339715514"/>
      <w:bookmarkStart w:id="21" w:name="_Toc341040583"/>
      <w:r w:rsidRPr="00254597">
        <w:t>CAPÍTULO 1</w:t>
      </w:r>
      <w:bookmarkEnd w:id="20"/>
      <w:bookmarkEnd w:id="21"/>
    </w:p>
    <w:p w:rsidR="00254597" w:rsidRPr="00664EA0" w:rsidRDefault="003D3AA9" w:rsidP="0041640C">
      <w:pPr>
        <w:pStyle w:val="Indice1"/>
        <w:numPr>
          <w:ilvl w:val="0"/>
          <w:numId w:val="1"/>
        </w:numPr>
        <w:ind w:left="284" w:hanging="284"/>
        <w:jc w:val="both"/>
        <w:rPr>
          <w:sz w:val="32"/>
          <w:szCs w:val="32"/>
        </w:rPr>
      </w:pPr>
      <w:bookmarkStart w:id="22" w:name="_Toc339852937"/>
      <w:bookmarkStart w:id="23" w:name="_Toc340231707"/>
      <w:bookmarkStart w:id="24" w:name="_Toc341040584"/>
      <w:r w:rsidRPr="00664EA0">
        <w:rPr>
          <w:sz w:val="32"/>
          <w:szCs w:val="32"/>
        </w:rPr>
        <w:t>MARCO TEÓRICO, OBJETIVO</w:t>
      </w:r>
      <w:r w:rsidR="0039320E" w:rsidRPr="00664EA0">
        <w:rPr>
          <w:sz w:val="32"/>
          <w:szCs w:val="32"/>
        </w:rPr>
        <w:t>S</w:t>
      </w:r>
      <w:r w:rsidRPr="00664EA0">
        <w:rPr>
          <w:sz w:val="32"/>
          <w:szCs w:val="32"/>
        </w:rPr>
        <w:t>, METODOLOGÍA Y FUENTE DE DATOS</w:t>
      </w:r>
      <w:bookmarkEnd w:id="22"/>
      <w:bookmarkEnd w:id="23"/>
      <w:bookmarkEnd w:id="24"/>
    </w:p>
    <w:p w:rsidR="00D4624C" w:rsidRPr="003A5439" w:rsidRDefault="003A5439" w:rsidP="000E2301">
      <w:pPr>
        <w:pStyle w:val="TesisTitulo10"/>
        <w:ind w:left="851" w:hanging="567"/>
      </w:pPr>
      <w:bookmarkStart w:id="25" w:name="_Toc332571342"/>
      <w:bookmarkStart w:id="26" w:name="_Toc341040585"/>
      <w:r w:rsidRPr="003A5439">
        <w:t>Introducción</w:t>
      </w:r>
      <w:bookmarkEnd w:id="25"/>
      <w:bookmarkEnd w:id="26"/>
    </w:p>
    <w:p w:rsidR="003A5439" w:rsidRDefault="003A5439" w:rsidP="000E2301">
      <w:pPr>
        <w:pStyle w:val="Prrafodelista"/>
        <w:spacing w:line="480" w:lineRule="auto"/>
        <w:ind w:left="851"/>
        <w:jc w:val="both"/>
        <w:rPr>
          <w:rFonts w:ascii="Arial" w:hAnsi="Arial" w:cs="Arial"/>
        </w:rPr>
      </w:pPr>
      <w:r w:rsidRPr="00E03C3B">
        <w:rPr>
          <w:rFonts w:ascii="Arial" w:hAnsi="Arial" w:cs="Arial"/>
        </w:rPr>
        <w:t>En el</w:t>
      </w:r>
      <w:r w:rsidR="005E7422">
        <w:rPr>
          <w:rFonts w:ascii="Arial" w:hAnsi="Arial" w:cs="Arial"/>
        </w:rPr>
        <w:t xml:space="preserve"> presente capítulo, se describe el problema </w:t>
      </w:r>
      <w:r w:rsidR="0086520C">
        <w:rPr>
          <w:rFonts w:ascii="Arial" w:hAnsi="Arial" w:cs="Arial"/>
        </w:rPr>
        <w:t>a tratar</w:t>
      </w:r>
      <w:r w:rsidR="009348ED">
        <w:rPr>
          <w:rFonts w:ascii="Arial" w:hAnsi="Arial" w:cs="Arial"/>
        </w:rPr>
        <w:t xml:space="preserve"> a lo largo de esta </w:t>
      </w:r>
      <w:r w:rsidR="005E7422">
        <w:rPr>
          <w:rFonts w:ascii="Arial" w:hAnsi="Arial" w:cs="Arial"/>
        </w:rPr>
        <w:t>tesis, así como también</w:t>
      </w:r>
      <w:r w:rsidRPr="00E03C3B">
        <w:rPr>
          <w:rFonts w:ascii="Arial" w:hAnsi="Arial" w:cs="Arial"/>
        </w:rPr>
        <w:t xml:space="preserve"> se exponen algunos procesos migratorios en el mundo desde el inicio del hombre en África hasta el presente siglo; </w:t>
      </w:r>
      <w:r w:rsidR="00C85ECE">
        <w:rPr>
          <w:rFonts w:ascii="Arial" w:hAnsi="Arial" w:cs="Arial"/>
        </w:rPr>
        <w:t xml:space="preserve">además, </w:t>
      </w:r>
      <w:r w:rsidRPr="00E03C3B">
        <w:rPr>
          <w:rFonts w:ascii="Arial" w:hAnsi="Arial" w:cs="Arial"/>
        </w:rPr>
        <w:t>se hace referencia a ciertos movimientos</w:t>
      </w:r>
      <w:r w:rsidR="00B61A1E" w:rsidRPr="00E03C3B">
        <w:rPr>
          <w:rFonts w:ascii="Arial" w:hAnsi="Arial" w:cs="Arial"/>
        </w:rPr>
        <w:t xml:space="preserve"> en América</w:t>
      </w:r>
      <w:r w:rsidR="00C85ECE">
        <w:rPr>
          <w:rFonts w:ascii="Arial" w:hAnsi="Arial" w:cs="Arial"/>
        </w:rPr>
        <w:t>;</w:t>
      </w:r>
      <w:r w:rsidR="00B61A1E" w:rsidRPr="00E03C3B">
        <w:rPr>
          <w:rFonts w:ascii="Arial" w:hAnsi="Arial" w:cs="Arial"/>
        </w:rPr>
        <w:t xml:space="preserve"> p</w:t>
      </w:r>
      <w:r w:rsidR="005A535A">
        <w:rPr>
          <w:rFonts w:ascii="Arial" w:hAnsi="Arial" w:cs="Arial"/>
        </w:rPr>
        <w:t>ero sobre</w:t>
      </w:r>
      <w:r w:rsidRPr="00E03C3B">
        <w:rPr>
          <w:rFonts w:ascii="Arial" w:hAnsi="Arial" w:cs="Arial"/>
        </w:rPr>
        <w:t xml:space="preserve">todo se </w:t>
      </w:r>
      <w:r w:rsidR="00453ECA" w:rsidRPr="00E03C3B">
        <w:rPr>
          <w:rFonts w:ascii="Arial" w:hAnsi="Arial" w:cs="Arial"/>
        </w:rPr>
        <w:t>e</w:t>
      </w:r>
      <w:r w:rsidRPr="00E03C3B">
        <w:rPr>
          <w:rFonts w:ascii="Arial" w:hAnsi="Arial" w:cs="Arial"/>
        </w:rPr>
        <w:t>nfa</w:t>
      </w:r>
      <w:r w:rsidR="00453ECA" w:rsidRPr="00E03C3B">
        <w:rPr>
          <w:rFonts w:ascii="Arial" w:hAnsi="Arial" w:cs="Arial"/>
        </w:rPr>
        <w:t>tiza</w:t>
      </w:r>
      <w:r w:rsidRPr="00E03C3B">
        <w:rPr>
          <w:rFonts w:ascii="Arial" w:hAnsi="Arial" w:cs="Arial"/>
        </w:rPr>
        <w:t xml:space="preserve"> </w:t>
      </w:r>
      <w:r w:rsidR="00453ECA" w:rsidRPr="00E03C3B">
        <w:rPr>
          <w:rFonts w:ascii="Arial" w:hAnsi="Arial" w:cs="Arial"/>
        </w:rPr>
        <w:t>en</w:t>
      </w:r>
      <w:r w:rsidRPr="00E03C3B">
        <w:rPr>
          <w:rFonts w:ascii="Arial" w:hAnsi="Arial" w:cs="Arial"/>
        </w:rPr>
        <w:t xml:space="preserve"> la migración internacional en Ecuador; así como también, </w:t>
      </w:r>
      <w:r w:rsidR="00453ECA" w:rsidRPr="00E03C3B">
        <w:rPr>
          <w:rFonts w:ascii="Arial" w:hAnsi="Arial" w:cs="Arial"/>
        </w:rPr>
        <w:t>en</w:t>
      </w:r>
      <w:r w:rsidRPr="00E03C3B">
        <w:rPr>
          <w:rFonts w:ascii="Arial" w:hAnsi="Arial" w:cs="Arial"/>
        </w:rPr>
        <w:t xml:space="preserve"> la migración interna y algunas de las realidades de los ecuatorianos que han causado estos procesos migratorios desde el boom del cacao hasta la explotación petrolera</w:t>
      </w:r>
      <w:r w:rsidR="009469F4">
        <w:rPr>
          <w:rFonts w:ascii="Arial" w:hAnsi="Arial" w:cs="Arial"/>
        </w:rPr>
        <w:t xml:space="preserve"> y la crisis económica del año 2000</w:t>
      </w:r>
      <w:r w:rsidRPr="00E03C3B">
        <w:rPr>
          <w:rFonts w:ascii="Arial" w:hAnsi="Arial" w:cs="Arial"/>
        </w:rPr>
        <w:t>.</w:t>
      </w:r>
      <w:r w:rsidR="00C85ECE">
        <w:rPr>
          <w:rFonts w:ascii="Arial" w:hAnsi="Arial" w:cs="Arial"/>
        </w:rPr>
        <w:t xml:space="preserve"> </w:t>
      </w:r>
      <w:r w:rsidR="003B1E0B">
        <w:rPr>
          <w:rFonts w:ascii="Arial" w:hAnsi="Arial" w:cs="Arial"/>
        </w:rPr>
        <w:t xml:space="preserve">Se finaliza el capítulo </w:t>
      </w:r>
      <w:r w:rsidR="00EA18F5">
        <w:rPr>
          <w:rFonts w:ascii="Arial" w:hAnsi="Arial" w:cs="Arial"/>
        </w:rPr>
        <w:t>con la descripción</w:t>
      </w:r>
      <w:r w:rsidR="00213B8C">
        <w:rPr>
          <w:rFonts w:ascii="Arial" w:hAnsi="Arial" w:cs="Arial"/>
        </w:rPr>
        <w:t xml:space="preserve"> de las variables de la bole</w:t>
      </w:r>
      <w:r w:rsidR="0026477B">
        <w:rPr>
          <w:rFonts w:ascii="Arial" w:hAnsi="Arial" w:cs="Arial"/>
        </w:rPr>
        <w:t>ta censal que se van a utilizar, s</w:t>
      </w:r>
      <w:r w:rsidR="00565EFB">
        <w:rPr>
          <w:rFonts w:ascii="Arial" w:hAnsi="Arial" w:cs="Arial"/>
        </w:rPr>
        <w:t xml:space="preserve">e exponen los objetivos de ésta investigación </w:t>
      </w:r>
      <w:r w:rsidR="0026477B">
        <w:rPr>
          <w:rFonts w:ascii="Arial" w:hAnsi="Arial" w:cs="Arial"/>
        </w:rPr>
        <w:t xml:space="preserve">así como también algunas hipótesis que se han construido </w:t>
      </w:r>
      <w:r w:rsidR="003D4F7C">
        <w:rPr>
          <w:rFonts w:ascii="Arial" w:hAnsi="Arial" w:cs="Arial"/>
        </w:rPr>
        <w:t>respecto</w:t>
      </w:r>
      <w:r w:rsidR="0026477B">
        <w:rPr>
          <w:rFonts w:ascii="Arial" w:hAnsi="Arial" w:cs="Arial"/>
        </w:rPr>
        <w:t xml:space="preserve"> al tema en estudio. </w:t>
      </w:r>
    </w:p>
    <w:p w:rsidR="00254597" w:rsidRPr="00CC37C9" w:rsidRDefault="00124EDD" w:rsidP="000E2301">
      <w:pPr>
        <w:pStyle w:val="TesisTitulo10"/>
        <w:ind w:left="851" w:hanging="567"/>
      </w:pPr>
      <w:bookmarkStart w:id="27" w:name="_Toc332571343"/>
      <w:bookmarkStart w:id="28" w:name="_Toc341040586"/>
      <w:r w:rsidRPr="00CC37C9">
        <w:lastRenderedPageBreak/>
        <w:t xml:space="preserve">Planteamiento del </w:t>
      </w:r>
      <w:r w:rsidR="006933DF">
        <w:t>p</w:t>
      </w:r>
      <w:r w:rsidRPr="00CC37C9">
        <w:t>roblema</w:t>
      </w:r>
      <w:bookmarkEnd w:id="27"/>
      <w:bookmarkEnd w:id="28"/>
    </w:p>
    <w:p w:rsidR="00BE47B1" w:rsidRDefault="00BE47B1" w:rsidP="000E2301">
      <w:pPr>
        <w:pStyle w:val="Prrafodelista"/>
        <w:spacing w:line="480" w:lineRule="auto"/>
        <w:ind w:left="851"/>
        <w:jc w:val="both"/>
        <w:rPr>
          <w:rFonts w:ascii="Arial" w:hAnsi="Arial" w:cs="Arial"/>
        </w:rPr>
      </w:pPr>
      <w:r w:rsidRPr="00CC37C9">
        <w:rPr>
          <w:rFonts w:ascii="Arial" w:hAnsi="Arial" w:cs="Arial"/>
        </w:rPr>
        <w:t>La migración es un fenómeno que ha estado presente en las poblaciones desde miles de años antes de Cristo hasta nuestros días</w:t>
      </w:r>
      <w:r w:rsidR="008D7B59" w:rsidRPr="00CC37C9">
        <w:rPr>
          <w:rFonts w:ascii="Arial" w:hAnsi="Arial" w:cs="Arial"/>
        </w:rPr>
        <w:t>, pero que se ha masificado en los últimos siglos</w:t>
      </w:r>
      <w:r w:rsidR="00CA2732">
        <w:rPr>
          <w:rFonts w:ascii="Arial" w:hAnsi="Arial" w:cs="Arial"/>
        </w:rPr>
        <w:t>; es así que actualmente n</w:t>
      </w:r>
      <w:r w:rsidRPr="00CC37C9">
        <w:rPr>
          <w:rFonts w:ascii="Arial" w:hAnsi="Arial" w:cs="Arial"/>
        </w:rPr>
        <w:t>o existe un país, nación o pueblo que no haya experimentado este movimiento poblacional</w:t>
      </w:r>
      <w:r w:rsidR="00CA2732">
        <w:rPr>
          <w:rFonts w:ascii="Arial" w:hAnsi="Arial" w:cs="Arial"/>
        </w:rPr>
        <w:t xml:space="preserve">, pues hasta de las partes más recónditas de nuestro país existen compatriotas que han emigrado </w:t>
      </w:r>
      <w:r w:rsidR="003D4F7C">
        <w:rPr>
          <w:rFonts w:ascii="Arial" w:hAnsi="Arial" w:cs="Arial"/>
        </w:rPr>
        <w:t xml:space="preserve">por distintas razones, pero sobretodo </w:t>
      </w:r>
      <w:r w:rsidR="00CA2732">
        <w:rPr>
          <w:rFonts w:ascii="Arial" w:hAnsi="Arial" w:cs="Arial"/>
        </w:rPr>
        <w:t>en busca de mejores días para ellos y sus familiares</w:t>
      </w:r>
      <w:r w:rsidRPr="00CC37C9">
        <w:rPr>
          <w:rFonts w:ascii="Arial" w:hAnsi="Arial" w:cs="Arial"/>
        </w:rPr>
        <w:t>.</w:t>
      </w:r>
    </w:p>
    <w:p w:rsidR="008D7B59" w:rsidRDefault="008D7B59" w:rsidP="000E2301">
      <w:pPr>
        <w:pStyle w:val="Prrafodelista"/>
        <w:spacing w:line="480" w:lineRule="auto"/>
        <w:ind w:left="851"/>
        <w:jc w:val="both"/>
        <w:rPr>
          <w:rFonts w:ascii="Arial" w:hAnsi="Arial" w:cs="Arial"/>
        </w:rPr>
      </w:pPr>
    </w:p>
    <w:p w:rsidR="00A53756" w:rsidRDefault="00AB5014" w:rsidP="000E2301">
      <w:pPr>
        <w:pStyle w:val="Prrafodelista"/>
        <w:spacing w:line="480" w:lineRule="auto"/>
        <w:ind w:left="851"/>
        <w:jc w:val="both"/>
        <w:rPr>
          <w:rFonts w:ascii="Arial" w:hAnsi="Arial" w:cs="Arial"/>
        </w:rPr>
      </w:pPr>
      <w:r w:rsidRPr="00C438C0">
        <w:rPr>
          <w:rFonts w:ascii="Arial" w:hAnsi="Arial" w:cs="Arial"/>
        </w:rPr>
        <w:t xml:space="preserve">En vista de </w:t>
      </w:r>
      <w:r w:rsidR="00CB224C">
        <w:rPr>
          <w:rFonts w:ascii="Arial" w:hAnsi="Arial" w:cs="Arial"/>
        </w:rPr>
        <w:t>est</w:t>
      </w:r>
      <w:r w:rsidRPr="00C438C0">
        <w:rPr>
          <w:rFonts w:ascii="Arial" w:hAnsi="Arial" w:cs="Arial"/>
        </w:rPr>
        <w:t>as corrientes migratorias tanto de ecuatorianos hacia el exterior como de extranjeros hacia Ecuador, radica la importancia de estudiar y conocer la magnitud de estas poblaciones, ya que por un lado los inmigrantes piden estabilidad, mejoras en las condiciones de vida y en los sistemas de salud</w:t>
      </w:r>
      <w:r w:rsidR="00FC43F9">
        <w:rPr>
          <w:rFonts w:ascii="Arial" w:hAnsi="Arial" w:cs="Arial"/>
        </w:rPr>
        <w:t xml:space="preserve"> y seguridad social</w:t>
      </w:r>
      <w:r w:rsidRPr="00C438C0">
        <w:rPr>
          <w:rFonts w:ascii="Arial" w:hAnsi="Arial" w:cs="Arial"/>
        </w:rPr>
        <w:t xml:space="preserve"> para co</w:t>
      </w:r>
      <w:r w:rsidR="0066204D">
        <w:rPr>
          <w:rFonts w:ascii="Arial" w:hAnsi="Arial" w:cs="Arial"/>
        </w:rPr>
        <w:t>ntinuar manteniéndose dentro de nuestro</w:t>
      </w:r>
      <w:r w:rsidRPr="00C438C0">
        <w:rPr>
          <w:rFonts w:ascii="Arial" w:hAnsi="Arial" w:cs="Arial"/>
        </w:rPr>
        <w:t xml:space="preserve"> país; los emigrantes por su parte representan ingresos para el </w:t>
      </w:r>
      <w:r w:rsidR="0066204D">
        <w:rPr>
          <w:rFonts w:ascii="Arial" w:hAnsi="Arial" w:cs="Arial"/>
        </w:rPr>
        <w:t>Ecuador</w:t>
      </w:r>
      <w:r w:rsidRPr="00C438C0">
        <w:rPr>
          <w:rFonts w:ascii="Arial" w:hAnsi="Arial" w:cs="Arial"/>
        </w:rPr>
        <w:t xml:space="preserve"> me</w:t>
      </w:r>
      <w:r>
        <w:rPr>
          <w:rFonts w:ascii="Arial" w:hAnsi="Arial" w:cs="Arial"/>
        </w:rPr>
        <w:t>diante la recepción de  remesas</w:t>
      </w:r>
      <w:r w:rsidR="0066204D">
        <w:rPr>
          <w:rFonts w:ascii="Arial" w:hAnsi="Arial" w:cs="Arial"/>
        </w:rPr>
        <w:t>,</w:t>
      </w:r>
      <w:r w:rsidRPr="00C438C0">
        <w:rPr>
          <w:rFonts w:ascii="Arial" w:hAnsi="Arial" w:cs="Arial"/>
        </w:rPr>
        <w:t xml:space="preserve"> aunque éstas se concentren en u</w:t>
      </w:r>
      <w:r w:rsidR="00480CD8">
        <w:rPr>
          <w:rFonts w:ascii="Arial" w:hAnsi="Arial" w:cs="Arial"/>
        </w:rPr>
        <w:t>n determinado grupo poblacional; pero</w:t>
      </w:r>
      <w:r w:rsidR="0066204D">
        <w:rPr>
          <w:rFonts w:ascii="Arial" w:hAnsi="Arial" w:cs="Arial"/>
        </w:rPr>
        <w:t>,</w:t>
      </w:r>
      <w:r w:rsidR="00480CD8">
        <w:rPr>
          <w:rFonts w:ascii="Arial" w:hAnsi="Arial" w:cs="Arial"/>
        </w:rPr>
        <w:t xml:space="preserve"> a su vez también representan pérdida de recursos humanos.</w:t>
      </w:r>
      <w:r w:rsidR="00A53756">
        <w:rPr>
          <w:rFonts w:ascii="Arial" w:hAnsi="Arial" w:cs="Arial"/>
        </w:rPr>
        <w:t xml:space="preserve"> </w:t>
      </w:r>
    </w:p>
    <w:p w:rsidR="00A53756" w:rsidRDefault="00A53756" w:rsidP="000E2301">
      <w:pPr>
        <w:pStyle w:val="Prrafodelista"/>
        <w:spacing w:line="480" w:lineRule="auto"/>
        <w:ind w:left="851"/>
        <w:jc w:val="both"/>
        <w:rPr>
          <w:rFonts w:ascii="Arial" w:hAnsi="Arial" w:cs="Arial"/>
        </w:rPr>
      </w:pPr>
    </w:p>
    <w:p w:rsidR="00AB5014" w:rsidRDefault="006C15AD" w:rsidP="000E2301">
      <w:pPr>
        <w:pStyle w:val="Prrafodelista"/>
        <w:spacing w:line="480" w:lineRule="auto"/>
        <w:ind w:left="851"/>
        <w:jc w:val="both"/>
        <w:rPr>
          <w:rFonts w:ascii="Arial" w:hAnsi="Arial" w:cs="Arial"/>
        </w:rPr>
      </w:pPr>
      <w:r>
        <w:rPr>
          <w:rFonts w:ascii="Arial" w:hAnsi="Arial" w:cs="Arial"/>
        </w:rPr>
        <w:t>Consideremos además que t</w:t>
      </w:r>
      <w:r w:rsidR="00AB5014" w:rsidRPr="00374C11">
        <w:rPr>
          <w:rFonts w:ascii="Arial" w:hAnsi="Arial" w:cs="Arial"/>
        </w:rPr>
        <w:t>odos estos movimientos poblacionales implican un aumento en la población que los recibe, pero también reflejan una disminución de la población de origen; trayendo consigo problemas tanto políticos como econó</w:t>
      </w:r>
      <w:r w:rsidR="00E518DD">
        <w:rPr>
          <w:rFonts w:ascii="Arial" w:hAnsi="Arial" w:cs="Arial"/>
        </w:rPr>
        <w:t>micos en los países de destino. C</w:t>
      </w:r>
      <w:r w:rsidR="00AB5014" w:rsidRPr="00374C11">
        <w:rPr>
          <w:rFonts w:ascii="Arial" w:hAnsi="Arial" w:cs="Arial"/>
        </w:rPr>
        <w:t xml:space="preserve">omo consecuencia </w:t>
      </w:r>
      <w:r w:rsidR="00AC5EC2">
        <w:rPr>
          <w:rFonts w:ascii="Arial" w:hAnsi="Arial" w:cs="Arial"/>
        </w:rPr>
        <w:t xml:space="preserve">de esto </w:t>
      </w:r>
      <w:r w:rsidR="00AB5014" w:rsidRPr="00374C11">
        <w:rPr>
          <w:rFonts w:ascii="Arial" w:hAnsi="Arial" w:cs="Arial"/>
        </w:rPr>
        <w:t xml:space="preserve">se deben elaborar reglas o leyes que regulen los </w:t>
      </w:r>
      <w:r w:rsidR="00AB5014" w:rsidRPr="00374C11">
        <w:rPr>
          <w:rFonts w:ascii="Arial" w:hAnsi="Arial" w:cs="Arial"/>
        </w:rPr>
        <w:lastRenderedPageBreak/>
        <w:t>movimientos migratorios, así como también mejorar las políticas económicas con el fin de ayudar al continuo crecimiento del país.</w:t>
      </w:r>
    </w:p>
    <w:p w:rsidR="00A53756" w:rsidRDefault="00A53756" w:rsidP="000E2301">
      <w:pPr>
        <w:pStyle w:val="Prrafodelista"/>
        <w:spacing w:line="480" w:lineRule="auto"/>
        <w:ind w:left="851"/>
        <w:jc w:val="both"/>
        <w:rPr>
          <w:rFonts w:ascii="Arial" w:hAnsi="Arial" w:cs="Arial"/>
        </w:rPr>
      </w:pPr>
    </w:p>
    <w:p w:rsidR="00670FF5" w:rsidRPr="00D42AF0" w:rsidRDefault="00670FF5" w:rsidP="000E2301">
      <w:pPr>
        <w:pStyle w:val="TesisTitulo10"/>
        <w:ind w:left="851" w:hanging="567"/>
      </w:pPr>
      <w:bookmarkStart w:id="29" w:name="_Toc332571344"/>
      <w:bookmarkStart w:id="30" w:name="_Toc341040587"/>
      <w:r w:rsidRPr="00D42AF0">
        <w:t>Antecedentes</w:t>
      </w:r>
      <w:bookmarkEnd w:id="29"/>
      <w:bookmarkEnd w:id="30"/>
    </w:p>
    <w:p w:rsidR="001431B3" w:rsidRDefault="007177FF" w:rsidP="000E2301">
      <w:pPr>
        <w:spacing w:line="480" w:lineRule="auto"/>
        <w:ind w:left="851"/>
        <w:jc w:val="both"/>
        <w:rPr>
          <w:rFonts w:ascii="Arial" w:hAnsi="Arial" w:cs="Arial"/>
        </w:rPr>
      </w:pPr>
      <w:r w:rsidRPr="0023432F">
        <w:rPr>
          <w:rFonts w:ascii="Arial" w:hAnsi="Arial" w:cs="Arial"/>
        </w:rPr>
        <w:t xml:space="preserve">Desde su origen en África hace unos 150000 años, </w:t>
      </w:r>
      <w:r w:rsidR="002C3D2B">
        <w:rPr>
          <w:rFonts w:ascii="Arial" w:hAnsi="Arial" w:cs="Arial"/>
        </w:rPr>
        <w:t xml:space="preserve">como menciona </w:t>
      </w:r>
      <w:r w:rsidR="0018463C" w:rsidRPr="0018463C">
        <w:rPr>
          <w:rFonts w:ascii="Arial" w:hAnsi="Arial" w:cs="Arial"/>
          <w:i/>
        </w:rPr>
        <w:t>Sutcliffe, B.</w:t>
      </w:r>
      <w:r w:rsidR="00B83EA4" w:rsidRPr="0018463C">
        <w:rPr>
          <w:rStyle w:val="Refdenotaalpie"/>
          <w:rFonts w:ascii="Arial" w:hAnsi="Arial" w:cs="Arial"/>
        </w:rPr>
        <w:footnoteReference w:id="1"/>
      </w:r>
      <w:r w:rsidR="0018463C">
        <w:rPr>
          <w:rFonts w:ascii="Arial" w:hAnsi="Arial" w:cs="Arial"/>
          <w:i/>
        </w:rPr>
        <w:t xml:space="preserve"> </w:t>
      </w:r>
      <w:r w:rsidR="0018463C" w:rsidRPr="0018463C">
        <w:rPr>
          <w:rFonts w:ascii="Arial" w:hAnsi="Arial" w:cs="Arial"/>
        </w:rPr>
        <w:t>(1998)</w:t>
      </w:r>
      <w:r w:rsidR="002C3D2B">
        <w:rPr>
          <w:rFonts w:ascii="Arial" w:hAnsi="Arial" w:cs="Arial"/>
        </w:rPr>
        <w:t xml:space="preserve">, </w:t>
      </w:r>
      <w:r w:rsidRPr="0023432F">
        <w:rPr>
          <w:rFonts w:ascii="Arial" w:hAnsi="Arial" w:cs="Arial"/>
        </w:rPr>
        <w:t>el ser humano moderno (homo sapiens sapiens) colonizó el planeta a partir de leves pero sucesivas oleadas migratorias desde el Cuerno de África, a través de la "ruta de la costa sur" a lo largo del Océano Índico, con rumbo al resto del mundo; es así como el hombre moderno hace 90000 años había poblado el continente africano y el margen s</w:t>
      </w:r>
      <w:r w:rsidR="00926BB7">
        <w:rPr>
          <w:rFonts w:ascii="Arial" w:hAnsi="Arial" w:cs="Arial"/>
        </w:rPr>
        <w:t>ur del Mediterráneo. Aunque, 50</w:t>
      </w:r>
      <w:r w:rsidRPr="0023432F">
        <w:rPr>
          <w:rFonts w:ascii="Arial" w:hAnsi="Arial" w:cs="Arial"/>
        </w:rPr>
        <w:t>000 años más tarde se encontraron evidencias de ser</w:t>
      </w:r>
      <w:r w:rsidR="0019261C">
        <w:rPr>
          <w:rFonts w:ascii="Arial" w:hAnsi="Arial" w:cs="Arial"/>
        </w:rPr>
        <w:t>es humanos en Europa occidental</w:t>
      </w:r>
      <w:r w:rsidR="008A3801">
        <w:rPr>
          <w:rFonts w:ascii="Arial" w:hAnsi="Arial" w:cs="Arial"/>
        </w:rPr>
        <w:t>;</w:t>
      </w:r>
      <w:r w:rsidR="00707E15">
        <w:rPr>
          <w:rFonts w:ascii="Arial" w:hAnsi="Arial" w:cs="Arial"/>
        </w:rPr>
        <w:t xml:space="preserve"> llegando hace unos 9</w:t>
      </w:r>
      <w:r w:rsidR="00892097">
        <w:rPr>
          <w:rFonts w:ascii="Arial" w:hAnsi="Arial" w:cs="Arial"/>
        </w:rPr>
        <w:t>0</w:t>
      </w:r>
      <w:r w:rsidR="00AD31F2">
        <w:rPr>
          <w:rFonts w:ascii="Arial" w:hAnsi="Arial" w:cs="Arial"/>
        </w:rPr>
        <w:t>000</w:t>
      </w:r>
      <w:r w:rsidR="00892097">
        <w:rPr>
          <w:rFonts w:ascii="Arial" w:hAnsi="Arial" w:cs="Arial"/>
        </w:rPr>
        <w:t xml:space="preserve"> años</w:t>
      </w:r>
      <w:r w:rsidR="00AD31F2">
        <w:rPr>
          <w:rFonts w:ascii="Arial" w:hAnsi="Arial" w:cs="Arial"/>
        </w:rPr>
        <w:t xml:space="preserve"> al Oriente Medio y hace unos 40000 años</w:t>
      </w:r>
      <w:r w:rsidR="00892097">
        <w:rPr>
          <w:rFonts w:ascii="Arial" w:hAnsi="Arial" w:cs="Arial"/>
        </w:rPr>
        <w:t xml:space="preserve"> a </w:t>
      </w:r>
      <w:r w:rsidR="00D94280">
        <w:rPr>
          <w:rFonts w:ascii="Arial" w:hAnsi="Arial" w:cs="Arial"/>
        </w:rPr>
        <w:t>Europa</w:t>
      </w:r>
      <w:r w:rsidR="00AD31F2">
        <w:rPr>
          <w:rFonts w:ascii="Arial" w:hAnsi="Arial" w:cs="Arial"/>
        </w:rPr>
        <w:t xml:space="preserve"> Occidental y Australia</w:t>
      </w:r>
      <w:r w:rsidR="008A58BE">
        <w:rPr>
          <w:rFonts w:ascii="Arial" w:hAnsi="Arial" w:cs="Arial"/>
        </w:rPr>
        <w:t xml:space="preserve">; </w:t>
      </w:r>
      <w:r w:rsidR="00707E15">
        <w:rPr>
          <w:rFonts w:ascii="Arial" w:hAnsi="Arial" w:cs="Arial"/>
        </w:rPr>
        <w:t>y</w:t>
      </w:r>
      <w:r w:rsidR="008A58BE">
        <w:rPr>
          <w:rFonts w:ascii="Arial" w:hAnsi="Arial" w:cs="Arial"/>
        </w:rPr>
        <w:t>,</w:t>
      </w:r>
      <w:r w:rsidR="00707E15">
        <w:rPr>
          <w:rFonts w:ascii="Arial" w:hAnsi="Arial" w:cs="Arial"/>
        </w:rPr>
        <w:t xml:space="preserve"> hace unos 15</w:t>
      </w:r>
      <w:r w:rsidR="00D94280">
        <w:rPr>
          <w:rFonts w:ascii="Arial" w:hAnsi="Arial" w:cs="Arial"/>
        </w:rPr>
        <w:t xml:space="preserve">000 años </w:t>
      </w:r>
      <w:r w:rsidR="001431B3">
        <w:rPr>
          <w:rFonts w:ascii="Arial" w:hAnsi="Arial" w:cs="Arial"/>
        </w:rPr>
        <w:t xml:space="preserve">posiblemente </w:t>
      </w:r>
      <w:r w:rsidR="00D94280">
        <w:rPr>
          <w:rFonts w:ascii="Arial" w:hAnsi="Arial" w:cs="Arial"/>
        </w:rPr>
        <w:t xml:space="preserve">a América. </w:t>
      </w:r>
    </w:p>
    <w:p w:rsidR="001431B3" w:rsidRDefault="001431B3" w:rsidP="000E2301">
      <w:pPr>
        <w:spacing w:line="480" w:lineRule="auto"/>
        <w:ind w:left="851"/>
        <w:jc w:val="both"/>
        <w:rPr>
          <w:rFonts w:ascii="Arial" w:hAnsi="Arial" w:cs="Arial"/>
        </w:rPr>
      </w:pPr>
    </w:p>
    <w:p w:rsidR="007177FF" w:rsidRPr="0023432F" w:rsidRDefault="00564F27" w:rsidP="000E2301">
      <w:pPr>
        <w:spacing w:line="480" w:lineRule="auto"/>
        <w:ind w:left="851"/>
        <w:jc w:val="both"/>
        <w:rPr>
          <w:rFonts w:ascii="Arial" w:hAnsi="Arial" w:cs="Arial"/>
        </w:rPr>
      </w:pPr>
      <w:r>
        <w:rPr>
          <w:rFonts w:ascii="Arial" w:hAnsi="Arial" w:cs="Arial"/>
        </w:rPr>
        <w:t>En la antigüedad, la</w:t>
      </w:r>
      <w:r w:rsidR="003972E6">
        <w:rPr>
          <w:rFonts w:ascii="Arial" w:hAnsi="Arial" w:cs="Arial"/>
        </w:rPr>
        <w:t xml:space="preserve"> mayoría de </w:t>
      </w:r>
      <w:r w:rsidR="004145A8" w:rsidRPr="0023432F">
        <w:rPr>
          <w:rFonts w:ascii="Arial" w:hAnsi="Arial" w:cs="Arial"/>
        </w:rPr>
        <w:t>la</w:t>
      </w:r>
      <w:r w:rsidR="003972E6">
        <w:rPr>
          <w:rFonts w:ascii="Arial" w:hAnsi="Arial" w:cs="Arial"/>
        </w:rPr>
        <w:t>s migracio</w:t>
      </w:r>
      <w:r w:rsidR="004145A8" w:rsidRPr="0023432F">
        <w:rPr>
          <w:rFonts w:ascii="Arial" w:hAnsi="Arial" w:cs="Arial"/>
        </w:rPr>
        <w:t>n</w:t>
      </w:r>
      <w:r w:rsidR="003972E6">
        <w:rPr>
          <w:rFonts w:ascii="Arial" w:hAnsi="Arial" w:cs="Arial"/>
        </w:rPr>
        <w:t>es</w:t>
      </w:r>
      <w:r w:rsidR="004145A8" w:rsidRPr="0023432F">
        <w:rPr>
          <w:rFonts w:ascii="Arial" w:hAnsi="Arial" w:cs="Arial"/>
        </w:rPr>
        <w:t xml:space="preserve"> fue</w:t>
      </w:r>
      <w:r w:rsidR="003972E6">
        <w:rPr>
          <w:rFonts w:ascii="Arial" w:hAnsi="Arial" w:cs="Arial"/>
        </w:rPr>
        <w:t>ron</w:t>
      </w:r>
      <w:r w:rsidR="004145A8" w:rsidRPr="0023432F">
        <w:rPr>
          <w:rFonts w:ascii="Arial" w:hAnsi="Arial" w:cs="Arial"/>
        </w:rPr>
        <w:t xml:space="preserve"> </w:t>
      </w:r>
      <w:r w:rsidR="003972E6">
        <w:rPr>
          <w:rFonts w:ascii="Arial" w:hAnsi="Arial" w:cs="Arial"/>
        </w:rPr>
        <w:t xml:space="preserve">una </w:t>
      </w:r>
      <w:r w:rsidR="004145A8" w:rsidRPr="0023432F">
        <w:rPr>
          <w:rFonts w:ascii="Arial" w:hAnsi="Arial" w:cs="Arial"/>
        </w:rPr>
        <w:t>conse</w:t>
      </w:r>
      <w:r w:rsidR="003972E6">
        <w:rPr>
          <w:rFonts w:ascii="Arial" w:hAnsi="Arial" w:cs="Arial"/>
        </w:rPr>
        <w:t>cuencia de conquistas militares; e</w:t>
      </w:r>
      <w:r w:rsidR="004145A8" w:rsidRPr="0023432F">
        <w:rPr>
          <w:rFonts w:ascii="Arial" w:hAnsi="Arial" w:cs="Arial"/>
        </w:rPr>
        <w:t xml:space="preserve">s así que alrededor </w:t>
      </w:r>
      <w:r w:rsidR="003F2188" w:rsidRPr="0023432F">
        <w:rPr>
          <w:rFonts w:ascii="Arial" w:hAnsi="Arial" w:cs="Arial"/>
        </w:rPr>
        <w:t>del año 1279, el imperio Mongol</w:t>
      </w:r>
      <w:r w:rsidR="004145A8" w:rsidRPr="0023432F">
        <w:rPr>
          <w:rFonts w:ascii="Arial" w:hAnsi="Arial" w:cs="Arial"/>
        </w:rPr>
        <w:t xml:space="preserve"> comenzó con la conquista de China; conforme fue creciendo hacia el oeste, empezaron los movimientos migratorios que alcanzaron el interior de Afganistán, Persia, Asia Menor, Siria, y gran parte de Europa del Este. Pocos siglos después, la creación de otro poderoso imperio, el Otomano, trajo consigo otro</w:t>
      </w:r>
      <w:r w:rsidR="00F45129">
        <w:rPr>
          <w:rFonts w:ascii="Arial" w:hAnsi="Arial" w:cs="Arial"/>
        </w:rPr>
        <w:t>s grandes flujos migratorios desde</w:t>
      </w:r>
      <w:r w:rsidR="004145A8" w:rsidRPr="0023432F">
        <w:rPr>
          <w:rFonts w:ascii="Arial" w:hAnsi="Arial" w:cs="Arial"/>
        </w:rPr>
        <w:t xml:space="preserve"> Asia Central, a través </w:t>
      </w:r>
      <w:r w:rsidR="004145A8" w:rsidRPr="0023432F">
        <w:rPr>
          <w:rFonts w:ascii="Arial" w:hAnsi="Arial" w:cs="Arial"/>
        </w:rPr>
        <w:lastRenderedPageBreak/>
        <w:t xml:space="preserve">de Asia Menor, culminando en la conquista de Constantinopla, </w:t>
      </w:r>
      <w:r w:rsidR="00B0684E">
        <w:rPr>
          <w:rFonts w:ascii="Arial" w:hAnsi="Arial" w:cs="Arial"/>
        </w:rPr>
        <w:t>la</w:t>
      </w:r>
      <w:r w:rsidR="004145A8" w:rsidRPr="0023432F">
        <w:rPr>
          <w:rFonts w:ascii="Arial" w:hAnsi="Arial" w:cs="Arial"/>
        </w:rPr>
        <w:t xml:space="preserve"> actual Estambul</w:t>
      </w:r>
      <w:r w:rsidR="00F45129">
        <w:rPr>
          <w:rFonts w:ascii="Arial" w:hAnsi="Arial" w:cs="Arial"/>
        </w:rPr>
        <w:t xml:space="preserve">, para más detalles véase </w:t>
      </w:r>
      <w:r w:rsidR="00B0684E">
        <w:rPr>
          <w:rFonts w:ascii="Arial" w:hAnsi="Arial" w:cs="Arial"/>
        </w:rPr>
        <w:t>“</w:t>
      </w:r>
      <w:r w:rsidR="00F45129">
        <w:rPr>
          <w:rFonts w:ascii="Arial" w:hAnsi="Arial" w:cs="Arial"/>
          <w:i/>
        </w:rPr>
        <w:t>Migración en la Historia</w:t>
      </w:r>
      <w:r w:rsidR="00B0684E">
        <w:rPr>
          <w:rFonts w:ascii="Arial" w:hAnsi="Arial" w:cs="Arial"/>
          <w:i/>
        </w:rPr>
        <w:t>”</w:t>
      </w:r>
      <w:r w:rsidR="003F2188">
        <w:rPr>
          <w:rStyle w:val="Refdenotaalpie"/>
          <w:rFonts w:ascii="Arial" w:hAnsi="Arial" w:cs="Arial"/>
        </w:rPr>
        <w:footnoteReference w:id="2"/>
      </w:r>
      <w:r w:rsidR="004145A8" w:rsidRPr="0023432F">
        <w:rPr>
          <w:rFonts w:ascii="Arial" w:hAnsi="Arial" w:cs="Arial"/>
        </w:rPr>
        <w:t>.</w:t>
      </w:r>
    </w:p>
    <w:p w:rsidR="009A6904" w:rsidRDefault="009A6904" w:rsidP="000E2301">
      <w:pPr>
        <w:pStyle w:val="Prrafodelista"/>
        <w:spacing w:line="480" w:lineRule="auto"/>
        <w:ind w:left="851"/>
        <w:jc w:val="both"/>
        <w:rPr>
          <w:rFonts w:ascii="Arial" w:hAnsi="Arial" w:cs="Arial"/>
        </w:rPr>
      </w:pPr>
    </w:p>
    <w:p w:rsidR="00433C96" w:rsidRPr="0023432F" w:rsidRDefault="00FE7648" w:rsidP="000E2301">
      <w:pPr>
        <w:spacing w:line="480" w:lineRule="auto"/>
        <w:ind w:left="851"/>
        <w:jc w:val="both"/>
        <w:rPr>
          <w:rFonts w:ascii="Arial" w:hAnsi="Arial" w:cs="Arial"/>
        </w:rPr>
      </w:pPr>
      <w:r>
        <w:rPr>
          <w:rFonts w:ascii="Arial" w:hAnsi="Arial" w:cs="Arial"/>
        </w:rPr>
        <w:t xml:space="preserve">Según </w:t>
      </w:r>
      <w:r w:rsidRPr="000D1902">
        <w:rPr>
          <w:rFonts w:ascii="Arial" w:hAnsi="Arial" w:cs="Arial"/>
          <w:i/>
        </w:rPr>
        <w:t>Sutcliffe</w:t>
      </w:r>
      <w:r w:rsidR="003566D0">
        <w:rPr>
          <w:rFonts w:ascii="Arial" w:hAnsi="Arial" w:cs="Arial"/>
          <w:i/>
        </w:rPr>
        <w:t>,</w:t>
      </w:r>
      <w:r w:rsidR="00950729">
        <w:rPr>
          <w:rFonts w:ascii="Arial" w:hAnsi="Arial" w:cs="Arial"/>
          <w:i/>
        </w:rPr>
        <w:t xml:space="preserve"> B.</w:t>
      </w:r>
      <w:r>
        <w:rPr>
          <w:rStyle w:val="Refdenotaalpie"/>
          <w:rFonts w:ascii="Arial" w:hAnsi="Arial" w:cs="Arial"/>
          <w:i/>
        </w:rPr>
        <w:footnoteReference w:id="3"/>
      </w:r>
      <w:r>
        <w:rPr>
          <w:rFonts w:ascii="Arial" w:hAnsi="Arial" w:cs="Arial"/>
          <w:i/>
        </w:rPr>
        <w:t xml:space="preserve"> (1998)</w:t>
      </w:r>
      <w:r w:rsidRPr="000D1902">
        <w:rPr>
          <w:rFonts w:ascii="Arial" w:hAnsi="Arial" w:cs="Arial"/>
        </w:rPr>
        <w:t xml:space="preserve">, </w:t>
      </w:r>
      <w:r>
        <w:rPr>
          <w:rFonts w:ascii="Arial" w:hAnsi="Arial" w:cs="Arial"/>
        </w:rPr>
        <w:t>o</w:t>
      </w:r>
      <w:r w:rsidR="00B10953">
        <w:rPr>
          <w:rFonts w:ascii="Arial" w:hAnsi="Arial" w:cs="Arial"/>
        </w:rPr>
        <w:t>tras oleadas migratorias se dieron d</w:t>
      </w:r>
      <w:r w:rsidR="00433C96" w:rsidRPr="0023432F">
        <w:rPr>
          <w:rFonts w:ascii="Arial" w:hAnsi="Arial" w:cs="Arial"/>
        </w:rPr>
        <w:t xml:space="preserve">urante </w:t>
      </w:r>
      <w:r w:rsidR="00B10953">
        <w:rPr>
          <w:rFonts w:ascii="Arial" w:hAnsi="Arial" w:cs="Arial"/>
        </w:rPr>
        <w:t>l</w:t>
      </w:r>
      <w:r w:rsidR="00433C96" w:rsidRPr="0023432F">
        <w:rPr>
          <w:rFonts w:ascii="Arial" w:hAnsi="Arial" w:cs="Arial"/>
        </w:rPr>
        <w:t xml:space="preserve">a era </w:t>
      </w:r>
      <w:r w:rsidR="00B10953">
        <w:rPr>
          <w:rFonts w:ascii="Arial" w:hAnsi="Arial" w:cs="Arial"/>
        </w:rPr>
        <w:t xml:space="preserve">Capitalista, </w:t>
      </w:r>
      <w:r>
        <w:rPr>
          <w:rFonts w:ascii="Arial" w:hAnsi="Arial" w:cs="Arial"/>
        </w:rPr>
        <w:t>de</w:t>
      </w:r>
      <w:r w:rsidR="00B10953">
        <w:rPr>
          <w:rFonts w:ascii="Arial" w:hAnsi="Arial" w:cs="Arial"/>
        </w:rPr>
        <w:t xml:space="preserve"> donde </w:t>
      </w:r>
      <w:r>
        <w:rPr>
          <w:rFonts w:ascii="Arial" w:hAnsi="Arial" w:cs="Arial"/>
        </w:rPr>
        <w:t>algunos</w:t>
      </w:r>
      <w:r w:rsidR="00B10953">
        <w:rPr>
          <w:rFonts w:ascii="Arial" w:hAnsi="Arial" w:cs="Arial"/>
        </w:rPr>
        <w:t xml:space="preserve"> </w:t>
      </w:r>
      <w:r w:rsidR="00433C96" w:rsidRPr="0023432F">
        <w:rPr>
          <w:rFonts w:ascii="Arial" w:hAnsi="Arial" w:cs="Arial"/>
        </w:rPr>
        <w:t>movimientos migratorios</w:t>
      </w:r>
      <w:r w:rsidR="00B10953">
        <w:rPr>
          <w:rFonts w:ascii="Arial" w:hAnsi="Arial" w:cs="Arial"/>
        </w:rPr>
        <w:t xml:space="preserve"> sobresalientes</w:t>
      </w:r>
      <w:r>
        <w:rPr>
          <w:rFonts w:ascii="Arial" w:hAnsi="Arial" w:cs="Arial"/>
        </w:rPr>
        <w:t xml:space="preserve"> fueron</w:t>
      </w:r>
      <w:r w:rsidR="00433C96" w:rsidRPr="0023432F">
        <w:rPr>
          <w:rFonts w:ascii="Arial" w:hAnsi="Arial" w:cs="Arial"/>
        </w:rPr>
        <w:t>:</w:t>
      </w:r>
    </w:p>
    <w:p w:rsidR="00433C96" w:rsidRDefault="00622069" w:rsidP="0041640C">
      <w:pPr>
        <w:pStyle w:val="Prrafodelista"/>
        <w:numPr>
          <w:ilvl w:val="0"/>
          <w:numId w:val="2"/>
        </w:numPr>
        <w:spacing w:line="480" w:lineRule="auto"/>
        <w:ind w:left="1134" w:hanging="284"/>
        <w:jc w:val="both"/>
        <w:rPr>
          <w:rFonts w:ascii="Arial" w:hAnsi="Arial" w:cs="Arial"/>
        </w:rPr>
      </w:pPr>
      <w:r>
        <w:rPr>
          <w:rFonts w:ascii="Arial" w:hAnsi="Arial" w:cs="Arial"/>
        </w:rPr>
        <w:t>La e</w:t>
      </w:r>
      <w:r w:rsidR="00433C96" w:rsidRPr="00433C96">
        <w:rPr>
          <w:rFonts w:ascii="Arial" w:hAnsi="Arial" w:cs="Arial"/>
        </w:rPr>
        <w:t>migración de los chinos hacia Taiwán a partir del siglo XVII.</w:t>
      </w:r>
    </w:p>
    <w:p w:rsidR="00433C96" w:rsidRDefault="00433C96" w:rsidP="0041640C">
      <w:pPr>
        <w:pStyle w:val="Prrafodelista"/>
        <w:numPr>
          <w:ilvl w:val="0"/>
          <w:numId w:val="2"/>
        </w:numPr>
        <w:spacing w:line="480" w:lineRule="auto"/>
        <w:ind w:left="1134" w:hanging="284"/>
        <w:jc w:val="both"/>
        <w:rPr>
          <w:rFonts w:ascii="Arial" w:hAnsi="Arial" w:cs="Arial"/>
        </w:rPr>
      </w:pPr>
      <w:r w:rsidRPr="00433C96">
        <w:rPr>
          <w:rFonts w:ascii="Arial" w:hAnsi="Arial" w:cs="Arial"/>
        </w:rPr>
        <w:t>Más de 10 millones de africanos fueron obligados a ir como esclavos al nuevo continente durante los siglos XVII y XIX.</w:t>
      </w:r>
    </w:p>
    <w:p w:rsidR="00433C96" w:rsidRDefault="00433C96" w:rsidP="0041640C">
      <w:pPr>
        <w:pStyle w:val="Prrafodelista"/>
        <w:numPr>
          <w:ilvl w:val="0"/>
          <w:numId w:val="2"/>
        </w:numPr>
        <w:spacing w:line="480" w:lineRule="auto"/>
        <w:ind w:left="1134" w:hanging="284"/>
        <w:jc w:val="both"/>
        <w:rPr>
          <w:rFonts w:ascii="Arial" w:hAnsi="Arial" w:cs="Arial"/>
        </w:rPr>
      </w:pPr>
      <w:r w:rsidRPr="00433C96">
        <w:rPr>
          <w:rFonts w:ascii="Arial" w:hAnsi="Arial" w:cs="Arial"/>
        </w:rPr>
        <w:t>Entre los años 1815 y 1914, alrededor de 60 millones de europeos emigraron hacia América del Norte y Sur como colonos. Otros se dirigieron hacia Australia y África Austral.</w:t>
      </w:r>
    </w:p>
    <w:p w:rsidR="0034313B" w:rsidRDefault="00433C96" w:rsidP="0041640C">
      <w:pPr>
        <w:pStyle w:val="Prrafodelista"/>
        <w:numPr>
          <w:ilvl w:val="0"/>
          <w:numId w:val="2"/>
        </w:numPr>
        <w:spacing w:line="480" w:lineRule="auto"/>
        <w:ind w:left="1134" w:hanging="284"/>
        <w:jc w:val="both"/>
        <w:rPr>
          <w:rFonts w:ascii="Arial" w:hAnsi="Arial" w:cs="Arial"/>
        </w:rPr>
      </w:pPr>
      <w:r w:rsidRPr="00433C96">
        <w:rPr>
          <w:rFonts w:ascii="Arial" w:hAnsi="Arial" w:cs="Arial"/>
        </w:rPr>
        <w:t xml:space="preserve">Varios millones de indios emigraron hacia países asiáticos durante los siglos XIX y XX; otros </w:t>
      </w:r>
      <w:r w:rsidR="00164573">
        <w:rPr>
          <w:rFonts w:ascii="Arial" w:hAnsi="Arial" w:cs="Arial"/>
        </w:rPr>
        <w:t>fueron</w:t>
      </w:r>
      <w:r w:rsidRPr="00433C96">
        <w:rPr>
          <w:rFonts w:ascii="Arial" w:hAnsi="Arial" w:cs="Arial"/>
        </w:rPr>
        <w:t xml:space="preserve"> a África del este como mercaderes o hacia África austral como trabajadores contratados. Y otra parte cruza el Pacífico par</w:t>
      </w:r>
      <w:r>
        <w:rPr>
          <w:rFonts w:ascii="Arial" w:hAnsi="Arial" w:cs="Arial"/>
        </w:rPr>
        <w:t>a trabajar en países del Caribe</w:t>
      </w:r>
      <w:r w:rsidRPr="00433C96">
        <w:rPr>
          <w:rFonts w:ascii="Arial" w:hAnsi="Arial" w:cs="Arial"/>
        </w:rPr>
        <w:t>.</w:t>
      </w:r>
    </w:p>
    <w:p w:rsidR="00EC454E" w:rsidRDefault="00EC454E" w:rsidP="000E2301">
      <w:pPr>
        <w:pStyle w:val="Prrafodelista"/>
        <w:spacing w:line="480" w:lineRule="auto"/>
        <w:ind w:left="851"/>
        <w:jc w:val="both"/>
        <w:rPr>
          <w:rFonts w:ascii="Arial" w:hAnsi="Arial" w:cs="Arial"/>
        </w:rPr>
      </w:pPr>
    </w:p>
    <w:p w:rsidR="009A6904" w:rsidRDefault="00873C4A" w:rsidP="000E2301">
      <w:pPr>
        <w:spacing w:line="480" w:lineRule="auto"/>
        <w:ind w:left="851"/>
        <w:jc w:val="both"/>
        <w:rPr>
          <w:rFonts w:ascii="Arial" w:hAnsi="Arial" w:cs="Arial"/>
        </w:rPr>
      </w:pPr>
      <w:r w:rsidRPr="00873C4A">
        <w:rPr>
          <w:rFonts w:ascii="Arial" w:hAnsi="Arial" w:cs="Arial"/>
        </w:rPr>
        <w:t>Otras migraciones, se dieron como consecuencia de la primera Revolución In</w:t>
      </w:r>
      <w:r>
        <w:rPr>
          <w:rFonts w:ascii="Arial" w:hAnsi="Arial" w:cs="Arial"/>
        </w:rPr>
        <w:t xml:space="preserve">dustrial, </w:t>
      </w:r>
      <w:r w:rsidRPr="00873C4A">
        <w:rPr>
          <w:rFonts w:ascii="Arial" w:hAnsi="Arial" w:cs="Arial"/>
        </w:rPr>
        <w:t>en 1851, donde se generó un movimiento importante de irlandeses hacia Gran Bretaña</w:t>
      </w:r>
      <w:r w:rsidR="00FA44C0">
        <w:rPr>
          <w:rStyle w:val="Refdenotaalpie"/>
          <w:rFonts w:ascii="Arial" w:hAnsi="Arial" w:cs="Arial"/>
        </w:rPr>
        <w:footnoteReference w:id="4"/>
      </w:r>
      <w:r w:rsidRPr="00873C4A">
        <w:rPr>
          <w:rFonts w:ascii="Arial" w:hAnsi="Arial" w:cs="Arial"/>
        </w:rPr>
        <w:t>. Otro ejemplo es el movimiento de Europa oriental a Alemania, y de Alemania oriental al oeste.</w:t>
      </w:r>
      <w:r w:rsidR="00EC454E">
        <w:rPr>
          <w:rFonts w:ascii="Arial" w:hAnsi="Arial" w:cs="Arial"/>
        </w:rPr>
        <w:t xml:space="preserve"> </w:t>
      </w:r>
      <w:r w:rsidR="007C4BF1">
        <w:rPr>
          <w:rFonts w:ascii="Arial" w:hAnsi="Arial" w:cs="Arial"/>
        </w:rPr>
        <w:t xml:space="preserve">Ya para los años 1960 habían alrededor de 75.90 millones de migrantes internacionales lo que </w:t>
      </w:r>
      <w:r w:rsidR="007C4BF1">
        <w:rPr>
          <w:rFonts w:ascii="Arial" w:hAnsi="Arial" w:cs="Arial"/>
        </w:rPr>
        <w:lastRenderedPageBreak/>
        <w:t>representaba alrededor del 2.5</w:t>
      </w:r>
      <w:r w:rsidR="00310BC0">
        <w:rPr>
          <w:rFonts w:ascii="Arial" w:hAnsi="Arial" w:cs="Arial"/>
        </w:rPr>
        <w:t>0</w:t>
      </w:r>
      <w:r w:rsidR="007C4BF1">
        <w:rPr>
          <w:rFonts w:ascii="Arial" w:hAnsi="Arial" w:cs="Arial"/>
        </w:rPr>
        <w:t xml:space="preserve">% de la población mundial; </w:t>
      </w:r>
      <w:r w:rsidR="00664F3B">
        <w:rPr>
          <w:rFonts w:ascii="Arial" w:hAnsi="Arial" w:cs="Arial"/>
        </w:rPr>
        <w:t>y para las décadas de 1970, 1980 y 1990 se tuvieron 81.50, 99.80 y 154 millones de migrantes</w:t>
      </w:r>
      <w:r w:rsidR="00310BC0">
        <w:rPr>
          <w:rFonts w:ascii="Arial" w:hAnsi="Arial" w:cs="Arial"/>
        </w:rPr>
        <w:t>, mientras que para el año 2000 la población migrante representaba el 2.90% de la población total</w:t>
      </w:r>
      <w:r w:rsidR="007C4BF1">
        <w:rPr>
          <w:rFonts w:ascii="Arial" w:hAnsi="Arial" w:cs="Arial"/>
        </w:rPr>
        <w:t xml:space="preserve">. </w:t>
      </w:r>
      <w:r w:rsidR="00FB5A42">
        <w:rPr>
          <w:rFonts w:ascii="Arial" w:hAnsi="Arial" w:cs="Arial"/>
        </w:rPr>
        <w:t>Aunque</w:t>
      </w:r>
      <w:r w:rsidR="009A6904" w:rsidRPr="009A6904">
        <w:rPr>
          <w:rFonts w:ascii="Arial" w:hAnsi="Arial" w:cs="Arial"/>
        </w:rPr>
        <w:t xml:space="preserve"> </w:t>
      </w:r>
      <w:r w:rsidR="002D4B27">
        <w:rPr>
          <w:rFonts w:ascii="Arial" w:hAnsi="Arial" w:cs="Arial"/>
        </w:rPr>
        <w:t>hasta antes d</w:t>
      </w:r>
      <w:r w:rsidR="009A6904" w:rsidRPr="009A6904">
        <w:rPr>
          <w:rFonts w:ascii="Arial" w:hAnsi="Arial" w:cs="Arial"/>
        </w:rPr>
        <w:t xml:space="preserve">el </w:t>
      </w:r>
      <w:r w:rsidR="00B10844">
        <w:rPr>
          <w:rFonts w:ascii="Arial" w:hAnsi="Arial" w:cs="Arial"/>
        </w:rPr>
        <w:t xml:space="preserve">año </w:t>
      </w:r>
      <w:r w:rsidR="009A6904" w:rsidRPr="009A6904">
        <w:rPr>
          <w:rFonts w:ascii="Arial" w:hAnsi="Arial" w:cs="Arial"/>
        </w:rPr>
        <w:t>2009,</w:t>
      </w:r>
      <w:r w:rsidR="00031478">
        <w:rPr>
          <w:rFonts w:ascii="Arial" w:hAnsi="Arial" w:cs="Arial"/>
        </w:rPr>
        <w:t xml:space="preserve"> según </w:t>
      </w:r>
      <w:r w:rsidR="001E4A70" w:rsidRPr="001E4A70">
        <w:rPr>
          <w:rFonts w:ascii="Arial" w:hAnsi="Arial" w:cs="Arial"/>
          <w:i/>
        </w:rPr>
        <w:t>Gamero</w:t>
      </w:r>
      <w:r w:rsidR="003566D0">
        <w:rPr>
          <w:rFonts w:ascii="Arial" w:hAnsi="Arial" w:cs="Arial"/>
          <w:i/>
        </w:rPr>
        <w:t xml:space="preserve">, </w:t>
      </w:r>
      <w:r w:rsidR="007A2D4B">
        <w:rPr>
          <w:rFonts w:ascii="Arial" w:hAnsi="Arial" w:cs="Arial"/>
          <w:i/>
        </w:rPr>
        <w:t>J.</w:t>
      </w:r>
      <w:r w:rsidR="00031478" w:rsidRPr="001E4A70">
        <w:rPr>
          <w:rStyle w:val="Refdenotaalpie"/>
          <w:rFonts w:ascii="Arial" w:hAnsi="Arial" w:cs="Arial"/>
        </w:rPr>
        <w:footnoteReference w:id="5"/>
      </w:r>
      <w:r w:rsidR="001E4A70" w:rsidRPr="001E4A70">
        <w:rPr>
          <w:rFonts w:ascii="Arial" w:hAnsi="Arial" w:cs="Arial"/>
          <w:i/>
        </w:rPr>
        <w:t xml:space="preserve"> </w:t>
      </w:r>
      <w:r w:rsidR="001E4A70" w:rsidRPr="001E4A70">
        <w:rPr>
          <w:rFonts w:ascii="Arial" w:hAnsi="Arial" w:cs="Arial"/>
        </w:rPr>
        <w:t>(2009)</w:t>
      </w:r>
      <w:r w:rsidR="00031478">
        <w:rPr>
          <w:rFonts w:ascii="Arial" w:hAnsi="Arial" w:cs="Arial"/>
        </w:rPr>
        <w:t>,</w:t>
      </w:r>
      <w:r w:rsidR="009A6904" w:rsidRPr="009A6904">
        <w:rPr>
          <w:rFonts w:ascii="Arial" w:hAnsi="Arial" w:cs="Arial"/>
        </w:rPr>
        <w:t xml:space="preserve"> la migración mundial se acercaba a los 200 millones, lo que representaba aproximadamente el 3% de la población mundial de la época. De los cuales el 49.6% eran mujeres. </w:t>
      </w:r>
      <w:r w:rsidR="0085028B">
        <w:rPr>
          <w:rFonts w:ascii="Arial" w:hAnsi="Arial" w:cs="Arial"/>
        </w:rPr>
        <w:t xml:space="preserve">Para más información </w:t>
      </w:r>
      <w:r w:rsidR="0085028B">
        <w:rPr>
          <w:rFonts w:ascii="Arial" w:hAnsi="Arial" w:cs="Arial"/>
          <w:i/>
        </w:rPr>
        <w:t>v</w:t>
      </w:r>
      <w:r w:rsidR="008507C4" w:rsidRPr="008507C4">
        <w:rPr>
          <w:rFonts w:ascii="Arial" w:hAnsi="Arial" w:cs="Arial"/>
          <w:i/>
        </w:rPr>
        <w:t>éase Tabla 1.</w:t>
      </w:r>
      <w:r w:rsidR="009672FD">
        <w:rPr>
          <w:rFonts w:ascii="Arial" w:hAnsi="Arial" w:cs="Arial"/>
          <w:i/>
        </w:rPr>
        <w:t>1.</w:t>
      </w:r>
      <w:r w:rsidR="009A6904" w:rsidRPr="009A6904">
        <w:rPr>
          <w:rFonts w:ascii="Arial" w:hAnsi="Arial" w:cs="Arial"/>
        </w:rPr>
        <w:t xml:space="preserve">  </w:t>
      </w:r>
    </w:p>
    <w:tbl>
      <w:tblPr>
        <w:tblW w:w="7535" w:type="dxa"/>
        <w:jc w:val="right"/>
        <w:tblInd w:w="750"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8507C4" w:rsidRPr="00402486" w:rsidTr="00CC5492">
        <w:trPr>
          <w:trHeight w:val="5821"/>
          <w:jc w:val="right"/>
        </w:trPr>
        <w:tc>
          <w:tcPr>
            <w:tcW w:w="7535" w:type="dxa"/>
          </w:tcPr>
          <w:p w:rsidR="008507C4" w:rsidRPr="002D7F13" w:rsidRDefault="008507C4" w:rsidP="005366AD">
            <w:pPr>
              <w:pStyle w:val="Prrafodelista"/>
              <w:ind w:left="0"/>
              <w:rPr>
                <w:rFonts w:ascii="Arial" w:hAnsi="Arial" w:cs="Arial"/>
                <w:b/>
                <w:sz w:val="16"/>
                <w:szCs w:val="16"/>
              </w:rPr>
            </w:pPr>
          </w:p>
          <w:p w:rsidR="009672FD" w:rsidRPr="009F5200" w:rsidRDefault="009F5200" w:rsidP="005366AD">
            <w:pPr>
              <w:pStyle w:val="Epgrafe"/>
              <w:ind w:left="0"/>
              <w:rPr>
                <w:rFonts w:ascii="Arial" w:hAnsi="Arial" w:cs="Arial"/>
                <w:b w:val="0"/>
                <w:color w:val="auto"/>
                <w:sz w:val="16"/>
                <w:szCs w:val="16"/>
              </w:rPr>
            </w:pPr>
            <w:bookmarkStart w:id="31" w:name="_Toc339749130"/>
            <w:bookmarkStart w:id="32" w:name="_Toc341041381"/>
            <w:r>
              <w:rPr>
                <w:rFonts w:ascii="Arial" w:hAnsi="Arial" w:cs="Arial"/>
                <w:color w:val="auto"/>
                <w:sz w:val="16"/>
                <w:szCs w:val="16"/>
              </w:rPr>
              <w:t>Tabla 1.</w:t>
            </w:r>
            <w:r w:rsidR="00990535" w:rsidRPr="009F5200">
              <w:rPr>
                <w:rFonts w:ascii="Arial" w:hAnsi="Arial" w:cs="Arial"/>
                <w:color w:val="auto"/>
                <w:sz w:val="16"/>
                <w:szCs w:val="16"/>
              </w:rPr>
              <w:fldChar w:fldCharType="begin"/>
            </w:r>
            <w:r w:rsidRPr="009F5200">
              <w:rPr>
                <w:rFonts w:ascii="Arial" w:hAnsi="Arial" w:cs="Arial"/>
                <w:color w:val="auto"/>
                <w:sz w:val="16"/>
                <w:szCs w:val="16"/>
              </w:rPr>
              <w:instrText xml:space="preserve"> SEQ Tabla_1. \* ARABIC </w:instrText>
            </w:r>
            <w:r w:rsidR="00990535" w:rsidRPr="009F5200">
              <w:rPr>
                <w:rFonts w:ascii="Arial" w:hAnsi="Arial" w:cs="Arial"/>
                <w:color w:val="auto"/>
                <w:sz w:val="16"/>
                <w:szCs w:val="16"/>
              </w:rPr>
              <w:fldChar w:fldCharType="separate"/>
            </w:r>
            <w:r w:rsidR="00A242E0">
              <w:rPr>
                <w:rFonts w:ascii="Arial" w:hAnsi="Arial" w:cs="Arial"/>
                <w:noProof/>
                <w:color w:val="auto"/>
                <w:sz w:val="16"/>
                <w:szCs w:val="16"/>
              </w:rPr>
              <w:t>1</w:t>
            </w:r>
            <w:bookmarkEnd w:id="31"/>
            <w:bookmarkEnd w:id="32"/>
            <w:r w:rsidR="00990535" w:rsidRPr="009F5200">
              <w:rPr>
                <w:rFonts w:ascii="Arial" w:hAnsi="Arial" w:cs="Arial"/>
                <w:color w:val="auto"/>
                <w:sz w:val="16"/>
                <w:szCs w:val="16"/>
              </w:rPr>
              <w:fldChar w:fldCharType="end"/>
            </w:r>
          </w:p>
          <w:p w:rsidR="008507C4" w:rsidRDefault="008507C4" w:rsidP="005366AD">
            <w:pPr>
              <w:pStyle w:val="Prrafodelista"/>
              <w:ind w:left="0"/>
              <w:rPr>
                <w:rFonts w:ascii="Arial" w:hAnsi="Arial" w:cs="Arial"/>
                <w:i/>
                <w:sz w:val="16"/>
                <w:szCs w:val="16"/>
              </w:rPr>
            </w:pPr>
            <w:r w:rsidRPr="008507C4">
              <w:rPr>
                <w:rFonts w:ascii="Arial" w:hAnsi="Arial" w:cs="Arial"/>
                <w:i/>
                <w:sz w:val="16"/>
                <w:szCs w:val="16"/>
              </w:rPr>
              <w:t xml:space="preserve">Distribución </w:t>
            </w:r>
            <w:r>
              <w:rPr>
                <w:rFonts w:ascii="Arial" w:hAnsi="Arial" w:cs="Arial"/>
                <w:i/>
                <w:sz w:val="16"/>
                <w:szCs w:val="16"/>
              </w:rPr>
              <w:t>d</w:t>
            </w:r>
            <w:r w:rsidRPr="008507C4">
              <w:rPr>
                <w:rFonts w:ascii="Arial" w:hAnsi="Arial" w:cs="Arial"/>
                <w:i/>
                <w:sz w:val="16"/>
                <w:szCs w:val="16"/>
              </w:rPr>
              <w:t xml:space="preserve">e </w:t>
            </w:r>
            <w:r>
              <w:rPr>
                <w:rFonts w:ascii="Arial" w:hAnsi="Arial" w:cs="Arial"/>
                <w:i/>
                <w:sz w:val="16"/>
                <w:szCs w:val="16"/>
              </w:rPr>
              <w:t>l</w:t>
            </w:r>
            <w:r w:rsidRPr="008507C4">
              <w:rPr>
                <w:rFonts w:ascii="Arial" w:hAnsi="Arial" w:cs="Arial"/>
                <w:i/>
                <w:sz w:val="16"/>
                <w:szCs w:val="16"/>
              </w:rPr>
              <w:t xml:space="preserve">a Migración Internacional, </w:t>
            </w:r>
            <w:r>
              <w:rPr>
                <w:rFonts w:ascii="Arial" w:hAnsi="Arial" w:cs="Arial"/>
                <w:i/>
                <w:sz w:val="16"/>
                <w:szCs w:val="16"/>
              </w:rPr>
              <w:t>s</w:t>
            </w:r>
            <w:r w:rsidRPr="008507C4">
              <w:rPr>
                <w:rFonts w:ascii="Arial" w:hAnsi="Arial" w:cs="Arial"/>
                <w:i/>
                <w:sz w:val="16"/>
                <w:szCs w:val="16"/>
              </w:rPr>
              <w:t>egún Grandes Regiones, 1960-2000</w:t>
            </w:r>
          </w:p>
          <w:p w:rsidR="00B87C84" w:rsidRPr="00616203" w:rsidRDefault="00B87C84" w:rsidP="005366AD">
            <w:pPr>
              <w:pStyle w:val="Prrafodelista"/>
              <w:ind w:left="0"/>
              <w:rPr>
                <w:rFonts w:ascii="Arial" w:hAnsi="Arial" w:cs="Arial"/>
                <w:i/>
                <w:sz w:val="10"/>
                <w:szCs w:val="10"/>
              </w:rPr>
            </w:pPr>
          </w:p>
          <w:tbl>
            <w:tblPr>
              <w:tblW w:w="7264" w:type="dxa"/>
              <w:jc w:val="center"/>
              <w:tblCellMar>
                <w:left w:w="0" w:type="dxa"/>
                <w:right w:w="0" w:type="dxa"/>
              </w:tblCellMar>
              <w:tblLook w:val="04A0" w:firstRow="1" w:lastRow="0" w:firstColumn="1" w:lastColumn="0" w:noHBand="0" w:noVBand="1"/>
            </w:tblPr>
            <w:tblGrid>
              <w:gridCol w:w="1133"/>
              <w:gridCol w:w="420"/>
              <w:gridCol w:w="377"/>
              <w:gridCol w:w="445"/>
              <w:gridCol w:w="445"/>
              <w:gridCol w:w="452"/>
              <w:gridCol w:w="624"/>
              <w:gridCol w:w="713"/>
              <w:gridCol w:w="689"/>
              <w:gridCol w:w="735"/>
              <w:gridCol w:w="636"/>
              <w:gridCol w:w="595"/>
            </w:tblGrid>
            <w:tr w:rsidR="00724D07" w:rsidRPr="009458C6" w:rsidTr="009F5200">
              <w:trPr>
                <w:trHeight w:val="794"/>
                <w:jc w:val="center"/>
              </w:trPr>
              <w:tc>
                <w:tcPr>
                  <w:tcW w:w="1133" w:type="dxa"/>
                  <w:vMerge w:val="restart"/>
                  <w:tcBorders>
                    <w:top w:val="single" w:sz="4" w:space="0" w:color="auto"/>
                    <w:left w:val="nil"/>
                    <w:bottom w:val="single" w:sz="4" w:space="0" w:color="000000"/>
                    <w:right w:val="nil"/>
                  </w:tcBorders>
                  <w:shd w:val="clear" w:color="auto" w:fill="auto"/>
                  <w:vAlign w:val="center"/>
                  <w:hideMark/>
                </w:tcPr>
                <w:p w:rsidR="00724D07" w:rsidRPr="009458C6" w:rsidRDefault="00724D07" w:rsidP="009458C6">
                  <w:pPr>
                    <w:rPr>
                      <w:rFonts w:ascii="Arial" w:eastAsia="Times New Roman" w:hAnsi="Arial" w:cs="Arial"/>
                      <w:b/>
                      <w:bCs/>
                      <w:color w:val="000000"/>
                      <w:sz w:val="16"/>
                      <w:szCs w:val="16"/>
                      <w:lang w:eastAsia="es-EC"/>
                    </w:rPr>
                  </w:pPr>
                  <w:r w:rsidRPr="009458C6">
                    <w:rPr>
                      <w:rFonts w:ascii="Arial" w:eastAsia="Times New Roman" w:hAnsi="Arial" w:cs="Arial"/>
                      <w:b/>
                      <w:bCs/>
                      <w:color w:val="000000"/>
                      <w:sz w:val="16"/>
                      <w:szCs w:val="16"/>
                      <w:lang w:eastAsia="es-EC"/>
                    </w:rPr>
                    <w:t>Regiones</w:t>
                  </w:r>
                </w:p>
              </w:tc>
              <w:tc>
                <w:tcPr>
                  <w:tcW w:w="2139" w:type="dxa"/>
                  <w:gridSpan w:val="5"/>
                  <w:tcBorders>
                    <w:top w:val="single" w:sz="4" w:space="0" w:color="auto"/>
                    <w:left w:val="nil"/>
                    <w:bottom w:val="single" w:sz="4" w:space="0" w:color="auto"/>
                    <w:right w:val="nil"/>
                  </w:tcBorders>
                  <w:shd w:val="clear" w:color="auto" w:fill="auto"/>
                  <w:vAlign w:val="center"/>
                  <w:hideMark/>
                </w:tcPr>
                <w:p w:rsidR="00724D07" w:rsidRPr="009458C6" w:rsidRDefault="00724D07" w:rsidP="009458C6">
                  <w:pPr>
                    <w:rPr>
                      <w:rFonts w:ascii="Arial" w:eastAsia="Times New Roman" w:hAnsi="Arial" w:cs="Arial"/>
                      <w:b/>
                      <w:bCs/>
                      <w:color w:val="000000"/>
                      <w:sz w:val="16"/>
                      <w:szCs w:val="16"/>
                      <w:lang w:eastAsia="es-EC"/>
                    </w:rPr>
                  </w:pPr>
                  <w:r w:rsidRPr="009458C6">
                    <w:rPr>
                      <w:rFonts w:ascii="Arial" w:eastAsia="Times New Roman" w:hAnsi="Arial" w:cs="Arial"/>
                      <w:b/>
                      <w:bCs/>
                      <w:color w:val="000000"/>
                      <w:sz w:val="16"/>
                      <w:szCs w:val="16"/>
                      <w:lang w:eastAsia="es-EC"/>
                    </w:rPr>
                    <w:t xml:space="preserve">Total migrantes </w:t>
                  </w:r>
                  <w:r w:rsidRPr="009458C6">
                    <w:rPr>
                      <w:rFonts w:ascii="Arial" w:eastAsia="Times New Roman" w:hAnsi="Arial" w:cs="Arial"/>
                      <w:b/>
                      <w:bCs/>
                      <w:color w:val="000000"/>
                      <w:sz w:val="16"/>
                      <w:szCs w:val="16"/>
                      <w:lang w:eastAsia="es-EC"/>
                    </w:rPr>
                    <w:br/>
                    <w:t>(en millones de personas)</w:t>
                  </w:r>
                </w:p>
              </w:tc>
              <w:tc>
                <w:tcPr>
                  <w:tcW w:w="2761" w:type="dxa"/>
                  <w:gridSpan w:val="4"/>
                  <w:tcBorders>
                    <w:top w:val="single" w:sz="4" w:space="0" w:color="auto"/>
                    <w:left w:val="nil"/>
                    <w:bottom w:val="single" w:sz="4" w:space="0" w:color="auto"/>
                    <w:right w:val="nil"/>
                  </w:tcBorders>
                  <w:shd w:val="clear" w:color="auto" w:fill="auto"/>
                  <w:vAlign w:val="center"/>
                  <w:hideMark/>
                </w:tcPr>
                <w:p w:rsidR="00724D07" w:rsidRPr="009458C6" w:rsidRDefault="00724D07" w:rsidP="009458C6">
                  <w:pPr>
                    <w:rPr>
                      <w:rFonts w:ascii="Arial" w:eastAsia="Times New Roman" w:hAnsi="Arial" w:cs="Arial"/>
                      <w:b/>
                      <w:bCs/>
                      <w:color w:val="000000"/>
                      <w:sz w:val="16"/>
                      <w:szCs w:val="16"/>
                      <w:lang w:eastAsia="es-EC"/>
                    </w:rPr>
                  </w:pPr>
                  <w:r w:rsidRPr="009458C6">
                    <w:rPr>
                      <w:rFonts w:ascii="Arial" w:eastAsia="Times New Roman" w:hAnsi="Arial" w:cs="Arial"/>
                      <w:b/>
                      <w:bCs/>
                      <w:color w:val="000000"/>
                      <w:sz w:val="16"/>
                      <w:szCs w:val="16"/>
                      <w:lang w:eastAsia="es-EC"/>
                    </w:rPr>
                    <w:t xml:space="preserve">Tasa de crecimiento de los migrantes </w:t>
                  </w:r>
                  <w:r w:rsidRPr="009458C6">
                    <w:rPr>
                      <w:rFonts w:ascii="Arial" w:eastAsia="Times New Roman" w:hAnsi="Arial" w:cs="Arial"/>
                      <w:b/>
                      <w:bCs/>
                      <w:color w:val="000000"/>
                      <w:sz w:val="16"/>
                      <w:szCs w:val="16"/>
                      <w:lang w:eastAsia="es-EC"/>
                    </w:rPr>
                    <w:br/>
                    <w:t>(en porcentajes)</w:t>
                  </w:r>
                </w:p>
              </w:tc>
              <w:tc>
                <w:tcPr>
                  <w:tcW w:w="1231" w:type="dxa"/>
                  <w:gridSpan w:val="2"/>
                  <w:tcBorders>
                    <w:top w:val="single" w:sz="4" w:space="0" w:color="auto"/>
                    <w:left w:val="nil"/>
                    <w:bottom w:val="single" w:sz="4" w:space="0" w:color="auto"/>
                    <w:right w:val="nil"/>
                  </w:tcBorders>
                  <w:shd w:val="clear" w:color="auto" w:fill="auto"/>
                  <w:vAlign w:val="center"/>
                  <w:hideMark/>
                </w:tcPr>
                <w:p w:rsidR="00724D07" w:rsidRPr="009458C6" w:rsidRDefault="00724D07" w:rsidP="009458C6">
                  <w:pPr>
                    <w:rPr>
                      <w:rFonts w:ascii="Arial" w:eastAsia="Times New Roman" w:hAnsi="Arial" w:cs="Arial"/>
                      <w:b/>
                      <w:bCs/>
                      <w:color w:val="000000"/>
                      <w:sz w:val="14"/>
                      <w:szCs w:val="14"/>
                      <w:lang w:eastAsia="es-EC"/>
                    </w:rPr>
                  </w:pPr>
                  <w:r w:rsidRPr="009458C6">
                    <w:rPr>
                      <w:rFonts w:ascii="Arial" w:eastAsia="Times New Roman" w:hAnsi="Arial" w:cs="Arial"/>
                      <w:b/>
                      <w:bCs/>
                      <w:color w:val="000000"/>
                      <w:sz w:val="14"/>
                      <w:szCs w:val="14"/>
                      <w:lang w:eastAsia="es-EC"/>
                    </w:rPr>
                    <w:t>Porcentaje de migrantes respecto de la población total</w:t>
                  </w:r>
                </w:p>
              </w:tc>
            </w:tr>
            <w:tr w:rsidR="009F5200" w:rsidRPr="009458C6" w:rsidTr="009F5200">
              <w:trPr>
                <w:trHeight w:val="341"/>
                <w:jc w:val="center"/>
              </w:trPr>
              <w:tc>
                <w:tcPr>
                  <w:tcW w:w="1133" w:type="dxa"/>
                  <w:vMerge/>
                  <w:tcBorders>
                    <w:top w:val="single" w:sz="4" w:space="0" w:color="auto"/>
                    <w:left w:val="nil"/>
                    <w:bottom w:val="single" w:sz="4" w:space="0" w:color="000000"/>
                    <w:right w:val="nil"/>
                  </w:tcBorders>
                  <w:vAlign w:val="center"/>
                  <w:hideMark/>
                </w:tcPr>
                <w:p w:rsidR="009458C6" w:rsidRPr="009458C6" w:rsidRDefault="009458C6" w:rsidP="009458C6">
                  <w:pPr>
                    <w:rPr>
                      <w:rFonts w:ascii="Arial" w:eastAsia="Times New Roman" w:hAnsi="Arial" w:cs="Arial"/>
                      <w:b/>
                      <w:bCs/>
                      <w:color w:val="000000"/>
                      <w:sz w:val="16"/>
                      <w:szCs w:val="16"/>
                      <w:lang w:eastAsia="es-EC"/>
                    </w:rPr>
                  </w:pPr>
                </w:p>
              </w:tc>
              <w:tc>
                <w:tcPr>
                  <w:tcW w:w="420"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b/>
                      <w:bCs/>
                      <w:color w:val="000000"/>
                      <w:sz w:val="14"/>
                      <w:szCs w:val="14"/>
                      <w:lang w:eastAsia="es-EC"/>
                    </w:rPr>
                  </w:pPr>
                  <w:r w:rsidRPr="0054516E">
                    <w:rPr>
                      <w:rFonts w:ascii="Arial" w:eastAsia="Times New Roman" w:hAnsi="Arial" w:cs="Arial"/>
                      <w:b/>
                      <w:bCs/>
                      <w:color w:val="000000"/>
                      <w:sz w:val="14"/>
                      <w:szCs w:val="14"/>
                      <w:lang w:eastAsia="es-EC"/>
                    </w:rPr>
                    <w:t>1960</w:t>
                  </w:r>
                </w:p>
              </w:tc>
              <w:tc>
                <w:tcPr>
                  <w:tcW w:w="377"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b/>
                      <w:bCs/>
                      <w:color w:val="000000"/>
                      <w:sz w:val="14"/>
                      <w:szCs w:val="14"/>
                      <w:lang w:eastAsia="es-EC"/>
                    </w:rPr>
                  </w:pPr>
                  <w:r w:rsidRPr="0054516E">
                    <w:rPr>
                      <w:rFonts w:ascii="Arial" w:eastAsia="Times New Roman" w:hAnsi="Arial" w:cs="Arial"/>
                      <w:b/>
                      <w:bCs/>
                      <w:color w:val="000000"/>
                      <w:sz w:val="14"/>
                      <w:szCs w:val="14"/>
                      <w:lang w:eastAsia="es-EC"/>
                    </w:rPr>
                    <w:t>1970</w:t>
                  </w:r>
                </w:p>
              </w:tc>
              <w:tc>
                <w:tcPr>
                  <w:tcW w:w="445"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b/>
                      <w:bCs/>
                      <w:color w:val="000000"/>
                      <w:sz w:val="14"/>
                      <w:szCs w:val="14"/>
                      <w:lang w:eastAsia="es-EC"/>
                    </w:rPr>
                  </w:pPr>
                  <w:r w:rsidRPr="0054516E">
                    <w:rPr>
                      <w:rFonts w:ascii="Arial" w:eastAsia="Times New Roman" w:hAnsi="Arial" w:cs="Arial"/>
                      <w:b/>
                      <w:bCs/>
                      <w:color w:val="000000"/>
                      <w:sz w:val="14"/>
                      <w:szCs w:val="14"/>
                      <w:lang w:eastAsia="es-EC"/>
                    </w:rPr>
                    <w:t>1980</w:t>
                  </w:r>
                </w:p>
              </w:tc>
              <w:tc>
                <w:tcPr>
                  <w:tcW w:w="445"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b/>
                      <w:bCs/>
                      <w:color w:val="000000"/>
                      <w:sz w:val="14"/>
                      <w:szCs w:val="14"/>
                      <w:lang w:eastAsia="es-EC"/>
                    </w:rPr>
                  </w:pPr>
                  <w:r w:rsidRPr="0054516E">
                    <w:rPr>
                      <w:rFonts w:ascii="Arial" w:eastAsia="Times New Roman" w:hAnsi="Arial" w:cs="Arial"/>
                      <w:b/>
                      <w:bCs/>
                      <w:color w:val="000000"/>
                      <w:sz w:val="14"/>
                      <w:szCs w:val="14"/>
                      <w:lang w:eastAsia="es-EC"/>
                    </w:rPr>
                    <w:t>1990</w:t>
                  </w:r>
                </w:p>
              </w:tc>
              <w:tc>
                <w:tcPr>
                  <w:tcW w:w="452"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b/>
                      <w:bCs/>
                      <w:color w:val="000000"/>
                      <w:sz w:val="14"/>
                      <w:szCs w:val="14"/>
                      <w:lang w:eastAsia="es-EC"/>
                    </w:rPr>
                  </w:pPr>
                  <w:r w:rsidRPr="0054516E">
                    <w:rPr>
                      <w:rFonts w:ascii="Arial" w:eastAsia="Times New Roman" w:hAnsi="Arial" w:cs="Arial"/>
                      <w:b/>
                      <w:bCs/>
                      <w:color w:val="000000"/>
                      <w:sz w:val="14"/>
                      <w:szCs w:val="14"/>
                      <w:lang w:eastAsia="es-EC"/>
                    </w:rPr>
                    <w:t>2000</w:t>
                  </w:r>
                </w:p>
              </w:tc>
              <w:tc>
                <w:tcPr>
                  <w:tcW w:w="624" w:type="dxa"/>
                  <w:tcBorders>
                    <w:top w:val="nil"/>
                    <w:left w:val="nil"/>
                    <w:bottom w:val="single" w:sz="4" w:space="0" w:color="auto"/>
                    <w:right w:val="nil"/>
                  </w:tcBorders>
                  <w:shd w:val="clear" w:color="auto" w:fill="auto"/>
                  <w:vAlign w:val="center"/>
                  <w:hideMark/>
                </w:tcPr>
                <w:p w:rsidR="009458C6" w:rsidRPr="009F5200" w:rsidRDefault="009458C6" w:rsidP="009458C6">
                  <w:pPr>
                    <w:rPr>
                      <w:rFonts w:ascii="Arial" w:eastAsia="Times New Roman" w:hAnsi="Arial" w:cs="Arial"/>
                      <w:b/>
                      <w:bCs/>
                      <w:color w:val="000000"/>
                      <w:sz w:val="10"/>
                      <w:szCs w:val="10"/>
                      <w:lang w:eastAsia="es-EC"/>
                    </w:rPr>
                  </w:pPr>
                  <w:r w:rsidRPr="009F5200">
                    <w:rPr>
                      <w:rFonts w:ascii="Arial" w:eastAsia="Times New Roman" w:hAnsi="Arial" w:cs="Arial"/>
                      <w:b/>
                      <w:bCs/>
                      <w:color w:val="000000"/>
                      <w:sz w:val="10"/>
                      <w:szCs w:val="10"/>
                      <w:lang w:eastAsia="es-EC"/>
                    </w:rPr>
                    <w:t>1960 - 1970</w:t>
                  </w:r>
                </w:p>
              </w:tc>
              <w:tc>
                <w:tcPr>
                  <w:tcW w:w="713" w:type="dxa"/>
                  <w:tcBorders>
                    <w:top w:val="nil"/>
                    <w:left w:val="nil"/>
                    <w:bottom w:val="single" w:sz="4" w:space="0" w:color="auto"/>
                    <w:right w:val="nil"/>
                  </w:tcBorders>
                  <w:shd w:val="clear" w:color="auto" w:fill="auto"/>
                  <w:vAlign w:val="center"/>
                  <w:hideMark/>
                </w:tcPr>
                <w:p w:rsidR="009458C6" w:rsidRPr="009F5200" w:rsidRDefault="009458C6" w:rsidP="009458C6">
                  <w:pPr>
                    <w:rPr>
                      <w:rFonts w:ascii="Arial" w:eastAsia="Times New Roman" w:hAnsi="Arial" w:cs="Arial"/>
                      <w:b/>
                      <w:bCs/>
                      <w:color w:val="000000"/>
                      <w:sz w:val="10"/>
                      <w:szCs w:val="10"/>
                      <w:lang w:eastAsia="es-EC"/>
                    </w:rPr>
                  </w:pPr>
                  <w:r w:rsidRPr="009F5200">
                    <w:rPr>
                      <w:rFonts w:ascii="Arial" w:eastAsia="Times New Roman" w:hAnsi="Arial" w:cs="Arial"/>
                      <w:b/>
                      <w:bCs/>
                      <w:color w:val="000000"/>
                      <w:sz w:val="10"/>
                      <w:szCs w:val="10"/>
                      <w:lang w:eastAsia="es-EC"/>
                    </w:rPr>
                    <w:t>1970 - 1980</w:t>
                  </w:r>
                </w:p>
              </w:tc>
              <w:tc>
                <w:tcPr>
                  <w:tcW w:w="689" w:type="dxa"/>
                  <w:tcBorders>
                    <w:top w:val="nil"/>
                    <w:left w:val="nil"/>
                    <w:bottom w:val="single" w:sz="4" w:space="0" w:color="auto"/>
                    <w:right w:val="nil"/>
                  </w:tcBorders>
                  <w:shd w:val="clear" w:color="auto" w:fill="auto"/>
                  <w:vAlign w:val="center"/>
                  <w:hideMark/>
                </w:tcPr>
                <w:p w:rsidR="009458C6" w:rsidRPr="009F5200" w:rsidRDefault="009458C6" w:rsidP="009458C6">
                  <w:pPr>
                    <w:rPr>
                      <w:rFonts w:ascii="Arial" w:eastAsia="Times New Roman" w:hAnsi="Arial" w:cs="Arial"/>
                      <w:b/>
                      <w:bCs/>
                      <w:color w:val="000000"/>
                      <w:sz w:val="10"/>
                      <w:szCs w:val="10"/>
                      <w:lang w:eastAsia="es-EC"/>
                    </w:rPr>
                  </w:pPr>
                  <w:r w:rsidRPr="009F5200">
                    <w:rPr>
                      <w:rFonts w:ascii="Arial" w:eastAsia="Times New Roman" w:hAnsi="Arial" w:cs="Arial"/>
                      <w:b/>
                      <w:bCs/>
                      <w:color w:val="000000"/>
                      <w:sz w:val="10"/>
                      <w:szCs w:val="10"/>
                      <w:lang w:eastAsia="es-EC"/>
                    </w:rPr>
                    <w:t>1980 - 1990</w:t>
                  </w:r>
                </w:p>
              </w:tc>
              <w:tc>
                <w:tcPr>
                  <w:tcW w:w="735" w:type="dxa"/>
                  <w:tcBorders>
                    <w:top w:val="nil"/>
                    <w:left w:val="nil"/>
                    <w:bottom w:val="single" w:sz="4" w:space="0" w:color="auto"/>
                    <w:right w:val="nil"/>
                  </w:tcBorders>
                  <w:shd w:val="clear" w:color="auto" w:fill="auto"/>
                  <w:vAlign w:val="center"/>
                  <w:hideMark/>
                </w:tcPr>
                <w:p w:rsidR="009458C6" w:rsidRPr="009F5200" w:rsidRDefault="009458C6" w:rsidP="009458C6">
                  <w:pPr>
                    <w:rPr>
                      <w:rFonts w:ascii="Arial" w:eastAsia="Times New Roman" w:hAnsi="Arial" w:cs="Arial"/>
                      <w:b/>
                      <w:bCs/>
                      <w:color w:val="000000"/>
                      <w:sz w:val="10"/>
                      <w:szCs w:val="10"/>
                      <w:lang w:eastAsia="es-EC"/>
                    </w:rPr>
                  </w:pPr>
                  <w:r w:rsidRPr="009F5200">
                    <w:rPr>
                      <w:rFonts w:ascii="Arial" w:eastAsia="Times New Roman" w:hAnsi="Arial" w:cs="Arial"/>
                      <w:b/>
                      <w:bCs/>
                      <w:color w:val="000000"/>
                      <w:sz w:val="10"/>
                      <w:szCs w:val="10"/>
                      <w:lang w:eastAsia="es-EC"/>
                    </w:rPr>
                    <w:t>1990 - 2000</w:t>
                  </w:r>
                </w:p>
              </w:tc>
              <w:tc>
                <w:tcPr>
                  <w:tcW w:w="636"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b/>
                      <w:bCs/>
                      <w:color w:val="000000"/>
                      <w:sz w:val="14"/>
                      <w:szCs w:val="14"/>
                      <w:lang w:eastAsia="es-EC"/>
                    </w:rPr>
                  </w:pPr>
                  <w:r w:rsidRPr="0054516E">
                    <w:rPr>
                      <w:rFonts w:ascii="Arial" w:eastAsia="Times New Roman" w:hAnsi="Arial" w:cs="Arial"/>
                      <w:b/>
                      <w:bCs/>
                      <w:color w:val="000000"/>
                      <w:sz w:val="14"/>
                      <w:szCs w:val="14"/>
                      <w:lang w:eastAsia="es-EC"/>
                    </w:rPr>
                    <w:t>1960</w:t>
                  </w:r>
                </w:p>
              </w:tc>
              <w:tc>
                <w:tcPr>
                  <w:tcW w:w="595"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b/>
                      <w:bCs/>
                      <w:color w:val="000000"/>
                      <w:sz w:val="14"/>
                      <w:szCs w:val="14"/>
                      <w:lang w:eastAsia="es-EC"/>
                    </w:rPr>
                  </w:pPr>
                  <w:r w:rsidRPr="0054516E">
                    <w:rPr>
                      <w:rFonts w:ascii="Arial" w:eastAsia="Times New Roman" w:hAnsi="Arial" w:cs="Arial"/>
                      <w:b/>
                      <w:bCs/>
                      <w:color w:val="000000"/>
                      <w:sz w:val="14"/>
                      <w:szCs w:val="14"/>
                      <w:lang w:eastAsia="es-EC"/>
                    </w:rPr>
                    <w:t>2000</w:t>
                  </w:r>
                </w:p>
              </w:tc>
            </w:tr>
            <w:tr w:rsidR="009F5200" w:rsidRPr="009458C6" w:rsidTr="009F5200">
              <w:trPr>
                <w:trHeight w:val="227"/>
                <w:jc w:val="center"/>
              </w:trPr>
              <w:tc>
                <w:tcPr>
                  <w:tcW w:w="1133" w:type="dxa"/>
                  <w:tcBorders>
                    <w:top w:val="nil"/>
                    <w:left w:val="nil"/>
                    <w:bottom w:val="nil"/>
                    <w:right w:val="nil"/>
                  </w:tcBorders>
                  <w:shd w:val="clear" w:color="auto" w:fill="auto"/>
                  <w:vAlign w:val="center"/>
                  <w:hideMark/>
                </w:tcPr>
                <w:p w:rsidR="009458C6" w:rsidRPr="009458C6" w:rsidRDefault="009458C6" w:rsidP="00686D08">
                  <w:pPr>
                    <w:jc w:val="left"/>
                    <w:rPr>
                      <w:rFonts w:ascii="Arial" w:eastAsia="Times New Roman" w:hAnsi="Arial" w:cs="Arial"/>
                      <w:color w:val="000000"/>
                      <w:sz w:val="16"/>
                      <w:szCs w:val="16"/>
                      <w:lang w:eastAsia="es-EC"/>
                    </w:rPr>
                  </w:pPr>
                  <w:r w:rsidRPr="009458C6">
                    <w:rPr>
                      <w:rFonts w:ascii="Arial" w:eastAsia="Times New Roman" w:hAnsi="Arial" w:cs="Arial"/>
                      <w:color w:val="000000"/>
                      <w:sz w:val="16"/>
                      <w:szCs w:val="16"/>
                      <w:lang w:eastAsia="es-EC"/>
                    </w:rPr>
                    <w:t>Mundo</w:t>
                  </w:r>
                </w:p>
              </w:tc>
              <w:tc>
                <w:tcPr>
                  <w:tcW w:w="420"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75.9</w:t>
                  </w:r>
                </w:p>
              </w:tc>
              <w:tc>
                <w:tcPr>
                  <w:tcW w:w="377"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81.5</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99.8</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154</w:t>
                  </w:r>
                </w:p>
              </w:tc>
              <w:tc>
                <w:tcPr>
                  <w:tcW w:w="452"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175</w:t>
                  </w:r>
                </w:p>
              </w:tc>
              <w:tc>
                <w:tcPr>
                  <w:tcW w:w="624"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0.7</w:t>
                  </w:r>
                </w:p>
              </w:tc>
              <w:tc>
                <w:tcPr>
                  <w:tcW w:w="713"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w:t>
                  </w:r>
                </w:p>
              </w:tc>
              <w:tc>
                <w:tcPr>
                  <w:tcW w:w="689"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4.3</w:t>
                  </w:r>
                </w:p>
              </w:tc>
              <w:tc>
                <w:tcPr>
                  <w:tcW w:w="73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1.3</w:t>
                  </w:r>
                </w:p>
              </w:tc>
              <w:tc>
                <w:tcPr>
                  <w:tcW w:w="636"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2.5</w:t>
                  </w:r>
                </w:p>
              </w:tc>
              <w:tc>
                <w:tcPr>
                  <w:tcW w:w="59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2.9</w:t>
                  </w:r>
                </w:p>
              </w:tc>
            </w:tr>
            <w:tr w:rsidR="009F5200" w:rsidRPr="009458C6" w:rsidTr="009F5200">
              <w:trPr>
                <w:trHeight w:val="427"/>
                <w:jc w:val="center"/>
              </w:trPr>
              <w:tc>
                <w:tcPr>
                  <w:tcW w:w="1133" w:type="dxa"/>
                  <w:tcBorders>
                    <w:top w:val="nil"/>
                    <w:left w:val="nil"/>
                    <w:bottom w:val="nil"/>
                    <w:right w:val="nil"/>
                  </w:tcBorders>
                  <w:shd w:val="clear" w:color="auto" w:fill="auto"/>
                  <w:vAlign w:val="center"/>
                  <w:hideMark/>
                </w:tcPr>
                <w:p w:rsidR="009458C6" w:rsidRPr="009458C6" w:rsidRDefault="009458C6" w:rsidP="00686D08">
                  <w:pPr>
                    <w:jc w:val="left"/>
                    <w:rPr>
                      <w:rFonts w:ascii="Arial" w:eastAsia="Times New Roman" w:hAnsi="Arial" w:cs="Arial"/>
                      <w:color w:val="000000"/>
                      <w:sz w:val="16"/>
                      <w:szCs w:val="16"/>
                      <w:lang w:eastAsia="es-EC"/>
                    </w:rPr>
                  </w:pPr>
                  <w:r w:rsidRPr="009458C6">
                    <w:rPr>
                      <w:rFonts w:ascii="Arial" w:eastAsia="Times New Roman" w:hAnsi="Arial" w:cs="Arial"/>
                      <w:color w:val="000000"/>
                      <w:sz w:val="16"/>
                      <w:szCs w:val="16"/>
                      <w:lang w:eastAsia="es-EC"/>
                    </w:rPr>
                    <w:t>Países desarrollados</w:t>
                  </w:r>
                </w:p>
              </w:tc>
              <w:tc>
                <w:tcPr>
                  <w:tcW w:w="420"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32.1</w:t>
                  </w:r>
                </w:p>
              </w:tc>
              <w:tc>
                <w:tcPr>
                  <w:tcW w:w="377"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38.3</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47.7</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89.7</w:t>
                  </w:r>
                </w:p>
              </w:tc>
              <w:tc>
                <w:tcPr>
                  <w:tcW w:w="452"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110</w:t>
                  </w:r>
                </w:p>
              </w:tc>
              <w:tc>
                <w:tcPr>
                  <w:tcW w:w="624"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1.8</w:t>
                  </w:r>
                </w:p>
              </w:tc>
              <w:tc>
                <w:tcPr>
                  <w:tcW w:w="713"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2.2</w:t>
                  </w:r>
                </w:p>
              </w:tc>
              <w:tc>
                <w:tcPr>
                  <w:tcW w:w="689"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6.3</w:t>
                  </w:r>
                </w:p>
              </w:tc>
              <w:tc>
                <w:tcPr>
                  <w:tcW w:w="73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2.1</w:t>
                  </w:r>
                </w:p>
              </w:tc>
              <w:tc>
                <w:tcPr>
                  <w:tcW w:w="636"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3.4</w:t>
                  </w:r>
                </w:p>
              </w:tc>
              <w:tc>
                <w:tcPr>
                  <w:tcW w:w="59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8.7</w:t>
                  </w:r>
                </w:p>
              </w:tc>
            </w:tr>
            <w:tr w:rsidR="009F5200" w:rsidRPr="009458C6" w:rsidTr="009F5200">
              <w:trPr>
                <w:trHeight w:val="427"/>
                <w:jc w:val="center"/>
              </w:trPr>
              <w:tc>
                <w:tcPr>
                  <w:tcW w:w="1133" w:type="dxa"/>
                  <w:tcBorders>
                    <w:top w:val="nil"/>
                    <w:left w:val="nil"/>
                    <w:bottom w:val="nil"/>
                    <w:right w:val="nil"/>
                  </w:tcBorders>
                  <w:shd w:val="clear" w:color="auto" w:fill="auto"/>
                  <w:vAlign w:val="center"/>
                  <w:hideMark/>
                </w:tcPr>
                <w:p w:rsidR="009458C6" w:rsidRPr="009458C6" w:rsidRDefault="009458C6" w:rsidP="00686D08">
                  <w:pPr>
                    <w:jc w:val="left"/>
                    <w:rPr>
                      <w:rFonts w:ascii="Arial" w:eastAsia="Times New Roman" w:hAnsi="Arial" w:cs="Arial"/>
                      <w:color w:val="000000"/>
                      <w:sz w:val="16"/>
                      <w:szCs w:val="16"/>
                      <w:lang w:eastAsia="es-EC"/>
                    </w:rPr>
                  </w:pPr>
                  <w:r w:rsidRPr="009458C6">
                    <w:rPr>
                      <w:rFonts w:ascii="Arial" w:eastAsia="Times New Roman" w:hAnsi="Arial" w:cs="Arial"/>
                      <w:color w:val="000000"/>
                      <w:sz w:val="16"/>
                      <w:szCs w:val="16"/>
                      <w:lang w:eastAsia="es-EC"/>
                    </w:rPr>
                    <w:t>Países en desarrollo</w:t>
                  </w:r>
                </w:p>
              </w:tc>
              <w:tc>
                <w:tcPr>
                  <w:tcW w:w="420"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43.8</w:t>
                  </w:r>
                </w:p>
              </w:tc>
              <w:tc>
                <w:tcPr>
                  <w:tcW w:w="377"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43.2</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52.1</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64.3</w:t>
                  </w:r>
                </w:p>
              </w:tc>
              <w:tc>
                <w:tcPr>
                  <w:tcW w:w="452"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64.6</w:t>
                  </w:r>
                </w:p>
              </w:tc>
              <w:tc>
                <w:tcPr>
                  <w:tcW w:w="624"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-0.1</w:t>
                  </w:r>
                </w:p>
              </w:tc>
              <w:tc>
                <w:tcPr>
                  <w:tcW w:w="713"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1.8</w:t>
                  </w:r>
                </w:p>
              </w:tc>
              <w:tc>
                <w:tcPr>
                  <w:tcW w:w="689"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2.1</w:t>
                  </w:r>
                </w:p>
              </w:tc>
              <w:tc>
                <w:tcPr>
                  <w:tcW w:w="73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w:t>
                  </w:r>
                </w:p>
              </w:tc>
              <w:tc>
                <w:tcPr>
                  <w:tcW w:w="636"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2.1</w:t>
                  </w:r>
                </w:p>
              </w:tc>
              <w:tc>
                <w:tcPr>
                  <w:tcW w:w="59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1.3</w:t>
                  </w:r>
                </w:p>
              </w:tc>
            </w:tr>
            <w:tr w:rsidR="009F5200" w:rsidRPr="009458C6" w:rsidTr="009F5200">
              <w:trPr>
                <w:trHeight w:val="227"/>
                <w:jc w:val="center"/>
              </w:trPr>
              <w:tc>
                <w:tcPr>
                  <w:tcW w:w="1133" w:type="dxa"/>
                  <w:tcBorders>
                    <w:top w:val="nil"/>
                    <w:left w:val="nil"/>
                    <w:bottom w:val="nil"/>
                    <w:right w:val="nil"/>
                  </w:tcBorders>
                  <w:shd w:val="clear" w:color="auto" w:fill="auto"/>
                  <w:vAlign w:val="center"/>
                  <w:hideMark/>
                </w:tcPr>
                <w:p w:rsidR="009458C6" w:rsidRPr="009458C6" w:rsidRDefault="009458C6" w:rsidP="00686D08">
                  <w:pPr>
                    <w:jc w:val="left"/>
                    <w:rPr>
                      <w:rFonts w:ascii="Arial" w:eastAsia="Times New Roman" w:hAnsi="Arial" w:cs="Arial"/>
                      <w:color w:val="000000"/>
                      <w:sz w:val="16"/>
                      <w:szCs w:val="16"/>
                      <w:lang w:eastAsia="es-EC"/>
                    </w:rPr>
                  </w:pPr>
                </w:p>
              </w:tc>
              <w:tc>
                <w:tcPr>
                  <w:tcW w:w="420"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p>
              </w:tc>
              <w:tc>
                <w:tcPr>
                  <w:tcW w:w="377"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p>
              </w:tc>
              <w:tc>
                <w:tcPr>
                  <w:tcW w:w="452"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p>
              </w:tc>
              <w:tc>
                <w:tcPr>
                  <w:tcW w:w="624"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p>
              </w:tc>
              <w:tc>
                <w:tcPr>
                  <w:tcW w:w="713"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p>
              </w:tc>
              <w:tc>
                <w:tcPr>
                  <w:tcW w:w="689"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p>
              </w:tc>
              <w:tc>
                <w:tcPr>
                  <w:tcW w:w="73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p>
              </w:tc>
              <w:tc>
                <w:tcPr>
                  <w:tcW w:w="636"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p>
              </w:tc>
              <w:tc>
                <w:tcPr>
                  <w:tcW w:w="59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p>
              </w:tc>
            </w:tr>
            <w:tr w:rsidR="009F5200" w:rsidRPr="009458C6" w:rsidTr="009F5200">
              <w:trPr>
                <w:trHeight w:val="227"/>
                <w:jc w:val="center"/>
              </w:trPr>
              <w:tc>
                <w:tcPr>
                  <w:tcW w:w="1133" w:type="dxa"/>
                  <w:tcBorders>
                    <w:top w:val="nil"/>
                    <w:left w:val="nil"/>
                    <w:bottom w:val="nil"/>
                    <w:right w:val="nil"/>
                  </w:tcBorders>
                  <w:shd w:val="clear" w:color="auto" w:fill="auto"/>
                  <w:vAlign w:val="center"/>
                  <w:hideMark/>
                </w:tcPr>
                <w:p w:rsidR="009458C6" w:rsidRPr="009458C6" w:rsidRDefault="009458C6" w:rsidP="00686D08">
                  <w:pPr>
                    <w:jc w:val="left"/>
                    <w:rPr>
                      <w:rFonts w:ascii="Arial" w:eastAsia="Times New Roman" w:hAnsi="Arial" w:cs="Arial"/>
                      <w:color w:val="000000"/>
                      <w:sz w:val="16"/>
                      <w:szCs w:val="16"/>
                      <w:lang w:eastAsia="es-EC"/>
                    </w:rPr>
                  </w:pPr>
                  <w:r w:rsidRPr="009458C6">
                    <w:rPr>
                      <w:rFonts w:ascii="Arial" w:eastAsia="Times New Roman" w:hAnsi="Arial" w:cs="Arial"/>
                      <w:color w:val="000000"/>
                      <w:sz w:val="16"/>
                      <w:szCs w:val="16"/>
                      <w:lang w:eastAsia="es-EC"/>
                    </w:rPr>
                    <w:t>África</w:t>
                  </w:r>
                </w:p>
              </w:tc>
              <w:tc>
                <w:tcPr>
                  <w:tcW w:w="420"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9</w:t>
                  </w:r>
                </w:p>
              </w:tc>
              <w:tc>
                <w:tcPr>
                  <w:tcW w:w="377"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9.9</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14.1</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16.2</w:t>
                  </w:r>
                </w:p>
              </w:tc>
              <w:tc>
                <w:tcPr>
                  <w:tcW w:w="452"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16.3</w:t>
                  </w:r>
                </w:p>
              </w:tc>
              <w:tc>
                <w:tcPr>
                  <w:tcW w:w="624"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0.9</w:t>
                  </w:r>
                </w:p>
              </w:tc>
              <w:tc>
                <w:tcPr>
                  <w:tcW w:w="713"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3.6</w:t>
                  </w:r>
                </w:p>
              </w:tc>
              <w:tc>
                <w:tcPr>
                  <w:tcW w:w="689"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1.4</w:t>
                  </w:r>
                </w:p>
              </w:tc>
              <w:tc>
                <w:tcPr>
                  <w:tcW w:w="73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w:t>
                  </w:r>
                </w:p>
              </w:tc>
              <w:tc>
                <w:tcPr>
                  <w:tcW w:w="636"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3.2</w:t>
                  </w:r>
                </w:p>
              </w:tc>
              <w:tc>
                <w:tcPr>
                  <w:tcW w:w="59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w:t>
                  </w:r>
                </w:p>
              </w:tc>
            </w:tr>
            <w:tr w:rsidR="009F5200" w:rsidRPr="009458C6" w:rsidTr="009F5200">
              <w:trPr>
                <w:trHeight w:val="227"/>
                <w:jc w:val="center"/>
              </w:trPr>
              <w:tc>
                <w:tcPr>
                  <w:tcW w:w="1133" w:type="dxa"/>
                  <w:tcBorders>
                    <w:top w:val="nil"/>
                    <w:left w:val="nil"/>
                    <w:bottom w:val="nil"/>
                    <w:right w:val="nil"/>
                  </w:tcBorders>
                  <w:shd w:val="clear" w:color="auto" w:fill="auto"/>
                  <w:vAlign w:val="center"/>
                  <w:hideMark/>
                </w:tcPr>
                <w:p w:rsidR="009458C6" w:rsidRPr="009458C6" w:rsidRDefault="009458C6" w:rsidP="00686D08">
                  <w:pPr>
                    <w:jc w:val="left"/>
                    <w:rPr>
                      <w:rFonts w:ascii="Arial" w:eastAsia="Times New Roman" w:hAnsi="Arial" w:cs="Arial"/>
                      <w:color w:val="000000"/>
                      <w:sz w:val="16"/>
                      <w:szCs w:val="16"/>
                      <w:lang w:eastAsia="es-EC"/>
                    </w:rPr>
                  </w:pPr>
                  <w:r w:rsidRPr="009458C6">
                    <w:rPr>
                      <w:rFonts w:ascii="Arial" w:eastAsia="Times New Roman" w:hAnsi="Arial" w:cs="Arial"/>
                      <w:color w:val="000000"/>
                      <w:sz w:val="16"/>
                      <w:szCs w:val="16"/>
                      <w:lang w:eastAsia="es-EC"/>
                    </w:rPr>
                    <w:t>Asia</w:t>
                  </w:r>
                  <w:r w:rsidR="000B5077" w:rsidRPr="000B5077">
                    <w:rPr>
                      <w:rFonts w:ascii="Arial" w:eastAsia="Times New Roman" w:hAnsi="Arial" w:cs="Arial"/>
                      <w:color w:val="000000"/>
                      <w:sz w:val="16"/>
                      <w:szCs w:val="16"/>
                      <w:vertAlign w:val="superscript"/>
                      <w:lang w:eastAsia="es-EC"/>
                    </w:rPr>
                    <w:t>a</w:t>
                  </w:r>
                </w:p>
              </w:tc>
              <w:tc>
                <w:tcPr>
                  <w:tcW w:w="420"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29.3</w:t>
                  </w:r>
                </w:p>
              </w:tc>
              <w:tc>
                <w:tcPr>
                  <w:tcW w:w="377"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28.1</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32.3</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41.8</w:t>
                  </w:r>
                </w:p>
              </w:tc>
              <w:tc>
                <w:tcPr>
                  <w:tcW w:w="452"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43.8</w:t>
                  </w:r>
                </w:p>
              </w:tc>
              <w:tc>
                <w:tcPr>
                  <w:tcW w:w="624"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-0.4</w:t>
                  </w:r>
                </w:p>
              </w:tc>
              <w:tc>
                <w:tcPr>
                  <w:tcW w:w="713"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1.4</w:t>
                  </w:r>
                </w:p>
              </w:tc>
              <w:tc>
                <w:tcPr>
                  <w:tcW w:w="689"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2.6</w:t>
                  </w:r>
                </w:p>
              </w:tc>
              <w:tc>
                <w:tcPr>
                  <w:tcW w:w="73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0.5</w:t>
                  </w:r>
                </w:p>
              </w:tc>
              <w:tc>
                <w:tcPr>
                  <w:tcW w:w="636"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1.8</w:t>
                  </w:r>
                </w:p>
              </w:tc>
              <w:tc>
                <w:tcPr>
                  <w:tcW w:w="59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1.2</w:t>
                  </w:r>
                </w:p>
              </w:tc>
            </w:tr>
            <w:tr w:rsidR="009F5200" w:rsidRPr="009458C6" w:rsidTr="009F5200">
              <w:trPr>
                <w:trHeight w:val="427"/>
                <w:jc w:val="center"/>
              </w:trPr>
              <w:tc>
                <w:tcPr>
                  <w:tcW w:w="1133" w:type="dxa"/>
                  <w:tcBorders>
                    <w:top w:val="nil"/>
                    <w:left w:val="nil"/>
                    <w:bottom w:val="nil"/>
                    <w:right w:val="nil"/>
                  </w:tcBorders>
                  <w:shd w:val="clear" w:color="auto" w:fill="auto"/>
                  <w:vAlign w:val="center"/>
                  <w:hideMark/>
                </w:tcPr>
                <w:p w:rsidR="009458C6" w:rsidRPr="009458C6" w:rsidRDefault="009458C6" w:rsidP="00686D08">
                  <w:pPr>
                    <w:jc w:val="left"/>
                    <w:rPr>
                      <w:rFonts w:ascii="Arial" w:eastAsia="Times New Roman" w:hAnsi="Arial" w:cs="Arial"/>
                      <w:color w:val="000000"/>
                      <w:sz w:val="16"/>
                      <w:szCs w:val="16"/>
                      <w:lang w:eastAsia="es-EC"/>
                    </w:rPr>
                  </w:pPr>
                  <w:r w:rsidRPr="009458C6">
                    <w:rPr>
                      <w:rFonts w:ascii="Arial" w:eastAsia="Times New Roman" w:hAnsi="Arial" w:cs="Arial"/>
                      <w:color w:val="000000"/>
                      <w:sz w:val="16"/>
                      <w:szCs w:val="16"/>
                      <w:lang w:eastAsia="es-EC"/>
                    </w:rPr>
                    <w:t>América Latina y el Caribe</w:t>
                  </w:r>
                </w:p>
              </w:tc>
              <w:tc>
                <w:tcPr>
                  <w:tcW w:w="420"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6</w:t>
                  </w:r>
                </w:p>
              </w:tc>
              <w:tc>
                <w:tcPr>
                  <w:tcW w:w="377"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5.8</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6.1</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7</w:t>
                  </w:r>
                </w:p>
              </w:tc>
              <w:tc>
                <w:tcPr>
                  <w:tcW w:w="452"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5.9</w:t>
                  </w:r>
                </w:p>
              </w:tc>
              <w:tc>
                <w:tcPr>
                  <w:tcW w:w="624"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-0.5</w:t>
                  </w:r>
                </w:p>
              </w:tc>
              <w:tc>
                <w:tcPr>
                  <w:tcW w:w="713"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0.7</w:t>
                  </w:r>
                </w:p>
              </w:tc>
              <w:tc>
                <w:tcPr>
                  <w:tcW w:w="689"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1.3</w:t>
                  </w:r>
                </w:p>
              </w:tc>
              <w:tc>
                <w:tcPr>
                  <w:tcW w:w="73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-1.7</w:t>
                  </w:r>
                </w:p>
              </w:tc>
              <w:tc>
                <w:tcPr>
                  <w:tcW w:w="636"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2.8</w:t>
                  </w:r>
                </w:p>
              </w:tc>
              <w:tc>
                <w:tcPr>
                  <w:tcW w:w="59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1.1</w:t>
                  </w:r>
                </w:p>
              </w:tc>
            </w:tr>
            <w:tr w:rsidR="009F5200" w:rsidRPr="009458C6" w:rsidTr="009F5200">
              <w:trPr>
                <w:trHeight w:val="227"/>
                <w:jc w:val="center"/>
              </w:trPr>
              <w:tc>
                <w:tcPr>
                  <w:tcW w:w="1133" w:type="dxa"/>
                  <w:tcBorders>
                    <w:top w:val="nil"/>
                    <w:left w:val="nil"/>
                    <w:bottom w:val="nil"/>
                    <w:right w:val="nil"/>
                  </w:tcBorders>
                  <w:shd w:val="clear" w:color="auto" w:fill="auto"/>
                  <w:vAlign w:val="center"/>
                  <w:hideMark/>
                </w:tcPr>
                <w:p w:rsidR="009458C6" w:rsidRPr="009458C6" w:rsidRDefault="009458C6" w:rsidP="00686D08">
                  <w:pPr>
                    <w:jc w:val="left"/>
                    <w:rPr>
                      <w:rFonts w:ascii="Arial" w:eastAsia="Times New Roman" w:hAnsi="Arial" w:cs="Arial"/>
                      <w:color w:val="000000"/>
                      <w:sz w:val="16"/>
                      <w:szCs w:val="16"/>
                      <w:lang w:eastAsia="es-EC"/>
                    </w:rPr>
                  </w:pPr>
                  <w:r w:rsidRPr="009458C6">
                    <w:rPr>
                      <w:rFonts w:ascii="Arial" w:eastAsia="Times New Roman" w:hAnsi="Arial" w:cs="Arial"/>
                      <w:color w:val="000000"/>
                      <w:sz w:val="16"/>
                      <w:szCs w:val="16"/>
                      <w:lang w:eastAsia="es-EC"/>
                    </w:rPr>
                    <w:t>América del Norte</w:t>
                  </w:r>
                </w:p>
              </w:tc>
              <w:tc>
                <w:tcPr>
                  <w:tcW w:w="420"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12.5</w:t>
                  </w:r>
                </w:p>
              </w:tc>
              <w:tc>
                <w:tcPr>
                  <w:tcW w:w="377"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13</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18.1</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27.6</w:t>
                  </w:r>
                </w:p>
              </w:tc>
              <w:tc>
                <w:tcPr>
                  <w:tcW w:w="452"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40.8</w:t>
                  </w:r>
                </w:p>
              </w:tc>
              <w:tc>
                <w:tcPr>
                  <w:tcW w:w="624"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0.4</w:t>
                  </w:r>
                </w:p>
              </w:tc>
              <w:tc>
                <w:tcPr>
                  <w:tcW w:w="713"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3.3</w:t>
                  </w:r>
                </w:p>
              </w:tc>
              <w:tc>
                <w:tcPr>
                  <w:tcW w:w="689"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4.2</w:t>
                  </w:r>
                </w:p>
              </w:tc>
              <w:tc>
                <w:tcPr>
                  <w:tcW w:w="73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3.9</w:t>
                  </w:r>
                </w:p>
              </w:tc>
              <w:tc>
                <w:tcPr>
                  <w:tcW w:w="636"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6.1</w:t>
                  </w:r>
                </w:p>
              </w:tc>
              <w:tc>
                <w:tcPr>
                  <w:tcW w:w="59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12.9</w:t>
                  </w:r>
                </w:p>
              </w:tc>
            </w:tr>
            <w:tr w:rsidR="009F5200" w:rsidRPr="009458C6" w:rsidTr="009F5200">
              <w:trPr>
                <w:trHeight w:val="227"/>
                <w:jc w:val="center"/>
              </w:trPr>
              <w:tc>
                <w:tcPr>
                  <w:tcW w:w="1133" w:type="dxa"/>
                  <w:tcBorders>
                    <w:top w:val="nil"/>
                    <w:left w:val="nil"/>
                    <w:bottom w:val="nil"/>
                    <w:right w:val="nil"/>
                  </w:tcBorders>
                  <w:shd w:val="clear" w:color="auto" w:fill="auto"/>
                  <w:vAlign w:val="center"/>
                  <w:hideMark/>
                </w:tcPr>
                <w:p w:rsidR="009458C6" w:rsidRPr="009458C6" w:rsidRDefault="009458C6" w:rsidP="00686D08">
                  <w:pPr>
                    <w:jc w:val="left"/>
                    <w:rPr>
                      <w:rFonts w:ascii="Arial" w:eastAsia="Times New Roman" w:hAnsi="Arial" w:cs="Arial"/>
                      <w:color w:val="000000"/>
                      <w:sz w:val="16"/>
                      <w:szCs w:val="16"/>
                      <w:lang w:eastAsia="es-EC"/>
                    </w:rPr>
                  </w:pPr>
                  <w:r w:rsidRPr="009458C6">
                    <w:rPr>
                      <w:rFonts w:ascii="Arial" w:eastAsia="Times New Roman" w:hAnsi="Arial" w:cs="Arial"/>
                      <w:color w:val="000000"/>
                      <w:sz w:val="16"/>
                      <w:szCs w:val="16"/>
                      <w:lang w:eastAsia="es-EC"/>
                    </w:rPr>
                    <w:t>Oceanía</w:t>
                  </w:r>
                </w:p>
              </w:tc>
              <w:tc>
                <w:tcPr>
                  <w:tcW w:w="420"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2.1</w:t>
                  </w:r>
                </w:p>
              </w:tc>
              <w:tc>
                <w:tcPr>
                  <w:tcW w:w="377"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3.8</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4.8</w:t>
                  </w:r>
                </w:p>
              </w:tc>
              <w:tc>
                <w:tcPr>
                  <w:tcW w:w="452"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5.8</w:t>
                  </w:r>
                </w:p>
              </w:tc>
              <w:tc>
                <w:tcPr>
                  <w:tcW w:w="624"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3.5</w:t>
                  </w:r>
                </w:p>
              </w:tc>
              <w:tc>
                <w:tcPr>
                  <w:tcW w:w="713"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2.1</w:t>
                  </w:r>
                </w:p>
              </w:tc>
              <w:tc>
                <w:tcPr>
                  <w:tcW w:w="689"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2.3</w:t>
                  </w:r>
                </w:p>
              </w:tc>
              <w:tc>
                <w:tcPr>
                  <w:tcW w:w="73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2.1</w:t>
                  </w:r>
                </w:p>
              </w:tc>
              <w:tc>
                <w:tcPr>
                  <w:tcW w:w="636"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13.4</w:t>
                  </w:r>
                </w:p>
              </w:tc>
              <w:tc>
                <w:tcPr>
                  <w:tcW w:w="59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18.8</w:t>
                  </w:r>
                </w:p>
              </w:tc>
            </w:tr>
            <w:tr w:rsidR="009F5200" w:rsidRPr="009458C6" w:rsidTr="009F5200">
              <w:trPr>
                <w:trHeight w:val="227"/>
                <w:jc w:val="center"/>
              </w:trPr>
              <w:tc>
                <w:tcPr>
                  <w:tcW w:w="1133" w:type="dxa"/>
                  <w:tcBorders>
                    <w:top w:val="nil"/>
                    <w:left w:val="nil"/>
                    <w:bottom w:val="nil"/>
                    <w:right w:val="nil"/>
                  </w:tcBorders>
                  <w:shd w:val="clear" w:color="auto" w:fill="auto"/>
                  <w:vAlign w:val="center"/>
                  <w:hideMark/>
                </w:tcPr>
                <w:p w:rsidR="009458C6" w:rsidRPr="009458C6" w:rsidRDefault="009458C6" w:rsidP="00686D08">
                  <w:pPr>
                    <w:jc w:val="left"/>
                    <w:rPr>
                      <w:rFonts w:ascii="Arial" w:eastAsia="Times New Roman" w:hAnsi="Arial" w:cs="Arial"/>
                      <w:color w:val="000000"/>
                      <w:sz w:val="16"/>
                      <w:szCs w:val="16"/>
                      <w:lang w:eastAsia="es-EC"/>
                    </w:rPr>
                  </w:pPr>
                  <w:r w:rsidRPr="009458C6">
                    <w:rPr>
                      <w:rFonts w:ascii="Arial" w:eastAsia="Times New Roman" w:hAnsi="Arial" w:cs="Arial"/>
                      <w:color w:val="000000"/>
                      <w:sz w:val="16"/>
                      <w:szCs w:val="16"/>
                      <w:lang w:eastAsia="es-EC"/>
                    </w:rPr>
                    <w:t>Europa</w:t>
                  </w:r>
                  <w:r w:rsidR="000B5077" w:rsidRPr="000B5077">
                    <w:rPr>
                      <w:rFonts w:ascii="Arial" w:eastAsia="Times New Roman" w:hAnsi="Arial" w:cs="Arial"/>
                      <w:color w:val="000000"/>
                      <w:sz w:val="16"/>
                      <w:szCs w:val="16"/>
                      <w:vertAlign w:val="superscript"/>
                      <w:lang w:eastAsia="es-EC"/>
                    </w:rPr>
                    <w:t>b</w:t>
                  </w:r>
                </w:p>
              </w:tc>
              <w:tc>
                <w:tcPr>
                  <w:tcW w:w="420"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14</w:t>
                  </w:r>
                </w:p>
              </w:tc>
              <w:tc>
                <w:tcPr>
                  <w:tcW w:w="377"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18.7</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22.2</w:t>
                  </w:r>
                </w:p>
              </w:tc>
              <w:tc>
                <w:tcPr>
                  <w:tcW w:w="44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26.3</w:t>
                  </w:r>
                </w:p>
              </w:tc>
              <w:tc>
                <w:tcPr>
                  <w:tcW w:w="452"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32.8</w:t>
                  </w:r>
                </w:p>
              </w:tc>
              <w:tc>
                <w:tcPr>
                  <w:tcW w:w="624"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2.9</w:t>
                  </w:r>
                </w:p>
              </w:tc>
              <w:tc>
                <w:tcPr>
                  <w:tcW w:w="713"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1.7</w:t>
                  </w:r>
                </w:p>
              </w:tc>
              <w:tc>
                <w:tcPr>
                  <w:tcW w:w="689"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1.7</w:t>
                  </w:r>
                </w:p>
              </w:tc>
              <w:tc>
                <w:tcPr>
                  <w:tcW w:w="73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2.2</w:t>
                  </w:r>
                </w:p>
              </w:tc>
              <w:tc>
                <w:tcPr>
                  <w:tcW w:w="636"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3.3</w:t>
                  </w:r>
                </w:p>
              </w:tc>
              <w:tc>
                <w:tcPr>
                  <w:tcW w:w="595" w:type="dxa"/>
                  <w:tcBorders>
                    <w:top w:val="nil"/>
                    <w:left w:val="nil"/>
                    <w:bottom w:val="nil"/>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6.4</w:t>
                  </w:r>
                </w:p>
              </w:tc>
            </w:tr>
            <w:tr w:rsidR="009F5200" w:rsidRPr="009458C6" w:rsidTr="009F5200">
              <w:trPr>
                <w:trHeight w:val="427"/>
                <w:jc w:val="center"/>
              </w:trPr>
              <w:tc>
                <w:tcPr>
                  <w:tcW w:w="1133" w:type="dxa"/>
                  <w:tcBorders>
                    <w:top w:val="nil"/>
                    <w:left w:val="nil"/>
                    <w:bottom w:val="single" w:sz="4" w:space="0" w:color="auto"/>
                    <w:right w:val="nil"/>
                  </w:tcBorders>
                  <w:shd w:val="clear" w:color="auto" w:fill="auto"/>
                  <w:vAlign w:val="center"/>
                  <w:hideMark/>
                </w:tcPr>
                <w:p w:rsidR="009458C6" w:rsidRPr="009458C6" w:rsidRDefault="009458C6" w:rsidP="00686D08">
                  <w:pPr>
                    <w:jc w:val="left"/>
                    <w:rPr>
                      <w:rFonts w:ascii="Arial" w:eastAsia="Times New Roman" w:hAnsi="Arial" w:cs="Arial"/>
                      <w:color w:val="000000"/>
                      <w:sz w:val="16"/>
                      <w:szCs w:val="16"/>
                      <w:lang w:eastAsia="es-EC"/>
                    </w:rPr>
                  </w:pPr>
                  <w:r w:rsidRPr="009458C6">
                    <w:rPr>
                      <w:rFonts w:ascii="Arial" w:eastAsia="Times New Roman" w:hAnsi="Arial" w:cs="Arial"/>
                      <w:color w:val="000000"/>
                      <w:sz w:val="16"/>
                      <w:szCs w:val="16"/>
                      <w:lang w:eastAsia="es-EC"/>
                    </w:rPr>
                    <w:t>Federación de Rusia</w:t>
                  </w:r>
                </w:p>
              </w:tc>
              <w:tc>
                <w:tcPr>
                  <w:tcW w:w="420"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2.9</w:t>
                  </w:r>
                </w:p>
              </w:tc>
              <w:tc>
                <w:tcPr>
                  <w:tcW w:w="377"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3.1</w:t>
                  </w:r>
                </w:p>
              </w:tc>
              <w:tc>
                <w:tcPr>
                  <w:tcW w:w="445"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3.3</w:t>
                  </w:r>
                </w:p>
              </w:tc>
              <w:tc>
                <w:tcPr>
                  <w:tcW w:w="445"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30.3</w:t>
                  </w:r>
                </w:p>
              </w:tc>
              <w:tc>
                <w:tcPr>
                  <w:tcW w:w="452"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29.5</w:t>
                  </w:r>
                </w:p>
              </w:tc>
              <w:tc>
                <w:tcPr>
                  <w:tcW w:w="624"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0.5</w:t>
                  </w:r>
                </w:p>
              </w:tc>
              <w:tc>
                <w:tcPr>
                  <w:tcW w:w="713"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0.5</w:t>
                  </w:r>
                </w:p>
              </w:tc>
              <w:tc>
                <w:tcPr>
                  <w:tcW w:w="689"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22.3</w:t>
                  </w:r>
                </w:p>
              </w:tc>
              <w:tc>
                <w:tcPr>
                  <w:tcW w:w="735"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-0.3</w:t>
                  </w:r>
                </w:p>
              </w:tc>
              <w:tc>
                <w:tcPr>
                  <w:tcW w:w="636"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1.4</w:t>
                  </w:r>
                </w:p>
              </w:tc>
              <w:tc>
                <w:tcPr>
                  <w:tcW w:w="595" w:type="dxa"/>
                  <w:tcBorders>
                    <w:top w:val="nil"/>
                    <w:left w:val="nil"/>
                    <w:bottom w:val="single" w:sz="4" w:space="0" w:color="auto"/>
                    <w:right w:val="nil"/>
                  </w:tcBorders>
                  <w:shd w:val="clear" w:color="auto" w:fill="auto"/>
                  <w:vAlign w:val="center"/>
                  <w:hideMark/>
                </w:tcPr>
                <w:p w:rsidR="009458C6" w:rsidRPr="0054516E" w:rsidRDefault="009458C6" w:rsidP="009458C6">
                  <w:pPr>
                    <w:rPr>
                      <w:rFonts w:ascii="Arial" w:eastAsia="Times New Roman" w:hAnsi="Arial" w:cs="Arial"/>
                      <w:color w:val="000000"/>
                      <w:sz w:val="14"/>
                      <w:szCs w:val="14"/>
                      <w:lang w:eastAsia="es-EC"/>
                    </w:rPr>
                  </w:pPr>
                  <w:r w:rsidRPr="0054516E">
                    <w:rPr>
                      <w:rFonts w:ascii="Arial" w:eastAsia="Times New Roman" w:hAnsi="Arial" w:cs="Arial"/>
                      <w:color w:val="000000"/>
                      <w:sz w:val="14"/>
                      <w:szCs w:val="14"/>
                      <w:lang w:eastAsia="es-EC"/>
                    </w:rPr>
                    <w:t>10.2</w:t>
                  </w:r>
                </w:p>
              </w:tc>
            </w:tr>
          </w:tbl>
          <w:p w:rsidR="008507C4" w:rsidRPr="00E92E1D" w:rsidRDefault="008507C4" w:rsidP="008507C4">
            <w:pPr>
              <w:pStyle w:val="Prrafodelista"/>
              <w:rPr>
                <w:rFonts w:ascii="Arial" w:hAnsi="Arial" w:cs="Arial"/>
                <w:sz w:val="14"/>
                <w:szCs w:val="14"/>
              </w:rPr>
            </w:pPr>
          </w:p>
          <w:p w:rsidR="00E92E1D" w:rsidRPr="00E92E1D" w:rsidRDefault="00E92E1D" w:rsidP="00E92E1D">
            <w:pPr>
              <w:pStyle w:val="Prrafodelista"/>
              <w:spacing w:line="276" w:lineRule="auto"/>
              <w:ind w:left="176"/>
              <w:jc w:val="both"/>
              <w:rPr>
                <w:rFonts w:ascii="Arial" w:hAnsi="Arial" w:cs="Arial"/>
                <w:sz w:val="14"/>
                <w:szCs w:val="14"/>
              </w:rPr>
            </w:pPr>
            <w:r w:rsidRPr="00E92E1D">
              <w:rPr>
                <w:rFonts w:ascii="Arial" w:hAnsi="Arial" w:cs="Arial"/>
                <w:sz w:val="14"/>
                <w:szCs w:val="14"/>
              </w:rPr>
              <w:t xml:space="preserve">a Se excluyó a Armenia, Azerbaiyán, Georgia, Kazajstán, Kirguistán, Tayikistán, Turkmenistán y Uzbekistán. </w:t>
            </w:r>
          </w:p>
          <w:p w:rsidR="00E92E1D" w:rsidRPr="005366AD" w:rsidRDefault="00E92E1D" w:rsidP="005366AD">
            <w:pPr>
              <w:pStyle w:val="Prrafodelista"/>
              <w:ind w:left="176"/>
              <w:jc w:val="both"/>
              <w:rPr>
                <w:rFonts w:ascii="Arial" w:hAnsi="Arial" w:cs="Arial"/>
                <w:sz w:val="14"/>
                <w:szCs w:val="14"/>
              </w:rPr>
            </w:pPr>
            <w:r w:rsidRPr="00E92E1D">
              <w:rPr>
                <w:rFonts w:ascii="Arial" w:hAnsi="Arial" w:cs="Arial"/>
                <w:sz w:val="14"/>
                <w:szCs w:val="14"/>
              </w:rPr>
              <w:t>b Se excluyó a Belarús, Estonia, Letonia, Lituania, República de Moldova,</w:t>
            </w:r>
            <w:r w:rsidR="005366AD">
              <w:rPr>
                <w:rFonts w:ascii="Arial" w:hAnsi="Arial" w:cs="Arial"/>
                <w:sz w:val="14"/>
                <w:szCs w:val="14"/>
              </w:rPr>
              <w:t xml:space="preserve"> Federación de Rusia y Ucrania.</w:t>
            </w:r>
          </w:p>
        </w:tc>
      </w:tr>
    </w:tbl>
    <w:p w:rsidR="008507C4" w:rsidRPr="00CC5492" w:rsidRDefault="008507C4" w:rsidP="00E44179">
      <w:pPr>
        <w:pStyle w:val="Prrafodelista"/>
        <w:spacing w:line="276" w:lineRule="auto"/>
        <w:ind w:left="851"/>
        <w:jc w:val="both"/>
        <w:rPr>
          <w:rFonts w:ascii="Arial" w:hAnsi="Arial" w:cs="Arial"/>
          <w:sz w:val="17"/>
          <w:szCs w:val="17"/>
        </w:rPr>
      </w:pPr>
    </w:p>
    <w:p w:rsidR="00724D07" w:rsidRPr="00CC5492" w:rsidRDefault="00724D07" w:rsidP="00E44179">
      <w:pPr>
        <w:pStyle w:val="Prrafodelista"/>
        <w:spacing w:line="276" w:lineRule="auto"/>
        <w:ind w:left="851"/>
        <w:jc w:val="both"/>
        <w:rPr>
          <w:rFonts w:ascii="Arial" w:hAnsi="Arial" w:cs="Arial"/>
          <w:sz w:val="17"/>
          <w:szCs w:val="17"/>
        </w:rPr>
      </w:pPr>
      <w:r w:rsidRPr="00CC5492">
        <w:rPr>
          <w:rFonts w:ascii="Arial" w:hAnsi="Arial" w:cs="Arial"/>
          <w:b/>
          <w:i/>
          <w:sz w:val="17"/>
          <w:szCs w:val="17"/>
        </w:rPr>
        <w:t>Fuente:</w:t>
      </w:r>
      <w:r w:rsidR="005F0D06" w:rsidRPr="00CC5492">
        <w:rPr>
          <w:rFonts w:ascii="Arial" w:hAnsi="Arial" w:cs="Arial"/>
          <w:sz w:val="17"/>
          <w:szCs w:val="17"/>
        </w:rPr>
        <w:t xml:space="preserve"> </w:t>
      </w:r>
      <w:r w:rsidR="005F0D06" w:rsidRPr="00CC5492">
        <w:rPr>
          <w:rFonts w:ascii="Arial" w:hAnsi="Arial" w:cs="Arial"/>
          <w:b/>
          <w:sz w:val="17"/>
          <w:szCs w:val="17"/>
        </w:rPr>
        <w:t>CEPAL</w:t>
      </w:r>
      <w:r w:rsidR="005F0D06" w:rsidRPr="00CC5492">
        <w:rPr>
          <w:rFonts w:ascii="Arial" w:hAnsi="Arial" w:cs="Arial"/>
          <w:sz w:val="17"/>
          <w:szCs w:val="17"/>
        </w:rPr>
        <w:t>, “</w:t>
      </w:r>
      <w:r w:rsidR="005F0D06" w:rsidRPr="00CC5492">
        <w:rPr>
          <w:rFonts w:ascii="Arial" w:hAnsi="Arial" w:cs="Arial"/>
          <w:i/>
          <w:sz w:val="17"/>
          <w:szCs w:val="17"/>
        </w:rPr>
        <w:t>Características de la migración internacional en América Latina y el Caribe</w:t>
      </w:r>
      <w:r w:rsidR="005F0D06" w:rsidRPr="00CC5492">
        <w:rPr>
          <w:rFonts w:ascii="Arial" w:hAnsi="Arial" w:cs="Arial"/>
          <w:sz w:val="17"/>
          <w:szCs w:val="17"/>
        </w:rPr>
        <w:t>”</w:t>
      </w:r>
    </w:p>
    <w:p w:rsidR="00724D07" w:rsidRPr="00CC5492" w:rsidRDefault="00724D07" w:rsidP="00E44179">
      <w:pPr>
        <w:pStyle w:val="Prrafodelista"/>
        <w:spacing w:line="276" w:lineRule="auto"/>
        <w:ind w:left="851"/>
        <w:jc w:val="both"/>
        <w:rPr>
          <w:rFonts w:ascii="Arial" w:hAnsi="Arial" w:cs="Arial"/>
          <w:sz w:val="17"/>
          <w:szCs w:val="17"/>
        </w:rPr>
      </w:pPr>
      <w:r w:rsidRPr="00CC5492">
        <w:rPr>
          <w:rFonts w:ascii="Arial" w:hAnsi="Arial" w:cs="Arial"/>
          <w:b/>
          <w:i/>
          <w:sz w:val="17"/>
          <w:szCs w:val="17"/>
        </w:rPr>
        <w:t>Elaborado por:</w:t>
      </w:r>
      <w:r w:rsidRPr="00CC5492">
        <w:rPr>
          <w:rFonts w:ascii="Arial" w:hAnsi="Arial" w:cs="Arial"/>
          <w:sz w:val="17"/>
          <w:szCs w:val="17"/>
        </w:rPr>
        <w:t xml:space="preserve"> Katherine Loor Valeriano</w:t>
      </w:r>
    </w:p>
    <w:p w:rsidR="00907514" w:rsidRDefault="00907514" w:rsidP="00C93088">
      <w:pPr>
        <w:pStyle w:val="Prrafodelista"/>
        <w:spacing w:line="480" w:lineRule="auto"/>
        <w:ind w:left="567"/>
        <w:jc w:val="both"/>
        <w:rPr>
          <w:rFonts w:ascii="Arial" w:hAnsi="Arial" w:cs="Arial"/>
        </w:rPr>
      </w:pPr>
    </w:p>
    <w:p w:rsidR="00CD38FA" w:rsidRDefault="00C93088" w:rsidP="00CC5492">
      <w:pPr>
        <w:pStyle w:val="Prrafodelista"/>
        <w:spacing w:line="480" w:lineRule="auto"/>
        <w:ind w:left="851"/>
        <w:jc w:val="both"/>
        <w:rPr>
          <w:rFonts w:ascii="Arial" w:hAnsi="Arial" w:cs="Arial"/>
        </w:rPr>
      </w:pPr>
      <w:r>
        <w:rPr>
          <w:rFonts w:ascii="Arial" w:hAnsi="Arial" w:cs="Arial"/>
        </w:rPr>
        <w:t>En lo que respecta a América, se conoce que h</w:t>
      </w:r>
      <w:r w:rsidR="00CD38FA" w:rsidRPr="00CD38FA">
        <w:rPr>
          <w:rFonts w:ascii="Arial" w:hAnsi="Arial" w:cs="Arial"/>
        </w:rPr>
        <w:t xml:space="preserve">ace </w:t>
      </w:r>
      <w:r>
        <w:rPr>
          <w:rFonts w:ascii="Arial" w:hAnsi="Arial" w:cs="Arial"/>
        </w:rPr>
        <w:t xml:space="preserve">unos </w:t>
      </w:r>
      <w:r w:rsidR="00CD38FA" w:rsidRPr="00CD38FA">
        <w:rPr>
          <w:rFonts w:ascii="Arial" w:hAnsi="Arial" w:cs="Arial"/>
        </w:rPr>
        <w:t>50000 años el continente que ahora se conoce como América no tuvo habitantes; pero</w:t>
      </w:r>
      <w:r w:rsidR="001B6327">
        <w:rPr>
          <w:rFonts w:ascii="Arial" w:hAnsi="Arial" w:cs="Arial"/>
        </w:rPr>
        <w:t xml:space="preserve"> </w:t>
      </w:r>
      <w:r w:rsidR="001B6327">
        <w:rPr>
          <w:rFonts w:ascii="Arial" w:hAnsi="Arial" w:cs="Arial"/>
        </w:rPr>
        <w:lastRenderedPageBreak/>
        <w:t xml:space="preserve">según </w:t>
      </w:r>
      <w:r w:rsidR="001B6327" w:rsidRPr="000D1902">
        <w:rPr>
          <w:rFonts w:ascii="Arial" w:hAnsi="Arial" w:cs="Arial"/>
          <w:i/>
        </w:rPr>
        <w:t>Sutcliffe</w:t>
      </w:r>
      <w:r w:rsidR="003566D0">
        <w:rPr>
          <w:rFonts w:ascii="Arial" w:hAnsi="Arial" w:cs="Arial"/>
          <w:i/>
        </w:rPr>
        <w:t>,</w:t>
      </w:r>
      <w:r w:rsidR="007A2D4B">
        <w:rPr>
          <w:rFonts w:ascii="Arial" w:hAnsi="Arial" w:cs="Arial"/>
          <w:i/>
        </w:rPr>
        <w:t xml:space="preserve"> B.</w:t>
      </w:r>
      <w:r w:rsidR="001B6327">
        <w:rPr>
          <w:rStyle w:val="Refdenotaalpie"/>
          <w:rFonts w:ascii="Arial" w:hAnsi="Arial" w:cs="Arial"/>
          <w:i/>
        </w:rPr>
        <w:footnoteReference w:id="6"/>
      </w:r>
      <w:r w:rsidR="001B6327">
        <w:rPr>
          <w:rFonts w:ascii="Arial" w:hAnsi="Arial" w:cs="Arial"/>
          <w:i/>
        </w:rPr>
        <w:t xml:space="preserve"> (1998)</w:t>
      </w:r>
      <w:r w:rsidR="009C2B89">
        <w:rPr>
          <w:rFonts w:ascii="Arial" w:hAnsi="Arial" w:cs="Arial"/>
          <w:i/>
        </w:rPr>
        <w:t>,</w:t>
      </w:r>
      <w:r w:rsidR="00BB3D18">
        <w:rPr>
          <w:rFonts w:ascii="Arial" w:hAnsi="Arial" w:cs="Arial"/>
        </w:rPr>
        <w:t xml:space="preserve"> existen datos que hacen referencia </w:t>
      </w:r>
      <w:r w:rsidR="00C539DB">
        <w:rPr>
          <w:rFonts w:ascii="Arial" w:hAnsi="Arial" w:cs="Arial"/>
        </w:rPr>
        <w:t xml:space="preserve">a </w:t>
      </w:r>
      <w:r w:rsidR="00BB3D18">
        <w:rPr>
          <w:rFonts w:ascii="Arial" w:hAnsi="Arial" w:cs="Arial"/>
        </w:rPr>
        <w:t>que hace unos 15000 años nuestro continente empezó a poblarse; aunque fue</w:t>
      </w:r>
      <w:r w:rsidR="00CD38FA" w:rsidRPr="00CD38FA">
        <w:rPr>
          <w:rFonts w:ascii="Arial" w:hAnsi="Arial" w:cs="Arial"/>
        </w:rPr>
        <w:t xml:space="preserve"> sin duda alguna el descubrimiento de América, </w:t>
      </w:r>
      <w:r w:rsidR="00310C9F">
        <w:rPr>
          <w:rFonts w:ascii="Arial" w:hAnsi="Arial" w:cs="Arial"/>
        </w:rPr>
        <w:t>en</w:t>
      </w:r>
      <w:r w:rsidR="00CD38FA" w:rsidRPr="00CD38FA">
        <w:rPr>
          <w:rFonts w:ascii="Arial" w:hAnsi="Arial" w:cs="Arial"/>
        </w:rPr>
        <w:t xml:space="preserve"> el año 1492, </w:t>
      </w:r>
      <w:r w:rsidR="0016345A">
        <w:rPr>
          <w:rFonts w:ascii="Arial" w:hAnsi="Arial" w:cs="Arial"/>
        </w:rPr>
        <w:t xml:space="preserve">lo que </w:t>
      </w:r>
      <w:r w:rsidR="00CD38FA" w:rsidRPr="00CD38FA">
        <w:rPr>
          <w:rFonts w:ascii="Arial" w:hAnsi="Arial" w:cs="Arial"/>
        </w:rPr>
        <w:t>trajo como consecuencia un gran movimiento migratorio desde Eu</w:t>
      </w:r>
      <w:r w:rsidR="0083209E">
        <w:rPr>
          <w:rFonts w:ascii="Arial" w:hAnsi="Arial" w:cs="Arial"/>
        </w:rPr>
        <w:t>ropa hacia el nuevo continente; f</w:t>
      </w:r>
      <w:r w:rsidR="00CD38FA" w:rsidRPr="00CD38FA">
        <w:rPr>
          <w:rFonts w:ascii="Arial" w:hAnsi="Arial" w:cs="Arial"/>
        </w:rPr>
        <w:t xml:space="preserve">ue </w:t>
      </w:r>
      <w:r w:rsidR="00310C9F">
        <w:rPr>
          <w:rFonts w:ascii="Arial" w:hAnsi="Arial" w:cs="Arial"/>
        </w:rPr>
        <w:t>de</w:t>
      </w:r>
      <w:r w:rsidR="00CD38FA" w:rsidRPr="00CD38FA">
        <w:rPr>
          <w:rFonts w:ascii="Arial" w:hAnsi="Arial" w:cs="Arial"/>
        </w:rPr>
        <w:t xml:space="preserve"> ta</w:t>
      </w:r>
      <w:r w:rsidR="001F1B22">
        <w:rPr>
          <w:rFonts w:ascii="Arial" w:hAnsi="Arial" w:cs="Arial"/>
        </w:rPr>
        <w:t>l</w:t>
      </w:r>
      <w:r w:rsidR="00CD38FA" w:rsidRPr="00CD38FA">
        <w:rPr>
          <w:rFonts w:ascii="Arial" w:hAnsi="Arial" w:cs="Arial"/>
        </w:rPr>
        <w:t xml:space="preserve"> magnitud que, para antes de 1820, ya se contabilizaban alrededor de 11.3 millones de inmigrantes en América, de los cuales aproximadamente el 70% eran esclavos africanos. </w:t>
      </w:r>
      <w:r w:rsidR="00310C9F">
        <w:rPr>
          <w:rFonts w:ascii="Arial" w:hAnsi="Arial" w:cs="Arial"/>
        </w:rPr>
        <w:t>Además, s</w:t>
      </w:r>
      <w:r w:rsidR="00CD38FA" w:rsidRPr="00CD38FA">
        <w:rPr>
          <w:rFonts w:ascii="Arial" w:hAnsi="Arial" w:cs="Arial"/>
        </w:rPr>
        <w:t xml:space="preserve">egún </w:t>
      </w:r>
      <w:r w:rsidR="00CD38FA" w:rsidRPr="00914B2A">
        <w:rPr>
          <w:rFonts w:ascii="Arial" w:hAnsi="Arial" w:cs="Arial"/>
          <w:i/>
        </w:rPr>
        <w:t>Williamson</w:t>
      </w:r>
      <w:r w:rsidR="003566D0">
        <w:rPr>
          <w:rFonts w:ascii="Arial" w:hAnsi="Arial" w:cs="Arial"/>
          <w:i/>
        </w:rPr>
        <w:t>,</w:t>
      </w:r>
      <w:r w:rsidR="009D63E6">
        <w:rPr>
          <w:rFonts w:ascii="Arial" w:hAnsi="Arial" w:cs="Arial"/>
          <w:i/>
        </w:rPr>
        <w:t xml:space="preserve"> J.</w:t>
      </w:r>
      <w:r w:rsidR="0026635A">
        <w:rPr>
          <w:rFonts w:ascii="Arial" w:hAnsi="Arial" w:cs="Arial"/>
          <w:i/>
        </w:rPr>
        <w:t xml:space="preserve"> </w:t>
      </w:r>
      <w:r w:rsidR="00CD38FA" w:rsidRPr="00CD38FA">
        <w:rPr>
          <w:rFonts w:ascii="Arial" w:hAnsi="Arial" w:cs="Arial"/>
        </w:rPr>
        <w:t>(2006)</w:t>
      </w:r>
      <w:r w:rsidR="0026635A">
        <w:rPr>
          <w:rStyle w:val="Refdenotaalpie"/>
          <w:rFonts w:ascii="Arial" w:hAnsi="Arial" w:cs="Arial"/>
        </w:rPr>
        <w:footnoteReference w:id="7"/>
      </w:r>
      <w:r w:rsidR="00CD38FA" w:rsidRPr="00CD38FA">
        <w:rPr>
          <w:rFonts w:ascii="Arial" w:hAnsi="Arial" w:cs="Arial"/>
        </w:rPr>
        <w:t xml:space="preserve">, en el año 1820 </w:t>
      </w:r>
      <w:r w:rsidR="0072453E">
        <w:rPr>
          <w:rFonts w:ascii="Arial" w:hAnsi="Arial" w:cs="Arial"/>
        </w:rPr>
        <w:t>el porcentaje de inmigrantes</w:t>
      </w:r>
      <w:r w:rsidR="00CD38FA" w:rsidRPr="00CD38FA">
        <w:rPr>
          <w:rFonts w:ascii="Arial" w:hAnsi="Arial" w:cs="Arial"/>
        </w:rPr>
        <w:t xml:space="preserve"> </w:t>
      </w:r>
      <w:r w:rsidR="001A5066">
        <w:rPr>
          <w:rFonts w:ascii="Arial" w:hAnsi="Arial" w:cs="Arial"/>
        </w:rPr>
        <w:t xml:space="preserve">intercontinentales </w:t>
      </w:r>
      <w:r w:rsidR="00CD38FA" w:rsidRPr="00CD38FA">
        <w:rPr>
          <w:rFonts w:ascii="Arial" w:hAnsi="Arial" w:cs="Arial"/>
        </w:rPr>
        <w:t xml:space="preserve">en América era del 20%, pero que </w:t>
      </w:r>
      <w:r w:rsidR="0072453E">
        <w:rPr>
          <w:rFonts w:ascii="Arial" w:hAnsi="Arial" w:cs="Arial"/>
        </w:rPr>
        <w:t xml:space="preserve">veinte años después (1840) este valor </w:t>
      </w:r>
      <w:r w:rsidR="00CD38FA" w:rsidRPr="00CD38FA">
        <w:rPr>
          <w:rFonts w:ascii="Arial" w:hAnsi="Arial" w:cs="Arial"/>
        </w:rPr>
        <w:t>sería del 80%</w:t>
      </w:r>
      <w:r w:rsidR="00C539DB">
        <w:rPr>
          <w:rFonts w:ascii="Arial" w:hAnsi="Arial" w:cs="Arial"/>
        </w:rPr>
        <w:t>; e</w:t>
      </w:r>
      <w:r w:rsidR="002E534C">
        <w:rPr>
          <w:rFonts w:ascii="Arial" w:hAnsi="Arial" w:cs="Arial"/>
        </w:rPr>
        <w:t>n los treinta años posteriores</w:t>
      </w:r>
      <w:r w:rsidR="00CD38FA" w:rsidRPr="00CD38FA">
        <w:rPr>
          <w:rFonts w:ascii="Arial" w:hAnsi="Arial" w:cs="Arial"/>
        </w:rPr>
        <w:t xml:space="preserve">, </w:t>
      </w:r>
      <w:r w:rsidR="002E534C">
        <w:rPr>
          <w:rFonts w:ascii="Arial" w:hAnsi="Arial" w:cs="Arial"/>
        </w:rPr>
        <w:t>a</w:t>
      </w:r>
      <w:r w:rsidR="00CD38FA" w:rsidRPr="00CD38FA">
        <w:rPr>
          <w:rFonts w:ascii="Arial" w:hAnsi="Arial" w:cs="Arial"/>
        </w:rPr>
        <w:t xml:space="preserve"> 1846, había un promedio anual de 300000 </w:t>
      </w:r>
      <w:r w:rsidR="002E534C">
        <w:rPr>
          <w:rFonts w:ascii="Arial" w:hAnsi="Arial" w:cs="Arial"/>
        </w:rPr>
        <w:t>in</w:t>
      </w:r>
      <w:r w:rsidR="00CD38FA" w:rsidRPr="00CD38FA">
        <w:rPr>
          <w:rFonts w:ascii="Arial" w:hAnsi="Arial" w:cs="Arial"/>
        </w:rPr>
        <w:t xml:space="preserve">migrantes, cifra que se duplicó en los 20 años siguientes y que se incrementó a casi un millón al año después del cambio de siglo. </w:t>
      </w:r>
    </w:p>
    <w:p w:rsidR="0083209E" w:rsidRPr="00CD38FA" w:rsidRDefault="0083209E" w:rsidP="00CC5492">
      <w:pPr>
        <w:pStyle w:val="Prrafodelista"/>
        <w:spacing w:line="480" w:lineRule="auto"/>
        <w:ind w:left="851"/>
        <w:jc w:val="both"/>
        <w:rPr>
          <w:rFonts w:ascii="Arial" w:hAnsi="Arial" w:cs="Arial"/>
        </w:rPr>
      </w:pPr>
    </w:p>
    <w:p w:rsidR="00B81CBF" w:rsidRDefault="00CD38FA" w:rsidP="00CC5492">
      <w:pPr>
        <w:spacing w:line="480" w:lineRule="auto"/>
        <w:ind w:left="851"/>
        <w:jc w:val="both"/>
        <w:rPr>
          <w:rFonts w:ascii="Arial" w:hAnsi="Arial" w:cs="Arial"/>
        </w:rPr>
      </w:pPr>
      <w:r w:rsidRPr="0023432F">
        <w:rPr>
          <w:rFonts w:ascii="Arial" w:hAnsi="Arial" w:cs="Arial"/>
        </w:rPr>
        <w:t>A mediados de la década de 1880, los emigrantes hacia América se dirigían especialmente a países de América del Sur como Argentina o Brasil, y después del cambio de siglo a Canadá.</w:t>
      </w:r>
      <w:r w:rsidR="00802E1D">
        <w:rPr>
          <w:rFonts w:ascii="Arial" w:hAnsi="Arial" w:cs="Arial"/>
        </w:rPr>
        <w:t xml:space="preserve"> </w:t>
      </w:r>
      <w:r w:rsidR="00B81CBF" w:rsidRPr="00B81CBF">
        <w:rPr>
          <w:rFonts w:ascii="Arial" w:hAnsi="Arial" w:cs="Arial"/>
        </w:rPr>
        <w:t>Aun así, entre 1906 y 1910 Estados Unidos</w:t>
      </w:r>
      <w:r w:rsidR="008E2FDC">
        <w:rPr>
          <w:rFonts w:ascii="Arial" w:hAnsi="Arial" w:cs="Arial"/>
        </w:rPr>
        <w:t xml:space="preserve">, según </w:t>
      </w:r>
      <w:r w:rsidR="00620C4D" w:rsidRPr="00620C4D">
        <w:rPr>
          <w:rFonts w:ascii="Arial" w:hAnsi="Arial" w:cs="Arial"/>
          <w:i/>
        </w:rPr>
        <w:t>Williamson</w:t>
      </w:r>
      <w:r w:rsidR="003566D0">
        <w:rPr>
          <w:rFonts w:ascii="Arial" w:hAnsi="Arial" w:cs="Arial"/>
          <w:i/>
        </w:rPr>
        <w:t>,</w:t>
      </w:r>
      <w:r w:rsidR="009D63E6">
        <w:rPr>
          <w:rFonts w:ascii="Arial" w:hAnsi="Arial" w:cs="Arial"/>
          <w:i/>
        </w:rPr>
        <w:t xml:space="preserve"> J.</w:t>
      </w:r>
      <w:r w:rsidR="00620C4D" w:rsidRPr="00620C4D">
        <w:rPr>
          <w:rStyle w:val="Refdenotaalpie"/>
          <w:rFonts w:ascii="Arial" w:hAnsi="Arial" w:cs="Arial"/>
          <w:vertAlign w:val="baseline"/>
        </w:rPr>
        <w:t xml:space="preserve"> (2006)</w:t>
      </w:r>
      <w:r w:rsidR="0026635A" w:rsidRPr="00620C4D">
        <w:rPr>
          <w:rStyle w:val="Refdenotaalpie"/>
          <w:rFonts w:ascii="Arial" w:hAnsi="Arial" w:cs="Arial"/>
        </w:rPr>
        <w:footnoteReference w:id="8"/>
      </w:r>
      <w:r w:rsidR="008E2FDC">
        <w:rPr>
          <w:rFonts w:ascii="Arial" w:hAnsi="Arial" w:cs="Arial"/>
        </w:rPr>
        <w:t>,</w:t>
      </w:r>
      <w:r w:rsidR="00B81CBF" w:rsidRPr="00B81CBF">
        <w:rPr>
          <w:rFonts w:ascii="Arial" w:hAnsi="Arial" w:cs="Arial"/>
        </w:rPr>
        <w:t xml:space="preserve"> e</w:t>
      </w:r>
      <w:r w:rsidR="00B81CBF">
        <w:rPr>
          <w:rFonts w:ascii="Arial" w:hAnsi="Arial" w:cs="Arial"/>
        </w:rPr>
        <w:t xml:space="preserve">ra el país que mayoritariamente </w:t>
      </w:r>
      <w:r w:rsidR="00B81CBF" w:rsidRPr="00B81CBF">
        <w:rPr>
          <w:rFonts w:ascii="Arial" w:hAnsi="Arial" w:cs="Arial"/>
        </w:rPr>
        <w:t>acogía a los emigrantes, teniendo aproximadamente al 64% de la emigración total hacia América. Sin duda alguna Estados Unidos es uno de los países de América que más inmigrantes ha acogido; teniendo en el año 1870 un por</w:t>
      </w:r>
      <w:r w:rsidR="009F0DE0">
        <w:rPr>
          <w:rFonts w:ascii="Arial" w:hAnsi="Arial" w:cs="Arial"/>
        </w:rPr>
        <w:t>centaje de extranjeros de 14.4%, dicho porcentaje</w:t>
      </w:r>
      <w:r w:rsidR="00B81CBF" w:rsidRPr="00B81CBF">
        <w:rPr>
          <w:rFonts w:ascii="Arial" w:hAnsi="Arial" w:cs="Arial"/>
        </w:rPr>
        <w:t xml:space="preserve"> continuó aumentando hasta </w:t>
      </w:r>
      <w:r w:rsidR="009F0DE0">
        <w:rPr>
          <w:rFonts w:ascii="Arial" w:hAnsi="Arial" w:cs="Arial"/>
        </w:rPr>
        <w:t xml:space="preserve">antes del año 2000, fecha en la cual </w:t>
      </w:r>
      <w:r w:rsidR="00B81CBF" w:rsidRPr="00B81CBF">
        <w:rPr>
          <w:rFonts w:ascii="Arial" w:hAnsi="Arial" w:cs="Arial"/>
        </w:rPr>
        <w:t xml:space="preserve">disminuyó al </w:t>
      </w:r>
      <w:r w:rsidR="00B81CBF" w:rsidRPr="00B81CBF">
        <w:rPr>
          <w:rFonts w:ascii="Arial" w:hAnsi="Arial" w:cs="Arial"/>
        </w:rPr>
        <w:lastRenderedPageBreak/>
        <w:t>11.10% como consecuencia del sinnúmero de restr</w:t>
      </w:r>
      <w:r w:rsidR="009F0DE0">
        <w:rPr>
          <w:rFonts w:ascii="Arial" w:hAnsi="Arial" w:cs="Arial"/>
        </w:rPr>
        <w:t>icciones y leyes impuestas a la</w:t>
      </w:r>
      <w:r w:rsidR="00B81CBF" w:rsidRPr="00B81CBF">
        <w:rPr>
          <w:rFonts w:ascii="Arial" w:hAnsi="Arial" w:cs="Arial"/>
        </w:rPr>
        <w:t xml:space="preserve"> inmigra</w:t>
      </w:r>
      <w:r w:rsidR="009F0DE0">
        <w:rPr>
          <w:rFonts w:ascii="Arial" w:hAnsi="Arial" w:cs="Arial"/>
        </w:rPr>
        <w:t>ción</w:t>
      </w:r>
      <w:r w:rsidR="00B81CBF" w:rsidRPr="00B81CBF">
        <w:rPr>
          <w:rFonts w:ascii="Arial" w:hAnsi="Arial" w:cs="Arial"/>
        </w:rPr>
        <w:t>.</w:t>
      </w:r>
    </w:p>
    <w:p w:rsidR="00CC5492" w:rsidRPr="00B81CBF" w:rsidRDefault="00CC5492" w:rsidP="00CC5492">
      <w:pPr>
        <w:spacing w:line="480" w:lineRule="auto"/>
        <w:ind w:left="851"/>
        <w:jc w:val="both"/>
        <w:rPr>
          <w:rFonts w:ascii="Arial" w:hAnsi="Arial" w:cs="Arial"/>
        </w:rPr>
      </w:pPr>
    </w:p>
    <w:p w:rsidR="004B6AFB" w:rsidRDefault="00B81CBF" w:rsidP="00CC5492">
      <w:pPr>
        <w:pStyle w:val="Prrafodelista"/>
        <w:spacing w:line="480" w:lineRule="auto"/>
        <w:ind w:left="851"/>
        <w:jc w:val="both"/>
        <w:rPr>
          <w:rFonts w:ascii="Arial" w:hAnsi="Arial" w:cs="Arial"/>
        </w:rPr>
      </w:pPr>
      <w:r w:rsidRPr="00B81CBF">
        <w:rPr>
          <w:rFonts w:ascii="Arial" w:hAnsi="Arial" w:cs="Arial"/>
        </w:rPr>
        <w:t xml:space="preserve">Para el caso Brasil, se conoce que sus antepasados cruzaron al continente americano procedentes de lo que ahora es Rusia, probablemente hace 10000 años; además, parte de la población brasileña se originó en las distintas oleadas de emigración europea que empezaron un poco después de la conquista durante el siglo XVI; </w:t>
      </w:r>
      <w:r w:rsidR="00F038A7">
        <w:rPr>
          <w:rFonts w:ascii="Arial" w:hAnsi="Arial" w:cs="Arial"/>
        </w:rPr>
        <w:t>también es cierto que</w:t>
      </w:r>
      <w:r w:rsidRPr="00B81CBF">
        <w:rPr>
          <w:rFonts w:ascii="Arial" w:hAnsi="Arial" w:cs="Arial"/>
        </w:rPr>
        <w:t xml:space="preserve">, una porción de la población </w:t>
      </w:r>
      <w:r w:rsidR="00F038A7">
        <w:rPr>
          <w:rFonts w:ascii="Arial" w:hAnsi="Arial" w:cs="Arial"/>
        </w:rPr>
        <w:t>es conformada por</w:t>
      </w:r>
      <w:r w:rsidRPr="00B81CBF">
        <w:rPr>
          <w:rFonts w:ascii="Arial" w:hAnsi="Arial" w:cs="Arial"/>
        </w:rPr>
        <w:t xml:space="preserve"> descendientes de africanos</w:t>
      </w:r>
      <w:r w:rsidR="00F038A7">
        <w:rPr>
          <w:rFonts w:ascii="Arial" w:hAnsi="Arial" w:cs="Arial"/>
        </w:rPr>
        <w:t>,</w:t>
      </w:r>
      <w:r w:rsidRPr="00B81CBF">
        <w:rPr>
          <w:rFonts w:ascii="Arial" w:hAnsi="Arial" w:cs="Arial"/>
        </w:rPr>
        <w:t xml:space="preserve"> que fueron llevados al país como esclavos durante el siglo XIX</w:t>
      </w:r>
      <w:r w:rsidR="00231DB7">
        <w:rPr>
          <w:rStyle w:val="Refdenotaalpie"/>
          <w:rFonts w:ascii="Arial" w:hAnsi="Arial" w:cs="Arial"/>
        </w:rPr>
        <w:footnoteReference w:id="9"/>
      </w:r>
      <w:r w:rsidRPr="00B81CBF">
        <w:rPr>
          <w:rFonts w:ascii="Arial" w:hAnsi="Arial" w:cs="Arial"/>
        </w:rPr>
        <w:t>. Después de que Estados Unidos cerró sus fronteras a los inmigrantes que venía</w:t>
      </w:r>
      <w:r w:rsidR="00F038A7">
        <w:rPr>
          <w:rFonts w:ascii="Arial" w:hAnsi="Arial" w:cs="Arial"/>
        </w:rPr>
        <w:t xml:space="preserve">n desde Asia, a partir de 1870 </w:t>
      </w:r>
      <w:r w:rsidRPr="00B81CBF">
        <w:rPr>
          <w:rFonts w:ascii="Arial" w:hAnsi="Arial" w:cs="Arial"/>
        </w:rPr>
        <w:t>un gran número de inmigrantes japoneses llegaron a Brasil; y, desde 1960 este país se ha convertido en destino de inmigrantes de todos los países vec</w:t>
      </w:r>
      <w:r w:rsidR="009E5A04">
        <w:rPr>
          <w:rFonts w:ascii="Arial" w:hAnsi="Arial" w:cs="Arial"/>
        </w:rPr>
        <w:t>inos</w:t>
      </w:r>
      <w:r w:rsidRPr="00B81CBF">
        <w:rPr>
          <w:rFonts w:ascii="Arial" w:hAnsi="Arial" w:cs="Arial"/>
        </w:rPr>
        <w:t>.</w:t>
      </w:r>
      <w:r w:rsidR="004B6AFB">
        <w:rPr>
          <w:rFonts w:ascii="Arial" w:hAnsi="Arial" w:cs="Arial"/>
        </w:rPr>
        <w:t xml:space="preserve"> </w:t>
      </w:r>
    </w:p>
    <w:p w:rsidR="004B6AFB" w:rsidRDefault="004B6AFB" w:rsidP="00CC5492">
      <w:pPr>
        <w:pStyle w:val="Prrafodelista"/>
        <w:spacing w:line="480" w:lineRule="auto"/>
        <w:ind w:left="851"/>
        <w:jc w:val="both"/>
        <w:rPr>
          <w:rFonts w:ascii="Arial" w:hAnsi="Arial" w:cs="Arial"/>
        </w:rPr>
      </w:pPr>
    </w:p>
    <w:p w:rsidR="00330973" w:rsidRDefault="004B6AFB" w:rsidP="00CC5492">
      <w:pPr>
        <w:pStyle w:val="Prrafodelista"/>
        <w:spacing w:line="480" w:lineRule="auto"/>
        <w:ind w:left="851"/>
        <w:jc w:val="both"/>
        <w:rPr>
          <w:rFonts w:ascii="Arial" w:hAnsi="Arial" w:cs="Arial"/>
        </w:rPr>
      </w:pPr>
      <w:r>
        <w:rPr>
          <w:rFonts w:ascii="Arial" w:hAnsi="Arial" w:cs="Arial"/>
        </w:rPr>
        <w:t>Para el caso de otros países tenemos que, s</w:t>
      </w:r>
      <w:r w:rsidR="00D5563C">
        <w:rPr>
          <w:rFonts w:ascii="Arial" w:hAnsi="Arial" w:cs="Arial"/>
        </w:rPr>
        <w:t>eg</w:t>
      </w:r>
      <w:r w:rsidR="00027602">
        <w:rPr>
          <w:rFonts w:ascii="Arial" w:hAnsi="Arial" w:cs="Arial"/>
        </w:rPr>
        <w:t>ún datos de Censos realizados entre el año 2000 y 2001,</w:t>
      </w:r>
      <w:r w:rsidR="00F776BB">
        <w:rPr>
          <w:rFonts w:ascii="Arial" w:hAnsi="Arial" w:cs="Arial"/>
        </w:rPr>
        <w:t xml:space="preserve"> se </w:t>
      </w:r>
      <w:r w:rsidR="00AE13C0">
        <w:rPr>
          <w:rFonts w:ascii="Arial" w:hAnsi="Arial" w:cs="Arial"/>
        </w:rPr>
        <w:t>obtuvo</w:t>
      </w:r>
      <w:r w:rsidR="00F776BB">
        <w:rPr>
          <w:rFonts w:ascii="Arial" w:hAnsi="Arial" w:cs="Arial"/>
        </w:rPr>
        <w:t xml:space="preserve"> que </w:t>
      </w:r>
      <w:r w:rsidR="00E42A60">
        <w:rPr>
          <w:rFonts w:ascii="Arial" w:hAnsi="Arial" w:cs="Arial"/>
        </w:rPr>
        <w:t xml:space="preserve">para el año 2001 la población </w:t>
      </w:r>
      <w:r w:rsidR="00280FFB">
        <w:rPr>
          <w:rFonts w:ascii="Arial" w:hAnsi="Arial" w:cs="Arial"/>
        </w:rPr>
        <w:t>e</w:t>
      </w:r>
      <w:r w:rsidR="005C1BE7">
        <w:rPr>
          <w:rFonts w:ascii="Arial" w:hAnsi="Arial" w:cs="Arial"/>
        </w:rPr>
        <w:t xml:space="preserve">migrante de Argentina representaba el 4.20% de la población total del país, en Colombia en cambio esta población representaba el 0.30% </w:t>
      </w:r>
      <w:r w:rsidR="00280FFB">
        <w:rPr>
          <w:rFonts w:ascii="Arial" w:hAnsi="Arial" w:cs="Arial"/>
        </w:rPr>
        <w:t xml:space="preserve">del total; </w:t>
      </w:r>
      <w:r w:rsidR="005C1BE7">
        <w:rPr>
          <w:rFonts w:ascii="Arial" w:hAnsi="Arial" w:cs="Arial"/>
        </w:rPr>
        <w:t xml:space="preserve">mientras que, </w:t>
      </w:r>
      <w:r w:rsidR="00280FFB">
        <w:rPr>
          <w:rFonts w:ascii="Arial" w:hAnsi="Arial" w:cs="Arial"/>
        </w:rPr>
        <w:t>Costa Rica hasta el año 2000 había expulsado al 7.70% de su poblaci</w:t>
      </w:r>
      <w:r w:rsidR="00D804E0">
        <w:rPr>
          <w:rFonts w:ascii="Arial" w:hAnsi="Arial" w:cs="Arial"/>
        </w:rPr>
        <w:t xml:space="preserve">ón; y, en Ecuador hasta el 2001 la </w:t>
      </w:r>
      <w:r w:rsidR="00D804E0">
        <w:rPr>
          <w:rFonts w:ascii="Arial" w:hAnsi="Arial" w:cs="Arial"/>
        </w:rPr>
        <w:lastRenderedPageBreak/>
        <w:t>población emigrante representaba el 0.60% de la población total del país.</w:t>
      </w:r>
      <w:r w:rsidR="00F1261E">
        <w:rPr>
          <w:rFonts w:ascii="Arial" w:hAnsi="Arial" w:cs="Arial"/>
        </w:rPr>
        <w:t xml:space="preserve"> Para más detalles</w:t>
      </w:r>
      <w:r w:rsidR="00F1261E" w:rsidRPr="00F1261E">
        <w:rPr>
          <w:rFonts w:ascii="Arial" w:hAnsi="Arial" w:cs="Arial"/>
          <w:i/>
        </w:rPr>
        <w:t xml:space="preserve"> véase Tabla </w:t>
      </w:r>
      <w:r w:rsidR="00D866BA">
        <w:rPr>
          <w:rFonts w:ascii="Arial" w:hAnsi="Arial" w:cs="Arial"/>
          <w:i/>
        </w:rPr>
        <w:t>1.</w:t>
      </w:r>
      <w:r w:rsidR="00F1261E" w:rsidRPr="00F1261E">
        <w:rPr>
          <w:rFonts w:ascii="Arial" w:hAnsi="Arial" w:cs="Arial"/>
          <w:i/>
        </w:rPr>
        <w:t>2</w:t>
      </w:r>
      <w:r w:rsidR="00C531AE">
        <w:rPr>
          <w:rFonts w:ascii="Arial" w:hAnsi="Arial" w:cs="Arial"/>
        </w:rPr>
        <w:t xml:space="preserve"> o consulte </w:t>
      </w:r>
      <w:r w:rsidR="00C531AE">
        <w:rPr>
          <w:rFonts w:ascii="Arial" w:hAnsi="Arial" w:cs="Arial"/>
          <w:i/>
        </w:rPr>
        <w:t>Santillo</w:t>
      </w:r>
      <w:r w:rsidR="003566D0">
        <w:rPr>
          <w:rFonts w:ascii="Arial" w:hAnsi="Arial" w:cs="Arial"/>
          <w:i/>
        </w:rPr>
        <w:t>,</w:t>
      </w:r>
      <w:r w:rsidR="009D63E6">
        <w:rPr>
          <w:rFonts w:ascii="Arial" w:hAnsi="Arial" w:cs="Arial"/>
          <w:i/>
        </w:rPr>
        <w:t xml:space="preserve"> M.</w:t>
      </w:r>
      <w:r w:rsidR="00402745">
        <w:rPr>
          <w:rStyle w:val="Refdenotaalpie"/>
          <w:rFonts w:ascii="Arial" w:hAnsi="Arial" w:cs="Arial"/>
          <w:i/>
        </w:rPr>
        <w:footnoteReference w:id="10"/>
      </w:r>
      <w:r w:rsidR="00F1261E">
        <w:rPr>
          <w:rFonts w:ascii="Arial" w:hAnsi="Arial" w:cs="Arial"/>
        </w:rPr>
        <w:t>.</w:t>
      </w:r>
    </w:p>
    <w:tbl>
      <w:tblPr>
        <w:tblW w:w="7393" w:type="dxa"/>
        <w:jc w:val="right"/>
        <w:tblInd w:w="892"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393"/>
      </w:tblGrid>
      <w:tr w:rsidR="000B02DE" w:rsidRPr="00402486" w:rsidTr="00CC5492">
        <w:trPr>
          <w:trHeight w:val="4139"/>
          <w:jc w:val="right"/>
        </w:trPr>
        <w:tc>
          <w:tcPr>
            <w:tcW w:w="7393" w:type="dxa"/>
          </w:tcPr>
          <w:p w:rsidR="000B02DE" w:rsidRPr="002D7F13" w:rsidRDefault="000B02DE" w:rsidP="00707484">
            <w:pPr>
              <w:pStyle w:val="Prrafodelista"/>
              <w:ind w:left="0"/>
              <w:rPr>
                <w:rFonts w:ascii="Arial" w:hAnsi="Arial" w:cs="Arial"/>
                <w:b/>
                <w:sz w:val="16"/>
                <w:szCs w:val="16"/>
              </w:rPr>
            </w:pPr>
          </w:p>
          <w:p w:rsidR="00D866BA" w:rsidRPr="00D866BA" w:rsidRDefault="00D866BA" w:rsidP="00D866BA">
            <w:pPr>
              <w:pStyle w:val="Prrafodelista"/>
              <w:keepNext/>
              <w:ind w:left="0"/>
              <w:rPr>
                <w:rFonts w:ascii="Arial" w:hAnsi="Arial" w:cs="Arial"/>
                <w:b/>
                <w:sz w:val="16"/>
                <w:szCs w:val="16"/>
              </w:rPr>
            </w:pPr>
            <w:bookmarkStart w:id="33" w:name="_Toc339749131"/>
            <w:bookmarkStart w:id="34" w:name="_Toc341041382"/>
            <w:r w:rsidRPr="00D866BA">
              <w:rPr>
                <w:rFonts w:ascii="Arial" w:hAnsi="Arial" w:cs="Arial"/>
                <w:b/>
                <w:sz w:val="16"/>
                <w:szCs w:val="16"/>
              </w:rPr>
              <w:t>Tabla 1.</w:t>
            </w:r>
            <w:r w:rsidR="00990535" w:rsidRPr="00D866BA">
              <w:rPr>
                <w:rFonts w:ascii="Arial" w:hAnsi="Arial" w:cs="Arial"/>
                <w:b/>
                <w:sz w:val="16"/>
                <w:szCs w:val="16"/>
              </w:rPr>
              <w:fldChar w:fldCharType="begin"/>
            </w:r>
            <w:r w:rsidRPr="00D866BA">
              <w:rPr>
                <w:rFonts w:ascii="Arial" w:hAnsi="Arial" w:cs="Arial"/>
                <w:b/>
                <w:sz w:val="16"/>
                <w:szCs w:val="16"/>
              </w:rPr>
              <w:instrText xml:space="preserve"> SEQ Tabla_1. \* ARABIC </w:instrText>
            </w:r>
            <w:r w:rsidR="00990535" w:rsidRPr="00D866BA">
              <w:rPr>
                <w:rFonts w:ascii="Arial" w:hAnsi="Arial" w:cs="Arial"/>
                <w:b/>
                <w:sz w:val="16"/>
                <w:szCs w:val="16"/>
              </w:rPr>
              <w:fldChar w:fldCharType="separate"/>
            </w:r>
            <w:r w:rsidR="00A242E0">
              <w:rPr>
                <w:rFonts w:ascii="Arial" w:hAnsi="Arial" w:cs="Arial"/>
                <w:b/>
                <w:noProof/>
                <w:sz w:val="16"/>
                <w:szCs w:val="16"/>
              </w:rPr>
              <w:t>2</w:t>
            </w:r>
            <w:bookmarkEnd w:id="33"/>
            <w:bookmarkEnd w:id="34"/>
            <w:r w:rsidR="00990535" w:rsidRPr="00D866BA">
              <w:rPr>
                <w:rFonts w:ascii="Arial" w:hAnsi="Arial" w:cs="Arial"/>
                <w:b/>
                <w:sz w:val="16"/>
                <w:szCs w:val="16"/>
              </w:rPr>
              <w:fldChar w:fldCharType="end"/>
            </w:r>
          </w:p>
          <w:p w:rsidR="000B02DE" w:rsidRDefault="00E42A60" w:rsidP="00E42A60">
            <w:pPr>
              <w:pStyle w:val="Prrafodelista"/>
              <w:ind w:left="34"/>
              <w:rPr>
                <w:rFonts w:ascii="Arial" w:hAnsi="Arial" w:cs="Arial"/>
                <w:i/>
                <w:sz w:val="16"/>
                <w:szCs w:val="16"/>
              </w:rPr>
            </w:pPr>
            <w:r>
              <w:rPr>
                <w:rFonts w:ascii="Arial" w:hAnsi="Arial" w:cs="Arial"/>
                <w:i/>
                <w:sz w:val="16"/>
                <w:szCs w:val="16"/>
              </w:rPr>
              <w:t xml:space="preserve">Población </w:t>
            </w:r>
            <w:r w:rsidR="00280FFB">
              <w:rPr>
                <w:rFonts w:ascii="Arial" w:hAnsi="Arial" w:cs="Arial"/>
                <w:i/>
                <w:sz w:val="16"/>
                <w:szCs w:val="16"/>
              </w:rPr>
              <w:t>Em</w:t>
            </w:r>
            <w:r>
              <w:rPr>
                <w:rFonts w:ascii="Arial" w:hAnsi="Arial" w:cs="Arial"/>
                <w:i/>
                <w:sz w:val="16"/>
                <w:szCs w:val="16"/>
              </w:rPr>
              <w:t>igrante en relación a la Población Total</w:t>
            </w:r>
          </w:p>
          <w:p w:rsidR="000B02DE" w:rsidRPr="00616203" w:rsidRDefault="000B02DE" w:rsidP="00707484">
            <w:pPr>
              <w:pStyle w:val="Prrafodelista"/>
              <w:rPr>
                <w:rFonts w:ascii="Arial" w:hAnsi="Arial" w:cs="Arial"/>
                <w:i/>
                <w:sz w:val="10"/>
                <w:szCs w:val="10"/>
              </w:rPr>
            </w:pPr>
          </w:p>
          <w:tbl>
            <w:tblPr>
              <w:tblW w:w="6212" w:type="dxa"/>
              <w:jc w:val="center"/>
              <w:tblCellMar>
                <w:left w:w="70" w:type="dxa"/>
                <w:right w:w="70" w:type="dxa"/>
              </w:tblCellMar>
              <w:tblLook w:val="04A0" w:firstRow="1" w:lastRow="0" w:firstColumn="1" w:lastColumn="0" w:noHBand="0" w:noVBand="1"/>
            </w:tblPr>
            <w:tblGrid>
              <w:gridCol w:w="1193"/>
              <w:gridCol w:w="756"/>
              <w:gridCol w:w="619"/>
              <w:gridCol w:w="1256"/>
              <w:gridCol w:w="1270"/>
              <w:gridCol w:w="1118"/>
            </w:tblGrid>
            <w:tr w:rsidR="00330973" w:rsidRPr="00330973" w:rsidTr="00F915CB">
              <w:trPr>
                <w:trHeight w:val="215"/>
                <w:jc w:val="center"/>
              </w:trPr>
              <w:tc>
                <w:tcPr>
                  <w:tcW w:w="1198" w:type="dxa"/>
                  <w:tcBorders>
                    <w:top w:val="single" w:sz="8" w:space="0" w:color="auto"/>
                    <w:left w:val="nil"/>
                    <w:bottom w:val="single" w:sz="8" w:space="0" w:color="auto"/>
                    <w:right w:val="nil"/>
                  </w:tcBorders>
                  <w:shd w:val="clear" w:color="auto" w:fill="auto"/>
                  <w:vAlign w:val="center"/>
                  <w:hideMark/>
                </w:tcPr>
                <w:p w:rsidR="00330973" w:rsidRPr="00330973" w:rsidRDefault="00330973" w:rsidP="00330973">
                  <w:pPr>
                    <w:rPr>
                      <w:rFonts w:ascii="Arial" w:eastAsia="Times New Roman" w:hAnsi="Arial" w:cs="Arial"/>
                      <w:b/>
                      <w:bCs/>
                      <w:color w:val="000000"/>
                      <w:sz w:val="16"/>
                      <w:szCs w:val="16"/>
                      <w:lang w:eastAsia="es-EC"/>
                    </w:rPr>
                  </w:pPr>
                  <w:r w:rsidRPr="00330973">
                    <w:rPr>
                      <w:rFonts w:ascii="Arial" w:eastAsia="Times New Roman" w:hAnsi="Arial" w:cs="Arial"/>
                      <w:b/>
                      <w:bCs/>
                      <w:color w:val="000000"/>
                      <w:sz w:val="16"/>
                      <w:szCs w:val="16"/>
                      <w:lang w:eastAsia="es-EC"/>
                    </w:rPr>
                    <w:t>País</w:t>
                  </w:r>
                </w:p>
              </w:tc>
              <w:tc>
                <w:tcPr>
                  <w:tcW w:w="758" w:type="dxa"/>
                  <w:tcBorders>
                    <w:top w:val="single" w:sz="8" w:space="0" w:color="auto"/>
                    <w:left w:val="nil"/>
                    <w:bottom w:val="single" w:sz="8" w:space="0" w:color="auto"/>
                    <w:right w:val="nil"/>
                  </w:tcBorders>
                  <w:shd w:val="clear" w:color="auto" w:fill="auto"/>
                  <w:vAlign w:val="center"/>
                  <w:hideMark/>
                </w:tcPr>
                <w:p w:rsidR="00330973" w:rsidRPr="00330973" w:rsidRDefault="00330973" w:rsidP="00330973">
                  <w:pPr>
                    <w:rPr>
                      <w:rFonts w:ascii="Arial" w:eastAsia="Times New Roman" w:hAnsi="Arial" w:cs="Arial"/>
                      <w:b/>
                      <w:bCs/>
                      <w:color w:val="000000"/>
                      <w:sz w:val="16"/>
                      <w:szCs w:val="16"/>
                      <w:lang w:eastAsia="es-EC"/>
                    </w:rPr>
                  </w:pPr>
                  <w:r w:rsidRPr="00330973">
                    <w:rPr>
                      <w:rFonts w:ascii="Arial" w:eastAsia="Times New Roman" w:hAnsi="Arial" w:cs="Arial"/>
                      <w:b/>
                      <w:bCs/>
                      <w:color w:val="000000"/>
                      <w:sz w:val="16"/>
                      <w:szCs w:val="16"/>
                      <w:lang w:eastAsia="es-EC"/>
                    </w:rPr>
                    <w:t>Censo</w:t>
                  </w:r>
                </w:p>
              </w:tc>
              <w:tc>
                <w:tcPr>
                  <w:tcW w:w="585" w:type="dxa"/>
                  <w:tcBorders>
                    <w:top w:val="single" w:sz="8" w:space="0" w:color="auto"/>
                    <w:left w:val="nil"/>
                    <w:bottom w:val="single" w:sz="8" w:space="0" w:color="auto"/>
                    <w:right w:val="nil"/>
                  </w:tcBorders>
                  <w:shd w:val="clear" w:color="auto" w:fill="auto"/>
                  <w:vAlign w:val="center"/>
                  <w:hideMark/>
                </w:tcPr>
                <w:p w:rsidR="00330973" w:rsidRPr="00330973" w:rsidRDefault="00330973" w:rsidP="00330973">
                  <w:pPr>
                    <w:rPr>
                      <w:rFonts w:ascii="Arial" w:eastAsia="Times New Roman" w:hAnsi="Arial" w:cs="Arial"/>
                      <w:b/>
                      <w:bCs/>
                      <w:color w:val="000000"/>
                      <w:sz w:val="16"/>
                      <w:szCs w:val="16"/>
                      <w:lang w:eastAsia="es-EC"/>
                    </w:rPr>
                  </w:pPr>
                  <w:r w:rsidRPr="00330973">
                    <w:rPr>
                      <w:rFonts w:ascii="Arial" w:eastAsia="Times New Roman" w:hAnsi="Arial" w:cs="Arial"/>
                      <w:b/>
                      <w:bCs/>
                      <w:color w:val="000000"/>
                      <w:sz w:val="16"/>
                      <w:szCs w:val="16"/>
                      <w:lang w:eastAsia="es-EC"/>
                    </w:rPr>
                    <w:t>Datos</w:t>
                  </w:r>
                </w:p>
              </w:tc>
              <w:tc>
                <w:tcPr>
                  <w:tcW w:w="1261" w:type="dxa"/>
                  <w:tcBorders>
                    <w:top w:val="single" w:sz="8" w:space="0" w:color="auto"/>
                    <w:left w:val="nil"/>
                    <w:bottom w:val="single" w:sz="8" w:space="0" w:color="auto"/>
                    <w:right w:val="nil"/>
                  </w:tcBorders>
                  <w:shd w:val="clear" w:color="auto" w:fill="auto"/>
                  <w:vAlign w:val="center"/>
                  <w:hideMark/>
                </w:tcPr>
                <w:p w:rsidR="00330973" w:rsidRPr="00330973" w:rsidRDefault="00330973" w:rsidP="00330973">
                  <w:pPr>
                    <w:rPr>
                      <w:rFonts w:ascii="Arial" w:eastAsia="Times New Roman" w:hAnsi="Arial" w:cs="Arial"/>
                      <w:b/>
                      <w:bCs/>
                      <w:color w:val="000000"/>
                      <w:sz w:val="16"/>
                      <w:szCs w:val="16"/>
                      <w:lang w:eastAsia="es-EC"/>
                    </w:rPr>
                  </w:pPr>
                  <w:r w:rsidRPr="00330973">
                    <w:rPr>
                      <w:rFonts w:ascii="Arial" w:eastAsia="Times New Roman" w:hAnsi="Arial" w:cs="Arial"/>
                      <w:b/>
                      <w:bCs/>
                      <w:color w:val="000000"/>
                      <w:sz w:val="16"/>
                      <w:szCs w:val="16"/>
                      <w:lang w:eastAsia="es-EC"/>
                    </w:rPr>
                    <w:t>Población</w:t>
                  </w:r>
                </w:p>
              </w:tc>
              <w:tc>
                <w:tcPr>
                  <w:tcW w:w="1276" w:type="dxa"/>
                  <w:tcBorders>
                    <w:top w:val="single" w:sz="8" w:space="0" w:color="auto"/>
                    <w:left w:val="nil"/>
                    <w:bottom w:val="single" w:sz="8" w:space="0" w:color="auto"/>
                    <w:right w:val="nil"/>
                  </w:tcBorders>
                  <w:shd w:val="clear" w:color="auto" w:fill="auto"/>
                  <w:vAlign w:val="center"/>
                  <w:hideMark/>
                </w:tcPr>
                <w:p w:rsidR="00330973" w:rsidRPr="00330973" w:rsidRDefault="004B6AFB" w:rsidP="00330973">
                  <w:pP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Em</w:t>
                  </w:r>
                  <w:r w:rsidR="00330973" w:rsidRPr="00330973">
                    <w:rPr>
                      <w:rFonts w:ascii="Arial" w:eastAsia="Times New Roman" w:hAnsi="Arial" w:cs="Arial"/>
                      <w:b/>
                      <w:bCs/>
                      <w:color w:val="000000"/>
                      <w:sz w:val="16"/>
                      <w:szCs w:val="16"/>
                      <w:lang w:eastAsia="es-EC"/>
                    </w:rPr>
                    <w:t>igrantes</w:t>
                  </w:r>
                </w:p>
              </w:tc>
              <w:tc>
                <w:tcPr>
                  <w:tcW w:w="1134" w:type="dxa"/>
                  <w:tcBorders>
                    <w:top w:val="single" w:sz="8" w:space="0" w:color="auto"/>
                    <w:left w:val="nil"/>
                    <w:bottom w:val="single" w:sz="8" w:space="0" w:color="auto"/>
                    <w:right w:val="nil"/>
                  </w:tcBorders>
                  <w:shd w:val="clear" w:color="auto" w:fill="auto"/>
                  <w:vAlign w:val="center"/>
                  <w:hideMark/>
                </w:tcPr>
                <w:p w:rsidR="00330973" w:rsidRPr="00330973" w:rsidRDefault="00330973" w:rsidP="00330973">
                  <w:pPr>
                    <w:rPr>
                      <w:rFonts w:ascii="Arial" w:eastAsia="Times New Roman" w:hAnsi="Arial" w:cs="Arial"/>
                      <w:b/>
                      <w:bCs/>
                      <w:color w:val="000000"/>
                      <w:sz w:val="16"/>
                      <w:szCs w:val="16"/>
                      <w:lang w:eastAsia="es-EC"/>
                    </w:rPr>
                  </w:pPr>
                  <w:r w:rsidRPr="00330973">
                    <w:rPr>
                      <w:rFonts w:ascii="Arial" w:eastAsia="Times New Roman" w:hAnsi="Arial" w:cs="Arial"/>
                      <w:b/>
                      <w:bCs/>
                      <w:color w:val="000000"/>
                      <w:sz w:val="16"/>
                      <w:szCs w:val="16"/>
                      <w:lang w:eastAsia="es-EC"/>
                    </w:rPr>
                    <w:t>%</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Argentina</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2001</w:t>
                  </w: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36,260,000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1,531,940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4.20</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Bolivia</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2001</w:t>
                  </w: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8,275,000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61,000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0.70</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Brasil</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2000</w:t>
                  </w: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170,406,000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546,000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0.30</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Chile</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2002</w:t>
                  </w: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15,116,000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153,000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1.00</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Colombia</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2000</w:t>
                  </w: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42,105,000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115,000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0.30</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Costa Rica</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2000</w:t>
                  </w: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4,024,000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311,000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7.70</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Ecuador</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2001</w:t>
                  </w: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12,156,600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82,000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0.60</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El Salvador</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2000</w:t>
                  </w: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6,278,000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24,000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0.40</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Guatemala</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2000</w:t>
                  </w: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11,385,000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43,000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0.40</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Honduras</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2001</w:t>
                  </w: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6,417,000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44,000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0.70</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México</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2000</w:t>
                  </w: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98,872,000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521,000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0.50</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Nicaragua</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2000</w:t>
                  </w: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5,071,000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27,000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0.50</w:t>
                  </w:r>
                </w:p>
              </w:tc>
            </w:tr>
            <w:tr w:rsidR="00330973" w:rsidRPr="00330973" w:rsidTr="00F915CB">
              <w:trPr>
                <w:trHeight w:val="215"/>
                <w:jc w:val="center"/>
              </w:trPr>
              <w:tc>
                <w:tcPr>
                  <w:tcW w:w="1198" w:type="dxa"/>
                  <w:tcBorders>
                    <w:top w:val="nil"/>
                    <w:left w:val="nil"/>
                    <w:bottom w:val="nil"/>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Panamá</w:t>
                  </w:r>
                </w:p>
              </w:tc>
              <w:tc>
                <w:tcPr>
                  <w:tcW w:w="758"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p>
              </w:tc>
              <w:tc>
                <w:tcPr>
                  <w:tcW w:w="585"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2000</w:t>
                  </w:r>
                </w:p>
              </w:tc>
              <w:tc>
                <w:tcPr>
                  <w:tcW w:w="1261"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2,856,000</w:t>
                  </w:r>
                </w:p>
              </w:tc>
              <w:tc>
                <w:tcPr>
                  <w:tcW w:w="1276"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82,000</w:t>
                  </w:r>
                </w:p>
              </w:tc>
              <w:tc>
                <w:tcPr>
                  <w:tcW w:w="1134" w:type="dxa"/>
                  <w:tcBorders>
                    <w:top w:val="nil"/>
                    <w:left w:val="nil"/>
                    <w:bottom w:val="nil"/>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2.90</w:t>
                  </w:r>
                </w:p>
              </w:tc>
            </w:tr>
            <w:tr w:rsidR="00330973" w:rsidRPr="00330973" w:rsidTr="00F915CB">
              <w:trPr>
                <w:trHeight w:val="215"/>
                <w:jc w:val="center"/>
              </w:trPr>
              <w:tc>
                <w:tcPr>
                  <w:tcW w:w="1198" w:type="dxa"/>
                  <w:tcBorders>
                    <w:top w:val="nil"/>
                    <w:left w:val="nil"/>
                    <w:bottom w:val="single" w:sz="8" w:space="0" w:color="auto"/>
                    <w:right w:val="nil"/>
                  </w:tcBorders>
                  <w:shd w:val="clear" w:color="auto" w:fill="auto"/>
                  <w:vAlign w:val="center"/>
                  <w:hideMark/>
                </w:tcPr>
                <w:p w:rsidR="00330973" w:rsidRPr="00330973" w:rsidRDefault="00330973" w:rsidP="00686D08">
                  <w:pPr>
                    <w:jc w:val="left"/>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Uruguay</w:t>
                  </w:r>
                </w:p>
              </w:tc>
              <w:tc>
                <w:tcPr>
                  <w:tcW w:w="758" w:type="dxa"/>
                  <w:tcBorders>
                    <w:top w:val="nil"/>
                    <w:left w:val="nil"/>
                    <w:bottom w:val="single" w:sz="8" w:space="0" w:color="auto"/>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 </w:t>
                  </w:r>
                </w:p>
              </w:tc>
              <w:tc>
                <w:tcPr>
                  <w:tcW w:w="585" w:type="dxa"/>
                  <w:tcBorders>
                    <w:top w:val="nil"/>
                    <w:left w:val="nil"/>
                    <w:bottom w:val="single" w:sz="8" w:space="0" w:color="auto"/>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2000</w:t>
                  </w:r>
                </w:p>
              </w:tc>
              <w:tc>
                <w:tcPr>
                  <w:tcW w:w="1261" w:type="dxa"/>
                  <w:tcBorders>
                    <w:top w:val="nil"/>
                    <w:left w:val="nil"/>
                    <w:bottom w:val="single" w:sz="8" w:space="0" w:color="auto"/>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3,337,000</w:t>
                  </w:r>
                </w:p>
              </w:tc>
              <w:tc>
                <w:tcPr>
                  <w:tcW w:w="1276" w:type="dxa"/>
                  <w:tcBorders>
                    <w:top w:val="nil"/>
                    <w:left w:val="nil"/>
                    <w:bottom w:val="single" w:sz="8" w:space="0" w:color="auto"/>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89,000</w:t>
                  </w:r>
                </w:p>
              </w:tc>
              <w:tc>
                <w:tcPr>
                  <w:tcW w:w="1134" w:type="dxa"/>
                  <w:tcBorders>
                    <w:top w:val="nil"/>
                    <w:left w:val="nil"/>
                    <w:bottom w:val="single" w:sz="8" w:space="0" w:color="auto"/>
                    <w:right w:val="nil"/>
                  </w:tcBorders>
                  <w:shd w:val="clear" w:color="auto" w:fill="auto"/>
                  <w:vAlign w:val="center"/>
                  <w:hideMark/>
                </w:tcPr>
                <w:p w:rsidR="00330973" w:rsidRPr="00330973" w:rsidRDefault="00330973" w:rsidP="00330973">
                  <w:pPr>
                    <w:rPr>
                      <w:rFonts w:ascii="Arial" w:eastAsia="Times New Roman" w:hAnsi="Arial" w:cs="Arial"/>
                      <w:color w:val="000000"/>
                      <w:sz w:val="16"/>
                      <w:szCs w:val="16"/>
                      <w:lang w:eastAsia="es-EC"/>
                    </w:rPr>
                  </w:pPr>
                  <w:r w:rsidRPr="00330973">
                    <w:rPr>
                      <w:rFonts w:ascii="Arial" w:eastAsia="Times New Roman" w:hAnsi="Arial" w:cs="Arial"/>
                      <w:color w:val="000000"/>
                      <w:sz w:val="16"/>
                      <w:szCs w:val="16"/>
                      <w:lang w:eastAsia="es-EC"/>
                    </w:rPr>
                    <w:t>2.70</w:t>
                  </w:r>
                </w:p>
              </w:tc>
            </w:tr>
          </w:tbl>
          <w:p w:rsidR="000B02DE" w:rsidRPr="00E92E1D" w:rsidRDefault="000B02DE" w:rsidP="000B02DE">
            <w:pPr>
              <w:pStyle w:val="Prrafodelista"/>
              <w:ind w:left="176"/>
              <w:jc w:val="both"/>
              <w:rPr>
                <w:rFonts w:ascii="Arial" w:hAnsi="Arial" w:cs="Arial"/>
                <w:sz w:val="14"/>
                <w:szCs w:val="14"/>
              </w:rPr>
            </w:pPr>
          </w:p>
        </w:tc>
      </w:tr>
    </w:tbl>
    <w:p w:rsidR="000B02DE" w:rsidRPr="00CC5492" w:rsidRDefault="000B02DE" w:rsidP="00CC5492">
      <w:pPr>
        <w:pStyle w:val="Prrafodelista"/>
        <w:spacing w:line="276" w:lineRule="auto"/>
        <w:ind w:left="851"/>
        <w:jc w:val="both"/>
        <w:rPr>
          <w:rFonts w:ascii="Arial" w:hAnsi="Arial" w:cs="Arial"/>
          <w:sz w:val="17"/>
          <w:szCs w:val="17"/>
        </w:rPr>
      </w:pPr>
    </w:p>
    <w:p w:rsidR="001F7754" w:rsidRPr="00CC5492" w:rsidRDefault="000B02DE" w:rsidP="00CC5492">
      <w:pPr>
        <w:pStyle w:val="Prrafodelista"/>
        <w:spacing w:line="276" w:lineRule="auto"/>
        <w:ind w:left="851"/>
        <w:jc w:val="both"/>
        <w:rPr>
          <w:rFonts w:ascii="Arial" w:hAnsi="Arial" w:cs="Arial"/>
          <w:sz w:val="17"/>
          <w:szCs w:val="17"/>
          <w:lang w:val="en-US"/>
        </w:rPr>
      </w:pPr>
      <w:r w:rsidRPr="00CC5492">
        <w:rPr>
          <w:rFonts w:ascii="Arial" w:hAnsi="Arial" w:cs="Arial"/>
          <w:b/>
          <w:i/>
          <w:sz w:val="17"/>
          <w:szCs w:val="17"/>
          <w:lang w:val="en-US"/>
        </w:rPr>
        <w:t>Fuente:</w:t>
      </w:r>
      <w:r w:rsidRPr="00CC5492">
        <w:rPr>
          <w:rFonts w:ascii="Arial" w:hAnsi="Arial" w:cs="Arial"/>
          <w:sz w:val="17"/>
          <w:szCs w:val="17"/>
          <w:lang w:val="en-US"/>
        </w:rPr>
        <w:t xml:space="preserve"> </w:t>
      </w:r>
      <w:r w:rsidRPr="00CC5492">
        <w:rPr>
          <w:rFonts w:ascii="Arial" w:hAnsi="Arial" w:cs="Arial"/>
          <w:b/>
          <w:sz w:val="17"/>
          <w:szCs w:val="17"/>
          <w:lang w:val="en-US"/>
        </w:rPr>
        <w:t>ILO Migration Survey</w:t>
      </w:r>
      <w:r w:rsidRPr="00CC5492">
        <w:rPr>
          <w:rFonts w:ascii="Arial" w:hAnsi="Arial" w:cs="Arial"/>
          <w:sz w:val="17"/>
          <w:szCs w:val="17"/>
          <w:lang w:val="en-US"/>
        </w:rPr>
        <w:t xml:space="preserve"> (2003), “</w:t>
      </w:r>
      <w:r w:rsidRPr="00CC5492">
        <w:rPr>
          <w:rFonts w:ascii="Arial" w:hAnsi="Arial" w:cs="Arial"/>
          <w:i/>
          <w:sz w:val="17"/>
          <w:szCs w:val="17"/>
          <w:lang w:val="en-US"/>
        </w:rPr>
        <w:t>Country Summaries”</w:t>
      </w:r>
      <w:r w:rsidRPr="00CC5492">
        <w:rPr>
          <w:rFonts w:ascii="Arial" w:hAnsi="Arial" w:cs="Arial"/>
          <w:sz w:val="17"/>
          <w:szCs w:val="17"/>
          <w:lang w:val="en-US"/>
        </w:rPr>
        <w:t>, Social Protection Sector, International Migration Programme, ILO, Geneva</w:t>
      </w:r>
      <w:r w:rsidR="00601E86" w:rsidRPr="00CC5492">
        <w:rPr>
          <w:rFonts w:ascii="Arial" w:hAnsi="Arial" w:cs="Arial"/>
          <w:sz w:val="17"/>
          <w:szCs w:val="17"/>
          <w:lang w:val="en-US"/>
        </w:rPr>
        <w:t>.</w:t>
      </w:r>
    </w:p>
    <w:p w:rsidR="00686D08" w:rsidRPr="00CC5492" w:rsidRDefault="00686D08" w:rsidP="00CC5492">
      <w:pPr>
        <w:pStyle w:val="Prrafodelista"/>
        <w:spacing w:line="276" w:lineRule="auto"/>
        <w:ind w:left="851"/>
        <w:jc w:val="both"/>
        <w:rPr>
          <w:rFonts w:ascii="Arial" w:hAnsi="Arial" w:cs="Arial"/>
          <w:sz w:val="17"/>
          <w:szCs w:val="17"/>
        </w:rPr>
      </w:pPr>
      <w:r w:rsidRPr="00CC5492">
        <w:rPr>
          <w:rFonts w:ascii="Arial" w:hAnsi="Arial" w:cs="Arial"/>
          <w:b/>
          <w:i/>
          <w:sz w:val="17"/>
          <w:szCs w:val="17"/>
        </w:rPr>
        <w:t>Elaborado por:</w:t>
      </w:r>
      <w:r w:rsidRPr="00CC5492">
        <w:rPr>
          <w:rFonts w:ascii="Arial" w:hAnsi="Arial" w:cs="Arial"/>
          <w:sz w:val="17"/>
          <w:szCs w:val="17"/>
        </w:rPr>
        <w:t xml:space="preserve"> Katherine Loor Valeriano</w:t>
      </w:r>
    </w:p>
    <w:p w:rsidR="004B6AFB" w:rsidRPr="004B6AFB" w:rsidRDefault="004B6AFB" w:rsidP="004B6AFB">
      <w:pPr>
        <w:pStyle w:val="TesisTitulo20"/>
        <w:numPr>
          <w:ilvl w:val="0"/>
          <w:numId w:val="0"/>
        </w:numPr>
        <w:ind w:left="993"/>
        <w:rPr>
          <w:b w:val="0"/>
          <w:sz w:val="22"/>
          <w:szCs w:val="22"/>
        </w:rPr>
      </w:pPr>
      <w:bookmarkStart w:id="35" w:name="_Toc332571345"/>
    </w:p>
    <w:p w:rsidR="00231DB7" w:rsidRPr="00247C62" w:rsidRDefault="00411BF7" w:rsidP="00CC5492">
      <w:pPr>
        <w:pStyle w:val="TesisTitulo20"/>
        <w:ind w:left="1560" w:hanging="709"/>
      </w:pPr>
      <w:bookmarkStart w:id="36" w:name="_Toc341040588"/>
      <w:r w:rsidRPr="00247C62">
        <w:t>Migración Internacional en Ecuador</w:t>
      </w:r>
      <w:bookmarkEnd w:id="35"/>
      <w:bookmarkEnd w:id="36"/>
    </w:p>
    <w:p w:rsidR="00E72FA5" w:rsidRDefault="00334AF2" w:rsidP="00CC5492">
      <w:pPr>
        <w:pStyle w:val="Prrafodelista"/>
        <w:spacing w:line="480" w:lineRule="auto"/>
        <w:ind w:left="851"/>
        <w:jc w:val="both"/>
        <w:rPr>
          <w:rFonts w:ascii="Arial" w:hAnsi="Arial" w:cs="Arial"/>
        </w:rPr>
      </w:pPr>
      <w:r>
        <w:rPr>
          <w:rFonts w:ascii="Arial" w:hAnsi="Arial" w:cs="Arial"/>
        </w:rPr>
        <w:t>Hipótesis históricas</w:t>
      </w:r>
      <w:r w:rsidR="000C517C" w:rsidRPr="000C517C">
        <w:rPr>
          <w:rFonts w:ascii="Arial" w:hAnsi="Arial" w:cs="Arial"/>
        </w:rPr>
        <w:t xml:space="preserve"> nos relata que los primeros habitantes que vinieron a Ecuador llegaron hace cuarenta o cincuenta mil años; se conoce que provenían de Asia y que llegaron por el estrecho de Bering</w:t>
      </w:r>
      <w:r w:rsidR="00BB42F5">
        <w:rPr>
          <w:rStyle w:val="Refdenotaalpie"/>
          <w:rFonts w:ascii="Arial" w:hAnsi="Arial" w:cs="Arial"/>
        </w:rPr>
        <w:footnoteReference w:id="11"/>
      </w:r>
      <w:r w:rsidR="004F2C29">
        <w:rPr>
          <w:rFonts w:ascii="Arial" w:hAnsi="Arial" w:cs="Arial"/>
        </w:rPr>
        <w:t>; aunque otros dicen que venían de Australia</w:t>
      </w:r>
      <w:r w:rsidR="000C517C" w:rsidRPr="000C517C">
        <w:rPr>
          <w:rFonts w:ascii="Arial" w:hAnsi="Arial" w:cs="Arial"/>
        </w:rPr>
        <w:t xml:space="preserve">. </w:t>
      </w:r>
      <w:r w:rsidR="000F4C4B">
        <w:rPr>
          <w:rFonts w:ascii="Arial" w:hAnsi="Arial" w:cs="Arial"/>
        </w:rPr>
        <w:t>Ya h</w:t>
      </w:r>
      <w:r w:rsidR="000C517C" w:rsidRPr="000C517C">
        <w:rPr>
          <w:rFonts w:ascii="Arial" w:hAnsi="Arial" w:cs="Arial"/>
        </w:rPr>
        <w:t xml:space="preserve">acia fines del siglo XV, los pueblos de lo que ahora es Ecuador enfrentaron la conquista por parte de los Incas, que se habían asentado originariamente en el sur del actual Perú. Su rápida expansión militar y política se inició hacia </w:t>
      </w:r>
      <w:r w:rsidR="00A727F0">
        <w:rPr>
          <w:rFonts w:ascii="Arial" w:hAnsi="Arial" w:cs="Arial"/>
        </w:rPr>
        <w:t xml:space="preserve">el año </w:t>
      </w:r>
      <w:r w:rsidR="000C517C" w:rsidRPr="000C517C">
        <w:rPr>
          <w:rFonts w:ascii="Arial" w:hAnsi="Arial" w:cs="Arial"/>
        </w:rPr>
        <w:t>1200 con el legendario Manco Cápac</w:t>
      </w:r>
      <w:r w:rsidR="00BB42F5">
        <w:rPr>
          <w:rStyle w:val="Refdenotaalpie"/>
          <w:rFonts w:ascii="Arial" w:hAnsi="Arial" w:cs="Arial"/>
        </w:rPr>
        <w:footnoteReference w:id="12"/>
      </w:r>
      <w:r w:rsidR="000C517C" w:rsidRPr="000C517C">
        <w:rPr>
          <w:rFonts w:ascii="Arial" w:hAnsi="Arial" w:cs="Arial"/>
        </w:rPr>
        <w:t xml:space="preserve">. Cabe destacar la migración desde las zonas de </w:t>
      </w:r>
      <w:r w:rsidR="004F2C29">
        <w:rPr>
          <w:rFonts w:ascii="Arial" w:hAnsi="Arial" w:cs="Arial"/>
        </w:rPr>
        <w:t>“</w:t>
      </w:r>
      <w:r w:rsidR="00A137D5">
        <w:rPr>
          <w:rFonts w:ascii="Arial" w:hAnsi="Arial" w:cs="Arial"/>
        </w:rPr>
        <w:t xml:space="preserve">ceja de </w:t>
      </w:r>
      <w:r w:rsidR="00A137D5">
        <w:rPr>
          <w:rFonts w:ascii="Arial" w:hAnsi="Arial" w:cs="Arial"/>
        </w:rPr>
        <w:lastRenderedPageBreak/>
        <w:t>montaña</w:t>
      </w:r>
      <w:r w:rsidR="004F2C29">
        <w:rPr>
          <w:rFonts w:ascii="Arial" w:hAnsi="Arial" w:cs="Arial"/>
        </w:rPr>
        <w:t>”</w:t>
      </w:r>
      <w:r w:rsidR="000C517C" w:rsidRPr="000C517C">
        <w:rPr>
          <w:rFonts w:ascii="Arial" w:hAnsi="Arial" w:cs="Arial"/>
        </w:rPr>
        <w:t>, que por ser áreas de refugio durante la conquista</w:t>
      </w:r>
      <w:r w:rsidR="004F2C29">
        <w:rPr>
          <w:rFonts w:ascii="Arial" w:hAnsi="Arial" w:cs="Arial"/>
        </w:rPr>
        <w:t xml:space="preserve"> incaica</w:t>
      </w:r>
      <w:r w:rsidR="000C517C" w:rsidRPr="000C517C">
        <w:rPr>
          <w:rFonts w:ascii="Arial" w:hAnsi="Arial" w:cs="Arial"/>
        </w:rPr>
        <w:t>, estaban pasando a convertirse en zonas de expulsión de población, tanto por las condiciones infrahumanas de las encomiendas, como por los antiguos lazos que sus habitantes mantenían con la sierra.</w:t>
      </w:r>
      <w:r w:rsidR="00C9044F">
        <w:rPr>
          <w:rFonts w:ascii="Arial" w:hAnsi="Arial" w:cs="Arial"/>
        </w:rPr>
        <w:t xml:space="preserve"> </w:t>
      </w:r>
      <w:r w:rsidR="00E72FA5" w:rsidRPr="00E72FA5">
        <w:rPr>
          <w:rFonts w:ascii="Arial" w:hAnsi="Arial" w:cs="Arial"/>
        </w:rPr>
        <w:t>De allí pasamos a la época de la Conquista, con el descubrimiento de América en 1942 por Cristóbal Colón, que trajo el movimiento migratorio de europeos y esclavos africanos hacia nuestro territorio.</w:t>
      </w:r>
    </w:p>
    <w:p w:rsidR="00E72FA5" w:rsidRDefault="00E72FA5" w:rsidP="00CC5492">
      <w:pPr>
        <w:pStyle w:val="Prrafodelista"/>
        <w:spacing w:line="480" w:lineRule="auto"/>
        <w:ind w:left="851"/>
        <w:jc w:val="both"/>
        <w:rPr>
          <w:rFonts w:ascii="Arial" w:hAnsi="Arial" w:cs="Arial"/>
        </w:rPr>
      </w:pPr>
    </w:p>
    <w:p w:rsidR="00AD16E9" w:rsidRDefault="00AC1D71" w:rsidP="00CC5492">
      <w:pPr>
        <w:pStyle w:val="Prrafodelista"/>
        <w:spacing w:line="480" w:lineRule="auto"/>
        <w:ind w:left="851"/>
        <w:jc w:val="both"/>
        <w:rPr>
          <w:rFonts w:ascii="Arial" w:hAnsi="Arial" w:cs="Arial"/>
        </w:rPr>
      </w:pPr>
      <w:r w:rsidRPr="00AC1D71">
        <w:rPr>
          <w:rFonts w:ascii="Arial" w:hAnsi="Arial" w:cs="Arial"/>
        </w:rPr>
        <w:t xml:space="preserve">Dejando a un lado </w:t>
      </w:r>
      <w:r w:rsidR="005C3472">
        <w:rPr>
          <w:rFonts w:ascii="Arial" w:hAnsi="Arial" w:cs="Arial"/>
        </w:rPr>
        <w:t>hechos históricos distantes</w:t>
      </w:r>
      <w:r w:rsidRPr="00AC1D71">
        <w:rPr>
          <w:rFonts w:ascii="Arial" w:hAnsi="Arial" w:cs="Arial"/>
        </w:rPr>
        <w:t xml:space="preserve"> y enfocándonos </w:t>
      </w:r>
      <w:r w:rsidR="005C3472">
        <w:rPr>
          <w:rFonts w:ascii="Arial" w:hAnsi="Arial" w:cs="Arial"/>
        </w:rPr>
        <w:t xml:space="preserve">en situaciones más recientes que se reflejan </w:t>
      </w:r>
      <w:r w:rsidRPr="00AC1D71">
        <w:rPr>
          <w:rFonts w:ascii="Arial" w:hAnsi="Arial" w:cs="Arial"/>
        </w:rPr>
        <w:t xml:space="preserve">en los últimos veinte años, tenemos que durante los Censos </w:t>
      </w:r>
      <w:r w:rsidR="00D92720">
        <w:rPr>
          <w:rFonts w:ascii="Arial" w:hAnsi="Arial" w:cs="Arial"/>
        </w:rPr>
        <w:t xml:space="preserve">de Población y Vivienda </w:t>
      </w:r>
      <w:r w:rsidRPr="00AC1D71">
        <w:rPr>
          <w:rFonts w:ascii="Arial" w:hAnsi="Arial" w:cs="Arial"/>
        </w:rPr>
        <w:t xml:space="preserve">de 1990 y 2001, se registró que en Ecuador vivían 136972 y 95889 extranjeros respectivamente, lo que representa el 1.42% y el 0.70% de la población total de cada censo. Dicha cifra nos indica que </w:t>
      </w:r>
      <w:r w:rsidR="00AE5E37">
        <w:rPr>
          <w:rFonts w:ascii="Arial" w:hAnsi="Arial" w:cs="Arial"/>
        </w:rPr>
        <w:t xml:space="preserve">en el período que se inició en 1991 </w:t>
      </w:r>
      <w:r w:rsidRPr="00AC1D71">
        <w:rPr>
          <w:rFonts w:ascii="Arial" w:hAnsi="Arial" w:cs="Arial"/>
        </w:rPr>
        <w:t xml:space="preserve">hubo un descenso en la población extranjera residente en el país, este evento se </w:t>
      </w:r>
      <w:r w:rsidR="00AE5E37">
        <w:rPr>
          <w:rFonts w:ascii="Arial" w:hAnsi="Arial" w:cs="Arial"/>
        </w:rPr>
        <w:t>podría</w:t>
      </w:r>
      <w:r w:rsidRPr="00AC1D71">
        <w:rPr>
          <w:rFonts w:ascii="Arial" w:hAnsi="Arial" w:cs="Arial"/>
        </w:rPr>
        <w:t xml:space="preserve"> explicar, debido a la crisis </w:t>
      </w:r>
      <w:r w:rsidR="00AE5E37">
        <w:rPr>
          <w:rFonts w:ascii="Arial" w:hAnsi="Arial" w:cs="Arial"/>
        </w:rPr>
        <w:t>financiera</w:t>
      </w:r>
      <w:r w:rsidRPr="00AC1D71">
        <w:rPr>
          <w:rFonts w:ascii="Arial" w:hAnsi="Arial" w:cs="Arial"/>
        </w:rPr>
        <w:t xml:space="preserve"> que nuestro país </w:t>
      </w:r>
      <w:r w:rsidR="00AE5E37">
        <w:rPr>
          <w:rFonts w:ascii="Arial" w:hAnsi="Arial" w:cs="Arial"/>
        </w:rPr>
        <w:t>vivió</w:t>
      </w:r>
      <w:r w:rsidRPr="00AC1D71">
        <w:rPr>
          <w:rFonts w:ascii="Arial" w:hAnsi="Arial" w:cs="Arial"/>
        </w:rPr>
        <w:t xml:space="preserve"> en el año 2000.</w:t>
      </w:r>
    </w:p>
    <w:p w:rsidR="00AC1D71" w:rsidRDefault="00AC1D71" w:rsidP="00CC5492">
      <w:pPr>
        <w:pStyle w:val="Prrafodelista"/>
        <w:spacing w:line="480" w:lineRule="auto"/>
        <w:ind w:left="851"/>
        <w:jc w:val="both"/>
        <w:rPr>
          <w:rFonts w:ascii="Arial" w:hAnsi="Arial" w:cs="Arial"/>
        </w:rPr>
      </w:pPr>
    </w:p>
    <w:p w:rsidR="00247DD3" w:rsidRDefault="00AC1D71" w:rsidP="00CC5492">
      <w:pPr>
        <w:pStyle w:val="Prrafodelista"/>
        <w:spacing w:line="480" w:lineRule="auto"/>
        <w:ind w:left="851"/>
        <w:jc w:val="both"/>
        <w:rPr>
          <w:rFonts w:ascii="Arial" w:hAnsi="Arial" w:cs="Arial"/>
        </w:rPr>
      </w:pPr>
      <w:r w:rsidRPr="00AC1D71">
        <w:rPr>
          <w:rFonts w:ascii="Arial" w:hAnsi="Arial" w:cs="Arial"/>
        </w:rPr>
        <w:t>Una de las nacionalidades extranjeras predominantes en nuestro país es la colombiana, cabe mencionar que este fenómeno se origina debido a las cercanías fronterizas entr</w:t>
      </w:r>
      <w:r>
        <w:rPr>
          <w:rFonts w:ascii="Arial" w:hAnsi="Arial" w:cs="Arial"/>
        </w:rPr>
        <w:t xml:space="preserve">e </w:t>
      </w:r>
      <w:r w:rsidR="003133E8">
        <w:rPr>
          <w:rFonts w:ascii="Arial" w:hAnsi="Arial" w:cs="Arial"/>
        </w:rPr>
        <w:t>Ecuador y Colombia y situaciones particulares que en ellos se desarrollan</w:t>
      </w:r>
      <w:r>
        <w:rPr>
          <w:rFonts w:ascii="Arial" w:hAnsi="Arial" w:cs="Arial"/>
        </w:rPr>
        <w:t xml:space="preserve">; </w:t>
      </w:r>
      <w:r w:rsidRPr="002F33E4">
        <w:rPr>
          <w:rFonts w:ascii="Arial" w:hAnsi="Arial" w:cs="Arial"/>
          <w:i/>
        </w:rPr>
        <w:t>Ramírez, C.</w:t>
      </w:r>
      <w:r>
        <w:rPr>
          <w:rStyle w:val="Refdenotaalpie"/>
          <w:rFonts w:ascii="Arial" w:hAnsi="Arial" w:cs="Arial"/>
        </w:rPr>
        <w:footnoteReference w:id="13"/>
      </w:r>
      <w:r w:rsidRPr="00AC1D71">
        <w:rPr>
          <w:rFonts w:ascii="Arial" w:hAnsi="Arial" w:cs="Arial"/>
        </w:rPr>
        <w:t xml:space="preserve">, et. al. indica que la primera oleada migratoria de colombianos hacia Ecuador y otros países se dio en el </w:t>
      </w:r>
      <w:r w:rsidRPr="00AC1D71">
        <w:rPr>
          <w:rFonts w:ascii="Arial" w:hAnsi="Arial" w:cs="Arial"/>
        </w:rPr>
        <w:lastRenderedPageBreak/>
        <w:t>período 1965 y 1975; y, durante el período de 1995 al 2006 se produjo otra ola migratoria como consecuencia de la crisis económica sufrida en Colombia durante 1998 y 2003, que trajo consigo tasas de desempleo por encima del 10%, expulsando profesionales y mano de obra, en especial mano de obra femenina proveniente de la zona</w:t>
      </w:r>
      <w:r w:rsidR="005F5D9C">
        <w:rPr>
          <w:rFonts w:ascii="Arial" w:hAnsi="Arial" w:cs="Arial"/>
        </w:rPr>
        <w:t xml:space="preserve"> cafetera y del Valle del Cauca</w:t>
      </w:r>
      <w:r w:rsidR="005F5D9C">
        <w:rPr>
          <w:rStyle w:val="Refdenotaalpie"/>
          <w:rFonts w:ascii="Arial" w:hAnsi="Arial" w:cs="Arial"/>
        </w:rPr>
        <w:footnoteReference w:id="14"/>
      </w:r>
      <w:r w:rsidRPr="00AC1D71">
        <w:rPr>
          <w:rFonts w:ascii="Arial" w:hAnsi="Arial" w:cs="Arial"/>
        </w:rPr>
        <w:t>.</w:t>
      </w:r>
      <w:r w:rsidR="00852EC2">
        <w:rPr>
          <w:rFonts w:ascii="Arial" w:hAnsi="Arial" w:cs="Arial"/>
        </w:rPr>
        <w:t xml:space="preserve"> </w:t>
      </w:r>
    </w:p>
    <w:p w:rsidR="00247DD3" w:rsidRDefault="00247DD3" w:rsidP="00CC5492">
      <w:pPr>
        <w:pStyle w:val="Prrafodelista"/>
        <w:spacing w:line="480" w:lineRule="auto"/>
        <w:ind w:left="851"/>
        <w:jc w:val="both"/>
        <w:rPr>
          <w:rFonts w:ascii="Arial" w:hAnsi="Arial" w:cs="Arial"/>
        </w:rPr>
      </w:pPr>
    </w:p>
    <w:p w:rsidR="001B2345" w:rsidRPr="008935E5" w:rsidRDefault="0051142D" w:rsidP="00CC5492">
      <w:pPr>
        <w:pStyle w:val="Prrafodelista"/>
        <w:spacing w:line="480" w:lineRule="auto"/>
        <w:ind w:left="851"/>
        <w:jc w:val="both"/>
        <w:rPr>
          <w:rFonts w:ascii="Arial" w:hAnsi="Arial" w:cs="Arial"/>
        </w:rPr>
      </w:pPr>
      <w:r w:rsidRPr="0051142D">
        <w:rPr>
          <w:rFonts w:ascii="Arial" w:hAnsi="Arial" w:cs="Arial"/>
        </w:rPr>
        <w:t xml:space="preserve">Otro evento que provocó </w:t>
      </w:r>
      <w:r w:rsidR="00852EC2">
        <w:rPr>
          <w:rFonts w:ascii="Arial" w:hAnsi="Arial" w:cs="Arial"/>
        </w:rPr>
        <w:t>una alta</w:t>
      </w:r>
      <w:r w:rsidRPr="0051142D">
        <w:rPr>
          <w:rFonts w:ascii="Arial" w:hAnsi="Arial" w:cs="Arial"/>
        </w:rPr>
        <w:t xml:space="preserve"> expulsión de población en Colombia y que quizás todos recordemos, es el paro impuesto por las FARC en el 2000, donde Pérez</w:t>
      </w:r>
      <w:r>
        <w:rPr>
          <w:rStyle w:val="Refdenotaalpie"/>
          <w:rFonts w:ascii="Arial" w:hAnsi="Arial" w:cs="Arial"/>
        </w:rPr>
        <w:footnoteReference w:id="15"/>
      </w:r>
      <w:r w:rsidRPr="0051142D">
        <w:rPr>
          <w:rFonts w:ascii="Arial" w:hAnsi="Arial" w:cs="Arial"/>
        </w:rPr>
        <w:t xml:space="preserve"> (2003), nos indica que alrededor de 12000 colombianos ingresaron al país en calidad de refugiados de los cuales 2000 se dirigieron hacia Santo Domingo y aproximadamente la misma cantidad se quedaron en Sucumbíos, mientras que los otros decidieron retornar a Colombia. Sólo en Sucumbíos durante el año 2000 al 2003 existían alrededor de 6288 refugiados, </w:t>
      </w:r>
      <w:r w:rsidRPr="00945328">
        <w:rPr>
          <w:rFonts w:ascii="Arial" w:hAnsi="Arial" w:cs="Arial"/>
          <w:i/>
        </w:rPr>
        <w:t>véase</w:t>
      </w:r>
      <w:r w:rsidRPr="0051142D">
        <w:rPr>
          <w:rFonts w:ascii="Arial" w:hAnsi="Arial" w:cs="Arial"/>
        </w:rPr>
        <w:t xml:space="preserve"> </w:t>
      </w:r>
      <w:r w:rsidRPr="00945328">
        <w:rPr>
          <w:rFonts w:ascii="Arial" w:hAnsi="Arial" w:cs="Arial"/>
          <w:i/>
        </w:rPr>
        <w:t xml:space="preserve">Figura </w:t>
      </w:r>
      <w:r w:rsidR="0004768C">
        <w:rPr>
          <w:rFonts w:ascii="Arial" w:hAnsi="Arial" w:cs="Arial"/>
          <w:i/>
        </w:rPr>
        <w:t>1.</w:t>
      </w:r>
      <w:r w:rsidR="00EE67A8">
        <w:rPr>
          <w:rFonts w:ascii="Arial" w:hAnsi="Arial" w:cs="Arial"/>
          <w:i/>
        </w:rPr>
        <w:t>1</w:t>
      </w:r>
      <w:r w:rsidRPr="0051142D">
        <w:rPr>
          <w:rFonts w:ascii="Arial" w:hAnsi="Arial" w:cs="Arial"/>
        </w:rPr>
        <w:t>.</w:t>
      </w:r>
      <w:r w:rsidR="001B2345">
        <w:rPr>
          <w:rFonts w:ascii="Arial" w:hAnsi="Arial" w:cs="Arial"/>
        </w:rPr>
        <w:t xml:space="preserve"> Aunque c</w:t>
      </w:r>
      <w:r w:rsidR="001B2345" w:rsidRPr="008935E5">
        <w:rPr>
          <w:rFonts w:ascii="Arial" w:hAnsi="Arial" w:cs="Arial"/>
        </w:rPr>
        <w:t xml:space="preserve">on el tiempo, la emigración de colombianos ya no era solo hacia las zonas fronterizas con Ecuador; sino que se extendieron hacia ciudades interiores del país como Quito, Guayaquil o Cuenca. Actualmente, los colombianos se encuentran dispersos </w:t>
      </w:r>
      <w:r w:rsidR="003B1B44">
        <w:rPr>
          <w:rFonts w:ascii="Arial" w:hAnsi="Arial" w:cs="Arial"/>
        </w:rPr>
        <w:t>a lo largo y ancho de la geografía ecuatoriana</w:t>
      </w:r>
      <w:r w:rsidR="001B2345" w:rsidRPr="008935E5">
        <w:rPr>
          <w:rFonts w:ascii="Arial" w:hAnsi="Arial" w:cs="Arial"/>
        </w:rPr>
        <w:t>.</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49721D" w:rsidRPr="00402486" w:rsidTr="00CC5492">
        <w:trPr>
          <w:trHeight w:val="2300"/>
          <w:jc w:val="right"/>
        </w:trPr>
        <w:tc>
          <w:tcPr>
            <w:tcW w:w="7535" w:type="dxa"/>
          </w:tcPr>
          <w:p w:rsidR="0049721D" w:rsidRPr="00BB3B13" w:rsidRDefault="0049721D" w:rsidP="00B6311D">
            <w:pPr>
              <w:rPr>
                <w:rFonts w:ascii="Arial" w:hAnsi="Arial" w:cs="Arial"/>
                <w:sz w:val="16"/>
                <w:szCs w:val="16"/>
              </w:rPr>
            </w:pPr>
          </w:p>
          <w:p w:rsidR="00D866BA" w:rsidRPr="00F5774C" w:rsidRDefault="00F5774C" w:rsidP="00F5774C">
            <w:pPr>
              <w:pStyle w:val="Epgrafe"/>
              <w:rPr>
                <w:rFonts w:ascii="Arial" w:hAnsi="Arial" w:cs="Arial"/>
                <w:color w:val="auto"/>
                <w:sz w:val="16"/>
                <w:szCs w:val="16"/>
              </w:rPr>
            </w:pPr>
            <w:bookmarkStart w:id="37" w:name="_Toc341042780"/>
            <w:r>
              <w:rPr>
                <w:rFonts w:ascii="Arial" w:hAnsi="Arial" w:cs="Arial"/>
                <w:color w:val="auto"/>
                <w:sz w:val="16"/>
                <w:szCs w:val="16"/>
              </w:rPr>
              <w:t>Figura 1.</w:t>
            </w:r>
            <w:r w:rsidR="00990535" w:rsidRPr="00F5774C">
              <w:rPr>
                <w:rFonts w:ascii="Arial" w:hAnsi="Arial" w:cs="Arial"/>
                <w:color w:val="auto"/>
                <w:sz w:val="16"/>
                <w:szCs w:val="16"/>
              </w:rPr>
              <w:fldChar w:fldCharType="begin"/>
            </w:r>
            <w:r w:rsidRPr="00F5774C">
              <w:rPr>
                <w:rFonts w:ascii="Arial" w:hAnsi="Arial" w:cs="Arial"/>
                <w:color w:val="auto"/>
                <w:sz w:val="16"/>
                <w:szCs w:val="16"/>
              </w:rPr>
              <w:instrText xml:space="preserve"> SEQ Figura_1. \* ARABIC </w:instrText>
            </w:r>
            <w:r w:rsidR="00990535" w:rsidRPr="00F5774C">
              <w:rPr>
                <w:rFonts w:ascii="Arial" w:hAnsi="Arial" w:cs="Arial"/>
                <w:color w:val="auto"/>
                <w:sz w:val="16"/>
                <w:szCs w:val="16"/>
              </w:rPr>
              <w:fldChar w:fldCharType="separate"/>
            </w:r>
            <w:r w:rsidR="00A242E0">
              <w:rPr>
                <w:rFonts w:ascii="Arial" w:hAnsi="Arial" w:cs="Arial"/>
                <w:noProof/>
                <w:color w:val="auto"/>
                <w:sz w:val="16"/>
                <w:szCs w:val="16"/>
              </w:rPr>
              <w:t>1</w:t>
            </w:r>
            <w:bookmarkEnd w:id="37"/>
            <w:r w:rsidR="00990535" w:rsidRPr="00F5774C">
              <w:rPr>
                <w:rFonts w:ascii="Arial" w:hAnsi="Arial" w:cs="Arial"/>
                <w:color w:val="auto"/>
                <w:sz w:val="16"/>
                <w:szCs w:val="16"/>
              </w:rPr>
              <w:fldChar w:fldCharType="end"/>
            </w:r>
          </w:p>
          <w:p w:rsidR="0049721D" w:rsidRPr="000D5905" w:rsidRDefault="0049721D" w:rsidP="00B6311D">
            <w:pPr>
              <w:rPr>
                <w:rFonts w:ascii="Arial" w:hAnsi="Arial" w:cs="Arial"/>
                <w:i/>
                <w:sz w:val="16"/>
                <w:szCs w:val="16"/>
              </w:rPr>
            </w:pPr>
            <w:r w:rsidRPr="000D5905">
              <w:rPr>
                <w:rFonts w:ascii="Arial" w:hAnsi="Arial" w:cs="Arial"/>
                <w:i/>
                <w:sz w:val="16"/>
                <w:szCs w:val="16"/>
              </w:rPr>
              <w:t>Refugiados colombianos en Sucumbíos durante el período 2000 - 2003</w:t>
            </w:r>
          </w:p>
          <w:p w:rsidR="0049721D" w:rsidRPr="00402486" w:rsidRDefault="0049721D" w:rsidP="0051373B">
            <w:pPr>
              <w:ind w:left="7"/>
              <w:rPr>
                <w:rFonts w:ascii="Arial" w:hAnsi="Arial" w:cs="Arial"/>
              </w:rPr>
            </w:pPr>
            <w:r w:rsidRPr="00402486">
              <w:rPr>
                <w:noProof/>
                <w:lang w:eastAsia="es-EC"/>
              </w:rPr>
              <w:drawing>
                <wp:inline distT="0" distB="0" distL="0" distR="0">
                  <wp:extent cx="4095750" cy="16560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49721D" w:rsidRPr="00CC5492" w:rsidRDefault="0049721D" w:rsidP="00CC5492">
      <w:pPr>
        <w:spacing w:line="276" w:lineRule="auto"/>
        <w:ind w:left="851"/>
        <w:jc w:val="both"/>
        <w:rPr>
          <w:rFonts w:ascii="Arial" w:hAnsi="Arial" w:cs="Arial"/>
          <w:b/>
          <w:i/>
          <w:sz w:val="17"/>
          <w:szCs w:val="17"/>
        </w:rPr>
      </w:pPr>
    </w:p>
    <w:p w:rsidR="0049721D" w:rsidRPr="00CC5492" w:rsidRDefault="0049721D" w:rsidP="00CC5492">
      <w:pPr>
        <w:spacing w:line="276" w:lineRule="auto"/>
        <w:ind w:left="851"/>
        <w:jc w:val="both"/>
        <w:rPr>
          <w:rFonts w:ascii="Arial" w:hAnsi="Arial" w:cs="Arial"/>
          <w:sz w:val="17"/>
          <w:szCs w:val="17"/>
        </w:rPr>
      </w:pPr>
      <w:r w:rsidRPr="00CC5492">
        <w:rPr>
          <w:rFonts w:ascii="Arial" w:hAnsi="Arial" w:cs="Arial"/>
          <w:b/>
          <w:i/>
          <w:sz w:val="17"/>
          <w:szCs w:val="17"/>
        </w:rPr>
        <w:t>Fuente:</w:t>
      </w:r>
      <w:r w:rsidRPr="00CC5492">
        <w:rPr>
          <w:rFonts w:ascii="Arial" w:hAnsi="Arial" w:cs="Arial"/>
          <w:sz w:val="17"/>
          <w:szCs w:val="17"/>
        </w:rPr>
        <w:t xml:space="preserve"> </w:t>
      </w:r>
      <w:r w:rsidR="00B66A8A" w:rsidRPr="00CC5492">
        <w:rPr>
          <w:rFonts w:ascii="Arial" w:hAnsi="Arial" w:cs="Arial"/>
          <w:b/>
          <w:sz w:val="17"/>
          <w:szCs w:val="17"/>
        </w:rPr>
        <w:t>Pérez</w:t>
      </w:r>
      <w:r w:rsidRPr="00CC5492">
        <w:rPr>
          <w:rFonts w:ascii="Arial" w:hAnsi="Arial" w:cs="Arial"/>
          <w:sz w:val="17"/>
          <w:szCs w:val="17"/>
        </w:rPr>
        <w:t xml:space="preserve">, </w:t>
      </w:r>
      <w:r w:rsidRPr="00CC5492">
        <w:rPr>
          <w:rFonts w:ascii="Arial" w:hAnsi="Arial" w:cs="Arial"/>
          <w:b/>
          <w:sz w:val="17"/>
          <w:szCs w:val="17"/>
        </w:rPr>
        <w:t>C</w:t>
      </w:r>
      <w:r w:rsidRPr="00CC5492">
        <w:rPr>
          <w:rFonts w:ascii="Arial" w:hAnsi="Arial" w:cs="Arial"/>
          <w:sz w:val="17"/>
          <w:szCs w:val="17"/>
        </w:rPr>
        <w:t xml:space="preserve">. (2003), </w:t>
      </w:r>
      <w:r w:rsidRPr="00CC5492">
        <w:rPr>
          <w:rFonts w:ascii="Arial" w:hAnsi="Arial" w:cs="Arial"/>
          <w:i/>
          <w:sz w:val="17"/>
          <w:szCs w:val="17"/>
        </w:rPr>
        <w:t>"La situación de refugio y desplazamiento forzado en Ecuador"</w:t>
      </w:r>
      <w:r w:rsidRPr="00CC5492">
        <w:rPr>
          <w:rFonts w:ascii="Arial" w:hAnsi="Arial" w:cs="Arial"/>
          <w:sz w:val="17"/>
          <w:szCs w:val="17"/>
        </w:rPr>
        <w:t>, Revista Aportes Andinos Nº 7. Globalización, migración y derechos humanos.</w:t>
      </w:r>
    </w:p>
    <w:p w:rsidR="005A00BA" w:rsidRPr="00CC5492" w:rsidRDefault="005A00BA" w:rsidP="00CC5492">
      <w:pPr>
        <w:spacing w:line="276" w:lineRule="auto"/>
        <w:ind w:left="851"/>
        <w:jc w:val="both"/>
        <w:rPr>
          <w:rFonts w:ascii="Arial" w:hAnsi="Arial" w:cs="Arial"/>
          <w:sz w:val="17"/>
          <w:szCs w:val="17"/>
        </w:rPr>
      </w:pPr>
      <w:r w:rsidRPr="00CC5492">
        <w:rPr>
          <w:rFonts w:ascii="Arial" w:hAnsi="Arial" w:cs="Arial"/>
          <w:b/>
          <w:i/>
          <w:sz w:val="17"/>
          <w:szCs w:val="17"/>
        </w:rPr>
        <w:t xml:space="preserve">Elaborado por: </w:t>
      </w:r>
      <w:r w:rsidRPr="00CC5492">
        <w:rPr>
          <w:rFonts w:ascii="Arial" w:hAnsi="Arial" w:cs="Arial"/>
          <w:sz w:val="17"/>
          <w:szCs w:val="17"/>
        </w:rPr>
        <w:t>Katherine Loor Valeriano</w:t>
      </w:r>
    </w:p>
    <w:p w:rsidR="00CC5492" w:rsidRDefault="00CC5492" w:rsidP="00CC5492">
      <w:pPr>
        <w:pStyle w:val="Prrafodelista"/>
        <w:spacing w:line="480" w:lineRule="auto"/>
        <w:ind w:left="851"/>
        <w:jc w:val="both"/>
        <w:rPr>
          <w:rFonts w:ascii="Arial" w:hAnsi="Arial" w:cs="Arial"/>
        </w:rPr>
      </w:pPr>
    </w:p>
    <w:p w:rsidR="0049721D" w:rsidRDefault="008935E5" w:rsidP="00CC5492">
      <w:pPr>
        <w:pStyle w:val="Prrafodelista"/>
        <w:spacing w:line="480" w:lineRule="auto"/>
        <w:ind w:left="851"/>
        <w:jc w:val="both"/>
        <w:rPr>
          <w:rFonts w:ascii="Arial" w:hAnsi="Arial" w:cs="Arial"/>
        </w:rPr>
      </w:pPr>
      <w:r w:rsidRPr="008935E5">
        <w:rPr>
          <w:rFonts w:ascii="Arial" w:hAnsi="Arial" w:cs="Arial"/>
        </w:rPr>
        <w:t xml:space="preserve">Otra de las nacionalidades extranjeras que en </w:t>
      </w:r>
      <w:r w:rsidR="00EE67A8">
        <w:rPr>
          <w:rFonts w:ascii="Arial" w:hAnsi="Arial" w:cs="Arial"/>
        </w:rPr>
        <w:t>alta</w:t>
      </w:r>
      <w:r w:rsidRPr="008935E5">
        <w:rPr>
          <w:rFonts w:ascii="Arial" w:hAnsi="Arial" w:cs="Arial"/>
        </w:rPr>
        <w:t xml:space="preserve"> proporción se encuentra en Ecuador, son los peruanos; que desde la firma del tratado de paz entre ambos países, que tuvo lugar en la ciudad de Brasilia el 26 de octubre de 1998 entre los presidentes Jamil Mahuad de Ecuador y Alberto Fujimori de Perú</w:t>
      </w:r>
      <w:r w:rsidR="00EE67A8">
        <w:rPr>
          <w:rFonts w:ascii="Arial" w:hAnsi="Arial" w:cs="Arial"/>
        </w:rPr>
        <w:t>;</w:t>
      </w:r>
      <w:r w:rsidRPr="008935E5">
        <w:rPr>
          <w:rFonts w:ascii="Arial" w:hAnsi="Arial" w:cs="Arial"/>
        </w:rPr>
        <w:t xml:space="preserve"> esto</w:t>
      </w:r>
      <w:r w:rsidR="00EE67A8">
        <w:rPr>
          <w:rFonts w:ascii="Arial" w:hAnsi="Arial" w:cs="Arial"/>
        </w:rPr>
        <w:t>,</w:t>
      </w:r>
      <w:r w:rsidRPr="008935E5">
        <w:rPr>
          <w:rFonts w:ascii="Arial" w:hAnsi="Arial" w:cs="Arial"/>
        </w:rPr>
        <w:t xml:space="preserve"> sumado a la dolarización hicieron de Ecuador un país atractivo para la inmigración peruana. A partir de allí la cantidad de peruanos en nuestro país ha aumentado, a tal punto </w:t>
      </w:r>
      <w:r w:rsidR="00B14A45">
        <w:rPr>
          <w:rFonts w:ascii="Arial" w:hAnsi="Arial" w:cs="Arial"/>
        </w:rPr>
        <w:t>que según la FLACSO</w:t>
      </w:r>
      <w:r w:rsidRPr="008935E5">
        <w:rPr>
          <w:rFonts w:ascii="Arial" w:hAnsi="Arial" w:cs="Arial"/>
        </w:rPr>
        <w:t xml:space="preserve"> </w:t>
      </w:r>
      <w:r w:rsidR="00E62C29">
        <w:rPr>
          <w:rFonts w:ascii="Arial" w:hAnsi="Arial" w:cs="Arial"/>
        </w:rPr>
        <w:t>(2010)</w:t>
      </w:r>
      <w:r w:rsidR="0004768C">
        <w:rPr>
          <w:rStyle w:val="Refdenotaalpie"/>
          <w:rFonts w:ascii="Arial" w:hAnsi="Arial" w:cs="Arial"/>
        </w:rPr>
        <w:footnoteReference w:id="16"/>
      </w:r>
      <w:r w:rsidR="00E62C29">
        <w:rPr>
          <w:rFonts w:ascii="Arial" w:hAnsi="Arial" w:cs="Arial"/>
        </w:rPr>
        <w:t xml:space="preserve"> </w:t>
      </w:r>
      <w:r w:rsidRPr="008935E5">
        <w:rPr>
          <w:rFonts w:ascii="Arial" w:hAnsi="Arial" w:cs="Arial"/>
        </w:rPr>
        <w:t>en uno de sus boletines, para el año 2001 se contabilizaban alrededor de 50548 per</w:t>
      </w:r>
      <w:r w:rsidR="00E62C29">
        <w:rPr>
          <w:rFonts w:ascii="Arial" w:hAnsi="Arial" w:cs="Arial"/>
        </w:rPr>
        <w:t>uanos, valor que se incrementó hasta que</w:t>
      </w:r>
      <w:r w:rsidRPr="008935E5">
        <w:rPr>
          <w:rFonts w:ascii="Arial" w:hAnsi="Arial" w:cs="Arial"/>
        </w:rPr>
        <w:t xml:space="preserve"> para el 2007 teníamos un saldo migratorio aproximado de 520388 con lo que podríamos concluir que hubo un </w:t>
      </w:r>
      <w:r w:rsidR="00EE67A8">
        <w:rPr>
          <w:rFonts w:ascii="Arial" w:hAnsi="Arial" w:cs="Arial"/>
        </w:rPr>
        <w:t>“</w:t>
      </w:r>
      <w:r w:rsidRPr="008935E5">
        <w:rPr>
          <w:rFonts w:ascii="Arial" w:hAnsi="Arial" w:cs="Arial"/>
        </w:rPr>
        <w:t>boom migratorio</w:t>
      </w:r>
      <w:r w:rsidR="00EE67A8">
        <w:rPr>
          <w:rFonts w:ascii="Arial" w:hAnsi="Arial" w:cs="Arial"/>
        </w:rPr>
        <w:t>”</w:t>
      </w:r>
      <w:r w:rsidRPr="008935E5">
        <w:rPr>
          <w:rFonts w:ascii="Arial" w:hAnsi="Arial" w:cs="Arial"/>
        </w:rPr>
        <w:t xml:space="preserve"> de peruanos en Ecuador durante ese período; aunque, </w:t>
      </w:r>
      <w:r w:rsidR="00D90606">
        <w:rPr>
          <w:rFonts w:ascii="Arial" w:hAnsi="Arial" w:cs="Arial"/>
        </w:rPr>
        <w:t xml:space="preserve">existe evidencia que </w:t>
      </w:r>
      <w:r w:rsidRPr="008935E5">
        <w:rPr>
          <w:rFonts w:ascii="Arial" w:hAnsi="Arial" w:cs="Arial"/>
        </w:rPr>
        <w:t>en el 2008 ese valor se redujo considerablemente.</w:t>
      </w:r>
    </w:p>
    <w:p w:rsidR="0004768C" w:rsidRDefault="0004768C" w:rsidP="00CC5492">
      <w:pPr>
        <w:pStyle w:val="Prrafodelista"/>
        <w:spacing w:line="480" w:lineRule="auto"/>
        <w:ind w:left="851"/>
        <w:jc w:val="both"/>
        <w:rPr>
          <w:rFonts w:ascii="Arial" w:hAnsi="Arial" w:cs="Arial"/>
        </w:rPr>
      </w:pPr>
    </w:p>
    <w:p w:rsidR="0079594F" w:rsidRDefault="00BE7FDF" w:rsidP="00CC5492">
      <w:pPr>
        <w:pStyle w:val="Prrafodelista"/>
        <w:spacing w:line="480" w:lineRule="auto"/>
        <w:ind w:left="851"/>
        <w:jc w:val="both"/>
        <w:rPr>
          <w:rFonts w:ascii="Arial" w:hAnsi="Arial" w:cs="Arial"/>
        </w:rPr>
      </w:pPr>
      <w:r w:rsidRPr="00BE7FDF">
        <w:rPr>
          <w:rFonts w:ascii="Arial" w:hAnsi="Arial" w:cs="Arial"/>
        </w:rPr>
        <w:lastRenderedPageBreak/>
        <w:t xml:space="preserve">Cabe </w:t>
      </w:r>
      <w:r w:rsidR="006C561E">
        <w:rPr>
          <w:rFonts w:ascii="Arial" w:hAnsi="Arial" w:cs="Arial"/>
        </w:rPr>
        <w:t>mencionar</w:t>
      </w:r>
      <w:r w:rsidRPr="00BE7FDF">
        <w:rPr>
          <w:rFonts w:ascii="Arial" w:hAnsi="Arial" w:cs="Arial"/>
        </w:rPr>
        <w:t xml:space="preserve">, que Ecuador no es solo un país receptor de extranjeros, sino también es un país </w:t>
      </w:r>
      <w:r w:rsidR="008A5D76">
        <w:rPr>
          <w:rFonts w:ascii="Arial" w:hAnsi="Arial" w:cs="Arial"/>
        </w:rPr>
        <w:t>que expulsa</w:t>
      </w:r>
      <w:r w:rsidRPr="00BE7FDF">
        <w:rPr>
          <w:rFonts w:ascii="Arial" w:hAnsi="Arial" w:cs="Arial"/>
        </w:rPr>
        <w:t xml:space="preserve"> población; es así que en el Censo de 2001</w:t>
      </w:r>
      <w:r w:rsidR="006C561E">
        <w:rPr>
          <w:rStyle w:val="Refdenotaalpie"/>
          <w:rFonts w:ascii="Arial" w:hAnsi="Arial" w:cs="Arial"/>
        </w:rPr>
        <w:footnoteReference w:id="17"/>
      </w:r>
      <w:r w:rsidRPr="00BE7FDF">
        <w:rPr>
          <w:rFonts w:ascii="Arial" w:hAnsi="Arial" w:cs="Arial"/>
        </w:rPr>
        <w:t>, se determinó que existen 377908 ecuatorianos que emigraron durante el período de 1990 al 2001. Si calculáramos el crecimiento poblacional producto de la migración durante ese período inter</w:t>
      </w:r>
      <w:r>
        <w:rPr>
          <w:rFonts w:ascii="Arial" w:hAnsi="Arial" w:cs="Arial"/>
        </w:rPr>
        <w:t>censal, éste sería de</w:t>
      </w:r>
      <w:r w:rsidRPr="00BE7FDF">
        <w:rPr>
          <w:rFonts w:ascii="Arial" w:hAnsi="Arial" w:cs="Arial"/>
        </w:rPr>
        <w:t xml:space="preserve"> -282019 personas, lo que implica un descenso en la población del Ecuador; pero aquí se genera algo curioso, puesto que a pesar de existir una disminución de la población como producto de la migración esto no afecta significativamente </w:t>
      </w:r>
      <w:r w:rsidR="008A5D76">
        <w:rPr>
          <w:rFonts w:ascii="Arial" w:hAnsi="Arial" w:cs="Arial"/>
        </w:rPr>
        <w:t>las predicciones realizadas del</w:t>
      </w:r>
      <w:r w:rsidRPr="00BE7FDF">
        <w:rPr>
          <w:rFonts w:ascii="Arial" w:hAnsi="Arial" w:cs="Arial"/>
        </w:rPr>
        <w:t xml:space="preserve"> crecimiento de la población del Ecuador en </w:t>
      </w:r>
      <w:r w:rsidR="009A3E88">
        <w:rPr>
          <w:rFonts w:ascii="Arial" w:hAnsi="Arial" w:cs="Arial"/>
        </w:rPr>
        <w:t>dicho</w:t>
      </w:r>
      <w:r w:rsidRPr="00BE7FDF">
        <w:rPr>
          <w:rFonts w:ascii="Arial" w:hAnsi="Arial" w:cs="Arial"/>
        </w:rPr>
        <w:t xml:space="preserve"> período. </w:t>
      </w:r>
      <w:r w:rsidRPr="00945328">
        <w:rPr>
          <w:rFonts w:ascii="Arial" w:hAnsi="Arial" w:cs="Arial"/>
          <w:i/>
        </w:rPr>
        <w:t>Véase</w:t>
      </w:r>
      <w:r w:rsidRPr="00BE7FDF">
        <w:rPr>
          <w:rFonts w:ascii="Arial" w:hAnsi="Arial" w:cs="Arial"/>
        </w:rPr>
        <w:t xml:space="preserve"> </w:t>
      </w:r>
      <w:r w:rsidRPr="00945328">
        <w:rPr>
          <w:rFonts w:ascii="Arial" w:hAnsi="Arial" w:cs="Arial"/>
          <w:i/>
        </w:rPr>
        <w:t xml:space="preserve">Figura </w:t>
      </w:r>
      <w:r w:rsidR="0004768C">
        <w:rPr>
          <w:rFonts w:ascii="Arial" w:hAnsi="Arial" w:cs="Arial"/>
          <w:i/>
        </w:rPr>
        <w:t>1.</w:t>
      </w:r>
      <w:r w:rsidR="009B557B">
        <w:rPr>
          <w:rFonts w:ascii="Arial" w:hAnsi="Arial" w:cs="Arial"/>
          <w:i/>
        </w:rPr>
        <w:t>2</w:t>
      </w:r>
      <w:r w:rsidRPr="00BE7FDF">
        <w:rPr>
          <w:rFonts w:ascii="Arial" w:hAnsi="Arial" w:cs="Arial"/>
        </w:rPr>
        <w:t>.</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BE7FDF" w:rsidRPr="00402486" w:rsidTr="00CC5492">
        <w:trPr>
          <w:trHeight w:val="2532"/>
          <w:jc w:val="right"/>
        </w:trPr>
        <w:tc>
          <w:tcPr>
            <w:tcW w:w="7535" w:type="dxa"/>
          </w:tcPr>
          <w:p w:rsidR="00BE7FDF" w:rsidRPr="00BB3B13" w:rsidRDefault="00BE7FDF" w:rsidP="00FA35C3">
            <w:pPr>
              <w:ind w:left="0"/>
              <w:rPr>
                <w:rFonts w:ascii="Arial" w:hAnsi="Arial" w:cs="Arial"/>
                <w:sz w:val="16"/>
                <w:szCs w:val="16"/>
              </w:rPr>
            </w:pPr>
          </w:p>
          <w:p w:rsidR="0004768C" w:rsidRPr="0004768C" w:rsidRDefault="0004768C" w:rsidP="00FA35C3">
            <w:pPr>
              <w:ind w:left="0"/>
              <w:rPr>
                <w:rFonts w:ascii="Arial" w:hAnsi="Arial" w:cs="Arial"/>
                <w:b/>
                <w:sz w:val="16"/>
                <w:szCs w:val="16"/>
              </w:rPr>
            </w:pPr>
            <w:bookmarkStart w:id="38" w:name="_Toc341042781"/>
            <w:r>
              <w:rPr>
                <w:rFonts w:ascii="Arial" w:hAnsi="Arial" w:cs="Arial"/>
                <w:b/>
                <w:sz w:val="16"/>
                <w:szCs w:val="16"/>
              </w:rPr>
              <w:t>Figura 1.</w:t>
            </w:r>
            <w:r w:rsidR="00990535" w:rsidRPr="0004768C">
              <w:rPr>
                <w:rFonts w:ascii="Arial" w:hAnsi="Arial" w:cs="Arial"/>
                <w:b/>
                <w:sz w:val="16"/>
                <w:szCs w:val="16"/>
              </w:rPr>
              <w:fldChar w:fldCharType="begin"/>
            </w:r>
            <w:r w:rsidRPr="0004768C">
              <w:rPr>
                <w:rFonts w:ascii="Arial" w:hAnsi="Arial" w:cs="Arial"/>
                <w:b/>
                <w:sz w:val="16"/>
                <w:szCs w:val="16"/>
              </w:rPr>
              <w:instrText xml:space="preserve"> SEQ Figura_1. \* ARABIC </w:instrText>
            </w:r>
            <w:r w:rsidR="00990535" w:rsidRPr="0004768C">
              <w:rPr>
                <w:rFonts w:ascii="Arial" w:hAnsi="Arial" w:cs="Arial"/>
                <w:b/>
                <w:sz w:val="16"/>
                <w:szCs w:val="16"/>
              </w:rPr>
              <w:fldChar w:fldCharType="separate"/>
            </w:r>
            <w:r w:rsidR="00A242E0">
              <w:rPr>
                <w:rFonts w:ascii="Arial" w:hAnsi="Arial" w:cs="Arial"/>
                <w:b/>
                <w:noProof/>
                <w:sz w:val="16"/>
                <w:szCs w:val="16"/>
              </w:rPr>
              <w:t>2</w:t>
            </w:r>
            <w:bookmarkEnd w:id="38"/>
            <w:r w:rsidR="00990535" w:rsidRPr="0004768C">
              <w:rPr>
                <w:rFonts w:ascii="Arial" w:hAnsi="Arial" w:cs="Arial"/>
                <w:b/>
                <w:sz w:val="16"/>
                <w:szCs w:val="16"/>
              </w:rPr>
              <w:fldChar w:fldCharType="end"/>
            </w:r>
          </w:p>
          <w:p w:rsidR="00BE7FDF" w:rsidRPr="000D5905" w:rsidRDefault="00BE7FDF" w:rsidP="00FA35C3">
            <w:pPr>
              <w:ind w:left="0"/>
              <w:rPr>
                <w:rFonts w:ascii="Arial" w:hAnsi="Arial" w:cs="Arial"/>
                <w:i/>
                <w:sz w:val="16"/>
                <w:szCs w:val="16"/>
              </w:rPr>
            </w:pPr>
            <w:r w:rsidRPr="000D5905">
              <w:rPr>
                <w:rFonts w:ascii="Arial" w:hAnsi="Arial" w:cs="Arial"/>
                <w:i/>
                <w:sz w:val="16"/>
                <w:szCs w:val="16"/>
              </w:rPr>
              <w:t>Población Total del Ecuador desde Censo 1950 - 2001</w:t>
            </w:r>
          </w:p>
          <w:p w:rsidR="00BE7FDF" w:rsidRPr="00402486" w:rsidRDefault="00BE7FDF" w:rsidP="0051373B">
            <w:pPr>
              <w:ind w:left="7"/>
              <w:rPr>
                <w:rFonts w:ascii="Arial" w:hAnsi="Arial" w:cs="Arial"/>
              </w:rPr>
            </w:pPr>
            <w:r w:rsidRPr="00402486">
              <w:rPr>
                <w:rFonts w:ascii="Arial" w:hAnsi="Arial" w:cs="Arial"/>
                <w:noProof/>
                <w:lang w:eastAsia="es-EC"/>
              </w:rPr>
              <w:drawing>
                <wp:inline distT="0" distB="0" distL="0" distR="0">
                  <wp:extent cx="3800475" cy="1692000"/>
                  <wp:effectExtent l="0" t="0" r="0" b="0"/>
                  <wp:docPr id="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BE7FDF" w:rsidRPr="00CC5492" w:rsidRDefault="00BE7FDF" w:rsidP="00CC5492">
      <w:pPr>
        <w:spacing w:line="276" w:lineRule="auto"/>
        <w:ind w:left="851"/>
        <w:jc w:val="both"/>
        <w:rPr>
          <w:rFonts w:ascii="Arial" w:hAnsi="Arial" w:cs="Arial"/>
          <w:sz w:val="17"/>
          <w:szCs w:val="17"/>
        </w:rPr>
      </w:pPr>
    </w:p>
    <w:p w:rsidR="00BE7FDF" w:rsidRPr="00CC5492" w:rsidRDefault="00BE7FDF" w:rsidP="00CC5492">
      <w:pPr>
        <w:spacing w:line="276" w:lineRule="auto"/>
        <w:ind w:left="851"/>
        <w:jc w:val="both"/>
        <w:rPr>
          <w:rFonts w:ascii="Arial" w:hAnsi="Arial" w:cs="Arial"/>
          <w:sz w:val="17"/>
          <w:szCs w:val="17"/>
        </w:rPr>
      </w:pPr>
      <w:r w:rsidRPr="00CC5492">
        <w:rPr>
          <w:rFonts w:ascii="Arial" w:hAnsi="Arial" w:cs="Arial"/>
          <w:b/>
          <w:i/>
          <w:sz w:val="17"/>
          <w:szCs w:val="17"/>
        </w:rPr>
        <w:t xml:space="preserve">Fuente: </w:t>
      </w:r>
      <w:r w:rsidR="005D205F" w:rsidRPr="00CC5492">
        <w:rPr>
          <w:rFonts w:ascii="Arial" w:hAnsi="Arial" w:cs="Arial"/>
          <w:b/>
          <w:sz w:val="17"/>
          <w:szCs w:val="17"/>
        </w:rPr>
        <w:t>INEC</w:t>
      </w:r>
      <w:r w:rsidRPr="00CC5492">
        <w:rPr>
          <w:rFonts w:ascii="Arial" w:hAnsi="Arial" w:cs="Arial"/>
          <w:sz w:val="17"/>
          <w:szCs w:val="17"/>
        </w:rPr>
        <w:t xml:space="preserve"> (2011), “</w:t>
      </w:r>
      <w:r w:rsidRPr="00CC5492">
        <w:rPr>
          <w:rFonts w:ascii="Arial" w:hAnsi="Arial" w:cs="Arial"/>
          <w:i/>
          <w:sz w:val="17"/>
          <w:szCs w:val="17"/>
        </w:rPr>
        <w:t>Fascículo Nacional</w:t>
      </w:r>
      <w:r w:rsidRPr="00CC5492">
        <w:rPr>
          <w:rFonts w:ascii="Arial" w:hAnsi="Arial" w:cs="Arial"/>
          <w:sz w:val="17"/>
          <w:szCs w:val="17"/>
        </w:rPr>
        <w:t>”, Ecuador.</w:t>
      </w:r>
    </w:p>
    <w:p w:rsidR="005A00BA" w:rsidRPr="0004768C" w:rsidRDefault="005A00BA" w:rsidP="00CC5492">
      <w:pPr>
        <w:spacing w:line="276" w:lineRule="auto"/>
        <w:ind w:left="851"/>
        <w:jc w:val="both"/>
        <w:rPr>
          <w:rFonts w:ascii="Arial" w:hAnsi="Arial" w:cs="Arial"/>
          <w:sz w:val="18"/>
          <w:szCs w:val="18"/>
        </w:rPr>
      </w:pPr>
      <w:r w:rsidRPr="00CC5492">
        <w:rPr>
          <w:rFonts w:ascii="Arial" w:hAnsi="Arial" w:cs="Arial"/>
          <w:b/>
          <w:i/>
          <w:sz w:val="17"/>
          <w:szCs w:val="17"/>
        </w:rPr>
        <w:t xml:space="preserve">Elaborado por: </w:t>
      </w:r>
      <w:r w:rsidRPr="00CC5492">
        <w:rPr>
          <w:rFonts w:ascii="Arial" w:hAnsi="Arial" w:cs="Arial"/>
          <w:sz w:val="17"/>
          <w:szCs w:val="17"/>
        </w:rPr>
        <w:t>Katherine Loor Valeriano</w:t>
      </w:r>
    </w:p>
    <w:p w:rsidR="00BE7FDF" w:rsidRPr="00C4138F" w:rsidRDefault="00BE7FDF" w:rsidP="00CC5492">
      <w:pPr>
        <w:spacing w:line="480" w:lineRule="auto"/>
        <w:ind w:left="851"/>
        <w:jc w:val="both"/>
        <w:rPr>
          <w:rFonts w:ascii="Arial" w:hAnsi="Arial" w:cs="Arial"/>
        </w:rPr>
      </w:pPr>
    </w:p>
    <w:p w:rsidR="00BE7FDF" w:rsidRDefault="00C90384" w:rsidP="00CC5492">
      <w:pPr>
        <w:pStyle w:val="Prrafodelista"/>
        <w:spacing w:line="480" w:lineRule="auto"/>
        <w:ind w:left="851"/>
        <w:jc w:val="both"/>
        <w:rPr>
          <w:rFonts w:ascii="Arial" w:hAnsi="Arial" w:cs="Arial"/>
        </w:rPr>
      </w:pPr>
      <w:r>
        <w:rPr>
          <w:rFonts w:ascii="Arial" w:hAnsi="Arial" w:cs="Arial"/>
        </w:rPr>
        <w:t>En el siglo XX</w:t>
      </w:r>
      <w:r w:rsidR="00B73530" w:rsidRPr="001873C6">
        <w:rPr>
          <w:rFonts w:ascii="Arial" w:hAnsi="Arial" w:cs="Arial"/>
        </w:rPr>
        <w:t>, el principal país de destino de los ecuatorianos era Estados</w:t>
      </w:r>
      <w:r w:rsidR="00B73530" w:rsidRPr="00B73530">
        <w:rPr>
          <w:rFonts w:ascii="Arial" w:hAnsi="Arial" w:cs="Arial"/>
        </w:rPr>
        <w:t xml:space="preserve"> Unidos; los primeros registros censales de este país que incluían a algún ecuatoriano datan de 1930, habiendo a finales de esa década alrededor de 244 inmigrantes ecuatorianos, cifra que aumentó considerablemente en la década del 50 (8574 inmigrantes ecuatorianos) como consecuencia de la </w:t>
      </w:r>
      <w:r w:rsidR="00B73530" w:rsidRPr="00B73530">
        <w:rPr>
          <w:rFonts w:ascii="Arial" w:hAnsi="Arial" w:cs="Arial"/>
        </w:rPr>
        <w:lastRenderedPageBreak/>
        <w:t>crisis de la exportación de los s</w:t>
      </w:r>
      <w:r w:rsidR="001556DD">
        <w:rPr>
          <w:rFonts w:ascii="Arial" w:hAnsi="Arial" w:cs="Arial"/>
        </w:rPr>
        <w:t xml:space="preserve">ombreros de paja toquilla. Este valor </w:t>
      </w:r>
      <w:r w:rsidR="00B73530" w:rsidRPr="00B73530">
        <w:rPr>
          <w:rFonts w:ascii="Arial" w:hAnsi="Arial" w:cs="Arial"/>
        </w:rPr>
        <w:t>se cuadruplicó en la década siguiente; y así continuó aumentando, hasta que en el año 2000 disminuyó como consecuencia de los cambios producid</w:t>
      </w:r>
      <w:r w:rsidR="00B73530">
        <w:rPr>
          <w:rFonts w:ascii="Arial" w:hAnsi="Arial" w:cs="Arial"/>
        </w:rPr>
        <w:t xml:space="preserve">os en </w:t>
      </w:r>
      <w:r w:rsidR="004A0E22">
        <w:rPr>
          <w:rFonts w:ascii="Arial" w:hAnsi="Arial" w:cs="Arial"/>
        </w:rPr>
        <w:t>las</w:t>
      </w:r>
      <w:r w:rsidR="00B73530">
        <w:rPr>
          <w:rFonts w:ascii="Arial" w:hAnsi="Arial" w:cs="Arial"/>
        </w:rPr>
        <w:t xml:space="preserve"> políticas migratorias</w:t>
      </w:r>
      <w:r w:rsidR="001556DD">
        <w:rPr>
          <w:rFonts w:ascii="Arial" w:hAnsi="Arial" w:cs="Arial"/>
        </w:rPr>
        <w:t xml:space="preserve"> de Estados Unidos</w:t>
      </w:r>
      <w:r w:rsidR="00B73530">
        <w:rPr>
          <w:rStyle w:val="Refdenotaalpie"/>
          <w:rFonts w:ascii="Arial" w:hAnsi="Arial" w:cs="Arial"/>
        </w:rPr>
        <w:footnoteReference w:id="18"/>
      </w:r>
      <w:r w:rsidR="00B73530" w:rsidRPr="00B73530">
        <w:rPr>
          <w:rFonts w:ascii="Arial" w:hAnsi="Arial" w:cs="Arial"/>
        </w:rPr>
        <w:t xml:space="preserve">. </w:t>
      </w:r>
      <w:r w:rsidR="00B73530" w:rsidRPr="00945328">
        <w:rPr>
          <w:rFonts w:ascii="Arial" w:hAnsi="Arial" w:cs="Arial"/>
          <w:i/>
        </w:rPr>
        <w:t xml:space="preserve">Véase Figura </w:t>
      </w:r>
      <w:r w:rsidR="0004768C">
        <w:rPr>
          <w:rFonts w:ascii="Arial" w:hAnsi="Arial" w:cs="Arial"/>
          <w:i/>
        </w:rPr>
        <w:t>1.</w:t>
      </w:r>
      <w:r w:rsidR="001556DD">
        <w:rPr>
          <w:rFonts w:ascii="Arial" w:hAnsi="Arial" w:cs="Arial"/>
          <w:i/>
        </w:rPr>
        <w:t>3</w:t>
      </w:r>
      <w:r w:rsidR="00B73530" w:rsidRPr="00B73530">
        <w:rPr>
          <w:rFonts w:ascii="Arial" w:hAnsi="Arial" w:cs="Arial"/>
        </w:rPr>
        <w:t>.</w:t>
      </w:r>
    </w:p>
    <w:tbl>
      <w:tblPr>
        <w:tblW w:w="0" w:type="auto"/>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266573" w:rsidRPr="00402486" w:rsidTr="00CC5492">
        <w:trPr>
          <w:trHeight w:val="2864"/>
        </w:trPr>
        <w:tc>
          <w:tcPr>
            <w:tcW w:w="7535" w:type="dxa"/>
          </w:tcPr>
          <w:p w:rsidR="00266573" w:rsidRPr="0093733F" w:rsidRDefault="00266573" w:rsidP="00FA35C3">
            <w:pPr>
              <w:jc w:val="both"/>
              <w:rPr>
                <w:rFonts w:ascii="Arial" w:hAnsi="Arial" w:cs="Arial"/>
                <w:sz w:val="16"/>
                <w:szCs w:val="16"/>
              </w:rPr>
            </w:pPr>
          </w:p>
          <w:p w:rsidR="0004768C" w:rsidRPr="0004768C" w:rsidRDefault="0004768C" w:rsidP="00FA35C3">
            <w:pPr>
              <w:rPr>
                <w:rFonts w:ascii="Arial" w:hAnsi="Arial" w:cs="Arial"/>
                <w:b/>
                <w:sz w:val="16"/>
                <w:szCs w:val="16"/>
              </w:rPr>
            </w:pPr>
            <w:bookmarkStart w:id="39" w:name="_Toc341042782"/>
            <w:r>
              <w:rPr>
                <w:rFonts w:ascii="Arial" w:hAnsi="Arial" w:cs="Arial"/>
                <w:b/>
                <w:sz w:val="16"/>
                <w:szCs w:val="16"/>
              </w:rPr>
              <w:t>Figura 1.</w:t>
            </w:r>
            <w:r w:rsidR="00990535" w:rsidRPr="0004768C">
              <w:rPr>
                <w:rFonts w:ascii="Arial" w:hAnsi="Arial" w:cs="Arial"/>
                <w:b/>
                <w:sz w:val="16"/>
                <w:szCs w:val="16"/>
              </w:rPr>
              <w:fldChar w:fldCharType="begin"/>
            </w:r>
            <w:r w:rsidRPr="0004768C">
              <w:rPr>
                <w:rFonts w:ascii="Arial" w:hAnsi="Arial" w:cs="Arial"/>
                <w:b/>
                <w:sz w:val="16"/>
                <w:szCs w:val="16"/>
              </w:rPr>
              <w:instrText xml:space="preserve"> SEQ Figura_1. \* ARABIC </w:instrText>
            </w:r>
            <w:r w:rsidR="00990535" w:rsidRPr="0004768C">
              <w:rPr>
                <w:rFonts w:ascii="Arial" w:hAnsi="Arial" w:cs="Arial"/>
                <w:b/>
                <w:sz w:val="16"/>
                <w:szCs w:val="16"/>
              </w:rPr>
              <w:fldChar w:fldCharType="separate"/>
            </w:r>
            <w:r w:rsidR="00A242E0">
              <w:rPr>
                <w:rFonts w:ascii="Arial" w:hAnsi="Arial" w:cs="Arial"/>
                <w:b/>
                <w:noProof/>
                <w:sz w:val="16"/>
                <w:szCs w:val="16"/>
              </w:rPr>
              <w:t>3</w:t>
            </w:r>
            <w:bookmarkEnd w:id="39"/>
            <w:r w:rsidR="00990535" w:rsidRPr="0004768C">
              <w:rPr>
                <w:rFonts w:ascii="Arial" w:hAnsi="Arial" w:cs="Arial"/>
                <w:b/>
                <w:sz w:val="16"/>
                <w:szCs w:val="16"/>
              </w:rPr>
              <w:fldChar w:fldCharType="end"/>
            </w:r>
          </w:p>
          <w:p w:rsidR="00266573" w:rsidRPr="002817A0" w:rsidRDefault="00266573" w:rsidP="00FA35C3">
            <w:pPr>
              <w:rPr>
                <w:rFonts w:ascii="Arial" w:hAnsi="Arial" w:cs="Arial"/>
                <w:i/>
                <w:sz w:val="16"/>
                <w:szCs w:val="16"/>
              </w:rPr>
            </w:pPr>
            <w:r w:rsidRPr="002817A0">
              <w:rPr>
                <w:rFonts w:ascii="Arial" w:hAnsi="Arial" w:cs="Arial"/>
                <w:i/>
                <w:sz w:val="16"/>
                <w:szCs w:val="16"/>
              </w:rPr>
              <w:t>Inmigración ecuatoriana en Estados Unidos 1930 - 2005</w:t>
            </w:r>
          </w:p>
          <w:p w:rsidR="00266573" w:rsidRPr="00402486" w:rsidRDefault="00266573" w:rsidP="00FA35C3">
            <w:pPr>
              <w:ind w:left="0"/>
              <w:rPr>
                <w:rFonts w:ascii="Arial" w:hAnsi="Arial" w:cs="Arial"/>
              </w:rPr>
            </w:pPr>
            <w:r w:rsidRPr="00402486">
              <w:rPr>
                <w:rFonts w:ascii="Arial" w:hAnsi="Arial" w:cs="Arial"/>
                <w:noProof/>
                <w:lang w:eastAsia="es-EC"/>
              </w:rPr>
              <w:drawing>
                <wp:inline distT="0" distB="0" distL="0" distR="0">
                  <wp:extent cx="4143375" cy="1656000"/>
                  <wp:effectExtent l="0" t="0" r="0" b="0"/>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266573" w:rsidRPr="00CC5492" w:rsidRDefault="00266573" w:rsidP="00CC5492">
      <w:pPr>
        <w:spacing w:line="276" w:lineRule="auto"/>
        <w:ind w:left="851"/>
        <w:jc w:val="both"/>
        <w:rPr>
          <w:rFonts w:ascii="Arial" w:hAnsi="Arial" w:cs="Arial"/>
          <w:sz w:val="17"/>
          <w:szCs w:val="17"/>
        </w:rPr>
      </w:pPr>
    </w:p>
    <w:p w:rsidR="00266573" w:rsidRPr="00CC5492" w:rsidRDefault="00266573" w:rsidP="00CC5492">
      <w:pPr>
        <w:spacing w:line="276" w:lineRule="auto"/>
        <w:ind w:left="851"/>
        <w:jc w:val="both"/>
        <w:rPr>
          <w:rFonts w:ascii="Arial" w:hAnsi="Arial" w:cs="Arial"/>
          <w:sz w:val="17"/>
          <w:szCs w:val="17"/>
        </w:rPr>
      </w:pPr>
      <w:r w:rsidRPr="00CC5492">
        <w:rPr>
          <w:rFonts w:ascii="Arial" w:hAnsi="Arial" w:cs="Arial"/>
          <w:b/>
          <w:i/>
          <w:sz w:val="17"/>
          <w:szCs w:val="17"/>
        </w:rPr>
        <w:t>Fuente:</w:t>
      </w:r>
      <w:r w:rsidRPr="00CC5492">
        <w:rPr>
          <w:rFonts w:ascii="Arial" w:hAnsi="Arial" w:cs="Arial"/>
          <w:sz w:val="17"/>
          <w:szCs w:val="17"/>
        </w:rPr>
        <w:t xml:space="preserve"> </w:t>
      </w:r>
      <w:r w:rsidRPr="00CC5492">
        <w:rPr>
          <w:rFonts w:ascii="Arial" w:hAnsi="Arial" w:cs="Arial"/>
          <w:b/>
          <w:sz w:val="17"/>
          <w:szCs w:val="17"/>
        </w:rPr>
        <w:t>FLACSO</w:t>
      </w:r>
      <w:r w:rsidRPr="00CC5492">
        <w:rPr>
          <w:rFonts w:ascii="Arial" w:hAnsi="Arial" w:cs="Arial"/>
          <w:sz w:val="17"/>
          <w:szCs w:val="17"/>
        </w:rPr>
        <w:t xml:space="preserve"> (2006), </w:t>
      </w:r>
      <w:r w:rsidRPr="00CC5492">
        <w:rPr>
          <w:rFonts w:ascii="Arial" w:hAnsi="Arial" w:cs="Arial"/>
          <w:i/>
          <w:sz w:val="17"/>
          <w:szCs w:val="17"/>
        </w:rPr>
        <w:t>"Ecuador: Las cifras de la migración internacional"</w:t>
      </w:r>
      <w:r w:rsidRPr="00CC5492">
        <w:rPr>
          <w:rFonts w:ascii="Arial" w:hAnsi="Arial" w:cs="Arial"/>
          <w:sz w:val="17"/>
          <w:szCs w:val="17"/>
        </w:rPr>
        <w:t>, Quito, Ecuador.</w:t>
      </w:r>
    </w:p>
    <w:p w:rsidR="005A00BA" w:rsidRPr="00CC5492" w:rsidRDefault="005A00BA" w:rsidP="00CC5492">
      <w:pPr>
        <w:spacing w:line="276" w:lineRule="auto"/>
        <w:ind w:left="851"/>
        <w:jc w:val="both"/>
        <w:rPr>
          <w:rFonts w:ascii="Arial" w:hAnsi="Arial" w:cs="Arial"/>
          <w:sz w:val="17"/>
          <w:szCs w:val="17"/>
        </w:rPr>
      </w:pPr>
      <w:r w:rsidRPr="00CC5492">
        <w:rPr>
          <w:rFonts w:ascii="Arial" w:hAnsi="Arial" w:cs="Arial"/>
          <w:b/>
          <w:i/>
          <w:sz w:val="17"/>
          <w:szCs w:val="17"/>
        </w:rPr>
        <w:t xml:space="preserve">Elaborado por: </w:t>
      </w:r>
      <w:r w:rsidRPr="00CC5492">
        <w:rPr>
          <w:rFonts w:ascii="Arial" w:hAnsi="Arial" w:cs="Arial"/>
          <w:sz w:val="17"/>
          <w:szCs w:val="17"/>
        </w:rPr>
        <w:t>Katherine Loor Valeriano</w:t>
      </w:r>
    </w:p>
    <w:p w:rsidR="00CC5492" w:rsidRDefault="00CC5492" w:rsidP="00CC5492">
      <w:pPr>
        <w:pStyle w:val="Prrafodelista"/>
        <w:spacing w:line="480" w:lineRule="auto"/>
        <w:ind w:left="851"/>
        <w:jc w:val="both"/>
        <w:rPr>
          <w:rFonts w:ascii="Arial" w:hAnsi="Arial" w:cs="Arial"/>
        </w:rPr>
      </w:pPr>
    </w:p>
    <w:p w:rsidR="00266573" w:rsidRDefault="00361455" w:rsidP="00CC5492">
      <w:pPr>
        <w:pStyle w:val="Prrafodelista"/>
        <w:spacing w:line="480" w:lineRule="auto"/>
        <w:ind w:left="851"/>
        <w:jc w:val="both"/>
        <w:rPr>
          <w:rFonts w:ascii="Arial" w:hAnsi="Arial" w:cs="Arial"/>
        </w:rPr>
      </w:pPr>
      <w:r w:rsidRPr="00361455">
        <w:rPr>
          <w:rFonts w:ascii="Arial" w:hAnsi="Arial" w:cs="Arial"/>
        </w:rPr>
        <w:t xml:space="preserve">Durante la crisis económica - financiera de los años noventa y sin poder ingresar fácilmente a Estados Unidos, los ecuatorianos empezaron a buscar oportunidades en otros países desarrollados; y, fue entonces cuando las emigraciones de ecuatorianos hacia países como España e Italia aumentaron; encontrando así un </w:t>
      </w:r>
      <w:r w:rsidR="009A233E">
        <w:rPr>
          <w:rFonts w:ascii="Arial" w:hAnsi="Arial" w:cs="Arial"/>
        </w:rPr>
        <w:t>nuevo nicho migratorio</w:t>
      </w:r>
      <w:r w:rsidRPr="00361455">
        <w:rPr>
          <w:rFonts w:ascii="Arial" w:hAnsi="Arial" w:cs="Arial"/>
        </w:rPr>
        <w:t xml:space="preserve"> donde trabajar y vivir</w:t>
      </w:r>
      <w:r w:rsidR="009A233E">
        <w:rPr>
          <w:rFonts w:ascii="Arial" w:hAnsi="Arial" w:cs="Arial"/>
        </w:rPr>
        <w:t>;</w:t>
      </w:r>
      <w:r w:rsidRPr="00361455">
        <w:rPr>
          <w:rFonts w:ascii="Arial" w:hAnsi="Arial" w:cs="Arial"/>
        </w:rPr>
        <w:t xml:space="preserve"> y</w:t>
      </w:r>
      <w:r w:rsidR="009A233E">
        <w:rPr>
          <w:rFonts w:ascii="Arial" w:hAnsi="Arial" w:cs="Arial"/>
        </w:rPr>
        <w:t>,</w:t>
      </w:r>
      <w:r w:rsidRPr="00361455">
        <w:rPr>
          <w:rFonts w:ascii="Arial" w:hAnsi="Arial" w:cs="Arial"/>
        </w:rPr>
        <w:t xml:space="preserve"> que además les permita ayudar a sus familiares en Ecuador.</w:t>
      </w:r>
    </w:p>
    <w:p w:rsidR="00361455" w:rsidRDefault="00361455" w:rsidP="00CC5492">
      <w:pPr>
        <w:pStyle w:val="Prrafodelista"/>
        <w:spacing w:line="480" w:lineRule="auto"/>
        <w:ind w:left="851"/>
        <w:jc w:val="both"/>
        <w:rPr>
          <w:rFonts w:ascii="Arial" w:hAnsi="Arial" w:cs="Arial"/>
        </w:rPr>
      </w:pPr>
    </w:p>
    <w:p w:rsidR="00361455" w:rsidRDefault="008227C9" w:rsidP="00CC5492">
      <w:pPr>
        <w:pStyle w:val="Prrafodelista"/>
        <w:spacing w:line="480" w:lineRule="auto"/>
        <w:ind w:left="851"/>
        <w:jc w:val="both"/>
        <w:rPr>
          <w:rFonts w:ascii="Arial" w:hAnsi="Arial" w:cs="Arial"/>
        </w:rPr>
      </w:pPr>
      <w:r>
        <w:rPr>
          <w:rFonts w:ascii="Arial" w:hAnsi="Arial" w:cs="Arial"/>
        </w:rPr>
        <w:t>Como fue señalado,</w:t>
      </w:r>
      <w:r w:rsidR="00361455" w:rsidRPr="00361455">
        <w:rPr>
          <w:rFonts w:ascii="Arial" w:hAnsi="Arial" w:cs="Arial"/>
        </w:rPr>
        <w:t xml:space="preserve"> antes de 1960 el país mayoritariamente receptor de ecuatorianos era Estados Unidos; </w:t>
      </w:r>
      <w:r w:rsidR="000C5FFC">
        <w:rPr>
          <w:rFonts w:ascii="Arial" w:hAnsi="Arial" w:cs="Arial"/>
        </w:rPr>
        <w:t xml:space="preserve">pero, </w:t>
      </w:r>
      <w:r w:rsidR="00361455" w:rsidRPr="00361455">
        <w:rPr>
          <w:rFonts w:ascii="Arial" w:hAnsi="Arial" w:cs="Arial"/>
        </w:rPr>
        <w:t>también existía presencia de compatriotas en España, registrándose 4721 ecuatorianos en España</w:t>
      </w:r>
      <w:r w:rsidR="00B3669B">
        <w:rPr>
          <w:rFonts w:ascii="Arial" w:hAnsi="Arial" w:cs="Arial"/>
        </w:rPr>
        <w:t xml:space="preserve"> hasta </w:t>
      </w:r>
      <w:r w:rsidR="00B3669B">
        <w:rPr>
          <w:rFonts w:ascii="Arial" w:hAnsi="Arial" w:cs="Arial"/>
        </w:rPr>
        <w:lastRenderedPageBreak/>
        <w:t>antes del año 1961</w:t>
      </w:r>
      <w:r w:rsidR="00361455" w:rsidRPr="00361455">
        <w:rPr>
          <w:rFonts w:ascii="Arial" w:hAnsi="Arial" w:cs="Arial"/>
        </w:rPr>
        <w:t>, cifra que se duplicó entre los años 1961 y 1970;</w:t>
      </w:r>
      <w:r w:rsidR="00C57374">
        <w:rPr>
          <w:rFonts w:ascii="Arial" w:hAnsi="Arial" w:cs="Arial"/>
        </w:rPr>
        <w:t xml:space="preserve"> de </w:t>
      </w:r>
      <w:r w:rsidR="000C5FFC">
        <w:rPr>
          <w:rFonts w:ascii="Arial" w:hAnsi="Arial" w:cs="Arial"/>
        </w:rPr>
        <w:t>allí</w:t>
      </w:r>
      <w:r w:rsidR="00C57374">
        <w:rPr>
          <w:rFonts w:ascii="Arial" w:hAnsi="Arial" w:cs="Arial"/>
        </w:rPr>
        <w:t xml:space="preserve"> en adelante</w:t>
      </w:r>
      <w:r w:rsidR="00361455" w:rsidRPr="00361455">
        <w:rPr>
          <w:rFonts w:ascii="Arial" w:hAnsi="Arial" w:cs="Arial"/>
        </w:rPr>
        <w:t xml:space="preserve"> la población ecuatoriana en ese país europeo continuó </w:t>
      </w:r>
      <w:r w:rsidR="000C5FFC">
        <w:rPr>
          <w:rFonts w:ascii="Arial" w:hAnsi="Arial" w:cs="Arial"/>
        </w:rPr>
        <w:t>creciendo</w:t>
      </w:r>
      <w:r w:rsidR="00361455" w:rsidRPr="00361455">
        <w:rPr>
          <w:rFonts w:ascii="Arial" w:hAnsi="Arial" w:cs="Arial"/>
        </w:rPr>
        <w:t xml:space="preserve"> hasta que en el año 2000 alcanzó su máximo valor de</w:t>
      </w:r>
      <w:r w:rsidR="0064746C">
        <w:rPr>
          <w:rFonts w:ascii="Arial" w:hAnsi="Arial" w:cs="Arial"/>
        </w:rPr>
        <w:t xml:space="preserve"> 91120 ecuatorianos residentes</w:t>
      </w:r>
      <w:r w:rsidR="007D7E4A">
        <w:rPr>
          <w:rFonts w:ascii="Arial" w:hAnsi="Arial" w:cs="Arial"/>
        </w:rPr>
        <w:t>;</w:t>
      </w:r>
      <w:r w:rsidR="0064746C">
        <w:rPr>
          <w:rFonts w:ascii="Arial" w:hAnsi="Arial" w:cs="Arial"/>
        </w:rPr>
        <w:t xml:space="preserve"> </w:t>
      </w:r>
      <w:r w:rsidR="007D7E4A">
        <w:rPr>
          <w:rFonts w:ascii="Arial" w:hAnsi="Arial" w:cs="Arial"/>
        </w:rPr>
        <w:t>m</w:t>
      </w:r>
      <w:r w:rsidR="0064746C">
        <w:rPr>
          <w:rFonts w:ascii="Arial" w:hAnsi="Arial" w:cs="Arial"/>
        </w:rPr>
        <w:t>ientras que en el 2001</w:t>
      </w:r>
      <w:r w:rsidR="00C57374">
        <w:rPr>
          <w:rFonts w:ascii="Arial" w:hAnsi="Arial" w:cs="Arial"/>
        </w:rPr>
        <w:t>,</w:t>
      </w:r>
      <w:r w:rsidR="0064746C">
        <w:rPr>
          <w:rFonts w:ascii="Arial" w:hAnsi="Arial" w:cs="Arial"/>
        </w:rPr>
        <w:t xml:space="preserve"> </w:t>
      </w:r>
      <w:r w:rsidR="00C57374">
        <w:rPr>
          <w:rFonts w:ascii="Arial" w:hAnsi="Arial" w:cs="Arial"/>
        </w:rPr>
        <w:t xml:space="preserve">la cantidad de compatriotas residiendo este país europeo </w:t>
      </w:r>
      <w:r w:rsidR="0064746C">
        <w:rPr>
          <w:rFonts w:ascii="Arial" w:hAnsi="Arial" w:cs="Arial"/>
        </w:rPr>
        <w:t xml:space="preserve">fue de 82571, </w:t>
      </w:r>
      <w:r w:rsidR="00427236">
        <w:rPr>
          <w:rFonts w:ascii="Arial" w:hAnsi="Arial" w:cs="Arial"/>
        </w:rPr>
        <w:t xml:space="preserve">para el 2002 volvió a aumentar la cantidad de ecuatorianos inmigrantes en España habiendo alrededor de 88732 inmigrantes; </w:t>
      </w:r>
      <w:r w:rsidR="00361455" w:rsidRPr="00361455">
        <w:rPr>
          <w:rFonts w:ascii="Arial" w:hAnsi="Arial" w:cs="Arial"/>
        </w:rPr>
        <w:t>de allí en adelante esta cifra ha ido disminuyendo lentamente</w:t>
      </w:r>
      <w:r w:rsidR="007D7E4A">
        <w:rPr>
          <w:rFonts w:ascii="Arial" w:hAnsi="Arial" w:cs="Arial"/>
        </w:rPr>
        <w:t xml:space="preserve">, hasta que en el 2004 presentó una disminución significativa </w:t>
      </w:r>
      <w:r w:rsidR="00C373AC">
        <w:rPr>
          <w:rFonts w:ascii="Arial" w:hAnsi="Arial" w:cs="Arial"/>
        </w:rPr>
        <w:t>habiendo tan sólo 11938 ecuatorianos inmigrantes</w:t>
      </w:r>
      <w:r w:rsidR="000C76B6">
        <w:rPr>
          <w:rStyle w:val="Refdenotaalpie"/>
          <w:rFonts w:ascii="Arial" w:hAnsi="Arial" w:cs="Arial"/>
        </w:rPr>
        <w:footnoteReference w:id="19"/>
      </w:r>
      <w:r w:rsidR="00361455" w:rsidRPr="00361455">
        <w:rPr>
          <w:rFonts w:ascii="Arial" w:hAnsi="Arial" w:cs="Arial"/>
        </w:rPr>
        <w:t xml:space="preserve">. </w:t>
      </w:r>
      <w:r w:rsidR="007D7E4A">
        <w:rPr>
          <w:rFonts w:ascii="Arial" w:hAnsi="Arial" w:cs="Arial"/>
        </w:rPr>
        <w:t xml:space="preserve">Para más detalles </w:t>
      </w:r>
      <w:r w:rsidR="007D7E4A">
        <w:rPr>
          <w:rFonts w:ascii="Arial" w:hAnsi="Arial" w:cs="Arial"/>
          <w:i/>
        </w:rPr>
        <w:t>v</w:t>
      </w:r>
      <w:r w:rsidR="00361455" w:rsidRPr="006B7D1B">
        <w:rPr>
          <w:rFonts w:ascii="Arial" w:hAnsi="Arial" w:cs="Arial"/>
          <w:i/>
        </w:rPr>
        <w:t xml:space="preserve">éase Figura </w:t>
      </w:r>
      <w:r w:rsidR="00B80E8F">
        <w:rPr>
          <w:rFonts w:ascii="Arial" w:hAnsi="Arial" w:cs="Arial"/>
          <w:i/>
        </w:rPr>
        <w:t>1.</w:t>
      </w:r>
      <w:r w:rsidR="007D7E4A">
        <w:rPr>
          <w:rFonts w:ascii="Arial" w:hAnsi="Arial" w:cs="Arial"/>
          <w:i/>
        </w:rPr>
        <w:t>4</w:t>
      </w:r>
      <w:r w:rsidR="00361455" w:rsidRPr="00361455">
        <w:rPr>
          <w:rFonts w:ascii="Arial" w:hAnsi="Arial" w:cs="Arial"/>
        </w:rPr>
        <w:t xml:space="preserve">. </w:t>
      </w:r>
    </w:p>
    <w:tbl>
      <w:tblPr>
        <w:tblW w:w="0" w:type="auto"/>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361455" w:rsidRPr="00402486" w:rsidTr="00CC5492">
        <w:trPr>
          <w:trHeight w:val="2957"/>
        </w:trPr>
        <w:tc>
          <w:tcPr>
            <w:tcW w:w="7535" w:type="dxa"/>
          </w:tcPr>
          <w:p w:rsidR="00361455" w:rsidRPr="00DF19D6" w:rsidRDefault="00361455" w:rsidP="00B6311D">
            <w:pPr>
              <w:jc w:val="both"/>
              <w:rPr>
                <w:rFonts w:ascii="Arial" w:hAnsi="Arial" w:cs="Arial"/>
                <w:sz w:val="16"/>
                <w:szCs w:val="16"/>
              </w:rPr>
            </w:pPr>
          </w:p>
          <w:p w:rsidR="00B80E8F" w:rsidRPr="00B80E8F" w:rsidRDefault="00B80E8F" w:rsidP="00B6311D">
            <w:pPr>
              <w:rPr>
                <w:rFonts w:ascii="Arial" w:hAnsi="Arial" w:cs="Arial"/>
                <w:b/>
                <w:sz w:val="16"/>
                <w:szCs w:val="16"/>
              </w:rPr>
            </w:pPr>
            <w:bookmarkStart w:id="40" w:name="_Toc341042783"/>
            <w:r>
              <w:rPr>
                <w:rFonts w:ascii="Arial" w:hAnsi="Arial" w:cs="Arial"/>
                <w:b/>
                <w:sz w:val="16"/>
                <w:szCs w:val="16"/>
              </w:rPr>
              <w:t>Figura 1.</w:t>
            </w:r>
            <w:r w:rsidR="00990535" w:rsidRPr="00B80E8F">
              <w:rPr>
                <w:rFonts w:ascii="Arial" w:hAnsi="Arial" w:cs="Arial"/>
                <w:b/>
                <w:sz w:val="16"/>
                <w:szCs w:val="16"/>
              </w:rPr>
              <w:fldChar w:fldCharType="begin"/>
            </w:r>
            <w:r w:rsidRPr="00B80E8F">
              <w:rPr>
                <w:rFonts w:ascii="Arial" w:hAnsi="Arial" w:cs="Arial"/>
                <w:b/>
                <w:sz w:val="16"/>
                <w:szCs w:val="16"/>
              </w:rPr>
              <w:instrText xml:space="preserve"> SEQ Figura_1. \* ARABIC </w:instrText>
            </w:r>
            <w:r w:rsidR="00990535" w:rsidRPr="00B80E8F">
              <w:rPr>
                <w:rFonts w:ascii="Arial" w:hAnsi="Arial" w:cs="Arial"/>
                <w:b/>
                <w:sz w:val="16"/>
                <w:szCs w:val="16"/>
              </w:rPr>
              <w:fldChar w:fldCharType="separate"/>
            </w:r>
            <w:r w:rsidR="00A242E0">
              <w:rPr>
                <w:rFonts w:ascii="Arial" w:hAnsi="Arial" w:cs="Arial"/>
                <w:b/>
                <w:noProof/>
                <w:sz w:val="16"/>
                <w:szCs w:val="16"/>
              </w:rPr>
              <w:t>4</w:t>
            </w:r>
            <w:bookmarkEnd w:id="40"/>
            <w:r w:rsidR="00990535" w:rsidRPr="00B80E8F">
              <w:rPr>
                <w:rFonts w:ascii="Arial" w:hAnsi="Arial" w:cs="Arial"/>
                <w:b/>
                <w:sz w:val="16"/>
                <w:szCs w:val="16"/>
              </w:rPr>
              <w:fldChar w:fldCharType="end"/>
            </w:r>
          </w:p>
          <w:p w:rsidR="00361455" w:rsidRPr="007A3FD5" w:rsidRDefault="00361455" w:rsidP="00B6311D">
            <w:pPr>
              <w:rPr>
                <w:rFonts w:ascii="Arial" w:hAnsi="Arial" w:cs="Arial"/>
                <w:i/>
                <w:sz w:val="16"/>
                <w:szCs w:val="16"/>
              </w:rPr>
            </w:pPr>
            <w:r w:rsidRPr="007A3FD5">
              <w:rPr>
                <w:rFonts w:ascii="Arial" w:hAnsi="Arial" w:cs="Arial"/>
                <w:i/>
                <w:sz w:val="16"/>
                <w:szCs w:val="16"/>
              </w:rPr>
              <w:t xml:space="preserve">Inmigración ecuatoriana en España </w:t>
            </w:r>
            <w:r w:rsidR="0045467E">
              <w:rPr>
                <w:rFonts w:ascii="Arial" w:hAnsi="Arial" w:cs="Arial"/>
                <w:i/>
                <w:sz w:val="16"/>
                <w:szCs w:val="16"/>
              </w:rPr>
              <w:t xml:space="preserve">desde </w:t>
            </w:r>
            <w:r w:rsidRPr="007A3FD5">
              <w:rPr>
                <w:rFonts w:ascii="Arial" w:hAnsi="Arial" w:cs="Arial"/>
                <w:i/>
                <w:sz w:val="16"/>
                <w:szCs w:val="16"/>
              </w:rPr>
              <w:t xml:space="preserve">1995 </w:t>
            </w:r>
            <w:r w:rsidR="0045467E">
              <w:rPr>
                <w:rFonts w:ascii="Arial" w:hAnsi="Arial" w:cs="Arial"/>
                <w:i/>
                <w:sz w:val="16"/>
                <w:szCs w:val="16"/>
              </w:rPr>
              <w:t>al</w:t>
            </w:r>
            <w:r w:rsidRPr="007A3FD5">
              <w:rPr>
                <w:rFonts w:ascii="Arial" w:hAnsi="Arial" w:cs="Arial"/>
                <w:i/>
                <w:sz w:val="16"/>
                <w:szCs w:val="16"/>
              </w:rPr>
              <w:t xml:space="preserve"> 2004</w:t>
            </w:r>
          </w:p>
          <w:p w:rsidR="00361455" w:rsidRPr="00402486" w:rsidRDefault="00361455" w:rsidP="00B6311D">
            <w:pPr>
              <w:ind w:left="0"/>
              <w:rPr>
                <w:rFonts w:ascii="Arial" w:hAnsi="Arial" w:cs="Arial"/>
              </w:rPr>
            </w:pPr>
            <w:r w:rsidRPr="00402486">
              <w:rPr>
                <w:rFonts w:ascii="Arial" w:hAnsi="Arial" w:cs="Arial"/>
                <w:noProof/>
                <w:lang w:eastAsia="es-EC"/>
              </w:rPr>
              <w:drawing>
                <wp:inline distT="0" distB="0" distL="0" distR="0">
                  <wp:extent cx="4543425" cy="1728000"/>
                  <wp:effectExtent l="0" t="0" r="0" b="0"/>
                  <wp:docPr id="1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361455" w:rsidRPr="00CC5492" w:rsidRDefault="00361455" w:rsidP="00CC5492">
      <w:pPr>
        <w:spacing w:line="276" w:lineRule="auto"/>
        <w:ind w:left="851"/>
        <w:jc w:val="both"/>
        <w:rPr>
          <w:rFonts w:ascii="Arial" w:hAnsi="Arial" w:cs="Arial"/>
          <w:sz w:val="17"/>
          <w:szCs w:val="17"/>
        </w:rPr>
      </w:pPr>
    </w:p>
    <w:p w:rsidR="00361455" w:rsidRPr="00CC5492" w:rsidRDefault="00361455" w:rsidP="00CC5492">
      <w:pPr>
        <w:spacing w:line="276" w:lineRule="auto"/>
        <w:ind w:left="851"/>
        <w:jc w:val="both"/>
        <w:rPr>
          <w:rFonts w:ascii="Arial" w:hAnsi="Arial" w:cs="Arial"/>
          <w:sz w:val="17"/>
          <w:szCs w:val="17"/>
        </w:rPr>
      </w:pPr>
      <w:r w:rsidRPr="00CC5492">
        <w:rPr>
          <w:rFonts w:ascii="Arial" w:hAnsi="Arial" w:cs="Arial"/>
          <w:b/>
          <w:i/>
          <w:sz w:val="17"/>
          <w:szCs w:val="17"/>
        </w:rPr>
        <w:t>Fuente:</w:t>
      </w:r>
      <w:r w:rsidRPr="00CC5492">
        <w:rPr>
          <w:rFonts w:ascii="Arial" w:hAnsi="Arial" w:cs="Arial"/>
          <w:sz w:val="17"/>
          <w:szCs w:val="17"/>
        </w:rPr>
        <w:t xml:space="preserve"> </w:t>
      </w:r>
      <w:r w:rsidRPr="00CC5492">
        <w:rPr>
          <w:rFonts w:ascii="Arial" w:hAnsi="Arial" w:cs="Arial"/>
          <w:b/>
          <w:sz w:val="17"/>
          <w:szCs w:val="17"/>
        </w:rPr>
        <w:t>FLACSO</w:t>
      </w:r>
      <w:r w:rsidRPr="00CC5492">
        <w:rPr>
          <w:rFonts w:ascii="Arial" w:hAnsi="Arial" w:cs="Arial"/>
          <w:sz w:val="17"/>
          <w:szCs w:val="17"/>
        </w:rPr>
        <w:t xml:space="preserve"> (2006), </w:t>
      </w:r>
      <w:r w:rsidRPr="00CC5492">
        <w:rPr>
          <w:rFonts w:ascii="Arial" w:hAnsi="Arial" w:cs="Arial"/>
          <w:i/>
          <w:sz w:val="17"/>
          <w:szCs w:val="17"/>
        </w:rPr>
        <w:t>"Ecuador: Las cifras de la migración internacional"</w:t>
      </w:r>
      <w:r w:rsidRPr="00CC5492">
        <w:rPr>
          <w:rFonts w:ascii="Arial" w:hAnsi="Arial" w:cs="Arial"/>
          <w:sz w:val="17"/>
          <w:szCs w:val="17"/>
        </w:rPr>
        <w:t>, Quito, Ecuador.</w:t>
      </w:r>
    </w:p>
    <w:p w:rsidR="005A00BA" w:rsidRPr="00CC5492" w:rsidRDefault="005A00BA" w:rsidP="00CC5492">
      <w:pPr>
        <w:spacing w:line="276" w:lineRule="auto"/>
        <w:ind w:left="851"/>
        <w:jc w:val="both"/>
        <w:rPr>
          <w:rFonts w:ascii="Arial" w:hAnsi="Arial" w:cs="Arial"/>
          <w:sz w:val="17"/>
          <w:szCs w:val="17"/>
        </w:rPr>
      </w:pPr>
      <w:r w:rsidRPr="00CC5492">
        <w:rPr>
          <w:rFonts w:ascii="Arial" w:hAnsi="Arial" w:cs="Arial"/>
          <w:b/>
          <w:i/>
          <w:sz w:val="17"/>
          <w:szCs w:val="17"/>
        </w:rPr>
        <w:t xml:space="preserve">Elaborado por: </w:t>
      </w:r>
      <w:r w:rsidRPr="00CC5492">
        <w:rPr>
          <w:rFonts w:ascii="Arial" w:hAnsi="Arial" w:cs="Arial"/>
          <w:sz w:val="17"/>
          <w:szCs w:val="17"/>
        </w:rPr>
        <w:t>Katherine Loor Valeriano</w:t>
      </w:r>
    </w:p>
    <w:p w:rsidR="00361455" w:rsidRDefault="00361455" w:rsidP="00CC5492">
      <w:pPr>
        <w:pStyle w:val="Prrafodelista"/>
        <w:spacing w:line="480" w:lineRule="auto"/>
        <w:ind w:left="851"/>
        <w:jc w:val="both"/>
        <w:rPr>
          <w:rFonts w:ascii="Arial" w:hAnsi="Arial" w:cs="Arial"/>
        </w:rPr>
      </w:pPr>
    </w:p>
    <w:p w:rsidR="00361455" w:rsidRDefault="006B7D1B" w:rsidP="00CC5492">
      <w:pPr>
        <w:pStyle w:val="Prrafodelista"/>
        <w:spacing w:line="480" w:lineRule="auto"/>
        <w:ind w:left="851"/>
        <w:jc w:val="both"/>
        <w:rPr>
          <w:rFonts w:ascii="Arial" w:hAnsi="Arial" w:cs="Arial"/>
        </w:rPr>
      </w:pPr>
      <w:r w:rsidRPr="006B7D1B">
        <w:rPr>
          <w:rFonts w:ascii="Arial" w:hAnsi="Arial" w:cs="Arial"/>
        </w:rPr>
        <w:t xml:space="preserve">El tercer país que mayor cantidad de ecuatorianos recibe es Italia, teniéndose que para el año 1993 ya habían alrededor de 1280 ecuatorianos en este país, esta cifra al igual que en los casos anteriores continúa incrementando llegando a </w:t>
      </w:r>
      <w:r w:rsidR="005C5BB4">
        <w:rPr>
          <w:rFonts w:ascii="Arial" w:hAnsi="Arial" w:cs="Arial"/>
        </w:rPr>
        <w:t xml:space="preserve">haber </w:t>
      </w:r>
      <w:r w:rsidRPr="006B7D1B">
        <w:rPr>
          <w:rFonts w:ascii="Arial" w:hAnsi="Arial" w:cs="Arial"/>
        </w:rPr>
        <w:t xml:space="preserve">45859 ecuatorianos en el año 2003, de allí disminuye considerablemente en el 2004 y vuelve a aumentar en el 2005; </w:t>
      </w:r>
      <w:r w:rsidRPr="006B7D1B">
        <w:rPr>
          <w:rFonts w:ascii="Arial" w:hAnsi="Arial" w:cs="Arial"/>
        </w:rPr>
        <w:lastRenderedPageBreak/>
        <w:t xml:space="preserve">dándose en el 2005 un evento interesante en el cual la cantidad de mujeres es casi el doble que la de hombres. </w:t>
      </w:r>
      <w:r w:rsidRPr="006B7D1B">
        <w:rPr>
          <w:rFonts w:ascii="Arial" w:hAnsi="Arial" w:cs="Arial"/>
          <w:i/>
        </w:rPr>
        <w:t xml:space="preserve">Véase Figura </w:t>
      </w:r>
      <w:r w:rsidR="00B80E8F">
        <w:rPr>
          <w:rFonts w:ascii="Arial" w:hAnsi="Arial" w:cs="Arial"/>
          <w:i/>
        </w:rPr>
        <w:t>1.</w:t>
      </w:r>
      <w:r w:rsidR="005C5BB4">
        <w:rPr>
          <w:rFonts w:ascii="Arial" w:hAnsi="Arial" w:cs="Arial"/>
          <w:i/>
        </w:rPr>
        <w:t>5</w:t>
      </w:r>
      <w:r w:rsidRPr="006B7D1B">
        <w:rPr>
          <w:rFonts w:ascii="Arial" w:hAnsi="Arial" w:cs="Arial"/>
        </w:rPr>
        <w:t>.</w:t>
      </w:r>
    </w:p>
    <w:tbl>
      <w:tblPr>
        <w:tblW w:w="0" w:type="auto"/>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1624BE" w:rsidRPr="00402486" w:rsidTr="00CC5492">
        <w:trPr>
          <w:trHeight w:val="2539"/>
        </w:trPr>
        <w:tc>
          <w:tcPr>
            <w:tcW w:w="7535" w:type="dxa"/>
          </w:tcPr>
          <w:p w:rsidR="001624BE" w:rsidRPr="00DF19D6" w:rsidRDefault="001624BE" w:rsidP="00242283">
            <w:pPr>
              <w:jc w:val="both"/>
              <w:rPr>
                <w:rFonts w:ascii="Arial" w:hAnsi="Arial" w:cs="Arial"/>
                <w:sz w:val="16"/>
                <w:szCs w:val="16"/>
              </w:rPr>
            </w:pPr>
            <w:r w:rsidRPr="00402486">
              <w:rPr>
                <w:rFonts w:ascii="Arial" w:hAnsi="Arial" w:cs="Arial"/>
              </w:rPr>
              <w:t xml:space="preserve">  </w:t>
            </w:r>
          </w:p>
          <w:p w:rsidR="00B80E8F" w:rsidRPr="00B80E8F" w:rsidRDefault="00B80E8F" w:rsidP="00242283">
            <w:pPr>
              <w:rPr>
                <w:rFonts w:ascii="Arial" w:hAnsi="Arial" w:cs="Arial"/>
                <w:b/>
                <w:sz w:val="16"/>
                <w:szCs w:val="16"/>
              </w:rPr>
            </w:pPr>
            <w:bookmarkStart w:id="41" w:name="_Toc341042784"/>
            <w:r>
              <w:rPr>
                <w:rFonts w:ascii="Arial" w:hAnsi="Arial" w:cs="Arial"/>
                <w:b/>
                <w:sz w:val="16"/>
                <w:szCs w:val="16"/>
              </w:rPr>
              <w:t>Figura 1.</w:t>
            </w:r>
            <w:r w:rsidR="00990535" w:rsidRPr="00B80E8F">
              <w:rPr>
                <w:rFonts w:ascii="Arial" w:hAnsi="Arial" w:cs="Arial"/>
                <w:b/>
                <w:sz w:val="16"/>
                <w:szCs w:val="16"/>
              </w:rPr>
              <w:fldChar w:fldCharType="begin"/>
            </w:r>
            <w:r w:rsidRPr="00B80E8F">
              <w:rPr>
                <w:rFonts w:ascii="Arial" w:hAnsi="Arial" w:cs="Arial"/>
                <w:b/>
                <w:sz w:val="16"/>
                <w:szCs w:val="16"/>
              </w:rPr>
              <w:instrText xml:space="preserve"> SEQ Figura_1. \* ARABIC </w:instrText>
            </w:r>
            <w:r w:rsidR="00990535" w:rsidRPr="00B80E8F">
              <w:rPr>
                <w:rFonts w:ascii="Arial" w:hAnsi="Arial" w:cs="Arial"/>
                <w:b/>
                <w:sz w:val="16"/>
                <w:szCs w:val="16"/>
              </w:rPr>
              <w:fldChar w:fldCharType="separate"/>
            </w:r>
            <w:r w:rsidR="00A242E0">
              <w:rPr>
                <w:rFonts w:ascii="Arial" w:hAnsi="Arial" w:cs="Arial"/>
                <w:b/>
                <w:noProof/>
                <w:sz w:val="16"/>
                <w:szCs w:val="16"/>
              </w:rPr>
              <w:t>5</w:t>
            </w:r>
            <w:bookmarkEnd w:id="41"/>
            <w:r w:rsidR="00990535" w:rsidRPr="00B80E8F">
              <w:rPr>
                <w:rFonts w:ascii="Arial" w:hAnsi="Arial" w:cs="Arial"/>
                <w:b/>
                <w:sz w:val="16"/>
                <w:szCs w:val="16"/>
              </w:rPr>
              <w:fldChar w:fldCharType="end"/>
            </w:r>
          </w:p>
          <w:p w:rsidR="001624BE" w:rsidRPr="007A3FD5" w:rsidRDefault="001624BE" w:rsidP="00242283">
            <w:pPr>
              <w:rPr>
                <w:rFonts w:ascii="Arial" w:hAnsi="Arial" w:cs="Arial"/>
                <w:i/>
                <w:sz w:val="16"/>
                <w:szCs w:val="16"/>
              </w:rPr>
            </w:pPr>
            <w:r w:rsidRPr="007A3FD5">
              <w:rPr>
                <w:rFonts w:ascii="Arial" w:hAnsi="Arial" w:cs="Arial"/>
                <w:i/>
                <w:sz w:val="16"/>
                <w:szCs w:val="16"/>
              </w:rPr>
              <w:t>Inmigración ecuatoriana en Italia 1993 - 2005</w:t>
            </w:r>
          </w:p>
          <w:p w:rsidR="001624BE" w:rsidRPr="00402486" w:rsidRDefault="001624BE" w:rsidP="00242283">
            <w:pPr>
              <w:rPr>
                <w:rFonts w:ascii="Arial" w:hAnsi="Arial" w:cs="Arial"/>
              </w:rPr>
            </w:pPr>
            <w:r w:rsidRPr="00402486">
              <w:rPr>
                <w:rFonts w:ascii="Arial" w:hAnsi="Arial" w:cs="Arial"/>
                <w:noProof/>
                <w:lang w:eastAsia="es-EC"/>
              </w:rPr>
              <w:drawing>
                <wp:inline distT="0" distB="0" distL="0" distR="0">
                  <wp:extent cx="4029075" cy="1728000"/>
                  <wp:effectExtent l="0" t="0" r="0" b="0"/>
                  <wp:docPr id="16"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1624BE" w:rsidRPr="00CC5492" w:rsidRDefault="001624BE" w:rsidP="00CC5492">
      <w:pPr>
        <w:spacing w:line="276" w:lineRule="auto"/>
        <w:ind w:left="851"/>
        <w:jc w:val="both"/>
        <w:rPr>
          <w:rFonts w:ascii="Arial" w:hAnsi="Arial" w:cs="Arial"/>
          <w:sz w:val="17"/>
          <w:szCs w:val="17"/>
        </w:rPr>
      </w:pPr>
    </w:p>
    <w:p w:rsidR="001624BE" w:rsidRPr="00CC5492" w:rsidRDefault="001624BE" w:rsidP="00CC5492">
      <w:pPr>
        <w:spacing w:line="276" w:lineRule="auto"/>
        <w:ind w:left="851"/>
        <w:jc w:val="both"/>
        <w:rPr>
          <w:rFonts w:ascii="Arial" w:hAnsi="Arial" w:cs="Arial"/>
          <w:sz w:val="17"/>
          <w:szCs w:val="17"/>
        </w:rPr>
      </w:pPr>
      <w:r w:rsidRPr="00CC5492">
        <w:rPr>
          <w:rFonts w:ascii="Arial" w:hAnsi="Arial" w:cs="Arial"/>
          <w:b/>
          <w:i/>
          <w:sz w:val="17"/>
          <w:szCs w:val="17"/>
        </w:rPr>
        <w:t>Fuente:</w:t>
      </w:r>
      <w:r w:rsidRPr="00CC5492">
        <w:rPr>
          <w:rFonts w:ascii="Arial" w:hAnsi="Arial" w:cs="Arial"/>
          <w:sz w:val="17"/>
          <w:szCs w:val="17"/>
        </w:rPr>
        <w:t xml:space="preserve"> </w:t>
      </w:r>
      <w:r w:rsidRPr="00CC5492">
        <w:rPr>
          <w:rFonts w:ascii="Arial" w:hAnsi="Arial" w:cs="Arial"/>
          <w:b/>
          <w:sz w:val="17"/>
          <w:szCs w:val="17"/>
        </w:rPr>
        <w:t>FLACSO</w:t>
      </w:r>
      <w:r w:rsidRPr="00CC5492">
        <w:rPr>
          <w:rFonts w:ascii="Arial" w:hAnsi="Arial" w:cs="Arial"/>
          <w:sz w:val="17"/>
          <w:szCs w:val="17"/>
        </w:rPr>
        <w:t xml:space="preserve"> (2006), </w:t>
      </w:r>
      <w:r w:rsidRPr="00CC5492">
        <w:rPr>
          <w:rFonts w:ascii="Arial" w:hAnsi="Arial" w:cs="Arial"/>
          <w:i/>
          <w:sz w:val="17"/>
          <w:szCs w:val="17"/>
        </w:rPr>
        <w:t>"Ecuador: Las cifras de la migración internacional"</w:t>
      </w:r>
      <w:r w:rsidRPr="00CC5492">
        <w:rPr>
          <w:rFonts w:ascii="Arial" w:hAnsi="Arial" w:cs="Arial"/>
          <w:sz w:val="17"/>
          <w:szCs w:val="17"/>
        </w:rPr>
        <w:t>, Quito, Ecuador.</w:t>
      </w:r>
    </w:p>
    <w:p w:rsidR="005A00BA" w:rsidRPr="00CC5492" w:rsidRDefault="005A00BA" w:rsidP="00CC5492">
      <w:pPr>
        <w:spacing w:line="276" w:lineRule="auto"/>
        <w:ind w:left="851"/>
        <w:jc w:val="both"/>
        <w:rPr>
          <w:rFonts w:ascii="Arial" w:hAnsi="Arial" w:cs="Arial"/>
          <w:sz w:val="17"/>
          <w:szCs w:val="17"/>
        </w:rPr>
      </w:pPr>
      <w:r w:rsidRPr="00CC5492">
        <w:rPr>
          <w:rFonts w:ascii="Arial" w:hAnsi="Arial" w:cs="Arial"/>
          <w:b/>
          <w:i/>
          <w:sz w:val="17"/>
          <w:szCs w:val="17"/>
        </w:rPr>
        <w:t xml:space="preserve">Elaborado por: </w:t>
      </w:r>
      <w:r w:rsidRPr="00CC5492">
        <w:rPr>
          <w:rFonts w:ascii="Arial" w:hAnsi="Arial" w:cs="Arial"/>
          <w:sz w:val="17"/>
          <w:szCs w:val="17"/>
        </w:rPr>
        <w:t>Katherine Loor Valeriano</w:t>
      </w:r>
    </w:p>
    <w:p w:rsidR="00CC5492" w:rsidRDefault="00CC5492" w:rsidP="00CC5492">
      <w:pPr>
        <w:pStyle w:val="Prrafodelista"/>
        <w:spacing w:line="480" w:lineRule="auto"/>
        <w:ind w:left="851"/>
        <w:jc w:val="both"/>
        <w:rPr>
          <w:rFonts w:ascii="Arial" w:hAnsi="Arial" w:cs="Arial"/>
        </w:rPr>
      </w:pPr>
    </w:p>
    <w:p w:rsidR="001624BE" w:rsidRPr="001624BE" w:rsidRDefault="001624BE" w:rsidP="00CC5492">
      <w:pPr>
        <w:pStyle w:val="Prrafodelista"/>
        <w:spacing w:line="480" w:lineRule="auto"/>
        <w:ind w:left="851"/>
        <w:jc w:val="both"/>
        <w:rPr>
          <w:rFonts w:ascii="Arial" w:hAnsi="Arial" w:cs="Arial"/>
        </w:rPr>
      </w:pPr>
      <w:r w:rsidRPr="001624BE">
        <w:rPr>
          <w:rFonts w:ascii="Arial" w:hAnsi="Arial" w:cs="Arial"/>
        </w:rPr>
        <w:t>Según la Organización Internacion</w:t>
      </w:r>
      <w:r>
        <w:rPr>
          <w:rFonts w:ascii="Arial" w:hAnsi="Arial" w:cs="Arial"/>
        </w:rPr>
        <w:t>al para las Migraciones</w:t>
      </w:r>
      <w:r>
        <w:rPr>
          <w:rStyle w:val="Refdenotaalpie"/>
          <w:rFonts w:ascii="Arial" w:hAnsi="Arial" w:cs="Arial"/>
        </w:rPr>
        <w:footnoteReference w:id="20"/>
      </w:r>
      <w:r w:rsidRPr="001624BE">
        <w:rPr>
          <w:rFonts w:ascii="Arial" w:hAnsi="Arial" w:cs="Arial"/>
        </w:rPr>
        <w:t xml:space="preserve">, en el 2005 </w:t>
      </w:r>
      <w:r w:rsidR="00D378C7">
        <w:rPr>
          <w:rFonts w:ascii="Arial" w:hAnsi="Arial" w:cs="Arial"/>
        </w:rPr>
        <w:t>el</w:t>
      </w:r>
      <w:r w:rsidRPr="001624BE">
        <w:rPr>
          <w:rFonts w:ascii="Arial" w:hAnsi="Arial" w:cs="Arial"/>
        </w:rPr>
        <w:t xml:space="preserve"> </w:t>
      </w:r>
      <w:r w:rsidR="00D378C7">
        <w:rPr>
          <w:rFonts w:ascii="Arial" w:hAnsi="Arial" w:cs="Arial"/>
        </w:rPr>
        <w:t>total</w:t>
      </w:r>
      <w:r w:rsidRPr="001624BE">
        <w:rPr>
          <w:rFonts w:ascii="Arial" w:hAnsi="Arial" w:cs="Arial"/>
        </w:rPr>
        <w:t xml:space="preserve"> de emigrantes ecuatorianos superó el millón, lo que representaba el 7.7% de la población total. Ya para el año 2006, Ecuador era uno de los países que encabezaba la lista de los que mayor porcentaje de emigración presentaban en la Región Andina.</w:t>
      </w:r>
    </w:p>
    <w:p w:rsidR="001624BE" w:rsidRPr="001624BE" w:rsidRDefault="001624BE" w:rsidP="00CC5492">
      <w:pPr>
        <w:pStyle w:val="Prrafodelista"/>
        <w:spacing w:line="480" w:lineRule="auto"/>
        <w:ind w:left="851"/>
        <w:jc w:val="both"/>
        <w:rPr>
          <w:rFonts w:ascii="Arial" w:hAnsi="Arial" w:cs="Arial"/>
        </w:rPr>
      </w:pPr>
    </w:p>
    <w:p w:rsidR="001624BE" w:rsidRDefault="001624BE" w:rsidP="00CC5492">
      <w:pPr>
        <w:pStyle w:val="Prrafodelista"/>
        <w:spacing w:line="480" w:lineRule="auto"/>
        <w:ind w:left="851"/>
        <w:jc w:val="both"/>
        <w:rPr>
          <w:rFonts w:ascii="Arial" w:hAnsi="Arial" w:cs="Arial"/>
        </w:rPr>
      </w:pPr>
      <w:r w:rsidRPr="001624BE">
        <w:rPr>
          <w:rFonts w:ascii="Arial" w:hAnsi="Arial" w:cs="Arial"/>
        </w:rPr>
        <w:t xml:space="preserve">Cabe destacar que </w:t>
      </w:r>
      <w:r w:rsidR="001F4E26">
        <w:rPr>
          <w:rFonts w:ascii="Arial" w:hAnsi="Arial" w:cs="Arial"/>
        </w:rPr>
        <w:t>desde el 2010</w:t>
      </w:r>
      <w:r w:rsidRPr="001624BE">
        <w:rPr>
          <w:rFonts w:ascii="Arial" w:hAnsi="Arial" w:cs="Arial"/>
        </w:rPr>
        <w:t>, el gobierno ecuatoriano ha ofrecido algunas oportunidades a los ecuatorianos para que regresen a su país mediante el “</w:t>
      </w:r>
      <w:r w:rsidRPr="001A2DEE">
        <w:rPr>
          <w:rFonts w:ascii="Arial" w:hAnsi="Arial" w:cs="Arial"/>
          <w:b/>
          <w:i/>
        </w:rPr>
        <w:t>Plan Retorno</w:t>
      </w:r>
      <w:r w:rsidRPr="001624BE">
        <w:rPr>
          <w:rFonts w:ascii="Arial" w:hAnsi="Arial" w:cs="Arial"/>
        </w:rPr>
        <w:t>” o también denominado “</w:t>
      </w:r>
      <w:r w:rsidRPr="001A2DEE">
        <w:rPr>
          <w:rFonts w:ascii="Arial" w:hAnsi="Arial" w:cs="Arial"/>
          <w:b/>
          <w:i/>
        </w:rPr>
        <w:t>Bienvenido a casa</w:t>
      </w:r>
      <w:r w:rsidRPr="001624BE">
        <w:rPr>
          <w:rFonts w:ascii="Arial" w:hAnsi="Arial" w:cs="Arial"/>
        </w:rPr>
        <w:t>”, el mismo que consiste en retornar al país cancelando cero aranceles en la movilización del menaje de casa y trabajo, así como también ofrece incentivos económicos a  quienes deseen iniciar un negocio en el país.</w:t>
      </w:r>
    </w:p>
    <w:p w:rsidR="004B13FE" w:rsidRDefault="004B13FE" w:rsidP="005A00BA">
      <w:pPr>
        <w:pStyle w:val="Prrafodelista"/>
        <w:spacing w:line="480" w:lineRule="auto"/>
        <w:ind w:left="567"/>
        <w:jc w:val="both"/>
        <w:rPr>
          <w:rFonts w:ascii="Arial" w:hAnsi="Arial" w:cs="Arial"/>
        </w:rPr>
      </w:pPr>
    </w:p>
    <w:p w:rsidR="00B95C45" w:rsidRPr="00B95C45" w:rsidRDefault="00B95C45" w:rsidP="00CC5492">
      <w:pPr>
        <w:pStyle w:val="TesisTitulo20"/>
        <w:ind w:left="1560" w:hanging="709"/>
      </w:pPr>
      <w:bookmarkStart w:id="42" w:name="_Toc332571346"/>
      <w:bookmarkStart w:id="43" w:name="_Toc341040589"/>
      <w:r w:rsidRPr="00B95C45">
        <w:lastRenderedPageBreak/>
        <w:t>Migración Interna en Ecuador</w:t>
      </w:r>
      <w:bookmarkEnd w:id="42"/>
      <w:bookmarkEnd w:id="43"/>
    </w:p>
    <w:p w:rsidR="006E403A" w:rsidRPr="006E403A" w:rsidRDefault="006E403A" w:rsidP="00CC5492">
      <w:pPr>
        <w:pStyle w:val="Prrafodelista"/>
        <w:spacing w:line="480" w:lineRule="auto"/>
        <w:ind w:left="851"/>
        <w:jc w:val="both"/>
        <w:rPr>
          <w:rFonts w:ascii="Arial" w:hAnsi="Arial" w:cs="Arial"/>
        </w:rPr>
      </w:pPr>
      <w:r w:rsidRPr="006E403A">
        <w:rPr>
          <w:rFonts w:ascii="Arial" w:hAnsi="Arial" w:cs="Arial"/>
        </w:rPr>
        <w:t>La migración interna, puede ser explicada mediante la segunda y undécima ley de Ravenstein</w:t>
      </w:r>
      <w:r w:rsidR="00B41B7A">
        <w:rPr>
          <w:rStyle w:val="Refdenotaalpie"/>
          <w:rFonts w:ascii="Arial" w:hAnsi="Arial" w:cs="Arial"/>
        </w:rPr>
        <w:footnoteReference w:id="21"/>
      </w:r>
      <w:r w:rsidR="0062759D">
        <w:rPr>
          <w:rFonts w:ascii="Arial" w:hAnsi="Arial" w:cs="Arial"/>
        </w:rPr>
        <w:t xml:space="preserve">, </w:t>
      </w:r>
      <w:r w:rsidR="0062759D" w:rsidRPr="0062759D">
        <w:rPr>
          <w:rFonts w:ascii="Arial" w:hAnsi="Arial" w:cs="Arial"/>
          <w:i/>
        </w:rPr>
        <w:t>véase Anexo A.3</w:t>
      </w:r>
      <w:r w:rsidRPr="006E403A">
        <w:rPr>
          <w:rFonts w:ascii="Arial" w:hAnsi="Arial" w:cs="Arial"/>
        </w:rPr>
        <w:t xml:space="preserve">; es decir, que la mayor parte de las migraciones son de corta distancia y se realizan desde las áreas rurales hacia los grandes centros de comercio y de la industria. </w:t>
      </w:r>
    </w:p>
    <w:p w:rsidR="006E403A" w:rsidRPr="006E403A" w:rsidRDefault="006E403A" w:rsidP="00CC5492">
      <w:pPr>
        <w:pStyle w:val="Prrafodelista"/>
        <w:spacing w:line="480" w:lineRule="auto"/>
        <w:ind w:left="851"/>
        <w:jc w:val="both"/>
        <w:rPr>
          <w:rFonts w:ascii="Arial" w:hAnsi="Arial" w:cs="Arial"/>
        </w:rPr>
      </w:pPr>
    </w:p>
    <w:p w:rsidR="00B95C45" w:rsidRDefault="006E403A" w:rsidP="00CC5492">
      <w:pPr>
        <w:pStyle w:val="Prrafodelista"/>
        <w:spacing w:line="480" w:lineRule="auto"/>
        <w:ind w:left="851"/>
        <w:jc w:val="both"/>
        <w:rPr>
          <w:rFonts w:ascii="Arial" w:hAnsi="Arial" w:cs="Arial"/>
        </w:rPr>
      </w:pPr>
      <w:r w:rsidRPr="006E403A">
        <w:rPr>
          <w:rFonts w:ascii="Arial" w:hAnsi="Arial" w:cs="Arial"/>
        </w:rPr>
        <w:t xml:space="preserve">Ecuador no ha sido la excepción, </w:t>
      </w:r>
      <w:r w:rsidR="00096C10">
        <w:rPr>
          <w:rFonts w:ascii="Arial" w:hAnsi="Arial" w:cs="Arial"/>
        </w:rPr>
        <w:t>debido a</w:t>
      </w:r>
      <w:r w:rsidRPr="006E403A">
        <w:rPr>
          <w:rFonts w:ascii="Arial" w:hAnsi="Arial" w:cs="Arial"/>
        </w:rPr>
        <w:t xml:space="preserve"> que desde </w:t>
      </w:r>
      <w:r w:rsidR="00096C10">
        <w:rPr>
          <w:rFonts w:ascii="Arial" w:hAnsi="Arial" w:cs="Arial"/>
        </w:rPr>
        <w:t xml:space="preserve">hace </w:t>
      </w:r>
      <w:r w:rsidRPr="006E403A">
        <w:rPr>
          <w:rFonts w:ascii="Arial" w:hAnsi="Arial" w:cs="Arial"/>
        </w:rPr>
        <w:t xml:space="preserve">años atrás las principales ciudades receptoras de </w:t>
      </w:r>
      <w:r w:rsidR="00096C10">
        <w:rPr>
          <w:rFonts w:ascii="Arial" w:hAnsi="Arial" w:cs="Arial"/>
        </w:rPr>
        <w:t>migración interna</w:t>
      </w:r>
      <w:r w:rsidRPr="006E403A">
        <w:rPr>
          <w:rFonts w:ascii="Arial" w:hAnsi="Arial" w:cs="Arial"/>
        </w:rPr>
        <w:t xml:space="preserve"> h</w:t>
      </w:r>
      <w:r w:rsidR="00096C10">
        <w:rPr>
          <w:rFonts w:ascii="Arial" w:hAnsi="Arial" w:cs="Arial"/>
        </w:rPr>
        <w:t>an sido Quito y Guayaquil</w:t>
      </w:r>
      <w:r w:rsidRPr="006E403A">
        <w:rPr>
          <w:rFonts w:ascii="Arial" w:hAnsi="Arial" w:cs="Arial"/>
        </w:rPr>
        <w:t xml:space="preserve">. </w:t>
      </w:r>
      <w:r w:rsidR="00C83E15">
        <w:rPr>
          <w:rFonts w:ascii="Arial" w:hAnsi="Arial" w:cs="Arial"/>
        </w:rPr>
        <w:t>Algunos de los hechos que marcaron la migración interna en nuestro país se di</w:t>
      </w:r>
      <w:r w:rsidR="00AA6D28">
        <w:rPr>
          <w:rFonts w:ascii="Arial" w:hAnsi="Arial" w:cs="Arial"/>
        </w:rPr>
        <w:t>eron</w:t>
      </w:r>
      <w:r w:rsidR="00C83E15">
        <w:rPr>
          <w:rFonts w:ascii="Arial" w:hAnsi="Arial" w:cs="Arial"/>
        </w:rPr>
        <w:t xml:space="preserve"> d</w:t>
      </w:r>
      <w:r w:rsidRPr="006E403A">
        <w:rPr>
          <w:rFonts w:ascii="Arial" w:hAnsi="Arial" w:cs="Arial"/>
        </w:rPr>
        <w:t xml:space="preserve">urante la presidencia de Ignacio de Veintimilla </w:t>
      </w:r>
      <w:r w:rsidR="0062759D">
        <w:rPr>
          <w:rFonts w:ascii="Arial" w:hAnsi="Arial" w:cs="Arial"/>
        </w:rPr>
        <w:t xml:space="preserve">     </w:t>
      </w:r>
      <w:r w:rsidRPr="006E403A">
        <w:rPr>
          <w:rFonts w:ascii="Arial" w:hAnsi="Arial" w:cs="Arial"/>
        </w:rPr>
        <w:t xml:space="preserve">(1878 - 1883) </w:t>
      </w:r>
      <w:r w:rsidR="00597CD0">
        <w:rPr>
          <w:rFonts w:ascii="Arial" w:hAnsi="Arial" w:cs="Arial"/>
        </w:rPr>
        <w:t>con</w:t>
      </w:r>
      <w:r w:rsidR="002F3260">
        <w:rPr>
          <w:rFonts w:ascii="Arial" w:hAnsi="Arial" w:cs="Arial"/>
        </w:rPr>
        <w:t xml:space="preserve"> el boom de la </w:t>
      </w:r>
      <w:r w:rsidR="0062759D">
        <w:rPr>
          <w:rFonts w:ascii="Arial" w:hAnsi="Arial" w:cs="Arial"/>
        </w:rPr>
        <w:t>“</w:t>
      </w:r>
      <w:r w:rsidR="002F3260">
        <w:rPr>
          <w:rFonts w:ascii="Arial" w:hAnsi="Arial" w:cs="Arial"/>
        </w:rPr>
        <w:t>Pepa de Oro</w:t>
      </w:r>
      <w:r w:rsidR="0062759D">
        <w:rPr>
          <w:rFonts w:ascii="Arial" w:hAnsi="Arial" w:cs="Arial"/>
        </w:rPr>
        <w:t>”</w:t>
      </w:r>
      <w:r w:rsidRPr="006E403A">
        <w:rPr>
          <w:rFonts w:ascii="Arial" w:hAnsi="Arial" w:cs="Arial"/>
        </w:rPr>
        <w:t xml:space="preserve"> (cacao), de 1860 a 1920, </w:t>
      </w:r>
      <w:r w:rsidR="007573E3">
        <w:rPr>
          <w:rFonts w:ascii="Arial" w:hAnsi="Arial" w:cs="Arial"/>
        </w:rPr>
        <w:t xml:space="preserve">según </w:t>
      </w:r>
      <w:r w:rsidR="00110532">
        <w:rPr>
          <w:rFonts w:ascii="Arial" w:hAnsi="Arial" w:cs="Arial"/>
          <w:i/>
        </w:rPr>
        <w:t>Serrano, A.</w:t>
      </w:r>
      <w:r w:rsidR="008757F6">
        <w:rPr>
          <w:rStyle w:val="Refdenotaalpie"/>
          <w:rFonts w:ascii="Arial" w:hAnsi="Arial" w:cs="Arial"/>
          <w:i/>
        </w:rPr>
        <w:footnoteReference w:id="22"/>
      </w:r>
      <w:r w:rsidR="00110532">
        <w:rPr>
          <w:rFonts w:ascii="Arial" w:hAnsi="Arial" w:cs="Arial"/>
          <w:i/>
        </w:rPr>
        <w:t xml:space="preserve"> (2008) </w:t>
      </w:r>
      <w:r w:rsidRPr="006E403A">
        <w:rPr>
          <w:rFonts w:ascii="Arial" w:hAnsi="Arial" w:cs="Arial"/>
        </w:rPr>
        <w:t xml:space="preserve">se produjeron movimientos poblacionales desde el centro y sur del país de provincias como Chimborazo, Azuay y Cañar. La disminución en la producción del cacao y el largo período de crisis, trajeron consigo un cambio en los flujos migratorios, </w:t>
      </w:r>
      <w:r w:rsidR="0062759D">
        <w:rPr>
          <w:rFonts w:ascii="Arial" w:hAnsi="Arial" w:cs="Arial"/>
        </w:rPr>
        <w:t xml:space="preserve">pero en el período, se </w:t>
      </w:r>
      <w:r w:rsidRPr="006E403A">
        <w:rPr>
          <w:rFonts w:ascii="Arial" w:hAnsi="Arial" w:cs="Arial"/>
        </w:rPr>
        <w:t>pas</w:t>
      </w:r>
      <w:r w:rsidR="0062759D">
        <w:rPr>
          <w:rFonts w:ascii="Arial" w:hAnsi="Arial" w:cs="Arial"/>
        </w:rPr>
        <w:t>ó</w:t>
      </w:r>
      <w:r w:rsidRPr="006E403A">
        <w:rPr>
          <w:rFonts w:ascii="Arial" w:hAnsi="Arial" w:cs="Arial"/>
        </w:rPr>
        <w:t xml:space="preserve"> de ser una población </w:t>
      </w:r>
      <w:r w:rsidR="0062759D">
        <w:rPr>
          <w:rFonts w:ascii="Arial" w:hAnsi="Arial" w:cs="Arial"/>
        </w:rPr>
        <w:t xml:space="preserve">netamente </w:t>
      </w:r>
      <w:r w:rsidRPr="006E403A">
        <w:rPr>
          <w:rFonts w:ascii="Arial" w:hAnsi="Arial" w:cs="Arial"/>
        </w:rPr>
        <w:t xml:space="preserve">rural a una </w:t>
      </w:r>
      <w:r w:rsidR="0062759D">
        <w:rPr>
          <w:rFonts w:ascii="Arial" w:hAnsi="Arial" w:cs="Arial"/>
        </w:rPr>
        <w:t xml:space="preserve">mayoritariamente </w:t>
      </w:r>
      <w:r w:rsidRPr="006E403A">
        <w:rPr>
          <w:rFonts w:ascii="Arial" w:hAnsi="Arial" w:cs="Arial"/>
        </w:rPr>
        <w:t>urbana; convirtiéndose ésta en una de las épocas de mayor crecimiento poblacional de Guayaquil, donde gran parte de la población se asentó en los</w:t>
      </w:r>
      <w:r w:rsidR="0062759D">
        <w:rPr>
          <w:rFonts w:ascii="Arial" w:hAnsi="Arial" w:cs="Arial"/>
        </w:rPr>
        <w:t xml:space="preserve"> denominados</w:t>
      </w:r>
      <w:r w:rsidRPr="006E403A">
        <w:rPr>
          <w:rFonts w:ascii="Arial" w:hAnsi="Arial" w:cs="Arial"/>
        </w:rPr>
        <w:t xml:space="preserve"> </w:t>
      </w:r>
      <w:r w:rsidR="0062759D">
        <w:rPr>
          <w:rFonts w:ascii="Arial" w:hAnsi="Arial" w:cs="Arial"/>
        </w:rPr>
        <w:t>“</w:t>
      </w:r>
      <w:r w:rsidRPr="006E403A">
        <w:rPr>
          <w:rFonts w:ascii="Arial" w:hAnsi="Arial" w:cs="Arial"/>
        </w:rPr>
        <w:t>suburbios</w:t>
      </w:r>
      <w:r w:rsidR="0062759D">
        <w:rPr>
          <w:rFonts w:ascii="Arial" w:hAnsi="Arial" w:cs="Arial"/>
        </w:rPr>
        <w:t>”, haciéndolo</w:t>
      </w:r>
      <w:r w:rsidRPr="006E403A">
        <w:rPr>
          <w:rFonts w:ascii="Arial" w:hAnsi="Arial" w:cs="Arial"/>
        </w:rPr>
        <w:t xml:space="preserve"> en condiciones de pobreza.</w:t>
      </w:r>
    </w:p>
    <w:p w:rsidR="002F3260" w:rsidRPr="0062759D" w:rsidRDefault="002F3260" w:rsidP="00CC5492">
      <w:pPr>
        <w:spacing w:line="480" w:lineRule="auto"/>
        <w:ind w:left="851"/>
        <w:jc w:val="both"/>
        <w:rPr>
          <w:rFonts w:ascii="Arial" w:hAnsi="Arial" w:cs="Arial"/>
        </w:rPr>
      </w:pPr>
    </w:p>
    <w:p w:rsidR="0057113A" w:rsidRDefault="007775FE" w:rsidP="00CC5492">
      <w:pPr>
        <w:pStyle w:val="Prrafodelista"/>
        <w:spacing w:line="480" w:lineRule="auto"/>
        <w:ind w:left="851"/>
        <w:jc w:val="both"/>
        <w:rPr>
          <w:rFonts w:ascii="Arial" w:hAnsi="Arial" w:cs="Arial"/>
        </w:rPr>
      </w:pPr>
      <w:r w:rsidRPr="007775FE">
        <w:rPr>
          <w:rFonts w:ascii="Arial" w:hAnsi="Arial" w:cs="Arial"/>
        </w:rPr>
        <w:t>P</w:t>
      </w:r>
      <w:r>
        <w:rPr>
          <w:rFonts w:ascii="Arial" w:hAnsi="Arial" w:cs="Arial"/>
        </w:rPr>
        <w:t xml:space="preserve">or otra parte, el </w:t>
      </w:r>
      <w:r w:rsidR="0062759D">
        <w:rPr>
          <w:rFonts w:ascii="Arial" w:hAnsi="Arial" w:cs="Arial"/>
        </w:rPr>
        <w:t>“</w:t>
      </w:r>
      <w:r>
        <w:rPr>
          <w:rFonts w:ascii="Arial" w:hAnsi="Arial" w:cs="Arial"/>
        </w:rPr>
        <w:t>boom bananero</w:t>
      </w:r>
      <w:r w:rsidR="0062759D">
        <w:rPr>
          <w:rFonts w:ascii="Arial" w:hAnsi="Arial" w:cs="Arial"/>
        </w:rPr>
        <w:t>”</w:t>
      </w:r>
      <w:r w:rsidRPr="007775FE">
        <w:rPr>
          <w:rFonts w:ascii="Arial" w:hAnsi="Arial" w:cs="Arial"/>
        </w:rPr>
        <w:t xml:space="preserve">, (1948 - 1965), marcó otra etapa en la migración interna; pues, la gran demanda de mano de obra produjo el movimiento masivo de personas desde la Sierra hacia la Costa. A su vez la </w:t>
      </w:r>
      <w:r w:rsidRPr="007775FE">
        <w:rPr>
          <w:rFonts w:ascii="Arial" w:hAnsi="Arial" w:cs="Arial"/>
        </w:rPr>
        <w:lastRenderedPageBreak/>
        <w:t>caída de la producción</w:t>
      </w:r>
      <w:r>
        <w:rPr>
          <w:rFonts w:ascii="Arial" w:hAnsi="Arial" w:cs="Arial"/>
        </w:rPr>
        <w:t xml:space="preserve"> bananera y la Reforma Agraria </w:t>
      </w:r>
      <w:r w:rsidRPr="007775FE">
        <w:rPr>
          <w:rFonts w:ascii="Arial" w:hAnsi="Arial" w:cs="Arial"/>
        </w:rPr>
        <w:t>(Ley de 1964) produjeron una disminución de la población rural y un aumento de la población de las ciudades; es así como en 12 años la población de Guayaquil prácticamente se vió duplicada de 260000 habitantes en 1950 a 510000 en 1962</w:t>
      </w:r>
      <w:r>
        <w:rPr>
          <w:rStyle w:val="Refdenotaalpie"/>
          <w:rFonts w:ascii="Arial" w:hAnsi="Arial" w:cs="Arial"/>
        </w:rPr>
        <w:footnoteReference w:id="23"/>
      </w:r>
      <w:r w:rsidRPr="007775FE">
        <w:rPr>
          <w:rFonts w:ascii="Arial" w:hAnsi="Arial" w:cs="Arial"/>
        </w:rPr>
        <w:t>.</w:t>
      </w:r>
      <w:r w:rsidR="002A0676">
        <w:rPr>
          <w:rFonts w:ascii="Arial" w:hAnsi="Arial" w:cs="Arial"/>
        </w:rPr>
        <w:t xml:space="preserve"> Aunque, s</w:t>
      </w:r>
      <w:r w:rsidR="0057113A">
        <w:rPr>
          <w:rFonts w:ascii="Arial" w:hAnsi="Arial" w:cs="Arial"/>
        </w:rPr>
        <w:t xml:space="preserve">egún </w:t>
      </w:r>
      <w:r w:rsidR="0057113A" w:rsidRPr="002A0676">
        <w:rPr>
          <w:rFonts w:ascii="Arial" w:hAnsi="Arial" w:cs="Arial"/>
          <w:i/>
        </w:rPr>
        <w:t xml:space="preserve">Camacho </w:t>
      </w:r>
      <w:r w:rsidR="0057113A" w:rsidRPr="002A0676">
        <w:rPr>
          <w:rFonts w:ascii="Arial" w:hAnsi="Arial" w:cs="Arial"/>
        </w:rPr>
        <w:t>y</w:t>
      </w:r>
      <w:r w:rsidR="0057113A" w:rsidRPr="002A0676">
        <w:rPr>
          <w:rFonts w:ascii="Arial" w:hAnsi="Arial" w:cs="Arial"/>
          <w:i/>
        </w:rPr>
        <w:t xml:space="preserve"> Hernández</w:t>
      </w:r>
      <w:r w:rsidR="0057113A" w:rsidRPr="0057113A">
        <w:rPr>
          <w:rFonts w:ascii="Arial" w:hAnsi="Arial" w:cs="Arial"/>
        </w:rPr>
        <w:t xml:space="preserve"> (2009)</w:t>
      </w:r>
      <w:r w:rsidR="004B13FE">
        <w:rPr>
          <w:rStyle w:val="Refdenotaalpie"/>
          <w:rFonts w:ascii="Arial" w:hAnsi="Arial" w:cs="Arial"/>
        </w:rPr>
        <w:footnoteReference w:id="24"/>
      </w:r>
      <w:r w:rsidR="0057113A" w:rsidRPr="0057113A">
        <w:rPr>
          <w:rFonts w:ascii="Arial" w:hAnsi="Arial" w:cs="Arial"/>
        </w:rPr>
        <w:t xml:space="preserve"> a mediados del siglo XX, la población masculina de la Sierra se movilizaba hacia la Costa para trabajar en empresas Agro-exportadoras, produciéndose así un aumento en la población de la región de destino</w:t>
      </w:r>
      <w:r w:rsidR="006C6CC6">
        <w:rPr>
          <w:rFonts w:ascii="Arial" w:hAnsi="Arial" w:cs="Arial"/>
        </w:rPr>
        <w:t>; pasando de representar</w:t>
      </w:r>
      <w:r w:rsidR="0057113A" w:rsidRPr="0057113A">
        <w:rPr>
          <w:rFonts w:ascii="Arial" w:hAnsi="Arial" w:cs="Arial"/>
        </w:rPr>
        <w:t xml:space="preserve"> el 10% del total nacional en la década del veinte, </w:t>
      </w:r>
      <w:r w:rsidR="006C6CC6">
        <w:rPr>
          <w:rFonts w:ascii="Arial" w:hAnsi="Arial" w:cs="Arial"/>
        </w:rPr>
        <w:t>a</w:t>
      </w:r>
      <w:r w:rsidR="0057113A" w:rsidRPr="0057113A">
        <w:rPr>
          <w:rFonts w:ascii="Arial" w:hAnsi="Arial" w:cs="Arial"/>
        </w:rPr>
        <w:t xml:space="preserve">l 40% </w:t>
      </w:r>
      <w:r w:rsidR="00B53AAE">
        <w:rPr>
          <w:rFonts w:ascii="Arial" w:hAnsi="Arial" w:cs="Arial"/>
        </w:rPr>
        <w:t xml:space="preserve">de la población </w:t>
      </w:r>
      <w:r w:rsidR="006C6CC6">
        <w:rPr>
          <w:rFonts w:ascii="Arial" w:hAnsi="Arial" w:cs="Arial"/>
        </w:rPr>
        <w:t>nacional</w:t>
      </w:r>
      <w:r w:rsidR="00B53AAE">
        <w:rPr>
          <w:rFonts w:ascii="Arial" w:hAnsi="Arial" w:cs="Arial"/>
        </w:rPr>
        <w:t xml:space="preserve"> en </w:t>
      </w:r>
      <w:r w:rsidR="0057113A" w:rsidRPr="0057113A">
        <w:rPr>
          <w:rFonts w:ascii="Arial" w:hAnsi="Arial" w:cs="Arial"/>
        </w:rPr>
        <w:t>1950.</w:t>
      </w:r>
    </w:p>
    <w:p w:rsidR="00CC5492" w:rsidRDefault="00CC5492" w:rsidP="00CC5492">
      <w:pPr>
        <w:pStyle w:val="Prrafodelista"/>
        <w:spacing w:line="480" w:lineRule="auto"/>
        <w:ind w:left="851"/>
        <w:jc w:val="both"/>
        <w:rPr>
          <w:rFonts w:ascii="Arial" w:hAnsi="Arial" w:cs="Arial"/>
        </w:rPr>
      </w:pPr>
    </w:p>
    <w:p w:rsidR="004B13FE" w:rsidRDefault="00CC56AE" w:rsidP="00CC5492">
      <w:pPr>
        <w:pStyle w:val="Prrafodelista"/>
        <w:spacing w:line="480" w:lineRule="auto"/>
        <w:ind w:left="851"/>
        <w:jc w:val="both"/>
        <w:rPr>
          <w:rFonts w:ascii="Arial" w:hAnsi="Arial" w:cs="Arial"/>
        </w:rPr>
      </w:pPr>
      <w:r w:rsidRPr="00CC56AE">
        <w:rPr>
          <w:rFonts w:ascii="Arial" w:hAnsi="Arial" w:cs="Arial"/>
        </w:rPr>
        <w:t xml:space="preserve">Otro evento que vale la pena considerar está relacionado con la explotación petrolera, que se dió a inicios de los años 70, </w:t>
      </w:r>
      <w:r w:rsidR="00A544B4">
        <w:rPr>
          <w:rFonts w:ascii="Arial" w:hAnsi="Arial" w:cs="Arial"/>
        </w:rPr>
        <w:t>cuando</w:t>
      </w:r>
      <w:r w:rsidRPr="00CC56AE">
        <w:rPr>
          <w:rFonts w:ascii="Arial" w:hAnsi="Arial" w:cs="Arial"/>
        </w:rPr>
        <w:t xml:space="preserve"> se produjeron movimientos hacia las provincias amazónicas </w:t>
      </w:r>
      <w:r w:rsidR="00A544B4">
        <w:rPr>
          <w:rFonts w:ascii="Arial" w:hAnsi="Arial" w:cs="Arial"/>
        </w:rPr>
        <w:t xml:space="preserve">del Nororiente </w:t>
      </w:r>
      <w:r w:rsidRPr="00CC56AE">
        <w:rPr>
          <w:rFonts w:ascii="Arial" w:hAnsi="Arial" w:cs="Arial"/>
        </w:rPr>
        <w:t>ecuatorian</w:t>
      </w:r>
      <w:r w:rsidR="00A544B4">
        <w:rPr>
          <w:rFonts w:ascii="Arial" w:hAnsi="Arial" w:cs="Arial"/>
        </w:rPr>
        <w:t>o,</w:t>
      </w:r>
      <w:r w:rsidRPr="00CC56AE">
        <w:rPr>
          <w:rFonts w:ascii="Arial" w:hAnsi="Arial" w:cs="Arial"/>
        </w:rPr>
        <w:t xml:space="preserve"> </w:t>
      </w:r>
      <w:r w:rsidR="00A544B4">
        <w:rPr>
          <w:rFonts w:ascii="Arial" w:hAnsi="Arial" w:cs="Arial"/>
        </w:rPr>
        <w:t>de las</w:t>
      </w:r>
      <w:r w:rsidRPr="00CC56AE">
        <w:rPr>
          <w:rFonts w:ascii="Arial" w:hAnsi="Arial" w:cs="Arial"/>
        </w:rPr>
        <w:t xml:space="preserve"> provincias afectadas por las prolongadas sequías, como Loja, en búsqueda de mejores oportunidades de vida</w:t>
      </w:r>
      <w:r>
        <w:rPr>
          <w:rStyle w:val="Refdenotaalpie"/>
          <w:rFonts w:ascii="Arial" w:hAnsi="Arial" w:cs="Arial"/>
        </w:rPr>
        <w:footnoteReference w:id="25"/>
      </w:r>
      <w:r w:rsidRPr="00CC56AE">
        <w:rPr>
          <w:rFonts w:ascii="Arial" w:hAnsi="Arial" w:cs="Arial"/>
        </w:rPr>
        <w:t xml:space="preserve">. </w:t>
      </w:r>
      <w:r w:rsidR="00B81D81" w:rsidRPr="00B81D81">
        <w:rPr>
          <w:rFonts w:ascii="Arial" w:hAnsi="Arial" w:cs="Arial"/>
        </w:rPr>
        <w:t>En los años ochenta, a raíz de la crisis económica</w:t>
      </w:r>
      <w:r w:rsidR="00A544B4">
        <w:rPr>
          <w:rFonts w:ascii="Arial" w:hAnsi="Arial" w:cs="Arial"/>
        </w:rPr>
        <w:t xml:space="preserve"> - financiera</w:t>
      </w:r>
      <w:r w:rsidR="00B81D81" w:rsidRPr="00B81D81">
        <w:rPr>
          <w:rFonts w:ascii="Arial" w:hAnsi="Arial" w:cs="Arial"/>
        </w:rPr>
        <w:t xml:space="preserve"> que vivió el país, nuevamente se produjeron masivos movimientos desde el campo a las ciudades Quito y Guayaquil.</w:t>
      </w:r>
      <w:r w:rsidR="00CC5492">
        <w:rPr>
          <w:rFonts w:ascii="Arial" w:hAnsi="Arial" w:cs="Arial"/>
        </w:rPr>
        <w:t xml:space="preserve"> </w:t>
      </w:r>
      <w:r w:rsidR="00B81D81" w:rsidRPr="00B81D81">
        <w:rPr>
          <w:rFonts w:ascii="Arial" w:hAnsi="Arial" w:cs="Arial"/>
        </w:rPr>
        <w:t>Ya para los años noventa, la provincia que mayor expulsión de personas</w:t>
      </w:r>
      <w:r w:rsidR="00BB5FAA">
        <w:rPr>
          <w:rFonts w:ascii="Arial" w:hAnsi="Arial" w:cs="Arial"/>
        </w:rPr>
        <w:t xml:space="preserve"> en términos porcentuales</w:t>
      </w:r>
      <w:r w:rsidR="00B81D81" w:rsidRPr="00B81D81">
        <w:rPr>
          <w:rFonts w:ascii="Arial" w:hAnsi="Arial" w:cs="Arial"/>
        </w:rPr>
        <w:t xml:space="preserve"> presentó fue Bolívar, donde el 38.87% de la población nacida en esta provincia había emigrado hacia Pichincha, Los Ríos y Guayas. Una de las principales provincias expulsoras de </w:t>
      </w:r>
      <w:r w:rsidR="00B81D81" w:rsidRPr="00B81D81">
        <w:rPr>
          <w:rFonts w:ascii="Arial" w:hAnsi="Arial" w:cs="Arial"/>
        </w:rPr>
        <w:lastRenderedPageBreak/>
        <w:t xml:space="preserve">personas en la Costa, según </w:t>
      </w:r>
      <w:r w:rsidR="00B81D81" w:rsidRPr="0076625C">
        <w:rPr>
          <w:rFonts w:ascii="Arial" w:hAnsi="Arial" w:cs="Arial"/>
        </w:rPr>
        <w:t xml:space="preserve">resultados del Censo </w:t>
      </w:r>
      <w:r w:rsidR="00F36090">
        <w:rPr>
          <w:rFonts w:ascii="Arial" w:hAnsi="Arial" w:cs="Arial"/>
        </w:rPr>
        <w:t xml:space="preserve">de </w:t>
      </w:r>
      <w:r w:rsidR="00B81D81" w:rsidRPr="0076625C">
        <w:rPr>
          <w:rFonts w:ascii="Arial" w:hAnsi="Arial" w:cs="Arial"/>
        </w:rPr>
        <w:t>1990</w:t>
      </w:r>
      <w:r w:rsidR="00B81D81" w:rsidRPr="0076625C">
        <w:rPr>
          <w:rStyle w:val="Refdenotaalpie"/>
          <w:rFonts w:ascii="Arial" w:hAnsi="Arial" w:cs="Arial"/>
        </w:rPr>
        <w:footnoteReference w:id="26"/>
      </w:r>
      <w:r w:rsidR="00B81D81" w:rsidRPr="0076625C">
        <w:rPr>
          <w:rFonts w:ascii="Arial" w:hAnsi="Arial" w:cs="Arial"/>
        </w:rPr>
        <w:t xml:space="preserve"> fue Manabí, debido a que alrededor del 26.23%</w:t>
      </w:r>
      <w:r w:rsidR="00B81D81" w:rsidRPr="00B81D81">
        <w:rPr>
          <w:rFonts w:ascii="Arial" w:hAnsi="Arial" w:cs="Arial"/>
        </w:rPr>
        <w:t xml:space="preserve"> de los nacidos allí habían emigrado, donde el 55% de los emigrantes se dirigieron hacia Guayas y el resto hacia otras provincias del Ecuador y </w:t>
      </w:r>
      <w:r w:rsidR="00A544B4">
        <w:rPr>
          <w:rFonts w:ascii="Arial" w:hAnsi="Arial" w:cs="Arial"/>
        </w:rPr>
        <w:t xml:space="preserve">también hacia </w:t>
      </w:r>
      <w:r w:rsidR="00B81D81" w:rsidRPr="00B81D81">
        <w:rPr>
          <w:rFonts w:ascii="Arial" w:hAnsi="Arial" w:cs="Arial"/>
        </w:rPr>
        <w:t xml:space="preserve">el exterior. </w:t>
      </w:r>
    </w:p>
    <w:p w:rsidR="004B13FE" w:rsidRDefault="004B13FE" w:rsidP="00CC5492">
      <w:pPr>
        <w:pStyle w:val="Prrafodelista"/>
        <w:spacing w:line="480" w:lineRule="auto"/>
        <w:ind w:left="851"/>
        <w:jc w:val="both"/>
        <w:rPr>
          <w:rFonts w:ascii="Arial" w:hAnsi="Arial" w:cs="Arial"/>
        </w:rPr>
      </w:pPr>
    </w:p>
    <w:p w:rsidR="00726EF3" w:rsidRDefault="00B81D81" w:rsidP="00CC5492">
      <w:pPr>
        <w:pStyle w:val="Prrafodelista"/>
        <w:spacing w:line="480" w:lineRule="auto"/>
        <w:ind w:left="851"/>
        <w:jc w:val="both"/>
        <w:rPr>
          <w:rFonts w:ascii="Arial" w:hAnsi="Arial" w:cs="Arial"/>
        </w:rPr>
      </w:pPr>
      <w:r w:rsidRPr="00B81D81">
        <w:rPr>
          <w:rFonts w:ascii="Arial" w:hAnsi="Arial" w:cs="Arial"/>
        </w:rPr>
        <w:t>Por otra parte, durante los años noventa, el 65.20% de la población que vivía en Sucumbíos eran inmigrantes provenientes mayoritariamente de provincias como Loja, Bolívar y Pichincha. En cambio, en Guayas el 21.64% de la población residente estaba constituida por inmigrantes que en gran proporción provenían de M</w:t>
      </w:r>
      <w:r w:rsidR="003E6B0B">
        <w:rPr>
          <w:rFonts w:ascii="Arial" w:hAnsi="Arial" w:cs="Arial"/>
        </w:rPr>
        <w:t xml:space="preserve">anabí, Chimborazo y Esmeraldas; además, </w:t>
      </w:r>
      <w:r w:rsidR="00D61271">
        <w:rPr>
          <w:rFonts w:ascii="Arial" w:hAnsi="Arial" w:cs="Arial"/>
        </w:rPr>
        <w:t>por cada 1000 emigrantes manabitas que se dirigieron hacia Guayas, 260 fueron específicamente a Guayaquil</w:t>
      </w:r>
      <w:r w:rsidRPr="00B81D81">
        <w:rPr>
          <w:rFonts w:ascii="Arial" w:hAnsi="Arial" w:cs="Arial"/>
        </w:rPr>
        <w:t>.</w:t>
      </w:r>
      <w:r w:rsidR="00F36090">
        <w:rPr>
          <w:rFonts w:ascii="Arial" w:hAnsi="Arial" w:cs="Arial"/>
        </w:rPr>
        <w:t xml:space="preserve"> </w:t>
      </w:r>
      <w:r w:rsidR="00726EF3" w:rsidRPr="00726EF3">
        <w:rPr>
          <w:rFonts w:ascii="Arial" w:hAnsi="Arial" w:cs="Arial"/>
        </w:rPr>
        <w:t xml:space="preserve">En la </w:t>
      </w:r>
      <w:r w:rsidR="00726EF3" w:rsidRPr="00726EF3">
        <w:rPr>
          <w:rFonts w:ascii="Arial" w:hAnsi="Arial" w:cs="Arial"/>
          <w:i/>
        </w:rPr>
        <w:t xml:space="preserve">Figura </w:t>
      </w:r>
      <w:r w:rsidR="004B13FE">
        <w:rPr>
          <w:rFonts w:ascii="Arial" w:hAnsi="Arial" w:cs="Arial"/>
          <w:i/>
        </w:rPr>
        <w:t>1.</w:t>
      </w:r>
      <w:r w:rsidR="007D21F4">
        <w:rPr>
          <w:rFonts w:ascii="Arial" w:hAnsi="Arial" w:cs="Arial"/>
          <w:i/>
        </w:rPr>
        <w:t>6</w:t>
      </w:r>
      <w:r w:rsidR="00726EF3" w:rsidRPr="00726EF3">
        <w:rPr>
          <w:rFonts w:ascii="Arial" w:hAnsi="Arial" w:cs="Arial"/>
        </w:rPr>
        <w:t>, podemos notar como nuestra población ha pasado de ser una población predominantemente rural desde los años 1950 a 1982,</w:t>
      </w:r>
      <w:r w:rsidR="007D21F4">
        <w:rPr>
          <w:rFonts w:ascii="Arial" w:hAnsi="Arial" w:cs="Arial"/>
        </w:rPr>
        <w:t xml:space="preserve"> pasando a ser a partir de 1982 </w:t>
      </w:r>
      <w:r w:rsidR="00726EF3" w:rsidRPr="00726EF3">
        <w:rPr>
          <w:rFonts w:ascii="Arial" w:hAnsi="Arial" w:cs="Arial"/>
        </w:rPr>
        <w:t>una población en la que predominan los habitantes del área urbana.</w:t>
      </w:r>
    </w:p>
    <w:tbl>
      <w:tblPr>
        <w:tblW w:w="0" w:type="auto"/>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B747AE" w:rsidRPr="00402486" w:rsidTr="00CC5492">
        <w:trPr>
          <w:trHeight w:val="3150"/>
        </w:trPr>
        <w:tc>
          <w:tcPr>
            <w:tcW w:w="7535" w:type="dxa"/>
          </w:tcPr>
          <w:p w:rsidR="00B747AE" w:rsidRPr="000B5A86" w:rsidRDefault="00B747AE" w:rsidP="0051373B">
            <w:pPr>
              <w:jc w:val="both"/>
              <w:rPr>
                <w:rFonts w:ascii="Arial" w:hAnsi="Arial" w:cs="Arial"/>
                <w:sz w:val="16"/>
                <w:szCs w:val="16"/>
              </w:rPr>
            </w:pPr>
          </w:p>
          <w:p w:rsidR="004B13FE" w:rsidRPr="004B13FE" w:rsidRDefault="004B13FE" w:rsidP="004B13FE">
            <w:pPr>
              <w:pStyle w:val="Epgrafe"/>
              <w:keepNext/>
              <w:rPr>
                <w:rFonts w:ascii="Arial" w:hAnsi="Arial" w:cs="Arial"/>
                <w:bCs w:val="0"/>
                <w:color w:val="auto"/>
                <w:sz w:val="16"/>
                <w:szCs w:val="16"/>
              </w:rPr>
            </w:pPr>
            <w:bookmarkStart w:id="44" w:name="_Toc341042785"/>
            <w:r w:rsidRPr="004B13FE">
              <w:rPr>
                <w:rFonts w:ascii="Arial" w:hAnsi="Arial" w:cs="Arial"/>
                <w:bCs w:val="0"/>
                <w:color w:val="auto"/>
                <w:sz w:val="16"/>
                <w:szCs w:val="16"/>
              </w:rPr>
              <w:t>Figura 1.</w:t>
            </w:r>
            <w:r w:rsidR="00990535" w:rsidRPr="004B13FE">
              <w:rPr>
                <w:rFonts w:ascii="Arial" w:hAnsi="Arial" w:cs="Arial"/>
                <w:bCs w:val="0"/>
                <w:color w:val="auto"/>
                <w:sz w:val="16"/>
                <w:szCs w:val="16"/>
              </w:rPr>
              <w:fldChar w:fldCharType="begin"/>
            </w:r>
            <w:r w:rsidRPr="004B13FE">
              <w:rPr>
                <w:rFonts w:ascii="Arial" w:hAnsi="Arial" w:cs="Arial"/>
                <w:bCs w:val="0"/>
                <w:color w:val="auto"/>
                <w:sz w:val="16"/>
                <w:szCs w:val="16"/>
              </w:rPr>
              <w:instrText xml:space="preserve"> SEQ Figura_1. \* ARABIC </w:instrText>
            </w:r>
            <w:r w:rsidR="00990535" w:rsidRPr="004B13FE">
              <w:rPr>
                <w:rFonts w:ascii="Arial" w:hAnsi="Arial" w:cs="Arial"/>
                <w:bCs w:val="0"/>
                <w:color w:val="auto"/>
                <w:sz w:val="16"/>
                <w:szCs w:val="16"/>
              </w:rPr>
              <w:fldChar w:fldCharType="separate"/>
            </w:r>
            <w:r w:rsidR="00A242E0">
              <w:rPr>
                <w:rFonts w:ascii="Arial" w:hAnsi="Arial" w:cs="Arial"/>
                <w:bCs w:val="0"/>
                <w:noProof/>
                <w:color w:val="auto"/>
                <w:sz w:val="16"/>
                <w:szCs w:val="16"/>
              </w:rPr>
              <w:t>6</w:t>
            </w:r>
            <w:bookmarkEnd w:id="44"/>
            <w:r w:rsidR="00990535" w:rsidRPr="004B13FE">
              <w:rPr>
                <w:rFonts w:ascii="Arial" w:hAnsi="Arial" w:cs="Arial"/>
                <w:bCs w:val="0"/>
                <w:color w:val="auto"/>
                <w:sz w:val="16"/>
                <w:szCs w:val="16"/>
              </w:rPr>
              <w:fldChar w:fldCharType="end"/>
            </w:r>
          </w:p>
          <w:p w:rsidR="00B747AE" w:rsidRPr="00D3499F" w:rsidRDefault="00B747AE" w:rsidP="0051373B">
            <w:pPr>
              <w:rPr>
                <w:rFonts w:ascii="Arial" w:hAnsi="Arial" w:cs="Arial"/>
                <w:i/>
                <w:sz w:val="16"/>
                <w:szCs w:val="16"/>
              </w:rPr>
            </w:pPr>
            <w:r w:rsidRPr="00D3499F">
              <w:rPr>
                <w:rFonts w:ascii="Arial" w:hAnsi="Arial" w:cs="Arial"/>
                <w:i/>
                <w:sz w:val="16"/>
                <w:szCs w:val="16"/>
              </w:rPr>
              <w:t>Movimientos del área rural al área urbana desde el censo de 1950 al 2001</w:t>
            </w:r>
          </w:p>
          <w:p w:rsidR="00B747AE" w:rsidRPr="00402486" w:rsidRDefault="00436907" w:rsidP="0051373B">
            <w:pPr>
              <w:rPr>
                <w:rFonts w:ascii="Arial" w:hAnsi="Arial" w:cs="Arial"/>
              </w:rPr>
            </w:pPr>
            <w:r>
              <w:rPr>
                <w:rFonts w:ascii="Arial" w:hAnsi="Arial" w:cs="Arial"/>
                <w:noProof/>
                <w:lang w:eastAsia="es-EC"/>
              </w:rPr>
              <w:pict>
                <v:shapetype id="_x0000_t32" coordsize="21600,21600" o:spt="32" o:oned="t" path="m,l21600,21600e" filled="f">
                  <v:path arrowok="t" fillok="f" o:connecttype="none"/>
                  <o:lock v:ext="edit" shapetype="t"/>
                </v:shapetype>
                <v:shape id="_x0000_s1941" type="#_x0000_t32" style="position:absolute;left:0;text-align:left;margin-left:290.1pt;margin-top:56.3pt;width:18pt;height:12.05pt;flip:x y;z-index:251766272" o:connectortype="straight">
                  <v:stroke endarrow="block"/>
                </v:shape>
              </w:pict>
            </w:r>
            <w:r>
              <w:rPr>
                <w:rFonts w:ascii="Arial" w:hAnsi="Arial" w:cs="Arial"/>
                <w:noProof/>
                <w:lang w:eastAsia="es-EC"/>
              </w:rPr>
              <w:pict>
                <v:shapetype id="_x0000_t202" coordsize="21600,21600" o:spt="202" path="m,l,21600r21600,l21600,xe">
                  <v:stroke joinstyle="miter"/>
                  <v:path gradientshapeok="t" o:connecttype="rect"/>
                </v:shapetype>
                <v:shape id="_x0000_s1940" type="#_x0000_t202" style="position:absolute;left:0;text-align:left;margin-left:278.85pt;margin-top:66.15pt;width:61.7pt;height:15.8pt;z-index:25176524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Hg6mYwAgAAVwQAAA4AAAAAAAAAAAAAAAAALgIAAGRy&#10;cy9lMm9Eb2MueG1sUEsBAi0AFAAGAAgAAAAhAP0vMtbbAAAABQEAAA8AAAAAAAAAAAAAAAAAigQA&#10;AGRycy9kb3ducmV2LnhtbFBLBQYAAAAABAAEAPMAAACSBQAAAAA=&#10;" filled="f" stroked="f">
                  <v:textbox style="mso-fit-shape-to-text:t">
                    <w:txbxContent>
                      <w:p w:rsidR="006933DF" w:rsidRPr="000304FD" w:rsidRDefault="006933DF" w:rsidP="000304FD">
                        <w:pPr>
                          <w:rPr>
                            <w:rFonts w:ascii="Arial" w:hAnsi="Arial" w:cs="Arial"/>
                            <w:sz w:val="15"/>
                            <w:szCs w:val="15"/>
                          </w:rPr>
                        </w:pPr>
                        <w:r>
                          <w:rPr>
                            <w:rFonts w:ascii="Arial" w:hAnsi="Arial" w:cs="Arial"/>
                            <w:sz w:val="15"/>
                            <w:szCs w:val="15"/>
                          </w:rPr>
                          <w:t>Rural</w:t>
                        </w:r>
                      </w:p>
                    </w:txbxContent>
                  </v:textbox>
                </v:shape>
              </w:pict>
            </w:r>
            <w:r>
              <w:rPr>
                <w:rFonts w:ascii="Arial" w:hAnsi="Arial" w:cs="Arial"/>
                <w:noProof/>
                <w:lang w:eastAsia="es-EC"/>
              </w:rPr>
              <w:pict>
                <v:shape id="_x0000_s1942" type="#_x0000_t32" style="position:absolute;left:0;text-align:left;margin-left:211.35pt;margin-top:21.8pt;width:30pt;height:25.5pt;z-index:251767296" o:connectortype="straight" strokecolor="#7f7f7f [1612]">
                  <v:stroke endarrow="block"/>
                </v:shape>
              </w:pict>
            </w:r>
            <w:r>
              <w:rPr>
                <w:noProof/>
              </w:rPr>
              <w:pict>
                <v:shape id="_x0000_s1939" type="#_x0000_t202" style="position:absolute;left:0;text-align:left;margin-left:177.3pt;margin-top:10.55pt;width:61.7pt;height:15.8pt;z-index:2517642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PHg6mYwAgAAVwQAAA4AAAAAAAAAAAAAAAAALgIAAGRy&#10;cy9lMm9Eb2MueG1sUEsBAi0AFAAGAAgAAAAhAP0vMtbbAAAABQEAAA8AAAAAAAAAAAAAAAAAigQA&#10;AGRycy9kb3ducmV2LnhtbFBLBQYAAAAABAAEAPMAAACSBQAAAAA=&#10;" filled="f" stroked="f">
                  <v:textbox style="mso-fit-shape-to-text:t">
                    <w:txbxContent>
                      <w:p w:rsidR="006933DF" w:rsidRPr="000304FD" w:rsidRDefault="006933DF">
                        <w:pPr>
                          <w:rPr>
                            <w:rFonts w:ascii="Arial" w:hAnsi="Arial" w:cs="Arial"/>
                            <w:color w:val="808080" w:themeColor="background1" w:themeShade="80"/>
                            <w:sz w:val="15"/>
                            <w:szCs w:val="15"/>
                          </w:rPr>
                        </w:pPr>
                        <w:r w:rsidRPr="000304FD">
                          <w:rPr>
                            <w:rFonts w:ascii="Arial" w:hAnsi="Arial" w:cs="Arial"/>
                            <w:color w:val="808080" w:themeColor="background1" w:themeShade="80"/>
                            <w:sz w:val="15"/>
                            <w:szCs w:val="15"/>
                          </w:rPr>
                          <w:t>Urbana</w:t>
                        </w:r>
                      </w:p>
                    </w:txbxContent>
                  </v:textbox>
                </v:shape>
              </w:pict>
            </w:r>
            <w:r w:rsidR="00B747AE" w:rsidRPr="00402486">
              <w:rPr>
                <w:rFonts w:ascii="Arial" w:hAnsi="Arial" w:cs="Arial"/>
                <w:noProof/>
                <w:lang w:eastAsia="es-EC"/>
              </w:rPr>
              <w:drawing>
                <wp:inline distT="0" distB="0" distL="0" distR="0">
                  <wp:extent cx="4486275" cy="1764000"/>
                  <wp:effectExtent l="0" t="0" r="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B747AE" w:rsidRPr="00CC5492" w:rsidRDefault="00B747AE" w:rsidP="00CC5492">
      <w:pPr>
        <w:spacing w:line="276" w:lineRule="auto"/>
        <w:ind w:left="851"/>
        <w:jc w:val="both"/>
        <w:rPr>
          <w:rFonts w:ascii="Arial" w:hAnsi="Arial" w:cs="Arial"/>
          <w:b/>
          <w:i/>
          <w:sz w:val="17"/>
          <w:szCs w:val="17"/>
        </w:rPr>
      </w:pPr>
    </w:p>
    <w:p w:rsidR="00B747AE" w:rsidRPr="00CC5492" w:rsidRDefault="00B747AE" w:rsidP="00CC5492">
      <w:pPr>
        <w:spacing w:line="276" w:lineRule="auto"/>
        <w:ind w:left="851"/>
        <w:jc w:val="both"/>
        <w:rPr>
          <w:rFonts w:ascii="Arial" w:hAnsi="Arial" w:cs="Arial"/>
          <w:sz w:val="17"/>
          <w:szCs w:val="17"/>
        </w:rPr>
      </w:pPr>
      <w:r w:rsidRPr="00CC5492">
        <w:rPr>
          <w:rFonts w:ascii="Arial" w:hAnsi="Arial" w:cs="Arial"/>
          <w:b/>
          <w:i/>
          <w:sz w:val="17"/>
          <w:szCs w:val="17"/>
        </w:rPr>
        <w:t xml:space="preserve">Fuente: </w:t>
      </w:r>
      <w:r w:rsidR="007F3100" w:rsidRPr="00CC5492">
        <w:rPr>
          <w:rFonts w:ascii="Arial" w:hAnsi="Arial" w:cs="Arial"/>
          <w:b/>
          <w:sz w:val="17"/>
          <w:szCs w:val="17"/>
        </w:rPr>
        <w:t>Serrano</w:t>
      </w:r>
      <w:r w:rsidRPr="00CC5492">
        <w:rPr>
          <w:rFonts w:ascii="Arial" w:hAnsi="Arial" w:cs="Arial"/>
          <w:sz w:val="17"/>
          <w:szCs w:val="17"/>
        </w:rPr>
        <w:t xml:space="preserve">, </w:t>
      </w:r>
      <w:r w:rsidRPr="00CC5492">
        <w:rPr>
          <w:rFonts w:ascii="Arial" w:hAnsi="Arial" w:cs="Arial"/>
          <w:b/>
          <w:sz w:val="17"/>
          <w:szCs w:val="17"/>
        </w:rPr>
        <w:t>A.</w:t>
      </w:r>
      <w:r w:rsidRPr="00CC5492">
        <w:rPr>
          <w:rFonts w:ascii="Arial" w:hAnsi="Arial" w:cs="Arial"/>
          <w:sz w:val="17"/>
          <w:szCs w:val="17"/>
        </w:rPr>
        <w:t xml:space="preserve"> (2008), </w:t>
      </w:r>
      <w:r w:rsidRPr="00CC5492">
        <w:rPr>
          <w:rFonts w:ascii="Arial" w:hAnsi="Arial" w:cs="Arial"/>
          <w:i/>
          <w:sz w:val="17"/>
          <w:szCs w:val="17"/>
        </w:rPr>
        <w:t>"Perfil Migratorio del Ecuador 2008"</w:t>
      </w:r>
      <w:r w:rsidRPr="00CC5492">
        <w:rPr>
          <w:rFonts w:ascii="Arial" w:hAnsi="Arial" w:cs="Arial"/>
          <w:sz w:val="17"/>
          <w:szCs w:val="17"/>
        </w:rPr>
        <w:t xml:space="preserve">, Organización Internacional para las Migraciones, Quito, Ecuador. </w:t>
      </w:r>
    </w:p>
    <w:p w:rsidR="00CA3888" w:rsidRPr="00CC5492" w:rsidRDefault="00CA3888" w:rsidP="00CC5492">
      <w:pPr>
        <w:spacing w:line="276" w:lineRule="auto"/>
        <w:ind w:left="851"/>
        <w:jc w:val="both"/>
        <w:rPr>
          <w:rFonts w:ascii="Arial" w:hAnsi="Arial" w:cs="Arial"/>
          <w:sz w:val="17"/>
          <w:szCs w:val="17"/>
        </w:rPr>
      </w:pPr>
      <w:r w:rsidRPr="00CC5492">
        <w:rPr>
          <w:rFonts w:ascii="Arial" w:hAnsi="Arial" w:cs="Arial"/>
          <w:b/>
          <w:i/>
          <w:sz w:val="17"/>
          <w:szCs w:val="17"/>
        </w:rPr>
        <w:t xml:space="preserve">Elaborado por: </w:t>
      </w:r>
      <w:r w:rsidRPr="00CC5492">
        <w:rPr>
          <w:rFonts w:ascii="Arial" w:hAnsi="Arial" w:cs="Arial"/>
          <w:sz w:val="17"/>
          <w:szCs w:val="17"/>
        </w:rPr>
        <w:t>Katherine Loor Valeriano</w:t>
      </w:r>
    </w:p>
    <w:p w:rsidR="00037FA5" w:rsidRPr="00634926" w:rsidRDefault="00037FA5" w:rsidP="00CC5492">
      <w:pPr>
        <w:pStyle w:val="TesisTitulo10"/>
        <w:ind w:left="851" w:hanging="567"/>
      </w:pPr>
      <w:bookmarkStart w:id="45" w:name="_Toc332571347"/>
      <w:bookmarkStart w:id="46" w:name="_Toc341040590"/>
      <w:r w:rsidRPr="00634926">
        <w:lastRenderedPageBreak/>
        <w:t>Objetivos</w:t>
      </w:r>
      <w:bookmarkEnd w:id="45"/>
      <w:r w:rsidR="004D3216">
        <w:t xml:space="preserve"> de la Investigación</w:t>
      </w:r>
      <w:bookmarkEnd w:id="46"/>
    </w:p>
    <w:p w:rsidR="00037FA5" w:rsidRPr="00C10DBE" w:rsidRDefault="00037FA5" w:rsidP="00CC5492">
      <w:pPr>
        <w:pStyle w:val="TesisTitulo20"/>
        <w:ind w:left="1560" w:hanging="709"/>
      </w:pPr>
      <w:bookmarkStart w:id="47" w:name="_Toc332571348"/>
      <w:bookmarkStart w:id="48" w:name="_Toc341040591"/>
      <w:r w:rsidRPr="00C10DBE">
        <w:t>Objetivo General</w:t>
      </w:r>
      <w:bookmarkEnd w:id="47"/>
      <w:bookmarkEnd w:id="48"/>
    </w:p>
    <w:p w:rsidR="00037FA5" w:rsidRDefault="00037FA5" w:rsidP="00CC5492">
      <w:pPr>
        <w:pStyle w:val="Prrafodelista"/>
        <w:spacing w:line="480" w:lineRule="auto"/>
        <w:ind w:left="851"/>
        <w:jc w:val="both"/>
        <w:rPr>
          <w:rFonts w:ascii="Arial" w:hAnsi="Arial" w:cs="Arial"/>
        </w:rPr>
      </w:pPr>
      <w:r w:rsidRPr="00276BD9">
        <w:rPr>
          <w:rFonts w:ascii="Arial" w:hAnsi="Arial" w:cs="Arial"/>
        </w:rPr>
        <w:t>Determinar la cantidad de emigrantes e inmigrantes en el Ecuador, estableciendo su distribución espacial y características sociodemográficas</w:t>
      </w:r>
      <w:r w:rsidR="000D00C1">
        <w:rPr>
          <w:rFonts w:ascii="Arial" w:hAnsi="Arial" w:cs="Arial"/>
        </w:rPr>
        <w:t xml:space="preserve"> basados en los datos del Censo 2010</w:t>
      </w:r>
      <w:r w:rsidRPr="00276BD9">
        <w:rPr>
          <w:rFonts w:ascii="Arial" w:hAnsi="Arial" w:cs="Arial"/>
        </w:rPr>
        <w:t>.</w:t>
      </w:r>
    </w:p>
    <w:p w:rsidR="006B196E" w:rsidRDefault="006B196E" w:rsidP="00037FA5">
      <w:pPr>
        <w:pStyle w:val="Prrafodelista"/>
        <w:spacing w:line="480" w:lineRule="auto"/>
        <w:ind w:left="1416"/>
        <w:jc w:val="both"/>
        <w:rPr>
          <w:rFonts w:ascii="Arial" w:hAnsi="Arial" w:cs="Arial"/>
        </w:rPr>
      </w:pPr>
    </w:p>
    <w:p w:rsidR="00037FA5" w:rsidRPr="00276BD9" w:rsidRDefault="00037FA5" w:rsidP="00CC5492">
      <w:pPr>
        <w:pStyle w:val="TesisTitulo20"/>
        <w:ind w:left="1560" w:hanging="709"/>
      </w:pPr>
      <w:bookmarkStart w:id="49" w:name="_Toc332571349"/>
      <w:bookmarkStart w:id="50" w:name="_Toc341040592"/>
      <w:r w:rsidRPr="00276BD9">
        <w:t>Objetivos Específicos</w:t>
      </w:r>
      <w:bookmarkEnd w:id="49"/>
      <w:bookmarkEnd w:id="50"/>
    </w:p>
    <w:p w:rsidR="005E2DAA" w:rsidRDefault="00E14EE3" w:rsidP="0041640C">
      <w:pPr>
        <w:pStyle w:val="Prrafodelista"/>
        <w:numPr>
          <w:ilvl w:val="0"/>
          <w:numId w:val="4"/>
        </w:numPr>
        <w:spacing w:line="480" w:lineRule="auto"/>
        <w:ind w:left="1134" w:hanging="284"/>
        <w:jc w:val="both"/>
        <w:rPr>
          <w:rFonts w:ascii="Arial" w:hAnsi="Arial" w:cs="Arial"/>
        </w:rPr>
      </w:pPr>
      <w:r>
        <w:rPr>
          <w:rFonts w:ascii="Arial" w:hAnsi="Arial" w:cs="Arial"/>
        </w:rPr>
        <w:t>Determinar</w:t>
      </w:r>
      <w:r w:rsidR="005E2DAA">
        <w:rPr>
          <w:rFonts w:ascii="Arial" w:hAnsi="Arial" w:cs="Arial"/>
        </w:rPr>
        <w:t xml:space="preserve"> la proporción de emigrantes e inmigrantes internos de </w:t>
      </w:r>
      <w:r w:rsidR="004D3216">
        <w:rPr>
          <w:rFonts w:ascii="Arial" w:hAnsi="Arial" w:cs="Arial"/>
        </w:rPr>
        <w:t>“</w:t>
      </w:r>
      <w:r w:rsidR="005E2DAA">
        <w:rPr>
          <w:rFonts w:ascii="Arial" w:hAnsi="Arial" w:cs="Arial"/>
        </w:rPr>
        <w:t>toda la vida</w:t>
      </w:r>
      <w:r w:rsidR="004D3216">
        <w:rPr>
          <w:rFonts w:ascii="Arial" w:hAnsi="Arial" w:cs="Arial"/>
        </w:rPr>
        <w:t>”</w:t>
      </w:r>
      <w:r w:rsidR="005E2DAA">
        <w:rPr>
          <w:rFonts w:ascii="Arial" w:hAnsi="Arial" w:cs="Arial"/>
        </w:rPr>
        <w:t>; y, los de los últimos cinco años</w:t>
      </w:r>
      <w:r w:rsidR="005E2DAA" w:rsidRPr="00F20B34">
        <w:rPr>
          <w:rFonts w:ascii="Arial" w:hAnsi="Arial" w:cs="Arial"/>
        </w:rPr>
        <w:t>.</w:t>
      </w:r>
    </w:p>
    <w:p w:rsidR="00E14EE3" w:rsidRDefault="00B51989" w:rsidP="0041640C">
      <w:pPr>
        <w:pStyle w:val="Prrafodelista"/>
        <w:numPr>
          <w:ilvl w:val="0"/>
          <w:numId w:val="4"/>
        </w:numPr>
        <w:spacing w:line="480" w:lineRule="auto"/>
        <w:ind w:left="1134" w:hanging="284"/>
        <w:jc w:val="both"/>
        <w:rPr>
          <w:rFonts w:ascii="Arial" w:hAnsi="Arial" w:cs="Arial"/>
        </w:rPr>
      </w:pPr>
      <w:r>
        <w:rPr>
          <w:rFonts w:ascii="Arial" w:hAnsi="Arial" w:cs="Arial"/>
        </w:rPr>
        <w:t>Determinar</w:t>
      </w:r>
      <w:r w:rsidR="00EE7B96">
        <w:rPr>
          <w:rFonts w:ascii="Arial" w:hAnsi="Arial" w:cs="Arial"/>
        </w:rPr>
        <w:t xml:space="preserve"> la</w:t>
      </w:r>
      <w:r w:rsidR="00D7473D">
        <w:rPr>
          <w:rFonts w:ascii="Arial" w:hAnsi="Arial" w:cs="Arial"/>
        </w:rPr>
        <w:t xml:space="preserve"> distribución espacial y </w:t>
      </w:r>
      <w:r w:rsidR="00EE7B96">
        <w:rPr>
          <w:rFonts w:ascii="Arial" w:hAnsi="Arial" w:cs="Arial"/>
        </w:rPr>
        <w:t xml:space="preserve">las </w:t>
      </w:r>
      <w:r w:rsidR="00D7473D">
        <w:rPr>
          <w:rFonts w:ascii="Arial" w:hAnsi="Arial" w:cs="Arial"/>
        </w:rPr>
        <w:t>características sociodemográficas de la población manabita emigrante.</w:t>
      </w:r>
    </w:p>
    <w:p w:rsidR="005E2DAA" w:rsidRDefault="00E14EE3" w:rsidP="0041640C">
      <w:pPr>
        <w:pStyle w:val="Prrafodelista"/>
        <w:numPr>
          <w:ilvl w:val="0"/>
          <w:numId w:val="4"/>
        </w:numPr>
        <w:spacing w:line="480" w:lineRule="auto"/>
        <w:ind w:left="1134" w:hanging="284"/>
        <w:jc w:val="both"/>
        <w:rPr>
          <w:rFonts w:ascii="Arial" w:hAnsi="Arial" w:cs="Arial"/>
        </w:rPr>
      </w:pPr>
      <w:r>
        <w:rPr>
          <w:rFonts w:ascii="Arial" w:hAnsi="Arial" w:cs="Arial"/>
        </w:rPr>
        <w:t>Conocer las características sociodemográficas de la población que residen en calidad de inmigrante en la ciudad Guayaquil.</w:t>
      </w:r>
    </w:p>
    <w:p w:rsidR="00E12F23" w:rsidRDefault="00E12F23" w:rsidP="0041640C">
      <w:pPr>
        <w:pStyle w:val="Prrafodelista"/>
        <w:numPr>
          <w:ilvl w:val="0"/>
          <w:numId w:val="4"/>
        </w:numPr>
        <w:spacing w:line="480" w:lineRule="auto"/>
        <w:ind w:left="1134" w:hanging="284"/>
        <w:jc w:val="both"/>
        <w:rPr>
          <w:rFonts w:ascii="Arial" w:hAnsi="Arial" w:cs="Arial"/>
        </w:rPr>
      </w:pPr>
      <w:r w:rsidRPr="00F20B34">
        <w:rPr>
          <w:rFonts w:ascii="Arial" w:hAnsi="Arial" w:cs="Arial"/>
        </w:rPr>
        <w:t xml:space="preserve">Conocer la </w:t>
      </w:r>
      <w:r w:rsidR="00970FE0" w:rsidRPr="00F20B34">
        <w:rPr>
          <w:rFonts w:ascii="Arial" w:hAnsi="Arial" w:cs="Arial"/>
        </w:rPr>
        <w:t xml:space="preserve">distribución espacial </w:t>
      </w:r>
      <w:r w:rsidR="00AE40D6">
        <w:rPr>
          <w:rFonts w:ascii="Arial" w:hAnsi="Arial" w:cs="Arial"/>
        </w:rPr>
        <w:t xml:space="preserve">y algunas características sociodemográficas </w:t>
      </w:r>
      <w:r w:rsidRPr="00F20B34">
        <w:rPr>
          <w:rFonts w:ascii="Arial" w:hAnsi="Arial" w:cs="Arial"/>
        </w:rPr>
        <w:t xml:space="preserve">de extranjeros residentes en Ecuador </w:t>
      </w:r>
      <w:r w:rsidR="00EE7B96">
        <w:rPr>
          <w:rFonts w:ascii="Arial" w:hAnsi="Arial" w:cs="Arial"/>
        </w:rPr>
        <w:t>hasta</w:t>
      </w:r>
      <w:r w:rsidRPr="00F20B34">
        <w:rPr>
          <w:rFonts w:ascii="Arial" w:hAnsi="Arial" w:cs="Arial"/>
        </w:rPr>
        <w:t xml:space="preserve"> el año 2010.</w:t>
      </w:r>
    </w:p>
    <w:p w:rsidR="00AE40D6" w:rsidRDefault="00B51989" w:rsidP="0041640C">
      <w:pPr>
        <w:pStyle w:val="Prrafodelista"/>
        <w:numPr>
          <w:ilvl w:val="0"/>
          <w:numId w:val="4"/>
        </w:numPr>
        <w:spacing w:line="480" w:lineRule="auto"/>
        <w:ind w:left="1134" w:hanging="284"/>
        <w:jc w:val="both"/>
        <w:rPr>
          <w:rFonts w:ascii="Arial" w:hAnsi="Arial" w:cs="Arial"/>
        </w:rPr>
      </w:pPr>
      <w:r>
        <w:rPr>
          <w:rFonts w:ascii="Arial" w:hAnsi="Arial" w:cs="Arial"/>
        </w:rPr>
        <w:t>Establecer diferencias entre las características sociodemográficas y distribución espacial de algunas subpoblaciones de extranjeros que residen en el país.</w:t>
      </w:r>
    </w:p>
    <w:p w:rsidR="00037FA5" w:rsidRDefault="0040027A" w:rsidP="0041640C">
      <w:pPr>
        <w:pStyle w:val="Prrafodelista"/>
        <w:numPr>
          <w:ilvl w:val="0"/>
          <w:numId w:val="4"/>
        </w:numPr>
        <w:spacing w:line="480" w:lineRule="auto"/>
        <w:ind w:left="1134" w:hanging="284"/>
        <w:jc w:val="both"/>
        <w:rPr>
          <w:rFonts w:ascii="Arial" w:hAnsi="Arial" w:cs="Arial"/>
        </w:rPr>
      </w:pPr>
      <w:r>
        <w:rPr>
          <w:rFonts w:ascii="Arial" w:hAnsi="Arial" w:cs="Arial"/>
        </w:rPr>
        <w:t xml:space="preserve">Determinar el país de destino y la cantidad de </w:t>
      </w:r>
      <w:r w:rsidR="009104CF">
        <w:rPr>
          <w:rFonts w:ascii="Arial" w:hAnsi="Arial" w:cs="Arial"/>
        </w:rPr>
        <w:t>personas que emigraron</w:t>
      </w:r>
      <w:r>
        <w:rPr>
          <w:rFonts w:ascii="Arial" w:hAnsi="Arial" w:cs="Arial"/>
        </w:rPr>
        <w:t xml:space="preserve"> durante el período de noviembre 2001 a noviembre de 2010</w:t>
      </w:r>
      <w:r w:rsidR="00037FA5" w:rsidRPr="00C02289">
        <w:rPr>
          <w:rFonts w:ascii="Arial" w:hAnsi="Arial" w:cs="Arial"/>
        </w:rPr>
        <w:t>.</w:t>
      </w:r>
    </w:p>
    <w:p w:rsidR="00037FA5" w:rsidRDefault="00037FA5" w:rsidP="00374C11">
      <w:pPr>
        <w:pStyle w:val="Prrafodelista"/>
        <w:spacing w:line="480" w:lineRule="auto"/>
        <w:jc w:val="both"/>
        <w:rPr>
          <w:rFonts w:ascii="Arial" w:hAnsi="Arial" w:cs="Arial"/>
        </w:rPr>
      </w:pPr>
    </w:p>
    <w:p w:rsidR="00CC5492" w:rsidRDefault="00CC5492" w:rsidP="00374C11">
      <w:pPr>
        <w:pStyle w:val="Prrafodelista"/>
        <w:spacing w:line="480" w:lineRule="auto"/>
        <w:jc w:val="both"/>
        <w:rPr>
          <w:rFonts w:ascii="Arial" w:hAnsi="Arial" w:cs="Arial"/>
        </w:rPr>
      </w:pPr>
    </w:p>
    <w:p w:rsidR="00CC5492" w:rsidRDefault="00CC5492" w:rsidP="00374C11">
      <w:pPr>
        <w:pStyle w:val="Prrafodelista"/>
        <w:spacing w:line="480" w:lineRule="auto"/>
        <w:jc w:val="both"/>
        <w:rPr>
          <w:rFonts w:ascii="Arial" w:hAnsi="Arial" w:cs="Arial"/>
        </w:rPr>
      </w:pPr>
    </w:p>
    <w:p w:rsidR="00374C11" w:rsidRPr="001A23CE" w:rsidRDefault="001A23CE" w:rsidP="00CC5492">
      <w:pPr>
        <w:pStyle w:val="TesisTitulo10"/>
        <w:ind w:left="851" w:hanging="567"/>
      </w:pPr>
      <w:bookmarkStart w:id="51" w:name="_Toc332571350"/>
      <w:bookmarkStart w:id="52" w:name="_Toc341040593"/>
      <w:r w:rsidRPr="001A23CE">
        <w:lastRenderedPageBreak/>
        <w:t>Hipótesis</w:t>
      </w:r>
      <w:bookmarkEnd w:id="51"/>
      <w:bookmarkEnd w:id="52"/>
    </w:p>
    <w:p w:rsidR="002C7542" w:rsidRPr="002C7542" w:rsidRDefault="002C7542" w:rsidP="00CC5492">
      <w:pPr>
        <w:pStyle w:val="Prrafodelista"/>
        <w:spacing w:line="480" w:lineRule="auto"/>
        <w:ind w:left="851"/>
        <w:jc w:val="both"/>
        <w:rPr>
          <w:rFonts w:ascii="Arial" w:hAnsi="Arial" w:cs="Arial"/>
        </w:rPr>
      </w:pPr>
      <w:r w:rsidRPr="002C7542">
        <w:rPr>
          <w:rFonts w:ascii="Arial" w:hAnsi="Arial" w:cs="Arial"/>
        </w:rPr>
        <w:t>Como se expuso en líneas previas, Ecuador es un país que acoge y expulsa población por diferentes motivos, que generalmente giran en torno a asuntos económicos, políticos y sociales.</w:t>
      </w:r>
    </w:p>
    <w:p w:rsidR="002C7542" w:rsidRPr="002C7542" w:rsidRDefault="002C7542" w:rsidP="00CC5492">
      <w:pPr>
        <w:pStyle w:val="Prrafodelista"/>
        <w:spacing w:line="480" w:lineRule="auto"/>
        <w:ind w:left="851"/>
        <w:jc w:val="both"/>
        <w:rPr>
          <w:rFonts w:ascii="Arial" w:hAnsi="Arial" w:cs="Arial"/>
        </w:rPr>
      </w:pPr>
    </w:p>
    <w:p w:rsidR="002C7542" w:rsidRPr="002C7542" w:rsidRDefault="00B1713E" w:rsidP="00CC5492">
      <w:pPr>
        <w:pStyle w:val="Prrafodelista"/>
        <w:spacing w:line="480" w:lineRule="auto"/>
        <w:ind w:left="851"/>
        <w:jc w:val="both"/>
        <w:rPr>
          <w:rFonts w:ascii="Arial" w:hAnsi="Arial" w:cs="Arial"/>
        </w:rPr>
      </w:pPr>
      <w:r>
        <w:rPr>
          <w:rFonts w:ascii="Arial" w:hAnsi="Arial" w:cs="Arial"/>
        </w:rPr>
        <w:t>Nuestras</w:t>
      </w:r>
      <w:r w:rsidR="002C7542" w:rsidRPr="002C7542">
        <w:rPr>
          <w:rFonts w:ascii="Arial" w:hAnsi="Arial" w:cs="Arial"/>
        </w:rPr>
        <w:t xml:space="preserve"> hipótesis sobre</w:t>
      </w:r>
      <w:r w:rsidR="002E3761">
        <w:rPr>
          <w:rFonts w:ascii="Arial" w:hAnsi="Arial" w:cs="Arial"/>
        </w:rPr>
        <w:t xml:space="preserve"> la</w:t>
      </w:r>
      <w:r w:rsidR="002C7542" w:rsidRPr="002C7542">
        <w:rPr>
          <w:rFonts w:ascii="Arial" w:hAnsi="Arial" w:cs="Arial"/>
        </w:rPr>
        <w:t xml:space="preserve"> migración en Ecuador:</w:t>
      </w:r>
    </w:p>
    <w:p w:rsidR="009020A3" w:rsidRDefault="002C7542" w:rsidP="0041640C">
      <w:pPr>
        <w:pStyle w:val="Prrafodelista"/>
        <w:numPr>
          <w:ilvl w:val="0"/>
          <w:numId w:val="3"/>
        </w:numPr>
        <w:spacing w:line="480" w:lineRule="auto"/>
        <w:ind w:left="1134" w:hanging="284"/>
        <w:jc w:val="both"/>
        <w:rPr>
          <w:rFonts w:ascii="Arial" w:hAnsi="Arial" w:cs="Arial"/>
        </w:rPr>
      </w:pPr>
      <w:r w:rsidRPr="009020A3">
        <w:rPr>
          <w:rFonts w:ascii="Arial" w:hAnsi="Arial" w:cs="Arial"/>
        </w:rPr>
        <w:t>La mayor proporción de los ecuatorianos emigrantes se dirigen hacia España.</w:t>
      </w:r>
    </w:p>
    <w:p w:rsidR="00D003D0" w:rsidRDefault="008A475A" w:rsidP="0041640C">
      <w:pPr>
        <w:pStyle w:val="Prrafodelista"/>
        <w:numPr>
          <w:ilvl w:val="0"/>
          <w:numId w:val="3"/>
        </w:numPr>
        <w:spacing w:line="480" w:lineRule="auto"/>
        <w:ind w:left="1134" w:hanging="284"/>
        <w:jc w:val="both"/>
        <w:rPr>
          <w:rFonts w:ascii="Arial" w:hAnsi="Arial" w:cs="Arial"/>
        </w:rPr>
      </w:pPr>
      <w:r>
        <w:rPr>
          <w:rFonts w:ascii="Arial" w:hAnsi="Arial" w:cs="Arial"/>
        </w:rPr>
        <w:t>El segundo país atractivo para los emigrantes ecuatorianos es Estados Unidos.</w:t>
      </w:r>
    </w:p>
    <w:p w:rsidR="00D003D0" w:rsidRDefault="00D003D0" w:rsidP="0041640C">
      <w:pPr>
        <w:pStyle w:val="Prrafodelista"/>
        <w:numPr>
          <w:ilvl w:val="0"/>
          <w:numId w:val="3"/>
        </w:numPr>
        <w:spacing w:line="480" w:lineRule="auto"/>
        <w:ind w:left="1134" w:hanging="284"/>
        <w:jc w:val="both"/>
        <w:rPr>
          <w:rFonts w:ascii="Arial" w:hAnsi="Arial" w:cs="Arial"/>
        </w:rPr>
      </w:pPr>
      <w:r w:rsidRPr="00D003D0">
        <w:rPr>
          <w:rFonts w:ascii="Arial" w:hAnsi="Arial" w:cs="Arial"/>
        </w:rPr>
        <w:t>La mayor cantidad de emigrantes son de género masculino.</w:t>
      </w:r>
    </w:p>
    <w:p w:rsidR="00D003D0" w:rsidRDefault="00D003D0" w:rsidP="0041640C">
      <w:pPr>
        <w:pStyle w:val="Prrafodelista"/>
        <w:numPr>
          <w:ilvl w:val="0"/>
          <w:numId w:val="3"/>
        </w:numPr>
        <w:spacing w:line="480" w:lineRule="auto"/>
        <w:ind w:left="1134" w:hanging="284"/>
        <w:jc w:val="both"/>
        <w:rPr>
          <w:rFonts w:ascii="Arial" w:hAnsi="Arial" w:cs="Arial"/>
        </w:rPr>
      </w:pPr>
      <w:r w:rsidRPr="00D003D0">
        <w:rPr>
          <w:rFonts w:ascii="Arial" w:hAnsi="Arial" w:cs="Arial"/>
        </w:rPr>
        <w:t>La mayor proporción de extranjeros residentes en el Ecuador son colombianos.</w:t>
      </w:r>
    </w:p>
    <w:p w:rsidR="00D003D0" w:rsidRDefault="00800A7D" w:rsidP="0041640C">
      <w:pPr>
        <w:pStyle w:val="Prrafodelista"/>
        <w:numPr>
          <w:ilvl w:val="0"/>
          <w:numId w:val="3"/>
        </w:numPr>
        <w:spacing w:line="480" w:lineRule="auto"/>
        <w:ind w:left="1134" w:hanging="284"/>
        <w:jc w:val="both"/>
        <w:rPr>
          <w:rFonts w:ascii="Arial" w:hAnsi="Arial" w:cs="Arial"/>
        </w:rPr>
      </w:pPr>
      <w:r>
        <w:rPr>
          <w:rFonts w:ascii="Arial" w:hAnsi="Arial" w:cs="Arial"/>
        </w:rPr>
        <w:t>La mayor cantidad</w:t>
      </w:r>
      <w:r w:rsidR="00D003D0" w:rsidRPr="00D003D0">
        <w:rPr>
          <w:rFonts w:ascii="Arial" w:hAnsi="Arial" w:cs="Arial"/>
        </w:rPr>
        <w:t xml:space="preserve"> de los inmigrantes </w:t>
      </w:r>
      <w:r w:rsidR="00984D9C">
        <w:rPr>
          <w:rFonts w:ascii="Arial" w:hAnsi="Arial" w:cs="Arial"/>
        </w:rPr>
        <w:t xml:space="preserve">extranjeros </w:t>
      </w:r>
      <w:r w:rsidR="00D003D0" w:rsidRPr="00D003D0">
        <w:rPr>
          <w:rFonts w:ascii="Arial" w:hAnsi="Arial" w:cs="Arial"/>
        </w:rPr>
        <w:t xml:space="preserve">que residen en </w:t>
      </w:r>
      <w:r w:rsidR="00984D9C">
        <w:rPr>
          <w:rFonts w:ascii="Arial" w:hAnsi="Arial" w:cs="Arial"/>
        </w:rPr>
        <w:t>país</w:t>
      </w:r>
      <w:r w:rsidR="00D003D0" w:rsidRPr="00D003D0">
        <w:rPr>
          <w:rFonts w:ascii="Arial" w:hAnsi="Arial" w:cs="Arial"/>
        </w:rPr>
        <w:t xml:space="preserve"> tienen edades </w:t>
      </w:r>
      <w:r w:rsidR="0006350D">
        <w:rPr>
          <w:rFonts w:ascii="Arial" w:hAnsi="Arial" w:cs="Arial"/>
        </w:rPr>
        <w:t xml:space="preserve">comprendidas </w:t>
      </w:r>
      <w:r w:rsidR="00D003D0" w:rsidRPr="00D003D0">
        <w:rPr>
          <w:rFonts w:ascii="Arial" w:hAnsi="Arial" w:cs="Arial"/>
        </w:rPr>
        <w:t xml:space="preserve">entre </w:t>
      </w:r>
      <w:r w:rsidR="002776EF">
        <w:rPr>
          <w:rFonts w:ascii="Arial" w:hAnsi="Arial" w:cs="Arial"/>
        </w:rPr>
        <w:t>15</w:t>
      </w:r>
      <w:r w:rsidR="00984D9C">
        <w:rPr>
          <w:rFonts w:ascii="Arial" w:hAnsi="Arial" w:cs="Arial"/>
        </w:rPr>
        <w:t xml:space="preserve"> y </w:t>
      </w:r>
      <w:r w:rsidR="002776EF">
        <w:rPr>
          <w:rFonts w:ascii="Arial" w:hAnsi="Arial" w:cs="Arial"/>
        </w:rPr>
        <w:t>65</w:t>
      </w:r>
      <w:r w:rsidR="00D003D0" w:rsidRPr="00D003D0">
        <w:rPr>
          <w:rFonts w:ascii="Arial" w:hAnsi="Arial" w:cs="Arial"/>
        </w:rPr>
        <w:t xml:space="preserve"> años.</w:t>
      </w:r>
    </w:p>
    <w:p w:rsidR="00D003D0" w:rsidRDefault="00B1713E" w:rsidP="0041640C">
      <w:pPr>
        <w:pStyle w:val="Prrafodelista"/>
        <w:numPr>
          <w:ilvl w:val="0"/>
          <w:numId w:val="3"/>
        </w:numPr>
        <w:spacing w:line="480" w:lineRule="auto"/>
        <w:ind w:left="1134" w:hanging="284"/>
        <w:jc w:val="both"/>
        <w:rPr>
          <w:rFonts w:ascii="Arial" w:hAnsi="Arial" w:cs="Arial"/>
        </w:rPr>
      </w:pPr>
      <w:r>
        <w:rPr>
          <w:rFonts w:ascii="Arial" w:hAnsi="Arial" w:cs="Arial"/>
        </w:rPr>
        <w:t>Al menos la</w:t>
      </w:r>
      <w:r w:rsidR="0006350D">
        <w:rPr>
          <w:rFonts w:ascii="Arial" w:hAnsi="Arial" w:cs="Arial"/>
        </w:rPr>
        <w:t xml:space="preserve"> cuarta parte</w:t>
      </w:r>
      <w:r w:rsidR="00D003D0" w:rsidRPr="00D003D0">
        <w:rPr>
          <w:rFonts w:ascii="Arial" w:hAnsi="Arial" w:cs="Arial"/>
        </w:rPr>
        <w:t xml:space="preserve"> de la población inmigrante</w:t>
      </w:r>
      <w:r w:rsidR="002776EF">
        <w:rPr>
          <w:rFonts w:ascii="Arial" w:hAnsi="Arial" w:cs="Arial"/>
        </w:rPr>
        <w:t xml:space="preserve"> extranjera</w:t>
      </w:r>
      <w:r w:rsidR="00D003D0" w:rsidRPr="00D003D0">
        <w:rPr>
          <w:rFonts w:ascii="Arial" w:hAnsi="Arial" w:cs="Arial"/>
        </w:rPr>
        <w:t xml:space="preserve"> tiene nivel de instrucción primario.</w:t>
      </w:r>
    </w:p>
    <w:p w:rsidR="00D003D0" w:rsidRDefault="005F44B0" w:rsidP="0041640C">
      <w:pPr>
        <w:pStyle w:val="Prrafodelista"/>
        <w:numPr>
          <w:ilvl w:val="0"/>
          <w:numId w:val="3"/>
        </w:numPr>
        <w:spacing w:line="480" w:lineRule="auto"/>
        <w:ind w:left="1134" w:hanging="284"/>
        <w:jc w:val="both"/>
        <w:rPr>
          <w:rFonts w:ascii="Arial" w:hAnsi="Arial" w:cs="Arial"/>
        </w:rPr>
      </w:pPr>
      <w:r>
        <w:rPr>
          <w:rFonts w:ascii="Arial" w:hAnsi="Arial" w:cs="Arial"/>
        </w:rPr>
        <w:t>Un poco más</w:t>
      </w:r>
      <w:r w:rsidR="00D003D0" w:rsidRPr="00D003D0">
        <w:rPr>
          <w:rFonts w:ascii="Arial" w:hAnsi="Arial" w:cs="Arial"/>
        </w:rPr>
        <w:t xml:space="preserve"> del 40% de extranjeros residentes en Ecuador, son propietarios de negocios.</w:t>
      </w:r>
    </w:p>
    <w:p w:rsidR="00D003D0" w:rsidRDefault="00D003D0" w:rsidP="00D003D0">
      <w:pPr>
        <w:spacing w:line="480" w:lineRule="auto"/>
        <w:ind w:left="718"/>
        <w:jc w:val="both"/>
        <w:rPr>
          <w:rFonts w:ascii="Arial" w:hAnsi="Arial" w:cs="Arial"/>
        </w:rPr>
      </w:pPr>
    </w:p>
    <w:p w:rsidR="00F26EB4" w:rsidRPr="007E6672" w:rsidRDefault="00F26EB4" w:rsidP="00CC5492">
      <w:pPr>
        <w:pStyle w:val="TesisTitulo10"/>
        <w:ind w:left="851" w:hanging="567"/>
      </w:pPr>
      <w:bookmarkStart w:id="53" w:name="_Toc332571352"/>
      <w:bookmarkStart w:id="54" w:name="_Toc341040594"/>
      <w:r w:rsidRPr="007E6672">
        <w:t>Metodología</w:t>
      </w:r>
      <w:bookmarkEnd w:id="53"/>
      <w:bookmarkEnd w:id="54"/>
    </w:p>
    <w:p w:rsidR="00F26EB4" w:rsidRDefault="00F26EB4" w:rsidP="00CC5492">
      <w:pPr>
        <w:spacing w:line="480" w:lineRule="auto"/>
        <w:ind w:left="851"/>
        <w:jc w:val="both"/>
        <w:rPr>
          <w:rFonts w:ascii="Arial" w:hAnsi="Arial" w:cs="Arial"/>
        </w:rPr>
      </w:pPr>
      <w:r w:rsidRPr="000C13A6">
        <w:rPr>
          <w:rFonts w:ascii="Arial" w:hAnsi="Arial" w:cs="Arial"/>
        </w:rPr>
        <w:t xml:space="preserve">Esta tesis se basa en los datos obtenidos del VII Censo de Población y VI de Vivienda, cuyo empadronamiento de los habitantes que se encontraban en Ecuador se llevó a cabo el 28 de noviembre de 2010 en las áreas </w:t>
      </w:r>
      <w:r w:rsidRPr="000C13A6">
        <w:rPr>
          <w:rFonts w:ascii="Arial" w:hAnsi="Arial" w:cs="Arial"/>
        </w:rPr>
        <w:lastRenderedPageBreak/>
        <w:t>amanzanadas y que para las zonas rurales se realizó hasta el 5 de diciembre por medio del In</w:t>
      </w:r>
      <w:r w:rsidR="00090DEF">
        <w:rPr>
          <w:rFonts w:ascii="Arial" w:hAnsi="Arial" w:cs="Arial"/>
        </w:rPr>
        <w:t>stituto Nacional de Estadística</w:t>
      </w:r>
      <w:r w:rsidRPr="000C13A6">
        <w:rPr>
          <w:rFonts w:ascii="Arial" w:hAnsi="Arial" w:cs="Arial"/>
        </w:rPr>
        <w:t xml:space="preserve"> y Censo</w:t>
      </w:r>
      <w:r w:rsidR="00090DEF">
        <w:rPr>
          <w:rFonts w:ascii="Arial" w:hAnsi="Arial" w:cs="Arial"/>
        </w:rPr>
        <w:t>s</w:t>
      </w:r>
      <w:r w:rsidRPr="000C13A6">
        <w:rPr>
          <w:rFonts w:ascii="Arial" w:hAnsi="Arial" w:cs="Arial"/>
        </w:rPr>
        <w:t xml:space="preserve"> (INEC). En otras palabras, se trata de un estudio Transversal, pues solo toma los datos correspondientes a un solo censo. </w:t>
      </w:r>
    </w:p>
    <w:p w:rsidR="00F26EB4" w:rsidRPr="000C13A6" w:rsidRDefault="00F26EB4" w:rsidP="00CC5492">
      <w:pPr>
        <w:spacing w:line="480" w:lineRule="auto"/>
        <w:ind w:left="851"/>
        <w:jc w:val="both"/>
        <w:rPr>
          <w:rFonts w:ascii="Arial" w:hAnsi="Arial" w:cs="Arial"/>
        </w:rPr>
      </w:pPr>
    </w:p>
    <w:p w:rsidR="00F26EB4" w:rsidRDefault="00F26EB4" w:rsidP="00CC5492">
      <w:pPr>
        <w:pStyle w:val="TesisTitulo20"/>
        <w:ind w:left="1560" w:hanging="709"/>
      </w:pPr>
      <w:bookmarkStart w:id="55" w:name="_Toc332571353"/>
      <w:bookmarkStart w:id="56" w:name="_Toc341040595"/>
      <w:r>
        <w:t>Variables a utilizar</w:t>
      </w:r>
      <w:bookmarkEnd w:id="55"/>
      <w:bookmarkEnd w:id="56"/>
    </w:p>
    <w:p w:rsidR="00F26EB4" w:rsidRDefault="00C271F9" w:rsidP="00CC5492">
      <w:pPr>
        <w:spacing w:line="480" w:lineRule="auto"/>
        <w:ind w:left="851"/>
        <w:jc w:val="both"/>
        <w:rPr>
          <w:rFonts w:ascii="Arial" w:hAnsi="Arial" w:cs="Arial"/>
        </w:rPr>
      </w:pPr>
      <w:r>
        <w:rPr>
          <w:rFonts w:ascii="Arial" w:hAnsi="Arial" w:cs="Arial"/>
        </w:rPr>
        <w:t>Para la captura de datos</w:t>
      </w:r>
      <w:r w:rsidR="00F26EB4">
        <w:rPr>
          <w:rFonts w:ascii="Arial" w:hAnsi="Arial" w:cs="Arial"/>
        </w:rPr>
        <w:t xml:space="preserve"> se utilizó la Boleta Censal que se encuentra adjunta en el </w:t>
      </w:r>
      <w:r w:rsidR="00F26EB4">
        <w:rPr>
          <w:rFonts w:ascii="Arial" w:hAnsi="Arial" w:cs="Arial"/>
          <w:i/>
        </w:rPr>
        <w:t>Anexo A</w:t>
      </w:r>
      <w:r w:rsidR="00C80AB3">
        <w:rPr>
          <w:rFonts w:ascii="Arial" w:hAnsi="Arial" w:cs="Arial"/>
          <w:i/>
        </w:rPr>
        <w:t>.1</w:t>
      </w:r>
      <w:r w:rsidR="00F26EB4">
        <w:rPr>
          <w:rFonts w:ascii="Arial" w:hAnsi="Arial" w:cs="Arial"/>
        </w:rPr>
        <w:t xml:space="preserve"> de este trabajo; la misma que consta de </w:t>
      </w:r>
      <w:r w:rsidR="001876E6">
        <w:rPr>
          <w:rFonts w:ascii="Arial" w:hAnsi="Arial" w:cs="Arial"/>
        </w:rPr>
        <w:t>cuatro</w:t>
      </w:r>
      <w:r w:rsidR="00F26EB4">
        <w:rPr>
          <w:rFonts w:ascii="Arial" w:hAnsi="Arial" w:cs="Arial"/>
        </w:rPr>
        <w:t xml:space="preserve"> secciones, la primera denominada Datos de la Vivienda, la siguiente es Datos del Hogar, la tercera Remesas y Emigración; y, la última Datos de Población. Cada una de estas secciones consta de dieciséis (16), quince (15), siete (7) y cuarenta y tres (43) </w:t>
      </w:r>
      <w:r w:rsidR="00DB55AC">
        <w:rPr>
          <w:rFonts w:ascii="Arial" w:hAnsi="Arial" w:cs="Arial"/>
        </w:rPr>
        <w:t>preguntas</w:t>
      </w:r>
      <w:r w:rsidR="00F26EB4">
        <w:rPr>
          <w:rFonts w:ascii="Arial" w:hAnsi="Arial" w:cs="Arial"/>
        </w:rPr>
        <w:t xml:space="preserve"> respectivamente; adicionalmente existen preguntas que son llenadas por el empadronador como identificación de la vivienda, tipo de vivienda, vía de acceso principal a la vivienda, entre otras. De las variables que contiene la boleta censal, se utilizarán las siguientes:</w:t>
      </w:r>
    </w:p>
    <w:p w:rsidR="00A42028" w:rsidRDefault="00A42028" w:rsidP="00CC5492">
      <w:pPr>
        <w:spacing w:line="480" w:lineRule="auto"/>
        <w:ind w:left="851"/>
        <w:jc w:val="both"/>
        <w:rPr>
          <w:rFonts w:ascii="Arial" w:hAnsi="Arial" w:cs="Arial"/>
        </w:rPr>
      </w:pPr>
    </w:p>
    <w:p w:rsidR="00F26EB4" w:rsidRPr="00AC627C" w:rsidRDefault="00F26EB4" w:rsidP="0041640C">
      <w:pPr>
        <w:pStyle w:val="Prrafodelista"/>
        <w:numPr>
          <w:ilvl w:val="0"/>
          <w:numId w:val="8"/>
        </w:numPr>
        <w:spacing w:line="480" w:lineRule="auto"/>
        <w:ind w:left="1134" w:hanging="283"/>
        <w:jc w:val="both"/>
        <w:rPr>
          <w:rFonts w:ascii="Arial" w:hAnsi="Arial" w:cs="Arial"/>
          <w:b/>
          <w:i/>
        </w:rPr>
      </w:pPr>
      <w:r w:rsidRPr="00AC627C">
        <w:rPr>
          <w:rFonts w:ascii="Arial" w:hAnsi="Arial" w:cs="Arial"/>
          <w:b/>
          <w:i/>
        </w:rPr>
        <w:t>Sección 1: DATOS DE LA VIVIENDA</w:t>
      </w:r>
    </w:p>
    <w:p w:rsidR="00BA1443" w:rsidRDefault="00F26EB4" w:rsidP="0041640C">
      <w:pPr>
        <w:pStyle w:val="Prrafodelista"/>
        <w:numPr>
          <w:ilvl w:val="0"/>
          <w:numId w:val="20"/>
        </w:numPr>
        <w:spacing w:line="480" w:lineRule="auto"/>
        <w:ind w:left="1134" w:hanging="283"/>
        <w:jc w:val="both"/>
        <w:rPr>
          <w:rFonts w:ascii="Arial" w:hAnsi="Arial" w:cs="Arial"/>
        </w:rPr>
      </w:pPr>
      <w:r w:rsidRPr="00BA1443">
        <w:rPr>
          <w:rFonts w:ascii="Arial" w:hAnsi="Arial" w:cs="Arial"/>
          <w:i/>
        </w:rPr>
        <w:t>Tipo de la vivienda</w:t>
      </w:r>
      <w:r w:rsidR="008D687F" w:rsidRPr="00BA1443">
        <w:rPr>
          <w:rFonts w:ascii="Arial" w:hAnsi="Arial" w:cs="Arial"/>
        </w:rPr>
        <w:t>: esta pregunta es llenada por el entrevistador</w:t>
      </w:r>
      <w:r w:rsidR="00674486" w:rsidRPr="00BA1443">
        <w:rPr>
          <w:rFonts w:ascii="Arial" w:hAnsi="Arial" w:cs="Arial"/>
        </w:rPr>
        <w:t xml:space="preserve">, y las viviendas pueden ser de dos tipos vivienda particular o vivienda colectiva y cada una consta de ocho subcategorías. </w:t>
      </w:r>
    </w:p>
    <w:p w:rsidR="00BA1443" w:rsidRDefault="00F26EB4" w:rsidP="0041640C">
      <w:pPr>
        <w:pStyle w:val="Prrafodelista"/>
        <w:numPr>
          <w:ilvl w:val="0"/>
          <w:numId w:val="20"/>
        </w:numPr>
        <w:spacing w:line="480" w:lineRule="auto"/>
        <w:ind w:left="1134" w:hanging="283"/>
        <w:jc w:val="both"/>
        <w:rPr>
          <w:rFonts w:ascii="Arial" w:hAnsi="Arial" w:cs="Arial"/>
        </w:rPr>
      </w:pPr>
      <w:r w:rsidRPr="00BA1443">
        <w:rPr>
          <w:rFonts w:ascii="Arial" w:hAnsi="Arial" w:cs="Arial"/>
          <w:i/>
        </w:rPr>
        <w:t>¿De dónde proviene principalmente el agua que recibe la vivienda?</w:t>
      </w:r>
      <w:r w:rsidR="006B7A6C" w:rsidRPr="00BA1443">
        <w:rPr>
          <w:rFonts w:ascii="Arial" w:hAnsi="Arial" w:cs="Arial"/>
        </w:rPr>
        <w:t xml:space="preserve">: dentro de las opciones están red pública; de pozo; de río, vertiente, acequia o canal; </w:t>
      </w:r>
      <w:r w:rsidR="00BF6280" w:rsidRPr="00BA1443">
        <w:rPr>
          <w:rFonts w:ascii="Arial" w:hAnsi="Arial" w:cs="Arial"/>
        </w:rPr>
        <w:t xml:space="preserve">de carro repartidor; y, otro. Esta pregunta es respondida </w:t>
      </w:r>
      <w:r w:rsidR="00BF6280" w:rsidRPr="00BA1443">
        <w:rPr>
          <w:rFonts w:ascii="Arial" w:hAnsi="Arial" w:cs="Arial"/>
        </w:rPr>
        <w:lastRenderedPageBreak/>
        <w:t>por parte del jefe de hogar o alguna persona mayor que se encuentra en la vivienda</w:t>
      </w:r>
      <w:r w:rsidR="00BC3758" w:rsidRPr="00BA1443">
        <w:rPr>
          <w:rFonts w:ascii="Arial" w:hAnsi="Arial" w:cs="Arial"/>
        </w:rPr>
        <w:t xml:space="preserve"> </w:t>
      </w:r>
      <w:r w:rsidR="00BF6280" w:rsidRPr="00BA1443">
        <w:rPr>
          <w:rFonts w:ascii="Arial" w:hAnsi="Arial" w:cs="Arial"/>
        </w:rPr>
        <w:t>al momento del empadronamiento.</w:t>
      </w:r>
    </w:p>
    <w:p w:rsidR="00F26EB4" w:rsidRPr="00BA1443" w:rsidRDefault="00F26EB4" w:rsidP="0041640C">
      <w:pPr>
        <w:pStyle w:val="Prrafodelista"/>
        <w:numPr>
          <w:ilvl w:val="0"/>
          <w:numId w:val="20"/>
        </w:numPr>
        <w:spacing w:line="480" w:lineRule="auto"/>
        <w:ind w:left="1134" w:hanging="283"/>
        <w:jc w:val="both"/>
        <w:rPr>
          <w:rFonts w:ascii="Arial" w:hAnsi="Arial" w:cs="Arial"/>
        </w:rPr>
      </w:pPr>
      <w:r w:rsidRPr="00BA1443">
        <w:rPr>
          <w:rFonts w:ascii="Arial" w:hAnsi="Arial" w:cs="Arial"/>
          <w:i/>
        </w:rPr>
        <w:t>¿El servicio de luz (energía) eléctrica de la vivienda proviene principalmente de…?</w:t>
      </w:r>
      <w:r w:rsidR="00FC3F17" w:rsidRPr="00BA1443">
        <w:rPr>
          <w:rFonts w:ascii="Arial" w:hAnsi="Arial" w:cs="Arial"/>
        </w:rPr>
        <w:t>: las opciones de respuesta a esta pregunta son red de empresa eléctrica de servicio público; panel solar; generador de luz; otro; y, no tiene.</w:t>
      </w:r>
    </w:p>
    <w:p w:rsidR="00F26EB4" w:rsidRPr="00BA1443" w:rsidRDefault="00F26EB4" w:rsidP="00BA1443">
      <w:pPr>
        <w:spacing w:line="480" w:lineRule="auto"/>
        <w:jc w:val="both"/>
        <w:rPr>
          <w:rFonts w:ascii="Arial" w:hAnsi="Arial" w:cs="Arial"/>
        </w:rPr>
      </w:pPr>
    </w:p>
    <w:p w:rsidR="00F26EB4" w:rsidRPr="00AC627C" w:rsidRDefault="00F26EB4" w:rsidP="0041640C">
      <w:pPr>
        <w:pStyle w:val="Prrafodelista"/>
        <w:numPr>
          <w:ilvl w:val="0"/>
          <w:numId w:val="8"/>
        </w:numPr>
        <w:spacing w:line="480" w:lineRule="auto"/>
        <w:ind w:left="1134" w:hanging="283"/>
        <w:jc w:val="both"/>
        <w:rPr>
          <w:rFonts w:ascii="Arial" w:hAnsi="Arial" w:cs="Arial"/>
          <w:b/>
          <w:i/>
        </w:rPr>
      </w:pPr>
      <w:r w:rsidRPr="00AC627C">
        <w:rPr>
          <w:rFonts w:ascii="Arial" w:hAnsi="Arial" w:cs="Arial"/>
          <w:b/>
          <w:i/>
        </w:rPr>
        <w:t xml:space="preserve">Sección </w:t>
      </w:r>
      <w:r>
        <w:rPr>
          <w:rFonts w:ascii="Arial" w:hAnsi="Arial" w:cs="Arial"/>
          <w:b/>
          <w:i/>
        </w:rPr>
        <w:t>2: DATOS DE HOGAR</w:t>
      </w:r>
    </w:p>
    <w:p w:rsidR="00BA1443" w:rsidRDefault="00960F00" w:rsidP="0041640C">
      <w:pPr>
        <w:pStyle w:val="Prrafodelista"/>
        <w:numPr>
          <w:ilvl w:val="0"/>
          <w:numId w:val="21"/>
        </w:numPr>
        <w:spacing w:line="480" w:lineRule="auto"/>
        <w:ind w:left="1134" w:hanging="283"/>
        <w:jc w:val="both"/>
        <w:rPr>
          <w:rFonts w:ascii="Arial" w:hAnsi="Arial" w:cs="Arial"/>
        </w:rPr>
      </w:pPr>
      <w:r w:rsidRPr="00BA1443">
        <w:rPr>
          <w:rFonts w:ascii="Arial" w:hAnsi="Arial" w:cs="Arial"/>
          <w:i/>
        </w:rPr>
        <w:t>Del total de cuartos de este hogar, ¿cuántos son exclusivos para dormir?</w:t>
      </w:r>
      <w:r w:rsidR="00A011AF" w:rsidRPr="00BA1443">
        <w:rPr>
          <w:rFonts w:ascii="Arial" w:hAnsi="Arial" w:cs="Arial"/>
        </w:rPr>
        <w:t>: esta pregunta es usada para determinar el número de personas por dormitorio como la razón entre el número de personas en el hogar y el número de</w:t>
      </w:r>
      <w:r w:rsidR="00555626" w:rsidRPr="00BA1443">
        <w:rPr>
          <w:rFonts w:ascii="Arial" w:hAnsi="Arial" w:cs="Arial"/>
        </w:rPr>
        <w:t xml:space="preserve"> cuartos</w:t>
      </w:r>
      <w:r w:rsidR="00A011AF" w:rsidRPr="00BA1443">
        <w:rPr>
          <w:rFonts w:ascii="Arial" w:hAnsi="Arial" w:cs="Arial"/>
        </w:rPr>
        <w:t xml:space="preserve"> exclusivos para dormir.</w:t>
      </w:r>
    </w:p>
    <w:p w:rsidR="00BA1443" w:rsidRDefault="00F26EB4" w:rsidP="0041640C">
      <w:pPr>
        <w:pStyle w:val="Prrafodelista"/>
        <w:numPr>
          <w:ilvl w:val="0"/>
          <w:numId w:val="21"/>
        </w:numPr>
        <w:spacing w:line="480" w:lineRule="auto"/>
        <w:ind w:left="1134" w:hanging="283"/>
        <w:jc w:val="both"/>
        <w:rPr>
          <w:rFonts w:ascii="Arial" w:hAnsi="Arial" w:cs="Arial"/>
        </w:rPr>
      </w:pPr>
      <w:r w:rsidRPr="00BA1443">
        <w:rPr>
          <w:rFonts w:ascii="Arial" w:hAnsi="Arial" w:cs="Arial"/>
          <w:i/>
        </w:rPr>
        <w:t>¿Dispone este hogar de servicio de teléfono convencional?</w:t>
      </w:r>
      <w:r w:rsidR="007E211C" w:rsidRPr="00BA1443">
        <w:rPr>
          <w:rFonts w:ascii="Arial" w:hAnsi="Arial" w:cs="Arial"/>
        </w:rPr>
        <w:t xml:space="preserve">: </w:t>
      </w:r>
      <w:r w:rsidR="00A51D46" w:rsidRPr="00BA1443">
        <w:rPr>
          <w:rFonts w:ascii="Arial" w:hAnsi="Arial" w:cs="Arial"/>
        </w:rPr>
        <w:t>las opciones de respuesta son s</w:t>
      </w:r>
      <w:r w:rsidR="00683AEA" w:rsidRPr="00BA1443">
        <w:rPr>
          <w:rFonts w:ascii="Arial" w:hAnsi="Arial" w:cs="Arial"/>
        </w:rPr>
        <w:t xml:space="preserve">í o no; y, se la usará en capítulos posteriores para analizar </w:t>
      </w:r>
      <w:r w:rsidR="00DA22D6" w:rsidRPr="00BA1443">
        <w:rPr>
          <w:rFonts w:ascii="Arial" w:hAnsi="Arial" w:cs="Arial"/>
        </w:rPr>
        <w:t>el analfabetismo digital.</w:t>
      </w:r>
    </w:p>
    <w:p w:rsidR="00BA1443" w:rsidRDefault="00F26EB4" w:rsidP="0041640C">
      <w:pPr>
        <w:pStyle w:val="Prrafodelista"/>
        <w:numPr>
          <w:ilvl w:val="0"/>
          <w:numId w:val="21"/>
        </w:numPr>
        <w:spacing w:line="480" w:lineRule="auto"/>
        <w:ind w:left="1134" w:hanging="283"/>
        <w:jc w:val="both"/>
        <w:rPr>
          <w:rFonts w:ascii="Arial" w:hAnsi="Arial" w:cs="Arial"/>
        </w:rPr>
      </w:pPr>
      <w:r w:rsidRPr="00BA1443">
        <w:rPr>
          <w:rFonts w:ascii="Arial" w:hAnsi="Arial" w:cs="Arial"/>
          <w:i/>
        </w:rPr>
        <w:t>¿Dispone este hogar de servicio de Internet?</w:t>
      </w:r>
      <w:r w:rsidR="007E211C" w:rsidRPr="00BA1443">
        <w:rPr>
          <w:rFonts w:ascii="Arial" w:hAnsi="Arial" w:cs="Arial"/>
        </w:rPr>
        <w:t>:</w:t>
      </w:r>
      <w:r w:rsidR="00D209C5" w:rsidRPr="00BA1443">
        <w:rPr>
          <w:rFonts w:ascii="Arial" w:hAnsi="Arial" w:cs="Arial"/>
        </w:rPr>
        <w:t xml:space="preserve"> las opciones de respuesta </w:t>
      </w:r>
      <w:r w:rsidR="00DA6B39" w:rsidRPr="00BA1443">
        <w:rPr>
          <w:rFonts w:ascii="Arial" w:hAnsi="Arial" w:cs="Arial"/>
        </w:rPr>
        <w:t xml:space="preserve">a esta pregunta </w:t>
      </w:r>
      <w:r w:rsidR="00D209C5" w:rsidRPr="00BA1443">
        <w:rPr>
          <w:rFonts w:ascii="Arial" w:hAnsi="Arial" w:cs="Arial"/>
        </w:rPr>
        <w:t>son sí o no.</w:t>
      </w:r>
    </w:p>
    <w:p w:rsidR="00BA1443" w:rsidRDefault="00F26EB4" w:rsidP="0041640C">
      <w:pPr>
        <w:pStyle w:val="Prrafodelista"/>
        <w:numPr>
          <w:ilvl w:val="0"/>
          <w:numId w:val="21"/>
        </w:numPr>
        <w:spacing w:line="480" w:lineRule="auto"/>
        <w:ind w:left="1134" w:hanging="283"/>
        <w:jc w:val="both"/>
        <w:rPr>
          <w:rFonts w:ascii="Arial" w:hAnsi="Arial" w:cs="Arial"/>
        </w:rPr>
      </w:pPr>
      <w:r w:rsidRPr="00BA1443">
        <w:rPr>
          <w:rFonts w:ascii="Arial" w:hAnsi="Arial" w:cs="Arial"/>
          <w:i/>
        </w:rPr>
        <w:t>¿Dispone este hogar de computadora?</w:t>
      </w:r>
      <w:r w:rsidR="007E211C" w:rsidRPr="00BA1443">
        <w:rPr>
          <w:rFonts w:ascii="Arial" w:hAnsi="Arial" w:cs="Arial"/>
        </w:rPr>
        <w:t>:</w:t>
      </w:r>
      <w:r w:rsidR="00DA6B39" w:rsidRPr="00BA1443">
        <w:rPr>
          <w:rFonts w:ascii="Arial" w:hAnsi="Arial" w:cs="Arial"/>
        </w:rPr>
        <w:t xml:space="preserve"> </w:t>
      </w:r>
      <w:r w:rsidR="00BA6BEC" w:rsidRPr="00BA1443">
        <w:rPr>
          <w:rFonts w:ascii="Arial" w:hAnsi="Arial" w:cs="Arial"/>
        </w:rPr>
        <w:t>las opciones de respuesta a esta pregunta son sí o no.</w:t>
      </w:r>
    </w:p>
    <w:p w:rsidR="00F26EB4" w:rsidRDefault="00F26EB4" w:rsidP="0041640C">
      <w:pPr>
        <w:pStyle w:val="Prrafodelista"/>
        <w:numPr>
          <w:ilvl w:val="0"/>
          <w:numId w:val="21"/>
        </w:numPr>
        <w:spacing w:line="480" w:lineRule="auto"/>
        <w:ind w:left="1134" w:hanging="283"/>
        <w:jc w:val="both"/>
        <w:rPr>
          <w:rFonts w:ascii="Arial" w:hAnsi="Arial" w:cs="Arial"/>
        </w:rPr>
      </w:pPr>
      <w:r w:rsidRPr="00BA1443">
        <w:rPr>
          <w:rFonts w:ascii="Arial" w:hAnsi="Arial" w:cs="Arial"/>
          <w:i/>
        </w:rPr>
        <w:t>¿La vivienda que ocupa este hogar es…?</w:t>
      </w:r>
      <w:r w:rsidR="007E211C" w:rsidRPr="00BA1443">
        <w:rPr>
          <w:rFonts w:ascii="Arial" w:hAnsi="Arial" w:cs="Arial"/>
        </w:rPr>
        <w:t>:</w:t>
      </w:r>
      <w:r w:rsidR="00045C82" w:rsidRPr="00BA1443">
        <w:rPr>
          <w:rFonts w:ascii="Arial" w:hAnsi="Arial" w:cs="Arial"/>
        </w:rPr>
        <w:t xml:space="preserve"> esta pregunta consta de siete opciones de respuesta que son propia y totalmente pagada; propia y la está pagando; propia (regalada, donada, heredada, o por posesión); </w:t>
      </w:r>
      <w:r w:rsidR="005B6D9C" w:rsidRPr="00BA1443">
        <w:rPr>
          <w:rFonts w:ascii="Arial" w:hAnsi="Arial" w:cs="Arial"/>
        </w:rPr>
        <w:t>prestada o cedida (no pagada); por servi</w:t>
      </w:r>
      <w:r w:rsidR="008514B4" w:rsidRPr="00BA1443">
        <w:rPr>
          <w:rFonts w:ascii="Arial" w:hAnsi="Arial" w:cs="Arial"/>
        </w:rPr>
        <w:t>cios; arrendada; en anticresis.</w:t>
      </w:r>
    </w:p>
    <w:p w:rsidR="00692620" w:rsidRPr="00BA1443" w:rsidRDefault="00692620" w:rsidP="00692620">
      <w:pPr>
        <w:pStyle w:val="Prrafodelista"/>
        <w:spacing w:line="480" w:lineRule="auto"/>
        <w:ind w:left="1134"/>
        <w:jc w:val="both"/>
        <w:rPr>
          <w:rFonts w:ascii="Arial" w:hAnsi="Arial" w:cs="Arial"/>
        </w:rPr>
      </w:pPr>
    </w:p>
    <w:p w:rsidR="00F26EB4" w:rsidRPr="00AC627C" w:rsidRDefault="00F26EB4" w:rsidP="0041640C">
      <w:pPr>
        <w:pStyle w:val="Prrafodelista"/>
        <w:numPr>
          <w:ilvl w:val="0"/>
          <w:numId w:val="8"/>
        </w:numPr>
        <w:spacing w:line="480" w:lineRule="auto"/>
        <w:ind w:left="1134" w:hanging="283"/>
        <w:jc w:val="both"/>
        <w:rPr>
          <w:rFonts w:ascii="Arial" w:hAnsi="Arial" w:cs="Arial"/>
          <w:b/>
          <w:i/>
        </w:rPr>
      </w:pPr>
      <w:r w:rsidRPr="00AC627C">
        <w:rPr>
          <w:rFonts w:ascii="Arial" w:hAnsi="Arial" w:cs="Arial"/>
          <w:b/>
          <w:i/>
        </w:rPr>
        <w:lastRenderedPageBreak/>
        <w:t xml:space="preserve">Sección </w:t>
      </w:r>
      <w:r>
        <w:rPr>
          <w:rFonts w:ascii="Arial" w:hAnsi="Arial" w:cs="Arial"/>
          <w:b/>
          <w:i/>
        </w:rPr>
        <w:t>3: REMESAS Y EMIGRACIÓN</w:t>
      </w:r>
    </w:p>
    <w:p w:rsidR="00377661" w:rsidRPr="00C26097" w:rsidRDefault="003172D3" w:rsidP="00C26097">
      <w:pPr>
        <w:spacing w:line="480" w:lineRule="auto"/>
        <w:ind w:left="851"/>
        <w:jc w:val="both"/>
        <w:rPr>
          <w:rFonts w:ascii="Arial" w:hAnsi="Arial" w:cs="Arial"/>
        </w:rPr>
      </w:pPr>
      <w:bookmarkStart w:id="57" w:name="_Toc339784795"/>
      <w:bookmarkStart w:id="58" w:name="_Toc339852950"/>
      <w:bookmarkStart w:id="59" w:name="_Toc340231720"/>
      <w:bookmarkStart w:id="60" w:name="_Toc331976379"/>
      <w:bookmarkStart w:id="61" w:name="_Toc331976566"/>
      <w:bookmarkStart w:id="62" w:name="_Toc332571354"/>
      <w:bookmarkStart w:id="63" w:name="_Toc339715528"/>
      <w:r w:rsidRPr="00C26097">
        <w:rPr>
          <w:rFonts w:ascii="Arial" w:hAnsi="Arial" w:cs="Arial"/>
        </w:rPr>
        <w:t>Las preguntas de esta sección son llenadas por los familiares de las personas que han emigrado al exterior desde noviembre de 2001 hasta noviembre de 2010; y, las preguntas consultadas son:</w:t>
      </w:r>
      <w:bookmarkEnd w:id="57"/>
      <w:bookmarkEnd w:id="58"/>
      <w:bookmarkEnd w:id="59"/>
      <w:r w:rsidR="00B1762D" w:rsidRPr="00C26097">
        <w:rPr>
          <w:rFonts w:ascii="Arial" w:hAnsi="Arial" w:cs="Arial"/>
        </w:rPr>
        <w:t xml:space="preserve"> </w:t>
      </w:r>
      <w:bookmarkStart w:id="64" w:name="_Toc330419564"/>
      <w:bookmarkStart w:id="65" w:name="_Toc330471499"/>
      <w:bookmarkStart w:id="66" w:name="_Toc330553018"/>
    </w:p>
    <w:p w:rsidR="00C26097" w:rsidRDefault="00F26EB4" w:rsidP="0041640C">
      <w:pPr>
        <w:pStyle w:val="Prrafodelista"/>
        <w:numPr>
          <w:ilvl w:val="0"/>
          <w:numId w:val="22"/>
        </w:numPr>
        <w:spacing w:line="480" w:lineRule="auto"/>
        <w:ind w:left="1134" w:hanging="283"/>
        <w:jc w:val="both"/>
        <w:rPr>
          <w:rFonts w:ascii="Arial" w:hAnsi="Arial" w:cs="Arial"/>
        </w:rPr>
      </w:pPr>
      <w:bookmarkStart w:id="67" w:name="_Toc339784796"/>
      <w:bookmarkStart w:id="68" w:name="_Toc339852951"/>
      <w:bookmarkStart w:id="69" w:name="_Toc340231721"/>
      <w:r w:rsidRPr="00C26097">
        <w:rPr>
          <w:rFonts w:ascii="Arial" w:hAnsi="Arial" w:cs="Arial"/>
          <w:i/>
        </w:rPr>
        <w:t>¿Cuál es el sexo?</w:t>
      </w:r>
      <w:bookmarkEnd w:id="64"/>
      <w:bookmarkEnd w:id="65"/>
      <w:bookmarkEnd w:id="66"/>
      <w:r w:rsidR="00377661" w:rsidRPr="00C26097">
        <w:rPr>
          <w:rFonts w:ascii="Arial" w:hAnsi="Arial" w:cs="Arial"/>
        </w:rPr>
        <w:t>:</w:t>
      </w:r>
      <w:r w:rsidR="00B1762D" w:rsidRPr="00C26097">
        <w:rPr>
          <w:rFonts w:ascii="Arial" w:hAnsi="Arial" w:cs="Arial"/>
        </w:rPr>
        <w:t xml:space="preserve"> </w:t>
      </w:r>
      <w:bookmarkStart w:id="70" w:name="_Toc330419565"/>
      <w:bookmarkStart w:id="71" w:name="_Toc330471500"/>
      <w:bookmarkStart w:id="72" w:name="_Toc330553019"/>
      <w:r w:rsidR="003172D3" w:rsidRPr="00C26097">
        <w:rPr>
          <w:rFonts w:ascii="Arial" w:hAnsi="Arial" w:cs="Arial"/>
        </w:rPr>
        <w:t>las opciones son hombre o mujer.</w:t>
      </w:r>
      <w:bookmarkStart w:id="73" w:name="_Toc339784797"/>
      <w:bookmarkStart w:id="74" w:name="_Toc339852952"/>
      <w:bookmarkStart w:id="75" w:name="_Toc340231722"/>
      <w:bookmarkEnd w:id="67"/>
      <w:bookmarkEnd w:id="68"/>
      <w:bookmarkEnd w:id="69"/>
    </w:p>
    <w:p w:rsidR="00C26097" w:rsidRDefault="00F26EB4" w:rsidP="0041640C">
      <w:pPr>
        <w:pStyle w:val="Prrafodelista"/>
        <w:numPr>
          <w:ilvl w:val="0"/>
          <w:numId w:val="22"/>
        </w:numPr>
        <w:spacing w:line="480" w:lineRule="auto"/>
        <w:ind w:left="1134" w:hanging="283"/>
        <w:jc w:val="both"/>
        <w:rPr>
          <w:rFonts w:ascii="Arial" w:hAnsi="Arial" w:cs="Arial"/>
        </w:rPr>
      </w:pPr>
      <w:r w:rsidRPr="00C26097">
        <w:rPr>
          <w:rFonts w:ascii="Arial" w:hAnsi="Arial" w:cs="Arial"/>
          <w:i/>
        </w:rPr>
        <w:t>¿Cuál fue la edad al salir del país?</w:t>
      </w:r>
      <w:bookmarkStart w:id="76" w:name="_Toc330419566"/>
      <w:bookmarkStart w:id="77" w:name="_Toc330471501"/>
      <w:bookmarkStart w:id="78" w:name="_Toc330553020"/>
      <w:bookmarkEnd w:id="70"/>
      <w:bookmarkEnd w:id="71"/>
      <w:bookmarkEnd w:id="72"/>
      <w:r w:rsidR="00377661" w:rsidRPr="00C26097">
        <w:rPr>
          <w:rFonts w:ascii="Arial" w:hAnsi="Arial" w:cs="Arial"/>
        </w:rPr>
        <w:t>:</w:t>
      </w:r>
      <w:r w:rsidR="003172D3" w:rsidRPr="00C26097">
        <w:rPr>
          <w:rFonts w:ascii="Arial" w:hAnsi="Arial" w:cs="Arial"/>
        </w:rPr>
        <w:t xml:space="preserve"> </w:t>
      </w:r>
      <w:r w:rsidR="00A94947" w:rsidRPr="00C26097">
        <w:rPr>
          <w:rFonts w:ascii="Arial" w:hAnsi="Arial" w:cs="Arial"/>
        </w:rPr>
        <w:t>los años cumplidos que los emigrantes tenían a la fecha de salir del país.</w:t>
      </w:r>
      <w:bookmarkStart w:id="79" w:name="_Toc339784798"/>
      <w:bookmarkStart w:id="80" w:name="_Toc339852953"/>
      <w:bookmarkStart w:id="81" w:name="_Toc340231723"/>
      <w:bookmarkEnd w:id="73"/>
      <w:bookmarkEnd w:id="74"/>
      <w:bookmarkEnd w:id="75"/>
    </w:p>
    <w:p w:rsidR="00C26097" w:rsidRDefault="00F26EB4" w:rsidP="0041640C">
      <w:pPr>
        <w:pStyle w:val="Prrafodelista"/>
        <w:numPr>
          <w:ilvl w:val="0"/>
          <w:numId w:val="22"/>
        </w:numPr>
        <w:spacing w:line="480" w:lineRule="auto"/>
        <w:ind w:left="1134" w:hanging="283"/>
        <w:jc w:val="both"/>
        <w:rPr>
          <w:rFonts w:ascii="Arial" w:hAnsi="Arial" w:cs="Arial"/>
        </w:rPr>
      </w:pPr>
      <w:r w:rsidRPr="00C26097">
        <w:rPr>
          <w:rFonts w:ascii="Arial" w:hAnsi="Arial" w:cs="Arial"/>
          <w:i/>
        </w:rPr>
        <w:t>¿Cuál fue el año de salida?</w:t>
      </w:r>
      <w:bookmarkEnd w:id="76"/>
      <w:bookmarkEnd w:id="77"/>
      <w:bookmarkEnd w:id="78"/>
      <w:r w:rsidR="00377661" w:rsidRPr="00C26097">
        <w:rPr>
          <w:rFonts w:ascii="Arial" w:hAnsi="Arial" w:cs="Arial"/>
        </w:rPr>
        <w:t>:</w:t>
      </w:r>
      <w:r w:rsidR="00134B24" w:rsidRPr="00C26097">
        <w:rPr>
          <w:rFonts w:ascii="Arial" w:hAnsi="Arial" w:cs="Arial"/>
        </w:rPr>
        <w:t xml:space="preserve"> </w:t>
      </w:r>
      <w:r w:rsidR="00996EAA" w:rsidRPr="00C26097">
        <w:rPr>
          <w:rFonts w:ascii="Arial" w:hAnsi="Arial" w:cs="Arial"/>
        </w:rPr>
        <w:t xml:space="preserve">se pide especificar el año </w:t>
      </w:r>
      <w:r w:rsidR="00EF56AC" w:rsidRPr="00C26097">
        <w:rPr>
          <w:rFonts w:ascii="Arial" w:hAnsi="Arial" w:cs="Arial"/>
        </w:rPr>
        <w:t>en el cual dejó el país el emigrante; la respuesta varía entre 2001 y 2010.</w:t>
      </w:r>
      <w:bookmarkStart w:id="82" w:name="_Toc330419567"/>
      <w:bookmarkStart w:id="83" w:name="_Toc330471502"/>
      <w:bookmarkStart w:id="84" w:name="_Toc330553021"/>
      <w:bookmarkStart w:id="85" w:name="_Toc339784799"/>
      <w:bookmarkStart w:id="86" w:name="_Toc339852954"/>
      <w:bookmarkStart w:id="87" w:name="_Toc340231724"/>
      <w:bookmarkEnd w:id="79"/>
      <w:bookmarkEnd w:id="80"/>
      <w:bookmarkEnd w:id="81"/>
    </w:p>
    <w:p w:rsidR="00C26097" w:rsidRDefault="00F26EB4" w:rsidP="0041640C">
      <w:pPr>
        <w:pStyle w:val="Prrafodelista"/>
        <w:numPr>
          <w:ilvl w:val="0"/>
          <w:numId w:val="22"/>
        </w:numPr>
        <w:spacing w:line="480" w:lineRule="auto"/>
        <w:ind w:left="1134" w:hanging="283"/>
        <w:jc w:val="both"/>
        <w:rPr>
          <w:rFonts w:ascii="Arial" w:hAnsi="Arial" w:cs="Arial"/>
        </w:rPr>
      </w:pPr>
      <w:r w:rsidRPr="00C26097">
        <w:rPr>
          <w:rFonts w:ascii="Arial" w:hAnsi="Arial" w:cs="Arial"/>
          <w:i/>
        </w:rPr>
        <w:t>¿Cuál es el actual país de residencia?</w:t>
      </w:r>
      <w:bookmarkEnd w:id="82"/>
      <w:bookmarkEnd w:id="83"/>
      <w:bookmarkEnd w:id="84"/>
      <w:r w:rsidR="00377661" w:rsidRPr="00C26097">
        <w:rPr>
          <w:rFonts w:ascii="Arial" w:hAnsi="Arial" w:cs="Arial"/>
        </w:rPr>
        <w:t>:</w:t>
      </w:r>
      <w:r w:rsidR="00B1762D" w:rsidRPr="00C26097">
        <w:rPr>
          <w:rFonts w:ascii="Arial" w:hAnsi="Arial" w:cs="Arial"/>
        </w:rPr>
        <w:t xml:space="preserve"> </w:t>
      </w:r>
      <w:bookmarkStart w:id="88" w:name="_Toc330419568"/>
      <w:bookmarkStart w:id="89" w:name="_Toc330471503"/>
      <w:bookmarkStart w:id="90" w:name="_Toc330553022"/>
      <w:r w:rsidR="00146077" w:rsidRPr="00C26097">
        <w:rPr>
          <w:rFonts w:ascii="Arial" w:hAnsi="Arial" w:cs="Arial"/>
        </w:rPr>
        <w:t>esta pregunta contiene la respuesta de los diferentes países donde viven los emigrantes.</w:t>
      </w:r>
      <w:bookmarkStart w:id="91" w:name="_Toc339784800"/>
      <w:bookmarkStart w:id="92" w:name="_Toc339852955"/>
      <w:bookmarkStart w:id="93" w:name="_Toc340231725"/>
      <w:bookmarkEnd w:id="85"/>
      <w:bookmarkEnd w:id="86"/>
      <w:bookmarkEnd w:id="87"/>
    </w:p>
    <w:p w:rsidR="00F26EB4" w:rsidRPr="00C26097" w:rsidRDefault="00F26EB4" w:rsidP="0041640C">
      <w:pPr>
        <w:pStyle w:val="Prrafodelista"/>
        <w:numPr>
          <w:ilvl w:val="0"/>
          <w:numId w:val="22"/>
        </w:numPr>
        <w:spacing w:line="480" w:lineRule="auto"/>
        <w:ind w:left="1134" w:hanging="283"/>
        <w:jc w:val="both"/>
        <w:rPr>
          <w:rFonts w:ascii="Arial" w:hAnsi="Arial" w:cs="Arial"/>
        </w:rPr>
      </w:pPr>
      <w:r w:rsidRPr="00C26097">
        <w:rPr>
          <w:rFonts w:ascii="Arial" w:hAnsi="Arial" w:cs="Arial"/>
          <w:i/>
        </w:rPr>
        <w:t>¿Cuál fue el principal motivo del viaje?</w:t>
      </w:r>
      <w:bookmarkEnd w:id="60"/>
      <w:bookmarkEnd w:id="61"/>
      <w:bookmarkEnd w:id="62"/>
      <w:bookmarkEnd w:id="63"/>
      <w:bookmarkEnd w:id="88"/>
      <w:bookmarkEnd w:id="89"/>
      <w:bookmarkEnd w:id="90"/>
      <w:r w:rsidR="00377661" w:rsidRPr="00C26097">
        <w:rPr>
          <w:rFonts w:ascii="Arial" w:hAnsi="Arial" w:cs="Arial"/>
        </w:rPr>
        <w:t>:</w:t>
      </w:r>
      <w:r w:rsidR="008F3043" w:rsidRPr="00C26097">
        <w:rPr>
          <w:rFonts w:ascii="Arial" w:hAnsi="Arial" w:cs="Arial"/>
        </w:rPr>
        <w:t xml:space="preserve"> </w:t>
      </w:r>
      <w:r w:rsidR="003C2C1B" w:rsidRPr="00C26097">
        <w:rPr>
          <w:rFonts w:ascii="Arial" w:hAnsi="Arial" w:cs="Arial"/>
        </w:rPr>
        <w:t>las opciones de respuesta son por trabajo, estudio, unión familiar u otro.</w:t>
      </w:r>
      <w:bookmarkEnd w:id="91"/>
      <w:bookmarkEnd w:id="92"/>
      <w:bookmarkEnd w:id="93"/>
      <w:r w:rsidR="003C2C1B" w:rsidRPr="00C26097">
        <w:rPr>
          <w:rFonts w:ascii="Arial" w:hAnsi="Arial" w:cs="Arial"/>
        </w:rPr>
        <w:t xml:space="preserve"> </w:t>
      </w:r>
    </w:p>
    <w:p w:rsidR="00B1762D" w:rsidRPr="00C26097" w:rsidRDefault="00B1762D" w:rsidP="00C26097">
      <w:pPr>
        <w:spacing w:line="480" w:lineRule="auto"/>
        <w:ind w:left="851"/>
        <w:jc w:val="both"/>
        <w:rPr>
          <w:rFonts w:ascii="Arial" w:hAnsi="Arial" w:cs="Arial"/>
        </w:rPr>
      </w:pPr>
    </w:p>
    <w:p w:rsidR="00F26EB4" w:rsidRPr="00AC627C" w:rsidRDefault="00F26EB4" w:rsidP="0041640C">
      <w:pPr>
        <w:pStyle w:val="Prrafodelista"/>
        <w:numPr>
          <w:ilvl w:val="0"/>
          <w:numId w:val="8"/>
        </w:numPr>
        <w:spacing w:line="480" w:lineRule="auto"/>
        <w:ind w:left="1134" w:hanging="283"/>
        <w:jc w:val="both"/>
        <w:rPr>
          <w:rFonts w:ascii="Arial" w:hAnsi="Arial" w:cs="Arial"/>
          <w:b/>
          <w:i/>
        </w:rPr>
      </w:pPr>
      <w:r w:rsidRPr="00AC627C">
        <w:rPr>
          <w:rFonts w:ascii="Arial" w:hAnsi="Arial" w:cs="Arial"/>
          <w:b/>
          <w:i/>
        </w:rPr>
        <w:t xml:space="preserve">Sección </w:t>
      </w:r>
      <w:r>
        <w:rPr>
          <w:rFonts w:ascii="Arial" w:hAnsi="Arial" w:cs="Arial"/>
          <w:b/>
          <w:i/>
        </w:rPr>
        <w:t>4: DATOS DE POBLACIÓN</w:t>
      </w:r>
    </w:p>
    <w:p w:rsidR="00BD3970" w:rsidRPr="00C26097" w:rsidRDefault="00BD3970" w:rsidP="00C26097">
      <w:pPr>
        <w:spacing w:line="480" w:lineRule="auto"/>
        <w:ind w:left="851"/>
        <w:jc w:val="both"/>
        <w:rPr>
          <w:rFonts w:ascii="Arial" w:hAnsi="Arial" w:cs="Arial"/>
        </w:rPr>
      </w:pPr>
      <w:bookmarkStart w:id="94" w:name="_Toc339784801"/>
      <w:bookmarkStart w:id="95" w:name="_Toc339852956"/>
      <w:bookmarkStart w:id="96" w:name="_Toc340231726"/>
      <w:bookmarkStart w:id="97" w:name="_Toc330419569"/>
      <w:bookmarkStart w:id="98" w:name="_Toc330471504"/>
      <w:bookmarkStart w:id="99" w:name="_Toc330553023"/>
      <w:bookmarkStart w:id="100" w:name="_Toc331976380"/>
      <w:bookmarkStart w:id="101" w:name="_Toc331976567"/>
      <w:bookmarkStart w:id="102" w:name="_Toc332571355"/>
      <w:bookmarkStart w:id="103" w:name="_Toc339715529"/>
      <w:r w:rsidRPr="00C26097">
        <w:rPr>
          <w:rFonts w:ascii="Arial" w:hAnsi="Arial" w:cs="Arial"/>
        </w:rPr>
        <w:t>Estas preguntas son consultadas a cada uno de las personas que se encontraban en la vivienda en el momento del empadronamiento, siempre que estas estén en la capacidad de responder; dentro de las preguntas que se usaran en este trabajo tenemos:</w:t>
      </w:r>
      <w:bookmarkEnd w:id="94"/>
      <w:bookmarkEnd w:id="95"/>
      <w:bookmarkEnd w:id="96"/>
      <w:r w:rsidRPr="00C26097">
        <w:rPr>
          <w:rFonts w:ascii="Arial" w:hAnsi="Arial" w:cs="Arial"/>
        </w:rPr>
        <w:t xml:space="preserve"> </w:t>
      </w:r>
    </w:p>
    <w:p w:rsidR="00C26097" w:rsidRDefault="00F26EB4" w:rsidP="0041640C">
      <w:pPr>
        <w:pStyle w:val="Prrafodelista"/>
        <w:numPr>
          <w:ilvl w:val="0"/>
          <w:numId w:val="23"/>
        </w:numPr>
        <w:spacing w:line="480" w:lineRule="auto"/>
        <w:ind w:left="1134" w:hanging="283"/>
        <w:jc w:val="both"/>
        <w:rPr>
          <w:rFonts w:ascii="Arial" w:hAnsi="Arial" w:cs="Arial"/>
        </w:rPr>
      </w:pPr>
      <w:bookmarkStart w:id="104" w:name="_Toc339784802"/>
      <w:bookmarkStart w:id="105" w:name="_Toc339852957"/>
      <w:bookmarkStart w:id="106" w:name="_Toc340231727"/>
      <w:r w:rsidRPr="00C26097">
        <w:rPr>
          <w:rFonts w:ascii="Arial" w:hAnsi="Arial" w:cs="Arial"/>
          <w:i/>
        </w:rPr>
        <w:t>¿Cuál es el sexo?</w:t>
      </w:r>
      <w:bookmarkEnd w:id="97"/>
      <w:bookmarkEnd w:id="98"/>
      <w:bookmarkEnd w:id="99"/>
      <w:r w:rsidR="00BD3970" w:rsidRPr="00C26097">
        <w:rPr>
          <w:rFonts w:ascii="Arial" w:hAnsi="Arial" w:cs="Arial"/>
        </w:rPr>
        <w:t>:</w:t>
      </w:r>
      <w:r w:rsidR="00B1762D" w:rsidRPr="00C26097">
        <w:rPr>
          <w:rFonts w:ascii="Arial" w:hAnsi="Arial" w:cs="Arial"/>
        </w:rPr>
        <w:t xml:space="preserve"> </w:t>
      </w:r>
      <w:bookmarkStart w:id="107" w:name="_Toc330419570"/>
      <w:bookmarkStart w:id="108" w:name="_Toc330471505"/>
      <w:bookmarkStart w:id="109" w:name="_Toc330553024"/>
      <w:r w:rsidR="005B6E96" w:rsidRPr="00C26097">
        <w:rPr>
          <w:rFonts w:ascii="Arial" w:hAnsi="Arial" w:cs="Arial"/>
        </w:rPr>
        <w:t>el sexo puede ser hombre o mujer.</w:t>
      </w:r>
      <w:bookmarkStart w:id="110" w:name="_Toc339784803"/>
      <w:bookmarkStart w:id="111" w:name="_Toc339852958"/>
      <w:bookmarkStart w:id="112" w:name="_Toc340231728"/>
      <w:bookmarkEnd w:id="104"/>
      <w:bookmarkEnd w:id="105"/>
      <w:bookmarkEnd w:id="106"/>
    </w:p>
    <w:p w:rsidR="00C26097" w:rsidRDefault="00F26EB4" w:rsidP="0041640C">
      <w:pPr>
        <w:pStyle w:val="Prrafodelista"/>
        <w:numPr>
          <w:ilvl w:val="0"/>
          <w:numId w:val="23"/>
        </w:numPr>
        <w:spacing w:line="480" w:lineRule="auto"/>
        <w:ind w:left="1134" w:hanging="283"/>
        <w:jc w:val="both"/>
        <w:rPr>
          <w:rFonts w:ascii="Arial" w:hAnsi="Arial" w:cs="Arial"/>
        </w:rPr>
      </w:pPr>
      <w:r w:rsidRPr="00C26097">
        <w:rPr>
          <w:rFonts w:ascii="Arial" w:hAnsi="Arial" w:cs="Arial"/>
          <w:i/>
        </w:rPr>
        <w:t>¿Cuántos años cumplidos tiene?</w:t>
      </w:r>
      <w:bookmarkEnd w:id="107"/>
      <w:bookmarkEnd w:id="108"/>
      <w:bookmarkEnd w:id="109"/>
      <w:r w:rsidR="00BD3970" w:rsidRPr="00C26097">
        <w:rPr>
          <w:rFonts w:ascii="Arial" w:hAnsi="Arial" w:cs="Arial"/>
        </w:rPr>
        <w:t>:</w:t>
      </w:r>
      <w:r w:rsidR="00B1762D" w:rsidRPr="00C26097">
        <w:rPr>
          <w:rFonts w:ascii="Arial" w:hAnsi="Arial" w:cs="Arial"/>
        </w:rPr>
        <w:t xml:space="preserve"> </w:t>
      </w:r>
      <w:bookmarkStart w:id="113" w:name="_Toc330419571"/>
      <w:bookmarkStart w:id="114" w:name="_Toc330471506"/>
      <w:bookmarkStart w:id="115" w:name="_Toc330553025"/>
      <w:r w:rsidR="00BC062A" w:rsidRPr="00C26097">
        <w:rPr>
          <w:rFonts w:ascii="Arial" w:hAnsi="Arial" w:cs="Arial"/>
        </w:rPr>
        <w:t>en esta pregunta se debe especificar la edad del entrevistado, en años, y para la población menor de 1 año se registra como “0”.</w:t>
      </w:r>
      <w:bookmarkStart w:id="116" w:name="_Toc339784804"/>
      <w:bookmarkStart w:id="117" w:name="_Toc339852959"/>
      <w:bookmarkStart w:id="118" w:name="_Toc340231729"/>
      <w:bookmarkEnd w:id="110"/>
      <w:bookmarkEnd w:id="111"/>
      <w:bookmarkEnd w:id="112"/>
    </w:p>
    <w:p w:rsidR="00C26097" w:rsidRDefault="00F26EB4" w:rsidP="0041640C">
      <w:pPr>
        <w:pStyle w:val="Prrafodelista"/>
        <w:numPr>
          <w:ilvl w:val="0"/>
          <w:numId w:val="23"/>
        </w:numPr>
        <w:spacing w:line="480" w:lineRule="auto"/>
        <w:ind w:left="1134" w:hanging="283"/>
        <w:jc w:val="both"/>
        <w:rPr>
          <w:rFonts w:ascii="Arial" w:hAnsi="Arial" w:cs="Arial"/>
        </w:rPr>
      </w:pPr>
      <w:r w:rsidRPr="00C26097">
        <w:rPr>
          <w:rFonts w:ascii="Arial" w:hAnsi="Arial" w:cs="Arial"/>
          <w:i/>
        </w:rPr>
        <w:lastRenderedPageBreak/>
        <w:t>¿En dónde nació?</w:t>
      </w:r>
      <w:bookmarkEnd w:id="113"/>
      <w:bookmarkEnd w:id="114"/>
      <w:bookmarkEnd w:id="115"/>
      <w:r w:rsidR="00BD3970" w:rsidRPr="00C26097">
        <w:rPr>
          <w:rFonts w:ascii="Arial" w:hAnsi="Arial" w:cs="Arial"/>
        </w:rPr>
        <w:t>:</w:t>
      </w:r>
      <w:r w:rsidR="00B1762D" w:rsidRPr="00C26097">
        <w:rPr>
          <w:rFonts w:ascii="Arial" w:hAnsi="Arial" w:cs="Arial"/>
        </w:rPr>
        <w:t xml:space="preserve"> </w:t>
      </w:r>
      <w:bookmarkStart w:id="119" w:name="_Toc330419572"/>
      <w:bookmarkStart w:id="120" w:name="_Toc330471507"/>
      <w:bookmarkStart w:id="121" w:name="_Toc330553026"/>
      <w:r w:rsidR="000F534E" w:rsidRPr="00C26097">
        <w:rPr>
          <w:rFonts w:ascii="Arial" w:hAnsi="Arial" w:cs="Arial"/>
        </w:rPr>
        <w:t xml:space="preserve">en esta pregunta se tiene </w:t>
      </w:r>
      <w:r w:rsidR="00CE00CA" w:rsidRPr="00C26097">
        <w:rPr>
          <w:rFonts w:ascii="Arial" w:hAnsi="Arial" w:cs="Arial"/>
        </w:rPr>
        <w:t>el lugar donde nació el empadronado, así como también se debe especificar la parroquia, cantón y provincia en caso de no haber nacido en el lugar de empadronamiento pero s</w:t>
      </w:r>
      <w:r w:rsidR="000F534E" w:rsidRPr="00C26097">
        <w:rPr>
          <w:rFonts w:ascii="Arial" w:hAnsi="Arial" w:cs="Arial"/>
        </w:rPr>
        <w:t>í</w:t>
      </w:r>
      <w:r w:rsidR="00CE00CA" w:rsidRPr="00C26097">
        <w:rPr>
          <w:rFonts w:ascii="Arial" w:hAnsi="Arial" w:cs="Arial"/>
        </w:rPr>
        <w:t xml:space="preserve"> en otra parte del Ecuador; y, si nació en el exterior se debe especificar el nombre del país.</w:t>
      </w:r>
      <w:bookmarkStart w:id="122" w:name="_Toc339784805"/>
      <w:bookmarkStart w:id="123" w:name="_Toc339852960"/>
      <w:bookmarkStart w:id="124" w:name="_Toc340231730"/>
      <w:bookmarkEnd w:id="116"/>
      <w:bookmarkEnd w:id="117"/>
      <w:bookmarkEnd w:id="118"/>
    </w:p>
    <w:p w:rsidR="00C26097" w:rsidRDefault="00F26EB4" w:rsidP="0041640C">
      <w:pPr>
        <w:pStyle w:val="Prrafodelista"/>
        <w:numPr>
          <w:ilvl w:val="0"/>
          <w:numId w:val="23"/>
        </w:numPr>
        <w:spacing w:line="480" w:lineRule="auto"/>
        <w:ind w:left="1134" w:hanging="283"/>
        <w:jc w:val="both"/>
        <w:rPr>
          <w:rFonts w:ascii="Arial" w:hAnsi="Arial" w:cs="Arial"/>
        </w:rPr>
      </w:pPr>
      <w:r w:rsidRPr="00C26097">
        <w:rPr>
          <w:rFonts w:ascii="Arial" w:hAnsi="Arial" w:cs="Arial"/>
          <w:i/>
        </w:rPr>
        <w:t>¿En qué lugar vive habitualmente?</w:t>
      </w:r>
      <w:bookmarkEnd w:id="119"/>
      <w:bookmarkEnd w:id="120"/>
      <w:bookmarkEnd w:id="121"/>
      <w:r w:rsidR="00BD3970" w:rsidRPr="00C26097">
        <w:rPr>
          <w:rFonts w:ascii="Arial" w:hAnsi="Arial" w:cs="Arial"/>
        </w:rPr>
        <w:t>:</w:t>
      </w:r>
      <w:r w:rsidR="00B1762D" w:rsidRPr="00C26097">
        <w:rPr>
          <w:rFonts w:ascii="Arial" w:hAnsi="Arial" w:cs="Arial"/>
        </w:rPr>
        <w:t xml:space="preserve"> </w:t>
      </w:r>
      <w:bookmarkStart w:id="125" w:name="_Toc330419573"/>
      <w:bookmarkStart w:id="126" w:name="_Toc330471508"/>
      <w:bookmarkStart w:id="127" w:name="_Toc330553027"/>
      <w:r w:rsidR="00330792" w:rsidRPr="00C26097">
        <w:rPr>
          <w:rFonts w:ascii="Arial" w:hAnsi="Arial" w:cs="Arial"/>
        </w:rPr>
        <w:t>al igual que en la pregunta anterior, se debe especificar la parroquia, cantón, provincia o país de residencia habitual dependiendo de la situación.</w:t>
      </w:r>
      <w:bookmarkStart w:id="128" w:name="_Toc339784806"/>
      <w:bookmarkStart w:id="129" w:name="_Toc339852961"/>
      <w:bookmarkStart w:id="130" w:name="_Toc340231731"/>
      <w:bookmarkEnd w:id="122"/>
      <w:bookmarkEnd w:id="123"/>
      <w:bookmarkEnd w:id="124"/>
    </w:p>
    <w:p w:rsidR="00C26097" w:rsidRDefault="00F26EB4" w:rsidP="0041640C">
      <w:pPr>
        <w:pStyle w:val="Prrafodelista"/>
        <w:numPr>
          <w:ilvl w:val="0"/>
          <w:numId w:val="23"/>
        </w:numPr>
        <w:spacing w:line="480" w:lineRule="auto"/>
        <w:ind w:left="1134" w:hanging="283"/>
        <w:jc w:val="both"/>
        <w:rPr>
          <w:rFonts w:ascii="Arial" w:hAnsi="Arial" w:cs="Arial"/>
        </w:rPr>
      </w:pPr>
      <w:r w:rsidRPr="00C26097">
        <w:rPr>
          <w:rFonts w:ascii="Arial" w:hAnsi="Arial" w:cs="Arial"/>
          <w:i/>
        </w:rPr>
        <w:t>Hace 5 años (Noviembre 2005), ¿en qué lugar vivía habitualmente?</w:t>
      </w:r>
      <w:bookmarkEnd w:id="125"/>
      <w:bookmarkEnd w:id="126"/>
      <w:bookmarkEnd w:id="127"/>
      <w:r w:rsidR="00BD3970" w:rsidRPr="00C26097">
        <w:rPr>
          <w:rFonts w:ascii="Arial" w:hAnsi="Arial" w:cs="Arial"/>
        </w:rPr>
        <w:t>:</w:t>
      </w:r>
      <w:r w:rsidR="00BE023D" w:rsidRPr="00C26097">
        <w:rPr>
          <w:rFonts w:ascii="Arial" w:hAnsi="Arial" w:cs="Arial"/>
        </w:rPr>
        <w:t xml:space="preserve"> la respuesta es igual a la de las dos preguntas anteriores, pues el empadronado debe especificar el lugar donde vivía hace 5 años.</w:t>
      </w:r>
      <w:bookmarkStart w:id="131" w:name="_Toc330419574"/>
      <w:bookmarkStart w:id="132" w:name="_Toc330471509"/>
      <w:bookmarkStart w:id="133" w:name="_Toc330553028"/>
      <w:bookmarkStart w:id="134" w:name="_Toc339784807"/>
      <w:bookmarkStart w:id="135" w:name="_Toc339852962"/>
      <w:bookmarkStart w:id="136" w:name="_Toc340231732"/>
      <w:bookmarkEnd w:id="128"/>
      <w:bookmarkEnd w:id="129"/>
      <w:bookmarkEnd w:id="130"/>
    </w:p>
    <w:p w:rsidR="004114E4" w:rsidRPr="00C26097" w:rsidRDefault="00F26EB4" w:rsidP="0041640C">
      <w:pPr>
        <w:pStyle w:val="Prrafodelista"/>
        <w:numPr>
          <w:ilvl w:val="0"/>
          <w:numId w:val="23"/>
        </w:numPr>
        <w:spacing w:line="480" w:lineRule="auto"/>
        <w:ind w:left="1134" w:hanging="283"/>
        <w:jc w:val="both"/>
        <w:rPr>
          <w:rFonts w:ascii="Arial" w:hAnsi="Arial" w:cs="Arial"/>
        </w:rPr>
      </w:pPr>
      <w:r w:rsidRPr="00C26097">
        <w:rPr>
          <w:rFonts w:ascii="Arial" w:hAnsi="Arial" w:cs="Arial"/>
          <w:i/>
        </w:rPr>
        <w:t>¿Cómo se identifica según su cultura y costumbre?</w:t>
      </w:r>
      <w:bookmarkEnd w:id="131"/>
      <w:bookmarkEnd w:id="132"/>
      <w:bookmarkEnd w:id="133"/>
      <w:r w:rsidR="004114E4" w:rsidRPr="00C26097">
        <w:rPr>
          <w:rFonts w:ascii="Arial" w:hAnsi="Arial" w:cs="Arial"/>
        </w:rPr>
        <w:t>:</w:t>
      </w:r>
      <w:r w:rsidR="005C7554" w:rsidRPr="00C26097">
        <w:rPr>
          <w:rFonts w:ascii="Arial" w:hAnsi="Arial" w:cs="Arial"/>
        </w:rPr>
        <w:t xml:space="preserve"> dentro de las opciones de respuesta están </w:t>
      </w:r>
      <w:r w:rsidR="000760F8" w:rsidRPr="00C26097">
        <w:rPr>
          <w:rFonts w:ascii="Arial" w:hAnsi="Arial" w:cs="Arial"/>
        </w:rPr>
        <w:t>indígena, afroecuatoriano o afrodescendiente, negro, mulato, montubio, mestizo, blanco u otro.</w:t>
      </w:r>
      <w:bookmarkEnd w:id="134"/>
      <w:bookmarkEnd w:id="135"/>
      <w:bookmarkEnd w:id="136"/>
      <w:r w:rsidR="000760F8" w:rsidRPr="00C26097">
        <w:rPr>
          <w:rFonts w:ascii="Arial" w:hAnsi="Arial" w:cs="Arial"/>
        </w:rPr>
        <w:t xml:space="preserve"> </w:t>
      </w:r>
    </w:p>
    <w:p w:rsidR="00862D45" w:rsidRPr="00C26097" w:rsidRDefault="00862D45" w:rsidP="00C26097">
      <w:pPr>
        <w:spacing w:line="480" w:lineRule="auto"/>
        <w:jc w:val="both"/>
        <w:rPr>
          <w:rFonts w:ascii="Arial" w:hAnsi="Arial" w:cs="Arial"/>
        </w:rPr>
      </w:pPr>
    </w:p>
    <w:p w:rsidR="004114E4" w:rsidRPr="00C26097" w:rsidRDefault="004114E4" w:rsidP="00C26097">
      <w:pPr>
        <w:spacing w:line="480" w:lineRule="auto"/>
        <w:ind w:left="851"/>
        <w:jc w:val="both"/>
        <w:rPr>
          <w:rFonts w:ascii="Arial" w:hAnsi="Arial" w:cs="Arial"/>
        </w:rPr>
      </w:pPr>
      <w:bookmarkStart w:id="137" w:name="_Toc339784808"/>
      <w:bookmarkStart w:id="138" w:name="_Toc339852963"/>
      <w:bookmarkStart w:id="139" w:name="_Toc340231733"/>
      <w:r w:rsidRPr="00C26097">
        <w:rPr>
          <w:rFonts w:ascii="Arial" w:hAnsi="Arial" w:cs="Arial"/>
        </w:rPr>
        <w:t>Las siguientes preguntas son solamente consultadas a la población que tiene 5 años o más:</w:t>
      </w:r>
      <w:bookmarkEnd w:id="137"/>
      <w:bookmarkEnd w:id="138"/>
      <w:bookmarkEnd w:id="139"/>
      <w:r w:rsidR="00B1762D" w:rsidRPr="00C26097">
        <w:rPr>
          <w:rFonts w:ascii="Arial" w:hAnsi="Arial" w:cs="Arial"/>
        </w:rPr>
        <w:t xml:space="preserve"> </w:t>
      </w:r>
      <w:bookmarkStart w:id="140" w:name="_Toc330419575"/>
      <w:bookmarkStart w:id="141" w:name="_Toc330471510"/>
      <w:bookmarkStart w:id="142" w:name="_Toc330553029"/>
    </w:p>
    <w:p w:rsidR="00C26097" w:rsidRDefault="00F26EB4" w:rsidP="0041640C">
      <w:pPr>
        <w:pStyle w:val="Prrafodelista"/>
        <w:numPr>
          <w:ilvl w:val="0"/>
          <w:numId w:val="23"/>
        </w:numPr>
        <w:spacing w:line="480" w:lineRule="auto"/>
        <w:ind w:left="1134" w:hanging="283"/>
        <w:jc w:val="both"/>
        <w:rPr>
          <w:rFonts w:ascii="Arial" w:hAnsi="Arial" w:cs="Arial"/>
        </w:rPr>
      </w:pPr>
      <w:bookmarkStart w:id="143" w:name="_Toc339784809"/>
      <w:bookmarkStart w:id="144" w:name="_Toc339852964"/>
      <w:bookmarkStart w:id="145" w:name="_Toc340231734"/>
      <w:r w:rsidRPr="00C26097">
        <w:rPr>
          <w:rFonts w:ascii="Arial" w:hAnsi="Arial" w:cs="Arial"/>
          <w:i/>
        </w:rPr>
        <w:t>¿Sabe leer y escribir?</w:t>
      </w:r>
      <w:bookmarkEnd w:id="140"/>
      <w:bookmarkEnd w:id="141"/>
      <w:bookmarkEnd w:id="142"/>
      <w:r w:rsidR="00862D45" w:rsidRPr="00C26097">
        <w:rPr>
          <w:rFonts w:ascii="Arial" w:hAnsi="Arial" w:cs="Arial"/>
        </w:rPr>
        <w:t>:</w:t>
      </w:r>
      <w:r w:rsidR="00B1762D" w:rsidRPr="00C26097">
        <w:rPr>
          <w:rFonts w:ascii="Arial" w:hAnsi="Arial" w:cs="Arial"/>
        </w:rPr>
        <w:t xml:space="preserve"> </w:t>
      </w:r>
      <w:bookmarkStart w:id="146" w:name="_Toc330419576"/>
      <w:bookmarkStart w:id="147" w:name="_Toc330471511"/>
      <w:bookmarkStart w:id="148" w:name="_Toc330553030"/>
      <w:r w:rsidR="00AD004B" w:rsidRPr="00C26097">
        <w:rPr>
          <w:rFonts w:ascii="Arial" w:hAnsi="Arial" w:cs="Arial"/>
        </w:rPr>
        <w:t>las opciones de respuesta son sí o no.</w:t>
      </w:r>
      <w:bookmarkStart w:id="149" w:name="_Toc339784810"/>
      <w:bookmarkStart w:id="150" w:name="_Toc339852965"/>
      <w:bookmarkStart w:id="151" w:name="_Toc340231735"/>
      <w:bookmarkEnd w:id="143"/>
      <w:bookmarkEnd w:id="144"/>
      <w:bookmarkEnd w:id="145"/>
    </w:p>
    <w:p w:rsidR="00C26097" w:rsidRDefault="00F26EB4" w:rsidP="0041640C">
      <w:pPr>
        <w:pStyle w:val="Prrafodelista"/>
        <w:numPr>
          <w:ilvl w:val="0"/>
          <w:numId w:val="23"/>
        </w:numPr>
        <w:spacing w:line="480" w:lineRule="auto"/>
        <w:ind w:left="1134" w:hanging="283"/>
        <w:jc w:val="both"/>
        <w:rPr>
          <w:rFonts w:ascii="Arial" w:hAnsi="Arial" w:cs="Arial"/>
        </w:rPr>
      </w:pPr>
      <w:r w:rsidRPr="00C26097">
        <w:rPr>
          <w:rFonts w:ascii="Arial" w:hAnsi="Arial" w:cs="Arial"/>
          <w:i/>
        </w:rPr>
        <w:t>¿Cuál es el nivel de instrucción más alto al que asiste o asistió?</w:t>
      </w:r>
      <w:bookmarkEnd w:id="146"/>
      <w:bookmarkEnd w:id="147"/>
      <w:bookmarkEnd w:id="148"/>
      <w:r w:rsidR="00862D45" w:rsidRPr="00C26097">
        <w:rPr>
          <w:rFonts w:ascii="Arial" w:hAnsi="Arial" w:cs="Arial"/>
        </w:rPr>
        <w:t>:</w:t>
      </w:r>
      <w:r w:rsidR="00B1762D" w:rsidRPr="00C26097">
        <w:rPr>
          <w:rFonts w:ascii="Arial" w:hAnsi="Arial" w:cs="Arial"/>
        </w:rPr>
        <w:t xml:space="preserve"> </w:t>
      </w:r>
      <w:bookmarkStart w:id="152" w:name="_Toc330419577"/>
      <w:bookmarkStart w:id="153" w:name="_Toc330471512"/>
      <w:bookmarkStart w:id="154" w:name="_Toc330553031"/>
      <w:r w:rsidR="00AD004B" w:rsidRPr="00C26097">
        <w:rPr>
          <w:rFonts w:ascii="Arial" w:hAnsi="Arial" w:cs="Arial"/>
        </w:rPr>
        <w:t xml:space="preserve">las posibles respuestas son ninguno, centro de alfabetización, preescolar, primario, secundario, </w:t>
      </w:r>
      <w:r w:rsidR="001C6964" w:rsidRPr="00C26097">
        <w:rPr>
          <w:rFonts w:ascii="Arial" w:hAnsi="Arial" w:cs="Arial"/>
        </w:rPr>
        <w:t>educación básic</w:t>
      </w:r>
      <w:r w:rsidR="008D6BFB" w:rsidRPr="00C26097">
        <w:rPr>
          <w:rFonts w:ascii="Arial" w:hAnsi="Arial" w:cs="Arial"/>
        </w:rPr>
        <w:t>a</w:t>
      </w:r>
      <w:r w:rsidR="001C6964" w:rsidRPr="00C26097">
        <w:rPr>
          <w:rFonts w:ascii="Arial" w:hAnsi="Arial" w:cs="Arial"/>
        </w:rPr>
        <w:t>, bachillerato – educación media, ciclo postbachillerato, superior</w:t>
      </w:r>
      <w:r w:rsidR="008D6BFB" w:rsidRPr="00C26097">
        <w:rPr>
          <w:rFonts w:ascii="Arial" w:hAnsi="Arial" w:cs="Arial"/>
        </w:rPr>
        <w:t xml:space="preserve"> o postgrado; esta variable será recodificada y las únicas opciones de las cuales se hablará en esta </w:t>
      </w:r>
      <w:r w:rsidR="008D6BFB" w:rsidRPr="00C26097">
        <w:rPr>
          <w:rFonts w:ascii="Arial" w:hAnsi="Arial" w:cs="Arial"/>
        </w:rPr>
        <w:lastRenderedPageBreak/>
        <w:t>investigación son ninguno, centro de alfabetización, primaria, secundaria y superior.</w:t>
      </w:r>
      <w:bookmarkEnd w:id="149"/>
      <w:bookmarkEnd w:id="150"/>
      <w:bookmarkEnd w:id="151"/>
      <w:r w:rsidR="00570692" w:rsidRPr="00C26097">
        <w:rPr>
          <w:rFonts w:ascii="Arial" w:hAnsi="Arial" w:cs="Arial"/>
        </w:rPr>
        <w:t xml:space="preserve"> </w:t>
      </w:r>
      <w:bookmarkStart w:id="155" w:name="_Toc339784811"/>
      <w:bookmarkStart w:id="156" w:name="_Toc339852966"/>
      <w:bookmarkStart w:id="157" w:name="_Toc340231736"/>
    </w:p>
    <w:p w:rsidR="00C26097" w:rsidRDefault="00F26EB4" w:rsidP="0041640C">
      <w:pPr>
        <w:pStyle w:val="Prrafodelista"/>
        <w:numPr>
          <w:ilvl w:val="0"/>
          <w:numId w:val="23"/>
        </w:numPr>
        <w:spacing w:line="480" w:lineRule="auto"/>
        <w:ind w:left="1134" w:hanging="283"/>
        <w:jc w:val="both"/>
        <w:rPr>
          <w:rFonts w:ascii="Arial" w:hAnsi="Arial" w:cs="Arial"/>
        </w:rPr>
      </w:pPr>
      <w:r w:rsidRPr="00C26097">
        <w:rPr>
          <w:rFonts w:ascii="Arial" w:hAnsi="Arial" w:cs="Arial"/>
          <w:i/>
        </w:rPr>
        <w:t>¿Qué hizo la semana pasada?</w:t>
      </w:r>
      <w:bookmarkEnd w:id="152"/>
      <w:bookmarkEnd w:id="153"/>
      <w:bookmarkEnd w:id="154"/>
      <w:r w:rsidR="00C1046E" w:rsidRPr="00C26097">
        <w:rPr>
          <w:rFonts w:ascii="Arial" w:hAnsi="Arial" w:cs="Arial"/>
        </w:rPr>
        <w:t>:</w:t>
      </w:r>
      <w:r w:rsidR="00B1762D" w:rsidRPr="00C26097">
        <w:rPr>
          <w:rFonts w:ascii="Arial" w:hAnsi="Arial" w:cs="Arial"/>
        </w:rPr>
        <w:t xml:space="preserve"> </w:t>
      </w:r>
      <w:bookmarkStart w:id="158" w:name="_Toc330419578"/>
      <w:bookmarkStart w:id="159" w:name="_Toc330471513"/>
      <w:bookmarkStart w:id="160" w:name="_Toc330553032"/>
      <w:r w:rsidR="001817BE" w:rsidRPr="00C26097">
        <w:rPr>
          <w:rFonts w:ascii="Arial" w:hAnsi="Arial" w:cs="Arial"/>
        </w:rPr>
        <w:t>las opciones de respuesta son Trabajó al menos una hora, No trabajó pero SI tiene trabajo, Al menos una hora fabricó algún producto o brindó algún servicio, Al menos una hora ayudó en algún negocio o trabajo de un familiar, Al menos una hora realizó labores agrícolas o cuidó animales, Es Cesante: Buscó trabajo habiendo trabajado antes y está disponible para trabajar o No trabajó.</w:t>
      </w:r>
      <w:bookmarkStart w:id="161" w:name="_Toc339784812"/>
      <w:bookmarkStart w:id="162" w:name="_Toc339852967"/>
      <w:bookmarkStart w:id="163" w:name="_Toc340231737"/>
      <w:bookmarkEnd w:id="155"/>
      <w:bookmarkEnd w:id="156"/>
      <w:bookmarkEnd w:id="157"/>
    </w:p>
    <w:p w:rsidR="00C26097" w:rsidRDefault="00F26EB4" w:rsidP="0041640C">
      <w:pPr>
        <w:pStyle w:val="Prrafodelista"/>
        <w:numPr>
          <w:ilvl w:val="0"/>
          <w:numId w:val="23"/>
        </w:numPr>
        <w:spacing w:line="480" w:lineRule="auto"/>
        <w:ind w:left="1134" w:hanging="283"/>
        <w:jc w:val="both"/>
        <w:rPr>
          <w:rFonts w:ascii="Arial" w:hAnsi="Arial" w:cs="Arial"/>
        </w:rPr>
      </w:pPr>
      <w:r w:rsidRPr="00C26097">
        <w:rPr>
          <w:rFonts w:ascii="Arial" w:hAnsi="Arial" w:cs="Arial"/>
          <w:i/>
        </w:rPr>
        <w:t>¿Si NO ha trabajado…?</w:t>
      </w:r>
      <w:bookmarkEnd w:id="158"/>
      <w:bookmarkEnd w:id="159"/>
      <w:bookmarkEnd w:id="160"/>
      <w:r w:rsidR="00C1046E" w:rsidRPr="00C26097">
        <w:rPr>
          <w:rFonts w:ascii="Arial" w:hAnsi="Arial" w:cs="Arial"/>
        </w:rPr>
        <w:t>:</w:t>
      </w:r>
      <w:r w:rsidR="00B1762D" w:rsidRPr="00C26097">
        <w:rPr>
          <w:rFonts w:ascii="Arial" w:hAnsi="Arial" w:cs="Arial"/>
        </w:rPr>
        <w:t xml:space="preserve"> </w:t>
      </w:r>
      <w:bookmarkStart w:id="164" w:name="_Toc330419579"/>
      <w:bookmarkStart w:id="165" w:name="_Toc330471514"/>
      <w:bookmarkStart w:id="166" w:name="_Toc330553033"/>
      <w:r w:rsidR="007E1C7B" w:rsidRPr="00C26097">
        <w:rPr>
          <w:rFonts w:ascii="Arial" w:hAnsi="Arial" w:cs="Arial"/>
        </w:rPr>
        <w:t xml:space="preserve">esta pregunta consta de siete opciones de respuesta, que las podrá encontrar en la boleta censal que se encuentra en el </w:t>
      </w:r>
      <w:r w:rsidR="007E1C7B" w:rsidRPr="00C26097">
        <w:rPr>
          <w:rFonts w:ascii="Arial" w:hAnsi="Arial" w:cs="Arial"/>
          <w:i/>
        </w:rPr>
        <w:t>Anexo A</w:t>
      </w:r>
      <w:r w:rsidR="00C80AB3" w:rsidRPr="00C26097">
        <w:rPr>
          <w:rFonts w:ascii="Arial" w:hAnsi="Arial" w:cs="Arial"/>
          <w:i/>
        </w:rPr>
        <w:t>.1</w:t>
      </w:r>
      <w:r w:rsidR="007E1C7B" w:rsidRPr="00C26097">
        <w:rPr>
          <w:rFonts w:ascii="Arial" w:hAnsi="Arial" w:cs="Arial"/>
        </w:rPr>
        <w:t xml:space="preserve"> de este trabajo.</w:t>
      </w:r>
      <w:bookmarkStart w:id="167" w:name="_Toc339784813"/>
      <w:bookmarkStart w:id="168" w:name="_Toc339852968"/>
      <w:bookmarkStart w:id="169" w:name="_Toc340231738"/>
      <w:bookmarkEnd w:id="161"/>
      <w:bookmarkEnd w:id="162"/>
      <w:bookmarkEnd w:id="163"/>
    </w:p>
    <w:p w:rsidR="00C26097" w:rsidRDefault="00B25BD5" w:rsidP="0041640C">
      <w:pPr>
        <w:pStyle w:val="Prrafodelista"/>
        <w:numPr>
          <w:ilvl w:val="0"/>
          <w:numId w:val="23"/>
        </w:numPr>
        <w:spacing w:line="480" w:lineRule="auto"/>
        <w:ind w:left="1134" w:hanging="283"/>
        <w:jc w:val="both"/>
        <w:rPr>
          <w:rFonts w:ascii="Arial" w:hAnsi="Arial" w:cs="Arial"/>
        </w:rPr>
      </w:pPr>
      <w:r w:rsidRPr="00C26097">
        <w:rPr>
          <w:rFonts w:ascii="Arial" w:hAnsi="Arial" w:cs="Arial"/>
          <w:i/>
        </w:rPr>
        <w:t>¿Qué hace o que es (….) en donde trabaja o trabajó?</w:t>
      </w:r>
      <w:r w:rsidRPr="00C26097">
        <w:rPr>
          <w:rFonts w:ascii="Arial" w:hAnsi="Arial" w:cs="Arial"/>
        </w:rPr>
        <w:t>:</w:t>
      </w:r>
      <w:r w:rsidR="00016359" w:rsidRPr="00C26097">
        <w:rPr>
          <w:rFonts w:ascii="Arial" w:hAnsi="Arial" w:cs="Arial"/>
        </w:rPr>
        <w:t xml:space="preserve"> para esta investigación utilizaremos la codificación </w:t>
      </w:r>
      <w:r w:rsidR="009E2B85" w:rsidRPr="00C26097">
        <w:rPr>
          <w:rFonts w:ascii="Arial" w:hAnsi="Arial" w:cs="Arial"/>
        </w:rPr>
        <w:t>proporcionada</w:t>
      </w:r>
      <w:r w:rsidR="00016359" w:rsidRPr="00C26097">
        <w:rPr>
          <w:rFonts w:ascii="Arial" w:hAnsi="Arial" w:cs="Arial"/>
        </w:rPr>
        <w:t xml:space="preserve"> por el INEC</w:t>
      </w:r>
      <w:r w:rsidR="00613884" w:rsidRPr="00C26097">
        <w:rPr>
          <w:rFonts w:ascii="Arial" w:hAnsi="Arial" w:cs="Arial"/>
        </w:rPr>
        <w:t>, respecto a la ocupación de las personas empadronadas mayores de 5 años</w:t>
      </w:r>
      <w:r w:rsidR="00016359" w:rsidRPr="00C26097">
        <w:rPr>
          <w:rFonts w:ascii="Arial" w:hAnsi="Arial" w:cs="Arial"/>
        </w:rPr>
        <w:t>.</w:t>
      </w:r>
      <w:bookmarkStart w:id="170" w:name="_Toc339784814"/>
      <w:bookmarkStart w:id="171" w:name="_Toc339852969"/>
      <w:bookmarkStart w:id="172" w:name="_Toc340231739"/>
      <w:bookmarkEnd w:id="167"/>
      <w:bookmarkEnd w:id="168"/>
      <w:bookmarkEnd w:id="169"/>
    </w:p>
    <w:p w:rsidR="00C26097" w:rsidRDefault="00F26EB4" w:rsidP="0041640C">
      <w:pPr>
        <w:pStyle w:val="Prrafodelista"/>
        <w:numPr>
          <w:ilvl w:val="0"/>
          <w:numId w:val="23"/>
        </w:numPr>
        <w:spacing w:line="480" w:lineRule="auto"/>
        <w:ind w:left="1134" w:hanging="283"/>
        <w:jc w:val="both"/>
        <w:rPr>
          <w:rFonts w:ascii="Arial" w:hAnsi="Arial" w:cs="Arial"/>
        </w:rPr>
      </w:pPr>
      <w:r w:rsidRPr="00C26097">
        <w:rPr>
          <w:rFonts w:ascii="Arial" w:hAnsi="Arial" w:cs="Arial"/>
          <w:i/>
        </w:rPr>
        <w:t>¿En el lugar indicado trabaja o trabajó como…?</w:t>
      </w:r>
      <w:bookmarkStart w:id="173" w:name="_Toc330419580"/>
      <w:bookmarkStart w:id="174" w:name="_Toc330471515"/>
      <w:bookmarkStart w:id="175" w:name="_Toc330553034"/>
      <w:bookmarkEnd w:id="164"/>
      <w:bookmarkEnd w:id="165"/>
      <w:bookmarkEnd w:id="166"/>
      <w:r w:rsidR="00A0307D" w:rsidRPr="00C26097">
        <w:rPr>
          <w:rFonts w:ascii="Arial" w:hAnsi="Arial" w:cs="Arial"/>
        </w:rPr>
        <w:t>:</w:t>
      </w:r>
      <w:r w:rsidR="00B1762D" w:rsidRPr="00C26097">
        <w:rPr>
          <w:rFonts w:ascii="Arial" w:hAnsi="Arial" w:cs="Arial"/>
        </w:rPr>
        <w:t xml:space="preserve"> </w:t>
      </w:r>
      <w:r w:rsidR="00815790" w:rsidRPr="00C26097">
        <w:rPr>
          <w:rFonts w:ascii="Arial" w:hAnsi="Arial" w:cs="Arial"/>
        </w:rPr>
        <w:t>esta pregunta consta de ocho opciones de respuesta como Empleado/a u obrero/a del Estado, Gobierno, Municipio, Consejo Provincial, Juntas Parroquiales; Empleado /a u obrero/a privado, Jornalero/a o peón, Cuenta propia, entre otros.</w:t>
      </w:r>
      <w:bookmarkStart w:id="176" w:name="_Toc339784815"/>
      <w:bookmarkStart w:id="177" w:name="_Toc339852970"/>
      <w:bookmarkStart w:id="178" w:name="_Toc340231740"/>
      <w:bookmarkEnd w:id="170"/>
      <w:bookmarkEnd w:id="171"/>
      <w:bookmarkEnd w:id="172"/>
    </w:p>
    <w:p w:rsidR="00F26EB4" w:rsidRPr="00C26097" w:rsidRDefault="00F26EB4" w:rsidP="0041640C">
      <w:pPr>
        <w:pStyle w:val="Prrafodelista"/>
        <w:numPr>
          <w:ilvl w:val="0"/>
          <w:numId w:val="23"/>
        </w:numPr>
        <w:spacing w:line="480" w:lineRule="auto"/>
        <w:ind w:left="1134" w:hanging="283"/>
        <w:jc w:val="both"/>
        <w:rPr>
          <w:rFonts w:ascii="Arial" w:hAnsi="Arial" w:cs="Arial"/>
        </w:rPr>
      </w:pPr>
      <w:r w:rsidRPr="00C26097">
        <w:rPr>
          <w:rFonts w:ascii="Arial" w:hAnsi="Arial" w:cs="Arial"/>
          <w:i/>
        </w:rPr>
        <w:t>¿Actualmente está…? (Estado Conyugal)</w:t>
      </w:r>
      <w:bookmarkEnd w:id="100"/>
      <w:bookmarkEnd w:id="101"/>
      <w:bookmarkEnd w:id="102"/>
      <w:bookmarkEnd w:id="103"/>
      <w:bookmarkEnd w:id="173"/>
      <w:bookmarkEnd w:id="174"/>
      <w:bookmarkEnd w:id="175"/>
      <w:r w:rsidR="00A0307D" w:rsidRPr="00C26097">
        <w:rPr>
          <w:rFonts w:ascii="Arial" w:hAnsi="Arial" w:cs="Arial"/>
        </w:rPr>
        <w:t>: entre las opciones de respuesta tenemos casado, unido, separado, divorciado, viudo o soltero</w:t>
      </w:r>
      <w:r w:rsidR="00C16501" w:rsidRPr="00C26097">
        <w:rPr>
          <w:rFonts w:ascii="Arial" w:hAnsi="Arial" w:cs="Arial"/>
        </w:rPr>
        <w:t>; y, esta pregunta es consultada simplemente a la población que tiene 12 años o más.</w:t>
      </w:r>
      <w:bookmarkEnd w:id="176"/>
      <w:bookmarkEnd w:id="177"/>
      <w:bookmarkEnd w:id="178"/>
    </w:p>
    <w:p w:rsidR="00B1762D" w:rsidRPr="00C26097" w:rsidRDefault="00B1762D" w:rsidP="00C26097">
      <w:pPr>
        <w:spacing w:line="480" w:lineRule="auto"/>
        <w:jc w:val="both"/>
        <w:rPr>
          <w:rFonts w:ascii="Arial" w:hAnsi="Arial" w:cs="Arial"/>
        </w:rPr>
      </w:pPr>
    </w:p>
    <w:p w:rsidR="00A633CB" w:rsidRPr="00C26097" w:rsidRDefault="00952955" w:rsidP="00C26097">
      <w:pPr>
        <w:spacing w:line="480" w:lineRule="auto"/>
        <w:ind w:left="851"/>
        <w:jc w:val="both"/>
        <w:rPr>
          <w:rFonts w:ascii="Arial" w:hAnsi="Arial" w:cs="Arial"/>
        </w:rPr>
      </w:pPr>
      <w:r w:rsidRPr="00C26097">
        <w:rPr>
          <w:rFonts w:ascii="Arial" w:hAnsi="Arial" w:cs="Arial"/>
        </w:rPr>
        <w:lastRenderedPageBreak/>
        <w:t xml:space="preserve">Con las variables mencionadas, se construirán </w:t>
      </w:r>
      <w:r w:rsidR="0020479C" w:rsidRPr="00C26097">
        <w:rPr>
          <w:rFonts w:ascii="Arial" w:hAnsi="Arial" w:cs="Arial"/>
        </w:rPr>
        <w:t xml:space="preserve">dos tipos de </w:t>
      </w:r>
      <w:r w:rsidRPr="00C26097">
        <w:rPr>
          <w:rFonts w:ascii="Arial" w:hAnsi="Arial" w:cs="Arial"/>
        </w:rPr>
        <w:t>matrices de migraci</w:t>
      </w:r>
      <w:r w:rsidR="0020479C" w:rsidRPr="00C26097">
        <w:rPr>
          <w:rFonts w:ascii="Arial" w:hAnsi="Arial" w:cs="Arial"/>
        </w:rPr>
        <w:t xml:space="preserve">ón interna, una considerando la provincia de nacimiento y la provincia de residencia habitual, y otra considerando el cruce entre provincia donde vivía hace 5 años vs. </w:t>
      </w:r>
      <w:r w:rsidR="00CC0874" w:rsidRPr="00C26097">
        <w:rPr>
          <w:rFonts w:ascii="Arial" w:hAnsi="Arial" w:cs="Arial"/>
        </w:rPr>
        <w:t xml:space="preserve">la </w:t>
      </w:r>
      <w:r w:rsidR="0020479C" w:rsidRPr="00C26097">
        <w:rPr>
          <w:rFonts w:ascii="Arial" w:hAnsi="Arial" w:cs="Arial"/>
        </w:rPr>
        <w:t>provincia de residencia habitual.</w:t>
      </w:r>
      <w:r w:rsidR="00F80B0A" w:rsidRPr="00C26097">
        <w:rPr>
          <w:rFonts w:ascii="Arial" w:hAnsi="Arial" w:cs="Arial"/>
        </w:rPr>
        <w:t xml:space="preserve"> </w:t>
      </w:r>
      <w:r w:rsidR="00BD45C8" w:rsidRPr="00C26097">
        <w:rPr>
          <w:rFonts w:ascii="Arial" w:hAnsi="Arial" w:cs="Arial"/>
        </w:rPr>
        <w:t xml:space="preserve">Además, </w:t>
      </w:r>
      <w:r w:rsidR="003D05B8" w:rsidRPr="00C26097">
        <w:rPr>
          <w:rFonts w:ascii="Arial" w:hAnsi="Arial" w:cs="Arial"/>
        </w:rPr>
        <w:t xml:space="preserve">para lo que a migración interna respecta </w:t>
      </w:r>
      <w:r w:rsidR="00C85295" w:rsidRPr="00C26097">
        <w:rPr>
          <w:rFonts w:ascii="Arial" w:hAnsi="Arial" w:cs="Arial"/>
        </w:rPr>
        <w:t xml:space="preserve">se calcularán </w:t>
      </w:r>
      <w:r w:rsidR="002D1782" w:rsidRPr="00C26097">
        <w:rPr>
          <w:rFonts w:ascii="Arial" w:hAnsi="Arial" w:cs="Arial"/>
        </w:rPr>
        <w:t xml:space="preserve">algunas </w:t>
      </w:r>
      <w:r w:rsidR="00C85295" w:rsidRPr="00C26097">
        <w:rPr>
          <w:rFonts w:ascii="Arial" w:hAnsi="Arial" w:cs="Arial"/>
        </w:rPr>
        <w:t xml:space="preserve">tasas </w:t>
      </w:r>
      <w:r w:rsidR="002D1782" w:rsidRPr="00C26097">
        <w:rPr>
          <w:rFonts w:ascii="Arial" w:hAnsi="Arial" w:cs="Arial"/>
        </w:rPr>
        <w:t xml:space="preserve">como las </w:t>
      </w:r>
      <w:r w:rsidR="00C85295" w:rsidRPr="00C26097">
        <w:rPr>
          <w:rFonts w:ascii="Arial" w:hAnsi="Arial" w:cs="Arial"/>
        </w:rPr>
        <w:t xml:space="preserve">de inmigración, emigración, </w:t>
      </w:r>
      <w:r w:rsidR="002D1782" w:rsidRPr="00C26097">
        <w:rPr>
          <w:rFonts w:ascii="Arial" w:hAnsi="Arial" w:cs="Arial"/>
        </w:rPr>
        <w:t>y otras</w:t>
      </w:r>
      <w:r w:rsidR="00AE139A" w:rsidRPr="00C26097">
        <w:rPr>
          <w:rFonts w:ascii="Arial" w:hAnsi="Arial" w:cs="Arial"/>
        </w:rPr>
        <w:t xml:space="preserve">; </w:t>
      </w:r>
      <w:r w:rsidR="00BD45C8" w:rsidRPr="00C26097">
        <w:rPr>
          <w:rFonts w:ascii="Arial" w:hAnsi="Arial" w:cs="Arial"/>
        </w:rPr>
        <w:t xml:space="preserve">se elaborarán </w:t>
      </w:r>
      <w:r w:rsidR="00BF4BE6" w:rsidRPr="00C26097">
        <w:rPr>
          <w:rFonts w:ascii="Arial" w:hAnsi="Arial" w:cs="Arial"/>
        </w:rPr>
        <w:t>mapas temáticos en los cuales se m</w:t>
      </w:r>
      <w:r w:rsidR="002D1782" w:rsidRPr="00C26097">
        <w:rPr>
          <w:rFonts w:ascii="Arial" w:hAnsi="Arial" w:cs="Arial"/>
        </w:rPr>
        <w:t>o</w:t>
      </w:r>
      <w:r w:rsidR="00BF4BE6" w:rsidRPr="00C26097">
        <w:rPr>
          <w:rFonts w:ascii="Arial" w:hAnsi="Arial" w:cs="Arial"/>
        </w:rPr>
        <w:t>stra</w:t>
      </w:r>
      <w:r w:rsidR="002D1782" w:rsidRPr="00C26097">
        <w:rPr>
          <w:rFonts w:ascii="Arial" w:hAnsi="Arial" w:cs="Arial"/>
        </w:rPr>
        <w:t>rá</w:t>
      </w:r>
      <w:r w:rsidR="00BF4BE6" w:rsidRPr="00C26097">
        <w:rPr>
          <w:rFonts w:ascii="Arial" w:hAnsi="Arial" w:cs="Arial"/>
        </w:rPr>
        <w:t>n las tasas</w:t>
      </w:r>
      <w:r w:rsidR="002D1782" w:rsidRPr="00C26097">
        <w:rPr>
          <w:rFonts w:ascii="Arial" w:hAnsi="Arial" w:cs="Arial"/>
        </w:rPr>
        <w:t xml:space="preserve"> ya calculadas</w:t>
      </w:r>
      <w:r w:rsidR="00BF4BE6" w:rsidRPr="00C26097">
        <w:rPr>
          <w:rFonts w:ascii="Arial" w:hAnsi="Arial" w:cs="Arial"/>
        </w:rPr>
        <w:t xml:space="preserve">, y </w:t>
      </w:r>
      <w:r w:rsidR="00CC0874" w:rsidRPr="00C26097">
        <w:rPr>
          <w:rFonts w:ascii="Arial" w:hAnsi="Arial" w:cs="Arial"/>
        </w:rPr>
        <w:t xml:space="preserve">pirámides poblacionales </w:t>
      </w:r>
      <w:r w:rsidR="00A37834" w:rsidRPr="00C26097">
        <w:rPr>
          <w:rFonts w:ascii="Arial" w:hAnsi="Arial" w:cs="Arial"/>
        </w:rPr>
        <w:t xml:space="preserve">de </w:t>
      </w:r>
      <w:r w:rsidR="00CC0874" w:rsidRPr="00C26097">
        <w:rPr>
          <w:rFonts w:ascii="Arial" w:hAnsi="Arial" w:cs="Arial"/>
        </w:rPr>
        <w:t>géner</w:t>
      </w:r>
      <w:r w:rsidR="002D1782" w:rsidRPr="00C26097">
        <w:rPr>
          <w:rFonts w:ascii="Arial" w:hAnsi="Arial" w:cs="Arial"/>
        </w:rPr>
        <w:t>o</w:t>
      </w:r>
      <w:r w:rsidR="00C85295" w:rsidRPr="00C26097">
        <w:rPr>
          <w:rFonts w:ascii="Arial" w:hAnsi="Arial" w:cs="Arial"/>
        </w:rPr>
        <w:t xml:space="preserve">. </w:t>
      </w:r>
      <w:r w:rsidR="00577DE4" w:rsidRPr="00C26097">
        <w:rPr>
          <w:rFonts w:ascii="Arial" w:hAnsi="Arial" w:cs="Arial"/>
        </w:rPr>
        <w:t xml:space="preserve">Se hará un estudio del perfil del </w:t>
      </w:r>
      <w:r w:rsidR="00A37834" w:rsidRPr="00C26097">
        <w:rPr>
          <w:rFonts w:ascii="Arial" w:hAnsi="Arial" w:cs="Arial"/>
        </w:rPr>
        <w:t>in</w:t>
      </w:r>
      <w:r w:rsidR="00577DE4" w:rsidRPr="00C26097">
        <w:rPr>
          <w:rFonts w:ascii="Arial" w:hAnsi="Arial" w:cs="Arial"/>
        </w:rPr>
        <w:t>migrante</w:t>
      </w:r>
      <w:r w:rsidR="00E01A98" w:rsidRPr="00C26097">
        <w:rPr>
          <w:rFonts w:ascii="Arial" w:hAnsi="Arial" w:cs="Arial"/>
        </w:rPr>
        <w:t xml:space="preserve"> </w:t>
      </w:r>
      <w:r w:rsidR="00577DE4" w:rsidRPr="00C26097">
        <w:rPr>
          <w:rFonts w:ascii="Arial" w:hAnsi="Arial" w:cs="Arial"/>
        </w:rPr>
        <w:t xml:space="preserve">residente en Guayaquil y de los </w:t>
      </w:r>
      <w:r w:rsidR="00A37834" w:rsidRPr="00C26097">
        <w:rPr>
          <w:rFonts w:ascii="Arial" w:hAnsi="Arial" w:cs="Arial"/>
        </w:rPr>
        <w:t>e</w:t>
      </w:r>
      <w:r w:rsidR="00577DE4" w:rsidRPr="00C26097">
        <w:rPr>
          <w:rFonts w:ascii="Arial" w:hAnsi="Arial" w:cs="Arial"/>
        </w:rPr>
        <w:t>migrantes que nacieron en Manabí</w:t>
      </w:r>
      <w:r w:rsidR="005E0E8B" w:rsidRPr="00C26097">
        <w:rPr>
          <w:rFonts w:ascii="Arial" w:hAnsi="Arial" w:cs="Arial"/>
        </w:rPr>
        <w:t xml:space="preserve">, dicho análisis incluye la elaboración de tasas y de gráficos como los gráficos de líneas por grupos etarios, género y otra variable </w:t>
      </w:r>
      <w:r w:rsidR="00284F86" w:rsidRPr="00C26097">
        <w:rPr>
          <w:rFonts w:ascii="Arial" w:hAnsi="Arial" w:cs="Arial"/>
        </w:rPr>
        <w:t>como</w:t>
      </w:r>
      <w:r w:rsidR="00A241BD" w:rsidRPr="00C26097">
        <w:rPr>
          <w:rFonts w:ascii="Arial" w:hAnsi="Arial" w:cs="Arial"/>
        </w:rPr>
        <w:t xml:space="preserve"> </w:t>
      </w:r>
      <w:r w:rsidR="00C20C92" w:rsidRPr="00C26097">
        <w:rPr>
          <w:rFonts w:ascii="Arial" w:hAnsi="Arial" w:cs="Arial"/>
        </w:rPr>
        <w:t>“sabe leer y es</w:t>
      </w:r>
      <w:r w:rsidR="00826219" w:rsidRPr="00C26097">
        <w:rPr>
          <w:rFonts w:ascii="Arial" w:hAnsi="Arial" w:cs="Arial"/>
        </w:rPr>
        <w:t>c</w:t>
      </w:r>
      <w:r w:rsidR="00C20C92" w:rsidRPr="00C26097">
        <w:rPr>
          <w:rFonts w:ascii="Arial" w:hAnsi="Arial" w:cs="Arial"/>
        </w:rPr>
        <w:t>ribir”</w:t>
      </w:r>
      <w:r w:rsidR="0001554C" w:rsidRPr="00C26097">
        <w:rPr>
          <w:rFonts w:ascii="Arial" w:hAnsi="Arial" w:cs="Arial"/>
        </w:rPr>
        <w:t xml:space="preserve">, que compare a los inmigrantes con los residentes en una determinada provincia o </w:t>
      </w:r>
      <w:r w:rsidR="00A708C2" w:rsidRPr="00C26097">
        <w:rPr>
          <w:rFonts w:ascii="Arial" w:hAnsi="Arial" w:cs="Arial"/>
        </w:rPr>
        <w:t xml:space="preserve">en un determinado </w:t>
      </w:r>
      <w:r w:rsidR="0001554C" w:rsidRPr="00C26097">
        <w:rPr>
          <w:rFonts w:ascii="Arial" w:hAnsi="Arial" w:cs="Arial"/>
        </w:rPr>
        <w:t>cantón.</w:t>
      </w:r>
    </w:p>
    <w:p w:rsidR="0046249F" w:rsidRPr="00C26097" w:rsidRDefault="0046249F" w:rsidP="00C26097">
      <w:pPr>
        <w:spacing w:line="480" w:lineRule="auto"/>
        <w:ind w:left="851"/>
        <w:jc w:val="both"/>
        <w:rPr>
          <w:rFonts w:ascii="Arial" w:hAnsi="Arial" w:cs="Arial"/>
        </w:rPr>
      </w:pPr>
    </w:p>
    <w:p w:rsidR="0046249F" w:rsidRPr="00C26097" w:rsidRDefault="00B056E2" w:rsidP="00C26097">
      <w:pPr>
        <w:spacing w:line="480" w:lineRule="auto"/>
        <w:ind w:left="851"/>
        <w:jc w:val="both"/>
        <w:rPr>
          <w:rFonts w:ascii="Arial" w:hAnsi="Arial" w:cs="Arial"/>
        </w:rPr>
      </w:pPr>
      <w:r w:rsidRPr="00C26097">
        <w:rPr>
          <w:rFonts w:ascii="Arial" w:hAnsi="Arial" w:cs="Arial"/>
        </w:rPr>
        <w:t xml:space="preserve">También, se hará un análisis </w:t>
      </w:r>
      <w:r w:rsidR="002D7A8B" w:rsidRPr="00C26097">
        <w:rPr>
          <w:rFonts w:ascii="Arial" w:hAnsi="Arial" w:cs="Arial"/>
        </w:rPr>
        <w:t xml:space="preserve">univariado </w:t>
      </w:r>
      <w:r w:rsidRPr="00C26097">
        <w:rPr>
          <w:rFonts w:ascii="Arial" w:hAnsi="Arial" w:cs="Arial"/>
        </w:rPr>
        <w:t xml:space="preserve">de las características </w:t>
      </w:r>
      <w:r w:rsidR="00C73130" w:rsidRPr="00C26097">
        <w:rPr>
          <w:rFonts w:ascii="Arial" w:hAnsi="Arial" w:cs="Arial"/>
        </w:rPr>
        <w:t>sociodemográficas</w:t>
      </w:r>
      <w:r w:rsidRPr="00C26097">
        <w:rPr>
          <w:rFonts w:ascii="Arial" w:hAnsi="Arial" w:cs="Arial"/>
        </w:rPr>
        <w:t xml:space="preserve"> de </w:t>
      </w:r>
      <w:r w:rsidR="007322F7" w:rsidRPr="00C26097">
        <w:rPr>
          <w:rFonts w:ascii="Arial" w:hAnsi="Arial" w:cs="Arial"/>
        </w:rPr>
        <w:t>los extranjeros residentes en Ecuador</w:t>
      </w:r>
      <w:r w:rsidR="00E1517F" w:rsidRPr="00C26097">
        <w:rPr>
          <w:rFonts w:ascii="Arial" w:hAnsi="Arial" w:cs="Arial"/>
        </w:rPr>
        <w:t xml:space="preserve"> donde se considerarán características tales como </w:t>
      </w:r>
      <w:r w:rsidR="00C72241" w:rsidRPr="00C26097">
        <w:rPr>
          <w:rFonts w:ascii="Arial" w:hAnsi="Arial" w:cs="Arial"/>
        </w:rPr>
        <w:t>país de nacimiento, provincia de residencia</w:t>
      </w:r>
      <w:r w:rsidR="00C32BAF" w:rsidRPr="00C26097">
        <w:rPr>
          <w:rFonts w:ascii="Arial" w:hAnsi="Arial" w:cs="Arial"/>
        </w:rPr>
        <w:t xml:space="preserve"> habitual,</w:t>
      </w:r>
      <w:r w:rsidR="00C72241" w:rsidRPr="00C26097">
        <w:rPr>
          <w:rFonts w:ascii="Arial" w:hAnsi="Arial" w:cs="Arial"/>
        </w:rPr>
        <w:t xml:space="preserve"> </w:t>
      </w:r>
      <w:r w:rsidR="00A727F0" w:rsidRPr="00C26097">
        <w:rPr>
          <w:rFonts w:ascii="Arial" w:hAnsi="Arial" w:cs="Arial"/>
        </w:rPr>
        <w:t xml:space="preserve">género, edad, </w:t>
      </w:r>
      <w:r w:rsidR="00C72241" w:rsidRPr="00C26097">
        <w:rPr>
          <w:rFonts w:ascii="Arial" w:hAnsi="Arial" w:cs="Arial"/>
        </w:rPr>
        <w:t xml:space="preserve">si sabe leer o escribir, </w:t>
      </w:r>
      <w:r w:rsidR="00A727F0" w:rsidRPr="00C26097">
        <w:rPr>
          <w:rFonts w:ascii="Arial" w:hAnsi="Arial" w:cs="Arial"/>
        </w:rPr>
        <w:t xml:space="preserve">nivel de instrucción, </w:t>
      </w:r>
      <w:r w:rsidR="00C72241" w:rsidRPr="00C26097">
        <w:rPr>
          <w:rFonts w:ascii="Arial" w:hAnsi="Arial" w:cs="Arial"/>
        </w:rPr>
        <w:t xml:space="preserve">autoidentificación étnica, </w:t>
      </w:r>
      <w:r w:rsidR="00A727F0" w:rsidRPr="00C26097">
        <w:rPr>
          <w:rFonts w:ascii="Arial" w:hAnsi="Arial" w:cs="Arial"/>
        </w:rPr>
        <w:t>estado civil,</w:t>
      </w:r>
      <w:r w:rsidR="00B23238" w:rsidRPr="00C26097">
        <w:rPr>
          <w:rFonts w:ascii="Arial" w:hAnsi="Arial" w:cs="Arial"/>
        </w:rPr>
        <w:t xml:space="preserve"> </w:t>
      </w:r>
      <w:r w:rsidR="00A727F0" w:rsidRPr="00C26097">
        <w:rPr>
          <w:rFonts w:ascii="Arial" w:hAnsi="Arial" w:cs="Arial"/>
        </w:rPr>
        <w:t>ocupación</w:t>
      </w:r>
      <w:r w:rsidR="00C32BAF" w:rsidRPr="00C26097">
        <w:rPr>
          <w:rFonts w:ascii="Arial" w:hAnsi="Arial" w:cs="Arial"/>
        </w:rPr>
        <w:t>.</w:t>
      </w:r>
      <w:r w:rsidR="00513F7D" w:rsidRPr="00C26097">
        <w:rPr>
          <w:rFonts w:ascii="Arial" w:hAnsi="Arial" w:cs="Arial"/>
        </w:rPr>
        <w:t xml:space="preserve"> Se elaborarán además algunas tasas como la tasa de feminidad, de inmigración, participación económica</w:t>
      </w:r>
      <w:r w:rsidR="00B15138" w:rsidRPr="00C26097">
        <w:rPr>
          <w:rFonts w:ascii="Arial" w:hAnsi="Arial" w:cs="Arial"/>
        </w:rPr>
        <w:t>, se mostrarán</w:t>
      </w:r>
      <w:r w:rsidR="00E45156" w:rsidRPr="00C26097">
        <w:rPr>
          <w:rFonts w:ascii="Arial" w:hAnsi="Arial" w:cs="Arial"/>
        </w:rPr>
        <w:t xml:space="preserve"> mapas temáticos y</w:t>
      </w:r>
      <w:r w:rsidR="00B15138" w:rsidRPr="00C26097">
        <w:rPr>
          <w:rFonts w:ascii="Arial" w:hAnsi="Arial" w:cs="Arial"/>
        </w:rPr>
        <w:t xml:space="preserve"> gráficos de líneas</w:t>
      </w:r>
      <w:r w:rsidR="00E45156" w:rsidRPr="00C26097">
        <w:rPr>
          <w:rFonts w:ascii="Arial" w:hAnsi="Arial" w:cs="Arial"/>
        </w:rPr>
        <w:t xml:space="preserve"> </w:t>
      </w:r>
      <w:r w:rsidR="00B15138" w:rsidRPr="00C26097">
        <w:rPr>
          <w:rFonts w:ascii="Arial" w:hAnsi="Arial" w:cs="Arial"/>
        </w:rPr>
        <w:t>acerca de estas tasas y su cruce con variables como edad y género, se construirán</w:t>
      </w:r>
      <w:r w:rsidR="00EE669A" w:rsidRPr="00C26097">
        <w:rPr>
          <w:rFonts w:ascii="Arial" w:hAnsi="Arial" w:cs="Arial"/>
        </w:rPr>
        <w:t xml:space="preserve"> adicionalmente</w:t>
      </w:r>
      <w:r w:rsidR="00B15138" w:rsidRPr="00C26097">
        <w:rPr>
          <w:rFonts w:ascii="Arial" w:hAnsi="Arial" w:cs="Arial"/>
        </w:rPr>
        <w:t xml:space="preserve"> pirámides poblaciones.</w:t>
      </w:r>
      <w:r w:rsidR="00C32BAF" w:rsidRPr="00C26097">
        <w:rPr>
          <w:rFonts w:ascii="Arial" w:hAnsi="Arial" w:cs="Arial"/>
        </w:rPr>
        <w:t xml:space="preserve"> Para luego </w:t>
      </w:r>
      <w:r w:rsidR="00C342C8" w:rsidRPr="00C26097">
        <w:rPr>
          <w:rFonts w:ascii="Arial" w:hAnsi="Arial" w:cs="Arial"/>
        </w:rPr>
        <w:t xml:space="preserve">hacer un análisis </w:t>
      </w:r>
      <w:r w:rsidR="0093183E" w:rsidRPr="00C26097">
        <w:rPr>
          <w:rFonts w:ascii="Arial" w:hAnsi="Arial" w:cs="Arial"/>
        </w:rPr>
        <w:t xml:space="preserve">univariado y multivariado </w:t>
      </w:r>
      <w:r w:rsidR="00C342C8" w:rsidRPr="00C26097">
        <w:rPr>
          <w:rFonts w:ascii="Arial" w:hAnsi="Arial" w:cs="Arial"/>
        </w:rPr>
        <w:t>de cuatro subpoblaciones</w:t>
      </w:r>
      <w:r w:rsidR="00761270" w:rsidRPr="00C26097">
        <w:rPr>
          <w:rFonts w:ascii="Arial" w:hAnsi="Arial" w:cs="Arial"/>
        </w:rPr>
        <w:t xml:space="preserve"> de extranjeros </w:t>
      </w:r>
      <w:r w:rsidR="00761270" w:rsidRPr="00C26097">
        <w:rPr>
          <w:rFonts w:ascii="Arial" w:hAnsi="Arial" w:cs="Arial"/>
        </w:rPr>
        <w:lastRenderedPageBreak/>
        <w:t xml:space="preserve">residentes en el país. </w:t>
      </w:r>
      <w:r w:rsidR="00DD220C" w:rsidRPr="00C26097">
        <w:rPr>
          <w:rFonts w:ascii="Arial" w:hAnsi="Arial" w:cs="Arial"/>
        </w:rPr>
        <w:t xml:space="preserve">Dentro del análisis univariado, se </w:t>
      </w:r>
      <w:r w:rsidR="008A4F37" w:rsidRPr="00C26097">
        <w:rPr>
          <w:rFonts w:ascii="Arial" w:hAnsi="Arial" w:cs="Arial"/>
        </w:rPr>
        <w:t xml:space="preserve">analizaran características </w:t>
      </w:r>
      <w:r w:rsidR="001E0B2D" w:rsidRPr="00C26097">
        <w:rPr>
          <w:rFonts w:ascii="Arial" w:hAnsi="Arial" w:cs="Arial"/>
        </w:rPr>
        <w:t>generales de los individuos como género, edad, etc.</w:t>
      </w:r>
      <w:r w:rsidR="00EE669A" w:rsidRPr="00C26097">
        <w:rPr>
          <w:rFonts w:ascii="Arial" w:hAnsi="Arial" w:cs="Arial"/>
        </w:rPr>
        <w:t>; se estudiará</w:t>
      </w:r>
      <w:r w:rsidR="003A031B" w:rsidRPr="00C26097">
        <w:rPr>
          <w:rFonts w:ascii="Arial" w:hAnsi="Arial" w:cs="Arial"/>
        </w:rPr>
        <w:t>n</w:t>
      </w:r>
      <w:r w:rsidR="00EE669A" w:rsidRPr="00C26097">
        <w:rPr>
          <w:rFonts w:ascii="Arial" w:hAnsi="Arial" w:cs="Arial"/>
        </w:rPr>
        <w:t xml:space="preserve"> las condiciones de la vivienda</w:t>
      </w:r>
      <w:r w:rsidR="003A031B" w:rsidRPr="00C26097">
        <w:rPr>
          <w:rFonts w:ascii="Arial" w:hAnsi="Arial" w:cs="Arial"/>
        </w:rPr>
        <w:t>, de dónde obtiene</w:t>
      </w:r>
      <w:r w:rsidR="00105A90" w:rsidRPr="00C26097">
        <w:rPr>
          <w:rFonts w:ascii="Arial" w:hAnsi="Arial" w:cs="Arial"/>
        </w:rPr>
        <w:t xml:space="preserve">n principalmente agua y </w:t>
      </w:r>
      <w:r w:rsidR="003A031B" w:rsidRPr="00C26097">
        <w:rPr>
          <w:rFonts w:ascii="Arial" w:hAnsi="Arial" w:cs="Arial"/>
        </w:rPr>
        <w:t xml:space="preserve">energía eléctrica, </w:t>
      </w:r>
      <w:r w:rsidR="00253768" w:rsidRPr="00C26097">
        <w:rPr>
          <w:rFonts w:ascii="Arial" w:hAnsi="Arial" w:cs="Arial"/>
        </w:rPr>
        <w:t xml:space="preserve">el acceso de estas poblaciones a las Tecnologías de la Información, número de personas por vivienda, entre otras características. </w:t>
      </w:r>
      <w:r w:rsidR="00A6781A" w:rsidRPr="00C26097">
        <w:rPr>
          <w:rFonts w:ascii="Arial" w:hAnsi="Arial" w:cs="Arial"/>
        </w:rPr>
        <w:t>Por otra parte, se utilizarán algunas técnicas estadís</w:t>
      </w:r>
      <w:r w:rsidR="00940F55" w:rsidRPr="00C26097">
        <w:rPr>
          <w:rFonts w:ascii="Arial" w:hAnsi="Arial" w:cs="Arial"/>
        </w:rPr>
        <w:t>ticas como Regresión Logística.</w:t>
      </w:r>
    </w:p>
    <w:p w:rsidR="001D3DA3" w:rsidRPr="00C26097" w:rsidRDefault="001D3DA3" w:rsidP="00C26097">
      <w:pPr>
        <w:spacing w:line="480" w:lineRule="auto"/>
        <w:ind w:left="851"/>
        <w:jc w:val="both"/>
        <w:rPr>
          <w:rFonts w:ascii="Arial" w:hAnsi="Arial" w:cs="Arial"/>
        </w:rPr>
      </w:pPr>
    </w:p>
    <w:p w:rsidR="0095685E" w:rsidRDefault="001D3DA3" w:rsidP="00C26097">
      <w:pPr>
        <w:spacing w:line="480" w:lineRule="auto"/>
        <w:ind w:left="851"/>
        <w:jc w:val="both"/>
        <w:rPr>
          <w:rFonts w:ascii="Arial" w:hAnsi="Arial" w:cs="Arial"/>
        </w:rPr>
      </w:pPr>
      <w:r w:rsidRPr="00C26097">
        <w:rPr>
          <w:rFonts w:ascii="Arial" w:hAnsi="Arial" w:cs="Arial"/>
        </w:rPr>
        <w:t xml:space="preserve">Para el caso de los ecuatorianos </w:t>
      </w:r>
      <w:r w:rsidR="00182ACC" w:rsidRPr="00C26097">
        <w:rPr>
          <w:rFonts w:ascii="Arial" w:hAnsi="Arial" w:cs="Arial"/>
        </w:rPr>
        <w:t xml:space="preserve">que viven en calidad </w:t>
      </w:r>
      <w:r w:rsidRPr="00C26097">
        <w:rPr>
          <w:rFonts w:ascii="Arial" w:hAnsi="Arial" w:cs="Arial"/>
        </w:rPr>
        <w:t>emigrantes</w:t>
      </w:r>
      <w:r w:rsidR="00182ACC" w:rsidRPr="00C26097">
        <w:rPr>
          <w:rFonts w:ascii="Arial" w:hAnsi="Arial" w:cs="Arial"/>
        </w:rPr>
        <w:t xml:space="preserve"> en el exterior</w:t>
      </w:r>
      <w:r w:rsidRPr="00C26097">
        <w:rPr>
          <w:rFonts w:ascii="Arial" w:hAnsi="Arial" w:cs="Arial"/>
        </w:rPr>
        <w:t>, se considerarán las variables contenidas en la sección Remesas y Migración de la boleta censal,</w:t>
      </w:r>
      <w:r w:rsidR="001350BD" w:rsidRPr="00C26097">
        <w:rPr>
          <w:rFonts w:ascii="Arial" w:hAnsi="Arial" w:cs="Arial"/>
        </w:rPr>
        <w:t xml:space="preserve"> para esta población se realizará análisis univariado de las características contempladas en esta sección y análisis bivariado del cruce de algunas variables como </w:t>
      </w:r>
      <w:r w:rsidR="009A464A" w:rsidRPr="00C26097">
        <w:rPr>
          <w:rFonts w:ascii="Arial" w:hAnsi="Arial" w:cs="Arial"/>
        </w:rPr>
        <w:t xml:space="preserve">país de residencia y género, país de residencia y edad, entre otras. </w:t>
      </w:r>
      <w:r w:rsidR="004D6F8D" w:rsidRPr="00C26097">
        <w:rPr>
          <w:rFonts w:ascii="Arial" w:hAnsi="Arial" w:cs="Arial"/>
        </w:rPr>
        <w:t>En cuanto a estadística inferencial multivariada,</w:t>
      </w:r>
      <w:r w:rsidR="001E3C3C" w:rsidRPr="00C26097">
        <w:rPr>
          <w:rFonts w:ascii="Arial" w:hAnsi="Arial" w:cs="Arial"/>
        </w:rPr>
        <w:t xml:space="preserve"> </w:t>
      </w:r>
      <w:r w:rsidR="00C15FE6" w:rsidRPr="00C26097">
        <w:rPr>
          <w:rFonts w:ascii="Arial" w:hAnsi="Arial" w:cs="Arial"/>
        </w:rPr>
        <w:t>se utiliza la técnica de</w:t>
      </w:r>
      <w:r w:rsidR="004D6F8D" w:rsidRPr="00C26097">
        <w:rPr>
          <w:rFonts w:ascii="Arial" w:hAnsi="Arial" w:cs="Arial"/>
        </w:rPr>
        <w:t>nominada</w:t>
      </w:r>
      <w:r w:rsidR="00C15FE6" w:rsidRPr="00C26097">
        <w:rPr>
          <w:rFonts w:ascii="Arial" w:hAnsi="Arial" w:cs="Arial"/>
        </w:rPr>
        <w:t xml:space="preserve"> Regresión Log</w:t>
      </w:r>
      <w:r w:rsidR="00687328" w:rsidRPr="00C26097">
        <w:rPr>
          <w:rFonts w:ascii="Arial" w:hAnsi="Arial" w:cs="Arial"/>
        </w:rPr>
        <w:t>ística</w:t>
      </w:r>
      <w:r w:rsidR="004D6F8D" w:rsidRPr="00C26097">
        <w:rPr>
          <w:rFonts w:ascii="Arial" w:hAnsi="Arial" w:cs="Arial"/>
        </w:rPr>
        <w:t>,</w:t>
      </w:r>
      <w:r w:rsidR="00687328" w:rsidRPr="00C26097">
        <w:rPr>
          <w:rFonts w:ascii="Arial" w:hAnsi="Arial" w:cs="Arial"/>
        </w:rPr>
        <w:t xml:space="preserve"> para </w:t>
      </w:r>
      <w:r w:rsidR="005A0283" w:rsidRPr="00C26097">
        <w:rPr>
          <w:rFonts w:ascii="Arial" w:hAnsi="Arial" w:cs="Arial"/>
        </w:rPr>
        <w:t>determinar los factores que influyen</w:t>
      </w:r>
      <w:r w:rsidR="00687328" w:rsidRPr="00C26097">
        <w:rPr>
          <w:rFonts w:ascii="Arial" w:hAnsi="Arial" w:cs="Arial"/>
        </w:rPr>
        <w:t xml:space="preserve"> </w:t>
      </w:r>
      <w:r w:rsidR="00064737" w:rsidRPr="00C26097">
        <w:rPr>
          <w:rFonts w:ascii="Arial" w:hAnsi="Arial" w:cs="Arial"/>
        </w:rPr>
        <w:t xml:space="preserve">en </w:t>
      </w:r>
      <w:r w:rsidR="00687328" w:rsidRPr="00C26097">
        <w:rPr>
          <w:rFonts w:ascii="Arial" w:hAnsi="Arial" w:cs="Arial"/>
        </w:rPr>
        <w:t xml:space="preserve">los inmigrantes de </w:t>
      </w:r>
      <w:r w:rsidR="00064737" w:rsidRPr="00C26097">
        <w:rPr>
          <w:rFonts w:ascii="Arial" w:hAnsi="Arial" w:cs="Arial"/>
        </w:rPr>
        <w:t>nacionalidad ecuatoriana y</w:t>
      </w:r>
      <w:r w:rsidR="002D4750" w:rsidRPr="00C26097">
        <w:rPr>
          <w:rFonts w:ascii="Arial" w:hAnsi="Arial" w:cs="Arial"/>
        </w:rPr>
        <w:t xml:space="preserve"> que residen en Guayaquil</w:t>
      </w:r>
      <w:r w:rsidR="006E090A" w:rsidRPr="00C26097">
        <w:rPr>
          <w:rFonts w:ascii="Arial" w:hAnsi="Arial" w:cs="Arial"/>
        </w:rPr>
        <w:t xml:space="preserve"> a partir de una muestra que será seleccionada mediante muestreo aleatorio estratificado</w:t>
      </w:r>
      <w:r w:rsidR="00EC1E79" w:rsidRPr="00C26097">
        <w:rPr>
          <w:rFonts w:ascii="Arial" w:hAnsi="Arial" w:cs="Arial"/>
        </w:rPr>
        <w:t xml:space="preserve"> con afijación propo</w:t>
      </w:r>
      <w:r w:rsidR="00C42529" w:rsidRPr="00C26097">
        <w:rPr>
          <w:rFonts w:ascii="Arial" w:hAnsi="Arial" w:cs="Arial"/>
        </w:rPr>
        <w:t>r</w:t>
      </w:r>
      <w:r w:rsidR="00EC1E79" w:rsidRPr="00C26097">
        <w:rPr>
          <w:rFonts w:ascii="Arial" w:hAnsi="Arial" w:cs="Arial"/>
        </w:rPr>
        <w:t>cional</w:t>
      </w:r>
      <w:r w:rsidR="003161C8" w:rsidRPr="00C26097">
        <w:rPr>
          <w:rFonts w:ascii="Arial" w:hAnsi="Arial" w:cs="Arial"/>
        </w:rPr>
        <w:t>, donde cada estrato estará conformado por la provincia de nacimiento del emigrante</w:t>
      </w:r>
      <w:r w:rsidR="004D6F8D" w:rsidRPr="00C26097">
        <w:rPr>
          <w:rFonts w:ascii="Arial" w:hAnsi="Arial" w:cs="Arial"/>
        </w:rPr>
        <w:t>; o</w:t>
      </w:r>
      <w:r w:rsidR="006016FB" w:rsidRPr="00C26097">
        <w:rPr>
          <w:rFonts w:ascii="Arial" w:hAnsi="Arial" w:cs="Arial"/>
        </w:rPr>
        <w:t>,</w:t>
      </w:r>
      <w:r w:rsidR="004D6F8D" w:rsidRPr="00C26097">
        <w:rPr>
          <w:rFonts w:ascii="Arial" w:hAnsi="Arial" w:cs="Arial"/>
        </w:rPr>
        <w:t xml:space="preserve"> para determinar los factores que influyen en el nivel de instrucción superior </w:t>
      </w:r>
      <w:r w:rsidR="006016FB" w:rsidRPr="00C26097">
        <w:rPr>
          <w:rFonts w:ascii="Arial" w:hAnsi="Arial" w:cs="Arial"/>
        </w:rPr>
        <w:t>de los estadounidenses residentes en el país; y, finalmente para encontrar cuales son los factores que influyen en la decisión de emigrar por trabajo hacia España</w:t>
      </w:r>
      <w:r w:rsidR="00400043" w:rsidRPr="00C26097">
        <w:rPr>
          <w:rFonts w:ascii="Arial" w:hAnsi="Arial" w:cs="Arial"/>
        </w:rPr>
        <w:t>.</w:t>
      </w:r>
    </w:p>
    <w:p w:rsidR="00C15FE6" w:rsidRDefault="00C15FE6" w:rsidP="0059489C">
      <w:pPr>
        <w:spacing w:line="480" w:lineRule="auto"/>
        <w:ind w:left="567"/>
        <w:jc w:val="both"/>
        <w:rPr>
          <w:rFonts w:ascii="Arial" w:hAnsi="Arial" w:cs="Arial"/>
        </w:rPr>
      </w:pPr>
    </w:p>
    <w:p w:rsidR="00661A43" w:rsidRDefault="00661A43" w:rsidP="0059489C">
      <w:pPr>
        <w:spacing w:line="480" w:lineRule="auto"/>
        <w:ind w:left="567"/>
        <w:jc w:val="both"/>
        <w:rPr>
          <w:rFonts w:ascii="Arial" w:hAnsi="Arial" w:cs="Arial"/>
        </w:rPr>
        <w:sectPr w:rsidR="00661A43" w:rsidSect="007D7A28">
          <w:headerReference w:type="default" r:id="rId19"/>
          <w:pgSz w:w="11907" w:h="16839" w:code="9"/>
          <w:pgMar w:top="2268" w:right="1361" w:bottom="2268" w:left="2268" w:header="708" w:footer="708" w:gutter="0"/>
          <w:cols w:space="708"/>
          <w:titlePg/>
          <w:docGrid w:linePitch="360"/>
        </w:sectPr>
      </w:pPr>
    </w:p>
    <w:p w:rsidR="001055A1" w:rsidRPr="007D7A28" w:rsidRDefault="001055A1" w:rsidP="001055A1">
      <w:pPr>
        <w:spacing w:line="480" w:lineRule="auto"/>
        <w:rPr>
          <w:rFonts w:ascii="Arial" w:hAnsi="Arial" w:cs="Arial"/>
        </w:rPr>
      </w:pPr>
    </w:p>
    <w:p w:rsidR="001055A1" w:rsidRPr="007D7A28" w:rsidRDefault="001055A1" w:rsidP="001055A1">
      <w:pPr>
        <w:spacing w:line="480" w:lineRule="auto"/>
        <w:rPr>
          <w:rFonts w:ascii="Arial" w:hAnsi="Arial" w:cs="Arial"/>
        </w:rPr>
      </w:pPr>
    </w:p>
    <w:p w:rsidR="001055A1" w:rsidRPr="007D7A28" w:rsidRDefault="001055A1" w:rsidP="001055A1">
      <w:pPr>
        <w:spacing w:line="480" w:lineRule="auto"/>
        <w:rPr>
          <w:rFonts w:ascii="Arial" w:hAnsi="Arial" w:cs="Arial"/>
        </w:rPr>
      </w:pPr>
    </w:p>
    <w:p w:rsidR="001055A1" w:rsidRPr="007D7A28" w:rsidRDefault="001055A1" w:rsidP="001055A1">
      <w:pPr>
        <w:spacing w:line="480" w:lineRule="auto"/>
        <w:rPr>
          <w:rFonts w:ascii="Arial" w:hAnsi="Arial" w:cs="Arial"/>
        </w:rPr>
      </w:pPr>
    </w:p>
    <w:p w:rsidR="001055A1" w:rsidRPr="007D7A28" w:rsidRDefault="001055A1" w:rsidP="001055A1">
      <w:pPr>
        <w:spacing w:line="480" w:lineRule="auto"/>
        <w:rPr>
          <w:rFonts w:ascii="Arial" w:hAnsi="Arial" w:cs="Arial"/>
        </w:rPr>
      </w:pPr>
    </w:p>
    <w:p w:rsidR="001055A1" w:rsidRPr="007D7A28" w:rsidRDefault="001055A1" w:rsidP="001055A1">
      <w:pPr>
        <w:spacing w:line="480" w:lineRule="auto"/>
        <w:rPr>
          <w:rFonts w:ascii="Arial" w:hAnsi="Arial" w:cs="Arial"/>
        </w:rPr>
      </w:pPr>
    </w:p>
    <w:p w:rsidR="001055A1" w:rsidRPr="00254597" w:rsidRDefault="001055A1" w:rsidP="001055A1">
      <w:pPr>
        <w:pStyle w:val="Indice1"/>
      </w:pPr>
      <w:bookmarkStart w:id="179" w:name="_Toc341040596"/>
      <w:r>
        <w:t>CAPÍTULO 2</w:t>
      </w:r>
      <w:bookmarkEnd w:id="179"/>
    </w:p>
    <w:p w:rsidR="001055A1" w:rsidRDefault="008C67FE" w:rsidP="0041640C">
      <w:pPr>
        <w:pStyle w:val="Indice1"/>
        <w:numPr>
          <w:ilvl w:val="0"/>
          <w:numId w:val="1"/>
        </w:numPr>
        <w:ind w:left="284" w:hanging="284"/>
        <w:jc w:val="both"/>
        <w:rPr>
          <w:sz w:val="32"/>
          <w:szCs w:val="32"/>
        </w:rPr>
      </w:pPr>
      <w:bookmarkStart w:id="180" w:name="_Toc339852972"/>
      <w:bookmarkStart w:id="181" w:name="_Toc340231742"/>
      <w:bookmarkStart w:id="182" w:name="_Toc341040597"/>
      <w:r>
        <w:rPr>
          <w:sz w:val="32"/>
          <w:szCs w:val="32"/>
        </w:rPr>
        <w:t>MIGRACIÓN INTERNA EN ECUADOR</w:t>
      </w:r>
      <w:bookmarkEnd w:id="180"/>
      <w:bookmarkEnd w:id="181"/>
      <w:bookmarkEnd w:id="182"/>
    </w:p>
    <w:p w:rsidR="00472045" w:rsidRPr="003A5439" w:rsidRDefault="00472045" w:rsidP="000E2301">
      <w:pPr>
        <w:pStyle w:val="TesisTitulo10"/>
        <w:numPr>
          <w:ilvl w:val="0"/>
          <w:numId w:val="0"/>
        </w:numPr>
        <w:ind w:left="851" w:hanging="567"/>
      </w:pPr>
      <w:bookmarkStart w:id="183" w:name="_Toc339212667"/>
      <w:bookmarkStart w:id="184" w:name="_Toc341040598"/>
      <w:r>
        <w:t xml:space="preserve">2.1. </w:t>
      </w:r>
      <w:r w:rsidRPr="003A5439">
        <w:t>Introducción</w:t>
      </w:r>
      <w:bookmarkEnd w:id="183"/>
      <w:bookmarkEnd w:id="184"/>
    </w:p>
    <w:p w:rsidR="00472045" w:rsidRPr="00A9265D" w:rsidRDefault="00472045" w:rsidP="000A7AFD">
      <w:pPr>
        <w:pStyle w:val="Prrafodelista"/>
        <w:spacing w:line="480" w:lineRule="auto"/>
        <w:ind w:left="851"/>
        <w:jc w:val="both"/>
        <w:rPr>
          <w:rFonts w:ascii="Arial" w:hAnsi="Arial" w:cs="Arial"/>
        </w:rPr>
      </w:pPr>
      <w:r w:rsidRPr="00A9265D">
        <w:rPr>
          <w:rFonts w:ascii="Arial" w:hAnsi="Arial" w:cs="Arial"/>
        </w:rPr>
        <w:t>La migración interna, es el movimiento de individuos dentro de los límites del estado, es decir, es el movimiento desde una región, provincia, cantón o parroquia a otra dentro del país (Ecuador). En general, se ha experimentado migración desde las áreas rurales hacia las zonas urbanizadas o hacia los grandes centros económicos.</w:t>
      </w:r>
    </w:p>
    <w:p w:rsidR="00472045" w:rsidRPr="00A9265D" w:rsidRDefault="00472045" w:rsidP="00670541">
      <w:pPr>
        <w:pStyle w:val="Prrafodelista"/>
        <w:spacing w:line="480" w:lineRule="auto"/>
        <w:ind w:left="567"/>
        <w:jc w:val="both"/>
        <w:rPr>
          <w:rFonts w:ascii="Arial" w:hAnsi="Arial" w:cs="Arial"/>
        </w:rPr>
      </w:pPr>
    </w:p>
    <w:p w:rsidR="00472045" w:rsidRPr="00A9265D" w:rsidRDefault="00472045" w:rsidP="00925177">
      <w:pPr>
        <w:pStyle w:val="Prrafodelista"/>
        <w:spacing w:line="480" w:lineRule="auto"/>
        <w:ind w:left="851"/>
        <w:jc w:val="both"/>
        <w:rPr>
          <w:rFonts w:ascii="Arial" w:hAnsi="Arial" w:cs="Arial"/>
        </w:rPr>
      </w:pPr>
      <w:r>
        <w:rPr>
          <w:rFonts w:ascii="Arial" w:hAnsi="Arial" w:cs="Arial"/>
        </w:rPr>
        <w:t xml:space="preserve">Antes de empezar a hablar de la migración interna, primero se habla acerca del software que se utiliza para elaborar cada uno de los gráficos y realizar los cálculos. En este capítulo, además, </w:t>
      </w:r>
      <w:r w:rsidR="00E438A1">
        <w:rPr>
          <w:rFonts w:ascii="Arial" w:hAnsi="Arial" w:cs="Arial"/>
        </w:rPr>
        <w:t>se muestran</w:t>
      </w:r>
      <w:r>
        <w:rPr>
          <w:rFonts w:ascii="Arial" w:hAnsi="Arial" w:cs="Arial"/>
        </w:rPr>
        <w:t xml:space="preserve"> las tasas de emigración e </w:t>
      </w:r>
      <w:r w:rsidRPr="00A9265D">
        <w:rPr>
          <w:rFonts w:ascii="Arial" w:hAnsi="Arial" w:cs="Arial"/>
        </w:rPr>
        <w:t xml:space="preserve">inmigración por cada 1000 habitantes </w:t>
      </w:r>
      <w:r>
        <w:rPr>
          <w:rFonts w:ascii="Arial" w:hAnsi="Arial" w:cs="Arial"/>
        </w:rPr>
        <w:t>a nivel</w:t>
      </w:r>
      <w:r w:rsidRPr="00A9265D">
        <w:rPr>
          <w:rFonts w:ascii="Arial" w:hAnsi="Arial" w:cs="Arial"/>
        </w:rPr>
        <w:t xml:space="preserve"> provincia</w:t>
      </w:r>
      <w:r>
        <w:rPr>
          <w:rFonts w:ascii="Arial" w:hAnsi="Arial" w:cs="Arial"/>
        </w:rPr>
        <w:t>l</w:t>
      </w:r>
      <w:r w:rsidRPr="00A9265D">
        <w:rPr>
          <w:rFonts w:ascii="Arial" w:hAnsi="Arial" w:cs="Arial"/>
        </w:rPr>
        <w:t xml:space="preserve">, </w:t>
      </w:r>
      <w:r w:rsidR="00E438A1">
        <w:rPr>
          <w:rFonts w:ascii="Arial" w:hAnsi="Arial" w:cs="Arial"/>
        </w:rPr>
        <w:t>para ello se</w:t>
      </w:r>
      <w:r w:rsidRPr="00A9265D">
        <w:rPr>
          <w:rFonts w:ascii="Arial" w:hAnsi="Arial" w:cs="Arial"/>
        </w:rPr>
        <w:t xml:space="preserve"> consideran dos escenarios el primero que incluye a </w:t>
      </w:r>
      <w:r>
        <w:rPr>
          <w:rFonts w:ascii="Arial" w:hAnsi="Arial" w:cs="Arial"/>
        </w:rPr>
        <w:t xml:space="preserve">los emigrantes e inmigrantes de </w:t>
      </w:r>
      <w:r w:rsidR="00772FBA">
        <w:rPr>
          <w:rFonts w:ascii="Arial" w:hAnsi="Arial" w:cs="Arial"/>
        </w:rPr>
        <w:t>“</w:t>
      </w:r>
      <w:r>
        <w:rPr>
          <w:rFonts w:ascii="Arial" w:hAnsi="Arial" w:cs="Arial"/>
        </w:rPr>
        <w:t>toda la vida</w:t>
      </w:r>
      <w:r w:rsidR="00772FBA">
        <w:rPr>
          <w:rFonts w:ascii="Arial" w:hAnsi="Arial" w:cs="Arial"/>
        </w:rPr>
        <w:t>”</w:t>
      </w:r>
      <w:r w:rsidR="003D5D96">
        <w:rPr>
          <w:rFonts w:ascii="Arial" w:hAnsi="Arial" w:cs="Arial"/>
        </w:rPr>
        <w:t xml:space="preserve"> (personas </w:t>
      </w:r>
      <w:r w:rsidR="003D5D96" w:rsidRPr="003D5D96">
        <w:rPr>
          <w:rFonts w:ascii="Arial" w:hAnsi="Arial" w:cs="Arial"/>
        </w:rPr>
        <w:t>que al momento del censo residían en un área geográfica distinta a la de su lugar de nacimiento</w:t>
      </w:r>
      <w:r w:rsidR="003D5D96">
        <w:rPr>
          <w:rFonts w:ascii="Arial" w:hAnsi="Arial" w:cs="Arial"/>
        </w:rPr>
        <w:t>)</w:t>
      </w:r>
      <w:r w:rsidRPr="00A9265D">
        <w:rPr>
          <w:rFonts w:ascii="Arial" w:hAnsi="Arial" w:cs="Arial"/>
        </w:rPr>
        <w:t xml:space="preserve"> y el segundo que muestra los movimientos internos </w:t>
      </w:r>
      <w:r w:rsidR="00E438A1">
        <w:rPr>
          <w:rFonts w:ascii="Arial" w:hAnsi="Arial" w:cs="Arial"/>
        </w:rPr>
        <w:t>de</w:t>
      </w:r>
      <w:r w:rsidRPr="00A9265D">
        <w:rPr>
          <w:rFonts w:ascii="Arial" w:hAnsi="Arial" w:cs="Arial"/>
        </w:rPr>
        <w:t xml:space="preserve"> los últimos cinco años</w:t>
      </w:r>
      <w:r>
        <w:rPr>
          <w:rFonts w:ascii="Arial" w:hAnsi="Arial" w:cs="Arial"/>
        </w:rPr>
        <w:t>,</w:t>
      </w:r>
      <w:r w:rsidRPr="00A9265D">
        <w:rPr>
          <w:rFonts w:ascii="Arial" w:hAnsi="Arial" w:cs="Arial"/>
        </w:rPr>
        <w:t xml:space="preserve"> tomando </w:t>
      </w:r>
      <w:r w:rsidRPr="00A9265D">
        <w:rPr>
          <w:rFonts w:ascii="Arial" w:hAnsi="Arial" w:cs="Arial"/>
        </w:rPr>
        <w:lastRenderedPageBreak/>
        <w:t xml:space="preserve">como referencia el lugar donde vivía hace 5 años (Noviembre de 2005). Además, se muestran </w:t>
      </w:r>
      <w:r w:rsidR="003D5D96">
        <w:rPr>
          <w:rFonts w:ascii="Arial" w:hAnsi="Arial" w:cs="Arial"/>
        </w:rPr>
        <w:t>ilustraciones gráficas para</w:t>
      </w:r>
      <w:r>
        <w:rPr>
          <w:rFonts w:ascii="Arial" w:hAnsi="Arial" w:cs="Arial"/>
        </w:rPr>
        <w:t xml:space="preserve"> los índices </w:t>
      </w:r>
      <w:r w:rsidRPr="00A9265D">
        <w:rPr>
          <w:rFonts w:ascii="Arial" w:hAnsi="Arial" w:cs="Arial"/>
        </w:rPr>
        <w:t xml:space="preserve">de feminidad de los emigrantes por provincia </w:t>
      </w:r>
      <w:r>
        <w:rPr>
          <w:rFonts w:ascii="Arial" w:hAnsi="Arial" w:cs="Arial"/>
        </w:rPr>
        <w:t>de nacimiento</w:t>
      </w:r>
      <w:r w:rsidRPr="00A9265D">
        <w:rPr>
          <w:rFonts w:ascii="Arial" w:hAnsi="Arial" w:cs="Arial"/>
        </w:rPr>
        <w:t>; también se presentan las Tasas de Participación Económica (TPE) d</w:t>
      </w:r>
      <w:r w:rsidR="00E438A1">
        <w:rPr>
          <w:rFonts w:ascii="Arial" w:hAnsi="Arial" w:cs="Arial"/>
        </w:rPr>
        <w:t xml:space="preserve">e los inmigrantes respecto a la </w:t>
      </w:r>
      <w:r w:rsidRPr="00A9265D">
        <w:rPr>
          <w:rFonts w:ascii="Arial" w:hAnsi="Arial" w:cs="Arial"/>
        </w:rPr>
        <w:t xml:space="preserve">provincia de residencia </w:t>
      </w:r>
      <w:r>
        <w:rPr>
          <w:rFonts w:ascii="Arial" w:hAnsi="Arial" w:cs="Arial"/>
        </w:rPr>
        <w:t xml:space="preserve">habitual </w:t>
      </w:r>
      <w:r w:rsidRPr="00A9265D">
        <w:rPr>
          <w:rFonts w:ascii="Arial" w:hAnsi="Arial" w:cs="Arial"/>
        </w:rPr>
        <w:t>que indica el grado de participación de la poblaci</w:t>
      </w:r>
      <w:r>
        <w:rPr>
          <w:rFonts w:ascii="Arial" w:hAnsi="Arial" w:cs="Arial"/>
        </w:rPr>
        <w:t>ón adulta en el mercado laboral</w:t>
      </w:r>
      <w:r w:rsidRPr="00A9265D">
        <w:rPr>
          <w:rFonts w:ascii="Arial" w:hAnsi="Arial" w:cs="Arial"/>
        </w:rPr>
        <w:t>.</w:t>
      </w:r>
    </w:p>
    <w:p w:rsidR="00472045" w:rsidRPr="00A9265D" w:rsidRDefault="00472045" w:rsidP="00925177">
      <w:pPr>
        <w:pStyle w:val="Prrafodelista"/>
        <w:spacing w:line="480" w:lineRule="auto"/>
        <w:ind w:left="851"/>
        <w:jc w:val="both"/>
        <w:rPr>
          <w:rFonts w:ascii="Arial" w:hAnsi="Arial" w:cs="Arial"/>
        </w:rPr>
      </w:pPr>
    </w:p>
    <w:p w:rsidR="00472045" w:rsidRDefault="00472045" w:rsidP="00925177">
      <w:pPr>
        <w:pStyle w:val="Prrafodelista"/>
        <w:spacing w:line="480" w:lineRule="auto"/>
        <w:ind w:left="851"/>
        <w:jc w:val="both"/>
        <w:rPr>
          <w:rFonts w:ascii="Arial" w:hAnsi="Arial" w:cs="Arial"/>
        </w:rPr>
      </w:pPr>
      <w:r w:rsidRPr="00A9265D">
        <w:rPr>
          <w:rFonts w:ascii="Arial" w:hAnsi="Arial" w:cs="Arial"/>
        </w:rPr>
        <w:t xml:space="preserve">En otra sección se habla acerca del perfil de los emigrantes de Manabí, se toma esta provincia para estudio puesto que es la que mayor cantidad de personas expulsa en términos absolutos, </w:t>
      </w:r>
      <w:r w:rsidR="00E438A1">
        <w:rPr>
          <w:rFonts w:ascii="Arial" w:hAnsi="Arial" w:cs="Arial"/>
        </w:rPr>
        <w:t>también</w:t>
      </w:r>
      <w:r w:rsidRPr="00A9265D">
        <w:rPr>
          <w:rFonts w:ascii="Arial" w:hAnsi="Arial" w:cs="Arial"/>
        </w:rPr>
        <w:t xml:space="preserve"> se determina hacia que provincias emigran más las mujeres que los hombres, cuál es la proporción de las personas en edades económicamente activa (entre 15 y 35 años) que ha abandonado la provincia; así como también su nivel de instrucción y el tipo de vivienda que tiene en la provincia de residencia habitual.</w:t>
      </w:r>
      <w:r>
        <w:rPr>
          <w:rFonts w:ascii="Arial" w:hAnsi="Arial" w:cs="Arial"/>
        </w:rPr>
        <w:t xml:space="preserve"> </w:t>
      </w:r>
      <w:r w:rsidRPr="00A9265D">
        <w:rPr>
          <w:rFonts w:ascii="Arial" w:hAnsi="Arial" w:cs="Arial"/>
        </w:rPr>
        <w:t xml:space="preserve">También se </w:t>
      </w:r>
      <w:r w:rsidR="00E438A1">
        <w:rPr>
          <w:rFonts w:ascii="Arial" w:hAnsi="Arial" w:cs="Arial"/>
        </w:rPr>
        <w:t>habla</w:t>
      </w:r>
      <w:r w:rsidRPr="00A9265D">
        <w:rPr>
          <w:rFonts w:ascii="Arial" w:hAnsi="Arial" w:cs="Arial"/>
        </w:rPr>
        <w:t xml:space="preserve"> acerca del perfil de los inmigrantes hacia uno de los grandes centros económicos del país como e</w:t>
      </w:r>
      <w:r w:rsidR="00E438A1">
        <w:rPr>
          <w:rFonts w:ascii="Arial" w:hAnsi="Arial" w:cs="Arial"/>
        </w:rPr>
        <w:t>s Guayaquil, se analiza</w:t>
      </w:r>
      <w:r w:rsidRPr="00A9265D">
        <w:rPr>
          <w:rFonts w:ascii="Arial" w:hAnsi="Arial" w:cs="Arial"/>
        </w:rPr>
        <w:t xml:space="preserve"> el género, la distribución de edad, el nivel de instrucción, la actividad económica a la que se ded</w:t>
      </w:r>
      <w:r>
        <w:rPr>
          <w:rFonts w:ascii="Arial" w:hAnsi="Arial" w:cs="Arial"/>
        </w:rPr>
        <w:t>ica, entre otras características.</w:t>
      </w:r>
    </w:p>
    <w:p w:rsidR="00472045" w:rsidRDefault="00472045" w:rsidP="00925177">
      <w:pPr>
        <w:pStyle w:val="Prrafodelista"/>
        <w:spacing w:line="480" w:lineRule="auto"/>
        <w:ind w:left="851"/>
        <w:jc w:val="both"/>
        <w:rPr>
          <w:rFonts w:ascii="Arial" w:hAnsi="Arial" w:cs="Arial"/>
        </w:rPr>
      </w:pPr>
    </w:p>
    <w:p w:rsidR="00472045" w:rsidRPr="002C0778" w:rsidRDefault="00472045" w:rsidP="0041640C">
      <w:pPr>
        <w:pStyle w:val="TesisTitulo10"/>
        <w:numPr>
          <w:ilvl w:val="1"/>
          <w:numId w:val="9"/>
        </w:numPr>
        <w:ind w:left="851" w:hanging="567"/>
      </w:pPr>
      <w:bookmarkStart w:id="185" w:name="_Toc339212668"/>
      <w:bookmarkStart w:id="186" w:name="_Toc341040599"/>
      <w:r>
        <w:t>Software utilizado</w:t>
      </w:r>
      <w:bookmarkEnd w:id="185"/>
      <w:bookmarkEnd w:id="186"/>
    </w:p>
    <w:p w:rsidR="00472045" w:rsidRDefault="00472045" w:rsidP="0041640C">
      <w:pPr>
        <w:pStyle w:val="TesisTitulo20"/>
        <w:numPr>
          <w:ilvl w:val="2"/>
          <w:numId w:val="9"/>
        </w:numPr>
        <w:ind w:left="1560" w:hanging="709"/>
      </w:pPr>
      <w:bookmarkStart w:id="187" w:name="_Toc339212669"/>
      <w:bookmarkStart w:id="188" w:name="_Toc341040600"/>
      <w:r>
        <w:t>Software Estadístico SPSS</w:t>
      </w:r>
      <w:bookmarkEnd w:id="187"/>
      <w:bookmarkEnd w:id="188"/>
    </w:p>
    <w:p w:rsidR="00472045" w:rsidRPr="00F73801" w:rsidRDefault="00472045" w:rsidP="00F73801">
      <w:pPr>
        <w:spacing w:line="480" w:lineRule="auto"/>
        <w:ind w:left="851"/>
        <w:jc w:val="both"/>
        <w:rPr>
          <w:rFonts w:ascii="Arial" w:hAnsi="Arial" w:cs="Arial"/>
          <w:b/>
        </w:rPr>
      </w:pPr>
      <w:bookmarkStart w:id="189" w:name="_Toc339199684"/>
      <w:bookmarkStart w:id="190" w:name="_Toc339212554"/>
      <w:bookmarkStart w:id="191" w:name="_Toc339212670"/>
      <w:bookmarkStart w:id="192" w:name="_Toc339784821"/>
      <w:bookmarkStart w:id="193" w:name="_Toc339852976"/>
      <w:bookmarkStart w:id="194" w:name="_Toc340231746"/>
      <w:r w:rsidRPr="00F73801">
        <w:rPr>
          <w:rFonts w:ascii="Arial" w:hAnsi="Arial" w:cs="Arial"/>
        </w:rPr>
        <w:t>SPSS, de sus siglas en inglés Statistical Package for the Social Sciences aunque también ha sido llamado Statistical Product and Service Solutions</w:t>
      </w:r>
      <w:r w:rsidRPr="00F73801">
        <w:rPr>
          <w:rFonts w:ascii="Arial" w:hAnsi="Arial" w:cs="Arial"/>
          <w:vertAlign w:val="superscript"/>
        </w:rPr>
        <w:footnoteReference w:id="27"/>
      </w:r>
      <w:r w:rsidRPr="00F73801">
        <w:rPr>
          <w:rFonts w:ascii="Arial" w:hAnsi="Arial" w:cs="Arial"/>
        </w:rPr>
        <w:t xml:space="preserve">, </w:t>
      </w:r>
      <w:r w:rsidRPr="00F73801">
        <w:rPr>
          <w:rFonts w:ascii="Arial" w:hAnsi="Arial" w:cs="Arial"/>
        </w:rPr>
        <w:lastRenderedPageBreak/>
        <w:t xml:space="preserve">es un programa estadístico informático muy usado </w:t>
      </w:r>
      <w:r w:rsidR="00AE2BD5" w:rsidRPr="00F73801">
        <w:rPr>
          <w:rFonts w:ascii="Arial" w:hAnsi="Arial" w:cs="Arial"/>
        </w:rPr>
        <w:t>por los científicos sociales, cuando tienen que cuantificar en sus investigaciones</w:t>
      </w:r>
      <w:r w:rsidRPr="00F73801">
        <w:rPr>
          <w:rFonts w:ascii="Arial" w:hAnsi="Arial" w:cs="Arial"/>
        </w:rPr>
        <w:t>, las empresas de investigación de mercado y que actualmente su uso se ha ampliado hacia otros niveles del mercado.</w:t>
      </w:r>
      <w:bookmarkEnd w:id="189"/>
      <w:bookmarkEnd w:id="190"/>
      <w:bookmarkEnd w:id="191"/>
      <w:bookmarkEnd w:id="192"/>
      <w:bookmarkEnd w:id="193"/>
      <w:bookmarkEnd w:id="194"/>
      <w:r w:rsidRPr="00F73801">
        <w:rPr>
          <w:rFonts w:ascii="Arial" w:hAnsi="Arial" w:cs="Arial"/>
        </w:rPr>
        <w:t xml:space="preserve"> </w:t>
      </w:r>
    </w:p>
    <w:p w:rsidR="00925177" w:rsidRPr="00F73801" w:rsidRDefault="00925177" w:rsidP="00F73801">
      <w:pPr>
        <w:spacing w:line="480" w:lineRule="auto"/>
        <w:ind w:left="851"/>
        <w:jc w:val="both"/>
        <w:rPr>
          <w:rFonts w:ascii="Arial" w:hAnsi="Arial" w:cs="Arial"/>
          <w:b/>
        </w:rPr>
      </w:pPr>
    </w:p>
    <w:p w:rsidR="00472045" w:rsidRDefault="00472045" w:rsidP="00F73801">
      <w:pPr>
        <w:spacing w:line="480" w:lineRule="auto"/>
        <w:ind w:left="851"/>
        <w:jc w:val="both"/>
        <w:rPr>
          <w:b/>
        </w:rPr>
      </w:pPr>
      <w:bookmarkStart w:id="195" w:name="_Toc339199685"/>
      <w:bookmarkStart w:id="196" w:name="_Toc339212555"/>
      <w:bookmarkStart w:id="197" w:name="_Toc339212671"/>
      <w:bookmarkStart w:id="198" w:name="_Toc339784822"/>
      <w:bookmarkStart w:id="199" w:name="_Toc339852977"/>
      <w:bookmarkStart w:id="200" w:name="_Toc340231747"/>
      <w:r w:rsidRPr="00F73801">
        <w:rPr>
          <w:rFonts w:ascii="Arial" w:hAnsi="Arial" w:cs="Arial"/>
        </w:rPr>
        <w:t xml:space="preserve">Este programa ha sido </w:t>
      </w:r>
      <w:r w:rsidR="00AE2BD5" w:rsidRPr="00F73801">
        <w:rPr>
          <w:rFonts w:ascii="Arial" w:hAnsi="Arial" w:cs="Arial"/>
        </w:rPr>
        <w:t>preferentemente utilizado</w:t>
      </w:r>
      <w:r w:rsidRPr="00F73801">
        <w:rPr>
          <w:rFonts w:ascii="Arial" w:hAnsi="Arial" w:cs="Arial"/>
        </w:rPr>
        <w:t xml:space="preserve"> para llevar a cabo esta investigación, pues las bases de datos del último censo de población llevado a cabo en el 2010 fueron descargadas desde el sitio web oficial del INEC, en formato .sav que es la extensión de archivos de SPSS. Este software ha sido usado para la elaboración de tablas de frecuencias desde la opción “frequencies”, así como también desde esta opción se pueden obtener las estadísticas descriptivas de variables cuantitativas; además, </w:t>
      </w:r>
      <w:r w:rsidR="0086520C">
        <w:rPr>
          <w:rFonts w:ascii="Arial" w:hAnsi="Arial" w:cs="Arial"/>
        </w:rPr>
        <w:t>se han elaborado</w:t>
      </w:r>
      <w:r w:rsidRPr="00F73801">
        <w:rPr>
          <w:rFonts w:ascii="Arial" w:hAnsi="Arial" w:cs="Arial"/>
        </w:rPr>
        <w:t xml:space="preserve"> tablas bivariadas e incluso permite el cruce de hasta tres variables mediante la opción “crosstabs”. Esta plataforma ha sido usada también, para la recodificación de variables, así como también para construir nuevas variables mediante la “sintaxis”.</w:t>
      </w:r>
      <w:bookmarkEnd w:id="195"/>
      <w:bookmarkEnd w:id="196"/>
      <w:bookmarkEnd w:id="197"/>
      <w:bookmarkEnd w:id="198"/>
      <w:bookmarkEnd w:id="199"/>
      <w:bookmarkEnd w:id="200"/>
    </w:p>
    <w:p w:rsidR="00472045" w:rsidRPr="006C54BA" w:rsidRDefault="00472045" w:rsidP="00925177">
      <w:pPr>
        <w:pStyle w:val="TesisTitulo20"/>
        <w:numPr>
          <w:ilvl w:val="0"/>
          <w:numId w:val="0"/>
        </w:numPr>
        <w:ind w:left="851"/>
        <w:rPr>
          <w:b w:val="0"/>
          <w:sz w:val="22"/>
          <w:szCs w:val="22"/>
        </w:rPr>
      </w:pPr>
    </w:p>
    <w:p w:rsidR="00472045" w:rsidRDefault="00472045" w:rsidP="0041640C">
      <w:pPr>
        <w:pStyle w:val="TesisTitulo20"/>
        <w:numPr>
          <w:ilvl w:val="2"/>
          <w:numId w:val="9"/>
        </w:numPr>
        <w:ind w:left="1560" w:hanging="709"/>
      </w:pPr>
      <w:bookmarkStart w:id="201" w:name="_Toc339212672"/>
      <w:bookmarkStart w:id="202" w:name="_Toc341040601"/>
      <w:r>
        <w:t>Lenguaje de Programación R</w:t>
      </w:r>
      <w:bookmarkEnd w:id="201"/>
      <w:bookmarkEnd w:id="202"/>
    </w:p>
    <w:p w:rsidR="00472045" w:rsidRDefault="00472045" w:rsidP="00AE2BD5">
      <w:pPr>
        <w:pStyle w:val="Prrafodelista"/>
        <w:spacing w:line="480" w:lineRule="auto"/>
        <w:ind w:left="851"/>
        <w:jc w:val="both"/>
        <w:rPr>
          <w:rFonts w:ascii="Arial" w:hAnsi="Arial" w:cs="Arial"/>
        </w:rPr>
      </w:pPr>
      <w:r>
        <w:rPr>
          <w:rFonts w:ascii="Arial" w:hAnsi="Arial" w:cs="Arial"/>
        </w:rPr>
        <w:t xml:space="preserve">R es un lenguaje de programación para análisis estadístico que puede ser descargado de forma gratuita, pues se trata de un software de código abierto; posee múltiples herramientas para análisis estadístico univariado, multivariado, análisis de series de tiempo, así como también permite la creación de gráficos tales como histogramas, series temporales, diagramas de dispersión, mapas temáticos, entre otros. </w:t>
      </w:r>
    </w:p>
    <w:p w:rsidR="00472045" w:rsidRDefault="00472045" w:rsidP="00AE2BD5">
      <w:pPr>
        <w:pStyle w:val="Prrafodelista"/>
        <w:spacing w:line="480" w:lineRule="auto"/>
        <w:ind w:left="851"/>
        <w:jc w:val="both"/>
        <w:rPr>
          <w:rFonts w:ascii="Arial" w:hAnsi="Arial" w:cs="Arial"/>
        </w:rPr>
      </w:pPr>
    </w:p>
    <w:p w:rsidR="00472045" w:rsidRDefault="00472045" w:rsidP="00AE2BD5">
      <w:pPr>
        <w:pStyle w:val="Prrafodelista"/>
        <w:spacing w:line="480" w:lineRule="auto"/>
        <w:ind w:left="851"/>
        <w:jc w:val="both"/>
        <w:rPr>
          <w:rFonts w:ascii="Arial" w:hAnsi="Arial" w:cs="Arial"/>
        </w:rPr>
      </w:pPr>
      <w:r>
        <w:rPr>
          <w:rFonts w:ascii="Arial" w:hAnsi="Arial" w:cs="Arial"/>
        </w:rPr>
        <w:t>En este estudio, este programa ha sido utilizado para leer archivos .shp que contienen la cartografía del Ecuador, dichos archivos también fueron descargados desde el sitio oficial del INEC y son cargados al software con el comando “</w:t>
      </w:r>
      <w:r w:rsidRPr="00A12ABB">
        <w:rPr>
          <w:rFonts w:ascii="Arial" w:hAnsi="Arial" w:cs="Arial"/>
          <w:i/>
        </w:rPr>
        <w:t>readShapeSpatial</w:t>
      </w:r>
      <w:r>
        <w:rPr>
          <w:rFonts w:ascii="Arial" w:hAnsi="Arial" w:cs="Arial"/>
        </w:rPr>
        <w:t>”; pero, el uso principal fue para elaborar mapas temáticos que a lo largo de este trabajo han sido utilizados para mostrar gráficamente las tasas de emigración e inmigración a nivel provincial, así como también otras tasas aquí presentadas, el comando usado para elaborar el gráfico es “</w:t>
      </w:r>
      <w:r>
        <w:rPr>
          <w:rFonts w:ascii="Arial" w:hAnsi="Arial" w:cs="Arial"/>
          <w:i/>
        </w:rPr>
        <w:t>spplot</w:t>
      </w:r>
      <w:r>
        <w:rPr>
          <w:rFonts w:ascii="Arial" w:hAnsi="Arial" w:cs="Arial"/>
        </w:rPr>
        <w:t xml:space="preserve">”. </w:t>
      </w:r>
    </w:p>
    <w:p w:rsidR="00234110" w:rsidRDefault="00234110" w:rsidP="00AE2BD5">
      <w:pPr>
        <w:pStyle w:val="Prrafodelista"/>
        <w:spacing w:line="480" w:lineRule="auto"/>
        <w:ind w:left="851"/>
        <w:jc w:val="both"/>
        <w:rPr>
          <w:rFonts w:ascii="Arial" w:hAnsi="Arial" w:cs="Arial"/>
        </w:rPr>
      </w:pPr>
    </w:p>
    <w:p w:rsidR="00234110" w:rsidRDefault="00AE2BD5" w:rsidP="0041640C">
      <w:pPr>
        <w:pStyle w:val="TesisTitulo20"/>
        <w:numPr>
          <w:ilvl w:val="2"/>
          <w:numId w:val="9"/>
        </w:numPr>
        <w:ind w:left="1560" w:hanging="709"/>
      </w:pPr>
      <w:bookmarkStart w:id="203" w:name="_Toc339212673"/>
      <w:bookmarkStart w:id="204" w:name="_Toc341040602"/>
      <w:r>
        <w:t>Base de datos</w:t>
      </w:r>
      <w:r w:rsidR="00234110">
        <w:t xml:space="preserve"> Redatam</w:t>
      </w:r>
      <w:bookmarkEnd w:id="203"/>
      <w:bookmarkEnd w:id="204"/>
    </w:p>
    <w:p w:rsidR="00234110" w:rsidRDefault="00234110" w:rsidP="00AE2BD5">
      <w:pPr>
        <w:pStyle w:val="Prrafodelista"/>
        <w:spacing w:line="480" w:lineRule="auto"/>
        <w:ind w:left="851"/>
        <w:jc w:val="both"/>
        <w:rPr>
          <w:rFonts w:ascii="Arial" w:hAnsi="Arial" w:cs="Arial"/>
        </w:rPr>
      </w:pPr>
      <w:r>
        <w:rPr>
          <w:rFonts w:ascii="Arial" w:hAnsi="Arial" w:cs="Arial"/>
        </w:rPr>
        <w:t xml:space="preserve">Redatam es el acrónimo de </w:t>
      </w:r>
      <w:r w:rsidRPr="00CB6B62">
        <w:rPr>
          <w:rFonts w:ascii="Arial" w:hAnsi="Arial" w:cs="Arial"/>
          <w:b/>
        </w:rPr>
        <w:t>Re</w:t>
      </w:r>
      <w:r>
        <w:rPr>
          <w:rFonts w:ascii="Arial" w:hAnsi="Arial" w:cs="Arial"/>
        </w:rPr>
        <w:t xml:space="preserve">cuperación de </w:t>
      </w:r>
      <w:r w:rsidRPr="00CB6B62">
        <w:rPr>
          <w:rFonts w:ascii="Arial" w:hAnsi="Arial" w:cs="Arial"/>
          <w:b/>
        </w:rPr>
        <w:t>Dat</w:t>
      </w:r>
      <w:r>
        <w:rPr>
          <w:rFonts w:ascii="Arial" w:hAnsi="Arial" w:cs="Arial"/>
        </w:rPr>
        <w:t xml:space="preserve">os para </w:t>
      </w:r>
      <w:r w:rsidRPr="00CB6B62">
        <w:rPr>
          <w:rFonts w:ascii="Arial" w:hAnsi="Arial" w:cs="Arial"/>
          <w:b/>
        </w:rPr>
        <w:t>Á</w:t>
      </w:r>
      <w:r>
        <w:rPr>
          <w:rFonts w:ascii="Arial" w:hAnsi="Arial" w:cs="Arial"/>
        </w:rPr>
        <w:t xml:space="preserve">reas pequeñas por </w:t>
      </w:r>
      <w:r w:rsidRPr="00CB6B62">
        <w:rPr>
          <w:rFonts w:ascii="Arial" w:hAnsi="Arial" w:cs="Arial"/>
          <w:b/>
        </w:rPr>
        <w:t>M</w:t>
      </w:r>
      <w:r>
        <w:rPr>
          <w:rFonts w:ascii="Arial" w:hAnsi="Arial" w:cs="Arial"/>
        </w:rPr>
        <w:t>icrocomputador; este aplicativo se lo utiliza desde el sitio web oficial del Instituto Nacional de Estadística y Censos (INEC); el cual permite realizar consultas en las Bases de Datos del Censo 2010 desde la web</w:t>
      </w:r>
      <w:r w:rsidR="00AE2BD5">
        <w:rPr>
          <w:rFonts w:ascii="Arial" w:hAnsi="Arial" w:cs="Arial"/>
        </w:rPr>
        <w:t>;</w:t>
      </w:r>
      <w:r>
        <w:rPr>
          <w:rFonts w:ascii="Arial" w:hAnsi="Arial" w:cs="Arial"/>
        </w:rPr>
        <w:t xml:space="preserve"> una de las ventajas de Redatam es que permite procesar grandes volúmenes de datos en poco tiempo, permite el uso de filtros, así como también el cruce de múltiples variables; y, en esta investigación se lo usó principalmente para realizar consultas y elaborar tablas que </w:t>
      </w:r>
      <w:r w:rsidR="00AE2BD5">
        <w:rPr>
          <w:rFonts w:ascii="Arial" w:hAnsi="Arial" w:cs="Arial"/>
        </w:rPr>
        <w:t xml:space="preserve">posteriormente eran importadas </w:t>
      </w:r>
      <w:r>
        <w:rPr>
          <w:rFonts w:ascii="Arial" w:hAnsi="Arial" w:cs="Arial"/>
        </w:rPr>
        <w:t xml:space="preserve">a EXCEL. </w:t>
      </w:r>
    </w:p>
    <w:p w:rsidR="00234110" w:rsidRDefault="00234110" w:rsidP="00AE2BD5">
      <w:pPr>
        <w:pStyle w:val="Prrafodelista"/>
        <w:spacing w:line="480" w:lineRule="auto"/>
        <w:ind w:left="851"/>
        <w:jc w:val="both"/>
        <w:rPr>
          <w:rFonts w:ascii="Arial" w:hAnsi="Arial" w:cs="Arial"/>
        </w:rPr>
      </w:pPr>
    </w:p>
    <w:p w:rsidR="00234110" w:rsidRPr="008E51E4" w:rsidRDefault="00234110" w:rsidP="0041640C">
      <w:pPr>
        <w:pStyle w:val="TesisTitulo20"/>
        <w:numPr>
          <w:ilvl w:val="2"/>
          <w:numId w:val="9"/>
        </w:numPr>
        <w:ind w:left="1560" w:hanging="709"/>
      </w:pPr>
      <w:bookmarkStart w:id="205" w:name="_Toc339212674"/>
      <w:bookmarkStart w:id="206" w:name="_Toc341040603"/>
      <w:r>
        <w:t>Microsoft Office Excel</w:t>
      </w:r>
      <w:bookmarkEnd w:id="205"/>
      <w:bookmarkEnd w:id="206"/>
    </w:p>
    <w:p w:rsidR="00234110" w:rsidRDefault="00234110" w:rsidP="00AE2BD5">
      <w:pPr>
        <w:pStyle w:val="Prrafodelista"/>
        <w:spacing w:line="480" w:lineRule="auto"/>
        <w:ind w:left="851"/>
        <w:jc w:val="both"/>
        <w:rPr>
          <w:rFonts w:ascii="Arial" w:hAnsi="Arial" w:cs="Arial"/>
        </w:rPr>
      </w:pPr>
      <w:r>
        <w:rPr>
          <w:rFonts w:ascii="Arial" w:hAnsi="Arial" w:cs="Arial"/>
        </w:rPr>
        <w:t xml:space="preserve">Microsoft Office Excel, </w:t>
      </w:r>
      <w:r w:rsidRPr="00F43EB1">
        <w:rPr>
          <w:rFonts w:ascii="Arial" w:hAnsi="Arial" w:cs="Arial"/>
        </w:rPr>
        <w:t xml:space="preserve">es una aplicación distribuida por Microsoft </w:t>
      </w:r>
      <w:r>
        <w:rPr>
          <w:rFonts w:ascii="Arial" w:hAnsi="Arial" w:cs="Arial"/>
        </w:rPr>
        <w:t xml:space="preserve">Office para hojas de cálculo; este programa </w:t>
      </w:r>
      <w:r w:rsidRPr="00F43EB1">
        <w:rPr>
          <w:rFonts w:ascii="Arial" w:hAnsi="Arial" w:cs="Arial"/>
        </w:rPr>
        <w:t xml:space="preserve">es desarrollado y distribuido por </w:t>
      </w:r>
      <w:r w:rsidRPr="00F43EB1">
        <w:rPr>
          <w:rFonts w:ascii="Arial" w:hAnsi="Arial" w:cs="Arial"/>
        </w:rPr>
        <w:lastRenderedPageBreak/>
        <w:t>Microsoft, y es utilizado normalmente en tareas financieras y contables</w:t>
      </w:r>
      <w:r>
        <w:rPr>
          <w:rStyle w:val="Refdenotaalpie"/>
          <w:rFonts w:ascii="Arial" w:hAnsi="Arial" w:cs="Arial"/>
        </w:rPr>
        <w:footnoteReference w:id="28"/>
      </w:r>
      <w:r w:rsidRPr="00F43EB1">
        <w:rPr>
          <w:rFonts w:ascii="Arial" w:hAnsi="Arial" w:cs="Arial"/>
        </w:rPr>
        <w:t>.</w:t>
      </w:r>
      <w:r>
        <w:rPr>
          <w:rFonts w:ascii="Arial" w:hAnsi="Arial" w:cs="Arial"/>
        </w:rPr>
        <w:t xml:space="preserve"> Excel fue de gran utilidad para llevar a cabo este trabajo, pues fue utilizado para la elaboración de gráficos tales como diagramas de barra, histogramas de frecuencia, gráficos de línea, gráfico de puntos, entre otros; así como también fue usado para la realización de algunos cálculos. </w:t>
      </w:r>
    </w:p>
    <w:p w:rsidR="00AE2BD5" w:rsidRDefault="00AE2BD5" w:rsidP="00AE2BD5">
      <w:pPr>
        <w:pStyle w:val="Prrafodelista"/>
        <w:spacing w:line="480" w:lineRule="auto"/>
        <w:ind w:left="851"/>
        <w:jc w:val="both"/>
        <w:rPr>
          <w:rFonts w:ascii="Arial" w:hAnsi="Arial" w:cs="Arial"/>
        </w:rPr>
      </w:pPr>
    </w:p>
    <w:p w:rsidR="00234110" w:rsidRDefault="00234110" w:rsidP="0041640C">
      <w:pPr>
        <w:pStyle w:val="TesisTitulo10"/>
        <w:numPr>
          <w:ilvl w:val="1"/>
          <w:numId w:val="9"/>
        </w:numPr>
        <w:ind w:left="851" w:hanging="567"/>
      </w:pPr>
      <w:bookmarkStart w:id="207" w:name="_Toc339212675"/>
      <w:bookmarkStart w:id="208" w:name="_Toc341040604"/>
      <w:r>
        <w:t>Descripción de la Boleta Censal</w:t>
      </w:r>
      <w:bookmarkEnd w:id="207"/>
      <w:bookmarkEnd w:id="208"/>
    </w:p>
    <w:p w:rsidR="00234110" w:rsidRDefault="00E9488A" w:rsidP="00AE2BD5">
      <w:pPr>
        <w:pStyle w:val="Prrafodelista"/>
        <w:spacing w:line="480" w:lineRule="auto"/>
        <w:ind w:left="851"/>
        <w:jc w:val="both"/>
        <w:rPr>
          <w:rFonts w:ascii="Arial" w:hAnsi="Arial" w:cs="Arial"/>
        </w:rPr>
      </w:pPr>
      <w:r>
        <w:rPr>
          <w:rFonts w:ascii="Arial" w:hAnsi="Arial" w:cs="Arial"/>
        </w:rPr>
        <w:t xml:space="preserve">La Boleta Censal, ya referida en capítulo previo, </w:t>
      </w:r>
      <w:r w:rsidR="00234110">
        <w:rPr>
          <w:rFonts w:ascii="Arial" w:hAnsi="Arial" w:cs="Arial"/>
        </w:rPr>
        <w:t>utilizada durante el empadronamiento del VII Censo de Población y VI de Vivienda llevado a cabo en el 2010 consta de cuatro secciones denominadas Datos de la vivienda, Datos del hogar, Remesas y emigración; y, Datos de población respectivamente; así como también consta de una sección inicial no numerada en la cual se anotan datos de la ubicación, tipo y ocupación de la vivienda, esta sección es llenada por el empadronador; mientras que, las secciones uno y dos son consultadas directamente con el jefe de hogar u otra persona mayor que este presente en la vivienda, la sección tres en cambio es consultada a alguien presente en el hogar pero hace referencia a datos de emigrantes; y, la sección cuatro es consultada a cada uno de los habitantes de la vivienda pues se entrevista uno a uno a los individuos presentes en el inmueble.</w:t>
      </w:r>
    </w:p>
    <w:p w:rsidR="00234110" w:rsidRDefault="00234110" w:rsidP="00AE2BD5">
      <w:pPr>
        <w:pStyle w:val="Prrafodelista"/>
        <w:spacing w:line="480" w:lineRule="auto"/>
        <w:ind w:left="851"/>
        <w:jc w:val="both"/>
        <w:rPr>
          <w:rFonts w:ascii="Arial" w:hAnsi="Arial" w:cs="Arial"/>
        </w:rPr>
      </w:pPr>
    </w:p>
    <w:p w:rsidR="00234110" w:rsidRDefault="00234110" w:rsidP="00AE2BD5">
      <w:pPr>
        <w:pStyle w:val="Prrafodelista"/>
        <w:spacing w:line="480" w:lineRule="auto"/>
        <w:ind w:left="851"/>
        <w:jc w:val="both"/>
        <w:rPr>
          <w:rFonts w:ascii="Arial" w:hAnsi="Arial" w:cs="Arial"/>
        </w:rPr>
      </w:pPr>
      <w:r>
        <w:rPr>
          <w:rFonts w:ascii="Arial" w:hAnsi="Arial" w:cs="Arial"/>
        </w:rPr>
        <w:t>La primera sección consta de dieciséis preguntas acerca del material y estado del techo, paredes exteriores y piso</w:t>
      </w:r>
      <w:r w:rsidR="00E9488A">
        <w:rPr>
          <w:rFonts w:ascii="Arial" w:hAnsi="Arial" w:cs="Arial"/>
        </w:rPr>
        <w:t xml:space="preserve"> del hogar</w:t>
      </w:r>
      <w:r>
        <w:rPr>
          <w:rFonts w:ascii="Arial" w:hAnsi="Arial" w:cs="Arial"/>
        </w:rPr>
        <w:t xml:space="preserve">; además, se consulta </w:t>
      </w:r>
      <w:r>
        <w:rPr>
          <w:rFonts w:ascii="Arial" w:hAnsi="Arial" w:cs="Arial"/>
        </w:rPr>
        <w:lastRenderedPageBreak/>
        <w:t xml:space="preserve">acerca de la procedencia del agua y energía eléctrica en la vivienda, así como también la forma en la  cual se elimina la basura. La sección dos, en cambio, consta de quince preguntas en las cuales se pregunta el número de cuartos que hay en cada hogar y cuantos de ellos están destinados para dormir, si hay cuartos destinados para ducharse; y, si la vivienda ocupada por el hogar es propia, arrendada u otra. La tercera sección consta de siete preguntas referentes a si el hogar recibe remesas del exterior y si tienen familiares que desde noviembre de 2001 viajaron al exterior y aún no han regresado para establecerse nuevamente en el país, sobre ellos se preguntan algunas características sociodemográficas; y, la última sección que consta de cuarenta y tres preguntas trata de conocer las características de cada uno de los habitantes del país desde su género, nivel más alto de instrucción, estado conyugal, si trabaja o no, si tiene alguna discapacidad entre otras. De todas las variables en la boleta censal contenidas se seleccionaron algunas para realizar esta investigación, dichas variables se describen en la Sección 7 del Capítulo 1.  </w:t>
      </w:r>
    </w:p>
    <w:p w:rsidR="00234110" w:rsidRPr="002C0778" w:rsidRDefault="00234110" w:rsidP="00AE2BD5">
      <w:pPr>
        <w:pStyle w:val="Prrafodelista"/>
        <w:spacing w:line="480" w:lineRule="auto"/>
        <w:ind w:left="851"/>
        <w:jc w:val="both"/>
        <w:rPr>
          <w:rFonts w:ascii="Arial" w:hAnsi="Arial" w:cs="Arial"/>
        </w:rPr>
      </w:pPr>
    </w:p>
    <w:p w:rsidR="00234110" w:rsidRPr="00B1401E" w:rsidRDefault="00234110" w:rsidP="0041640C">
      <w:pPr>
        <w:pStyle w:val="TesisTitulo10"/>
        <w:numPr>
          <w:ilvl w:val="1"/>
          <w:numId w:val="9"/>
        </w:numPr>
        <w:ind w:left="851" w:hanging="567"/>
      </w:pPr>
      <w:bookmarkStart w:id="209" w:name="_Toc339212676"/>
      <w:bookmarkStart w:id="210" w:name="_Toc341040605"/>
      <w:r w:rsidRPr="00B1401E">
        <w:t xml:space="preserve">Inmigración y Emigración por </w:t>
      </w:r>
      <w:r w:rsidR="008F1FF2">
        <w:t>p</w:t>
      </w:r>
      <w:r w:rsidRPr="00B1401E">
        <w:t>rovincia</w:t>
      </w:r>
      <w:bookmarkEnd w:id="209"/>
      <w:bookmarkEnd w:id="210"/>
    </w:p>
    <w:p w:rsidR="00234110" w:rsidRDefault="00234110" w:rsidP="00E9488A">
      <w:pPr>
        <w:pStyle w:val="Prrafodelista"/>
        <w:spacing w:line="480" w:lineRule="auto"/>
        <w:ind w:left="851"/>
        <w:jc w:val="both"/>
        <w:rPr>
          <w:rFonts w:ascii="Arial" w:hAnsi="Arial" w:cs="Arial"/>
        </w:rPr>
      </w:pPr>
      <w:r w:rsidRPr="006110AB">
        <w:rPr>
          <w:rFonts w:ascii="Arial" w:hAnsi="Arial" w:cs="Arial"/>
        </w:rPr>
        <w:t xml:space="preserve">En esta sección hablaremos acerca de las tasas de emigración y de inmigración interna. Se define como </w:t>
      </w:r>
      <w:r w:rsidR="009B7A44">
        <w:rPr>
          <w:rFonts w:ascii="Arial" w:hAnsi="Arial" w:cs="Arial"/>
        </w:rPr>
        <w:t>t</w:t>
      </w:r>
      <w:r w:rsidRPr="006110AB">
        <w:rPr>
          <w:rFonts w:ascii="Arial" w:hAnsi="Arial" w:cs="Arial"/>
        </w:rPr>
        <w:t xml:space="preserve">asa de </w:t>
      </w:r>
      <w:r w:rsidR="009B7A44">
        <w:rPr>
          <w:rFonts w:ascii="Arial" w:hAnsi="Arial" w:cs="Arial"/>
        </w:rPr>
        <w:t>e</w:t>
      </w:r>
      <w:r w:rsidRPr="006110AB">
        <w:rPr>
          <w:rFonts w:ascii="Arial" w:hAnsi="Arial" w:cs="Arial"/>
        </w:rPr>
        <w:t>migración</w:t>
      </w:r>
      <w:r w:rsidR="009B7A44">
        <w:rPr>
          <w:rFonts w:ascii="Arial" w:hAnsi="Arial" w:cs="Arial"/>
        </w:rPr>
        <w:t xml:space="preserve"> por cada 1000 personas</w:t>
      </w:r>
      <w:r>
        <w:rPr>
          <w:rStyle w:val="Refdenotaalpie"/>
          <w:rFonts w:ascii="Arial" w:hAnsi="Arial" w:cs="Arial"/>
        </w:rPr>
        <w:footnoteReference w:id="29"/>
      </w:r>
      <w:r w:rsidRPr="006110AB">
        <w:rPr>
          <w:rFonts w:ascii="Arial" w:hAnsi="Arial" w:cs="Arial"/>
        </w:rPr>
        <w:t xml:space="preserve"> al cociente entre el número de emigrantes que salen de su lugar de origen y el total de habitantes de ese lugar, generalmente se calcula por cada 1000 habitantes.</w:t>
      </w:r>
    </w:p>
    <w:p w:rsidR="00234110" w:rsidRDefault="00234110" w:rsidP="00E9488A">
      <w:pPr>
        <w:pStyle w:val="Prrafodelista"/>
        <w:spacing w:line="480" w:lineRule="auto"/>
        <w:ind w:left="851"/>
        <w:rPr>
          <w:rFonts w:ascii="Arial" w:hAnsi="Arial" w:cs="Arial"/>
        </w:rPr>
      </w:pPr>
      <w:r w:rsidRPr="001E7D7C">
        <w:rPr>
          <w:rFonts w:ascii="Arial" w:hAnsi="Arial" w:cs="Arial"/>
          <w:position w:val="-28"/>
        </w:rPr>
        <w:object w:dxaOrig="4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49pt;height:32.25pt" o:ole="">
            <v:imagedata r:id="rId20" o:title=""/>
          </v:shape>
          <o:OLEObject Type="Embed" ProgID="Equation.3" ShapeID="_x0000_i1066" DrawAspect="Content" ObjectID="_1415677155" r:id="rId21"/>
        </w:object>
      </w:r>
    </w:p>
    <w:p w:rsidR="00234110" w:rsidRDefault="00234110" w:rsidP="00E9488A">
      <w:pPr>
        <w:pStyle w:val="Prrafodelista"/>
        <w:spacing w:line="480" w:lineRule="auto"/>
        <w:ind w:left="851"/>
        <w:jc w:val="both"/>
        <w:rPr>
          <w:rFonts w:ascii="Arial" w:hAnsi="Arial" w:cs="Arial"/>
        </w:rPr>
      </w:pPr>
      <w:r w:rsidRPr="00C9307E">
        <w:rPr>
          <w:rFonts w:ascii="Arial" w:hAnsi="Arial" w:cs="Arial"/>
        </w:rPr>
        <w:t xml:space="preserve">Y se define como </w:t>
      </w:r>
      <w:r w:rsidR="009B7A44">
        <w:rPr>
          <w:rFonts w:ascii="Arial" w:hAnsi="Arial" w:cs="Arial"/>
        </w:rPr>
        <w:t>t</w:t>
      </w:r>
      <w:r w:rsidRPr="00C9307E">
        <w:rPr>
          <w:rFonts w:ascii="Arial" w:hAnsi="Arial" w:cs="Arial"/>
        </w:rPr>
        <w:t xml:space="preserve">asa de </w:t>
      </w:r>
      <w:r w:rsidR="009B7A44">
        <w:rPr>
          <w:rFonts w:ascii="Arial" w:hAnsi="Arial" w:cs="Arial"/>
        </w:rPr>
        <w:t>i</w:t>
      </w:r>
      <w:r w:rsidRPr="00C9307E">
        <w:rPr>
          <w:rFonts w:ascii="Arial" w:hAnsi="Arial" w:cs="Arial"/>
        </w:rPr>
        <w:t>nmigración</w:t>
      </w:r>
      <w:r w:rsidR="009B7A44">
        <w:rPr>
          <w:rFonts w:ascii="Arial" w:hAnsi="Arial" w:cs="Arial"/>
        </w:rPr>
        <w:t xml:space="preserve"> por cada 1000 personas</w:t>
      </w:r>
      <w:r>
        <w:rPr>
          <w:rStyle w:val="Refdenotaalpie"/>
          <w:rFonts w:ascii="Arial" w:hAnsi="Arial" w:cs="Arial"/>
        </w:rPr>
        <w:footnoteReference w:id="30"/>
      </w:r>
      <w:r w:rsidRPr="00C9307E">
        <w:rPr>
          <w:rFonts w:ascii="Arial" w:hAnsi="Arial" w:cs="Arial"/>
        </w:rPr>
        <w:t xml:space="preserve"> al cociente entre el número de inmigrantes que llegan a un lugar de destino y la población total del lugar de destino, también se expresa por cada 1000 habitantes.</w:t>
      </w:r>
    </w:p>
    <w:p w:rsidR="00234110" w:rsidRDefault="00234110" w:rsidP="00E9488A">
      <w:pPr>
        <w:pStyle w:val="Prrafodelista"/>
        <w:spacing w:line="480" w:lineRule="auto"/>
        <w:ind w:left="851"/>
        <w:rPr>
          <w:rFonts w:ascii="Arial" w:hAnsi="Arial" w:cs="Arial"/>
          <w:position w:val="-28"/>
        </w:rPr>
      </w:pPr>
      <w:r w:rsidRPr="001E7D7C">
        <w:rPr>
          <w:rFonts w:ascii="Arial" w:hAnsi="Arial" w:cs="Arial"/>
          <w:position w:val="-28"/>
        </w:rPr>
        <w:object w:dxaOrig="5060" w:dyaOrig="639">
          <v:shape id="_x0000_i1067" type="#_x0000_t75" style="width:252.75pt;height:32.25pt" o:ole="">
            <v:imagedata r:id="rId22" o:title=""/>
          </v:shape>
          <o:OLEObject Type="Embed" ProgID="Equation.3" ShapeID="_x0000_i1067" DrawAspect="Content" ObjectID="_1415677156" r:id="rId23"/>
        </w:object>
      </w:r>
    </w:p>
    <w:p w:rsidR="00042652" w:rsidRDefault="00E03F66" w:rsidP="00E9488A">
      <w:pPr>
        <w:pStyle w:val="Prrafodelista"/>
        <w:spacing w:line="480" w:lineRule="auto"/>
        <w:ind w:left="851"/>
        <w:jc w:val="both"/>
        <w:rPr>
          <w:rFonts w:ascii="Arial" w:hAnsi="Arial" w:cs="Arial"/>
        </w:rPr>
      </w:pPr>
      <w:r>
        <w:rPr>
          <w:rFonts w:ascii="Arial" w:hAnsi="Arial" w:cs="Arial"/>
        </w:rPr>
        <w:t>Realizando un análisis a nivel regional, se obtiene que l</w:t>
      </w:r>
      <w:r w:rsidR="00234110" w:rsidRPr="00C9307E">
        <w:rPr>
          <w:rFonts w:ascii="Arial" w:hAnsi="Arial" w:cs="Arial"/>
        </w:rPr>
        <w:t xml:space="preserve">a mayor cantidad de los inmigrantes en la </w:t>
      </w:r>
      <w:r w:rsidR="00234110">
        <w:rPr>
          <w:rFonts w:ascii="Arial" w:hAnsi="Arial" w:cs="Arial"/>
        </w:rPr>
        <w:t xml:space="preserve">Costa provienen de la </w:t>
      </w:r>
      <w:r>
        <w:rPr>
          <w:rFonts w:ascii="Arial" w:hAnsi="Arial" w:cs="Arial"/>
        </w:rPr>
        <w:t xml:space="preserve">región Interandina o </w:t>
      </w:r>
      <w:r w:rsidR="00234110">
        <w:rPr>
          <w:rFonts w:ascii="Arial" w:hAnsi="Arial" w:cs="Arial"/>
        </w:rPr>
        <w:t xml:space="preserve">Sierra, siendo </w:t>
      </w:r>
      <w:r w:rsidR="00234110" w:rsidRPr="00C9307E">
        <w:rPr>
          <w:rFonts w:ascii="Arial" w:hAnsi="Arial" w:cs="Arial"/>
        </w:rPr>
        <w:t xml:space="preserve">alrededor de 411896 </w:t>
      </w:r>
      <w:r w:rsidR="00234110">
        <w:rPr>
          <w:rFonts w:ascii="Arial" w:hAnsi="Arial" w:cs="Arial"/>
        </w:rPr>
        <w:t xml:space="preserve">los </w:t>
      </w:r>
      <w:r w:rsidR="00234110" w:rsidRPr="00C9307E">
        <w:rPr>
          <w:rFonts w:ascii="Arial" w:hAnsi="Arial" w:cs="Arial"/>
        </w:rPr>
        <w:t>inmigrantes de nacionalidad ecuatoriana</w:t>
      </w:r>
      <w:r w:rsidR="00234110">
        <w:rPr>
          <w:rFonts w:ascii="Arial" w:hAnsi="Arial" w:cs="Arial"/>
        </w:rPr>
        <w:t xml:space="preserve"> residentes</w:t>
      </w:r>
      <w:r w:rsidR="00234110" w:rsidRPr="00C9307E">
        <w:rPr>
          <w:rFonts w:ascii="Arial" w:hAnsi="Arial" w:cs="Arial"/>
        </w:rPr>
        <w:t xml:space="preserve"> en la Costa. </w:t>
      </w:r>
      <w:r w:rsidR="00234110">
        <w:rPr>
          <w:rFonts w:ascii="Arial" w:hAnsi="Arial" w:cs="Arial"/>
        </w:rPr>
        <w:t>Tenemos además</w:t>
      </w:r>
      <w:r w:rsidR="00234110" w:rsidRPr="00C9307E">
        <w:rPr>
          <w:rFonts w:ascii="Arial" w:hAnsi="Arial" w:cs="Arial"/>
        </w:rPr>
        <w:t xml:space="preserve"> que, 57 de cada 1000 personas que viven en la Costa son inmigrantes; y, 71 de cada 1000 costeños son emigrantes</w:t>
      </w:r>
      <w:r>
        <w:rPr>
          <w:rFonts w:ascii="Arial" w:hAnsi="Arial" w:cs="Arial"/>
        </w:rPr>
        <w:t xml:space="preserve"> y residen habitualmente en otras regiones del país</w:t>
      </w:r>
      <w:r w:rsidR="00234110" w:rsidRPr="00C9307E">
        <w:rPr>
          <w:rFonts w:ascii="Arial" w:hAnsi="Arial" w:cs="Arial"/>
        </w:rPr>
        <w:t xml:space="preserve">. En la región Sierra </w:t>
      </w:r>
      <w:r w:rsidR="00234110">
        <w:rPr>
          <w:rFonts w:ascii="Arial" w:hAnsi="Arial" w:cs="Arial"/>
        </w:rPr>
        <w:t xml:space="preserve">en cambio, </w:t>
      </w:r>
      <w:r w:rsidR="00234110" w:rsidRPr="00C9307E">
        <w:rPr>
          <w:rFonts w:ascii="Arial" w:hAnsi="Arial" w:cs="Arial"/>
        </w:rPr>
        <w:t>viven 515666 inmigrantes, es decir, el 8.10% de la población que reside en esta región del país es inmigrante</w:t>
      </w:r>
      <w:r w:rsidR="00F91C02">
        <w:rPr>
          <w:rFonts w:ascii="Arial" w:hAnsi="Arial" w:cs="Arial"/>
        </w:rPr>
        <w:t>;</w:t>
      </w:r>
      <w:r w:rsidR="00234110" w:rsidRPr="00C9307E">
        <w:rPr>
          <w:rFonts w:ascii="Arial" w:hAnsi="Arial" w:cs="Arial"/>
        </w:rPr>
        <w:t xml:space="preserve"> </w:t>
      </w:r>
      <w:r w:rsidR="00F91C02">
        <w:rPr>
          <w:rFonts w:ascii="Arial" w:hAnsi="Arial" w:cs="Arial"/>
        </w:rPr>
        <w:t>m</w:t>
      </w:r>
      <w:r w:rsidR="00234110" w:rsidRPr="00C9307E">
        <w:rPr>
          <w:rFonts w:ascii="Arial" w:hAnsi="Arial" w:cs="Arial"/>
        </w:rPr>
        <w:t xml:space="preserve">ientras que la mayor cantidad de inmigrantes que viven en el Oriente </w:t>
      </w:r>
      <w:r w:rsidR="00234110">
        <w:rPr>
          <w:rFonts w:ascii="Arial" w:hAnsi="Arial" w:cs="Arial"/>
        </w:rPr>
        <w:t>proceden</w:t>
      </w:r>
      <w:r w:rsidR="00234110" w:rsidRPr="00C9307E">
        <w:rPr>
          <w:rFonts w:ascii="Arial" w:hAnsi="Arial" w:cs="Arial"/>
        </w:rPr>
        <w:t xml:space="preserve"> de la Sierra, teniéndose que 290 de cada 1000 habitantes del Oriente son </w:t>
      </w:r>
      <w:r>
        <w:rPr>
          <w:rFonts w:ascii="Arial" w:hAnsi="Arial" w:cs="Arial"/>
        </w:rPr>
        <w:t>i</w:t>
      </w:r>
      <w:r w:rsidR="00234110" w:rsidRPr="00C9307E">
        <w:rPr>
          <w:rFonts w:ascii="Arial" w:hAnsi="Arial" w:cs="Arial"/>
        </w:rPr>
        <w:t xml:space="preserve">nmigrantes; y, 130 de </w:t>
      </w:r>
      <w:r w:rsidR="00234110">
        <w:rPr>
          <w:rFonts w:ascii="Arial" w:hAnsi="Arial" w:cs="Arial"/>
        </w:rPr>
        <w:t>cada 1000 han emigrado hacia otra región del país.</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234110" w:rsidRPr="00840530" w:rsidTr="00186911">
        <w:trPr>
          <w:trHeight w:val="1787"/>
          <w:jc w:val="right"/>
        </w:trPr>
        <w:tc>
          <w:tcPr>
            <w:tcW w:w="7535" w:type="dxa"/>
          </w:tcPr>
          <w:p w:rsidR="00234110" w:rsidRPr="00840530" w:rsidRDefault="00234110" w:rsidP="003F1262">
            <w:pPr>
              <w:rPr>
                <w:rFonts w:ascii="Arial" w:hAnsi="Arial" w:cs="Arial"/>
                <w:sz w:val="16"/>
                <w:szCs w:val="16"/>
              </w:rPr>
            </w:pPr>
          </w:p>
          <w:p w:rsidR="00B665F8" w:rsidRPr="00B665F8" w:rsidRDefault="00B665F8" w:rsidP="00B665F8">
            <w:pPr>
              <w:keepNext/>
              <w:rPr>
                <w:rFonts w:ascii="Arial" w:hAnsi="Arial" w:cs="Arial"/>
                <w:b/>
                <w:sz w:val="16"/>
                <w:szCs w:val="16"/>
              </w:rPr>
            </w:pPr>
            <w:bookmarkStart w:id="211" w:name="_Toc341041576"/>
            <w:r>
              <w:rPr>
                <w:rFonts w:ascii="Arial" w:hAnsi="Arial" w:cs="Arial"/>
                <w:b/>
                <w:sz w:val="16"/>
                <w:szCs w:val="16"/>
              </w:rPr>
              <w:t>Tabla</w:t>
            </w:r>
            <w:r w:rsidR="00B271F4">
              <w:rPr>
                <w:rFonts w:ascii="Arial" w:hAnsi="Arial" w:cs="Arial"/>
                <w:b/>
                <w:sz w:val="16"/>
                <w:szCs w:val="16"/>
              </w:rPr>
              <w:t xml:space="preserve"> </w:t>
            </w:r>
            <w:r>
              <w:rPr>
                <w:rFonts w:ascii="Arial" w:hAnsi="Arial" w:cs="Arial"/>
                <w:b/>
                <w:sz w:val="16"/>
                <w:szCs w:val="16"/>
              </w:rPr>
              <w:t>2.</w:t>
            </w:r>
            <w:r w:rsidR="00990535" w:rsidRPr="00B665F8">
              <w:rPr>
                <w:rFonts w:ascii="Arial" w:hAnsi="Arial" w:cs="Arial"/>
                <w:b/>
                <w:sz w:val="16"/>
                <w:szCs w:val="16"/>
              </w:rPr>
              <w:fldChar w:fldCharType="begin"/>
            </w:r>
            <w:r w:rsidRPr="00B665F8">
              <w:rPr>
                <w:rFonts w:ascii="Arial" w:hAnsi="Arial" w:cs="Arial"/>
                <w:b/>
                <w:sz w:val="16"/>
                <w:szCs w:val="16"/>
              </w:rPr>
              <w:instrText xml:space="preserve"> SEQ Tabla2. \* ARABIC </w:instrText>
            </w:r>
            <w:r w:rsidR="00990535" w:rsidRPr="00B665F8">
              <w:rPr>
                <w:rFonts w:ascii="Arial" w:hAnsi="Arial" w:cs="Arial"/>
                <w:b/>
                <w:sz w:val="16"/>
                <w:szCs w:val="16"/>
              </w:rPr>
              <w:fldChar w:fldCharType="separate"/>
            </w:r>
            <w:r w:rsidR="00A242E0">
              <w:rPr>
                <w:rFonts w:ascii="Arial" w:hAnsi="Arial" w:cs="Arial"/>
                <w:b/>
                <w:noProof/>
                <w:sz w:val="16"/>
                <w:szCs w:val="16"/>
              </w:rPr>
              <w:t>1</w:t>
            </w:r>
            <w:bookmarkEnd w:id="211"/>
            <w:r w:rsidR="00990535" w:rsidRPr="00B665F8">
              <w:rPr>
                <w:rFonts w:ascii="Arial" w:hAnsi="Arial" w:cs="Arial"/>
                <w:b/>
                <w:sz w:val="16"/>
                <w:szCs w:val="16"/>
              </w:rPr>
              <w:fldChar w:fldCharType="end"/>
            </w:r>
          </w:p>
          <w:p w:rsidR="00234110" w:rsidRDefault="00042652" w:rsidP="003F1262">
            <w:pPr>
              <w:rPr>
                <w:rFonts w:ascii="Arial" w:hAnsi="Arial" w:cs="Arial"/>
                <w:i/>
                <w:sz w:val="16"/>
                <w:szCs w:val="16"/>
              </w:rPr>
            </w:pPr>
            <w:r w:rsidRPr="00042652">
              <w:rPr>
                <w:rFonts w:ascii="Arial" w:hAnsi="Arial" w:cs="Arial"/>
                <w:b/>
                <w:i/>
                <w:sz w:val="16"/>
                <w:szCs w:val="16"/>
              </w:rPr>
              <w:t>Ecuador 2010:</w:t>
            </w:r>
            <w:r>
              <w:rPr>
                <w:rFonts w:ascii="Arial" w:hAnsi="Arial" w:cs="Arial"/>
                <w:i/>
                <w:sz w:val="16"/>
                <w:szCs w:val="16"/>
              </w:rPr>
              <w:t xml:space="preserve"> </w:t>
            </w:r>
            <w:r w:rsidR="00234110" w:rsidRPr="0094399A">
              <w:rPr>
                <w:rFonts w:ascii="Arial" w:hAnsi="Arial" w:cs="Arial"/>
                <w:i/>
                <w:sz w:val="16"/>
                <w:szCs w:val="16"/>
              </w:rPr>
              <w:t xml:space="preserve">Tasa de Inmigración y Emigración interna por cada </w:t>
            </w:r>
            <w:r w:rsidR="00234110">
              <w:rPr>
                <w:rFonts w:ascii="Arial" w:hAnsi="Arial" w:cs="Arial"/>
                <w:i/>
                <w:sz w:val="16"/>
                <w:szCs w:val="16"/>
              </w:rPr>
              <w:t xml:space="preserve">1000 habitantes </w:t>
            </w:r>
            <w:r w:rsidR="00186911">
              <w:rPr>
                <w:rFonts w:ascii="Arial" w:hAnsi="Arial" w:cs="Arial"/>
                <w:i/>
                <w:sz w:val="16"/>
                <w:szCs w:val="16"/>
              </w:rPr>
              <w:t>a nivel regional</w:t>
            </w:r>
          </w:p>
          <w:p w:rsidR="00234110" w:rsidRPr="004567AE" w:rsidRDefault="00234110" w:rsidP="003F1262">
            <w:pPr>
              <w:rPr>
                <w:rFonts w:ascii="Arial" w:hAnsi="Arial" w:cs="Arial"/>
                <w:i/>
                <w:sz w:val="10"/>
                <w:szCs w:val="10"/>
              </w:rPr>
            </w:pPr>
          </w:p>
          <w:tbl>
            <w:tblPr>
              <w:tblW w:w="5048" w:type="dxa"/>
              <w:jc w:val="center"/>
              <w:tblCellMar>
                <w:left w:w="70" w:type="dxa"/>
                <w:right w:w="70" w:type="dxa"/>
              </w:tblCellMar>
              <w:tblLook w:val="04A0" w:firstRow="1" w:lastRow="0" w:firstColumn="1" w:lastColumn="0" w:noHBand="0" w:noVBand="1"/>
            </w:tblPr>
            <w:tblGrid>
              <w:gridCol w:w="1420"/>
              <w:gridCol w:w="1814"/>
              <w:gridCol w:w="1814"/>
            </w:tblGrid>
            <w:tr w:rsidR="00234110" w:rsidRPr="005514A3" w:rsidTr="003F1262">
              <w:trPr>
                <w:trHeight w:val="20"/>
                <w:jc w:val="center"/>
              </w:trPr>
              <w:tc>
                <w:tcPr>
                  <w:tcW w:w="1420" w:type="dxa"/>
                  <w:tcBorders>
                    <w:top w:val="single" w:sz="4" w:space="0" w:color="auto"/>
                    <w:left w:val="nil"/>
                    <w:bottom w:val="single" w:sz="4" w:space="0" w:color="auto"/>
                    <w:right w:val="nil"/>
                  </w:tcBorders>
                  <w:shd w:val="clear" w:color="auto" w:fill="auto"/>
                  <w:noWrap/>
                  <w:vAlign w:val="center"/>
                  <w:hideMark/>
                </w:tcPr>
                <w:p w:rsidR="00234110" w:rsidRPr="005514A3" w:rsidRDefault="00234110" w:rsidP="003F1262">
                  <w:pPr>
                    <w:rPr>
                      <w:rFonts w:ascii="Arial" w:eastAsia="Times New Roman" w:hAnsi="Arial" w:cs="Arial"/>
                      <w:b/>
                      <w:bCs/>
                      <w:sz w:val="16"/>
                      <w:szCs w:val="16"/>
                      <w:lang w:eastAsia="es-EC"/>
                    </w:rPr>
                  </w:pPr>
                  <w:r w:rsidRPr="005514A3">
                    <w:rPr>
                      <w:rFonts w:ascii="Arial" w:eastAsia="Times New Roman" w:hAnsi="Arial" w:cs="Arial"/>
                      <w:b/>
                      <w:bCs/>
                      <w:sz w:val="16"/>
                      <w:szCs w:val="16"/>
                      <w:lang w:eastAsia="es-EC"/>
                    </w:rPr>
                    <w:t>Región</w:t>
                  </w:r>
                </w:p>
              </w:tc>
              <w:tc>
                <w:tcPr>
                  <w:tcW w:w="1814" w:type="dxa"/>
                  <w:tcBorders>
                    <w:top w:val="single" w:sz="4" w:space="0" w:color="auto"/>
                    <w:left w:val="nil"/>
                    <w:bottom w:val="single" w:sz="4" w:space="0" w:color="auto"/>
                    <w:right w:val="nil"/>
                  </w:tcBorders>
                  <w:shd w:val="clear" w:color="auto" w:fill="auto"/>
                  <w:noWrap/>
                  <w:vAlign w:val="center"/>
                  <w:hideMark/>
                </w:tcPr>
                <w:p w:rsidR="00234110" w:rsidRPr="005514A3" w:rsidRDefault="00234110" w:rsidP="003F1262">
                  <w:pPr>
                    <w:rPr>
                      <w:rFonts w:ascii="Arial" w:eastAsia="Times New Roman" w:hAnsi="Arial" w:cs="Arial"/>
                      <w:b/>
                      <w:bCs/>
                      <w:sz w:val="16"/>
                      <w:szCs w:val="16"/>
                      <w:lang w:eastAsia="es-EC"/>
                    </w:rPr>
                  </w:pPr>
                  <w:r>
                    <w:rPr>
                      <w:rFonts w:ascii="Arial" w:eastAsia="Times New Roman" w:hAnsi="Arial" w:cs="Arial"/>
                      <w:b/>
                      <w:bCs/>
                      <w:sz w:val="16"/>
                      <w:szCs w:val="16"/>
                      <w:lang w:eastAsia="es-EC"/>
                    </w:rPr>
                    <w:t>Tasa de Inmigración</w:t>
                  </w:r>
                </w:p>
              </w:tc>
              <w:tc>
                <w:tcPr>
                  <w:tcW w:w="1814" w:type="dxa"/>
                  <w:tcBorders>
                    <w:top w:val="single" w:sz="4" w:space="0" w:color="auto"/>
                    <w:left w:val="nil"/>
                    <w:bottom w:val="single" w:sz="4" w:space="0" w:color="auto"/>
                    <w:right w:val="nil"/>
                  </w:tcBorders>
                  <w:shd w:val="clear" w:color="auto" w:fill="auto"/>
                  <w:noWrap/>
                  <w:vAlign w:val="center"/>
                  <w:hideMark/>
                </w:tcPr>
                <w:p w:rsidR="00234110" w:rsidRPr="005514A3" w:rsidRDefault="00234110" w:rsidP="003F1262">
                  <w:pPr>
                    <w:rPr>
                      <w:rFonts w:ascii="Arial" w:eastAsia="Times New Roman" w:hAnsi="Arial" w:cs="Arial"/>
                      <w:b/>
                      <w:bCs/>
                      <w:sz w:val="16"/>
                      <w:szCs w:val="16"/>
                      <w:lang w:eastAsia="es-EC"/>
                    </w:rPr>
                  </w:pPr>
                  <w:r>
                    <w:rPr>
                      <w:rFonts w:ascii="Arial" w:eastAsia="Times New Roman" w:hAnsi="Arial" w:cs="Arial"/>
                      <w:b/>
                      <w:bCs/>
                      <w:sz w:val="16"/>
                      <w:szCs w:val="16"/>
                      <w:lang w:eastAsia="es-EC"/>
                    </w:rPr>
                    <w:t>Tasa de Emigración</w:t>
                  </w:r>
                </w:p>
              </w:tc>
            </w:tr>
            <w:tr w:rsidR="00234110" w:rsidRPr="005514A3" w:rsidTr="003F1262">
              <w:trPr>
                <w:trHeight w:val="20"/>
                <w:jc w:val="center"/>
              </w:trPr>
              <w:tc>
                <w:tcPr>
                  <w:tcW w:w="1420" w:type="dxa"/>
                  <w:tcBorders>
                    <w:top w:val="nil"/>
                    <w:left w:val="nil"/>
                    <w:bottom w:val="nil"/>
                    <w:right w:val="nil"/>
                  </w:tcBorders>
                  <w:shd w:val="clear" w:color="auto" w:fill="auto"/>
                  <w:noWrap/>
                  <w:vAlign w:val="center"/>
                  <w:hideMark/>
                </w:tcPr>
                <w:p w:rsidR="00234110" w:rsidRPr="005514A3" w:rsidRDefault="00234110" w:rsidP="00980AEC">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Costa</w:t>
                  </w:r>
                </w:p>
              </w:tc>
              <w:tc>
                <w:tcPr>
                  <w:tcW w:w="1814" w:type="dxa"/>
                  <w:tcBorders>
                    <w:top w:val="nil"/>
                    <w:left w:val="nil"/>
                    <w:bottom w:val="nil"/>
                    <w:right w:val="nil"/>
                  </w:tcBorders>
                  <w:shd w:val="clear" w:color="auto" w:fill="auto"/>
                  <w:noWrap/>
                  <w:vAlign w:val="center"/>
                  <w:hideMark/>
                </w:tcPr>
                <w:p w:rsidR="00234110" w:rsidRPr="005514A3" w:rsidRDefault="00234110"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57</w:t>
                  </w:r>
                </w:p>
              </w:tc>
              <w:tc>
                <w:tcPr>
                  <w:tcW w:w="1814" w:type="dxa"/>
                  <w:tcBorders>
                    <w:top w:val="nil"/>
                    <w:left w:val="nil"/>
                    <w:bottom w:val="nil"/>
                    <w:right w:val="nil"/>
                  </w:tcBorders>
                  <w:shd w:val="clear" w:color="auto" w:fill="auto"/>
                  <w:noWrap/>
                  <w:vAlign w:val="center"/>
                  <w:hideMark/>
                </w:tcPr>
                <w:p w:rsidR="00234110" w:rsidRPr="005514A3" w:rsidRDefault="00234110"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71</w:t>
                  </w:r>
                </w:p>
              </w:tc>
            </w:tr>
            <w:tr w:rsidR="00234110" w:rsidRPr="005514A3" w:rsidTr="003F1262">
              <w:trPr>
                <w:trHeight w:val="20"/>
                <w:jc w:val="center"/>
              </w:trPr>
              <w:tc>
                <w:tcPr>
                  <w:tcW w:w="1420" w:type="dxa"/>
                  <w:tcBorders>
                    <w:top w:val="nil"/>
                    <w:left w:val="nil"/>
                    <w:bottom w:val="nil"/>
                    <w:right w:val="nil"/>
                  </w:tcBorders>
                  <w:shd w:val="clear" w:color="auto" w:fill="auto"/>
                  <w:noWrap/>
                  <w:vAlign w:val="center"/>
                  <w:hideMark/>
                </w:tcPr>
                <w:p w:rsidR="00234110" w:rsidRPr="005514A3" w:rsidRDefault="00234110" w:rsidP="00980AEC">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Sierra</w:t>
                  </w:r>
                </w:p>
              </w:tc>
              <w:tc>
                <w:tcPr>
                  <w:tcW w:w="1814" w:type="dxa"/>
                  <w:tcBorders>
                    <w:top w:val="nil"/>
                    <w:left w:val="nil"/>
                    <w:bottom w:val="nil"/>
                    <w:right w:val="nil"/>
                  </w:tcBorders>
                  <w:shd w:val="clear" w:color="auto" w:fill="auto"/>
                  <w:noWrap/>
                  <w:vAlign w:val="center"/>
                  <w:hideMark/>
                </w:tcPr>
                <w:p w:rsidR="00234110" w:rsidRPr="005514A3" w:rsidRDefault="00234110"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81</w:t>
                  </w:r>
                </w:p>
              </w:tc>
              <w:tc>
                <w:tcPr>
                  <w:tcW w:w="1814" w:type="dxa"/>
                  <w:tcBorders>
                    <w:top w:val="nil"/>
                    <w:left w:val="nil"/>
                    <w:bottom w:val="nil"/>
                    <w:right w:val="nil"/>
                  </w:tcBorders>
                  <w:shd w:val="clear" w:color="auto" w:fill="auto"/>
                  <w:noWrap/>
                  <w:vAlign w:val="center"/>
                  <w:hideMark/>
                </w:tcPr>
                <w:p w:rsidR="00234110" w:rsidRPr="005514A3" w:rsidRDefault="00234110"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87</w:t>
                  </w:r>
                </w:p>
              </w:tc>
            </w:tr>
            <w:tr w:rsidR="00234110" w:rsidRPr="005514A3" w:rsidTr="003F1262">
              <w:trPr>
                <w:trHeight w:val="20"/>
                <w:jc w:val="center"/>
              </w:trPr>
              <w:tc>
                <w:tcPr>
                  <w:tcW w:w="1420" w:type="dxa"/>
                  <w:tcBorders>
                    <w:top w:val="nil"/>
                    <w:left w:val="nil"/>
                    <w:bottom w:val="nil"/>
                    <w:right w:val="nil"/>
                  </w:tcBorders>
                  <w:shd w:val="clear" w:color="auto" w:fill="auto"/>
                  <w:noWrap/>
                  <w:vAlign w:val="center"/>
                  <w:hideMark/>
                </w:tcPr>
                <w:p w:rsidR="00234110" w:rsidRPr="005514A3" w:rsidRDefault="00234110" w:rsidP="00980AEC">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Oriente</w:t>
                  </w:r>
                </w:p>
              </w:tc>
              <w:tc>
                <w:tcPr>
                  <w:tcW w:w="1814" w:type="dxa"/>
                  <w:tcBorders>
                    <w:top w:val="nil"/>
                    <w:left w:val="nil"/>
                    <w:bottom w:val="nil"/>
                    <w:right w:val="nil"/>
                  </w:tcBorders>
                  <w:shd w:val="clear" w:color="auto" w:fill="auto"/>
                  <w:noWrap/>
                  <w:vAlign w:val="center"/>
                  <w:hideMark/>
                </w:tcPr>
                <w:p w:rsidR="00234110" w:rsidRPr="005514A3" w:rsidRDefault="00234110"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290</w:t>
                  </w:r>
                </w:p>
              </w:tc>
              <w:tc>
                <w:tcPr>
                  <w:tcW w:w="1814" w:type="dxa"/>
                  <w:tcBorders>
                    <w:top w:val="nil"/>
                    <w:left w:val="nil"/>
                    <w:bottom w:val="nil"/>
                    <w:right w:val="nil"/>
                  </w:tcBorders>
                  <w:shd w:val="clear" w:color="auto" w:fill="auto"/>
                  <w:noWrap/>
                  <w:vAlign w:val="center"/>
                  <w:hideMark/>
                </w:tcPr>
                <w:p w:rsidR="00234110" w:rsidRPr="005514A3" w:rsidRDefault="00234110"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130</w:t>
                  </w:r>
                </w:p>
              </w:tc>
            </w:tr>
            <w:tr w:rsidR="00234110" w:rsidRPr="005514A3" w:rsidTr="003F1262">
              <w:trPr>
                <w:trHeight w:val="20"/>
                <w:jc w:val="center"/>
              </w:trPr>
              <w:tc>
                <w:tcPr>
                  <w:tcW w:w="1420" w:type="dxa"/>
                  <w:tcBorders>
                    <w:top w:val="nil"/>
                    <w:left w:val="nil"/>
                    <w:bottom w:val="single" w:sz="4" w:space="0" w:color="auto"/>
                    <w:right w:val="nil"/>
                  </w:tcBorders>
                  <w:shd w:val="clear" w:color="auto" w:fill="auto"/>
                  <w:noWrap/>
                  <w:vAlign w:val="center"/>
                  <w:hideMark/>
                </w:tcPr>
                <w:p w:rsidR="00234110" w:rsidRPr="005514A3" w:rsidRDefault="00234110" w:rsidP="00980AEC">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Galápagos</w:t>
                  </w:r>
                </w:p>
              </w:tc>
              <w:tc>
                <w:tcPr>
                  <w:tcW w:w="1814" w:type="dxa"/>
                  <w:tcBorders>
                    <w:top w:val="nil"/>
                    <w:left w:val="nil"/>
                    <w:bottom w:val="single" w:sz="4" w:space="0" w:color="auto"/>
                    <w:right w:val="nil"/>
                  </w:tcBorders>
                  <w:shd w:val="clear" w:color="auto" w:fill="auto"/>
                  <w:noWrap/>
                  <w:vAlign w:val="center"/>
                  <w:hideMark/>
                </w:tcPr>
                <w:p w:rsidR="00234110" w:rsidRPr="005514A3" w:rsidRDefault="00234110"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626</w:t>
                  </w:r>
                </w:p>
              </w:tc>
              <w:tc>
                <w:tcPr>
                  <w:tcW w:w="1814" w:type="dxa"/>
                  <w:tcBorders>
                    <w:top w:val="nil"/>
                    <w:left w:val="nil"/>
                    <w:bottom w:val="single" w:sz="4" w:space="0" w:color="auto"/>
                    <w:right w:val="nil"/>
                  </w:tcBorders>
                  <w:shd w:val="clear" w:color="auto" w:fill="auto"/>
                  <w:noWrap/>
                  <w:vAlign w:val="center"/>
                  <w:hideMark/>
                </w:tcPr>
                <w:p w:rsidR="00234110" w:rsidRPr="005514A3" w:rsidRDefault="00234110"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213</w:t>
                  </w:r>
                </w:p>
              </w:tc>
            </w:tr>
          </w:tbl>
          <w:p w:rsidR="00234110" w:rsidRPr="00840530" w:rsidRDefault="00234110" w:rsidP="003F1262">
            <w:pPr>
              <w:ind w:left="7"/>
              <w:rPr>
                <w:rFonts w:ascii="Arial" w:hAnsi="Arial" w:cs="Arial"/>
                <w:sz w:val="24"/>
                <w:szCs w:val="24"/>
              </w:rPr>
            </w:pPr>
          </w:p>
        </w:tc>
      </w:tr>
    </w:tbl>
    <w:p w:rsidR="00234110" w:rsidRPr="00186911" w:rsidRDefault="00234110" w:rsidP="009B7A44">
      <w:pPr>
        <w:pStyle w:val="Prrafodelista"/>
        <w:spacing w:line="276" w:lineRule="auto"/>
        <w:ind w:left="851"/>
        <w:jc w:val="both"/>
        <w:rPr>
          <w:rFonts w:ascii="Arial" w:hAnsi="Arial" w:cs="Arial"/>
          <w:sz w:val="16"/>
          <w:szCs w:val="16"/>
        </w:rPr>
      </w:pPr>
    </w:p>
    <w:p w:rsidR="00234110" w:rsidRPr="009B7A44" w:rsidRDefault="00234110" w:rsidP="009B7A44">
      <w:pPr>
        <w:pStyle w:val="Prrafodelista"/>
        <w:spacing w:line="276" w:lineRule="auto"/>
        <w:ind w:left="851"/>
        <w:jc w:val="both"/>
        <w:rPr>
          <w:rFonts w:ascii="Arial" w:hAnsi="Arial" w:cs="Arial"/>
          <w:sz w:val="17"/>
          <w:szCs w:val="17"/>
        </w:rPr>
      </w:pPr>
      <w:r w:rsidRPr="009B7A44">
        <w:rPr>
          <w:rFonts w:ascii="Arial" w:hAnsi="Arial" w:cs="Arial"/>
          <w:b/>
          <w:i/>
          <w:sz w:val="17"/>
          <w:szCs w:val="17"/>
        </w:rPr>
        <w:t>Fuente:</w:t>
      </w:r>
      <w:r w:rsidRPr="009B7A44">
        <w:rPr>
          <w:rFonts w:ascii="Arial" w:hAnsi="Arial" w:cs="Arial"/>
          <w:sz w:val="17"/>
          <w:szCs w:val="17"/>
        </w:rPr>
        <w:t xml:space="preserve"> </w:t>
      </w:r>
      <w:r w:rsidRPr="009B7A44">
        <w:rPr>
          <w:rFonts w:ascii="Arial" w:hAnsi="Arial" w:cs="Arial"/>
          <w:b/>
          <w:sz w:val="17"/>
          <w:szCs w:val="17"/>
        </w:rPr>
        <w:t xml:space="preserve">INEC </w:t>
      </w:r>
      <w:r w:rsidRPr="009B7A44">
        <w:rPr>
          <w:rFonts w:ascii="Arial" w:hAnsi="Arial" w:cs="Arial"/>
          <w:sz w:val="17"/>
          <w:szCs w:val="17"/>
        </w:rPr>
        <w:t>(2010), Base de Datos del VII Censo de Población y VI de Vivienda.</w:t>
      </w:r>
    </w:p>
    <w:p w:rsidR="00234110" w:rsidRPr="009B7A44" w:rsidRDefault="00234110" w:rsidP="009B7A44">
      <w:pPr>
        <w:pStyle w:val="Prrafodelista"/>
        <w:spacing w:line="276" w:lineRule="auto"/>
        <w:ind w:left="851"/>
        <w:jc w:val="both"/>
        <w:rPr>
          <w:rFonts w:ascii="Arial" w:hAnsi="Arial" w:cs="Arial"/>
          <w:sz w:val="17"/>
          <w:szCs w:val="17"/>
        </w:rPr>
      </w:pPr>
      <w:r w:rsidRPr="009B7A44">
        <w:rPr>
          <w:rFonts w:ascii="Arial" w:hAnsi="Arial" w:cs="Arial"/>
          <w:b/>
          <w:i/>
          <w:sz w:val="17"/>
          <w:szCs w:val="17"/>
        </w:rPr>
        <w:t>Elaborado por:</w:t>
      </w:r>
      <w:r w:rsidRPr="009B7A44">
        <w:rPr>
          <w:rFonts w:ascii="Arial" w:hAnsi="Arial" w:cs="Arial"/>
          <w:sz w:val="17"/>
          <w:szCs w:val="17"/>
        </w:rPr>
        <w:t xml:space="preserve"> Katherine Loor Valeriano</w:t>
      </w:r>
    </w:p>
    <w:p w:rsidR="00724C0A" w:rsidRDefault="00234110" w:rsidP="00042652">
      <w:pPr>
        <w:pStyle w:val="Prrafodelista"/>
        <w:spacing w:line="480" w:lineRule="auto"/>
        <w:ind w:left="851"/>
        <w:jc w:val="both"/>
        <w:rPr>
          <w:rFonts w:ascii="Arial" w:hAnsi="Arial" w:cs="Arial"/>
        </w:rPr>
      </w:pPr>
      <w:r w:rsidRPr="00C9307E">
        <w:rPr>
          <w:rFonts w:ascii="Arial" w:hAnsi="Arial" w:cs="Arial"/>
        </w:rPr>
        <w:lastRenderedPageBreak/>
        <w:t xml:space="preserve">Realizando un análisis más fino, considerando ahora la provincia; tenemos que, la provincia que mayor expulsión de población presenta es Manabí, esta provincia ha expulsado 585085 </w:t>
      </w:r>
      <w:r>
        <w:rPr>
          <w:rFonts w:ascii="Arial" w:hAnsi="Arial" w:cs="Arial"/>
        </w:rPr>
        <w:t>personas</w:t>
      </w:r>
      <w:r w:rsidRPr="00C9307E">
        <w:rPr>
          <w:rFonts w:ascii="Arial" w:hAnsi="Arial" w:cs="Arial"/>
        </w:rPr>
        <w:t xml:space="preserve"> hasta el 2010 y ha recibido tan sólo 84344, </w:t>
      </w:r>
      <w:r>
        <w:rPr>
          <w:rFonts w:ascii="Arial" w:hAnsi="Arial" w:cs="Arial"/>
        </w:rPr>
        <w:t>presentando entonces</w:t>
      </w:r>
      <w:r w:rsidRPr="00C9307E">
        <w:rPr>
          <w:rFonts w:ascii="Arial" w:hAnsi="Arial" w:cs="Arial"/>
        </w:rPr>
        <w:t xml:space="preserve"> un saldo migratorio de</w:t>
      </w:r>
      <w:r>
        <w:rPr>
          <w:rFonts w:ascii="Arial" w:hAnsi="Arial" w:cs="Arial"/>
        </w:rPr>
        <w:t xml:space="preserve"> </w:t>
      </w:r>
      <w:r w:rsidRPr="00C9307E">
        <w:rPr>
          <w:rFonts w:ascii="Arial" w:hAnsi="Arial" w:cs="Arial"/>
        </w:rPr>
        <w:t>-500741</w:t>
      </w:r>
      <w:r w:rsidR="00E03F66">
        <w:rPr>
          <w:rFonts w:ascii="Arial" w:hAnsi="Arial" w:cs="Arial"/>
        </w:rPr>
        <w:t xml:space="preserve"> personas</w:t>
      </w:r>
      <w:r w:rsidRPr="00C9307E">
        <w:rPr>
          <w:rFonts w:ascii="Arial" w:hAnsi="Arial" w:cs="Arial"/>
        </w:rPr>
        <w:t>, es decir, la población manabita ha presentado un crecimiento poblacional negativo como produ</w:t>
      </w:r>
      <w:r w:rsidR="00724C0A">
        <w:rPr>
          <w:rFonts w:ascii="Arial" w:hAnsi="Arial" w:cs="Arial"/>
        </w:rPr>
        <w:t>cto de la migración interna. Guayas, en cambio, es la provincia que en términos absolutos expulsa el segundo grupo más numeroso de población (</w:t>
      </w:r>
      <w:r w:rsidR="00724C0A" w:rsidRPr="00724C0A">
        <w:rPr>
          <w:rFonts w:ascii="Arial" w:hAnsi="Arial" w:cs="Arial"/>
        </w:rPr>
        <w:t>272567</w:t>
      </w:r>
      <w:r w:rsidR="00724C0A">
        <w:rPr>
          <w:rFonts w:ascii="Arial" w:hAnsi="Arial" w:cs="Arial"/>
        </w:rPr>
        <w:t xml:space="preserve"> guayasenses), pero también es la provincia que hasta el 2010 tenía dentro de sus residentes la segunda cantidad más grande de inmigrantes internos (</w:t>
      </w:r>
      <w:r w:rsidR="00724C0A" w:rsidRPr="00724C0A">
        <w:rPr>
          <w:rFonts w:ascii="Arial" w:hAnsi="Arial" w:cs="Arial"/>
        </w:rPr>
        <w:t>722962</w:t>
      </w:r>
      <w:r w:rsidR="00724C0A">
        <w:rPr>
          <w:rFonts w:ascii="Arial" w:hAnsi="Arial" w:cs="Arial"/>
        </w:rPr>
        <w:t xml:space="preserve"> inmigrantes en Guayas); y, el tercer grupo más numeroso de emigrantes internos corresponde a la población de Los Ríos, provincia desde la cual han emigrado </w:t>
      </w:r>
      <w:r w:rsidR="00724C0A" w:rsidRPr="00724C0A">
        <w:rPr>
          <w:rFonts w:ascii="Arial" w:hAnsi="Arial" w:cs="Arial"/>
        </w:rPr>
        <w:t>252871</w:t>
      </w:r>
      <w:r w:rsidR="00724C0A">
        <w:rPr>
          <w:rFonts w:ascii="Arial" w:hAnsi="Arial" w:cs="Arial"/>
        </w:rPr>
        <w:t xml:space="preserve"> fluminenses.</w:t>
      </w:r>
    </w:p>
    <w:p w:rsidR="00724C0A" w:rsidRDefault="00724C0A" w:rsidP="00042652">
      <w:pPr>
        <w:pStyle w:val="Prrafodelista"/>
        <w:spacing w:line="480" w:lineRule="auto"/>
        <w:ind w:left="851"/>
        <w:jc w:val="both"/>
        <w:rPr>
          <w:rFonts w:ascii="Arial" w:hAnsi="Arial" w:cs="Arial"/>
        </w:rPr>
      </w:pPr>
    </w:p>
    <w:p w:rsidR="00234110" w:rsidRDefault="00FB6650" w:rsidP="00042652">
      <w:pPr>
        <w:pStyle w:val="Prrafodelista"/>
        <w:spacing w:line="480" w:lineRule="auto"/>
        <w:ind w:left="851"/>
        <w:jc w:val="both"/>
        <w:rPr>
          <w:rFonts w:ascii="Arial" w:hAnsi="Arial" w:cs="Arial"/>
          <w:i/>
        </w:rPr>
      </w:pPr>
      <w:r>
        <w:rPr>
          <w:rFonts w:ascii="Arial" w:hAnsi="Arial" w:cs="Arial"/>
        </w:rPr>
        <w:t xml:space="preserve">Pichincha, al igual que Guayas, </w:t>
      </w:r>
      <w:r w:rsidR="00234110" w:rsidRPr="00C9307E">
        <w:rPr>
          <w:rFonts w:ascii="Arial" w:hAnsi="Arial" w:cs="Arial"/>
        </w:rPr>
        <w:t xml:space="preserve">es </w:t>
      </w:r>
      <w:r w:rsidR="00724C0A">
        <w:rPr>
          <w:rFonts w:ascii="Arial" w:hAnsi="Arial" w:cs="Arial"/>
        </w:rPr>
        <w:t xml:space="preserve">una de </w:t>
      </w:r>
      <w:r w:rsidR="00234110" w:rsidRPr="00C9307E">
        <w:rPr>
          <w:rFonts w:ascii="Arial" w:hAnsi="Arial" w:cs="Arial"/>
        </w:rPr>
        <w:t>la</w:t>
      </w:r>
      <w:r w:rsidR="00724C0A">
        <w:rPr>
          <w:rFonts w:ascii="Arial" w:hAnsi="Arial" w:cs="Arial"/>
        </w:rPr>
        <w:t>s</w:t>
      </w:r>
      <w:r w:rsidR="00234110" w:rsidRPr="00C9307E">
        <w:rPr>
          <w:rFonts w:ascii="Arial" w:hAnsi="Arial" w:cs="Arial"/>
        </w:rPr>
        <w:t xml:space="preserve"> provincias atractivas para los emigrantes, puesto que ha recibido 786693 personas</w:t>
      </w:r>
      <w:r w:rsidR="00724C0A">
        <w:rPr>
          <w:rFonts w:ascii="Arial" w:hAnsi="Arial" w:cs="Arial"/>
        </w:rPr>
        <w:t>, siendo esta la provincia que tiene la mayor cantidad de inmigrantes internos en términos absolutos</w:t>
      </w:r>
      <w:r w:rsidR="00234110" w:rsidRPr="00C9307E">
        <w:rPr>
          <w:rFonts w:ascii="Arial" w:hAnsi="Arial" w:cs="Arial"/>
        </w:rPr>
        <w:t>; y,</w:t>
      </w:r>
      <w:r>
        <w:rPr>
          <w:rFonts w:ascii="Arial" w:hAnsi="Arial" w:cs="Arial"/>
        </w:rPr>
        <w:t xml:space="preserve"> a su vez ha expulsado </w:t>
      </w:r>
      <w:r w:rsidRPr="00FB6650">
        <w:rPr>
          <w:rFonts w:ascii="Arial" w:hAnsi="Arial" w:cs="Arial"/>
        </w:rPr>
        <w:t>155994</w:t>
      </w:r>
      <w:r w:rsidR="00234110" w:rsidRPr="00C9307E">
        <w:rPr>
          <w:rFonts w:ascii="Arial" w:hAnsi="Arial" w:cs="Arial"/>
        </w:rPr>
        <w:t xml:space="preserve"> </w:t>
      </w:r>
      <w:r w:rsidR="00394E6E">
        <w:rPr>
          <w:rFonts w:ascii="Arial" w:hAnsi="Arial" w:cs="Arial"/>
        </w:rPr>
        <w:t>pichinchanos,</w:t>
      </w:r>
      <w:r w:rsidR="00394E6E" w:rsidRPr="00394E6E">
        <w:rPr>
          <w:rFonts w:ascii="Arial" w:hAnsi="Arial" w:cs="Arial"/>
        </w:rPr>
        <w:t xml:space="preserve"> </w:t>
      </w:r>
      <w:r w:rsidR="00394E6E">
        <w:rPr>
          <w:rFonts w:ascii="Arial" w:hAnsi="Arial" w:cs="Arial"/>
        </w:rPr>
        <w:t xml:space="preserve">siendo </w:t>
      </w:r>
      <w:r w:rsidR="00394E6E" w:rsidRPr="00C9307E">
        <w:rPr>
          <w:rFonts w:ascii="Arial" w:hAnsi="Arial" w:cs="Arial"/>
        </w:rPr>
        <w:t xml:space="preserve">su crecimiento poblacional producto de la migración interna de 630699 </w:t>
      </w:r>
      <w:r w:rsidR="00394E6E">
        <w:rPr>
          <w:rFonts w:ascii="Arial" w:hAnsi="Arial" w:cs="Arial"/>
        </w:rPr>
        <w:t>personas</w:t>
      </w:r>
      <w:r w:rsidR="00A836B2">
        <w:rPr>
          <w:rFonts w:ascii="Arial" w:hAnsi="Arial" w:cs="Arial"/>
        </w:rPr>
        <w:t xml:space="preserve">; de las provincias del país, Santo Domingo es la que en términos absolutos hasta el 2010 estaba constituida por el tercer grupo más numeroso de inmigrantes internos ya que en ella residen habitualmente </w:t>
      </w:r>
      <w:r w:rsidR="00A836B2" w:rsidRPr="00A836B2">
        <w:rPr>
          <w:rFonts w:ascii="Arial" w:hAnsi="Arial" w:cs="Arial"/>
        </w:rPr>
        <w:t>172192</w:t>
      </w:r>
      <w:r w:rsidR="00A836B2">
        <w:rPr>
          <w:rFonts w:ascii="Arial" w:hAnsi="Arial" w:cs="Arial"/>
        </w:rPr>
        <w:t xml:space="preserve"> inmigrantes; y además, ha expulsado </w:t>
      </w:r>
      <w:r w:rsidR="00A836B2" w:rsidRPr="00A836B2">
        <w:rPr>
          <w:rFonts w:ascii="Arial" w:hAnsi="Arial" w:cs="Arial"/>
        </w:rPr>
        <w:t>80747</w:t>
      </w:r>
      <w:r w:rsidR="00394E6E">
        <w:rPr>
          <w:rFonts w:ascii="Arial" w:hAnsi="Arial" w:cs="Arial"/>
        </w:rPr>
        <w:t xml:space="preserve"> nativos</w:t>
      </w:r>
      <w:r w:rsidR="00234110" w:rsidRPr="00C9307E">
        <w:rPr>
          <w:rFonts w:ascii="Arial" w:hAnsi="Arial" w:cs="Arial"/>
        </w:rPr>
        <w:t xml:space="preserve">. </w:t>
      </w:r>
      <w:r w:rsidR="00394E6E">
        <w:rPr>
          <w:rFonts w:ascii="Arial" w:hAnsi="Arial" w:cs="Arial"/>
        </w:rPr>
        <w:t xml:space="preserve">Para más detalles sobre otras provincias </w:t>
      </w:r>
      <w:r w:rsidR="00394E6E">
        <w:rPr>
          <w:rFonts w:ascii="Arial" w:hAnsi="Arial" w:cs="Arial"/>
          <w:i/>
        </w:rPr>
        <w:t>v</w:t>
      </w:r>
      <w:r w:rsidR="00234110" w:rsidRPr="00F0539F">
        <w:rPr>
          <w:rFonts w:ascii="Arial" w:hAnsi="Arial" w:cs="Arial"/>
          <w:i/>
        </w:rPr>
        <w:t xml:space="preserve">éase Tabla </w:t>
      </w:r>
      <w:r w:rsidR="00FA2BAF">
        <w:rPr>
          <w:rFonts w:ascii="Arial" w:hAnsi="Arial" w:cs="Arial"/>
          <w:i/>
        </w:rPr>
        <w:t>2.2</w:t>
      </w:r>
      <w:r w:rsidR="00234110" w:rsidRPr="00F0539F">
        <w:rPr>
          <w:rFonts w:ascii="Arial" w:hAnsi="Arial" w:cs="Arial"/>
          <w:i/>
        </w:rPr>
        <w:t>.</w:t>
      </w:r>
    </w:p>
    <w:tbl>
      <w:tblPr>
        <w:tblStyle w:val="Tablaconcuadrcula"/>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FA2BAF" w:rsidRPr="00840530" w:rsidTr="00724C0A">
        <w:trPr>
          <w:trHeight w:val="5556"/>
          <w:jc w:val="right"/>
        </w:trPr>
        <w:tc>
          <w:tcPr>
            <w:tcW w:w="7535" w:type="dxa"/>
          </w:tcPr>
          <w:p w:rsidR="00FA2BAF" w:rsidRPr="00840530" w:rsidRDefault="00FA2BAF" w:rsidP="008F42FF">
            <w:pPr>
              <w:rPr>
                <w:rFonts w:ascii="Arial" w:hAnsi="Arial" w:cs="Arial"/>
                <w:sz w:val="16"/>
                <w:szCs w:val="16"/>
              </w:rPr>
            </w:pPr>
          </w:p>
          <w:p w:rsidR="00FA2BAF" w:rsidRPr="00FA2BAF" w:rsidRDefault="00FA2BAF" w:rsidP="00FA2BAF">
            <w:pPr>
              <w:keepNext/>
              <w:rPr>
                <w:rFonts w:ascii="Arial" w:hAnsi="Arial" w:cs="Arial"/>
                <w:b/>
                <w:sz w:val="16"/>
                <w:szCs w:val="16"/>
              </w:rPr>
            </w:pPr>
            <w:bookmarkStart w:id="212" w:name="_Toc341041577"/>
            <w:r w:rsidRPr="00FA2BAF">
              <w:rPr>
                <w:rFonts w:ascii="Arial" w:hAnsi="Arial" w:cs="Arial"/>
                <w:b/>
                <w:sz w:val="16"/>
                <w:szCs w:val="16"/>
              </w:rPr>
              <w:t>Tabla</w:t>
            </w:r>
            <w:r>
              <w:rPr>
                <w:rFonts w:ascii="Arial" w:hAnsi="Arial" w:cs="Arial"/>
                <w:b/>
                <w:sz w:val="16"/>
                <w:szCs w:val="16"/>
              </w:rPr>
              <w:t xml:space="preserve"> </w:t>
            </w:r>
            <w:r w:rsidRPr="00FA2BAF">
              <w:rPr>
                <w:rFonts w:ascii="Arial" w:hAnsi="Arial" w:cs="Arial"/>
                <w:b/>
                <w:sz w:val="16"/>
                <w:szCs w:val="16"/>
              </w:rPr>
              <w:t>2.</w:t>
            </w:r>
            <w:r w:rsidR="00990535" w:rsidRPr="00FA2BAF">
              <w:rPr>
                <w:rFonts w:ascii="Arial" w:hAnsi="Arial" w:cs="Arial"/>
                <w:b/>
                <w:sz w:val="16"/>
                <w:szCs w:val="16"/>
              </w:rPr>
              <w:fldChar w:fldCharType="begin"/>
            </w:r>
            <w:r w:rsidRPr="00FA2BAF">
              <w:rPr>
                <w:rFonts w:ascii="Arial" w:hAnsi="Arial" w:cs="Arial"/>
                <w:b/>
                <w:sz w:val="16"/>
                <w:szCs w:val="16"/>
              </w:rPr>
              <w:instrText xml:space="preserve"> SEQ Tabla2. \* ARABIC </w:instrText>
            </w:r>
            <w:r w:rsidR="00990535" w:rsidRPr="00FA2BAF">
              <w:rPr>
                <w:rFonts w:ascii="Arial" w:hAnsi="Arial" w:cs="Arial"/>
                <w:b/>
                <w:sz w:val="16"/>
                <w:szCs w:val="16"/>
              </w:rPr>
              <w:fldChar w:fldCharType="separate"/>
            </w:r>
            <w:r w:rsidR="00A242E0">
              <w:rPr>
                <w:rFonts w:ascii="Arial" w:hAnsi="Arial" w:cs="Arial"/>
                <w:b/>
                <w:noProof/>
                <w:sz w:val="16"/>
                <w:szCs w:val="16"/>
              </w:rPr>
              <w:t>2</w:t>
            </w:r>
            <w:bookmarkEnd w:id="212"/>
            <w:r w:rsidR="00990535" w:rsidRPr="00FA2BAF">
              <w:rPr>
                <w:rFonts w:ascii="Arial" w:hAnsi="Arial" w:cs="Arial"/>
                <w:b/>
                <w:sz w:val="16"/>
                <w:szCs w:val="16"/>
              </w:rPr>
              <w:fldChar w:fldCharType="end"/>
            </w:r>
          </w:p>
          <w:p w:rsidR="00FA2BAF" w:rsidRPr="00C9304F" w:rsidRDefault="001930FF" w:rsidP="008F42FF">
            <w:pPr>
              <w:rPr>
                <w:rFonts w:ascii="Arial" w:hAnsi="Arial" w:cs="Arial"/>
                <w:i/>
                <w:sz w:val="16"/>
                <w:szCs w:val="16"/>
              </w:rPr>
            </w:pPr>
            <w:r>
              <w:rPr>
                <w:rFonts w:ascii="Arial" w:hAnsi="Arial" w:cs="Arial"/>
                <w:b/>
                <w:i/>
                <w:sz w:val="16"/>
                <w:szCs w:val="16"/>
              </w:rPr>
              <w:t xml:space="preserve">Ecuador 2010: </w:t>
            </w:r>
            <w:r w:rsidR="00FA2BAF" w:rsidRPr="00C9304F">
              <w:rPr>
                <w:rFonts w:ascii="Arial" w:hAnsi="Arial" w:cs="Arial"/>
                <w:i/>
                <w:sz w:val="16"/>
                <w:szCs w:val="16"/>
              </w:rPr>
              <w:t>Total de Inmigrantes y Emigrantes por Provincia</w:t>
            </w:r>
          </w:p>
          <w:tbl>
            <w:tblPr>
              <w:tblW w:w="6341" w:type="dxa"/>
              <w:jc w:val="center"/>
              <w:tblCellMar>
                <w:left w:w="70" w:type="dxa"/>
                <w:right w:w="70" w:type="dxa"/>
              </w:tblCellMar>
              <w:tblLook w:val="04A0" w:firstRow="1" w:lastRow="0" w:firstColumn="1" w:lastColumn="0" w:noHBand="0" w:noVBand="1"/>
            </w:tblPr>
            <w:tblGrid>
              <w:gridCol w:w="1920"/>
              <w:gridCol w:w="1417"/>
              <w:gridCol w:w="1417"/>
              <w:gridCol w:w="1587"/>
            </w:tblGrid>
            <w:tr w:rsidR="00FA2BAF" w:rsidRPr="00724C0A" w:rsidTr="008F42FF">
              <w:trPr>
                <w:trHeight w:val="20"/>
                <w:jc w:val="center"/>
              </w:trPr>
              <w:tc>
                <w:tcPr>
                  <w:tcW w:w="1920" w:type="dxa"/>
                  <w:tcBorders>
                    <w:top w:val="single" w:sz="4" w:space="0" w:color="auto"/>
                    <w:left w:val="nil"/>
                    <w:bottom w:val="single" w:sz="4" w:space="0" w:color="auto"/>
                    <w:right w:val="nil"/>
                  </w:tcBorders>
                  <w:shd w:val="clear" w:color="auto" w:fill="auto"/>
                  <w:vAlign w:val="center"/>
                  <w:hideMark/>
                </w:tcPr>
                <w:p w:rsidR="00FA2BAF" w:rsidRPr="00724C0A" w:rsidRDefault="00FA2BAF" w:rsidP="008F42FF">
                  <w:pPr>
                    <w:rPr>
                      <w:rFonts w:ascii="Arial" w:eastAsia="Times New Roman" w:hAnsi="Arial" w:cs="Arial"/>
                      <w:b/>
                      <w:bCs/>
                      <w:sz w:val="16"/>
                      <w:szCs w:val="16"/>
                      <w:lang w:eastAsia="es-EC"/>
                    </w:rPr>
                  </w:pPr>
                  <w:r w:rsidRPr="00724C0A">
                    <w:rPr>
                      <w:rFonts w:ascii="Arial" w:eastAsia="Times New Roman" w:hAnsi="Arial" w:cs="Arial"/>
                      <w:b/>
                      <w:bCs/>
                      <w:sz w:val="16"/>
                      <w:szCs w:val="16"/>
                      <w:lang w:eastAsia="es-EC"/>
                    </w:rPr>
                    <w:t>Provincia</w:t>
                  </w:r>
                </w:p>
              </w:tc>
              <w:tc>
                <w:tcPr>
                  <w:tcW w:w="1417" w:type="dxa"/>
                  <w:tcBorders>
                    <w:top w:val="single" w:sz="4" w:space="0" w:color="auto"/>
                    <w:left w:val="nil"/>
                    <w:bottom w:val="single" w:sz="4" w:space="0" w:color="auto"/>
                    <w:right w:val="nil"/>
                  </w:tcBorders>
                  <w:shd w:val="clear" w:color="auto" w:fill="auto"/>
                  <w:vAlign w:val="center"/>
                  <w:hideMark/>
                </w:tcPr>
                <w:p w:rsidR="00FA2BAF" w:rsidRPr="00724C0A" w:rsidRDefault="00FA2BAF" w:rsidP="008F42FF">
                  <w:pPr>
                    <w:rPr>
                      <w:rFonts w:ascii="Arial" w:eastAsia="Times New Roman" w:hAnsi="Arial" w:cs="Arial"/>
                      <w:b/>
                      <w:bCs/>
                      <w:sz w:val="16"/>
                      <w:szCs w:val="16"/>
                      <w:lang w:eastAsia="es-EC"/>
                    </w:rPr>
                  </w:pPr>
                  <w:r w:rsidRPr="00724C0A">
                    <w:rPr>
                      <w:rFonts w:ascii="Arial" w:eastAsia="Times New Roman" w:hAnsi="Arial" w:cs="Arial"/>
                      <w:b/>
                      <w:bCs/>
                      <w:sz w:val="16"/>
                      <w:szCs w:val="16"/>
                      <w:lang w:eastAsia="es-EC"/>
                    </w:rPr>
                    <w:t>Inmigrantes</w:t>
                  </w:r>
                </w:p>
              </w:tc>
              <w:tc>
                <w:tcPr>
                  <w:tcW w:w="1417" w:type="dxa"/>
                  <w:tcBorders>
                    <w:top w:val="single" w:sz="4" w:space="0" w:color="auto"/>
                    <w:left w:val="nil"/>
                    <w:bottom w:val="single" w:sz="4" w:space="0" w:color="auto"/>
                    <w:right w:val="nil"/>
                  </w:tcBorders>
                  <w:shd w:val="clear" w:color="auto" w:fill="auto"/>
                  <w:vAlign w:val="center"/>
                  <w:hideMark/>
                </w:tcPr>
                <w:p w:rsidR="00FA2BAF" w:rsidRPr="00724C0A" w:rsidRDefault="00FA2BAF" w:rsidP="008F42FF">
                  <w:pPr>
                    <w:rPr>
                      <w:rFonts w:ascii="Arial" w:eastAsia="Times New Roman" w:hAnsi="Arial" w:cs="Arial"/>
                      <w:b/>
                      <w:bCs/>
                      <w:sz w:val="16"/>
                      <w:szCs w:val="16"/>
                      <w:lang w:eastAsia="es-EC"/>
                    </w:rPr>
                  </w:pPr>
                  <w:r w:rsidRPr="00724C0A">
                    <w:rPr>
                      <w:rFonts w:ascii="Arial" w:eastAsia="Times New Roman" w:hAnsi="Arial" w:cs="Arial"/>
                      <w:b/>
                      <w:bCs/>
                      <w:sz w:val="16"/>
                      <w:szCs w:val="16"/>
                      <w:lang w:eastAsia="es-EC"/>
                    </w:rPr>
                    <w:t>Emigrantes</w:t>
                  </w:r>
                </w:p>
              </w:tc>
              <w:tc>
                <w:tcPr>
                  <w:tcW w:w="1587" w:type="dxa"/>
                  <w:tcBorders>
                    <w:top w:val="single" w:sz="4" w:space="0" w:color="auto"/>
                    <w:left w:val="nil"/>
                    <w:bottom w:val="single" w:sz="4" w:space="0" w:color="auto"/>
                    <w:right w:val="nil"/>
                  </w:tcBorders>
                  <w:shd w:val="clear" w:color="auto" w:fill="auto"/>
                  <w:vAlign w:val="center"/>
                  <w:hideMark/>
                </w:tcPr>
                <w:p w:rsidR="00FA2BAF" w:rsidRPr="00724C0A" w:rsidRDefault="00FA2BAF" w:rsidP="008F42FF">
                  <w:pPr>
                    <w:rPr>
                      <w:rFonts w:ascii="Arial" w:eastAsia="Times New Roman" w:hAnsi="Arial" w:cs="Arial"/>
                      <w:b/>
                      <w:bCs/>
                      <w:sz w:val="16"/>
                      <w:szCs w:val="16"/>
                      <w:lang w:eastAsia="es-EC"/>
                    </w:rPr>
                  </w:pPr>
                  <w:r w:rsidRPr="00724C0A">
                    <w:rPr>
                      <w:rFonts w:ascii="Arial" w:eastAsia="Times New Roman" w:hAnsi="Arial" w:cs="Arial"/>
                      <w:b/>
                      <w:bCs/>
                      <w:sz w:val="16"/>
                      <w:szCs w:val="16"/>
                      <w:lang w:eastAsia="es-EC"/>
                    </w:rPr>
                    <w:t>Saldo migratorio</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Azuay</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100796</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116305</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-15509</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Bolívar</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19404</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136708</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-117304</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Cañar</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46111</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51449</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-5338</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Carchi</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17213</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101453</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-84240</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Cotopaxi</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53268</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153409</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-100141</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Chimborazo</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42458</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187086</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-144628</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El Oro</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147614</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109509</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38105</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Esmeraldas</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114231</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153671</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-39440</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Guayas</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722962</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272567</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450395</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Imbabura</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59011</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115884</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-56873</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Loja</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36310</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235200</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-198890</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Los Ríos</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151473</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252871</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-101398</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Manabí</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84344</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585085</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-500741</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Morona Santiago</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28718</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24060</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4658</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Napo</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22791</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26510</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-3719</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Pastaza</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30962</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14677</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16285</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Pichincha</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786693</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155994</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630699</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Tungurahua</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66832</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106766</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-39934</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Zamora Chinchipe</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30997</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19208</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11789</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Galápagos</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14546</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2362</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12184</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Sucumbíos</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75701</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22443</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53258</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Orellana</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60928</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11407</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49521</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Santo Domingo</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172192</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80747</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91445</w:t>
                  </w:r>
                </w:p>
              </w:tc>
            </w:tr>
            <w:tr w:rsidR="00FA2BAF" w:rsidRPr="00724C0A" w:rsidTr="008F42FF">
              <w:trPr>
                <w:trHeight w:val="20"/>
                <w:jc w:val="center"/>
              </w:trPr>
              <w:tc>
                <w:tcPr>
                  <w:tcW w:w="1920" w:type="dxa"/>
                  <w:tcBorders>
                    <w:top w:val="nil"/>
                    <w:left w:val="nil"/>
                    <w:bottom w:val="nil"/>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Santa Elena</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59619</w:t>
                  </w:r>
                </w:p>
              </w:tc>
              <w:tc>
                <w:tcPr>
                  <w:tcW w:w="1417" w:type="dxa"/>
                  <w:tcBorders>
                    <w:top w:val="nil"/>
                    <w:left w:val="nil"/>
                    <w:bottom w:val="nil"/>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31328</w:t>
                  </w:r>
                </w:p>
              </w:tc>
              <w:tc>
                <w:tcPr>
                  <w:tcW w:w="1587" w:type="dxa"/>
                  <w:tcBorders>
                    <w:top w:val="nil"/>
                    <w:left w:val="nil"/>
                    <w:bottom w:val="nil"/>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28291</w:t>
                  </w:r>
                </w:p>
              </w:tc>
            </w:tr>
            <w:tr w:rsidR="00FA2BAF" w:rsidRPr="00724C0A" w:rsidTr="008F42FF">
              <w:trPr>
                <w:trHeight w:val="20"/>
                <w:jc w:val="center"/>
              </w:trPr>
              <w:tc>
                <w:tcPr>
                  <w:tcW w:w="1920" w:type="dxa"/>
                  <w:tcBorders>
                    <w:top w:val="nil"/>
                    <w:left w:val="nil"/>
                    <w:bottom w:val="single" w:sz="4" w:space="0" w:color="auto"/>
                    <w:right w:val="nil"/>
                  </w:tcBorders>
                  <w:shd w:val="clear" w:color="auto" w:fill="auto"/>
                  <w:noWrap/>
                  <w:vAlign w:val="center"/>
                  <w:hideMark/>
                </w:tcPr>
                <w:p w:rsidR="00FA2BAF" w:rsidRPr="00724C0A" w:rsidRDefault="00FA2BAF" w:rsidP="008F42FF">
                  <w:pPr>
                    <w:jc w:val="left"/>
                    <w:rPr>
                      <w:rFonts w:ascii="Arial" w:eastAsia="Times New Roman" w:hAnsi="Arial" w:cs="Arial"/>
                      <w:sz w:val="16"/>
                      <w:szCs w:val="16"/>
                      <w:lang w:eastAsia="es-EC"/>
                    </w:rPr>
                  </w:pPr>
                  <w:r w:rsidRPr="00724C0A">
                    <w:rPr>
                      <w:rFonts w:ascii="Arial" w:eastAsia="Times New Roman" w:hAnsi="Arial" w:cs="Arial"/>
                      <w:sz w:val="16"/>
                      <w:szCs w:val="16"/>
                      <w:lang w:eastAsia="es-EC"/>
                    </w:rPr>
                    <w:t>Zonas No Delimitadas</w:t>
                  </w:r>
                </w:p>
              </w:tc>
              <w:tc>
                <w:tcPr>
                  <w:tcW w:w="1417" w:type="dxa"/>
                  <w:tcBorders>
                    <w:top w:val="nil"/>
                    <w:left w:val="nil"/>
                    <w:bottom w:val="single" w:sz="4" w:space="0" w:color="auto"/>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21741</w:t>
                  </w:r>
                </w:p>
              </w:tc>
              <w:tc>
                <w:tcPr>
                  <w:tcW w:w="1417" w:type="dxa"/>
                  <w:tcBorders>
                    <w:top w:val="nil"/>
                    <w:left w:val="nil"/>
                    <w:bottom w:val="single" w:sz="4" w:space="0" w:color="auto"/>
                    <w:right w:val="nil"/>
                  </w:tcBorders>
                  <w:shd w:val="clear" w:color="auto" w:fill="auto"/>
                  <w:noWrap/>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216</w:t>
                  </w:r>
                </w:p>
              </w:tc>
              <w:tc>
                <w:tcPr>
                  <w:tcW w:w="1587" w:type="dxa"/>
                  <w:tcBorders>
                    <w:top w:val="nil"/>
                    <w:left w:val="nil"/>
                    <w:bottom w:val="single" w:sz="4" w:space="0" w:color="auto"/>
                    <w:right w:val="nil"/>
                  </w:tcBorders>
                  <w:shd w:val="clear" w:color="auto" w:fill="auto"/>
                  <w:vAlign w:val="center"/>
                  <w:hideMark/>
                </w:tcPr>
                <w:p w:rsidR="00FA2BAF" w:rsidRPr="00724C0A" w:rsidRDefault="00FA2BAF" w:rsidP="008F42FF">
                  <w:pPr>
                    <w:rPr>
                      <w:rFonts w:ascii="Arial" w:eastAsia="Times New Roman" w:hAnsi="Arial" w:cs="Arial"/>
                      <w:sz w:val="16"/>
                      <w:szCs w:val="16"/>
                      <w:lang w:eastAsia="es-EC"/>
                    </w:rPr>
                  </w:pPr>
                  <w:r w:rsidRPr="00724C0A">
                    <w:rPr>
                      <w:rFonts w:ascii="Arial" w:eastAsia="Times New Roman" w:hAnsi="Arial" w:cs="Arial"/>
                      <w:sz w:val="16"/>
                      <w:szCs w:val="16"/>
                      <w:lang w:eastAsia="es-EC"/>
                    </w:rPr>
                    <w:t>21525</w:t>
                  </w:r>
                </w:p>
              </w:tc>
            </w:tr>
          </w:tbl>
          <w:p w:rsidR="00FA2BAF" w:rsidRPr="00840530" w:rsidRDefault="00FA2BAF" w:rsidP="008F42FF">
            <w:pPr>
              <w:ind w:left="7"/>
              <w:rPr>
                <w:rFonts w:ascii="Arial" w:hAnsi="Arial" w:cs="Arial"/>
                <w:sz w:val="24"/>
                <w:szCs w:val="24"/>
              </w:rPr>
            </w:pPr>
          </w:p>
        </w:tc>
      </w:tr>
    </w:tbl>
    <w:p w:rsidR="00FA2BAF" w:rsidRPr="00724C0A" w:rsidRDefault="00FA2BAF" w:rsidP="00FA2BAF">
      <w:pPr>
        <w:pStyle w:val="Prrafodelista"/>
        <w:spacing w:line="276" w:lineRule="auto"/>
        <w:ind w:left="851"/>
        <w:jc w:val="both"/>
        <w:rPr>
          <w:rFonts w:ascii="Arial" w:hAnsi="Arial" w:cs="Arial"/>
          <w:sz w:val="17"/>
          <w:szCs w:val="17"/>
        </w:rPr>
      </w:pPr>
    </w:p>
    <w:p w:rsidR="00FA2BAF" w:rsidRPr="00724C0A" w:rsidRDefault="00FA2BAF" w:rsidP="00FA2BAF">
      <w:pPr>
        <w:pStyle w:val="Prrafodelista"/>
        <w:spacing w:line="276" w:lineRule="auto"/>
        <w:ind w:left="851"/>
        <w:jc w:val="both"/>
        <w:rPr>
          <w:rFonts w:ascii="Arial" w:hAnsi="Arial" w:cs="Arial"/>
          <w:sz w:val="17"/>
          <w:szCs w:val="17"/>
        </w:rPr>
      </w:pPr>
      <w:r w:rsidRPr="00724C0A">
        <w:rPr>
          <w:rFonts w:ascii="Arial" w:hAnsi="Arial" w:cs="Arial"/>
          <w:b/>
          <w:i/>
          <w:sz w:val="17"/>
          <w:szCs w:val="17"/>
        </w:rPr>
        <w:t>Fuente:</w:t>
      </w:r>
      <w:r w:rsidRPr="00724C0A">
        <w:rPr>
          <w:rFonts w:ascii="Arial" w:hAnsi="Arial" w:cs="Arial"/>
          <w:sz w:val="17"/>
          <w:szCs w:val="17"/>
        </w:rPr>
        <w:t xml:space="preserve"> </w:t>
      </w:r>
      <w:r w:rsidRPr="00724C0A">
        <w:rPr>
          <w:rFonts w:ascii="Arial" w:hAnsi="Arial" w:cs="Arial"/>
          <w:b/>
          <w:sz w:val="17"/>
          <w:szCs w:val="17"/>
        </w:rPr>
        <w:t xml:space="preserve">INEC </w:t>
      </w:r>
      <w:r w:rsidRPr="00724C0A">
        <w:rPr>
          <w:rFonts w:ascii="Arial" w:hAnsi="Arial" w:cs="Arial"/>
          <w:sz w:val="17"/>
          <w:szCs w:val="17"/>
        </w:rPr>
        <w:t>(2010), Base de Datos del VII Censo de Población y VI de Vivienda.</w:t>
      </w:r>
    </w:p>
    <w:p w:rsidR="00D26219" w:rsidRPr="00724C0A" w:rsidRDefault="00FA2BAF" w:rsidP="00FA2BAF">
      <w:pPr>
        <w:pStyle w:val="Prrafodelista"/>
        <w:spacing w:line="276" w:lineRule="auto"/>
        <w:ind w:left="851"/>
        <w:jc w:val="both"/>
        <w:rPr>
          <w:rFonts w:ascii="Arial" w:hAnsi="Arial" w:cs="Arial"/>
          <w:sz w:val="17"/>
          <w:szCs w:val="17"/>
        </w:rPr>
      </w:pPr>
      <w:r w:rsidRPr="00724C0A">
        <w:rPr>
          <w:rFonts w:ascii="Arial" w:hAnsi="Arial" w:cs="Arial"/>
          <w:b/>
          <w:i/>
          <w:sz w:val="17"/>
          <w:szCs w:val="17"/>
        </w:rPr>
        <w:t>Elaborado por:</w:t>
      </w:r>
      <w:r w:rsidRPr="00724C0A">
        <w:rPr>
          <w:rFonts w:ascii="Arial" w:hAnsi="Arial" w:cs="Arial"/>
          <w:sz w:val="17"/>
          <w:szCs w:val="17"/>
        </w:rPr>
        <w:t xml:space="preserve"> Katherine Loor Valeriano</w:t>
      </w:r>
    </w:p>
    <w:p w:rsidR="00FB6650" w:rsidRDefault="00FB6650" w:rsidP="00042652">
      <w:pPr>
        <w:pStyle w:val="Prrafodelista"/>
        <w:spacing w:line="480" w:lineRule="auto"/>
        <w:ind w:left="851"/>
        <w:jc w:val="both"/>
        <w:rPr>
          <w:rFonts w:ascii="Arial" w:hAnsi="Arial" w:cs="Arial"/>
        </w:rPr>
      </w:pPr>
    </w:p>
    <w:p w:rsidR="00C525F3" w:rsidRDefault="00D26219" w:rsidP="00042652">
      <w:pPr>
        <w:pStyle w:val="Prrafodelista"/>
        <w:spacing w:line="480" w:lineRule="auto"/>
        <w:ind w:left="851"/>
        <w:jc w:val="both"/>
        <w:rPr>
          <w:rFonts w:ascii="Arial" w:hAnsi="Arial" w:cs="Arial"/>
        </w:rPr>
      </w:pPr>
      <w:r w:rsidRPr="00C9307E">
        <w:rPr>
          <w:rFonts w:ascii="Arial" w:hAnsi="Arial" w:cs="Arial"/>
        </w:rPr>
        <w:t xml:space="preserve">En lugar de analizar las frecuencias absolutas del total de personas que han emigrado o inmigrado hacia una provincia, deberíamos conocer cuál es la tasa de expulsión o cuál es el índice de atracción </w:t>
      </w:r>
      <w:r w:rsidR="00B24AE2">
        <w:rPr>
          <w:rFonts w:ascii="Arial" w:hAnsi="Arial" w:cs="Arial"/>
        </w:rPr>
        <w:t>de</w:t>
      </w:r>
      <w:r w:rsidRPr="00C9307E">
        <w:rPr>
          <w:rFonts w:ascii="Arial" w:hAnsi="Arial" w:cs="Arial"/>
        </w:rPr>
        <w:t xml:space="preserve"> </w:t>
      </w:r>
      <w:r>
        <w:rPr>
          <w:rFonts w:ascii="Arial" w:hAnsi="Arial" w:cs="Arial"/>
        </w:rPr>
        <w:t>dicha</w:t>
      </w:r>
      <w:r w:rsidRPr="00C9307E">
        <w:rPr>
          <w:rFonts w:ascii="Arial" w:hAnsi="Arial" w:cs="Arial"/>
        </w:rPr>
        <w:t xml:space="preserve"> provincia. </w:t>
      </w:r>
      <w:r w:rsidR="00B24AE2">
        <w:rPr>
          <w:rFonts w:ascii="Arial" w:hAnsi="Arial" w:cs="Arial"/>
        </w:rPr>
        <w:t>Por tanto, e</w:t>
      </w:r>
      <w:r w:rsidR="00186911">
        <w:rPr>
          <w:rFonts w:ascii="Arial" w:hAnsi="Arial" w:cs="Arial"/>
        </w:rPr>
        <w:t xml:space="preserve">n la </w:t>
      </w:r>
      <w:r w:rsidR="00186911">
        <w:rPr>
          <w:rFonts w:ascii="Arial" w:hAnsi="Arial" w:cs="Arial"/>
          <w:i/>
        </w:rPr>
        <w:t>Figura 2.1</w:t>
      </w:r>
      <w:r w:rsidR="00186911">
        <w:rPr>
          <w:rFonts w:ascii="Arial" w:hAnsi="Arial" w:cs="Arial"/>
        </w:rPr>
        <w:t>, se presenta la tasa de inmigración a nivel provincial, en donde las provincias sombreadas con colores más intensos son las que presentan las tasas más altas de inmigración interna y por tanto las de colores más tenues son aquellas con tasas de inmigración más baja; en donde, po</w:t>
      </w:r>
      <w:r w:rsidR="00B24AE2">
        <w:rPr>
          <w:rFonts w:ascii="Arial" w:hAnsi="Arial" w:cs="Arial"/>
        </w:rPr>
        <w:t xml:space="preserve">demos observar que las provincias con tasas más altas de inmigración interna son Galápagos, Santo Domingo, Sucumbíos y Orellana; cabe mencionar que Pichincha a pesar de ser la provincia que mayor cantidad de población inmigrante tiene no presenta la tasa más alta de </w:t>
      </w:r>
      <w:r w:rsidR="00B24AE2">
        <w:rPr>
          <w:rFonts w:ascii="Arial" w:hAnsi="Arial" w:cs="Arial"/>
        </w:rPr>
        <w:lastRenderedPageBreak/>
        <w:t>inmigración, debido a la cantidad de población que en ella reside, igual situación presenta Guayas</w:t>
      </w:r>
      <w:r w:rsidR="008F42FF">
        <w:rPr>
          <w:rFonts w:ascii="Arial" w:hAnsi="Arial" w:cs="Arial"/>
        </w:rPr>
        <w:t>, en donde hay 200 inmigrantes internos por cada 1000 ecuatorianos que habitualmente residen en dicha provincia</w:t>
      </w:r>
      <w:r w:rsidR="00C525F3">
        <w:rPr>
          <w:rFonts w:ascii="Arial" w:hAnsi="Arial" w:cs="Arial"/>
        </w:rPr>
        <w:t xml:space="preserve">. </w:t>
      </w:r>
    </w:p>
    <w:p w:rsidR="00C525F3" w:rsidRDefault="00C525F3" w:rsidP="00042652">
      <w:pPr>
        <w:pStyle w:val="Prrafodelista"/>
        <w:spacing w:line="480" w:lineRule="auto"/>
        <w:ind w:left="851"/>
        <w:jc w:val="both"/>
        <w:rPr>
          <w:rFonts w:ascii="Arial" w:hAnsi="Arial" w:cs="Arial"/>
        </w:rPr>
      </w:pPr>
    </w:p>
    <w:p w:rsidR="008F42FF" w:rsidRPr="00C525F3" w:rsidRDefault="00C525F3" w:rsidP="00042652">
      <w:pPr>
        <w:pStyle w:val="Prrafodelista"/>
        <w:spacing w:line="480" w:lineRule="auto"/>
        <w:ind w:left="851"/>
        <w:jc w:val="both"/>
        <w:rPr>
          <w:rFonts w:ascii="Arial" w:hAnsi="Arial" w:cs="Arial"/>
          <w:i/>
        </w:rPr>
      </w:pPr>
      <w:r>
        <w:rPr>
          <w:rFonts w:ascii="Arial" w:hAnsi="Arial" w:cs="Arial"/>
        </w:rPr>
        <w:t xml:space="preserve">Las provincias con tasas de inmigración interna más bajas son Manabí, Loja, Chimborazo donde por cada 1000 residentes 62, 81 y 93 son inmigrantes internos respectivamente. Además, se puede concluir que la mayoría de las provincias del oriente presentan tasas altas de inmigración interna, mientras que las provincias de la Sierra presentan tasas inferiores a 210 inmigrantes por cada 1000 residente a excepción de Santo Domingo y Pichincha. </w:t>
      </w:r>
      <w:r>
        <w:rPr>
          <w:rFonts w:ascii="Arial" w:hAnsi="Arial" w:cs="Arial"/>
          <w:i/>
        </w:rPr>
        <w:t>Véase Figura 2.1.</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186911" w:rsidRPr="00840530" w:rsidTr="008F42FF">
        <w:trPr>
          <w:trHeight w:val="5386"/>
          <w:jc w:val="right"/>
        </w:trPr>
        <w:tc>
          <w:tcPr>
            <w:tcW w:w="7535" w:type="dxa"/>
          </w:tcPr>
          <w:p w:rsidR="00186911" w:rsidRPr="00840530" w:rsidRDefault="00186911" w:rsidP="008F42FF">
            <w:pPr>
              <w:rPr>
                <w:rFonts w:ascii="Arial" w:hAnsi="Arial" w:cs="Arial"/>
                <w:sz w:val="16"/>
                <w:szCs w:val="16"/>
              </w:rPr>
            </w:pPr>
          </w:p>
          <w:p w:rsidR="00186911" w:rsidRPr="00737A93" w:rsidRDefault="00186911" w:rsidP="008F42FF">
            <w:pPr>
              <w:keepNext/>
              <w:rPr>
                <w:rFonts w:ascii="Arial" w:hAnsi="Arial" w:cs="Arial"/>
                <w:b/>
                <w:sz w:val="16"/>
                <w:szCs w:val="16"/>
              </w:rPr>
            </w:pPr>
            <w:bookmarkStart w:id="213" w:name="_Toc339749892"/>
            <w:bookmarkStart w:id="214" w:name="_Toc341042991"/>
            <w:r w:rsidRPr="00737A93">
              <w:rPr>
                <w:rFonts w:ascii="Arial" w:hAnsi="Arial" w:cs="Arial"/>
                <w:b/>
                <w:sz w:val="16"/>
                <w:szCs w:val="16"/>
              </w:rPr>
              <w:t>Figura 2.</w:t>
            </w:r>
            <w:r w:rsidR="00990535" w:rsidRPr="00737A93">
              <w:rPr>
                <w:rFonts w:ascii="Arial" w:hAnsi="Arial" w:cs="Arial"/>
                <w:b/>
                <w:sz w:val="16"/>
                <w:szCs w:val="16"/>
              </w:rPr>
              <w:fldChar w:fldCharType="begin"/>
            </w:r>
            <w:r w:rsidRPr="00737A93">
              <w:rPr>
                <w:rFonts w:ascii="Arial" w:hAnsi="Arial" w:cs="Arial"/>
                <w:b/>
                <w:sz w:val="16"/>
                <w:szCs w:val="16"/>
              </w:rPr>
              <w:instrText xml:space="preserve"> SEQ Figura_2. \* ARABIC </w:instrText>
            </w:r>
            <w:r w:rsidR="00990535" w:rsidRPr="00737A93">
              <w:rPr>
                <w:rFonts w:ascii="Arial" w:hAnsi="Arial" w:cs="Arial"/>
                <w:b/>
                <w:sz w:val="16"/>
                <w:szCs w:val="16"/>
              </w:rPr>
              <w:fldChar w:fldCharType="separate"/>
            </w:r>
            <w:r w:rsidR="00A242E0">
              <w:rPr>
                <w:rFonts w:ascii="Arial" w:hAnsi="Arial" w:cs="Arial"/>
                <w:b/>
                <w:noProof/>
                <w:sz w:val="16"/>
                <w:szCs w:val="16"/>
              </w:rPr>
              <w:t>1</w:t>
            </w:r>
            <w:bookmarkEnd w:id="213"/>
            <w:bookmarkEnd w:id="214"/>
            <w:r w:rsidR="00990535" w:rsidRPr="00737A93">
              <w:rPr>
                <w:rFonts w:ascii="Arial" w:hAnsi="Arial" w:cs="Arial"/>
                <w:b/>
                <w:sz w:val="16"/>
                <w:szCs w:val="16"/>
              </w:rPr>
              <w:fldChar w:fldCharType="end"/>
            </w:r>
          </w:p>
          <w:p w:rsidR="00186911" w:rsidRPr="006B4C21" w:rsidRDefault="00186911" w:rsidP="008F42FF">
            <w:pPr>
              <w:rPr>
                <w:rFonts w:ascii="Arial" w:hAnsi="Arial" w:cs="Arial"/>
                <w:i/>
                <w:sz w:val="16"/>
                <w:szCs w:val="16"/>
              </w:rPr>
            </w:pPr>
            <w:r>
              <w:rPr>
                <w:rFonts w:ascii="Arial" w:hAnsi="Arial" w:cs="Arial"/>
                <w:b/>
                <w:i/>
                <w:sz w:val="16"/>
                <w:szCs w:val="16"/>
              </w:rPr>
              <w:t xml:space="preserve">Ecuador 2010: </w:t>
            </w:r>
            <w:r w:rsidRPr="006B4C21">
              <w:rPr>
                <w:rFonts w:ascii="Arial" w:hAnsi="Arial" w:cs="Arial"/>
                <w:i/>
                <w:sz w:val="16"/>
                <w:szCs w:val="16"/>
              </w:rPr>
              <w:t xml:space="preserve">Tasa de Inmigración por cada 1000 residentes </w:t>
            </w:r>
            <w:r>
              <w:rPr>
                <w:rFonts w:ascii="Arial" w:hAnsi="Arial" w:cs="Arial"/>
                <w:i/>
                <w:sz w:val="16"/>
                <w:szCs w:val="16"/>
              </w:rPr>
              <w:t xml:space="preserve">a nivel </w:t>
            </w:r>
            <w:r w:rsidRPr="006B4C21">
              <w:rPr>
                <w:rFonts w:ascii="Arial" w:hAnsi="Arial" w:cs="Arial"/>
                <w:i/>
                <w:sz w:val="16"/>
                <w:szCs w:val="16"/>
              </w:rPr>
              <w:t>Provincia</w:t>
            </w:r>
            <w:r>
              <w:rPr>
                <w:rFonts w:ascii="Arial" w:hAnsi="Arial" w:cs="Arial"/>
                <w:i/>
                <w:sz w:val="16"/>
                <w:szCs w:val="16"/>
              </w:rPr>
              <w:t>l</w:t>
            </w:r>
          </w:p>
          <w:p w:rsidR="00186911" w:rsidRPr="006B4C21" w:rsidRDefault="00186911" w:rsidP="008F42FF">
            <w:pPr>
              <w:rPr>
                <w:rFonts w:ascii="Arial" w:hAnsi="Arial" w:cs="Arial"/>
                <w:i/>
                <w:sz w:val="10"/>
                <w:szCs w:val="10"/>
              </w:rPr>
            </w:pPr>
          </w:p>
          <w:p w:rsidR="00186911" w:rsidRPr="00840530" w:rsidRDefault="00436907" w:rsidP="008F42FF">
            <w:pPr>
              <w:rPr>
                <w:rFonts w:ascii="Arial" w:hAnsi="Arial" w:cs="Arial"/>
                <w:sz w:val="24"/>
                <w:szCs w:val="24"/>
              </w:rPr>
            </w:pPr>
            <w:r>
              <w:rPr>
                <w:rFonts w:ascii="Arial" w:hAnsi="Arial" w:cs="Arial"/>
                <w:noProof/>
                <w:sz w:val="16"/>
                <w:szCs w:val="16"/>
                <w:lang w:eastAsia="es-EC"/>
              </w:rPr>
              <w:pict>
                <v:shape id="22 Cuadro de texto" o:spid="_x0000_s1957" type="#_x0000_t202" style="position:absolute;left:0;text-align:left;margin-left:227.5pt;margin-top:71.4pt;width:42pt;height:16.5pt;z-index:251782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" filled="f" stroked="f" strokeweight=".5pt">
                  <v:textbox style="mso-next-textbox:#22 Cuadro de texto">
                    <w:txbxContent>
                      <w:p w:rsidR="006933DF" w:rsidRPr="00A82FB7" w:rsidRDefault="006933DF" w:rsidP="00186911">
                        <w:pPr>
                          <w:rPr>
                            <w:rFonts w:ascii="Arial" w:hAnsi="Arial" w:cs="Arial"/>
                            <w:sz w:val="12"/>
                            <w:szCs w:val="12"/>
                          </w:rPr>
                        </w:pPr>
                        <w:r>
                          <w:rPr>
                            <w:rFonts w:ascii="Arial" w:hAnsi="Arial" w:cs="Arial"/>
                            <w:sz w:val="12"/>
                            <w:szCs w:val="12"/>
                          </w:rPr>
                          <w:t>223</w:t>
                        </w:r>
                      </w:p>
                    </w:txbxContent>
                  </v:textbox>
                </v:shape>
              </w:pict>
            </w:r>
            <w:r>
              <w:rPr>
                <w:rFonts w:ascii="Arial" w:hAnsi="Arial" w:cs="Arial"/>
                <w:noProof/>
                <w:sz w:val="16"/>
                <w:szCs w:val="16"/>
                <w:lang w:eastAsia="es-EC"/>
              </w:rPr>
              <w:pict>
                <v:shape id="25 Cuadro de texto" o:spid="_x0000_s1960" type="#_x0000_t202" style="position:absolute;left:0;text-align:left;margin-left:206.5pt;margin-top:95.1pt;width:42pt;height:16.5pt;z-index:25178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" filled="f" stroked="f" strokeweight=".5pt">
                  <v:textbox style="mso-next-textbox:#25 Cuadro de texto">
                    <w:txbxContent>
                      <w:p w:rsidR="006933DF" w:rsidRPr="00A82FB7" w:rsidRDefault="006933DF" w:rsidP="00186911">
                        <w:pPr>
                          <w:rPr>
                            <w:rFonts w:ascii="Arial" w:hAnsi="Arial" w:cs="Arial"/>
                            <w:sz w:val="12"/>
                            <w:szCs w:val="12"/>
                          </w:rPr>
                        </w:pPr>
                        <w:r>
                          <w:rPr>
                            <w:rFonts w:ascii="Arial" w:hAnsi="Arial" w:cs="Arial"/>
                            <w:sz w:val="12"/>
                            <w:szCs w:val="12"/>
                          </w:rPr>
                          <w:t>134</w:t>
                        </w:r>
                      </w:p>
                    </w:txbxContent>
                  </v:textbox>
                </v:shape>
              </w:pict>
            </w:r>
            <w:r>
              <w:rPr>
                <w:rFonts w:ascii="Arial" w:hAnsi="Arial" w:cs="Arial"/>
                <w:noProof/>
                <w:sz w:val="16"/>
                <w:szCs w:val="16"/>
                <w:lang w:eastAsia="es-EC"/>
              </w:rPr>
              <w:pict>
                <v:shape id="12 Cuadro de texto" o:spid="_x0000_s1948" type="#_x0000_t202" style="position:absolute;left:0;text-align:left;margin-left:199pt;margin-top:116.85pt;width:42pt;height:16.5pt;z-index:25177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" filled="f" stroked="f" strokeweight=".5pt">
                  <v:textbox style="mso-next-textbox:#12 Cuadro de texto">
                    <w:txbxContent>
                      <w:p w:rsidR="006933DF" w:rsidRPr="00A82FB7" w:rsidRDefault="006933DF" w:rsidP="00186911">
                        <w:pPr>
                          <w:rPr>
                            <w:rFonts w:ascii="Arial" w:hAnsi="Arial" w:cs="Arial"/>
                            <w:sz w:val="12"/>
                            <w:szCs w:val="12"/>
                          </w:rPr>
                        </w:pPr>
                        <w:r>
                          <w:rPr>
                            <w:rFonts w:ascii="Arial" w:hAnsi="Arial" w:cs="Arial"/>
                            <w:sz w:val="12"/>
                            <w:szCs w:val="12"/>
                          </w:rPr>
                          <w:t>93</w:t>
                        </w:r>
                      </w:p>
                    </w:txbxContent>
                  </v:textbox>
                </v:shape>
              </w:pict>
            </w:r>
            <w:r>
              <w:rPr>
                <w:rFonts w:ascii="Arial" w:hAnsi="Arial" w:cs="Arial"/>
                <w:noProof/>
                <w:sz w:val="16"/>
                <w:szCs w:val="16"/>
                <w:lang w:eastAsia="es-EC"/>
              </w:rPr>
              <w:pict>
                <v:shape id="9 Cuadro de texto" o:spid="_x0000_s1945" type="#_x0000_t202" style="position:absolute;left:0;text-align:left;margin-left:191.5pt;margin-top:135.6pt;width:42pt;height:16.5pt;z-index:25177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" filled="f" stroked="f" strokeweight=".5pt">
                  <v:textbox style="mso-next-textbox:#9 Cuadro de texto">
                    <w:txbxContent>
                      <w:p w:rsidR="006933DF" w:rsidRPr="00A82FB7" w:rsidRDefault="006933DF" w:rsidP="00186911">
                        <w:pPr>
                          <w:rPr>
                            <w:rFonts w:ascii="Arial" w:hAnsi="Arial" w:cs="Arial"/>
                            <w:sz w:val="12"/>
                            <w:szCs w:val="12"/>
                          </w:rPr>
                        </w:pPr>
                        <w:r>
                          <w:rPr>
                            <w:rFonts w:ascii="Arial" w:hAnsi="Arial" w:cs="Arial"/>
                            <w:sz w:val="12"/>
                            <w:szCs w:val="12"/>
                          </w:rPr>
                          <w:t>207</w:t>
                        </w:r>
                      </w:p>
                    </w:txbxContent>
                  </v:textbox>
                </v:shape>
              </w:pict>
            </w:r>
            <w:r>
              <w:rPr>
                <w:rFonts w:ascii="Arial" w:hAnsi="Arial" w:cs="Arial"/>
                <w:noProof/>
                <w:sz w:val="16"/>
                <w:szCs w:val="16"/>
                <w:lang w:eastAsia="es-EC"/>
              </w:rPr>
              <w:pict>
                <v:shape id="7 Cuadro de texto" o:spid="_x0000_s1943" type="#_x0000_t202" style="position:absolute;left:0;text-align:left;margin-left:184.75pt;margin-top:152.1pt;width:42pt;height:16.5pt;z-index:25176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" filled="f" stroked="f" strokeweight=".5pt">
                  <v:textbox style="mso-next-textbox:#7 Cuadro de texto">
                    <w:txbxContent>
                      <w:p w:rsidR="006933DF" w:rsidRPr="00A82FB7" w:rsidRDefault="006933DF" w:rsidP="00186911">
                        <w:pPr>
                          <w:rPr>
                            <w:rFonts w:ascii="Arial" w:hAnsi="Arial" w:cs="Arial"/>
                            <w:sz w:val="12"/>
                            <w:szCs w:val="12"/>
                          </w:rPr>
                        </w:pPr>
                        <w:r>
                          <w:rPr>
                            <w:rFonts w:ascii="Arial" w:hAnsi="Arial" w:cs="Arial"/>
                            <w:sz w:val="12"/>
                            <w:szCs w:val="12"/>
                          </w:rPr>
                          <w:t>144</w:t>
                        </w:r>
                      </w:p>
                    </w:txbxContent>
                  </v:textbox>
                </v:shape>
              </w:pict>
            </w:r>
            <w:r>
              <w:rPr>
                <w:rFonts w:ascii="Arial" w:hAnsi="Arial" w:cs="Arial"/>
                <w:noProof/>
                <w:sz w:val="16"/>
                <w:szCs w:val="16"/>
                <w:lang w:eastAsia="es-EC"/>
              </w:rPr>
              <w:pict>
                <v:shape id="13 Cuadro de texto" o:spid="_x0000_s1949" type="#_x0000_t202" style="position:absolute;left:0;text-align:left;margin-left:163.75pt;margin-top:169.35pt;width:42pt;height:16.5pt;z-index:25177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" filled="f" stroked="f" strokeweight=".5pt">
                  <v:textbox style="mso-next-textbox:#13 Cuadro de texto">
                    <w:txbxContent>
                      <w:p w:rsidR="006933DF" w:rsidRPr="00A82FB7" w:rsidRDefault="006933DF" w:rsidP="00186911">
                        <w:pPr>
                          <w:rPr>
                            <w:rFonts w:ascii="Arial" w:hAnsi="Arial" w:cs="Arial"/>
                            <w:sz w:val="12"/>
                            <w:szCs w:val="12"/>
                          </w:rPr>
                        </w:pPr>
                        <w:r>
                          <w:rPr>
                            <w:rFonts w:ascii="Arial" w:hAnsi="Arial" w:cs="Arial"/>
                            <w:sz w:val="12"/>
                            <w:szCs w:val="12"/>
                          </w:rPr>
                          <w:t>249</w:t>
                        </w:r>
                      </w:p>
                    </w:txbxContent>
                  </v:textbox>
                </v:shape>
              </w:pict>
            </w:r>
            <w:r>
              <w:rPr>
                <w:rFonts w:ascii="Arial" w:hAnsi="Arial" w:cs="Arial"/>
                <w:noProof/>
                <w:sz w:val="16"/>
                <w:szCs w:val="16"/>
                <w:lang w:eastAsia="es-EC"/>
              </w:rPr>
              <w:pict>
                <v:shape id="18 Cuadro de texto" o:spid="_x0000_s1953" type="#_x0000_t202" style="position:absolute;left:0;text-align:left;margin-left:172.75pt;margin-top:189.6pt;width:42pt;height:16.5pt;z-index:25177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" filled="f" stroked="f" strokeweight=".5pt">
                  <v:textbox style="mso-next-textbox:#18 Cuadro de texto">
                    <w:txbxContent>
                      <w:p w:rsidR="006933DF" w:rsidRPr="00A82FB7" w:rsidRDefault="006933DF" w:rsidP="00186911">
                        <w:pPr>
                          <w:rPr>
                            <w:rFonts w:ascii="Arial" w:hAnsi="Arial" w:cs="Arial"/>
                            <w:sz w:val="12"/>
                            <w:szCs w:val="12"/>
                          </w:rPr>
                        </w:pPr>
                        <w:r>
                          <w:rPr>
                            <w:rFonts w:ascii="Arial" w:hAnsi="Arial" w:cs="Arial"/>
                            <w:sz w:val="12"/>
                            <w:szCs w:val="12"/>
                          </w:rPr>
                          <w:t>81</w:t>
                        </w:r>
                      </w:p>
                    </w:txbxContent>
                  </v:textbox>
                </v:shape>
              </w:pict>
            </w:r>
            <w:r>
              <w:rPr>
                <w:rFonts w:ascii="Arial" w:hAnsi="Arial" w:cs="Arial"/>
                <w:noProof/>
                <w:sz w:val="16"/>
                <w:szCs w:val="16"/>
                <w:lang w:eastAsia="es-EC"/>
              </w:rPr>
              <w:pict>
                <v:shape id="27 Cuadro de texto" o:spid="_x0000_s1961" type="#_x0000_t202" style="position:absolute;left:0;text-align:left;margin-left:195.25pt;margin-top:187.35pt;width:42pt;height:16.5pt;z-index:251786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" filled="f" stroked="f" strokeweight=".5pt">
                  <v:textbox style="mso-next-textbox:#27 Cuadro de texto">
                    <w:txbxContent>
                      <w:p w:rsidR="006933DF" w:rsidRPr="00A82FB7" w:rsidRDefault="006933DF" w:rsidP="00186911">
                        <w:pPr>
                          <w:rPr>
                            <w:rFonts w:ascii="Arial" w:hAnsi="Arial" w:cs="Arial"/>
                            <w:sz w:val="12"/>
                            <w:szCs w:val="12"/>
                          </w:rPr>
                        </w:pPr>
                        <w:r>
                          <w:rPr>
                            <w:rFonts w:ascii="Arial" w:hAnsi="Arial" w:cs="Arial"/>
                            <w:sz w:val="12"/>
                            <w:szCs w:val="12"/>
                          </w:rPr>
                          <w:t>346</w:t>
                        </w:r>
                      </w:p>
                    </w:txbxContent>
                  </v:textbox>
                </v:shape>
              </w:pict>
            </w:r>
            <w:r>
              <w:rPr>
                <w:rFonts w:ascii="Arial" w:hAnsi="Arial" w:cs="Arial"/>
                <w:noProof/>
                <w:sz w:val="16"/>
                <w:szCs w:val="16"/>
                <w:lang w:eastAsia="es-EC"/>
              </w:rPr>
              <w:pict>
                <v:shape id="23 Cuadro de texto" o:spid="_x0000_s1958" type="#_x0000_t202" style="position:absolute;left:0;text-align:left;margin-left:258.25pt;margin-top:106.35pt;width:42pt;height:16.5pt;z-index:251783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" filled="f" stroked="f" strokeweight=".5pt">
                  <v:textbox style="mso-next-textbox:#23 Cuadro de texto">
                    <w:txbxContent>
                      <w:p w:rsidR="006933DF" w:rsidRPr="00A82FB7" w:rsidRDefault="006933DF" w:rsidP="00186911">
                        <w:pPr>
                          <w:rPr>
                            <w:rFonts w:ascii="Arial" w:hAnsi="Arial" w:cs="Arial"/>
                            <w:sz w:val="12"/>
                            <w:szCs w:val="12"/>
                          </w:rPr>
                        </w:pPr>
                        <w:r>
                          <w:rPr>
                            <w:rFonts w:ascii="Arial" w:hAnsi="Arial" w:cs="Arial"/>
                            <w:sz w:val="12"/>
                            <w:szCs w:val="12"/>
                          </w:rPr>
                          <w:t>374</w:t>
                        </w:r>
                      </w:p>
                    </w:txbxContent>
                  </v:textbox>
                </v:shape>
              </w:pict>
            </w:r>
            <w:r>
              <w:rPr>
                <w:rFonts w:ascii="Arial" w:hAnsi="Arial" w:cs="Arial"/>
                <w:noProof/>
                <w:sz w:val="16"/>
                <w:szCs w:val="16"/>
                <w:lang w:eastAsia="es-EC"/>
              </w:rPr>
              <w:pict>
                <v:shape id="10 Cuadro de texto" o:spid="_x0000_s1946" type="#_x0000_t202" style="position:absolute;left:0;text-align:left;margin-left:226.75pt;margin-top:30.6pt;width:42pt;height:16.5pt;rotation:2175710fd;z-index:251771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" filled="f" stroked="f" strokeweight=".5pt">
                  <v:textbox style="mso-next-textbox:#10 Cuadro de texto">
                    <w:txbxContent>
                      <w:p w:rsidR="006933DF" w:rsidRPr="00A82FB7" w:rsidRDefault="006933DF" w:rsidP="00186911">
                        <w:pPr>
                          <w:rPr>
                            <w:rFonts w:ascii="Arial" w:hAnsi="Arial" w:cs="Arial"/>
                            <w:sz w:val="12"/>
                            <w:szCs w:val="12"/>
                          </w:rPr>
                        </w:pPr>
                        <w:r>
                          <w:rPr>
                            <w:rFonts w:ascii="Arial" w:hAnsi="Arial" w:cs="Arial"/>
                            <w:sz w:val="12"/>
                            <w:szCs w:val="12"/>
                          </w:rPr>
                          <w:t>113</w:t>
                        </w:r>
                      </w:p>
                    </w:txbxContent>
                  </v:textbox>
                </v:shape>
              </w:pict>
            </w:r>
            <w:r>
              <w:rPr>
                <w:rFonts w:ascii="Arial" w:hAnsi="Arial" w:cs="Arial"/>
                <w:noProof/>
                <w:sz w:val="16"/>
                <w:szCs w:val="16"/>
                <w:lang w:eastAsia="es-EC"/>
              </w:rPr>
              <w:pict>
                <v:shape id="17 Cuadro de texto" o:spid="_x0000_s1952" type="#_x0000_t202" style="position:absolute;left:0;text-align:left;margin-left:214.75pt;margin-top:38.5pt;width:42pt;height:16.5pt;z-index:25177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" filled="f" stroked="f" strokeweight=".5pt">
                  <v:textbox style="mso-next-textbox:#17 Cuadro de texto">
                    <w:txbxContent>
                      <w:p w:rsidR="006933DF" w:rsidRPr="00A82FB7" w:rsidRDefault="006933DF" w:rsidP="00186911">
                        <w:pPr>
                          <w:rPr>
                            <w:rFonts w:ascii="Arial" w:hAnsi="Arial" w:cs="Arial"/>
                            <w:sz w:val="12"/>
                            <w:szCs w:val="12"/>
                          </w:rPr>
                        </w:pPr>
                        <w:r>
                          <w:rPr>
                            <w:rFonts w:ascii="Arial" w:hAnsi="Arial" w:cs="Arial"/>
                            <w:sz w:val="12"/>
                            <w:szCs w:val="12"/>
                          </w:rPr>
                          <w:t>151</w:t>
                        </w:r>
                      </w:p>
                    </w:txbxContent>
                  </v:textbox>
                </v:shape>
              </w:pict>
            </w:r>
            <w:r>
              <w:rPr>
                <w:rFonts w:ascii="Arial" w:hAnsi="Arial" w:cs="Arial"/>
                <w:noProof/>
                <w:sz w:val="16"/>
                <w:szCs w:val="16"/>
                <w:lang w:eastAsia="es-EC"/>
              </w:rPr>
              <w:pict>
                <v:shape id="32 Cuadro de texto" o:spid="_x0000_s1966" type="#_x0000_t202" style="position:absolute;left:0;text-align:left;margin-left:7.75pt;margin-top:80.05pt;width:42pt;height:16.5pt;z-index:251791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" filled="f" stroked="f" strokeweight=".5pt">
                  <v:textbox style="mso-next-textbox:#32 Cuadro de texto">
                    <w:txbxContent>
                      <w:p w:rsidR="006933DF" w:rsidRPr="00A82FB7" w:rsidRDefault="006933DF" w:rsidP="00186911">
                        <w:pPr>
                          <w:rPr>
                            <w:rFonts w:ascii="Arial" w:hAnsi="Arial" w:cs="Arial"/>
                            <w:sz w:val="12"/>
                            <w:szCs w:val="12"/>
                          </w:rPr>
                        </w:pPr>
                        <w:r>
                          <w:rPr>
                            <w:rFonts w:ascii="Arial" w:hAnsi="Arial" w:cs="Arial"/>
                            <w:sz w:val="12"/>
                            <w:szCs w:val="12"/>
                          </w:rPr>
                          <w:t>626</w:t>
                        </w:r>
                      </w:p>
                    </w:txbxContent>
                  </v:textbox>
                </v:shape>
              </w:pict>
            </w:r>
            <w:r>
              <w:rPr>
                <w:rFonts w:ascii="Arial" w:hAnsi="Arial" w:cs="Arial"/>
                <w:noProof/>
                <w:sz w:val="16"/>
                <w:szCs w:val="16"/>
                <w:lang w:eastAsia="es-EC"/>
              </w:rPr>
              <w:pict>
                <v:shape id="28 Cuadro de texto" o:spid="_x0000_s1962" type="#_x0000_t202" style="position:absolute;left:0;text-align:left;margin-left:268.75pt;margin-top:50.85pt;width:42pt;height:16.5pt;z-index:251787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" filled="f" stroked="f" strokeweight=".5pt">
                  <v:textbox style="mso-next-textbox:#28 Cuadro de texto">
                    <w:txbxContent>
                      <w:p w:rsidR="006933DF" w:rsidRPr="00A82FB7" w:rsidRDefault="006933DF" w:rsidP="00186911">
                        <w:pPr>
                          <w:rPr>
                            <w:rFonts w:ascii="Arial" w:hAnsi="Arial" w:cs="Arial"/>
                            <w:sz w:val="12"/>
                            <w:szCs w:val="12"/>
                          </w:rPr>
                        </w:pPr>
                        <w:r>
                          <w:rPr>
                            <w:rFonts w:ascii="Arial" w:hAnsi="Arial" w:cs="Arial"/>
                            <w:sz w:val="12"/>
                            <w:szCs w:val="12"/>
                          </w:rPr>
                          <w:t>462</w:t>
                        </w:r>
                      </w:p>
                    </w:txbxContent>
                  </v:textbox>
                </v:shape>
              </w:pict>
            </w:r>
            <w:r>
              <w:rPr>
                <w:rFonts w:ascii="Arial" w:hAnsi="Arial" w:cs="Arial"/>
                <w:noProof/>
                <w:sz w:val="16"/>
                <w:szCs w:val="16"/>
                <w:lang w:eastAsia="es-EC"/>
              </w:rPr>
              <w:pict>
                <v:shape id="29 Cuadro de texto" o:spid="_x0000_s1963" type="#_x0000_t202" style="position:absolute;left:0;text-align:left;margin-left:274pt;margin-top:75.6pt;width:42pt;height:16.5pt;z-index:251788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" filled="f" stroked="f" strokeweight=".5pt">
                  <v:textbox style="mso-next-textbox:#29 Cuadro de texto">
                    <w:txbxContent>
                      <w:p w:rsidR="006933DF" w:rsidRPr="00A82FB7" w:rsidRDefault="006933DF" w:rsidP="00186911">
                        <w:pPr>
                          <w:rPr>
                            <w:rFonts w:ascii="Arial" w:hAnsi="Arial" w:cs="Arial"/>
                            <w:sz w:val="12"/>
                            <w:szCs w:val="12"/>
                          </w:rPr>
                        </w:pPr>
                        <w:r>
                          <w:rPr>
                            <w:rFonts w:ascii="Arial" w:hAnsi="Arial" w:cs="Arial"/>
                            <w:sz w:val="12"/>
                            <w:szCs w:val="12"/>
                          </w:rPr>
                          <w:t>462</w:t>
                        </w:r>
                      </w:p>
                    </w:txbxContent>
                  </v:textbox>
                </v:shape>
              </w:pict>
            </w:r>
            <w:r>
              <w:rPr>
                <w:rFonts w:ascii="Arial" w:hAnsi="Arial" w:cs="Arial"/>
                <w:noProof/>
                <w:sz w:val="16"/>
                <w:szCs w:val="16"/>
                <w:lang w:eastAsia="es-EC"/>
              </w:rPr>
              <w:pict>
                <v:shape id="21 Cuadro de texto" o:spid="_x0000_s1956" type="#_x0000_t202" style="position:absolute;left:0;text-align:left;margin-left:221.05pt;margin-top:132.6pt;width:42pt;height:16.5pt;z-index:25178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" filled="f" stroked="f" strokeweight=".5pt">
                  <v:textbox style="mso-next-textbox:#21 Cuadro de texto">
                    <w:txbxContent>
                      <w:p w:rsidR="006933DF" w:rsidRPr="00A82FB7" w:rsidRDefault="006933DF" w:rsidP="00186911">
                        <w:pPr>
                          <w:rPr>
                            <w:rFonts w:ascii="Arial" w:hAnsi="Arial" w:cs="Arial"/>
                            <w:sz w:val="12"/>
                            <w:szCs w:val="12"/>
                          </w:rPr>
                        </w:pPr>
                        <w:r>
                          <w:rPr>
                            <w:rFonts w:ascii="Arial" w:hAnsi="Arial" w:cs="Arial"/>
                            <w:sz w:val="12"/>
                            <w:szCs w:val="12"/>
                          </w:rPr>
                          <w:t>196</w:t>
                        </w:r>
                      </w:p>
                    </w:txbxContent>
                  </v:textbox>
                </v:shape>
              </w:pict>
            </w:r>
            <w:r>
              <w:rPr>
                <w:rFonts w:ascii="Arial" w:hAnsi="Arial" w:cs="Arial"/>
                <w:noProof/>
                <w:sz w:val="16"/>
                <w:szCs w:val="16"/>
                <w:lang w:eastAsia="es-EC"/>
              </w:rPr>
              <w:pict>
                <v:shape id="16 Cuadro de texto" o:spid="_x0000_s1951" type="#_x0000_t202" style="position:absolute;left:0;text-align:left;margin-left:156.55pt;margin-top:112.75pt;width:42pt;height:16.5pt;z-index:25177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" filled="f" stroked="f" strokeweight=".5pt">
                  <v:textbox style="mso-next-textbox:#16 Cuadro de texto">
                    <w:txbxContent>
                      <w:p w:rsidR="006933DF" w:rsidRPr="00A82FB7" w:rsidRDefault="006933DF" w:rsidP="00186911">
                        <w:pPr>
                          <w:rPr>
                            <w:rFonts w:ascii="Arial" w:hAnsi="Arial" w:cs="Arial"/>
                            <w:sz w:val="12"/>
                            <w:szCs w:val="12"/>
                          </w:rPr>
                        </w:pPr>
                        <w:r>
                          <w:rPr>
                            <w:rFonts w:ascii="Arial" w:hAnsi="Arial" w:cs="Arial"/>
                            <w:sz w:val="12"/>
                            <w:szCs w:val="12"/>
                          </w:rPr>
                          <w:t>200</w:t>
                        </w:r>
                      </w:p>
                    </w:txbxContent>
                  </v:textbox>
                </v:shape>
              </w:pict>
            </w:r>
            <w:r>
              <w:rPr>
                <w:rFonts w:ascii="Arial" w:hAnsi="Arial" w:cs="Arial"/>
                <w:noProof/>
                <w:sz w:val="16"/>
                <w:szCs w:val="16"/>
                <w:lang w:eastAsia="es-EC"/>
              </w:rPr>
              <w:pict>
                <v:shape id="31 Cuadro de texto" o:spid="_x0000_s1965" type="#_x0000_t202" style="position:absolute;left:0;text-align:left;margin-left:140.5pt;margin-top:123.6pt;width:42pt;height:16.5pt;z-index:25179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" filled="f" stroked="f" strokeweight=".5pt">
                  <v:textbox style="mso-next-textbox:#31 Cuadro de texto">
                    <w:txbxContent>
                      <w:p w:rsidR="006933DF" w:rsidRPr="00A82FB7" w:rsidRDefault="006933DF" w:rsidP="00186911">
                        <w:pPr>
                          <w:rPr>
                            <w:rFonts w:ascii="Arial" w:hAnsi="Arial" w:cs="Arial"/>
                            <w:sz w:val="12"/>
                            <w:szCs w:val="12"/>
                          </w:rPr>
                        </w:pPr>
                        <w:r>
                          <w:rPr>
                            <w:rFonts w:ascii="Arial" w:hAnsi="Arial" w:cs="Arial"/>
                            <w:sz w:val="12"/>
                            <w:szCs w:val="12"/>
                          </w:rPr>
                          <w:t>196</w:t>
                        </w:r>
                      </w:p>
                    </w:txbxContent>
                  </v:textbox>
                </v:shape>
              </w:pict>
            </w:r>
            <w:r>
              <w:rPr>
                <w:rFonts w:ascii="Arial" w:hAnsi="Arial" w:cs="Arial"/>
                <w:noProof/>
                <w:sz w:val="16"/>
                <w:szCs w:val="16"/>
                <w:lang w:eastAsia="es-EC"/>
              </w:rPr>
              <w:pict>
                <v:shape id="20 Cuadro de texto" o:spid="_x0000_s1955" type="#_x0000_t202" style="position:absolute;left:0;text-align:left;margin-left:151pt;margin-top:80.1pt;width:42pt;height:16.5pt;z-index:25178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" filled="f" stroked="f" strokeweight=".5pt">
                  <v:textbox style="mso-next-textbox:#20 Cuadro de texto">
                    <w:txbxContent>
                      <w:p w:rsidR="006933DF" w:rsidRPr="00A82FB7" w:rsidRDefault="006933DF" w:rsidP="00186911">
                        <w:pPr>
                          <w:rPr>
                            <w:rFonts w:ascii="Arial" w:hAnsi="Arial" w:cs="Arial"/>
                            <w:sz w:val="12"/>
                            <w:szCs w:val="12"/>
                          </w:rPr>
                        </w:pPr>
                        <w:r>
                          <w:rPr>
                            <w:rFonts w:ascii="Arial" w:hAnsi="Arial" w:cs="Arial"/>
                            <w:sz w:val="12"/>
                            <w:szCs w:val="12"/>
                          </w:rPr>
                          <w:t>62</w:t>
                        </w:r>
                      </w:p>
                    </w:txbxContent>
                  </v:textbox>
                </v:shape>
              </w:pict>
            </w:r>
            <w:r>
              <w:rPr>
                <w:rFonts w:ascii="Arial" w:hAnsi="Arial" w:cs="Arial"/>
                <w:noProof/>
                <w:sz w:val="16"/>
                <w:szCs w:val="16"/>
                <w:lang w:eastAsia="es-EC"/>
              </w:rPr>
              <w:pict>
                <v:shape id="14 Cuadro de texto" o:spid="_x0000_s1950" type="#_x0000_t202" style="position:absolute;left:0;text-align:left;margin-left:181.75pt;margin-top:30.6pt;width:42pt;height:16.5pt;z-index:25177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" filled="f" stroked="f" strokeweight=".5pt">
                  <v:textbox style="mso-next-textbox:#14 Cuadro de texto">
                    <w:txbxContent>
                      <w:p w:rsidR="006933DF" w:rsidRPr="00A82FB7" w:rsidRDefault="006933DF" w:rsidP="00186911">
                        <w:pPr>
                          <w:rPr>
                            <w:rFonts w:ascii="Arial" w:hAnsi="Arial" w:cs="Arial"/>
                            <w:sz w:val="12"/>
                            <w:szCs w:val="12"/>
                          </w:rPr>
                        </w:pPr>
                        <w:r>
                          <w:rPr>
                            <w:rFonts w:ascii="Arial" w:hAnsi="Arial" w:cs="Arial"/>
                            <w:sz w:val="12"/>
                            <w:szCs w:val="12"/>
                          </w:rPr>
                          <w:t>218</w:t>
                        </w:r>
                      </w:p>
                    </w:txbxContent>
                  </v:textbox>
                </v:shape>
              </w:pict>
            </w:r>
            <w:r>
              <w:rPr>
                <w:rFonts w:ascii="Arial" w:hAnsi="Arial" w:cs="Arial"/>
                <w:noProof/>
                <w:sz w:val="16"/>
                <w:szCs w:val="16"/>
                <w:lang w:eastAsia="es-EC"/>
              </w:rPr>
              <w:pict>
                <v:shape id="30 Cuadro de texto" o:spid="_x0000_s1964" type="#_x0000_t202" style="position:absolute;left:0;text-align:left;margin-left:185.5pt;margin-top:61.35pt;width:42pt;height:16.5pt;z-index:25178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" filled="f" stroked="f" strokeweight=".5pt">
                  <v:textbox style="mso-next-textbox:#30 Cuadro de texto">
                    <w:txbxContent>
                      <w:p w:rsidR="006933DF" w:rsidRPr="00A82FB7" w:rsidRDefault="006933DF" w:rsidP="00186911">
                        <w:pPr>
                          <w:rPr>
                            <w:rFonts w:ascii="Arial" w:hAnsi="Arial" w:cs="Arial"/>
                            <w:sz w:val="12"/>
                            <w:szCs w:val="12"/>
                          </w:rPr>
                        </w:pPr>
                        <w:r>
                          <w:rPr>
                            <w:rFonts w:ascii="Arial" w:hAnsi="Arial" w:cs="Arial"/>
                            <w:sz w:val="12"/>
                            <w:szCs w:val="12"/>
                          </w:rPr>
                          <w:t>477</w:t>
                        </w:r>
                      </w:p>
                    </w:txbxContent>
                  </v:textbox>
                </v:shape>
              </w:pict>
            </w:r>
            <w:r>
              <w:rPr>
                <w:rFonts w:ascii="Arial" w:hAnsi="Arial" w:cs="Arial"/>
                <w:noProof/>
                <w:sz w:val="16"/>
                <w:szCs w:val="16"/>
                <w:lang w:eastAsia="es-EC"/>
              </w:rPr>
              <w:pict>
                <v:shape id="24 Cuadro de texto" o:spid="_x0000_s1959" type="#_x0000_t202" style="position:absolute;left:0;text-align:left;margin-left:205.75pt;margin-top:55.75pt;width:42pt;height:16.5pt;z-index:251784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" filled="f" stroked="f" strokeweight=".5pt">
                  <v:textbox style="mso-next-textbox:#24 Cuadro de texto">
                    <w:txbxContent>
                      <w:p w:rsidR="006933DF" w:rsidRPr="00A82FB7" w:rsidRDefault="006933DF" w:rsidP="00186911">
                        <w:pPr>
                          <w:rPr>
                            <w:rFonts w:ascii="Arial" w:hAnsi="Arial" w:cs="Arial"/>
                            <w:sz w:val="12"/>
                            <w:szCs w:val="12"/>
                          </w:rPr>
                        </w:pPr>
                        <w:r>
                          <w:rPr>
                            <w:rFonts w:ascii="Arial" w:hAnsi="Arial" w:cs="Arial"/>
                            <w:sz w:val="12"/>
                            <w:szCs w:val="12"/>
                          </w:rPr>
                          <w:t>312</w:t>
                        </w:r>
                      </w:p>
                    </w:txbxContent>
                  </v:textbox>
                </v:shape>
              </w:pict>
            </w:r>
            <w:r>
              <w:rPr>
                <w:rFonts w:ascii="Arial" w:hAnsi="Arial" w:cs="Arial"/>
                <w:noProof/>
                <w:sz w:val="16"/>
                <w:szCs w:val="16"/>
                <w:lang w:eastAsia="es-EC"/>
              </w:rPr>
              <w:pict>
                <v:shape id="11 Cuadro de texto" o:spid="_x0000_s1947" type="#_x0000_t202" style="position:absolute;left:0;text-align:left;margin-left:196.75pt;margin-top:81.15pt;width:42pt;height:16.5pt;z-index:25177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" filled="f" stroked="f" strokeweight=".5pt">
                  <v:textbox style="mso-next-textbox:#11 Cuadro de texto">
                    <w:txbxContent>
                      <w:p w:rsidR="006933DF" w:rsidRPr="00A82FB7" w:rsidRDefault="006933DF" w:rsidP="00186911">
                        <w:pPr>
                          <w:rPr>
                            <w:rFonts w:ascii="Arial" w:hAnsi="Arial" w:cs="Arial"/>
                            <w:sz w:val="12"/>
                            <w:szCs w:val="12"/>
                          </w:rPr>
                        </w:pPr>
                        <w:r>
                          <w:rPr>
                            <w:rFonts w:ascii="Arial" w:hAnsi="Arial" w:cs="Arial"/>
                            <w:sz w:val="12"/>
                            <w:szCs w:val="12"/>
                          </w:rPr>
                          <w:t>131</w:t>
                        </w:r>
                      </w:p>
                    </w:txbxContent>
                  </v:textbox>
                </v:shape>
              </w:pict>
            </w:r>
            <w:r>
              <w:rPr>
                <w:rFonts w:ascii="Arial" w:hAnsi="Arial" w:cs="Arial"/>
                <w:noProof/>
                <w:sz w:val="16"/>
                <w:szCs w:val="16"/>
                <w:lang w:eastAsia="es-EC"/>
              </w:rPr>
              <w:pict>
                <v:shape id="19 Cuadro de texto" o:spid="_x0000_s1954" type="#_x0000_t202" style="position:absolute;left:0;text-align:left;margin-left:176.85pt;margin-top:101.9pt;width:31.55pt;height:13.35pt;rotation:-90;z-index:25177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" filled="f" stroked="f" strokeweight=".5pt">
                  <v:textbox style="layout-flow:vertical;mso-layout-flow-alt:bottom-to-top;mso-next-textbox:#19 Cuadro de texto">
                    <w:txbxContent>
                      <w:p w:rsidR="006933DF" w:rsidRPr="00A82FB7" w:rsidRDefault="006933DF" w:rsidP="00186911">
                        <w:pPr>
                          <w:rPr>
                            <w:rFonts w:ascii="Arial" w:hAnsi="Arial" w:cs="Arial"/>
                            <w:sz w:val="12"/>
                            <w:szCs w:val="12"/>
                          </w:rPr>
                        </w:pPr>
                        <w:r>
                          <w:rPr>
                            <w:rFonts w:ascii="Arial" w:hAnsi="Arial" w:cs="Arial"/>
                            <w:sz w:val="12"/>
                            <w:szCs w:val="12"/>
                          </w:rPr>
                          <w:t>195</w:t>
                        </w:r>
                      </w:p>
                    </w:txbxContent>
                  </v:textbox>
                </v:shape>
              </w:pict>
            </w:r>
            <w:r>
              <w:rPr>
                <w:rFonts w:ascii="Arial" w:hAnsi="Arial" w:cs="Arial"/>
                <w:noProof/>
                <w:sz w:val="16"/>
                <w:szCs w:val="16"/>
                <w:lang w:eastAsia="es-EC"/>
              </w:rPr>
              <w:pict>
                <v:shape id="8 Cuadro de texto" o:spid="_x0000_s1944" type="#_x0000_t202" style="position:absolute;left:0;text-align:left;margin-left:189.25pt;margin-top:101.85pt;width:42pt;height:16.5pt;rotation:-5689846fd;z-index:25176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" filled="f" stroked="f" strokeweight=".5pt">
                  <v:textbox style="layout-flow:vertical;mso-layout-flow-alt:bottom-to-top;mso-next-textbox:#8 Cuadro de texto">
                    <w:txbxContent>
                      <w:p w:rsidR="006933DF" w:rsidRPr="00A82FB7" w:rsidRDefault="006933DF" w:rsidP="00186911">
                        <w:pPr>
                          <w:rPr>
                            <w:rFonts w:ascii="Arial" w:hAnsi="Arial" w:cs="Arial"/>
                            <w:sz w:val="12"/>
                            <w:szCs w:val="12"/>
                          </w:rPr>
                        </w:pPr>
                        <w:r>
                          <w:rPr>
                            <w:rFonts w:ascii="Arial" w:hAnsi="Arial" w:cs="Arial"/>
                            <w:sz w:val="12"/>
                            <w:szCs w:val="12"/>
                          </w:rPr>
                          <w:t>106</w:t>
                        </w:r>
                      </w:p>
                    </w:txbxContent>
                  </v:textbox>
                </v:shape>
              </w:pict>
            </w:r>
            <w:r w:rsidR="00186911">
              <w:rPr>
                <w:noProof/>
                <w:lang w:eastAsia="es-EC"/>
              </w:rPr>
              <w:drawing>
                <wp:inline distT="0" distB="0" distL="0" distR="0">
                  <wp:extent cx="4676775" cy="2882900"/>
                  <wp:effectExtent l="0" t="0" r="9525" b="0"/>
                  <wp:docPr id="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6775" cy="2882900"/>
                          </a:xfrm>
                          <a:prstGeom prst="rect">
                            <a:avLst/>
                          </a:prstGeom>
                        </pic:spPr>
                      </pic:pic>
                    </a:graphicData>
                  </a:graphic>
                </wp:inline>
              </w:drawing>
            </w:r>
          </w:p>
        </w:tc>
      </w:tr>
    </w:tbl>
    <w:p w:rsidR="00186911" w:rsidRPr="001E4BBD" w:rsidRDefault="00186911" w:rsidP="00186911">
      <w:pPr>
        <w:pStyle w:val="Prrafodelista"/>
        <w:spacing w:line="276" w:lineRule="auto"/>
        <w:ind w:left="851"/>
        <w:jc w:val="both"/>
        <w:rPr>
          <w:rFonts w:ascii="Arial" w:hAnsi="Arial" w:cs="Arial"/>
          <w:sz w:val="17"/>
          <w:szCs w:val="17"/>
        </w:rPr>
      </w:pPr>
    </w:p>
    <w:p w:rsidR="00186911" w:rsidRPr="001E4BBD" w:rsidRDefault="00186911" w:rsidP="00186911">
      <w:pPr>
        <w:pStyle w:val="Prrafodelista"/>
        <w:spacing w:line="276" w:lineRule="auto"/>
        <w:ind w:left="851"/>
        <w:jc w:val="both"/>
        <w:rPr>
          <w:rFonts w:ascii="Arial" w:hAnsi="Arial" w:cs="Arial"/>
          <w:sz w:val="17"/>
          <w:szCs w:val="17"/>
        </w:rPr>
      </w:pPr>
      <w:r w:rsidRPr="001E4BBD">
        <w:rPr>
          <w:rFonts w:ascii="Arial" w:hAnsi="Arial" w:cs="Arial"/>
          <w:b/>
          <w:i/>
          <w:sz w:val="17"/>
          <w:szCs w:val="17"/>
        </w:rPr>
        <w:t>Fuente:</w:t>
      </w:r>
      <w:r w:rsidRPr="001E4BBD">
        <w:rPr>
          <w:rFonts w:ascii="Arial" w:hAnsi="Arial" w:cs="Arial"/>
          <w:sz w:val="17"/>
          <w:szCs w:val="17"/>
        </w:rPr>
        <w:t xml:space="preserve"> </w:t>
      </w:r>
      <w:r w:rsidRPr="001E4BBD">
        <w:rPr>
          <w:rFonts w:ascii="Arial" w:hAnsi="Arial" w:cs="Arial"/>
          <w:b/>
          <w:sz w:val="17"/>
          <w:szCs w:val="17"/>
        </w:rPr>
        <w:t xml:space="preserve">INEC </w:t>
      </w:r>
      <w:r w:rsidRPr="001E4BBD">
        <w:rPr>
          <w:rFonts w:ascii="Arial" w:hAnsi="Arial" w:cs="Arial"/>
          <w:sz w:val="17"/>
          <w:szCs w:val="17"/>
        </w:rPr>
        <w:t>(2010), Base de Datos del VII Censo de Población y VI de Vivienda.</w:t>
      </w:r>
    </w:p>
    <w:p w:rsidR="00186911" w:rsidRPr="00480AFA" w:rsidRDefault="00186911" w:rsidP="00186911">
      <w:pPr>
        <w:pStyle w:val="Prrafodelista"/>
        <w:spacing w:line="276" w:lineRule="auto"/>
        <w:ind w:left="851"/>
        <w:jc w:val="both"/>
        <w:rPr>
          <w:rFonts w:ascii="Arial" w:hAnsi="Arial" w:cs="Arial"/>
          <w:sz w:val="18"/>
          <w:szCs w:val="18"/>
        </w:rPr>
      </w:pPr>
      <w:r w:rsidRPr="001E4BBD">
        <w:rPr>
          <w:rFonts w:ascii="Arial" w:hAnsi="Arial" w:cs="Arial"/>
          <w:b/>
          <w:i/>
          <w:sz w:val="17"/>
          <w:szCs w:val="17"/>
        </w:rPr>
        <w:t>Elaborado por:</w:t>
      </w:r>
      <w:r w:rsidRPr="001E4BBD">
        <w:rPr>
          <w:rFonts w:ascii="Arial" w:hAnsi="Arial" w:cs="Arial"/>
          <w:sz w:val="17"/>
          <w:szCs w:val="17"/>
        </w:rPr>
        <w:t xml:space="preserve"> Katherine Loor Valeriano</w:t>
      </w:r>
    </w:p>
    <w:p w:rsidR="00E03F66" w:rsidRDefault="00E03F66" w:rsidP="00042652">
      <w:pPr>
        <w:pStyle w:val="Prrafodelista"/>
        <w:spacing w:line="480" w:lineRule="auto"/>
        <w:ind w:left="851"/>
        <w:jc w:val="both"/>
        <w:rPr>
          <w:rFonts w:ascii="Arial" w:hAnsi="Arial" w:cs="Arial"/>
        </w:rPr>
      </w:pPr>
    </w:p>
    <w:p w:rsidR="00D26219" w:rsidRDefault="00D26219" w:rsidP="00042652">
      <w:pPr>
        <w:pStyle w:val="Prrafodelista"/>
        <w:spacing w:line="480" w:lineRule="auto"/>
        <w:ind w:left="851"/>
        <w:jc w:val="both"/>
        <w:rPr>
          <w:rFonts w:ascii="Arial" w:hAnsi="Arial" w:cs="Arial"/>
        </w:rPr>
      </w:pPr>
      <w:r>
        <w:rPr>
          <w:rFonts w:ascii="Arial" w:hAnsi="Arial" w:cs="Arial"/>
        </w:rPr>
        <w:lastRenderedPageBreak/>
        <w:t>Es así que, p</w:t>
      </w:r>
      <w:r w:rsidRPr="00C9307E">
        <w:rPr>
          <w:rFonts w:ascii="Arial" w:hAnsi="Arial" w:cs="Arial"/>
        </w:rPr>
        <w:t xml:space="preserve">ara el año 2010, se detectó que el 62.60% de la población </w:t>
      </w:r>
      <w:r>
        <w:rPr>
          <w:rFonts w:ascii="Arial" w:hAnsi="Arial" w:cs="Arial"/>
        </w:rPr>
        <w:t xml:space="preserve">residente </w:t>
      </w:r>
      <w:r w:rsidRPr="00C9307E">
        <w:rPr>
          <w:rFonts w:ascii="Arial" w:hAnsi="Arial" w:cs="Arial"/>
        </w:rPr>
        <w:t>e</w:t>
      </w:r>
      <w:r>
        <w:rPr>
          <w:rFonts w:ascii="Arial" w:hAnsi="Arial" w:cs="Arial"/>
        </w:rPr>
        <w:t>n la provincia de Galápagos estaba</w:t>
      </w:r>
      <w:r w:rsidRPr="00C9307E">
        <w:rPr>
          <w:rFonts w:ascii="Arial" w:hAnsi="Arial" w:cs="Arial"/>
        </w:rPr>
        <w:t xml:space="preserve"> constituida por inmigrantes, siendo </w:t>
      </w:r>
      <w:r w:rsidR="00595268">
        <w:rPr>
          <w:rFonts w:ascii="Arial" w:hAnsi="Arial" w:cs="Arial"/>
        </w:rPr>
        <w:t>e</w:t>
      </w:r>
      <w:r w:rsidRPr="00C9307E">
        <w:rPr>
          <w:rFonts w:ascii="Arial" w:hAnsi="Arial" w:cs="Arial"/>
        </w:rPr>
        <w:t>sta la provincia con mayor presencia de inmigrantes</w:t>
      </w:r>
      <w:r>
        <w:rPr>
          <w:rFonts w:ascii="Arial" w:hAnsi="Arial" w:cs="Arial"/>
        </w:rPr>
        <w:t>;</w:t>
      </w:r>
      <w:r w:rsidRPr="00C9307E">
        <w:rPr>
          <w:rFonts w:ascii="Arial" w:hAnsi="Arial" w:cs="Arial"/>
        </w:rPr>
        <w:t xml:space="preserve"> </w:t>
      </w:r>
      <w:r>
        <w:rPr>
          <w:rFonts w:ascii="Arial" w:hAnsi="Arial" w:cs="Arial"/>
        </w:rPr>
        <w:t xml:space="preserve">mostrándose además que </w:t>
      </w:r>
      <w:r w:rsidRPr="00C9307E">
        <w:rPr>
          <w:rFonts w:ascii="Arial" w:hAnsi="Arial" w:cs="Arial"/>
        </w:rPr>
        <w:t xml:space="preserve">alrededor del 18.30% de la población </w:t>
      </w:r>
      <w:r>
        <w:rPr>
          <w:rFonts w:ascii="Arial" w:hAnsi="Arial" w:cs="Arial"/>
        </w:rPr>
        <w:t>residente en esta provincia es nativa del</w:t>
      </w:r>
      <w:r w:rsidRPr="00C9307E">
        <w:rPr>
          <w:rFonts w:ascii="Arial" w:hAnsi="Arial" w:cs="Arial"/>
        </w:rPr>
        <w:t xml:space="preserve"> Guayas</w:t>
      </w:r>
      <w:r w:rsidR="00595268">
        <w:rPr>
          <w:rFonts w:ascii="Arial" w:hAnsi="Arial" w:cs="Arial"/>
        </w:rPr>
        <w:t>;</w:t>
      </w:r>
      <w:r w:rsidRPr="00C9307E">
        <w:rPr>
          <w:rFonts w:ascii="Arial" w:hAnsi="Arial" w:cs="Arial"/>
        </w:rPr>
        <w:t xml:space="preserve"> cabe mencionar que </w:t>
      </w:r>
      <w:r w:rsidR="00595268">
        <w:rPr>
          <w:rFonts w:ascii="Arial" w:hAnsi="Arial" w:cs="Arial"/>
        </w:rPr>
        <w:t>en</w:t>
      </w:r>
      <w:r w:rsidRPr="00C9307E">
        <w:rPr>
          <w:rFonts w:ascii="Arial" w:hAnsi="Arial" w:cs="Arial"/>
        </w:rPr>
        <w:t xml:space="preserve"> el </w:t>
      </w:r>
      <w:r>
        <w:rPr>
          <w:rFonts w:ascii="Arial" w:hAnsi="Arial" w:cs="Arial"/>
        </w:rPr>
        <w:t xml:space="preserve">año </w:t>
      </w:r>
      <w:r w:rsidRPr="00C9307E">
        <w:rPr>
          <w:rFonts w:ascii="Arial" w:hAnsi="Arial" w:cs="Arial"/>
        </w:rPr>
        <w:t xml:space="preserve">2001 presentaba un escenario </w:t>
      </w:r>
      <w:r>
        <w:rPr>
          <w:rFonts w:ascii="Arial" w:hAnsi="Arial" w:cs="Arial"/>
        </w:rPr>
        <w:t>similar,</w:t>
      </w:r>
      <w:r w:rsidRPr="00C9307E">
        <w:rPr>
          <w:rFonts w:ascii="Arial" w:hAnsi="Arial" w:cs="Arial"/>
        </w:rPr>
        <w:t xml:space="preserve"> pues el total de inmigrantes residente</w:t>
      </w:r>
      <w:r>
        <w:rPr>
          <w:rFonts w:ascii="Arial" w:hAnsi="Arial" w:cs="Arial"/>
        </w:rPr>
        <w:t>s en la provincia representaban el 63.18% de la población total</w:t>
      </w:r>
      <w:r w:rsidRPr="00C9307E">
        <w:rPr>
          <w:rFonts w:ascii="Arial" w:hAnsi="Arial" w:cs="Arial"/>
        </w:rPr>
        <w:t xml:space="preserve">. A su vez, Galápagos ha expulsado alrededor del 21.40% de su población hasta el </w:t>
      </w:r>
      <w:r>
        <w:rPr>
          <w:rFonts w:ascii="Arial" w:hAnsi="Arial" w:cs="Arial"/>
        </w:rPr>
        <w:t xml:space="preserve">año </w:t>
      </w:r>
      <w:r w:rsidRPr="00C9307E">
        <w:rPr>
          <w:rFonts w:ascii="Arial" w:hAnsi="Arial" w:cs="Arial"/>
        </w:rPr>
        <w:t>2010</w:t>
      </w:r>
      <w:r w:rsidR="00595268">
        <w:rPr>
          <w:rFonts w:ascii="Arial" w:hAnsi="Arial" w:cs="Arial"/>
        </w:rPr>
        <w:t>;</w:t>
      </w:r>
      <w:r w:rsidRPr="00C9307E">
        <w:rPr>
          <w:rFonts w:ascii="Arial" w:hAnsi="Arial" w:cs="Arial"/>
        </w:rPr>
        <w:t xml:space="preserve"> mientras que en el 2001</w:t>
      </w:r>
      <w:r w:rsidR="00595268">
        <w:rPr>
          <w:rFonts w:ascii="Arial" w:hAnsi="Arial" w:cs="Arial"/>
        </w:rPr>
        <w:t>,</w:t>
      </w:r>
      <w:r w:rsidRPr="00C9307E">
        <w:rPr>
          <w:rFonts w:ascii="Arial" w:hAnsi="Arial" w:cs="Arial"/>
        </w:rPr>
        <w:t xml:space="preserve"> esta provincia expulsaba alrededor de 207 personas por cada 1000 nacidos en la provincia, los cuales vieron como destinos atractivos a Guayas y Pichincha. </w:t>
      </w:r>
    </w:p>
    <w:p w:rsidR="00042652" w:rsidRPr="00C9307E" w:rsidRDefault="00042652" w:rsidP="00042652">
      <w:pPr>
        <w:pStyle w:val="Prrafodelista"/>
        <w:spacing w:line="480" w:lineRule="auto"/>
        <w:ind w:left="851"/>
        <w:jc w:val="both"/>
        <w:rPr>
          <w:rFonts w:ascii="Arial" w:hAnsi="Arial" w:cs="Arial"/>
        </w:rPr>
      </w:pPr>
    </w:p>
    <w:p w:rsidR="00D26219" w:rsidRDefault="00C525F3" w:rsidP="00042652">
      <w:pPr>
        <w:pStyle w:val="Prrafodelista"/>
        <w:spacing w:line="480" w:lineRule="auto"/>
        <w:ind w:left="851"/>
        <w:jc w:val="both"/>
        <w:rPr>
          <w:rFonts w:ascii="Arial" w:hAnsi="Arial" w:cs="Arial"/>
          <w:i/>
        </w:rPr>
      </w:pPr>
      <w:r>
        <w:rPr>
          <w:rFonts w:ascii="Arial" w:hAnsi="Arial" w:cs="Arial"/>
        </w:rPr>
        <w:t>En Guayas, hasta</w:t>
      </w:r>
      <w:r w:rsidR="00D26219" w:rsidRPr="00C9307E">
        <w:rPr>
          <w:rFonts w:ascii="Arial" w:hAnsi="Arial" w:cs="Arial"/>
        </w:rPr>
        <w:t xml:space="preserve"> el </w:t>
      </w:r>
      <w:r w:rsidR="00D26219">
        <w:rPr>
          <w:rFonts w:ascii="Arial" w:hAnsi="Arial" w:cs="Arial"/>
        </w:rPr>
        <w:t xml:space="preserve">año </w:t>
      </w:r>
      <w:r w:rsidR="00D26219" w:rsidRPr="00C9307E">
        <w:rPr>
          <w:rFonts w:ascii="Arial" w:hAnsi="Arial" w:cs="Arial"/>
        </w:rPr>
        <w:t xml:space="preserve">2001 </w:t>
      </w:r>
      <w:r w:rsidR="00D26219">
        <w:rPr>
          <w:rFonts w:ascii="Arial" w:hAnsi="Arial" w:cs="Arial"/>
        </w:rPr>
        <w:t>el</w:t>
      </w:r>
      <w:r w:rsidR="00D26219" w:rsidRPr="00C9307E">
        <w:rPr>
          <w:rFonts w:ascii="Arial" w:hAnsi="Arial" w:cs="Arial"/>
        </w:rPr>
        <w:t xml:space="preserve"> 20.68% de su población residente eran inmigrantes </w:t>
      </w:r>
      <w:r w:rsidR="00D26219">
        <w:rPr>
          <w:rFonts w:ascii="Arial" w:hAnsi="Arial" w:cs="Arial"/>
        </w:rPr>
        <w:t>nacidos en otras provincias del Ecuador que</w:t>
      </w:r>
      <w:r w:rsidR="00D26219" w:rsidRPr="00C9307E">
        <w:rPr>
          <w:rFonts w:ascii="Arial" w:hAnsi="Arial" w:cs="Arial"/>
        </w:rPr>
        <w:t xml:space="preserve"> provenían mayoritar</w:t>
      </w:r>
      <w:r w:rsidR="00D26219">
        <w:rPr>
          <w:rFonts w:ascii="Arial" w:hAnsi="Arial" w:cs="Arial"/>
        </w:rPr>
        <w:t>iamente desde Manabí, Los Ríos</w:t>
      </w:r>
      <w:r w:rsidR="00595268">
        <w:rPr>
          <w:rFonts w:ascii="Arial" w:hAnsi="Arial" w:cs="Arial"/>
        </w:rPr>
        <w:t xml:space="preserve"> y</w:t>
      </w:r>
      <w:r w:rsidR="00D26219">
        <w:rPr>
          <w:rFonts w:ascii="Arial" w:hAnsi="Arial" w:cs="Arial"/>
        </w:rPr>
        <w:t xml:space="preserve"> </w:t>
      </w:r>
      <w:r w:rsidR="00D26219" w:rsidRPr="00C9307E">
        <w:rPr>
          <w:rFonts w:ascii="Arial" w:hAnsi="Arial" w:cs="Arial"/>
        </w:rPr>
        <w:t xml:space="preserve">otras; ya para el 2010 estaba constituido por un 20% de inmigrantes; acogiendo en mayor cantidad a </w:t>
      </w:r>
      <w:r w:rsidR="00595268">
        <w:rPr>
          <w:rFonts w:ascii="Arial" w:hAnsi="Arial" w:cs="Arial"/>
        </w:rPr>
        <w:t>personas</w:t>
      </w:r>
      <w:r w:rsidR="00D26219" w:rsidRPr="00C9307E">
        <w:rPr>
          <w:rFonts w:ascii="Arial" w:hAnsi="Arial" w:cs="Arial"/>
        </w:rPr>
        <w:t xml:space="preserve"> procedentes de Manabí, de donde obtenemos que 74 por cada 1000 residentes del Guayas son manabitas</w:t>
      </w:r>
      <w:r w:rsidR="00595268">
        <w:rPr>
          <w:rFonts w:ascii="Arial" w:hAnsi="Arial" w:cs="Arial"/>
        </w:rPr>
        <w:t>;</w:t>
      </w:r>
      <w:r w:rsidR="00D26219" w:rsidRPr="00C9307E">
        <w:rPr>
          <w:rFonts w:ascii="Arial" w:hAnsi="Arial" w:cs="Arial"/>
        </w:rPr>
        <w:t xml:space="preserve"> también ha sido una provincia muy atractiva para los fluminense encontrándose alrededor de 41 habitantes de Los Ríos por </w:t>
      </w:r>
      <w:r w:rsidR="00D26219">
        <w:rPr>
          <w:rFonts w:ascii="Arial" w:hAnsi="Arial" w:cs="Arial"/>
        </w:rPr>
        <w:t>cada 1000 personas que residen en el Guayas</w:t>
      </w:r>
      <w:r w:rsidR="00595268">
        <w:rPr>
          <w:rFonts w:ascii="Arial" w:hAnsi="Arial" w:cs="Arial"/>
        </w:rPr>
        <w:t>. E</w:t>
      </w:r>
      <w:r w:rsidR="00D26219" w:rsidRPr="00C9307E">
        <w:rPr>
          <w:rFonts w:ascii="Arial" w:hAnsi="Arial" w:cs="Arial"/>
        </w:rPr>
        <w:t xml:space="preserve">n lo que a emigración se refiere, </w:t>
      </w:r>
      <w:r w:rsidR="00595268">
        <w:rPr>
          <w:rFonts w:ascii="Arial" w:hAnsi="Arial" w:cs="Arial"/>
        </w:rPr>
        <w:t>e</w:t>
      </w:r>
      <w:r w:rsidR="00D26219" w:rsidRPr="00C9307E">
        <w:rPr>
          <w:rFonts w:ascii="Arial" w:hAnsi="Arial" w:cs="Arial"/>
        </w:rPr>
        <w:t>sta provincia s</w:t>
      </w:r>
      <w:r w:rsidR="00595268">
        <w:rPr>
          <w:rFonts w:ascii="Arial" w:hAnsi="Arial" w:cs="Arial"/>
        </w:rPr>
        <w:t>o</w:t>
      </w:r>
      <w:r w:rsidR="00D26219" w:rsidRPr="00C9307E">
        <w:rPr>
          <w:rFonts w:ascii="Arial" w:hAnsi="Arial" w:cs="Arial"/>
        </w:rPr>
        <w:t xml:space="preserve">lo ha expulsado al 8.60% de las personas que han nacido en ella, siendo la provincia con </w:t>
      </w:r>
      <w:r w:rsidR="00D26219">
        <w:rPr>
          <w:rFonts w:ascii="Arial" w:hAnsi="Arial" w:cs="Arial"/>
        </w:rPr>
        <w:t xml:space="preserve">la segunda </w:t>
      </w:r>
      <w:r w:rsidR="00D26219" w:rsidRPr="00C9307E">
        <w:rPr>
          <w:rFonts w:ascii="Arial" w:hAnsi="Arial" w:cs="Arial"/>
        </w:rPr>
        <w:t xml:space="preserve">tasa </w:t>
      </w:r>
      <w:r w:rsidR="00D26219">
        <w:rPr>
          <w:rFonts w:ascii="Arial" w:hAnsi="Arial" w:cs="Arial"/>
        </w:rPr>
        <w:t xml:space="preserve">más alta </w:t>
      </w:r>
      <w:r w:rsidR="00D26219" w:rsidRPr="00C9307E">
        <w:rPr>
          <w:rFonts w:ascii="Arial" w:hAnsi="Arial" w:cs="Arial"/>
        </w:rPr>
        <w:t xml:space="preserve">de </w:t>
      </w:r>
      <w:r w:rsidR="00595268">
        <w:rPr>
          <w:rFonts w:ascii="Arial" w:hAnsi="Arial" w:cs="Arial"/>
        </w:rPr>
        <w:t>“</w:t>
      </w:r>
      <w:r w:rsidR="00D26219" w:rsidRPr="00C9307E">
        <w:rPr>
          <w:rFonts w:ascii="Arial" w:hAnsi="Arial" w:cs="Arial"/>
        </w:rPr>
        <w:t>retención</w:t>
      </w:r>
      <w:r w:rsidR="00595268">
        <w:rPr>
          <w:rFonts w:ascii="Arial" w:hAnsi="Arial" w:cs="Arial"/>
        </w:rPr>
        <w:t>”</w:t>
      </w:r>
      <w:r w:rsidR="00D26219" w:rsidRPr="00C9307E">
        <w:rPr>
          <w:rFonts w:ascii="Arial" w:hAnsi="Arial" w:cs="Arial"/>
        </w:rPr>
        <w:t xml:space="preserve"> de población; mientras que en 2001 era la provincia que mayor población retenía </w:t>
      </w:r>
      <w:r w:rsidR="00D26219">
        <w:rPr>
          <w:rFonts w:ascii="Arial" w:hAnsi="Arial" w:cs="Arial"/>
        </w:rPr>
        <w:t xml:space="preserve">presentando una </w:t>
      </w:r>
      <w:r w:rsidR="00D26219" w:rsidRPr="00C9307E">
        <w:rPr>
          <w:rFonts w:ascii="Arial" w:hAnsi="Arial" w:cs="Arial"/>
        </w:rPr>
        <w:t xml:space="preserve">tasa de </w:t>
      </w:r>
      <w:r w:rsidR="00D26219" w:rsidRPr="00C9307E">
        <w:rPr>
          <w:rFonts w:ascii="Arial" w:hAnsi="Arial" w:cs="Arial"/>
        </w:rPr>
        <w:lastRenderedPageBreak/>
        <w:t xml:space="preserve">emigración </w:t>
      </w:r>
      <w:r w:rsidR="00D26219">
        <w:rPr>
          <w:rFonts w:ascii="Arial" w:hAnsi="Arial" w:cs="Arial"/>
        </w:rPr>
        <w:t>de</w:t>
      </w:r>
      <w:r w:rsidR="00D26219" w:rsidRPr="00C9307E">
        <w:rPr>
          <w:rFonts w:ascii="Arial" w:hAnsi="Arial" w:cs="Arial"/>
        </w:rPr>
        <w:t xml:space="preserve"> 73.31 personas por cada 1000 nacidos en Guayas. </w:t>
      </w:r>
      <w:r w:rsidR="00D26219" w:rsidRPr="00BF044E">
        <w:rPr>
          <w:rFonts w:ascii="Arial" w:hAnsi="Arial" w:cs="Arial"/>
          <w:i/>
        </w:rPr>
        <w:t>Véase Tabla 2.</w:t>
      </w:r>
      <w:r>
        <w:rPr>
          <w:rFonts w:ascii="Arial" w:hAnsi="Arial" w:cs="Arial"/>
          <w:i/>
        </w:rPr>
        <w:t>3</w:t>
      </w:r>
      <w:r w:rsidR="00D26219" w:rsidRPr="00BF044E">
        <w:rPr>
          <w:rFonts w:ascii="Arial" w:hAnsi="Arial" w:cs="Arial"/>
          <w:i/>
        </w:rPr>
        <w:t>.</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D26219" w:rsidRPr="00840530" w:rsidTr="003C24A8">
        <w:trPr>
          <w:trHeight w:val="3515"/>
          <w:jc w:val="right"/>
        </w:trPr>
        <w:tc>
          <w:tcPr>
            <w:tcW w:w="7535" w:type="dxa"/>
          </w:tcPr>
          <w:p w:rsidR="00D26219" w:rsidRPr="00840530" w:rsidRDefault="00D26219" w:rsidP="003F1262">
            <w:pPr>
              <w:rPr>
                <w:rFonts w:ascii="Arial" w:hAnsi="Arial" w:cs="Arial"/>
                <w:sz w:val="16"/>
                <w:szCs w:val="16"/>
              </w:rPr>
            </w:pPr>
          </w:p>
          <w:p w:rsidR="00D26219" w:rsidRPr="00D26219" w:rsidRDefault="00D26219" w:rsidP="00D26219">
            <w:pPr>
              <w:keepNext/>
              <w:rPr>
                <w:rFonts w:ascii="Arial" w:hAnsi="Arial" w:cs="Arial"/>
                <w:b/>
                <w:sz w:val="16"/>
                <w:szCs w:val="16"/>
              </w:rPr>
            </w:pPr>
            <w:bookmarkStart w:id="215" w:name="_Toc341041578"/>
            <w:r>
              <w:rPr>
                <w:rFonts w:ascii="Arial" w:hAnsi="Arial" w:cs="Arial"/>
                <w:b/>
                <w:sz w:val="16"/>
                <w:szCs w:val="16"/>
              </w:rPr>
              <w:t>Tabla</w:t>
            </w:r>
            <w:r w:rsidR="00B271F4">
              <w:rPr>
                <w:rFonts w:ascii="Arial" w:hAnsi="Arial" w:cs="Arial"/>
                <w:b/>
                <w:sz w:val="16"/>
                <w:szCs w:val="16"/>
              </w:rPr>
              <w:t xml:space="preserve"> </w:t>
            </w:r>
            <w:r>
              <w:rPr>
                <w:rFonts w:ascii="Arial" w:hAnsi="Arial" w:cs="Arial"/>
                <w:b/>
                <w:sz w:val="16"/>
                <w:szCs w:val="16"/>
              </w:rPr>
              <w:t>2.</w:t>
            </w:r>
            <w:r w:rsidR="00990535" w:rsidRPr="00D26219">
              <w:rPr>
                <w:rFonts w:ascii="Arial" w:hAnsi="Arial" w:cs="Arial"/>
                <w:b/>
                <w:sz w:val="16"/>
                <w:szCs w:val="16"/>
              </w:rPr>
              <w:fldChar w:fldCharType="begin"/>
            </w:r>
            <w:r w:rsidRPr="00D26219">
              <w:rPr>
                <w:rFonts w:ascii="Arial" w:hAnsi="Arial" w:cs="Arial"/>
                <w:b/>
                <w:sz w:val="16"/>
                <w:szCs w:val="16"/>
              </w:rPr>
              <w:instrText xml:space="preserve"> SEQ Tabla2. \* ARABIC </w:instrText>
            </w:r>
            <w:r w:rsidR="00990535" w:rsidRPr="00D26219">
              <w:rPr>
                <w:rFonts w:ascii="Arial" w:hAnsi="Arial" w:cs="Arial"/>
                <w:b/>
                <w:sz w:val="16"/>
                <w:szCs w:val="16"/>
              </w:rPr>
              <w:fldChar w:fldCharType="separate"/>
            </w:r>
            <w:r w:rsidR="00A242E0">
              <w:rPr>
                <w:rFonts w:ascii="Arial" w:hAnsi="Arial" w:cs="Arial"/>
                <w:b/>
                <w:noProof/>
                <w:sz w:val="16"/>
                <w:szCs w:val="16"/>
              </w:rPr>
              <w:t>3</w:t>
            </w:r>
            <w:bookmarkEnd w:id="215"/>
            <w:r w:rsidR="00990535" w:rsidRPr="00D26219">
              <w:rPr>
                <w:rFonts w:ascii="Arial" w:hAnsi="Arial" w:cs="Arial"/>
                <w:b/>
                <w:sz w:val="16"/>
                <w:szCs w:val="16"/>
              </w:rPr>
              <w:fldChar w:fldCharType="end"/>
            </w:r>
          </w:p>
          <w:p w:rsidR="00D26219" w:rsidRDefault="003C24A8" w:rsidP="003F1262">
            <w:pPr>
              <w:rPr>
                <w:rFonts w:ascii="Arial" w:hAnsi="Arial" w:cs="Arial"/>
                <w:b/>
                <w:sz w:val="16"/>
                <w:szCs w:val="16"/>
              </w:rPr>
            </w:pPr>
            <w:r>
              <w:rPr>
                <w:rFonts w:ascii="Arial" w:hAnsi="Arial" w:cs="Arial"/>
                <w:b/>
                <w:i/>
                <w:sz w:val="16"/>
                <w:szCs w:val="16"/>
              </w:rPr>
              <w:t>Guayas</w:t>
            </w:r>
            <w:r w:rsidRPr="00042652">
              <w:rPr>
                <w:rFonts w:ascii="Arial" w:hAnsi="Arial" w:cs="Arial"/>
                <w:b/>
                <w:i/>
                <w:sz w:val="16"/>
                <w:szCs w:val="16"/>
              </w:rPr>
              <w:t xml:space="preserve"> 2010:</w:t>
            </w:r>
            <w:r>
              <w:rPr>
                <w:rFonts w:ascii="Arial" w:hAnsi="Arial" w:cs="Arial"/>
                <w:i/>
                <w:sz w:val="16"/>
                <w:szCs w:val="16"/>
              </w:rPr>
              <w:t xml:space="preserve"> </w:t>
            </w:r>
            <w:r w:rsidR="00D26219" w:rsidRPr="00B10DE8">
              <w:rPr>
                <w:rFonts w:ascii="Arial" w:hAnsi="Arial" w:cs="Arial"/>
                <w:i/>
                <w:sz w:val="16"/>
                <w:szCs w:val="16"/>
              </w:rPr>
              <w:t xml:space="preserve">Tasa de Inmigración por cada 1000 habitantes </w:t>
            </w:r>
          </w:p>
          <w:p w:rsidR="00D26219" w:rsidRDefault="00D26219" w:rsidP="003F1262">
            <w:pPr>
              <w:rPr>
                <w:rFonts w:ascii="Arial" w:hAnsi="Arial" w:cs="Arial"/>
                <w:b/>
                <w:sz w:val="16"/>
                <w:szCs w:val="16"/>
              </w:rPr>
            </w:pPr>
          </w:p>
          <w:tbl>
            <w:tblPr>
              <w:tblW w:w="6067" w:type="dxa"/>
              <w:jc w:val="center"/>
              <w:tblCellMar>
                <w:left w:w="70" w:type="dxa"/>
                <w:right w:w="70" w:type="dxa"/>
              </w:tblCellMar>
              <w:tblLook w:val="04A0" w:firstRow="1" w:lastRow="0" w:firstColumn="1" w:lastColumn="0" w:noHBand="0" w:noVBand="1"/>
            </w:tblPr>
            <w:tblGrid>
              <w:gridCol w:w="1757"/>
              <w:gridCol w:w="1191"/>
              <w:gridCol w:w="1928"/>
              <w:gridCol w:w="1191"/>
            </w:tblGrid>
            <w:tr w:rsidR="00D26219" w:rsidRPr="00B86B28" w:rsidTr="003F1262">
              <w:trPr>
                <w:trHeight w:val="20"/>
                <w:jc w:val="center"/>
              </w:trPr>
              <w:tc>
                <w:tcPr>
                  <w:tcW w:w="1757" w:type="dxa"/>
                  <w:tcBorders>
                    <w:top w:val="single" w:sz="4" w:space="0" w:color="auto"/>
                    <w:left w:val="nil"/>
                    <w:bottom w:val="single" w:sz="4" w:space="0" w:color="auto"/>
                    <w:right w:val="nil"/>
                  </w:tcBorders>
                  <w:shd w:val="clear" w:color="auto" w:fill="auto"/>
                  <w:vAlign w:val="center"/>
                  <w:hideMark/>
                </w:tcPr>
                <w:p w:rsidR="00D26219" w:rsidRPr="00B86B28" w:rsidRDefault="00D26219" w:rsidP="003F1262">
                  <w:pPr>
                    <w:rPr>
                      <w:rFonts w:ascii="Arial" w:eastAsia="Times New Roman" w:hAnsi="Arial" w:cs="Arial"/>
                      <w:b/>
                      <w:bCs/>
                      <w:sz w:val="16"/>
                      <w:szCs w:val="16"/>
                      <w:lang w:eastAsia="es-EC"/>
                    </w:rPr>
                  </w:pPr>
                  <w:r w:rsidRPr="00B86B28">
                    <w:rPr>
                      <w:rFonts w:ascii="Arial" w:eastAsia="Times New Roman" w:hAnsi="Arial" w:cs="Arial"/>
                      <w:b/>
                      <w:bCs/>
                      <w:sz w:val="16"/>
                      <w:szCs w:val="16"/>
                      <w:lang w:eastAsia="es-EC"/>
                    </w:rPr>
                    <w:t>Provincia de Nacimiento</w:t>
                  </w:r>
                </w:p>
              </w:tc>
              <w:tc>
                <w:tcPr>
                  <w:tcW w:w="1191" w:type="dxa"/>
                  <w:tcBorders>
                    <w:top w:val="single" w:sz="4" w:space="0" w:color="auto"/>
                    <w:left w:val="nil"/>
                    <w:bottom w:val="single" w:sz="4" w:space="0" w:color="auto"/>
                    <w:right w:val="nil"/>
                  </w:tcBorders>
                  <w:shd w:val="clear" w:color="auto" w:fill="auto"/>
                  <w:vAlign w:val="center"/>
                  <w:hideMark/>
                </w:tcPr>
                <w:p w:rsidR="00D26219" w:rsidRPr="00B86B28" w:rsidRDefault="00D26219" w:rsidP="003F1262">
                  <w:pPr>
                    <w:rPr>
                      <w:rFonts w:ascii="Arial" w:eastAsia="Times New Roman" w:hAnsi="Arial" w:cs="Arial"/>
                      <w:b/>
                      <w:bCs/>
                      <w:sz w:val="16"/>
                      <w:szCs w:val="16"/>
                      <w:lang w:eastAsia="es-EC"/>
                    </w:rPr>
                  </w:pPr>
                  <w:r w:rsidRPr="00B86B28">
                    <w:rPr>
                      <w:rFonts w:ascii="Arial" w:eastAsia="Times New Roman" w:hAnsi="Arial" w:cs="Arial"/>
                      <w:b/>
                      <w:bCs/>
                      <w:sz w:val="16"/>
                      <w:szCs w:val="16"/>
                      <w:lang w:eastAsia="es-EC"/>
                    </w:rPr>
                    <w:t>Tasa de Inmigración</w:t>
                  </w:r>
                </w:p>
              </w:tc>
              <w:tc>
                <w:tcPr>
                  <w:tcW w:w="1928" w:type="dxa"/>
                  <w:tcBorders>
                    <w:top w:val="single" w:sz="4" w:space="0" w:color="auto"/>
                    <w:left w:val="single" w:sz="4" w:space="0" w:color="auto"/>
                    <w:bottom w:val="single" w:sz="4" w:space="0" w:color="auto"/>
                    <w:right w:val="nil"/>
                  </w:tcBorders>
                  <w:shd w:val="clear" w:color="auto" w:fill="auto"/>
                  <w:vAlign w:val="center"/>
                  <w:hideMark/>
                </w:tcPr>
                <w:p w:rsidR="00D26219" w:rsidRPr="00B86B28" w:rsidRDefault="00D26219" w:rsidP="003F1262">
                  <w:pPr>
                    <w:rPr>
                      <w:rFonts w:ascii="Arial" w:eastAsia="Times New Roman" w:hAnsi="Arial" w:cs="Arial"/>
                      <w:b/>
                      <w:bCs/>
                      <w:sz w:val="16"/>
                      <w:szCs w:val="16"/>
                      <w:lang w:eastAsia="es-EC"/>
                    </w:rPr>
                  </w:pPr>
                  <w:r w:rsidRPr="00B86B28">
                    <w:rPr>
                      <w:rFonts w:ascii="Arial" w:eastAsia="Times New Roman" w:hAnsi="Arial" w:cs="Arial"/>
                      <w:b/>
                      <w:bCs/>
                      <w:sz w:val="16"/>
                      <w:szCs w:val="16"/>
                      <w:lang w:eastAsia="es-EC"/>
                    </w:rPr>
                    <w:t>Provincia de Nacimiento</w:t>
                  </w:r>
                </w:p>
              </w:tc>
              <w:tc>
                <w:tcPr>
                  <w:tcW w:w="1191" w:type="dxa"/>
                  <w:tcBorders>
                    <w:top w:val="single" w:sz="4" w:space="0" w:color="auto"/>
                    <w:left w:val="nil"/>
                    <w:bottom w:val="single" w:sz="4" w:space="0" w:color="auto"/>
                    <w:right w:val="nil"/>
                  </w:tcBorders>
                  <w:shd w:val="clear" w:color="auto" w:fill="auto"/>
                  <w:vAlign w:val="center"/>
                  <w:hideMark/>
                </w:tcPr>
                <w:p w:rsidR="00D26219" w:rsidRPr="00B86B28" w:rsidRDefault="00D26219" w:rsidP="003F1262">
                  <w:pPr>
                    <w:rPr>
                      <w:rFonts w:ascii="Arial" w:eastAsia="Times New Roman" w:hAnsi="Arial" w:cs="Arial"/>
                      <w:b/>
                      <w:bCs/>
                      <w:sz w:val="16"/>
                      <w:szCs w:val="16"/>
                      <w:lang w:eastAsia="es-EC"/>
                    </w:rPr>
                  </w:pPr>
                  <w:r w:rsidRPr="00B86B28">
                    <w:rPr>
                      <w:rFonts w:ascii="Arial" w:eastAsia="Times New Roman" w:hAnsi="Arial" w:cs="Arial"/>
                      <w:b/>
                      <w:bCs/>
                      <w:sz w:val="16"/>
                      <w:szCs w:val="16"/>
                      <w:lang w:eastAsia="es-EC"/>
                    </w:rPr>
                    <w:t>Tasa de Inmigración</w:t>
                  </w:r>
                </w:p>
              </w:tc>
            </w:tr>
            <w:tr w:rsidR="00D26219" w:rsidRPr="00B86B28" w:rsidTr="003F1262">
              <w:trPr>
                <w:trHeight w:val="20"/>
                <w:jc w:val="center"/>
              </w:trPr>
              <w:tc>
                <w:tcPr>
                  <w:tcW w:w="1757" w:type="dxa"/>
                  <w:tcBorders>
                    <w:top w:val="nil"/>
                    <w:left w:val="nil"/>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Azuay</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8.18</w:t>
                  </w:r>
                </w:p>
              </w:tc>
              <w:tc>
                <w:tcPr>
                  <w:tcW w:w="1928" w:type="dxa"/>
                  <w:tcBorders>
                    <w:top w:val="nil"/>
                    <w:left w:val="single" w:sz="4" w:space="0" w:color="auto"/>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Morona Santiago</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0.30</w:t>
                  </w:r>
                </w:p>
              </w:tc>
            </w:tr>
            <w:tr w:rsidR="00D26219" w:rsidRPr="00B86B28" w:rsidTr="003F1262">
              <w:trPr>
                <w:trHeight w:val="20"/>
                <w:jc w:val="center"/>
              </w:trPr>
              <w:tc>
                <w:tcPr>
                  <w:tcW w:w="1757" w:type="dxa"/>
                  <w:tcBorders>
                    <w:top w:val="nil"/>
                    <w:left w:val="nil"/>
                    <w:bottom w:val="nil"/>
                    <w:right w:val="nil"/>
                  </w:tcBorders>
                  <w:shd w:val="clear" w:color="auto" w:fill="auto"/>
                  <w:noWrap/>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Bolívar</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3.97</w:t>
                  </w:r>
                </w:p>
              </w:tc>
              <w:tc>
                <w:tcPr>
                  <w:tcW w:w="1928" w:type="dxa"/>
                  <w:tcBorders>
                    <w:top w:val="nil"/>
                    <w:left w:val="single" w:sz="4" w:space="0" w:color="auto"/>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Napo</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0.20</w:t>
                  </w:r>
                </w:p>
              </w:tc>
            </w:tr>
            <w:tr w:rsidR="00D26219" w:rsidRPr="00B86B28" w:rsidTr="003F1262">
              <w:trPr>
                <w:trHeight w:val="20"/>
                <w:jc w:val="center"/>
              </w:trPr>
              <w:tc>
                <w:tcPr>
                  <w:tcW w:w="1757" w:type="dxa"/>
                  <w:tcBorders>
                    <w:top w:val="nil"/>
                    <w:left w:val="nil"/>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Cañar</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4.16</w:t>
                  </w:r>
                </w:p>
              </w:tc>
              <w:tc>
                <w:tcPr>
                  <w:tcW w:w="1928" w:type="dxa"/>
                  <w:tcBorders>
                    <w:top w:val="nil"/>
                    <w:left w:val="single" w:sz="4" w:space="0" w:color="auto"/>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Pastaza</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0.20</w:t>
                  </w:r>
                </w:p>
              </w:tc>
            </w:tr>
            <w:tr w:rsidR="00D26219" w:rsidRPr="00B86B28" w:rsidTr="003F1262">
              <w:trPr>
                <w:trHeight w:val="20"/>
                <w:jc w:val="center"/>
              </w:trPr>
              <w:tc>
                <w:tcPr>
                  <w:tcW w:w="1757" w:type="dxa"/>
                  <w:tcBorders>
                    <w:top w:val="nil"/>
                    <w:left w:val="nil"/>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Carchi</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1.23</w:t>
                  </w:r>
                </w:p>
              </w:tc>
              <w:tc>
                <w:tcPr>
                  <w:tcW w:w="1928" w:type="dxa"/>
                  <w:tcBorders>
                    <w:top w:val="nil"/>
                    <w:left w:val="single" w:sz="4" w:space="0" w:color="auto"/>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Pichincha</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6.18</w:t>
                  </w:r>
                </w:p>
              </w:tc>
            </w:tr>
            <w:tr w:rsidR="00D26219" w:rsidRPr="00B86B28" w:rsidTr="003F1262">
              <w:trPr>
                <w:trHeight w:val="20"/>
                <w:jc w:val="center"/>
              </w:trPr>
              <w:tc>
                <w:tcPr>
                  <w:tcW w:w="1757" w:type="dxa"/>
                  <w:tcBorders>
                    <w:top w:val="nil"/>
                    <w:left w:val="nil"/>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Cotopaxi</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1.45</w:t>
                  </w:r>
                </w:p>
              </w:tc>
              <w:tc>
                <w:tcPr>
                  <w:tcW w:w="1928" w:type="dxa"/>
                  <w:tcBorders>
                    <w:top w:val="nil"/>
                    <w:left w:val="single" w:sz="4" w:space="0" w:color="auto"/>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Tungurahua</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4.23</w:t>
                  </w:r>
                </w:p>
              </w:tc>
            </w:tr>
            <w:tr w:rsidR="00D26219" w:rsidRPr="00B86B28" w:rsidTr="003F1262">
              <w:trPr>
                <w:trHeight w:val="20"/>
                <w:jc w:val="center"/>
              </w:trPr>
              <w:tc>
                <w:tcPr>
                  <w:tcW w:w="1757" w:type="dxa"/>
                  <w:tcBorders>
                    <w:top w:val="nil"/>
                    <w:left w:val="nil"/>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Chimborazo</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14.8</w:t>
                  </w:r>
                </w:p>
              </w:tc>
              <w:tc>
                <w:tcPr>
                  <w:tcW w:w="1928" w:type="dxa"/>
                  <w:tcBorders>
                    <w:top w:val="nil"/>
                    <w:left w:val="single" w:sz="4" w:space="0" w:color="auto"/>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Zamora Chinchipe</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0.25</w:t>
                  </w:r>
                </w:p>
              </w:tc>
            </w:tr>
            <w:tr w:rsidR="00D26219" w:rsidRPr="00B86B28" w:rsidTr="003F1262">
              <w:trPr>
                <w:trHeight w:val="20"/>
                <w:jc w:val="center"/>
              </w:trPr>
              <w:tc>
                <w:tcPr>
                  <w:tcW w:w="1757" w:type="dxa"/>
                  <w:tcBorders>
                    <w:top w:val="nil"/>
                    <w:left w:val="nil"/>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El Oro</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9.43</w:t>
                  </w:r>
                </w:p>
              </w:tc>
              <w:tc>
                <w:tcPr>
                  <w:tcW w:w="1928" w:type="dxa"/>
                  <w:tcBorders>
                    <w:top w:val="nil"/>
                    <w:left w:val="single" w:sz="4" w:space="0" w:color="auto"/>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Galápagos</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0.28</w:t>
                  </w:r>
                </w:p>
              </w:tc>
            </w:tr>
            <w:tr w:rsidR="00D26219" w:rsidRPr="00B86B28" w:rsidTr="003F1262">
              <w:trPr>
                <w:trHeight w:val="20"/>
                <w:jc w:val="center"/>
              </w:trPr>
              <w:tc>
                <w:tcPr>
                  <w:tcW w:w="1757" w:type="dxa"/>
                  <w:tcBorders>
                    <w:top w:val="nil"/>
                    <w:left w:val="nil"/>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Esmeraldas</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16.00</w:t>
                  </w:r>
                </w:p>
              </w:tc>
              <w:tc>
                <w:tcPr>
                  <w:tcW w:w="1928" w:type="dxa"/>
                  <w:tcBorders>
                    <w:top w:val="nil"/>
                    <w:left w:val="single" w:sz="4" w:space="0" w:color="auto"/>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Sucumbíos</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0.34</w:t>
                  </w:r>
                </w:p>
              </w:tc>
            </w:tr>
            <w:tr w:rsidR="00D26219" w:rsidRPr="00B86B28" w:rsidTr="003F1262">
              <w:trPr>
                <w:trHeight w:val="20"/>
                <w:jc w:val="center"/>
              </w:trPr>
              <w:tc>
                <w:tcPr>
                  <w:tcW w:w="1757" w:type="dxa"/>
                  <w:tcBorders>
                    <w:top w:val="nil"/>
                    <w:left w:val="nil"/>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Imbabura</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0.91</w:t>
                  </w:r>
                </w:p>
              </w:tc>
              <w:tc>
                <w:tcPr>
                  <w:tcW w:w="1928" w:type="dxa"/>
                  <w:tcBorders>
                    <w:top w:val="nil"/>
                    <w:left w:val="single" w:sz="4" w:space="0" w:color="auto"/>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Orellana</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0.15</w:t>
                  </w:r>
                </w:p>
              </w:tc>
            </w:tr>
            <w:tr w:rsidR="00D26219" w:rsidRPr="00B86B28" w:rsidTr="003F1262">
              <w:trPr>
                <w:trHeight w:val="20"/>
                <w:jc w:val="center"/>
              </w:trPr>
              <w:tc>
                <w:tcPr>
                  <w:tcW w:w="1757" w:type="dxa"/>
                  <w:tcBorders>
                    <w:top w:val="nil"/>
                    <w:left w:val="nil"/>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Loja</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5.10</w:t>
                  </w:r>
                </w:p>
              </w:tc>
              <w:tc>
                <w:tcPr>
                  <w:tcW w:w="1928" w:type="dxa"/>
                  <w:tcBorders>
                    <w:top w:val="nil"/>
                    <w:left w:val="single" w:sz="4" w:space="0" w:color="auto"/>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Santo Domingo</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2.05</w:t>
                  </w:r>
                </w:p>
              </w:tc>
            </w:tr>
            <w:tr w:rsidR="00D26219" w:rsidRPr="00B86B28" w:rsidTr="003F1262">
              <w:trPr>
                <w:trHeight w:val="20"/>
                <w:jc w:val="center"/>
              </w:trPr>
              <w:tc>
                <w:tcPr>
                  <w:tcW w:w="1757" w:type="dxa"/>
                  <w:tcBorders>
                    <w:top w:val="nil"/>
                    <w:left w:val="nil"/>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Los Ríos</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40.7</w:t>
                  </w:r>
                </w:p>
              </w:tc>
              <w:tc>
                <w:tcPr>
                  <w:tcW w:w="1928" w:type="dxa"/>
                  <w:tcBorders>
                    <w:top w:val="nil"/>
                    <w:left w:val="single" w:sz="4" w:space="0" w:color="auto"/>
                    <w:bottom w:val="nil"/>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Santa Elena</w:t>
                  </w:r>
                </w:p>
              </w:tc>
              <w:tc>
                <w:tcPr>
                  <w:tcW w:w="1191" w:type="dxa"/>
                  <w:tcBorders>
                    <w:top w:val="nil"/>
                    <w:left w:val="nil"/>
                    <w:bottom w:val="nil"/>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6.19</w:t>
                  </w:r>
                </w:p>
              </w:tc>
            </w:tr>
            <w:tr w:rsidR="00D26219" w:rsidRPr="00B86B28" w:rsidTr="003F1262">
              <w:trPr>
                <w:trHeight w:val="20"/>
                <w:jc w:val="center"/>
              </w:trPr>
              <w:tc>
                <w:tcPr>
                  <w:tcW w:w="1757" w:type="dxa"/>
                  <w:tcBorders>
                    <w:top w:val="nil"/>
                    <w:left w:val="nil"/>
                    <w:bottom w:val="single" w:sz="4" w:space="0" w:color="auto"/>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Manabí</w:t>
                  </w:r>
                </w:p>
              </w:tc>
              <w:tc>
                <w:tcPr>
                  <w:tcW w:w="1191" w:type="dxa"/>
                  <w:tcBorders>
                    <w:top w:val="nil"/>
                    <w:left w:val="nil"/>
                    <w:bottom w:val="single" w:sz="4" w:space="0" w:color="auto"/>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74.00</w:t>
                  </w:r>
                </w:p>
              </w:tc>
              <w:tc>
                <w:tcPr>
                  <w:tcW w:w="1928" w:type="dxa"/>
                  <w:tcBorders>
                    <w:top w:val="nil"/>
                    <w:left w:val="single" w:sz="4" w:space="0" w:color="auto"/>
                    <w:bottom w:val="single" w:sz="4" w:space="0" w:color="auto"/>
                    <w:right w:val="nil"/>
                  </w:tcBorders>
                  <w:shd w:val="clear" w:color="auto" w:fill="auto"/>
                  <w:vAlign w:val="center"/>
                  <w:hideMark/>
                </w:tcPr>
                <w:p w:rsidR="00D26219" w:rsidRPr="00B86B28" w:rsidRDefault="00D26219" w:rsidP="007D7A28">
                  <w:pPr>
                    <w:jc w:val="left"/>
                    <w:rPr>
                      <w:rFonts w:ascii="Arial" w:eastAsia="Times New Roman" w:hAnsi="Arial" w:cs="Arial"/>
                      <w:sz w:val="16"/>
                      <w:szCs w:val="16"/>
                      <w:lang w:eastAsia="es-EC"/>
                    </w:rPr>
                  </w:pPr>
                  <w:r w:rsidRPr="00B86B28">
                    <w:rPr>
                      <w:rFonts w:ascii="Arial" w:eastAsia="Times New Roman" w:hAnsi="Arial" w:cs="Arial"/>
                      <w:sz w:val="16"/>
                      <w:szCs w:val="16"/>
                      <w:lang w:eastAsia="es-EC"/>
                    </w:rPr>
                    <w:t>Zonas No Delimitadas</w:t>
                  </w:r>
                </w:p>
              </w:tc>
              <w:tc>
                <w:tcPr>
                  <w:tcW w:w="1191" w:type="dxa"/>
                  <w:tcBorders>
                    <w:top w:val="nil"/>
                    <w:left w:val="nil"/>
                    <w:bottom w:val="single" w:sz="4" w:space="0" w:color="auto"/>
                    <w:right w:val="nil"/>
                  </w:tcBorders>
                  <w:shd w:val="clear" w:color="auto" w:fill="auto"/>
                  <w:noWrap/>
                  <w:vAlign w:val="center"/>
                  <w:hideMark/>
                </w:tcPr>
                <w:p w:rsidR="00D26219" w:rsidRPr="00B86B28" w:rsidRDefault="00D26219" w:rsidP="003F1262">
                  <w:pPr>
                    <w:rPr>
                      <w:rFonts w:ascii="Arial" w:eastAsia="Times New Roman" w:hAnsi="Arial" w:cs="Arial"/>
                      <w:sz w:val="16"/>
                      <w:szCs w:val="16"/>
                      <w:lang w:eastAsia="es-EC"/>
                    </w:rPr>
                  </w:pPr>
                  <w:r w:rsidRPr="00B86B28">
                    <w:rPr>
                      <w:rFonts w:ascii="Arial" w:eastAsia="Times New Roman" w:hAnsi="Arial" w:cs="Arial"/>
                      <w:sz w:val="16"/>
                      <w:szCs w:val="16"/>
                      <w:lang w:eastAsia="es-EC"/>
                    </w:rPr>
                    <w:t>0.02</w:t>
                  </w:r>
                </w:p>
              </w:tc>
            </w:tr>
          </w:tbl>
          <w:p w:rsidR="00D26219" w:rsidRPr="00840530" w:rsidRDefault="00D26219" w:rsidP="003F1262">
            <w:pPr>
              <w:ind w:left="7"/>
              <w:rPr>
                <w:rFonts w:ascii="Arial" w:hAnsi="Arial" w:cs="Arial"/>
                <w:sz w:val="24"/>
                <w:szCs w:val="24"/>
              </w:rPr>
            </w:pPr>
          </w:p>
        </w:tc>
      </w:tr>
    </w:tbl>
    <w:p w:rsidR="00D26219" w:rsidRPr="003C24A8" w:rsidRDefault="00D26219" w:rsidP="003C24A8">
      <w:pPr>
        <w:pStyle w:val="Prrafodelista"/>
        <w:spacing w:line="276" w:lineRule="auto"/>
        <w:ind w:left="851"/>
        <w:jc w:val="both"/>
        <w:rPr>
          <w:rFonts w:ascii="Arial" w:hAnsi="Arial" w:cs="Arial"/>
          <w:b/>
          <w:i/>
          <w:sz w:val="17"/>
          <w:szCs w:val="17"/>
        </w:rPr>
      </w:pPr>
    </w:p>
    <w:p w:rsidR="00D26219" w:rsidRPr="003C24A8" w:rsidRDefault="00D26219" w:rsidP="003C24A8">
      <w:pPr>
        <w:pStyle w:val="Prrafodelista"/>
        <w:spacing w:line="276" w:lineRule="auto"/>
        <w:ind w:left="851"/>
        <w:jc w:val="both"/>
        <w:rPr>
          <w:rFonts w:ascii="Arial" w:hAnsi="Arial" w:cs="Arial"/>
          <w:sz w:val="17"/>
          <w:szCs w:val="17"/>
        </w:rPr>
      </w:pPr>
      <w:r w:rsidRPr="003C24A8">
        <w:rPr>
          <w:rFonts w:ascii="Arial" w:hAnsi="Arial" w:cs="Arial"/>
          <w:b/>
          <w:i/>
          <w:sz w:val="17"/>
          <w:szCs w:val="17"/>
        </w:rPr>
        <w:t>Fuente:</w:t>
      </w:r>
      <w:r w:rsidRPr="003C24A8">
        <w:rPr>
          <w:rFonts w:ascii="Arial" w:hAnsi="Arial" w:cs="Arial"/>
          <w:sz w:val="17"/>
          <w:szCs w:val="17"/>
        </w:rPr>
        <w:t xml:space="preserve"> </w:t>
      </w:r>
      <w:r w:rsidRPr="003C24A8">
        <w:rPr>
          <w:rFonts w:ascii="Arial" w:hAnsi="Arial" w:cs="Arial"/>
          <w:b/>
          <w:sz w:val="17"/>
          <w:szCs w:val="17"/>
        </w:rPr>
        <w:t xml:space="preserve">INEC </w:t>
      </w:r>
      <w:r w:rsidRPr="003C24A8">
        <w:rPr>
          <w:rFonts w:ascii="Arial" w:hAnsi="Arial" w:cs="Arial"/>
          <w:sz w:val="17"/>
          <w:szCs w:val="17"/>
        </w:rPr>
        <w:t>(2010), Base de Datos del VII Censo de Población y VI de Vivienda.</w:t>
      </w:r>
    </w:p>
    <w:p w:rsidR="00D26219" w:rsidRPr="003C24A8" w:rsidRDefault="00D26219" w:rsidP="003C24A8">
      <w:pPr>
        <w:pStyle w:val="Prrafodelista"/>
        <w:spacing w:line="276" w:lineRule="auto"/>
        <w:ind w:left="851"/>
        <w:jc w:val="both"/>
        <w:rPr>
          <w:rFonts w:ascii="Arial" w:hAnsi="Arial" w:cs="Arial"/>
          <w:sz w:val="17"/>
          <w:szCs w:val="17"/>
        </w:rPr>
      </w:pPr>
      <w:r w:rsidRPr="003C24A8">
        <w:rPr>
          <w:rFonts w:ascii="Arial" w:hAnsi="Arial" w:cs="Arial"/>
          <w:b/>
          <w:i/>
          <w:sz w:val="17"/>
          <w:szCs w:val="17"/>
        </w:rPr>
        <w:t>Elaborado por:</w:t>
      </w:r>
      <w:r w:rsidRPr="003C24A8">
        <w:rPr>
          <w:rFonts w:ascii="Arial" w:hAnsi="Arial" w:cs="Arial"/>
          <w:sz w:val="17"/>
          <w:szCs w:val="17"/>
        </w:rPr>
        <w:t xml:space="preserve"> Katherine Loor Valeriano</w:t>
      </w:r>
    </w:p>
    <w:p w:rsidR="001F62BB" w:rsidRDefault="001F62BB" w:rsidP="003C24A8">
      <w:pPr>
        <w:pStyle w:val="Prrafodelista"/>
        <w:spacing w:line="480" w:lineRule="auto"/>
        <w:ind w:left="851"/>
        <w:jc w:val="both"/>
        <w:rPr>
          <w:rFonts w:ascii="Arial" w:hAnsi="Arial" w:cs="Arial"/>
        </w:rPr>
      </w:pPr>
    </w:p>
    <w:p w:rsidR="00C525F3" w:rsidRDefault="00C525F3" w:rsidP="00C525F3">
      <w:pPr>
        <w:pStyle w:val="Prrafodelista"/>
        <w:spacing w:line="480" w:lineRule="auto"/>
        <w:ind w:left="851"/>
        <w:jc w:val="both"/>
        <w:rPr>
          <w:rFonts w:ascii="Arial" w:hAnsi="Arial" w:cs="Arial"/>
        </w:rPr>
      </w:pPr>
      <w:r w:rsidRPr="00F04D9C">
        <w:rPr>
          <w:rFonts w:ascii="Arial" w:hAnsi="Arial" w:cs="Arial"/>
        </w:rPr>
        <w:t xml:space="preserve">Por otra parte, Pichincha </w:t>
      </w:r>
      <w:r>
        <w:rPr>
          <w:rFonts w:ascii="Arial" w:hAnsi="Arial" w:cs="Arial"/>
        </w:rPr>
        <w:t>en</w:t>
      </w:r>
      <w:r w:rsidRPr="00F04D9C">
        <w:rPr>
          <w:rFonts w:ascii="Arial" w:hAnsi="Arial" w:cs="Arial"/>
        </w:rPr>
        <w:t xml:space="preserve"> el 2001 era la provincia que presentaba la segunda tasa de emigración más baja (83.76 por cada 1000</w:t>
      </w:r>
      <w:r>
        <w:rPr>
          <w:rFonts w:ascii="Arial" w:hAnsi="Arial" w:cs="Arial"/>
        </w:rPr>
        <w:t xml:space="preserve"> nativos</w:t>
      </w:r>
      <w:r w:rsidRPr="00F04D9C">
        <w:rPr>
          <w:rFonts w:ascii="Arial" w:hAnsi="Arial" w:cs="Arial"/>
        </w:rPr>
        <w:t xml:space="preserve">), mientras que para el 2010 fue la provincia con la tasa más baja de emigración (83 por cada 1000), es decir, es la provincia que mayor tasa de retención de su población presenta en Ecuador </w:t>
      </w:r>
      <w:r>
        <w:rPr>
          <w:rFonts w:ascii="Arial" w:hAnsi="Arial" w:cs="Arial"/>
        </w:rPr>
        <w:t>al año 2010</w:t>
      </w:r>
      <w:r w:rsidRPr="00F04D9C">
        <w:rPr>
          <w:rFonts w:ascii="Arial" w:hAnsi="Arial" w:cs="Arial"/>
        </w:rPr>
        <w:t xml:space="preserve">; pero a su vez el 31.20% de la población residente es inmigrante, siendo la población proveniente de Cotopaxi la de mayor representación dentro de </w:t>
      </w:r>
      <w:r>
        <w:rPr>
          <w:rFonts w:ascii="Arial" w:hAnsi="Arial" w:cs="Arial"/>
        </w:rPr>
        <w:t>estos,</w:t>
      </w:r>
      <w:r w:rsidRPr="00F04D9C">
        <w:rPr>
          <w:rFonts w:ascii="Arial" w:hAnsi="Arial" w:cs="Arial"/>
        </w:rPr>
        <w:t xml:space="preserve"> con una tasa de 42.62 por cada 1000 residentes; así como también se puede encontrar alrededor de 34.88 inmigrantes </w:t>
      </w:r>
      <w:r>
        <w:rPr>
          <w:rFonts w:ascii="Arial" w:hAnsi="Arial" w:cs="Arial"/>
        </w:rPr>
        <w:t>oriundos</w:t>
      </w:r>
      <w:r w:rsidRPr="00F04D9C">
        <w:rPr>
          <w:rFonts w:ascii="Arial" w:hAnsi="Arial" w:cs="Arial"/>
        </w:rPr>
        <w:t xml:space="preserve"> </w:t>
      </w:r>
      <w:r>
        <w:rPr>
          <w:rFonts w:ascii="Arial" w:hAnsi="Arial" w:cs="Arial"/>
        </w:rPr>
        <w:t xml:space="preserve">de </w:t>
      </w:r>
      <w:r w:rsidRPr="00F04D9C">
        <w:rPr>
          <w:rFonts w:ascii="Arial" w:hAnsi="Arial" w:cs="Arial"/>
        </w:rPr>
        <w:t xml:space="preserve">Imbabura </w:t>
      </w:r>
      <w:r>
        <w:rPr>
          <w:rFonts w:ascii="Arial" w:hAnsi="Arial" w:cs="Arial"/>
        </w:rPr>
        <w:t xml:space="preserve">y 28.33 lojanos </w:t>
      </w:r>
      <w:r w:rsidRPr="00F04D9C">
        <w:rPr>
          <w:rFonts w:ascii="Arial" w:hAnsi="Arial" w:cs="Arial"/>
        </w:rPr>
        <w:t xml:space="preserve">por cada 1000 residentes en Pichincha, además se tiene una tasa alta de </w:t>
      </w:r>
      <w:r>
        <w:rPr>
          <w:rFonts w:ascii="Arial" w:hAnsi="Arial" w:cs="Arial"/>
        </w:rPr>
        <w:t>in</w:t>
      </w:r>
      <w:r w:rsidRPr="00F04D9C">
        <w:rPr>
          <w:rFonts w:ascii="Arial" w:hAnsi="Arial" w:cs="Arial"/>
        </w:rPr>
        <w:t xml:space="preserve">migración </w:t>
      </w:r>
      <w:r>
        <w:rPr>
          <w:rFonts w:ascii="Arial" w:hAnsi="Arial" w:cs="Arial"/>
        </w:rPr>
        <w:t xml:space="preserve">de personas provenientes </w:t>
      </w:r>
      <w:r w:rsidRPr="00F04D9C">
        <w:rPr>
          <w:rFonts w:ascii="Arial" w:hAnsi="Arial" w:cs="Arial"/>
        </w:rPr>
        <w:t>desde provincias como Manabí</w:t>
      </w:r>
      <w:r>
        <w:rPr>
          <w:rFonts w:ascii="Arial" w:hAnsi="Arial" w:cs="Arial"/>
        </w:rPr>
        <w:t xml:space="preserve">, Carchi, Bolívar y Chimborazo. </w:t>
      </w:r>
      <w:r w:rsidRPr="00F04D9C">
        <w:rPr>
          <w:rFonts w:ascii="Arial" w:hAnsi="Arial" w:cs="Arial"/>
        </w:rPr>
        <w:t xml:space="preserve">Para más detalles </w:t>
      </w:r>
      <w:r w:rsidRPr="00C525F3">
        <w:rPr>
          <w:rFonts w:ascii="Arial" w:hAnsi="Arial" w:cs="Arial"/>
          <w:i/>
        </w:rPr>
        <w:t>véase</w:t>
      </w:r>
      <w:r w:rsidRPr="00F04D9C">
        <w:rPr>
          <w:rFonts w:ascii="Arial" w:hAnsi="Arial" w:cs="Arial"/>
        </w:rPr>
        <w:t xml:space="preserve"> </w:t>
      </w:r>
      <w:r w:rsidRPr="006D2C47">
        <w:rPr>
          <w:rFonts w:ascii="Arial" w:hAnsi="Arial" w:cs="Arial"/>
          <w:i/>
        </w:rPr>
        <w:t>Tabla 2.4</w:t>
      </w:r>
      <w:r>
        <w:rPr>
          <w:rFonts w:ascii="Arial" w:hAnsi="Arial" w:cs="Arial"/>
        </w:rPr>
        <w:t>.</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C525F3" w:rsidRPr="00840530" w:rsidTr="00805996">
        <w:trPr>
          <w:trHeight w:val="4093"/>
          <w:jc w:val="right"/>
        </w:trPr>
        <w:tc>
          <w:tcPr>
            <w:tcW w:w="7535" w:type="dxa"/>
          </w:tcPr>
          <w:p w:rsidR="00C525F3" w:rsidRPr="00840530" w:rsidRDefault="00C525F3" w:rsidP="00805996">
            <w:pPr>
              <w:rPr>
                <w:rFonts w:ascii="Arial" w:hAnsi="Arial" w:cs="Arial"/>
                <w:sz w:val="16"/>
                <w:szCs w:val="16"/>
              </w:rPr>
            </w:pPr>
          </w:p>
          <w:p w:rsidR="00C525F3" w:rsidRPr="00C525F3" w:rsidRDefault="00C525F3" w:rsidP="00C525F3">
            <w:pPr>
              <w:pStyle w:val="Epgrafe"/>
              <w:rPr>
                <w:rFonts w:ascii="Arial" w:hAnsi="Arial" w:cs="Arial"/>
                <w:color w:val="auto"/>
                <w:sz w:val="16"/>
                <w:szCs w:val="16"/>
              </w:rPr>
            </w:pPr>
            <w:bookmarkStart w:id="216" w:name="_Toc341041579"/>
            <w:r>
              <w:rPr>
                <w:rFonts w:ascii="Arial" w:hAnsi="Arial" w:cs="Arial"/>
                <w:color w:val="auto"/>
                <w:sz w:val="16"/>
                <w:szCs w:val="16"/>
              </w:rPr>
              <w:t>Tabla 2.</w:t>
            </w:r>
            <w:r w:rsidR="00990535" w:rsidRPr="00C525F3">
              <w:rPr>
                <w:rFonts w:ascii="Arial" w:hAnsi="Arial" w:cs="Arial"/>
                <w:color w:val="auto"/>
                <w:sz w:val="16"/>
                <w:szCs w:val="16"/>
              </w:rPr>
              <w:fldChar w:fldCharType="begin"/>
            </w:r>
            <w:r w:rsidRPr="00C525F3">
              <w:rPr>
                <w:rFonts w:ascii="Arial" w:hAnsi="Arial" w:cs="Arial"/>
                <w:color w:val="auto"/>
                <w:sz w:val="16"/>
                <w:szCs w:val="16"/>
              </w:rPr>
              <w:instrText xml:space="preserve"> SEQ Tabla2. \* ARABIC </w:instrText>
            </w:r>
            <w:r w:rsidR="00990535" w:rsidRPr="00C525F3">
              <w:rPr>
                <w:rFonts w:ascii="Arial" w:hAnsi="Arial" w:cs="Arial"/>
                <w:color w:val="auto"/>
                <w:sz w:val="16"/>
                <w:szCs w:val="16"/>
              </w:rPr>
              <w:fldChar w:fldCharType="separate"/>
            </w:r>
            <w:r w:rsidR="00A242E0">
              <w:rPr>
                <w:rFonts w:ascii="Arial" w:hAnsi="Arial" w:cs="Arial"/>
                <w:noProof/>
                <w:color w:val="auto"/>
                <w:sz w:val="16"/>
                <w:szCs w:val="16"/>
              </w:rPr>
              <w:t>4</w:t>
            </w:r>
            <w:bookmarkEnd w:id="216"/>
            <w:r w:rsidR="00990535" w:rsidRPr="00C525F3">
              <w:rPr>
                <w:rFonts w:ascii="Arial" w:hAnsi="Arial" w:cs="Arial"/>
                <w:color w:val="auto"/>
                <w:sz w:val="16"/>
                <w:szCs w:val="16"/>
              </w:rPr>
              <w:fldChar w:fldCharType="end"/>
            </w:r>
          </w:p>
          <w:p w:rsidR="00C525F3" w:rsidRPr="0031171A" w:rsidRDefault="00C525F3" w:rsidP="00805996">
            <w:pPr>
              <w:rPr>
                <w:rFonts w:ascii="Arial" w:hAnsi="Arial" w:cs="Arial"/>
                <w:i/>
                <w:sz w:val="16"/>
                <w:szCs w:val="16"/>
              </w:rPr>
            </w:pPr>
            <w:r>
              <w:rPr>
                <w:rFonts w:ascii="Arial" w:hAnsi="Arial" w:cs="Arial"/>
                <w:b/>
                <w:i/>
                <w:sz w:val="16"/>
                <w:szCs w:val="16"/>
              </w:rPr>
              <w:t xml:space="preserve">Pichincha 2010: </w:t>
            </w:r>
            <w:r w:rsidRPr="0031171A">
              <w:rPr>
                <w:rFonts w:ascii="Arial" w:hAnsi="Arial" w:cs="Arial"/>
                <w:i/>
                <w:sz w:val="16"/>
                <w:szCs w:val="16"/>
              </w:rPr>
              <w:t xml:space="preserve">Tasa de Inmigración por cada 1000 </w:t>
            </w:r>
            <w:r>
              <w:rPr>
                <w:rFonts w:ascii="Arial" w:hAnsi="Arial" w:cs="Arial"/>
                <w:i/>
                <w:sz w:val="16"/>
                <w:szCs w:val="16"/>
              </w:rPr>
              <w:t>habitantes</w:t>
            </w:r>
            <w:r w:rsidRPr="0031171A">
              <w:rPr>
                <w:rFonts w:ascii="Arial" w:hAnsi="Arial" w:cs="Arial"/>
                <w:i/>
                <w:sz w:val="16"/>
                <w:szCs w:val="16"/>
              </w:rPr>
              <w:t xml:space="preserve"> </w:t>
            </w:r>
          </w:p>
          <w:p w:rsidR="00C525F3" w:rsidRDefault="00C525F3" w:rsidP="00805996">
            <w:pPr>
              <w:rPr>
                <w:rFonts w:ascii="Arial" w:hAnsi="Arial" w:cs="Arial"/>
                <w:b/>
                <w:sz w:val="16"/>
                <w:szCs w:val="16"/>
              </w:rPr>
            </w:pPr>
          </w:p>
          <w:tbl>
            <w:tblPr>
              <w:tblW w:w="5784" w:type="dxa"/>
              <w:jc w:val="center"/>
              <w:tblCellMar>
                <w:left w:w="70" w:type="dxa"/>
                <w:right w:w="70" w:type="dxa"/>
              </w:tblCellMar>
              <w:tblLook w:val="04A0" w:firstRow="1" w:lastRow="0" w:firstColumn="1" w:lastColumn="0" w:noHBand="0" w:noVBand="1"/>
            </w:tblPr>
            <w:tblGrid>
              <w:gridCol w:w="1701"/>
              <w:gridCol w:w="1191"/>
              <w:gridCol w:w="1701"/>
              <w:gridCol w:w="1191"/>
            </w:tblGrid>
            <w:tr w:rsidR="00C525F3" w:rsidRPr="005514A3" w:rsidTr="00805996">
              <w:trPr>
                <w:trHeight w:val="20"/>
                <w:jc w:val="center"/>
              </w:trPr>
              <w:tc>
                <w:tcPr>
                  <w:tcW w:w="1701" w:type="dxa"/>
                  <w:tcBorders>
                    <w:top w:val="single" w:sz="4" w:space="0" w:color="auto"/>
                    <w:left w:val="nil"/>
                    <w:bottom w:val="single" w:sz="4" w:space="0" w:color="auto"/>
                    <w:right w:val="nil"/>
                  </w:tcBorders>
                  <w:shd w:val="clear" w:color="auto" w:fill="auto"/>
                  <w:vAlign w:val="center"/>
                  <w:hideMark/>
                </w:tcPr>
                <w:p w:rsidR="00C525F3" w:rsidRPr="005514A3" w:rsidRDefault="00C525F3" w:rsidP="00805996">
                  <w:pPr>
                    <w:rPr>
                      <w:rFonts w:ascii="Arial" w:eastAsia="Times New Roman" w:hAnsi="Arial" w:cs="Arial"/>
                      <w:b/>
                      <w:bCs/>
                      <w:sz w:val="16"/>
                      <w:szCs w:val="16"/>
                      <w:lang w:eastAsia="es-EC"/>
                    </w:rPr>
                  </w:pPr>
                  <w:r w:rsidRPr="005514A3">
                    <w:rPr>
                      <w:rFonts w:ascii="Arial" w:eastAsia="Times New Roman" w:hAnsi="Arial" w:cs="Arial"/>
                      <w:b/>
                      <w:bCs/>
                      <w:sz w:val="16"/>
                      <w:szCs w:val="16"/>
                      <w:lang w:eastAsia="es-EC"/>
                    </w:rPr>
                    <w:t>Provincia de Nacimiento</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C525F3" w:rsidRPr="005514A3" w:rsidRDefault="00C525F3" w:rsidP="00805996">
                  <w:pPr>
                    <w:rPr>
                      <w:rFonts w:ascii="Arial" w:eastAsia="Times New Roman" w:hAnsi="Arial" w:cs="Arial"/>
                      <w:b/>
                      <w:bCs/>
                      <w:sz w:val="16"/>
                      <w:szCs w:val="16"/>
                      <w:lang w:eastAsia="es-EC"/>
                    </w:rPr>
                  </w:pPr>
                  <w:r w:rsidRPr="005514A3">
                    <w:rPr>
                      <w:rFonts w:ascii="Arial" w:eastAsia="Times New Roman" w:hAnsi="Arial" w:cs="Arial"/>
                      <w:b/>
                      <w:bCs/>
                      <w:sz w:val="16"/>
                      <w:szCs w:val="16"/>
                      <w:lang w:eastAsia="es-EC"/>
                    </w:rPr>
                    <w:t>Tasa de Inmigración</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C525F3" w:rsidRPr="005514A3" w:rsidRDefault="00C525F3" w:rsidP="00805996">
                  <w:pPr>
                    <w:rPr>
                      <w:rFonts w:ascii="Arial" w:eastAsia="Times New Roman" w:hAnsi="Arial" w:cs="Arial"/>
                      <w:b/>
                      <w:bCs/>
                      <w:sz w:val="16"/>
                      <w:szCs w:val="16"/>
                      <w:lang w:eastAsia="es-EC"/>
                    </w:rPr>
                  </w:pPr>
                  <w:r w:rsidRPr="005514A3">
                    <w:rPr>
                      <w:rFonts w:ascii="Arial" w:eastAsia="Times New Roman" w:hAnsi="Arial" w:cs="Arial"/>
                      <w:b/>
                      <w:bCs/>
                      <w:sz w:val="16"/>
                      <w:szCs w:val="16"/>
                      <w:lang w:eastAsia="es-EC"/>
                    </w:rPr>
                    <w:t>Provincia de Nacimiento</w:t>
                  </w:r>
                </w:p>
              </w:tc>
              <w:tc>
                <w:tcPr>
                  <w:tcW w:w="1191" w:type="dxa"/>
                  <w:tcBorders>
                    <w:top w:val="single" w:sz="4" w:space="0" w:color="auto"/>
                    <w:left w:val="nil"/>
                    <w:bottom w:val="single" w:sz="4" w:space="0" w:color="auto"/>
                    <w:right w:val="nil"/>
                  </w:tcBorders>
                  <w:shd w:val="clear" w:color="auto" w:fill="auto"/>
                  <w:vAlign w:val="center"/>
                  <w:hideMark/>
                </w:tcPr>
                <w:p w:rsidR="00C525F3" w:rsidRPr="005514A3" w:rsidRDefault="00C525F3" w:rsidP="00805996">
                  <w:pPr>
                    <w:rPr>
                      <w:rFonts w:ascii="Arial" w:eastAsia="Times New Roman" w:hAnsi="Arial" w:cs="Arial"/>
                      <w:b/>
                      <w:bCs/>
                      <w:sz w:val="16"/>
                      <w:szCs w:val="16"/>
                      <w:lang w:eastAsia="es-EC"/>
                    </w:rPr>
                  </w:pPr>
                  <w:r w:rsidRPr="005514A3">
                    <w:rPr>
                      <w:rFonts w:ascii="Arial" w:eastAsia="Times New Roman" w:hAnsi="Arial" w:cs="Arial"/>
                      <w:b/>
                      <w:bCs/>
                      <w:sz w:val="16"/>
                      <w:szCs w:val="16"/>
                      <w:lang w:eastAsia="es-EC"/>
                    </w:rPr>
                    <w:t>Tasa de Inmigración</w:t>
                  </w:r>
                </w:p>
              </w:tc>
            </w:tr>
            <w:tr w:rsidR="00C525F3" w:rsidRPr="005514A3" w:rsidTr="00805996">
              <w:trPr>
                <w:trHeight w:val="215"/>
                <w:jc w:val="center"/>
              </w:trPr>
              <w:tc>
                <w:tcPr>
                  <w:tcW w:w="1701" w:type="dxa"/>
                  <w:tcBorders>
                    <w:top w:val="nil"/>
                    <w:left w:val="nil"/>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Azuay</w:t>
                  </w:r>
                </w:p>
              </w:tc>
              <w:tc>
                <w:tcPr>
                  <w:tcW w:w="1191" w:type="dxa"/>
                  <w:tcBorders>
                    <w:top w:val="nil"/>
                    <w:left w:val="nil"/>
                    <w:bottom w:val="nil"/>
                    <w:right w:val="single" w:sz="4" w:space="0" w:color="auto"/>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8.05</w:t>
                  </w:r>
                </w:p>
              </w:tc>
              <w:tc>
                <w:tcPr>
                  <w:tcW w:w="1701" w:type="dxa"/>
                  <w:tcBorders>
                    <w:top w:val="nil"/>
                    <w:left w:val="single" w:sz="4" w:space="0" w:color="auto"/>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Manabí</w:t>
                  </w:r>
                </w:p>
              </w:tc>
              <w:tc>
                <w:tcPr>
                  <w:tcW w:w="1191" w:type="dxa"/>
                  <w:tcBorders>
                    <w:top w:val="nil"/>
                    <w:left w:val="nil"/>
                    <w:bottom w:val="nil"/>
                    <w:right w:val="nil"/>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31.86</w:t>
                  </w:r>
                </w:p>
              </w:tc>
            </w:tr>
            <w:tr w:rsidR="00C525F3" w:rsidRPr="005514A3" w:rsidTr="00805996">
              <w:trPr>
                <w:trHeight w:val="215"/>
                <w:jc w:val="center"/>
              </w:trPr>
              <w:tc>
                <w:tcPr>
                  <w:tcW w:w="1701" w:type="dxa"/>
                  <w:tcBorders>
                    <w:top w:val="nil"/>
                    <w:left w:val="nil"/>
                    <w:bottom w:val="nil"/>
                    <w:right w:val="nil"/>
                  </w:tcBorders>
                  <w:shd w:val="clear" w:color="auto" w:fill="auto"/>
                  <w:noWrap/>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Bolívar</w:t>
                  </w:r>
                </w:p>
              </w:tc>
              <w:tc>
                <w:tcPr>
                  <w:tcW w:w="1191" w:type="dxa"/>
                  <w:tcBorders>
                    <w:top w:val="nil"/>
                    <w:left w:val="nil"/>
                    <w:bottom w:val="nil"/>
                    <w:right w:val="single" w:sz="4" w:space="0" w:color="auto"/>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20.05</w:t>
                  </w:r>
                </w:p>
              </w:tc>
              <w:tc>
                <w:tcPr>
                  <w:tcW w:w="1701" w:type="dxa"/>
                  <w:tcBorders>
                    <w:top w:val="nil"/>
                    <w:left w:val="single" w:sz="4" w:space="0" w:color="auto"/>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Morona Santiago</w:t>
                  </w:r>
                </w:p>
              </w:tc>
              <w:tc>
                <w:tcPr>
                  <w:tcW w:w="1191" w:type="dxa"/>
                  <w:tcBorders>
                    <w:top w:val="nil"/>
                    <w:left w:val="nil"/>
                    <w:bottom w:val="nil"/>
                    <w:right w:val="nil"/>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1.38</w:t>
                  </w:r>
                </w:p>
              </w:tc>
            </w:tr>
            <w:tr w:rsidR="00C525F3" w:rsidRPr="005514A3" w:rsidTr="00805996">
              <w:trPr>
                <w:trHeight w:val="215"/>
                <w:jc w:val="center"/>
              </w:trPr>
              <w:tc>
                <w:tcPr>
                  <w:tcW w:w="1701" w:type="dxa"/>
                  <w:tcBorders>
                    <w:top w:val="nil"/>
                    <w:left w:val="nil"/>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Cañar</w:t>
                  </w:r>
                </w:p>
              </w:tc>
              <w:tc>
                <w:tcPr>
                  <w:tcW w:w="1191" w:type="dxa"/>
                  <w:tcBorders>
                    <w:top w:val="nil"/>
                    <w:left w:val="nil"/>
                    <w:bottom w:val="nil"/>
                    <w:right w:val="single" w:sz="4" w:space="0" w:color="auto"/>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2.73</w:t>
                  </w:r>
                </w:p>
              </w:tc>
              <w:tc>
                <w:tcPr>
                  <w:tcW w:w="1701" w:type="dxa"/>
                  <w:tcBorders>
                    <w:top w:val="nil"/>
                    <w:left w:val="single" w:sz="4" w:space="0" w:color="auto"/>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Napo</w:t>
                  </w:r>
                </w:p>
              </w:tc>
              <w:tc>
                <w:tcPr>
                  <w:tcW w:w="1191" w:type="dxa"/>
                  <w:tcBorders>
                    <w:top w:val="nil"/>
                    <w:left w:val="nil"/>
                    <w:bottom w:val="nil"/>
                    <w:right w:val="nil"/>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2.34</w:t>
                  </w:r>
                </w:p>
              </w:tc>
            </w:tr>
            <w:tr w:rsidR="00C525F3" w:rsidRPr="005514A3" w:rsidTr="00805996">
              <w:trPr>
                <w:trHeight w:val="215"/>
                <w:jc w:val="center"/>
              </w:trPr>
              <w:tc>
                <w:tcPr>
                  <w:tcW w:w="1701" w:type="dxa"/>
                  <w:tcBorders>
                    <w:top w:val="nil"/>
                    <w:left w:val="nil"/>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Carchi</w:t>
                  </w:r>
                </w:p>
              </w:tc>
              <w:tc>
                <w:tcPr>
                  <w:tcW w:w="1191" w:type="dxa"/>
                  <w:tcBorders>
                    <w:top w:val="nil"/>
                    <w:left w:val="nil"/>
                    <w:bottom w:val="nil"/>
                    <w:right w:val="single" w:sz="4" w:space="0" w:color="auto"/>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24.02</w:t>
                  </w:r>
                </w:p>
              </w:tc>
              <w:tc>
                <w:tcPr>
                  <w:tcW w:w="1701" w:type="dxa"/>
                  <w:tcBorders>
                    <w:top w:val="nil"/>
                    <w:left w:val="single" w:sz="4" w:space="0" w:color="auto"/>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Pastaza</w:t>
                  </w:r>
                </w:p>
              </w:tc>
              <w:tc>
                <w:tcPr>
                  <w:tcW w:w="1191" w:type="dxa"/>
                  <w:tcBorders>
                    <w:top w:val="nil"/>
                    <w:left w:val="nil"/>
                    <w:bottom w:val="nil"/>
                    <w:right w:val="nil"/>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1.46</w:t>
                  </w:r>
                </w:p>
              </w:tc>
            </w:tr>
            <w:tr w:rsidR="00C525F3" w:rsidRPr="005514A3" w:rsidTr="00805996">
              <w:trPr>
                <w:trHeight w:val="215"/>
                <w:jc w:val="center"/>
              </w:trPr>
              <w:tc>
                <w:tcPr>
                  <w:tcW w:w="1701" w:type="dxa"/>
                  <w:tcBorders>
                    <w:top w:val="nil"/>
                    <w:left w:val="nil"/>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Cotopaxi</w:t>
                  </w:r>
                </w:p>
              </w:tc>
              <w:tc>
                <w:tcPr>
                  <w:tcW w:w="1191" w:type="dxa"/>
                  <w:tcBorders>
                    <w:top w:val="nil"/>
                    <w:left w:val="nil"/>
                    <w:bottom w:val="nil"/>
                    <w:right w:val="single" w:sz="4" w:space="0" w:color="auto"/>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42.62</w:t>
                  </w:r>
                </w:p>
              </w:tc>
              <w:tc>
                <w:tcPr>
                  <w:tcW w:w="1701" w:type="dxa"/>
                  <w:tcBorders>
                    <w:top w:val="nil"/>
                    <w:left w:val="single" w:sz="4" w:space="0" w:color="auto"/>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Tungurahua</w:t>
                  </w:r>
                </w:p>
              </w:tc>
              <w:tc>
                <w:tcPr>
                  <w:tcW w:w="1191" w:type="dxa"/>
                  <w:tcBorders>
                    <w:top w:val="nil"/>
                    <w:left w:val="nil"/>
                    <w:bottom w:val="nil"/>
                    <w:right w:val="nil"/>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17.82</w:t>
                  </w:r>
                </w:p>
              </w:tc>
            </w:tr>
            <w:tr w:rsidR="00C525F3" w:rsidRPr="005514A3" w:rsidTr="00805996">
              <w:trPr>
                <w:trHeight w:val="215"/>
                <w:jc w:val="center"/>
              </w:trPr>
              <w:tc>
                <w:tcPr>
                  <w:tcW w:w="1701" w:type="dxa"/>
                  <w:tcBorders>
                    <w:top w:val="nil"/>
                    <w:left w:val="nil"/>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Chimborazo</w:t>
                  </w:r>
                </w:p>
              </w:tc>
              <w:tc>
                <w:tcPr>
                  <w:tcW w:w="1191" w:type="dxa"/>
                  <w:tcBorders>
                    <w:top w:val="nil"/>
                    <w:left w:val="nil"/>
                    <w:bottom w:val="nil"/>
                    <w:right w:val="single" w:sz="4" w:space="0" w:color="auto"/>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32.25</w:t>
                  </w:r>
                </w:p>
              </w:tc>
              <w:tc>
                <w:tcPr>
                  <w:tcW w:w="1701" w:type="dxa"/>
                  <w:tcBorders>
                    <w:top w:val="nil"/>
                    <w:left w:val="single" w:sz="4" w:space="0" w:color="auto"/>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Zamora Chinchipe</w:t>
                  </w:r>
                </w:p>
              </w:tc>
              <w:tc>
                <w:tcPr>
                  <w:tcW w:w="1191" w:type="dxa"/>
                  <w:tcBorders>
                    <w:top w:val="nil"/>
                    <w:left w:val="nil"/>
                    <w:bottom w:val="nil"/>
                    <w:right w:val="nil"/>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1.31</w:t>
                  </w:r>
                </w:p>
              </w:tc>
            </w:tr>
            <w:tr w:rsidR="00C525F3" w:rsidRPr="005514A3" w:rsidTr="00805996">
              <w:trPr>
                <w:trHeight w:val="215"/>
                <w:jc w:val="center"/>
              </w:trPr>
              <w:tc>
                <w:tcPr>
                  <w:tcW w:w="1701" w:type="dxa"/>
                  <w:tcBorders>
                    <w:top w:val="nil"/>
                    <w:left w:val="nil"/>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El Oro</w:t>
                  </w:r>
                </w:p>
              </w:tc>
              <w:tc>
                <w:tcPr>
                  <w:tcW w:w="1191" w:type="dxa"/>
                  <w:tcBorders>
                    <w:top w:val="nil"/>
                    <w:left w:val="nil"/>
                    <w:bottom w:val="nil"/>
                    <w:right w:val="single" w:sz="4" w:space="0" w:color="auto"/>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8.18</w:t>
                  </w:r>
                </w:p>
              </w:tc>
              <w:tc>
                <w:tcPr>
                  <w:tcW w:w="1701" w:type="dxa"/>
                  <w:tcBorders>
                    <w:top w:val="nil"/>
                    <w:left w:val="single" w:sz="4" w:space="0" w:color="auto"/>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Galápagos</w:t>
                  </w:r>
                </w:p>
              </w:tc>
              <w:tc>
                <w:tcPr>
                  <w:tcW w:w="1191" w:type="dxa"/>
                  <w:tcBorders>
                    <w:top w:val="nil"/>
                    <w:left w:val="nil"/>
                    <w:bottom w:val="nil"/>
                    <w:right w:val="nil"/>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0.25</w:t>
                  </w:r>
                </w:p>
              </w:tc>
            </w:tr>
            <w:tr w:rsidR="00C525F3" w:rsidRPr="005514A3" w:rsidTr="00805996">
              <w:trPr>
                <w:trHeight w:val="215"/>
                <w:jc w:val="center"/>
              </w:trPr>
              <w:tc>
                <w:tcPr>
                  <w:tcW w:w="1701" w:type="dxa"/>
                  <w:tcBorders>
                    <w:top w:val="nil"/>
                    <w:left w:val="nil"/>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Esmeraldas</w:t>
                  </w:r>
                </w:p>
              </w:tc>
              <w:tc>
                <w:tcPr>
                  <w:tcW w:w="1191" w:type="dxa"/>
                  <w:tcBorders>
                    <w:top w:val="nil"/>
                    <w:left w:val="nil"/>
                    <w:bottom w:val="nil"/>
                    <w:right w:val="single" w:sz="4" w:space="0" w:color="auto"/>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12.54</w:t>
                  </w:r>
                </w:p>
              </w:tc>
              <w:tc>
                <w:tcPr>
                  <w:tcW w:w="1701" w:type="dxa"/>
                  <w:tcBorders>
                    <w:top w:val="nil"/>
                    <w:left w:val="single" w:sz="4" w:space="0" w:color="auto"/>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Sucumbíos</w:t>
                  </w:r>
                </w:p>
              </w:tc>
              <w:tc>
                <w:tcPr>
                  <w:tcW w:w="1191" w:type="dxa"/>
                  <w:tcBorders>
                    <w:top w:val="nil"/>
                    <w:left w:val="nil"/>
                    <w:bottom w:val="nil"/>
                    <w:right w:val="nil"/>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2.27</w:t>
                  </w:r>
                </w:p>
              </w:tc>
            </w:tr>
            <w:tr w:rsidR="00C525F3" w:rsidRPr="005514A3" w:rsidTr="00805996">
              <w:trPr>
                <w:trHeight w:val="215"/>
                <w:jc w:val="center"/>
              </w:trPr>
              <w:tc>
                <w:tcPr>
                  <w:tcW w:w="1701" w:type="dxa"/>
                  <w:tcBorders>
                    <w:top w:val="nil"/>
                    <w:left w:val="nil"/>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Guayas</w:t>
                  </w:r>
                </w:p>
              </w:tc>
              <w:tc>
                <w:tcPr>
                  <w:tcW w:w="1191" w:type="dxa"/>
                  <w:tcBorders>
                    <w:top w:val="nil"/>
                    <w:left w:val="nil"/>
                    <w:bottom w:val="nil"/>
                    <w:right w:val="single" w:sz="4" w:space="0" w:color="auto"/>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16.11</w:t>
                  </w:r>
                </w:p>
              </w:tc>
              <w:tc>
                <w:tcPr>
                  <w:tcW w:w="1701" w:type="dxa"/>
                  <w:tcBorders>
                    <w:top w:val="nil"/>
                    <w:left w:val="single" w:sz="4" w:space="0" w:color="auto"/>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Orellana</w:t>
                  </w:r>
                </w:p>
              </w:tc>
              <w:tc>
                <w:tcPr>
                  <w:tcW w:w="1191" w:type="dxa"/>
                  <w:tcBorders>
                    <w:top w:val="nil"/>
                    <w:left w:val="nil"/>
                    <w:bottom w:val="nil"/>
                    <w:right w:val="nil"/>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1.04</w:t>
                  </w:r>
                </w:p>
              </w:tc>
            </w:tr>
            <w:tr w:rsidR="00C525F3" w:rsidRPr="005514A3" w:rsidTr="00805996">
              <w:trPr>
                <w:trHeight w:val="215"/>
                <w:jc w:val="center"/>
              </w:trPr>
              <w:tc>
                <w:tcPr>
                  <w:tcW w:w="1701" w:type="dxa"/>
                  <w:tcBorders>
                    <w:top w:val="nil"/>
                    <w:left w:val="nil"/>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Imbabura</w:t>
                  </w:r>
                </w:p>
              </w:tc>
              <w:tc>
                <w:tcPr>
                  <w:tcW w:w="1191" w:type="dxa"/>
                  <w:tcBorders>
                    <w:top w:val="nil"/>
                    <w:left w:val="nil"/>
                    <w:bottom w:val="nil"/>
                    <w:right w:val="single" w:sz="4" w:space="0" w:color="auto"/>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34.88</w:t>
                  </w:r>
                </w:p>
              </w:tc>
              <w:tc>
                <w:tcPr>
                  <w:tcW w:w="1701" w:type="dxa"/>
                  <w:tcBorders>
                    <w:top w:val="nil"/>
                    <w:left w:val="single" w:sz="4" w:space="0" w:color="auto"/>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Santo Domingo</w:t>
                  </w:r>
                </w:p>
              </w:tc>
              <w:tc>
                <w:tcPr>
                  <w:tcW w:w="1191" w:type="dxa"/>
                  <w:tcBorders>
                    <w:top w:val="nil"/>
                    <w:left w:val="nil"/>
                    <w:bottom w:val="nil"/>
                    <w:right w:val="nil"/>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9.96</w:t>
                  </w:r>
                </w:p>
              </w:tc>
            </w:tr>
            <w:tr w:rsidR="00C525F3" w:rsidRPr="005514A3" w:rsidTr="00805996">
              <w:trPr>
                <w:trHeight w:val="215"/>
                <w:jc w:val="center"/>
              </w:trPr>
              <w:tc>
                <w:tcPr>
                  <w:tcW w:w="1701" w:type="dxa"/>
                  <w:tcBorders>
                    <w:top w:val="nil"/>
                    <w:left w:val="nil"/>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Loja</w:t>
                  </w:r>
                </w:p>
              </w:tc>
              <w:tc>
                <w:tcPr>
                  <w:tcW w:w="1191" w:type="dxa"/>
                  <w:tcBorders>
                    <w:top w:val="nil"/>
                    <w:left w:val="nil"/>
                    <w:bottom w:val="nil"/>
                    <w:right w:val="single" w:sz="4" w:space="0" w:color="auto"/>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28.33</w:t>
                  </w:r>
                </w:p>
              </w:tc>
              <w:tc>
                <w:tcPr>
                  <w:tcW w:w="1701" w:type="dxa"/>
                  <w:tcBorders>
                    <w:top w:val="nil"/>
                    <w:left w:val="single" w:sz="4" w:space="0" w:color="auto"/>
                    <w:bottom w:val="nil"/>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Santa Elena</w:t>
                  </w:r>
                </w:p>
              </w:tc>
              <w:tc>
                <w:tcPr>
                  <w:tcW w:w="1191" w:type="dxa"/>
                  <w:tcBorders>
                    <w:top w:val="nil"/>
                    <w:left w:val="nil"/>
                    <w:bottom w:val="nil"/>
                    <w:right w:val="nil"/>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1.11</w:t>
                  </w:r>
                </w:p>
              </w:tc>
            </w:tr>
            <w:tr w:rsidR="00C525F3" w:rsidRPr="005514A3" w:rsidTr="00805996">
              <w:trPr>
                <w:trHeight w:val="215"/>
                <w:jc w:val="center"/>
              </w:trPr>
              <w:tc>
                <w:tcPr>
                  <w:tcW w:w="1701" w:type="dxa"/>
                  <w:tcBorders>
                    <w:top w:val="nil"/>
                    <w:left w:val="nil"/>
                    <w:bottom w:val="single" w:sz="4" w:space="0" w:color="auto"/>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Los Ríos</w:t>
                  </w:r>
                </w:p>
              </w:tc>
              <w:tc>
                <w:tcPr>
                  <w:tcW w:w="1191" w:type="dxa"/>
                  <w:tcBorders>
                    <w:top w:val="nil"/>
                    <w:left w:val="nil"/>
                    <w:bottom w:val="single" w:sz="4" w:space="0" w:color="auto"/>
                    <w:right w:val="single" w:sz="4" w:space="0" w:color="auto"/>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11.76</w:t>
                  </w:r>
                </w:p>
              </w:tc>
              <w:tc>
                <w:tcPr>
                  <w:tcW w:w="1701" w:type="dxa"/>
                  <w:tcBorders>
                    <w:top w:val="nil"/>
                    <w:left w:val="single" w:sz="4" w:space="0" w:color="auto"/>
                    <w:bottom w:val="single" w:sz="4" w:space="0" w:color="auto"/>
                    <w:right w:val="nil"/>
                  </w:tcBorders>
                  <w:shd w:val="clear" w:color="auto" w:fill="auto"/>
                  <w:vAlign w:val="center"/>
                  <w:hideMark/>
                </w:tcPr>
                <w:p w:rsidR="00C525F3" w:rsidRPr="005514A3" w:rsidRDefault="00C525F3" w:rsidP="00805996">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Zonas No Delimitadas</w:t>
                  </w:r>
                </w:p>
              </w:tc>
              <w:tc>
                <w:tcPr>
                  <w:tcW w:w="1191" w:type="dxa"/>
                  <w:tcBorders>
                    <w:top w:val="nil"/>
                    <w:left w:val="nil"/>
                    <w:bottom w:val="single" w:sz="4" w:space="0" w:color="auto"/>
                    <w:right w:val="nil"/>
                  </w:tcBorders>
                  <w:shd w:val="clear" w:color="auto" w:fill="auto"/>
                  <w:noWrap/>
                  <w:vAlign w:val="center"/>
                  <w:hideMark/>
                </w:tcPr>
                <w:p w:rsidR="00C525F3" w:rsidRPr="005514A3" w:rsidRDefault="00C525F3" w:rsidP="00805996">
                  <w:pPr>
                    <w:rPr>
                      <w:rFonts w:ascii="Arial" w:eastAsia="Times New Roman" w:hAnsi="Arial" w:cs="Arial"/>
                      <w:sz w:val="16"/>
                      <w:szCs w:val="16"/>
                      <w:lang w:eastAsia="es-EC"/>
                    </w:rPr>
                  </w:pPr>
                  <w:r w:rsidRPr="005514A3">
                    <w:rPr>
                      <w:rFonts w:ascii="Arial" w:eastAsia="Times New Roman" w:hAnsi="Arial" w:cs="Arial"/>
                      <w:sz w:val="16"/>
                      <w:szCs w:val="16"/>
                      <w:lang w:eastAsia="es-EC"/>
                    </w:rPr>
                    <w:t>0.01</w:t>
                  </w:r>
                </w:p>
              </w:tc>
            </w:tr>
          </w:tbl>
          <w:p w:rsidR="00C525F3" w:rsidRPr="00840530" w:rsidRDefault="00C525F3" w:rsidP="00805996">
            <w:pPr>
              <w:ind w:left="7"/>
              <w:rPr>
                <w:rFonts w:ascii="Arial" w:hAnsi="Arial" w:cs="Arial"/>
                <w:sz w:val="24"/>
                <w:szCs w:val="24"/>
              </w:rPr>
            </w:pPr>
          </w:p>
        </w:tc>
      </w:tr>
    </w:tbl>
    <w:p w:rsidR="00C525F3" w:rsidRPr="001E4BBD" w:rsidRDefault="00C525F3" w:rsidP="00C525F3">
      <w:pPr>
        <w:pStyle w:val="Prrafodelista"/>
        <w:spacing w:line="276" w:lineRule="auto"/>
        <w:ind w:left="851"/>
        <w:jc w:val="both"/>
        <w:rPr>
          <w:rFonts w:ascii="Arial" w:hAnsi="Arial" w:cs="Arial"/>
          <w:sz w:val="17"/>
          <w:szCs w:val="17"/>
        </w:rPr>
      </w:pPr>
    </w:p>
    <w:p w:rsidR="00C525F3" w:rsidRPr="001E4BBD" w:rsidRDefault="00C525F3" w:rsidP="00C525F3">
      <w:pPr>
        <w:pStyle w:val="Prrafodelista"/>
        <w:spacing w:line="276" w:lineRule="auto"/>
        <w:ind w:left="851"/>
        <w:jc w:val="both"/>
        <w:rPr>
          <w:rFonts w:ascii="Arial" w:hAnsi="Arial" w:cs="Arial"/>
          <w:sz w:val="17"/>
          <w:szCs w:val="17"/>
        </w:rPr>
      </w:pPr>
      <w:r w:rsidRPr="001E4BBD">
        <w:rPr>
          <w:rFonts w:ascii="Arial" w:hAnsi="Arial" w:cs="Arial"/>
          <w:b/>
          <w:i/>
          <w:sz w:val="17"/>
          <w:szCs w:val="17"/>
        </w:rPr>
        <w:t>Fuente:</w:t>
      </w:r>
      <w:r w:rsidRPr="001E4BBD">
        <w:rPr>
          <w:rFonts w:ascii="Arial" w:hAnsi="Arial" w:cs="Arial"/>
          <w:sz w:val="17"/>
          <w:szCs w:val="17"/>
        </w:rPr>
        <w:t xml:space="preserve"> </w:t>
      </w:r>
      <w:r w:rsidRPr="001E4BBD">
        <w:rPr>
          <w:rFonts w:ascii="Arial" w:hAnsi="Arial" w:cs="Arial"/>
          <w:b/>
          <w:sz w:val="17"/>
          <w:szCs w:val="17"/>
        </w:rPr>
        <w:t xml:space="preserve">INEC </w:t>
      </w:r>
      <w:r w:rsidRPr="001E4BBD">
        <w:rPr>
          <w:rFonts w:ascii="Arial" w:hAnsi="Arial" w:cs="Arial"/>
          <w:sz w:val="17"/>
          <w:szCs w:val="17"/>
        </w:rPr>
        <w:t>(2010), Base de Datos del VII Censo de Población y VI de Vivienda.</w:t>
      </w:r>
    </w:p>
    <w:p w:rsidR="00C525F3" w:rsidRPr="001E4BBD" w:rsidRDefault="00C525F3" w:rsidP="00C525F3">
      <w:pPr>
        <w:pStyle w:val="Prrafodelista"/>
        <w:spacing w:line="276" w:lineRule="auto"/>
        <w:ind w:left="851"/>
        <w:jc w:val="both"/>
        <w:rPr>
          <w:rFonts w:ascii="Arial" w:hAnsi="Arial" w:cs="Arial"/>
          <w:sz w:val="17"/>
          <w:szCs w:val="17"/>
        </w:rPr>
      </w:pPr>
      <w:r w:rsidRPr="001E4BBD">
        <w:rPr>
          <w:rFonts w:ascii="Arial" w:hAnsi="Arial" w:cs="Arial"/>
          <w:b/>
          <w:i/>
          <w:sz w:val="17"/>
          <w:szCs w:val="17"/>
        </w:rPr>
        <w:t>Elaborado por:</w:t>
      </w:r>
      <w:r w:rsidRPr="001E4BBD">
        <w:rPr>
          <w:rFonts w:ascii="Arial" w:hAnsi="Arial" w:cs="Arial"/>
          <w:sz w:val="17"/>
          <w:szCs w:val="17"/>
        </w:rPr>
        <w:t xml:space="preserve"> Katherine Loor Valeriano</w:t>
      </w:r>
    </w:p>
    <w:p w:rsidR="00C525F3" w:rsidRDefault="00C525F3" w:rsidP="00C525F3">
      <w:pPr>
        <w:pStyle w:val="Prrafodelista"/>
        <w:spacing w:line="480" w:lineRule="auto"/>
        <w:ind w:left="851"/>
        <w:jc w:val="both"/>
        <w:rPr>
          <w:rFonts w:ascii="Arial" w:hAnsi="Arial" w:cs="Arial"/>
        </w:rPr>
      </w:pPr>
    </w:p>
    <w:p w:rsidR="00C525F3" w:rsidRDefault="00C525F3" w:rsidP="00C525F3">
      <w:pPr>
        <w:pStyle w:val="Prrafodelista"/>
        <w:spacing w:line="480" w:lineRule="auto"/>
        <w:ind w:left="851"/>
        <w:jc w:val="both"/>
        <w:rPr>
          <w:rFonts w:ascii="Arial" w:hAnsi="Arial" w:cs="Arial"/>
        </w:rPr>
      </w:pPr>
      <w:r w:rsidRPr="00C525F3">
        <w:rPr>
          <w:rFonts w:ascii="Arial" w:hAnsi="Arial" w:cs="Arial"/>
        </w:rPr>
        <w:t>En lo que respecta a la emigración interna, en la región Sierra, Bolívar es quien lidera la lista de provincias con mayor tasa de emigración, habiendo expulsado alrededor del 45.50% de su población nativa</w:t>
      </w:r>
      <w:r w:rsidR="0045790C">
        <w:rPr>
          <w:rFonts w:ascii="Arial" w:hAnsi="Arial" w:cs="Arial"/>
        </w:rPr>
        <w:t>;</w:t>
      </w:r>
      <w:r w:rsidRPr="00C525F3">
        <w:rPr>
          <w:rFonts w:ascii="Arial" w:hAnsi="Arial" w:cs="Arial"/>
        </w:rPr>
        <w:t xml:space="preserve"> se tiene además que 168 personas por cada 1000 nacidos en esta provincia emigran hacia Pichincha. Carchi es otra de las provincias con alta tasa de emigración, es así que 430 por cada 1000 nacidos en esta provincia han emigrado; teniendo además que expulsa gran cantidad de gente hacia Pichincha (256 por cada 1000). </w:t>
      </w:r>
      <w:r w:rsidR="00F91C02">
        <w:rPr>
          <w:rFonts w:ascii="Arial" w:hAnsi="Arial" w:cs="Arial"/>
        </w:rPr>
        <w:t>En</w:t>
      </w:r>
      <w:r w:rsidRPr="00C525F3">
        <w:rPr>
          <w:rFonts w:ascii="Arial" w:hAnsi="Arial" w:cs="Arial"/>
        </w:rPr>
        <w:t xml:space="preserve"> las provincias de la zona noreste del país, como son Orellana y Sucumbíos, presentan una tasa alta de inmigración (462 por cada 1000 residentes); recibiendo esta última provincia mayoritariamente población oriunda de Loja (62 por cada 1000 residentes) y de Bolívar (57 por cada 1000 residentes). Véase además la Figura 2.2 que contiene el mapa temático de la tasa de emigración por cada 1000 nacidos a nivel provincial.</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C525F3" w:rsidRPr="00840530" w:rsidTr="0045790C">
        <w:trPr>
          <w:trHeight w:val="5159"/>
          <w:jc w:val="right"/>
        </w:trPr>
        <w:tc>
          <w:tcPr>
            <w:tcW w:w="7535" w:type="dxa"/>
          </w:tcPr>
          <w:p w:rsidR="00C525F3" w:rsidRPr="00840530" w:rsidRDefault="00C525F3" w:rsidP="00805996">
            <w:pPr>
              <w:rPr>
                <w:rFonts w:ascii="Arial" w:hAnsi="Arial" w:cs="Arial"/>
                <w:sz w:val="16"/>
                <w:szCs w:val="16"/>
              </w:rPr>
            </w:pPr>
          </w:p>
          <w:p w:rsidR="00C525F3" w:rsidRPr="00F204A9" w:rsidRDefault="00C525F3" w:rsidP="00805996">
            <w:pPr>
              <w:keepNext/>
              <w:rPr>
                <w:rFonts w:ascii="Arial" w:hAnsi="Arial" w:cs="Arial"/>
                <w:b/>
                <w:sz w:val="16"/>
                <w:szCs w:val="16"/>
              </w:rPr>
            </w:pPr>
            <w:bookmarkStart w:id="217" w:name="_Toc339749893"/>
            <w:bookmarkStart w:id="218" w:name="_Toc341042992"/>
            <w:r>
              <w:rPr>
                <w:rFonts w:ascii="Arial" w:hAnsi="Arial" w:cs="Arial"/>
                <w:b/>
                <w:sz w:val="16"/>
                <w:szCs w:val="16"/>
              </w:rPr>
              <w:t>Figura 2.</w:t>
            </w:r>
            <w:r w:rsidR="00990535" w:rsidRPr="00F204A9">
              <w:rPr>
                <w:rFonts w:ascii="Arial" w:hAnsi="Arial" w:cs="Arial"/>
                <w:b/>
                <w:sz w:val="16"/>
                <w:szCs w:val="16"/>
              </w:rPr>
              <w:fldChar w:fldCharType="begin"/>
            </w:r>
            <w:r w:rsidRPr="00F204A9">
              <w:rPr>
                <w:rFonts w:ascii="Arial" w:hAnsi="Arial" w:cs="Arial"/>
                <w:b/>
                <w:sz w:val="16"/>
                <w:szCs w:val="16"/>
              </w:rPr>
              <w:instrText xml:space="preserve"> SEQ Figura_2. \* ARABIC </w:instrText>
            </w:r>
            <w:r w:rsidR="00990535" w:rsidRPr="00F204A9">
              <w:rPr>
                <w:rFonts w:ascii="Arial" w:hAnsi="Arial" w:cs="Arial"/>
                <w:b/>
                <w:sz w:val="16"/>
                <w:szCs w:val="16"/>
              </w:rPr>
              <w:fldChar w:fldCharType="separate"/>
            </w:r>
            <w:r w:rsidR="00A242E0">
              <w:rPr>
                <w:rFonts w:ascii="Arial" w:hAnsi="Arial" w:cs="Arial"/>
                <w:b/>
                <w:noProof/>
                <w:sz w:val="16"/>
                <w:szCs w:val="16"/>
              </w:rPr>
              <w:t>2</w:t>
            </w:r>
            <w:bookmarkEnd w:id="217"/>
            <w:bookmarkEnd w:id="218"/>
            <w:r w:rsidR="00990535" w:rsidRPr="00F204A9">
              <w:rPr>
                <w:rFonts w:ascii="Arial" w:hAnsi="Arial" w:cs="Arial"/>
                <w:b/>
                <w:sz w:val="16"/>
                <w:szCs w:val="16"/>
              </w:rPr>
              <w:fldChar w:fldCharType="end"/>
            </w:r>
          </w:p>
          <w:p w:rsidR="00C525F3" w:rsidRPr="006061B9" w:rsidRDefault="0045790C" w:rsidP="00805996">
            <w:pPr>
              <w:rPr>
                <w:rFonts w:ascii="Arial" w:hAnsi="Arial" w:cs="Arial"/>
                <w:noProof/>
                <w:sz w:val="16"/>
                <w:szCs w:val="16"/>
                <w:lang w:eastAsia="es-EC"/>
              </w:rPr>
            </w:pPr>
            <w:r>
              <w:rPr>
                <w:rFonts w:ascii="Arial" w:hAnsi="Arial" w:cs="Arial"/>
                <w:b/>
                <w:i/>
                <w:sz w:val="16"/>
                <w:szCs w:val="16"/>
              </w:rPr>
              <w:t xml:space="preserve">Ecuador 2010: </w:t>
            </w:r>
            <w:r w:rsidR="00C525F3" w:rsidRPr="006B4C21">
              <w:rPr>
                <w:rFonts w:ascii="Arial" w:hAnsi="Arial" w:cs="Arial"/>
                <w:i/>
                <w:sz w:val="16"/>
                <w:szCs w:val="16"/>
              </w:rPr>
              <w:t xml:space="preserve">Tasa de Emigración por cada 1000 nacidos en la Provincia </w:t>
            </w:r>
            <w:r w:rsidR="00C525F3" w:rsidRPr="006B4C21">
              <w:rPr>
                <w:i/>
                <w:noProof/>
                <w:lang w:eastAsia="es-EC"/>
              </w:rPr>
              <w:t xml:space="preserve"> </w:t>
            </w:r>
          </w:p>
          <w:p w:rsidR="00C525F3" w:rsidRPr="00840530" w:rsidRDefault="00436907" w:rsidP="00C525F3">
            <w:pPr>
              <w:jc w:val="left"/>
              <w:rPr>
                <w:rFonts w:ascii="Arial" w:hAnsi="Arial" w:cs="Arial"/>
                <w:sz w:val="24"/>
                <w:szCs w:val="24"/>
              </w:rPr>
            </w:pPr>
            <w:r>
              <w:rPr>
                <w:rFonts w:ascii="Arial" w:hAnsi="Arial" w:cs="Arial"/>
                <w:noProof/>
                <w:sz w:val="16"/>
                <w:szCs w:val="16"/>
                <w:lang w:eastAsia="es-EC"/>
              </w:rPr>
              <w:pict>
                <v:shape id="51 Cuadro de texto" o:spid="_x0000_s1984" type="#_x0000_t202" style="position:absolute;left:0;text-align:left;margin-left:214pt;margin-top:92.15pt;width:36pt;height:16.5pt;z-index:251810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" filled="f" stroked="f" strokeweight=".5pt">
                  <v:textbox style="mso-next-textbox:#51 Cuadro de texto">
                    <w:txbxContent>
                      <w:p w:rsidR="006933DF" w:rsidRPr="00A82FB7" w:rsidRDefault="006933DF" w:rsidP="00C525F3">
                        <w:pPr>
                          <w:rPr>
                            <w:rFonts w:ascii="Arial" w:hAnsi="Arial" w:cs="Arial"/>
                            <w:sz w:val="12"/>
                            <w:szCs w:val="12"/>
                          </w:rPr>
                        </w:pPr>
                        <w:r>
                          <w:rPr>
                            <w:rFonts w:ascii="Arial" w:hAnsi="Arial" w:cs="Arial"/>
                            <w:sz w:val="12"/>
                            <w:szCs w:val="12"/>
                          </w:rPr>
                          <w:t>198</w:t>
                        </w:r>
                      </w:p>
                    </w:txbxContent>
                  </v:textbox>
                </v:shape>
              </w:pict>
            </w:r>
            <w:r>
              <w:rPr>
                <w:rFonts w:ascii="Arial" w:hAnsi="Arial" w:cs="Arial"/>
                <w:noProof/>
                <w:sz w:val="16"/>
                <w:szCs w:val="16"/>
                <w:lang w:eastAsia="es-EC"/>
              </w:rPr>
              <w:pict>
                <v:shape id="55 Cuadro de texto" o:spid="_x0000_s1988" type="#_x0000_t202" style="position:absolute;left:0;text-align:left;margin-left:192.2pt;margin-top:58.4pt;width:27.8pt;height:16.5pt;z-index:251814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" filled="f" stroked="f" strokeweight=".5pt">
                  <v:textbox style="mso-next-textbox:#55 Cuadro de texto">
                    <w:txbxContent>
                      <w:p w:rsidR="006933DF" w:rsidRPr="00A82FB7" w:rsidRDefault="006933DF" w:rsidP="00C525F3">
                        <w:pPr>
                          <w:rPr>
                            <w:rFonts w:ascii="Arial" w:hAnsi="Arial" w:cs="Arial"/>
                            <w:sz w:val="12"/>
                            <w:szCs w:val="12"/>
                          </w:rPr>
                        </w:pPr>
                        <w:r>
                          <w:rPr>
                            <w:rFonts w:ascii="Arial" w:hAnsi="Arial" w:cs="Arial"/>
                            <w:sz w:val="12"/>
                            <w:szCs w:val="12"/>
                          </w:rPr>
                          <w:t>300</w:t>
                        </w:r>
                      </w:p>
                    </w:txbxContent>
                  </v:textbox>
                </v:shape>
              </w:pict>
            </w:r>
            <w:r>
              <w:rPr>
                <w:rFonts w:ascii="Arial" w:hAnsi="Arial" w:cs="Arial"/>
                <w:noProof/>
                <w:sz w:val="16"/>
                <w:szCs w:val="16"/>
                <w:lang w:eastAsia="es-EC"/>
              </w:rPr>
              <w:pict>
                <v:shape id="56 Cuadro de texto" o:spid="_x0000_s1989" type="#_x0000_t202" style="position:absolute;left:0;text-align:left;margin-left:138.7pt;margin-top:122.9pt;width:42pt;height:16.5pt;z-index:251815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" filled="f" stroked="f" strokeweight=".5pt">
                  <v:textbox style="mso-next-textbox:#56 Cuadro de texto">
                    <w:txbxContent>
                      <w:p w:rsidR="006933DF" w:rsidRPr="00A82FB7" w:rsidRDefault="006933DF" w:rsidP="00C525F3">
                        <w:pPr>
                          <w:rPr>
                            <w:rFonts w:ascii="Arial" w:hAnsi="Arial" w:cs="Arial"/>
                            <w:sz w:val="12"/>
                            <w:szCs w:val="12"/>
                          </w:rPr>
                        </w:pPr>
                        <w:r>
                          <w:rPr>
                            <w:rFonts w:ascii="Arial" w:hAnsi="Arial" w:cs="Arial"/>
                            <w:sz w:val="12"/>
                            <w:szCs w:val="12"/>
                          </w:rPr>
                          <w:t>113</w:t>
                        </w:r>
                      </w:p>
                    </w:txbxContent>
                  </v:textbox>
                </v:shape>
              </w:pict>
            </w:r>
            <w:r>
              <w:rPr>
                <w:rFonts w:ascii="Arial" w:hAnsi="Arial" w:cs="Arial"/>
                <w:noProof/>
                <w:sz w:val="16"/>
                <w:szCs w:val="16"/>
                <w:lang w:eastAsia="es-EC"/>
              </w:rPr>
              <w:pict>
                <v:shape id="40 Cuadro de texto" o:spid="_x0000_s1973" type="#_x0000_t202" style="position:absolute;left:0;text-align:left;margin-left:163.75pt;margin-top:167.15pt;width:42pt;height:16.5pt;z-index:251799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" filled="f" stroked="f" strokeweight=".5pt">
                  <v:textbox style="mso-next-textbox:#40 Cuadro de texto">
                    <w:txbxContent>
                      <w:p w:rsidR="006933DF" w:rsidRPr="00A82FB7" w:rsidRDefault="006933DF" w:rsidP="00C525F3">
                        <w:pPr>
                          <w:rPr>
                            <w:rFonts w:ascii="Arial" w:hAnsi="Arial" w:cs="Arial"/>
                            <w:sz w:val="12"/>
                            <w:szCs w:val="12"/>
                          </w:rPr>
                        </w:pPr>
                        <w:r>
                          <w:rPr>
                            <w:rFonts w:ascii="Arial" w:hAnsi="Arial" w:cs="Arial"/>
                            <w:sz w:val="12"/>
                            <w:szCs w:val="12"/>
                          </w:rPr>
                          <w:t>198</w:t>
                        </w:r>
                      </w:p>
                    </w:txbxContent>
                  </v:textbox>
                </v:shape>
              </w:pict>
            </w:r>
            <w:r>
              <w:rPr>
                <w:rFonts w:ascii="Arial" w:hAnsi="Arial" w:cs="Arial"/>
                <w:noProof/>
                <w:sz w:val="16"/>
                <w:szCs w:val="16"/>
                <w:lang w:eastAsia="es-EC"/>
              </w:rPr>
              <w:pict>
                <v:shape id="44 Cuadro de texto" o:spid="_x0000_s1977" type="#_x0000_t202" style="position:absolute;left:0;text-align:left;margin-left:171.25pt;margin-top:186.65pt;width:42pt;height:16.5pt;z-index:251803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" filled="f" stroked="f" strokeweight=".5pt">
                  <v:textbox style="mso-next-textbox:#44 Cuadro de texto">
                    <w:txbxContent>
                      <w:p w:rsidR="006933DF" w:rsidRPr="00A82FB7" w:rsidRDefault="006933DF" w:rsidP="00C525F3">
                        <w:pPr>
                          <w:rPr>
                            <w:rFonts w:ascii="Arial" w:hAnsi="Arial" w:cs="Arial"/>
                            <w:sz w:val="12"/>
                            <w:szCs w:val="12"/>
                          </w:rPr>
                        </w:pPr>
                        <w:r>
                          <w:rPr>
                            <w:rFonts w:ascii="Arial" w:hAnsi="Arial" w:cs="Arial"/>
                            <w:sz w:val="12"/>
                            <w:szCs w:val="12"/>
                          </w:rPr>
                          <w:t>365</w:t>
                        </w:r>
                      </w:p>
                    </w:txbxContent>
                  </v:textbox>
                </v:shape>
              </w:pict>
            </w:r>
            <w:r>
              <w:rPr>
                <w:rFonts w:ascii="Arial" w:hAnsi="Arial" w:cs="Arial"/>
                <w:noProof/>
                <w:sz w:val="16"/>
                <w:szCs w:val="16"/>
                <w:lang w:eastAsia="es-EC"/>
              </w:rPr>
              <w:pict>
                <v:shape id="36 Cuadro de texto" o:spid="_x0000_s1969" type="#_x0000_t202" style="position:absolute;left:0;text-align:left;margin-left:193pt;margin-top:133.4pt;width:42pt;height:16.5pt;z-index:251794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" filled="f" stroked="f" strokeweight=".5pt">
                  <v:textbox style="mso-next-textbox:#36 Cuadro de texto">
                    <w:txbxContent>
                      <w:p w:rsidR="006933DF" w:rsidRPr="00A82FB7" w:rsidRDefault="006933DF" w:rsidP="00C525F3">
                        <w:pPr>
                          <w:rPr>
                            <w:rFonts w:ascii="Arial" w:hAnsi="Arial" w:cs="Arial"/>
                            <w:sz w:val="12"/>
                            <w:szCs w:val="12"/>
                          </w:rPr>
                        </w:pPr>
                        <w:r>
                          <w:rPr>
                            <w:rFonts w:ascii="Arial" w:hAnsi="Arial" w:cs="Arial"/>
                            <w:sz w:val="12"/>
                            <w:szCs w:val="12"/>
                          </w:rPr>
                          <w:t>226</w:t>
                        </w:r>
                      </w:p>
                    </w:txbxContent>
                  </v:textbox>
                </v:shape>
              </w:pict>
            </w:r>
            <w:r>
              <w:rPr>
                <w:rFonts w:ascii="Arial" w:hAnsi="Arial" w:cs="Arial"/>
                <w:noProof/>
                <w:sz w:val="16"/>
                <w:szCs w:val="16"/>
                <w:lang w:eastAsia="es-EC"/>
              </w:rPr>
              <w:pict>
                <v:shape id="35 Cuadro de texto" o:spid="_x0000_s1968" type="#_x0000_t202" style="position:absolute;left:0;text-align:left;margin-left:186.25pt;margin-top:150.65pt;width:42pt;height:16.5pt;z-index:251793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" filled="f" stroked="f" strokeweight=".5pt">
                  <v:textbox style="mso-next-textbox:#35 Cuadro de texto">
                    <w:txbxContent>
                      <w:p w:rsidR="006933DF" w:rsidRPr="00A82FB7" w:rsidRDefault="006933DF" w:rsidP="00C525F3">
                        <w:pPr>
                          <w:rPr>
                            <w:rFonts w:ascii="Arial" w:hAnsi="Arial" w:cs="Arial"/>
                            <w:sz w:val="12"/>
                            <w:szCs w:val="12"/>
                          </w:rPr>
                        </w:pPr>
                        <w:r>
                          <w:rPr>
                            <w:rFonts w:ascii="Arial" w:hAnsi="Arial" w:cs="Arial"/>
                            <w:sz w:val="12"/>
                            <w:szCs w:val="12"/>
                          </w:rPr>
                          <w:t>163</w:t>
                        </w:r>
                      </w:p>
                    </w:txbxContent>
                  </v:textbox>
                </v:shape>
              </w:pict>
            </w:r>
            <w:r>
              <w:rPr>
                <w:rFonts w:ascii="Arial" w:hAnsi="Arial" w:cs="Arial"/>
                <w:noProof/>
                <w:sz w:val="16"/>
                <w:szCs w:val="16"/>
                <w:lang w:eastAsia="es-EC"/>
              </w:rPr>
              <w:pict>
                <v:shape id="52 Cuadro de texto" o:spid="_x0000_s1985" type="#_x0000_t202" style="position:absolute;left:0;text-align:left;margin-left:196.75pt;margin-top:186.65pt;width:42pt;height:16.5pt;z-index:25181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" filled="f" stroked="f" strokeweight=".5pt">
                  <v:textbox style="mso-next-textbox:#52 Cuadro de texto">
                    <w:txbxContent>
                      <w:p w:rsidR="006933DF" w:rsidRPr="00A82FB7" w:rsidRDefault="006933DF" w:rsidP="00C525F3">
                        <w:pPr>
                          <w:rPr>
                            <w:rFonts w:ascii="Arial" w:hAnsi="Arial" w:cs="Arial"/>
                            <w:sz w:val="12"/>
                            <w:szCs w:val="12"/>
                          </w:rPr>
                        </w:pPr>
                        <w:r>
                          <w:rPr>
                            <w:rFonts w:ascii="Arial" w:hAnsi="Arial" w:cs="Arial"/>
                            <w:sz w:val="12"/>
                            <w:szCs w:val="12"/>
                          </w:rPr>
                          <w:t>247</w:t>
                        </w:r>
                      </w:p>
                    </w:txbxContent>
                  </v:textbox>
                </v:shape>
              </w:pict>
            </w:r>
            <w:r>
              <w:rPr>
                <w:rFonts w:ascii="Arial" w:hAnsi="Arial" w:cs="Arial"/>
                <w:noProof/>
                <w:sz w:val="16"/>
                <w:szCs w:val="16"/>
                <w:lang w:eastAsia="es-EC"/>
              </w:rPr>
              <w:pict>
                <v:shape id="47 Cuadro de texto" o:spid="_x0000_s1980" type="#_x0000_t202" style="position:absolute;left:0;text-align:left;margin-left:224.5pt;margin-top:137.15pt;width:42pt;height:16.5pt;z-index:251806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" filled="f" stroked="f" strokeweight=".5pt">
                  <v:textbox style="mso-next-textbox:#47 Cuadro de texto">
                    <w:txbxContent>
                      <w:p w:rsidR="006933DF" w:rsidRPr="00A82FB7" w:rsidRDefault="006933DF" w:rsidP="00C525F3">
                        <w:pPr>
                          <w:rPr>
                            <w:rFonts w:ascii="Arial" w:hAnsi="Arial" w:cs="Arial"/>
                            <w:sz w:val="12"/>
                            <w:szCs w:val="12"/>
                          </w:rPr>
                        </w:pPr>
                        <w:r>
                          <w:rPr>
                            <w:rFonts w:ascii="Arial" w:hAnsi="Arial" w:cs="Arial"/>
                            <w:sz w:val="12"/>
                            <w:szCs w:val="12"/>
                          </w:rPr>
                          <w:t>169</w:t>
                        </w:r>
                      </w:p>
                    </w:txbxContent>
                  </v:textbox>
                </v:shape>
              </w:pict>
            </w:r>
            <w:r>
              <w:rPr>
                <w:rFonts w:ascii="Arial" w:hAnsi="Arial" w:cs="Arial"/>
                <w:noProof/>
                <w:sz w:val="16"/>
                <w:szCs w:val="16"/>
                <w:lang w:eastAsia="es-EC"/>
              </w:rPr>
              <w:pict>
                <v:shape id="49 Cuadro de texto" o:spid="_x0000_s1982" type="#_x0000_t202" style="position:absolute;left:0;text-align:left;margin-left:263.5pt;margin-top:106.1pt;width:42pt;height:16.5pt;z-index:251808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" filled="f" stroked="f" strokeweight=".5pt">
                  <v:textbox style="mso-next-textbox:#49 Cuadro de texto">
                    <w:txbxContent>
                      <w:p w:rsidR="006933DF" w:rsidRPr="00A82FB7" w:rsidRDefault="006933DF" w:rsidP="00C525F3">
                        <w:pPr>
                          <w:rPr>
                            <w:rFonts w:ascii="Arial" w:hAnsi="Arial" w:cs="Arial"/>
                            <w:sz w:val="12"/>
                            <w:szCs w:val="12"/>
                          </w:rPr>
                        </w:pPr>
                        <w:r>
                          <w:rPr>
                            <w:rFonts w:ascii="Arial" w:hAnsi="Arial" w:cs="Arial"/>
                            <w:sz w:val="12"/>
                            <w:szCs w:val="12"/>
                          </w:rPr>
                          <w:t>221</w:t>
                        </w:r>
                      </w:p>
                    </w:txbxContent>
                  </v:textbox>
                </v:shape>
              </w:pict>
            </w:r>
            <w:r>
              <w:rPr>
                <w:rFonts w:ascii="Arial" w:hAnsi="Arial" w:cs="Arial"/>
                <w:noProof/>
                <w:sz w:val="16"/>
                <w:szCs w:val="16"/>
                <w:lang w:eastAsia="es-EC"/>
              </w:rPr>
              <w:pict>
                <v:shape id="37 Cuadro de texto" o:spid="_x0000_s1970" type="#_x0000_t202" style="position:absolute;left:0;text-align:left;margin-left:228.25pt;margin-top:28.3pt;width:42pt;height:16.5pt;rotation:2453422fd;z-index:251795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" filled="f" stroked="f" strokeweight=".5pt">
                  <v:textbox style="mso-next-textbox:#37 Cuadro de texto">
                    <w:txbxContent>
                      <w:p w:rsidR="006933DF" w:rsidRPr="00605522" w:rsidRDefault="006933DF" w:rsidP="00C525F3">
                        <w:pPr>
                          <w:rPr>
                            <w:rFonts w:ascii="Arial" w:hAnsi="Arial" w:cs="Arial"/>
                            <w:color w:val="FFFFFF" w:themeColor="background1"/>
                            <w:sz w:val="12"/>
                            <w:szCs w:val="12"/>
                          </w:rPr>
                        </w:pPr>
                        <w:r w:rsidRPr="00605522">
                          <w:rPr>
                            <w:rFonts w:ascii="Arial" w:hAnsi="Arial" w:cs="Arial"/>
                            <w:color w:val="FFFFFF" w:themeColor="background1"/>
                            <w:sz w:val="12"/>
                            <w:szCs w:val="12"/>
                          </w:rPr>
                          <w:t>430</w:t>
                        </w:r>
                      </w:p>
                    </w:txbxContent>
                  </v:textbox>
                </v:shape>
              </w:pict>
            </w:r>
            <w:r>
              <w:rPr>
                <w:rFonts w:ascii="Arial" w:hAnsi="Arial" w:cs="Arial"/>
                <w:i/>
                <w:noProof/>
                <w:sz w:val="16"/>
                <w:szCs w:val="16"/>
                <w:lang w:eastAsia="es-EC"/>
              </w:rPr>
              <w:pict>
                <v:shape id="57 Cuadro de texto" o:spid="_x0000_s1990" type="#_x0000_t202" style="position:absolute;left:0;text-align:left;margin-left:8.5pt;margin-top:78.65pt;width:42pt;height:16.5pt;z-index:251816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" filled="f" stroked="f" strokeweight=".5pt">
                  <v:textbox style="mso-next-textbox:#57 Cuadro de texto">
                    <w:txbxContent>
                      <w:p w:rsidR="006933DF" w:rsidRPr="00A82FB7" w:rsidRDefault="006933DF" w:rsidP="00C525F3">
                        <w:pPr>
                          <w:rPr>
                            <w:rFonts w:ascii="Arial" w:hAnsi="Arial" w:cs="Arial"/>
                            <w:sz w:val="12"/>
                            <w:szCs w:val="12"/>
                          </w:rPr>
                        </w:pPr>
                        <w:r>
                          <w:rPr>
                            <w:rFonts w:ascii="Arial" w:hAnsi="Arial" w:cs="Arial"/>
                            <w:sz w:val="12"/>
                            <w:szCs w:val="12"/>
                          </w:rPr>
                          <w:t>214</w:t>
                        </w:r>
                      </w:p>
                    </w:txbxContent>
                  </v:textbox>
                </v:shape>
              </w:pict>
            </w:r>
            <w:r>
              <w:rPr>
                <w:rFonts w:ascii="Arial" w:hAnsi="Arial" w:cs="Arial"/>
                <w:noProof/>
                <w:sz w:val="16"/>
                <w:szCs w:val="16"/>
                <w:lang w:eastAsia="es-EC"/>
              </w:rPr>
              <w:pict>
                <v:shape id="43 Cuadro de texto" o:spid="_x0000_s1976" type="#_x0000_t202" style="position:absolute;left:0;text-align:left;margin-left:213.25pt;margin-top:37.95pt;width:42pt;height:16.5pt;z-index:251802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" filled="f" stroked="f" strokeweight=".5pt">
                  <v:textbox style="mso-next-textbox:#43 Cuadro de texto">
                    <w:txbxContent>
                      <w:p w:rsidR="006933DF" w:rsidRPr="00A82FB7" w:rsidRDefault="006933DF" w:rsidP="00C525F3">
                        <w:pPr>
                          <w:rPr>
                            <w:rFonts w:ascii="Arial" w:hAnsi="Arial" w:cs="Arial"/>
                            <w:sz w:val="12"/>
                            <w:szCs w:val="12"/>
                          </w:rPr>
                        </w:pPr>
                        <w:r>
                          <w:rPr>
                            <w:rFonts w:ascii="Arial" w:hAnsi="Arial" w:cs="Arial"/>
                            <w:sz w:val="12"/>
                            <w:szCs w:val="12"/>
                          </w:rPr>
                          <w:t>259</w:t>
                        </w:r>
                      </w:p>
                    </w:txbxContent>
                  </v:textbox>
                </v:shape>
              </w:pict>
            </w:r>
            <w:r>
              <w:rPr>
                <w:rFonts w:ascii="Arial" w:hAnsi="Arial" w:cs="Arial"/>
                <w:noProof/>
                <w:sz w:val="16"/>
                <w:szCs w:val="16"/>
                <w:lang w:eastAsia="es-EC"/>
              </w:rPr>
              <w:pict>
                <v:shape id="53 Cuadro de texto" o:spid="_x0000_s1986" type="#_x0000_t202" style="position:absolute;left:0;text-align:left;margin-left:271pt;margin-top:49.2pt;width:42pt;height:16.5pt;z-index:251812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" filled="f" stroked="f" strokeweight=".5pt">
                  <v:textbox style="mso-next-textbox:#53 Cuadro de texto">
                    <w:txbxContent>
                      <w:p w:rsidR="006933DF" w:rsidRPr="00A82FB7" w:rsidRDefault="006933DF" w:rsidP="00C525F3">
                        <w:pPr>
                          <w:rPr>
                            <w:rFonts w:ascii="Arial" w:hAnsi="Arial" w:cs="Arial"/>
                            <w:sz w:val="12"/>
                            <w:szCs w:val="12"/>
                          </w:rPr>
                        </w:pPr>
                        <w:r>
                          <w:rPr>
                            <w:rFonts w:ascii="Arial" w:hAnsi="Arial" w:cs="Arial"/>
                            <w:sz w:val="12"/>
                            <w:szCs w:val="12"/>
                          </w:rPr>
                          <w:t>203</w:t>
                        </w:r>
                      </w:p>
                    </w:txbxContent>
                  </v:textbox>
                </v:shape>
              </w:pict>
            </w:r>
            <w:r>
              <w:rPr>
                <w:rFonts w:ascii="Arial" w:hAnsi="Arial" w:cs="Arial"/>
                <w:noProof/>
                <w:sz w:val="16"/>
                <w:szCs w:val="16"/>
                <w:lang w:eastAsia="es-EC"/>
              </w:rPr>
              <w:pict>
                <v:shape id="54 Cuadro de texto" o:spid="_x0000_s1987" type="#_x0000_t202" style="position:absolute;left:0;text-align:left;margin-left:277pt;margin-top:75.65pt;width:42pt;height:16.5pt;z-index:251813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" filled="f" stroked="f" strokeweight=".5pt">
                  <v:textbox style="mso-next-textbox:#54 Cuadro de texto">
                    <w:txbxContent>
                      <w:p w:rsidR="006933DF" w:rsidRPr="00A82FB7" w:rsidRDefault="006933DF" w:rsidP="00C525F3">
                        <w:pPr>
                          <w:rPr>
                            <w:rFonts w:ascii="Arial" w:hAnsi="Arial" w:cs="Arial"/>
                            <w:sz w:val="12"/>
                            <w:szCs w:val="12"/>
                          </w:rPr>
                        </w:pPr>
                        <w:r>
                          <w:rPr>
                            <w:rFonts w:ascii="Arial" w:hAnsi="Arial" w:cs="Arial"/>
                            <w:sz w:val="12"/>
                            <w:szCs w:val="12"/>
                          </w:rPr>
                          <w:t>139</w:t>
                        </w:r>
                      </w:p>
                    </w:txbxContent>
                  </v:textbox>
                </v:shape>
              </w:pict>
            </w:r>
            <w:r>
              <w:rPr>
                <w:rFonts w:ascii="Arial" w:hAnsi="Arial" w:cs="Arial"/>
                <w:noProof/>
                <w:sz w:val="16"/>
                <w:szCs w:val="16"/>
                <w:lang w:eastAsia="es-EC"/>
              </w:rPr>
              <w:pict>
                <v:shape id="41 Cuadro de texto" o:spid="_x0000_s1974" type="#_x0000_t202" style="position:absolute;left:0;text-align:left;margin-left:181.75pt;margin-top:25.4pt;width:42pt;height:16.5pt;z-index:251800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" filled="f" stroked="f" strokeweight=".5pt">
                  <v:textbox style="mso-next-textbox:#41 Cuadro de texto">
                    <w:txbxContent>
                      <w:p w:rsidR="006933DF" w:rsidRPr="00A82FB7" w:rsidRDefault="006933DF" w:rsidP="00C525F3">
                        <w:pPr>
                          <w:rPr>
                            <w:rFonts w:ascii="Arial" w:hAnsi="Arial" w:cs="Arial"/>
                            <w:sz w:val="12"/>
                            <w:szCs w:val="12"/>
                          </w:rPr>
                        </w:pPr>
                        <w:r>
                          <w:rPr>
                            <w:rFonts w:ascii="Arial" w:hAnsi="Arial" w:cs="Arial"/>
                            <w:sz w:val="12"/>
                            <w:szCs w:val="12"/>
                          </w:rPr>
                          <w:t>272</w:t>
                        </w:r>
                      </w:p>
                    </w:txbxContent>
                  </v:textbox>
                </v:shape>
              </w:pict>
            </w:r>
            <w:r>
              <w:rPr>
                <w:rFonts w:ascii="Arial" w:hAnsi="Arial" w:cs="Arial"/>
                <w:noProof/>
                <w:sz w:val="16"/>
                <w:szCs w:val="16"/>
                <w:lang w:eastAsia="es-EC"/>
              </w:rPr>
              <w:pict>
                <v:shape id="50 Cuadro de texto" o:spid="_x0000_s1983" type="#_x0000_t202" style="position:absolute;left:0;text-align:left;margin-left:208pt;margin-top:55.4pt;width:42pt;height:16.5pt;z-index:251809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" filled="f" stroked="f" strokeweight=".5pt">
                  <v:textbox style="mso-next-textbox:#50 Cuadro de texto">
                    <w:txbxContent>
                      <w:p w:rsidR="006933DF" w:rsidRPr="00A82FB7" w:rsidRDefault="006933DF" w:rsidP="00C525F3">
                        <w:pPr>
                          <w:rPr>
                            <w:rFonts w:ascii="Arial" w:hAnsi="Arial" w:cs="Arial"/>
                            <w:sz w:val="12"/>
                            <w:szCs w:val="12"/>
                          </w:rPr>
                        </w:pPr>
                        <w:r>
                          <w:rPr>
                            <w:rFonts w:ascii="Arial" w:hAnsi="Arial" w:cs="Arial"/>
                            <w:sz w:val="12"/>
                            <w:szCs w:val="12"/>
                          </w:rPr>
                          <w:t>83</w:t>
                        </w:r>
                      </w:p>
                    </w:txbxContent>
                  </v:textbox>
                </v:shape>
              </w:pict>
            </w:r>
            <w:r>
              <w:rPr>
                <w:rFonts w:ascii="Arial" w:hAnsi="Arial" w:cs="Arial"/>
                <w:noProof/>
                <w:sz w:val="16"/>
                <w:szCs w:val="16"/>
                <w:lang w:eastAsia="es-EC"/>
              </w:rPr>
              <w:pict>
                <v:shape id="38 Cuadro de texto" o:spid="_x0000_s1971" type="#_x0000_t202" style="position:absolute;left:0;text-align:left;margin-left:197.5pt;margin-top:79.4pt;width:42pt;height:16.5pt;z-index:25179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" filled="f" stroked="f" strokeweight=".5pt">
                  <v:textbox style="mso-next-textbox:#38 Cuadro de texto">
                    <w:txbxContent>
                      <w:p w:rsidR="006933DF" w:rsidRPr="00A82FB7" w:rsidRDefault="006933DF" w:rsidP="00C525F3">
                        <w:pPr>
                          <w:rPr>
                            <w:rFonts w:ascii="Arial" w:hAnsi="Arial" w:cs="Arial"/>
                            <w:sz w:val="12"/>
                            <w:szCs w:val="12"/>
                          </w:rPr>
                        </w:pPr>
                        <w:r>
                          <w:rPr>
                            <w:rFonts w:ascii="Arial" w:hAnsi="Arial" w:cs="Arial"/>
                            <w:sz w:val="12"/>
                            <w:szCs w:val="12"/>
                          </w:rPr>
                          <w:t>303</w:t>
                        </w:r>
                      </w:p>
                    </w:txbxContent>
                  </v:textbox>
                </v:shape>
              </w:pict>
            </w:r>
            <w:r>
              <w:rPr>
                <w:rFonts w:ascii="Arial" w:hAnsi="Arial" w:cs="Arial"/>
                <w:noProof/>
                <w:sz w:val="16"/>
                <w:szCs w:val="16"/>
                <w:lang w:eastAsia="es-EC"/>
              </w:rPr>
              <w:pict>
                <v:shape id="48 Cuadro de texto" o:spid="_x0000_s1981" type="#_x0000_t202" style="position:absolute;left:0;text-align:left;margin-left:228.25pt;margin-top:74.1pt;width:42pt;height:16.5pt;z-index:251807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" filled="f" stroked="f" strokeweight=".5pt">
                  <v:textbox style="mso-next-textbox:#48 Cuadro de texto">
                    <w:txbxContent>
                      <w:p w:rsidR="006933DF" w:rsidRPr="00A82FB7" w:rsidRDefault="006933DF" w:rsidP="00C525F3">
                        <w:pPr>
                          <w:rPr>
                            <w:rFonts w:ascii="Arial" w:hAnsi="Arial" w:cs="Arial"/>
                            <w:sz w:val="12"/>
                            <w:szCs w:val="12"/>
                          </w:rPr>
                        </w:pPr>
                        <w:r>
                          <w:rPr>
                            <w:rFonts w:ascii="Arial" w:hAnsi="Arial" w:cs="Arial"/>
                            <w:sz w:val="12"/>
                            <w:szCs w:val="12"/>
                          </w:rPr>
                          <w:t>250</w:t>
                        </w:r>
                      </w:p>
                    </w:txbxContent>
                  </v:textbox>
                </v:shape>
              </w:pict>
            </w:r>
            <w:r>
              <w:rPr>
                <w:rFonts w:ascii="Arial" w:hAnsi="Arial" w:cs="Arial"/>
                <w:noProof/>
                <w:sz w:val="16"/>
                <w:szCs w:val="16"/>
                <w:lang w:eastAsia="es-EC"/>
              </w:rPr>
              <w:pict>
                <v:shape id="46 Cuadro de texto" o:spid="_x0000_s1979" type="#_x0000_t202" style="position:absolute;left:0;text-align:left;margin-left:154pt;margin-top:77.15pt;width:42pt;height:16.5pt;z-index:251805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" filled="f" stroked="f" strokeweight=".5pt">
                  <v:textbox style="mso-next-textbox:#46 Cuadro de texto">
                    <w:txbxContent>
                      <w:p w:rsidR="006933DF" w:rsidRPr="00A82FB7" w:rsidRDefault="006933DF" w:rsidP="00C525F3">
                        <w:pPr>
                          <w:rPr>
                            <w:rFonts w:ascii="Arial" w:hAnsi="Arial" w:cs="Arial"/>
                            <w:sz w:val="12"/>
                            <w:szCs w:val="12"/>
                          </w:rPr>
                        </w:pPr>
                        <w:r>
                          <w:rPr>
                            <w:rFonts w:ascii="Arial" w:hAnsi="Arial" w:cs="Arial"/>
                            <w:sz w:val="12"/>
                            <w:szCs w:val="12"/>
                          </w:rPr>
                          <w:t>314</w:t>
                        </w:r>
                      </w:p>
                    </w:txbxContent>
                  </v:textbox>
                </v:shape>
              </w:pict>
            </w:r>
            <w:r>
              <w:rPr>
                <w:rFonts w:ascii="Arial" w:hAnsi="Arial" w:cs="Arial"/>
                <w:noProof/>
                <w:sz w:val="16"/>
                <w:szCs w:val="16"/>
                <w:lang w:eastAsia="es-EC"/>
              </w:rPr>
              <w:pict>
                <v:shape id="42 Cuadro de texto" o:spid="_x0000_s1975" type="#_x0000_t202" style="position:absolute;left:0;text-align:left;margin-left:158.45pt;margin-top:110.15pt;width:42pt;height:16.5pt;z-index:251801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" filled="f" stroked="f" strokeweight=".5pt">
                  <v:textbox style="mso-next-textbox:#42 Cuadro de texto">
                    <w:txbxContent>
                      <w:p w:rsidR="006933DF" w:rsidRPr="00A82FB7" w:rsidRDefault="006933DF" w:rsidP="00C525F3">
                        <w:pPr>
                          <w:rPr>
                            <w:rFonts w:ascii="Arial" w:hAnsi="Arial" w:cs="Arial"/>
                            <w:sz w:val="12"/>
                            <w:szCs w:val="12"/>
                          </w:rPr>
                        </w:pPr>
                        <w:r>
                          <w:rPr>
                            <w:rFonts w:ascii="Arial" w:hAnsi="Arial" w:cs="Arial"/>
                            <w:sz w:val="12"/>
                            <w:szCs w:val="12"/>
                          </w:rPr>
                          <w:t>86</w:t>
                        </w:r>
                      </w:p>
                    </w:txbxContent>
                  </v:textbox>
                </v:shape>
              </w:pict>
            </w:r>
            <w:r>
              <w:rPr>
                <w:rFonts w:ascii="Arial" w:hAnsi="Arial" w:cs="Arial"/>
                <w:noProof/>
                <w:sz w:val="16"/>
                <w:szCs w:val="16"/>
                <w:lang w:eastAsia="es-EC"/>
              </w:rPr>
              <w:pict>
                <v:shape id="45 Cuadro de texto" o:spid="_x0000_s1978" type="#_x0000_t202" style="position:absolute;left:0;text-align:left;margin-left:175.75pt;margin-top:98.15pt;width:42pt;height:16.5pt;rotation:-5142192fd;z-index:251804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" filled="f" stroked="f" strokeweight=".5pt">
                  <v:textbox style="layout-flow:vertical;mso-layout-flow-alt:bottom-to-top;mso-next-textbox:#45 Cuadro de texto">
                    <w:txbxContent>
                      <w:p w:rsidR="006933DF" w:rsidRPr="00A82FB7" w:rsidRDefault="006933DF" w:rsidP="00C525F3">
                        <w:pPr>
                          <w:rPr>
                            <w:rFonts w:ascii="Arial" w:hAnsi="Arial" w:cs="Arial"/>
                            <w:sz w:val="12"/>
                            <w:szCs w:val="12"/>
                          </w:rPr>
                        </w:pPr>
                        <w:r>
                          <w:rPr>
                            <w:rFonts w:ascii="Arial" w:hAnsi="Arial" w:cs="Arial"/>
                            <w:sz w:val="12"/>
                            <w:szCs w:val="12"/>
                          </w:rPr>
                          <w:t>288</w:t>
                        </w:r>
                      </w:p>
                    </w:txbxContent>
                  </v:textbox>
                </v:shape>
              </w:pict>
            </w:r>
            <w:r>
              <w:rPr>
                <w:rFonts w:ascii="Arial" w:hAnsi="Arial" w:cs="Arial"/>
                <w:noProof/>
                <w:sz w:val="16"/>
                <w:szCs w:val="16"/>
                <w:lang w:eastAsia="es-EC"/>
              </w:rPr>
              <w:pict>
                <v:shape id="34 Cuadro de texto" o:spid="_x0000_s1967" type="#_x0000_t202" style="position:absolute;left:0;text-align:left;margin-left:190.75pt;margin-top:101.15pt;width:42pt;height:16.5pt;rotation:-90;z-index:251792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" filled="f" stroked="f" strokeweight=".5pt">
                  <v:textbox style="layout-flow:vertical;mso-layout-flow-alt:bottom-to-top;mso-next-textbox:#34 Cuadro de texto">
                    <w:txbxContent>
                      <w:p w:rsidR="006933DF" w:rsidRPr="00A82FB7" w:rsidRDefault="006933DF" w:rsidP="00C525F3">
                        <w:pPr>
                          <w:rPr>
                            <w:rFonts w:ascii="Arial" w:hAnsi="Arial" w:cs="Arial"/>
                            <w:sz w:val="12"/>
                            <w:szCs w:val="12"/>
                          </w:rPr>
                        </w:pPr>
                        <w:r>
                          <w:rPr>
                            <w:rFonts w:ascii="Arial" w:hAnsi="Arial" w:cs="Arial"/>
                            <w:sz w:val="12"/>
                            <w:szCs w:val="12"/>
                          </w:rPr>
                          <w:t>455</w:t>
                        </w:r>
                      </w:p>
                    </w:txbxContent>
                  </v:textbox>
                </v:shape>
              </w:pict>
            </w:r>
            <w:r>
              <w:rPr>
                <w:rFonts w:ascii="Arial" w:hAnsi="Arial" w:cs="Arial"/>
                <w:noProof/>
                <w:sz w:val="16"/>
                <w:szCs w:val="16"/>
                <w:lang w:eastAsia="es-EC"/>
              </w:rPr>
              <w:pict>
                <v:shape id="39 Cuadro de texto" o:spid="_x0000_s1972" type="#_x0000_t202" style="position:absolute;left:0;text-align:left;margin-left:202pt;margin-top:115.4pt;width:42pt;height:16.5pt;z-index:251798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" filled="f" stroked="f" strokeweight=".5pt">
                  <v:textbox style="mso-next-textbox:#39 Cuadro de texto">
                    <w:txbxContent>
                      <w:p w:rsidR="006933DF" w:rsidRPr="00A82FB7" w:rsidRDefault="006933DF" w:rsidP="00C525F3">
                        <w:pPr>
                          <w:rPr>
                            <w:rFonts w:ascii="Arial" w:hAnsi="Arial" w:cs="Arial"/>
                            <w:sz w:val="12"/>
                            <w:szCs w:val="12"/>
                          </w:rPr>
                        </w:pPr>
                        <w:r>
                          <w:rPr>
                            <w:rFonts w:ascii="Arial" w:hAnsi="Arial" w:cs="Arial"/>
                            <w:sz w:val="12"/>
                            <w:szCs w:val="12"/>
                          </w:rPr>
                          <w:t>311</w:t>
                        </w:r>
                      </w:p>
                    </w:txbxContent>
                  </v:textbox>
                </v:shape>
              </w:pict>
            </w:r>
            <w:r w:rsidR="00C525F3">
              <w:rPr>
                <w:noProof/>
                <w:lang w:eastAsia="es-EC"/>
              </w:rPr>
              <w:drawing>
                <wp:inline distT="0" distB="0" distL="0" distR="0">
                  <wp:extent cx="4680000" cy="2856624"/>
                  <wp:effectExtent l="0" t="0" r="0" b="0"/>
                  <wp:docPr id="126"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rotWithShape="1">
                          <a:blip r:embed="rId25" cstate="print"/>
                          <a:srcRect/>
                          <a:stretch/>
                        </pic:blipFill>
                        <pic:spPr bwMode="auto">
                          <a:xfrm>
                            <a:off x="0" y="0"/>
                            <a:ext cx="4680000" cy="2856624"/>
                          </a:xfrm>
                          <a:prstGeom prst="rect">
                            <a:avLst/>
                          </a:prstGeom>
                          <a:ln>
                            <a:noFill/>
                          </a:ln>
                          <a:extLst>
                            <a:ext uri="{53640926-AAD7-44D8-BBD7-CCE9431645EC}">
                              <a14:shadowObscured xmlns:a14="http://schemas.microsoft.com/office/drawing/2010/main"/>
                            </a:ext>
                          </a:extLst>
                        </pic:spPr>
                      </pic:pic>
                    </a:graphicData>
                  </a:graphic>
                </wp:inline>
              </w:drawing>
            </w:r>
          </w:p>
        </w:tc>
      </w:tr>
    </w:tbl>
    <w:p w:rsidR="00C525F3" w:rsidRPr="00C525F3" w:rsidRDefault="00C525F3" w:rsidP="00C525F3">
      <w:pPr>
        <w:pStyle w:val="Prrafodelista"/>
        <w:spacing w:line="276" w:lineRule="auto"/>
        <w:ind w:left="851"/>
        <w:jc w:val="both"/>
        <w:rPr>
          <w:rFonts w:ascii="Arial" w:hAnsi="Arial" w:cs="Arial"/>
          <w:sz w:val="17"/>
          <w:szCs w:val="17"/>
        </w:rPr>
      </w:pPr>
    </w:p>
    <w:p w:rsidR="00C525F3" w:rsidRPr="00C525F3" w:rsidRDefault="00C525F3" w:rsidP="00C525F3">
      <w:pPr>
        <w:pStyle w:val="Prrafodelista"/>
        <w:spacing w:line="276" w:lineRule="auto"/>
        <w:ind w:left="851"/>
        <w:jc w:val="both"/>
        <w:rPr>
          <w:rFonts w:ascii="Arial" w:hAnsi="Arial" w:cs="Arial"/>
          <w:sz w:val="17"/>
          <w:szCs w:val="17"/>
        </w:rPr>
      </w:pPr>
      <w:r w:rsidRPr="00C525F3">
        <w:rPr>
          <w:rFonts w:ascii="Arial" w:hAnsi="Arial" w:cs="Arial"/>
          <w:b/>
          <w:i/>
          <w:sz w:val="17"/>
          <w:szCs w:val="17"/>
        </w:rPr>
        <w:t>Fuente:</w:t>
      </w:r>
      <w:r w:rsidRPr="00C525F3">
        <w:rPr>
          <w:rFonts w:ascii="Arial" w:hAnsi="Arial" w:cs="Arial"/>
          <w:sz w:val="17"/>
          <w:szCs w:val="17"/>
        </w:rPr>
        <w:t xml:space="preserve"> </w:t>
      </w:r>
      <w:r w:rsidRPr="00C525F3">
        <w:rPr>
          <w:rFonts w:ascii="Arial" w:hAnsi="Arial" w:cs="Arial"/>
          <w:b/>
          <w:sz w:val="17"/>
          <w:szCs w:val="17"/>
        </w:rPr>
        <w:t xml:space="preserve">INEC </w:t>
      </w:r>
      <w:r w:rsidRPr="00C525F3">
        <w:rPr>
          <w:rFonts w:ascii="Arial" w:hAnsi="Arial" w:cs="Arial"/>
          <w:sz w:val="17"/>
          <w:szCs w:val="17"/>
        </w:rPr>
        <w:t>(2010), Base de Datos del VII Censo de Población y VI de Vivienda.</w:t>
      </w:r>
    </w:p>
    <w:p w:rsidR="00C525F3" w:rsidRPr="00C525F3" w:rsidRDefault="00C525F3" w:rsidP="00C525F3">
      <w:pPr>
        <w:pStyle w:val="Prrafodelista"/>
        <w:spacing w:line="276" w:lineRule="auto"/>
        <w:ind w:left="851"/>
        <w:jc w:val="both"/>
        <w:rPr>
          <w:rFonts w:ascii="Arial" w:hAnsi="Arial" w:cs="Arial"/>
          <w:sz w:val="17"/>
          <w:szCs w:val="17"/>
        </w:rPr>
      </w:pPr>
      <w:r w:rsidRPr="00C525F3">
        <w:rPr>
          <w:rFonts w:ascii="Arial" w:hAnsi="Arial" w:cs="Arial"/>
          <w:b/>
          <w:i/>
          <w:sz w:val="17"/>
          <w:szCs w:val="17"/>
        </w:rPr>
        <w:t>Elaborado por:</w:t>
      </w:r>
      <w:r w:rsidRPr="00C525F3">
        <w:rPr>
          <w:rFonts w:ascii="Arial" w:hAnsi="Arial" w:cs="Arial"/>
          <w:sz w:val="17"/>
          <w:szCs w:val="17"/>
        </w:rPr>
        <w:t xml:space="preserve"> Katherine Loor Valeriano</w:t>
      </w:r>
    </w:p>
    <w:p w:rsidR="00C525F3" w:rsidRDefault="00C525F3" w:rsidP="00C525F3">
      <w:pPr>
        <w:pStyle w:val="Prrafodelista"/>
        <w:spacing w:line="480" w:lineRule="auto"/>
        <w:ind w:left="851"/>
        <w:jc w:val="both"/>
        <w:rPr>
          <w:rFonts w:ascii="Arial" w:hAnsi="Arial" w:cs="Arial"/>
        </w:rPr>
      </w:pPr>
    </w:p>
    <w:p w:rsidR="001F62BB" w:rsidRDefault="001F62BB" w:rsidP="00C525F3">
      <w:pPr>
        <w:pStyle w:val="Prrafodelista"/>
        <w:spacing w:line="480" w:lineRule="auto"/>
        <w:ind w:left="851"/>
        <w:jc w:val="both"/>
        <w:rPr>
          <w:rFonts w:ascii="Arial" w:hAnsi="Arial" w:cs="Arial"/>
        </w:rPr>
      </w:pPr>
      <w:r w:rsidRPr="00C9307E">
        <w:rPr>
          <w:rFonts w:ascii="Arial" w:hAnsi="Arial" w:cs="Arial"/>
        </w:rPr>
        <w:t>Manabí es una de las provincias de la Costa que mayor expulsión de población presenta (31.40%</w:t>
      </w:r>
      <w:r>
        <w:rPr>
          <w:rFonts w:ascii="Arial" w:hAnsi="Arial" w:cs="Arial"/>
        </w:rPr>
        <w:t xml:space="preserve"> de su </w:t>
      </w:r>
      <w:r w:rsidR="003C24A8">
        <w:rPr>
          <w:rFonts w:ascii="Arial" w:hAnsi="Arial" w:cs="Arial"/>
        </w:rPr>
        <w:t>p</w:t>
      </w:r>
      <w:r>
        <w:rPr>
          <w:rFonts w:ascii="Arial" w:hAnsi="Arial" w:cs="Arial"/>
        </w:rPr>
        <w:t>oblación total</w:t>
      </w:r>
      <w:r w:rsidRPr="00C9307E">
        <w:rPr>
          <w:rFonts w:ascii="Arial" w:hAnsi="Arial" w:cs="Arial"/>
        </w:rPr>
        <w:t xml:space="preserve">), además 143 por cada 1000 personas nacidas en esta provincia </w:t>
      </w:r>
      <w:r>
        <w:rPr>
          <w:rFonts w:ascii="Arial" w:hAnsi="Arial" w:cs="Arial"/>
        </w:rPr>
        <w:t xml:space="preserve">han </w:t>
      </w:r>
      <w:r w:rsidRPr="00C9307E">
        <w:rPr>
          <w:rFonts w:ascii="Arial" w:hAnsi="Arial" w:cs="Arial"/>
        </w:rPr>
        <w:t>emigra</w:t>
      </w:r>
      <w:r>
        <w:rPr>
          <w:rFonts w:ascii="Arial" w:hAnsi="Arial" w:cs="Arial"/>
        </w:rPr>
        <w:t>do</w:t>
      </w:r>
      <w:r w:rsidRPr="00C9307E">
        <w:rPr>
          <w:rFonts w:ascii="Arial" w:hAnsi="Arial" w:cs="Arial"/>
        </w:rPr>
        <w:t xml:space="preserve"> hacia el Guayas y un 4.30% en cambio </w:t>
      </w:r>
      <w:r>
        <w:rPr>
          <w:rFonts w:ascii="Arial" w:hAnsi="Arial" w:cs="Arial"/>
        </w:rPr>
        <w:t xml:space="preserve">ha </w:t>
      </w:r>
      <w:r w:rsidRPr="00C9307E">
        <w:rPr>
          <w:rFonts w:ascii="Arial" w:hAnsi="Arial" w:cs="Arial"/>
        </w:rPr>
        <w:t>emigra</w:t>
      </w:r>
      <w:r>
        <w:rPr>
          <w:rFonts w:ascii="Arial" w:hAnsi="Arial" w:cs="Arial"/>
        </w:rPr>
        <w:t>do</w:t>
      </w:r>
      <w:r w:rsidRPr="00C9307E">
        <w:rPr>
          <w:rFonts w:ascii="Arial" w:hAnsi="Arial" w:cs="Arial"/>
        </w:rPr>
        <w:t xml:space="preserve"> hacia Pichincha, siendo éstas dos potencias económicas los lugares atractivos para los manabitas; pero también se dirigen en gran cantidad hacia provincias cercanas como son Esmeraldas y Santo Domingo</w:t>
      </w:r>
      <w:r w:rsidR="003C24A8">
        <w:rPr>
          <w:rFonts w:ascii="Arial" w:hAnsi="Arial" w:cs="Arial"/>
        </w:rPr>
        <w:t>, hacia</w:t>
      </w:r>
      <w:r w:rsidRPr="00C9307E">
        <w:rPr>
          <w:rFonts w:ascii="Arial" w:hAnsi="Arial" w:cs="Arial"/>
        </w:rPr>
        <w:t xml:space="preserve"> donde </w:t>
      </w:r>
      <w:r w:rsidR="003C24A8">
        <w:rPr>
          <w:rFonts w:ascii="Arial" w:hAnsi="Arial" w:cs="Arial"/>
        </w:rPr>
        <w:t xml:space="preserve">respectivamente </w:t>
      </w:r>
      <w:r w:rsidRPr="00C9307E">
        <w:rPr>
          <w:rFonts w:ascii="Arial" w:hAnsi="Arial" w:cs="Arial"/>
        </w:rPr>
        <w:t>emigran 25.58 y 33.54 por cada 1000 nacidos en Manabí, por otra parte tenemos tasas de emigración muy bajas hacia las provincias del Oriente ecuatoriano. Algo interesante</w:t>
      </w:r>
      <w:r w:rsidR="003C24A8">
        <w:rPr>
          <w:rFonts w:ascii="Arial" w:hAnsi="Arial" w:cs="Arial"/>
        </w:rPr>
        <w:t>, pero no sorpresivo</w:t>
      </w:r>
      <w:r w:rsidRPr="00C9307E">
        <w:rPr>
          <w:rFonts w:ascii="Arial" w:hAnsi="Arial" w:cs="Arial"/>
        </w:rPr>
        <w:t xml:space="preserve"> en esta provincia es que a pesar de ser una de las que mayor población expulsa es también una de las provincias del Ecuador que tiene menor tasa de inmigración (62 por cada 1000</w:t>
      </w:r>
      <w:r>
        <w:rPr>
          <w:rFonts w:ascii="Arial" w:hAnsi="Arial" w:cs="Arial"/>
        </w:rPr>
        <w:t xml:space="preserve"> </w:t>
      </w:r>
      <w:r>
        <w:rPr>
          <w:rFonts w:ascii="Arial" w:hAnsi="Arial" w:cs="Arial"/>
        </w:rPr>
        <w:lastRenderedPageBreak/>
        <w:t>residentes</w:t>
      </w:r>
      <w:r w:rsidRPr="00C9307E">
        <w:rPr>
          <w:rFonts w:ascii="Arial" w:hAnsi="Arial" w:cs="Arial"/>
        </w:rPr>
        <w:t>), por tanto, el 93.80% de su población residente esta conformada por nacidos en la misma provincia. Hasta el año 2001</w:t>
      </w:r>
      <w:r>
        <w:rPr>
          <w:rStyle w:val="Refdenotaalpie"/>
          <w:rFonts w:ascii="Arial" w:hAnsi="Arial" w:cs="Arial"/>
        </w:rPr>
        <w:footnoteReference w:id="31"/>
      </w:r>
      <w:r w:rsidRPr="00C9307E">
        <w:rPr>
          <w:rFonts w:ascii="Arial" w:hAnsi="Arial" w:cs="Arial"/>
        </w:rPr>
        <w:t xml:space="preserve"> se vivió un resultado semejante, pues la tasa de emigración era de 309.17 por cada 1000 nacidos en Manabí y la población residente estaba constituida por un 4.91% de inmigrantes provenientes de otras provincias del Ecuador.</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1F62BB" w:rsidRPr="00840530" w:rsidTr="003C24A8">
        <w:trPr>
          <w:trHeight w:val="3742"/>
          <w:jc w:val="right"/>
        </w:trPr>
        <w:tc>
          <w:tcPr>
            <w:tcW w:w="7535" w:type="dxa"/>
          </w:tcPr>
          <w:p w:rsidR="001F62BB" w:rsidRPr="00840530" w:rsidRDefault="001F62BB" w:rsidP="003F1262">
            <w:pPr>
              <w:rPr>
                <w:rFonts w:ascii="Arial" w:hAnsi="Arial" w:cs="Arial"/>
                <w:sz w:val="16"/>
                <w:szCs w:val="16"/>
              </w:rPr>
            </w:pPr>
          </w:p>
          <w:p w:rsidR="001F62BB" w:rsidRPr="001F62BB" w:rsidRDefault="001F62BB" w:rsidP="001F62BB">
            <w:pPr>
              <w:keepNext/>
              <w:rPr>
                <w:rFonts w:ascii="Arial" w:hAnsi="Arial" w:cs="Arial"/>
                <w:b/>
                <w:sz w:val="16"/>
                <w:szCs w:val="16"/>
              </w:rPr>
            </w:pPr>
            <w:bookmarkStart w:id="219" w:name="_Toc341041580"/>
            <w:r>
              <w:rPr>
                <w:rFonts w:ascii="Arial" w:hAnsi="Arial" w:cs="Arial"/>
                <w:b/>
                <w:sz w:val="16"/>
                <w:szCs w:val="16"/>
              </w:rPr>
              <w:t>Tabla</w:t>
            </w:r>
            <w:r w:rsidR="00B271F4">
              <w:rPr>
                <w:rFonts w:ascii="Arial" w:hAnsi="Arial" w:cs="Arial"/>
                <w:b/>
                <w:sz w:val="16"/>
                <w:szCs w:val="16"/>
              </w:rPr>
              <w:t xml:space="preserve"> </w:t>
            </w:r>
            <w:r>
              <w:rPr>
                <w:rFonts w:ascii="Arial" w:hAnsi="Arial" w:cs="Arial"/>
                <w:b/>
                <w:sz w:val="16"/>
                <w:szCs w:val="16"/>
              </w:rPr>
              <w:t>2.</w:t>
            </w:r>
            <w:r w:rsidR="00990535" w:rsidRPr="001F62BB">
              <w:rPr>
                <w:rFonts w:ascii="Arial" w:hAnsi="Arial" w:cs="Arial"/>
                <w:b/>
                <w:sz w:val="16"/>
                <w:szCs w:val="16"/>
              </w:rPr>
              <w:fldChar w:fldCharType="begin"/>
            </w:r>
            <w:r w:rsidRPr="001F62BB">
              <w:rPr>
                <w:rFonts w:ascii="Arial" w:hAnsi="Arial" w:cs="Arial"/>
                <w:b/>
                <w:sz w:val="16"/>
                <w:szCs w:val="16"/>
              </w:rPr>
              <w:instrText xml:space="preserve"> SEQ Tabla2. \* ARABIC </w:instrText>
            </w:r>
            <w:r w:rsidR="00990535" w:rsidRPr="001F62BB">
              <w:rPr>
                <w:rFonts w:ascii="Arial" w:hAnsi="Arial" w:cs="Arial"/>
                <w:b/>
                <w:sz w:val="16"/>
                <w:szCs w:val="16"/>
              </w:rPr>
              <w:fldChar w:fldCharType="separate"/>
            </w:r>
            <w:r w:rsidR="00A242E0">
              <w:rPr>
                <w:rFonts w:ascii="Arial" w:hAnsi="Arial" w:cs="Arial"/>
                <w:b/>
                <w:noProof/>
                <w:sz w:val="16"/>
                <w:szCs w:val="16"/>
              </w:rPr>
              <w:t>5</w:t>
            </w:r>
            <w:bookmarkEnd w:id="219"/>
            <w:r w:rsidR="00990535" w:rsidRPr="001F62BB">
              <w:rPr>
                <w:rFonts w:ascii="Arial" w:hAnsi="Arial" w:cs="Arial"/>
                <w:b/>
                <w:sz w:val="16"/>
                <w:szCs w:val="16"/>
              </w:rPr>
              <w:fldChar w:fldCharType="end"/>
            </w:r>
          </w:p>
          <w:p w:rsidR="001F62BB" w:rsidRPr="007B6CBC" w:rsidRDefault="003C24A8" w:rsidP="003F1262">
            <w:pPr>
              <w:rPr>
                <w:rFonts w:ascii="Arial" w:hAnsi="Arial" w:cs="Arial"/>
                <w:i/>
                <w:sz w:val="16"/>
                <w:szCs w:val="16"/>
              </w:rPr>
            </w:pPr>
            <w:r>
              <w:rPr>
                <w:rFonts w:ascii="Arial" w:hAnsi="Arial" w:cs="Arial"/>
                <w:b/>
                <w:i/>
                <w:sz w:val="16"/>
                <w:szCs w:val="16"/>
              </w:rPr>
              <w:t xml:space="preserve">Manabí 2010: </w:t>
            </w:r>
            <w:r w:rsidR="001F62BB" w:rsidRPr="007B6CBC">
              <w:rPr>
                <w:rFonts w:ascii="Arial" w:hAnsi="Arial" w:cs="Arial"/>
                <w:i/>
                <w:sz w:val="16"/>
                <w:szCs w:val="16"/>
              </w:rPr>
              <w:t>Tasa de Emig</w:t>
            </w:r>
            <w:r>
              <w:rPr>
                <w:rFonts w:ascii="Arial" w:hAnsi="Arial" w:cs="Arial"/>
                <w:i/>
                <w:sz w:val="16"/>
                <w:szCs w:val="16"/>
              </w:rPr>
              <w:t>ración por cada 1000 habitantes</w:t>
            </w:r>
          </w:p>
          <w:p w:rsidR="001F62BB" w:rsidRDefault="001F62BB" w:rsidP="003F1262">
            <w:pPr>
              <w:rPr>
                <w:rFonts w:ascii="Arial" w:hAnsi="Arial" w:cs="Arial"/>
                <w:b/>
                <w:sz w:val="16"/>
                <w:szCs w:val="16"/>
              </w:rPr>
            </w:pPr>
          </w:p>
          <w:tbl>
            <w:tblPr>
              <w:tblW w:w="5784" w:type="dxa"/>
              <w:jc w:val="center"/>
              <w:tblCellMar>
                <w:left w:w="70" w:type="dxa"/>
                <w:right w:w="70" w:type="dxa"/>
              </w:tblCellMar>
              <w:tblLook w:val="04A0" w:firstRow="1" w:lastRow="0" w:firstColumn="1" w:lastColumn="0" w:noHBand="0" w:noVBand="1"/>
            </w:tblPr>
            <w:tblGrid>
              <w:gridCol w:w="1701"/>
              <w:gridCol w:w="1191"/>
              <w:gridCol w:w="1701"/>
              <w:gridCol w:w="1191"/>
            </w:tblGrid>
            <w:tr w:rsidR="001F62BB" w:rsidRPr="005514A3" w:rsidTr="003F1262">
              <w:trPr>
                <w:trHeight w:val="57"/>
                <w:jc w:val="center"/>
              </w:trPr>
              <w:tc>
                <w:tcPr>
                  <w:tcW w:w="1701" w:type="dxa"/>
                  <w:tcBorders>
                    <w:top w:val="single" w:sz="4" w:space="0" w:color="auto"/>
                    <w:left w:val="nil"/>
                    <w:bottom w:val="single" w:sz="4" w:space="0" w:color="auto"/>
                    <w:right w:val="nil"/>
                  </w:tcBorders>
                  <w:shd w:val="clear" w:color="auto" w:fill="auto"/>
                  <w:vAlign w:val="center"/>
                  <w:hideMark/>
                </w:tcPr>
                <w:p w:rsidR="001F62BB" w:rsidRPr="005514A3" w:rsidRDefault="001F62BB" w:rsidP="003F1262">
                  <w:pPr>
                    <w:rPr>
                      <w:rFonts w:ascii="Arial" w:eastAsia="Times New Roman" w:hAnsi="Arial" w:cs="Arial"/>
                      <w:b/>
                      <w:bCs/>
                      <w:sz w:val="16"/>
                      <w:szCs w:val="16"/>
                      <w:lang w:eastAsia="es-EC"/>
                    </w:rPr>
                  </w:pPr>
                  <w:r w:rsidRPr="005514A3">
                    <w:rPr>
                      <w:rFonts w:ascii="Arial" w:eastAsia="Times New Roman" w:hAnsi="Arial" w:cs="Arial"/>
                      <w:b/>
                      <w:bCs/>
                      <w:sz w:val="16"/>
                      <w:szCs w:val="16"/>
                      <w:lang w:eastAsia="es-EC"/>
                    </w:rPr>
                    <w:t>Provincia de Residencia</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rsidR="001F62BB" w:rsidRPr="005514A3" w:rsidRDefault="001F62BB" w:rsidP="003F1262">
                  <w:pPr>
                    <w:rPr>
                      <w:rFonts w:ascii="Arial" w:eastAsia="Times New Roman" w:hAnsi="Arial" w:cs="Arial"/>
                      <w:b/>
                      <w:bCs/>
                      <w:sz w:val="16"/>
                      <w:szCs w:val="16"/>
                      <w:lang w:eastAsia="es-EC"/>
                    </w:rPr>
                  </w:pPr>
                  <w:r w:rsidRPr="005514A3">
                    <w:rPr>
                      <w:rFonts w:ascii="Arial" w:eastAsia="Times New Roman" w:hAnsi="Arial" w:cs="Arial"/>
                      <w:b/>
                      <w:bCs/>
                      <w:sz w:val="16"/>
                      <w:szCs w:val="16"/>
                      <w:lang w:eastAsia="es-EC"/>
                    </w:rPr>
                    <w:t>Tasa de Emigración</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1F62BB" w:rsidRPr="005514A3" w:rsidRDefault="001F62BB" w:rsidP="003F1262">
                  <w:pPr>
                    <w:rPr>
                      <w:rFonts w:ascii="Arial" w:eastAsia="Times New Roman" w:hAnsi="Arial" w:cs="Arial"/>
                      <w:b/>
                      <w:bCs/>
                      <w:sz w:val="16"/>
                      <w:szCs w:val="16"/>
                      <w:lang w:eastAsia="es-EC"/>
                    </w:rPr>
                  </w:pPr>
                  <w:r w:rsidRPr="005514A3">
                    <w:rPr>
                      <w:rFonts w:ascii="Arial" w:eastAsia="Times New Roman" w:hAnsi="Arial" w:cs="Arial"/>
                      <w:b/>
                      <w:bCs/>
                      <w:sz w:val="16"/>
                      <w:szCs w:val="16"/>
                      <w:lang w:eastAsia="es-EC"/>
                    </w:rPr>
                    <w:t>Provincia de Residencia</w:t>
                  </w:r>
                </w:p>
              </w:tc>
              <w:tc>
                <w:tcPr>
                  <w:tcW w:w="1191" w:type="dxa"/>
                  <w:tcBorders>
                    <w:top w:val="single" w:sz="4" w:space="0" w:color="auto"/>
                    <w:left w:val="nil"/>
                    <w:bottom w:val="single" w:sz="4" w:space="0" w:color="auto"/>
                    <w:right w:val="nil"/>
                  </w:tcBorders>
                  <w:shd w:val="clear" w:color="auto" w:fill="auto"/>
                  <w:vAlign w:val="center"/>
                  <w:hideMark/>
                </w:tcPr>
                <w:p w:rsidR="001F62BB" w:rsidRPr="005514A3" w:rsidRDefault="001F62BB" w:rsidP="003F1262">
                  <w:pPr>
                    <w:rPr>
                      <w:rFonts w:ascii="Arial" w:eastAsia="Times New Roman" w:hAnsi="Arial" w:cs="Arial"/>
                      <w:b/>
                      <w:bCs/>
                      <w:sz w:val="16"/>
                      <w:szCs w:val="16"/>
                      <w:lang w:eastAsia="es-EC"/>
                    </w:rPr>
                  </w:pPr>
                  <w:r w:rsidRPr="005514A3">
                    <w:rPr>
                      <w:rFonts w:ascii="Arial" w:eastAsia="Times New Roman" w:hAnsi="Arial" w:cs="Arial"/>
                      <w:b/>
                      <w:bCs/>
                      <w:sz w:val="16"/>
                      <w:szCs w:val="16"/>
                      <w:lang w:eastAsia="es-EC"/>
                    </w:rPr>
                    <w:t>Tasa de Emigración</w:t>
                  </w:r>
                </w:p>
              </w:tc>
            </w:tr>
            <w:tr w:rsidR="001F62BB" w:rsidRPr="005514A3" w:rsidTr="003F1262">
              <w:trPr>
                <w:trHeight w:val="57"/>
                <w:jc w:val="center"/>
              </w:trPr>
              <w:tc>
                <w:tcPr>
                  <w:tcW w:w="1701" w:type="dxa"/>
                  <w:tcBorders>
                    <w:top w:val="nil"/>
                    <w:left w:val="nil"/>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Azuay</w:t>
                  </w:r>
                </w:p>
              </w:tc>
              <w:tc>
                <w:tcPr>
                  <w:tcW w:w="1191" w:type="dxa"/>
                  <w:tcBorders>
                    <w:top w:val="nil"/>
                    <w:left w:val="nil"/>
                    <w:bottom w:val="nil"/>
                    <w:right w:val="single" w:sz="4" w:space="0" w:color="auto"/>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1.90</w:t>
                  </w:r>
                </w:p>
              </w:tc>
              <w:tc>
                <w:tcPr>
                  <w:tcW w:w="1701" w:type="dxa"/>
                  <w:tcBorders>
                    <w:top w:val="nil"/>
                    <w:left w:val="single" w:sz="4" w:space="0" w:color="auto"/>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Morona Santiago</w:t>
                  </w:r>
                </w:p>
              </w:tc>
              <w:tc>
                <w:tcPr>
                  <w:tcW w:w="1191" w:type="dxa"/>
                  <w:tcBorders>
                    <w:top w:val="nil"/>
                    <w:left w:val="nil"/>
                    <w:bottom w:val="nil"/>
                    <w:right w:val="nil"/>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0.30</w:t>
                  </w:r>
                </w:p>
              </w:tc>
            </w:tr>
            <w:tr w:rsidR="001F62BB" w:rsidRPr="005514A3" w:rsidTr="003F1262">
              <w:trPr>
                <w:trHeight w:val="57"/>
                <w:jc w:val="center"/>
              </w:trPr>
              <w:tc>
                <w:tcPr>
                  <w:tcW w:w="1701" w:type="dxa"/>
                  <w:tcBorders>
                    <w:top w:val="nil"/>
                    <w:left w:val="nil"/>
                    <w:bottom w:val="nil"/>
                    <w:right w:val="nil"/>
                  </w:tcBorders>
                  <w:shd w:val="clear" w:color="auto" w:fill="auto"/>
                  <w:noWrap/>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Bolívar</w:t>
                  </w:r>
                </w:p>
              </w:tc>
              <w:tc>
                <w:tcPr>
                  <w:tcW w:w="1191" w:type="dxa"/>
                  <w:tcBorders>
                    <w:top w:val="nil"/>
                    <w:left w:val="nil"/>
                    <w:bottom w:val="nil"/>
                    <w:right w:val="single" w:sz="4" w:space="0" w:color="auto"/>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0.45</w:t>
                  </w:r>
                </w:p>
              </w:tc>
              <w:tc>
                <w:tcPr>
                  <w:tcW w:w="1701" w:type="dxa"/>
                  <w:tcBorders>
                    <w:top w:val="nil"/>
                    <w:left w:val="single" w:sz="4" w:space="0" w:color="auto"/>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Napo</w:t>
                  </w:r>
                </w:p>
              </w:tc>
              <w:tc>
                <w:tcPr>
                  <w:tcW w:w="1191" w:type="dxa"/>
                  <w:tcBorders>
                    <w:top w:val="nil"/>
                    <w:left w:val="nil"/>
                    <w:bottom w:val="nil"/>
                    <w:right w:val="nil"/>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0.62</w:t>
                  </w:r>
                </w:p>
              </w:tc>
            </w:tr>
            <w:tr w:rsidR="001F62BB" w:rsidRPr="005514A3" w:rsidTr="003F1262">
              <w:trPr>
                <w:trHeight w:val="57"/>
                <w:jc w:val="center"/>
              </w:trPr>
              <w:tc>
                <w:tcPr>
                  <w:tcW w:w="1701" w:type="dxa"/>
                  <w:tcBorders>
                    <w:top w:val="nil"/>
                    <w:left w:val="nil"/>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Cañar</w:t>
                  </w:r>
                </w:p>
              </w:tc>
              <w:tc>
                <w:tcPr>
                  <w:tcW w:w="1191" w:type="dxa"/>
                  <w:tcBorders>
                    <w:top w:val="nil"/>
                    <w:left w:val="nil"/>
                    <w:bottom w:val="nil"/>
                    <w:right w:val="single" w:sz="4" w:space="0" w:color="auto"/>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1.85</w:t>
                  </w:r>
                </w:p>
              </w:tc>
              <w:tc>
                <w:tcPr>
                  <w:tcW w:w="1701" w:type="dxa"/>
                  <w:tcBorders>
                    <w:top w:val="nil"/>
                    <w:left w:val="single" w:sz="4" w:space="0" w:color="auto"/>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Pastaza</w:t>
                  </w:r>
                </w:p>
              </w:tc>
              <w:tc>
                <w:tcPr>
                  <w:tcW w:w="1191" w:type="dxa"/>
                  <w:tcBorders>
                    <w:top w:val="nil"/>
                    <w:left w:val="nil"/>
                    <w:bottom w:val="nil"/>
                    <w:right w:val="nil"/>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0.38</w:t>
                  </w:r>
                </w:p>
              </w:tc>
            </w:tr>
            <w:tr w:rsidR="001F62BB" w:rsidRPr="005514A3" w:rsidTr="003F1262">
              <w:trPr>
                <w:trHeight w:val="57"/>
                <w:jc w:val="center"/>
              </w:trPr>
              <w:tc>
                <w:tcPr>
                  <w:tcW w:w="1701" w:type="dxa"/>
                  <w:tcBorders>
                    <w:top w:val="nil"/>
                    <w:left w:val="nil"/>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Carchi</w:t>
                  </w:r>
                </w:p>
              </w:tc>
              <w:tc>
                <w:tcPr>
                  <w:tcW w:w="1191" w:type="dxa"/>
                  <w:tcBorders>
                    <w:top w:val="nil"/>
                    <w:left w:val="nil"/>
                    <w:bottom w:val="nil"/>
                    <w:right w:val="single" w:sz="4" w:space="0" w:color="auto"/>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0.24</w:t>
                  </w:r>
                </w:p>
              </w:tc>
              <w:tc>
                <w:tcPr>
                  <w:tcW w:w="1701" w:type="dxa"/>
                  <w:tcBorders>
                    <w:top w:val="nil"/>
                    <w:left w:val="single" w:sz="4" w:space="0" w:color="auto"/>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Pichincha</w:t>
                  </w:r>
                </w:p>
              </w:tc>
              <w:tc>
                <w:tcPr>
                  <w:tcW w:w="1191" w:type="dxa"/>
                  <w:tcBorders>
                    <w:top w:val="nil"/>
                    <w:left w:val="nil"/>
                    <w:bottom w:val="nil"/>
                    <w:right w:val="nil"/>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43.02</w:t>
                  </w:r>
                </w:p>
              </w:tc>
            </w:tr>
            <w:tr w:rsidR="001F62BB" w:rsidRPr="005514A3" w:rsidTr="003F1262">
              <w:trPr>
                <w:trHeight w:val="57"/>
                <w:jc w:val="center"/>
              </w:trPr>
              <w:tc>
                <w:tcPr>
                  <w:tcW w:w="1701" w:type="dxa"/>
                  <w:tcBorders>
                    <w:top w:val="nil"/>
                    <w:left w:val="nil"/>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Cotopaxi</w:t>
                  </w:r>
                </w:p>
              </w:tc>
              <w:tc>
                <w:tcPr>
                  <w:tcW w:w="1191" w:type="dxa"/>
                  <w:tcBorders>
                    <w:top w:val="nil"/>
                    <w:left w:val="nil"/>
                    <w:bottom w:val="nil"/>
                    <w:right w:val="single" w:sz="4" w:space="0" w:color="auto"/>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3.88</w:t>
                  </w:r>
                </w:p>
              </w:tc>
              <w:tc>
                <w:tcPr>
                  <w:tcW w:w="1701" w:type="dxa"/>
                  <w:tcBorders>
                    <w:top w:val="nil"/>
                    <w:left w:val="single" w:sz="4" w:space="0" w:color="auto"/>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Tungurahua</w:t>
                  </w:r>
                </w:p>
              </w:tc>
              <w:tc>
                <w:tcPr>
                  <w:tcW w:w="1191" w:type="dxa"/>
                  <w:tcBorders>
                    <w:top w:val="nil"/>
                    <w:left w:val="nil"/>
                    <w:bottom w:val="nil"/>
                    <w:right w:val="nil"/>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1.58</w:t>
                  </w:r>
                </w:p>
              </w:tc>
            </w:tr>
            <w:tr w:rsidR="001F62BB" w:rsidRPr="005514A3" w:rsidTr="003F1262">
              <w:trPr>
                <w:trHeight w:val="57"/>
                <w:jc w:val="center"/>
              </w:trPr>
              <w:tc>
                <w:tcPr>
                  <w:tcW w:w="1701" w:type="dxa"/>
                  <w:tcBorders>
                    <w:top w:val="nil"/>
                    <w:left w:val="nil"/>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Chimborazo</w:t>
                  </w:r>
                </w:p>
              </w:tc>
              <w:tc>
                <w:tcPr>
                  <w:tcW w:w="1191" w:type="dxa"/>
                  <w:tcBorders>
                    <w:top w:val="nil"/>
                    <w:left w:val="nil"/>
                    <w:bottom w:val="nil"/>
                    <w:right w:val="single" w:sz="4" w:space="0" w:color="auto"/>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0.65</w:t>
                  </w:r>
                </w:p>
              </w:tc>
              <w:tc>
                <w:tcPr>
                  <w:tcW w:w="1701" w:type="dxa"/>
                  <w:tcBorders>
                    <w:top w:val="nil"/>
                    <w:left w:val="single" w:sz="4" w:space="0" w:color="auto"/>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Zamora Chinchipe</w:t>
                  </w:r>
                </w:p>
              </w:tc>
              <w:tc>
                <w:tcPr>
                  <w:tcW w:w="1191" w:type="dxa"/>
                  <w:tcBorders>
                    <w:top w:val="nil"/>
                    <w:left w:val="nil"/>
                    <w:bottom w:val="nil"/>
                    <w:right w:val="nil"/>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0.12</w:t>
                  </w:r>
                </w:p>
              </w:tc>
            </w:tr>
            <w:tr w:rsidR="001F62BB" w:rsidRPr="005514A3" w:rsidTr="003F1262">
              <w:trPr>
                <w:trHeight w:val="57"/>
                <w:jc w:val="center"/>
              </w:trPr>
              <w:tc>
                <w:tcPr>
                  <w:tcW w:w="1701" w:type="dxa"/>
                  <w:tcBorders>
                    <w:top w:val="nil"/>
                    <w:left w:val="nil"/>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El Oro</w:t>
                  </w:r>
                </w:p>
              </w:tc>
              <w:tc>
                <w:tcPr>
                  <w:tcW w:w="1191" w:type="dxa"/>
                  <w:tcBorders>
                    <w:top w:val="nil"/>
                    <w:left w:val="nil"/>
                    <w:bottom w:val="nil"/>
                    <w:right w:val="single" w:sz="4" w:space="0" w:color="auto"/>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7.47</w:t>
                  </w:r>
                </w:p>
              </w:tc>
              <w:tc>
                <w:tcPr>
                  <w:tcW w:w="1701" w:type="dxa"/>
                  <w:tcBorders>
                    <w:top w:val="nil"/>
                    <w:left w:val="single" w:sz="4" w:space="0" w:color="auto"/>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Galápagos</w:t>
                  </w:r>
                </w:p>
              </w:tc>
              <w:tc>
                <w:tcPr>
                  <w:tcW w:w="1191" w:type="dxa"/>
                  <w:tcBorders>
                    <w:top w:val="nil"/>
                    <w:left w:val="nil"/>
                    <w:bottom w:val="nil"/>
                    <w:right w:val="nil"/>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0.82</w:t>
                  </w:r>
                </w:p>
              </w:tc>
            </w:tr>
            <w:tr w:rsidR="001F62BB" w:rsidRPr="005514A3" w:rsidTr="003F1262">
              <w:trPr>
                <w:trHeight w:val="57"/>
                <w:jc w:val="center"/>
              </w:trPr>
              <w:tc>
                <w:tcPr>
                  <w:tcW w:w="1701" w:type="dxa"/>
                  <w:tcBorders>
                    <w:top w:val="nil"/>
                    <w:left w:val="nil"/>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Esmeraldas</w:t>
                  </w:r>
                </w:p>
              </w:tc>
              <w:tc>
                <w:tcPr>
                  <w:tcW w:w="1191" w:type="dxa"/>
                  <w:tcBorders>
                    <w:top w:val="nil"/>
                    <w:left w:val="nil"/>
                    <w:bottom w:val="nil"/>
                    <w:right w:val="single" w:sz="4" w:space="0" w:color="auto"/>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28.58</w:t>
                  </w:r>
                </w:p>
              </w:tc>
              <w:tc>
                <w:tcPr>
                  <w:tcW w:w="1701" w:type="dxa"/>
                  <w:tcBorders>
                    <w:top w:val="nil"/>
                    <w:left w:val="single" w:sz="4" w:space="0" w:color="auto"/>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Sucumbíos</w:t>
                  </w:r>
                </w:p>
              </w:tc>
              <w:tc>
                <w:tcPr>
                  <w:tcW w:w="1191" w:type="dxa"/>
                  <w:tcBorders>
                    <w:top w:val="nil"/>
                    <w:left w:val="nil"/>
                    <w:bottom w:val="nil"/>
                    <w:right w:val="nil"/>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3.98</w:t>
                  </w:r>
                </w:p>
              </w:tc>
            </w:tr>
            <w:tr w:rsidR="001F62BB" w:rsidRPr="005514A3" w:rsidTr="003F1262">
              <w:trPr>
                <w:trHeight w:val="57"/>
                <w:jc w:val="center"/>
              </w:trPr>
              <w:tc>
                <w:tcPr>
                  <w:tcW w:w="1701" w:type="dxa"/>
                  <w:tcBorders>
                    <w:top w:val="nil"/>
                    <w:left w:val="nil"/>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Guayas</w:t>
                  </w:r>
                </w:p>
              </w:tc>
              <w:tc>
                <w:tcPr>
                  <w:tcW w:w="1191" w:type="dxa"/>
                  <w:tcBorders>
                    <w:top w:val="nil"/>
                    <w:left w:val="nil"/>
                    <w:bottom w:val="nil"/>
                    <w:right w:val="single" w:sz="4" w:space="0" w:color="auto"/>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143.21</w:t>
                  </w:r>
                </w:p>
              </w:tc>
              <w:tc>
                <w:tcPr>
                  <w:tcW w:w="1701" w:type="dxa"/>
                  <w:tcBorders>
                    <w:top w:val="nil"/>
                    <w:left w:val="single" w:sz="4" w:space="0" w:color="auto"/>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Orellana</w:t>
                  </w:r>
                </w:p>
              </w:tc>
              <w:tc>
                <w:tcPr>
                  <w:tcW w:w="1191" w:type="dxa"/>
                  <w:tcBorders>
                    <w:top w:val="nil"/>
                    <w:left w:val="nil"/>
                    <w:bottom w:val="nil"/>
                    <w:right w:val="nil"/>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3.18</w:t>
                  </w:r>
                </w:p>
              </w:tc>
            </w:tr>
            <w:tr w:rsidR="001F62BB" w:rsidRPr="005514A3" w:rsidTr="003F1262">
              <w:trPr>
                <w:trHeight w:val="57"/>
                <w:jc w:val="center"/>
              </w:trPr>
              <w:tc>
                <w:tcPr>
                  <w:tcW w:w="1701" w:type="dxa"/>
                  <w:tcBorders>
                    <w:top w:val="nil"/>
                    <w:left w:val="nil"/>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Imbabura</w:t>
                  </w:r>
                </w:p>
              </w:tc>
              <w:tc>
                <w:tcPr>
                  <w:tcW w:w="1191" w:type="dxa"/>
                  <w:tcBorders>
                    <w:top w:val="nil"/>
                    <w:left w:val="nil"/>
                    <w:bottom w:val="nil"/>
                    <w:right w:val="single" w:sz="4" w:space="0" w:color="auto"/>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0.87</w:t>
                  </w:r>
                </w:p>
              </w:tc>
              <w:tc>
                <w:tcPr>
                  <w:tcW w:w="1701" w:type="dxa"/>
                  <w:tcBorders>
                    <w:top w:val="nil"/>
                    <w:left w:val="single" w:sz="4" w:space="0" w:color="auto"/>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Santo Domingo</w:t>
                  </w:r>
                </w:p>
              </w:tc>
              <w:tc>
                <w:tcPr>
                  <w:tcW w:w="1191" w:type="dxa"/>
                  <w:tcBorders>
                    <w:top w:val="nil"/>
                    <w:left w:val="nil"/>
                    <w:bottom w:val="nil"/>
                    <w:right w:val="nil"/>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33.54</w:t>
                  </w:r>
                </w:p>
              </w:tc>
            </w:tr>
            <w:tr w:rsidR="001F62BB" w:rsidRPr="005514A3" w:rsidTr="003F1262">
              <w:trPr>
                <w:trHeight w:val="57"/>
                <w:jc w:val="center"/>
              </w:trPr>
              <w:tc>
                <w:tcPr>
                  <w:tcW w:w="1701" w:type="dxa"/>
                  <w:tcBorders>
                    <w:top w:val="nil"/>
                    <w:left w:val="nil"/>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Loja</w:t>
                  </w:r>
                </w:p>
              </w:tc>
              <w:tc>
                <w:tcPr>
                  <w:tcW w:w="1191" w:type="dxa"/>
                  <w:tcBorders>
                    <w:top w:val="nil"/>
                    <w:left w:val="nil"/>
                    <w:bottom w:val="nil"/>
                    <w:right w:val="single" w:sz="4" w:space="0" w:color="auto"/>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0.48</w:t>
                  </w:r>
                </w:p>
              </w:tc>
              <w:tc>
                <w:tcPr>
                  <w:tcW w:w="1701" w:type="dxa"/>
                  <w:tcBorders>
                    <w:top w:val="nil"/>
                    <w:left w:val="single" w:sz="4" w:space="0" w:color="auto"/>
                    <w:bottom w:val="nil"/>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Santa Elena</w:t>
                  </w:r>
                </w:p>
              </w:tc>
              <w:tc>
                <w:tcPr>
                  <w:tcW w:w="1191" w:type="dxa"/>
                  <w:tcBorders>
                    <w:top w:val="nil"/>
                    <w:left w:val="nil"/>
                    <w:bottom w:val="nil"/>
                    <w:right w:val="nil"/>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10.28</w:t>
                  </w:r>
                </w:p>
              </w:tc>
            </w:tr>
            <w:tr w:rsidR="001F62BB" w:rsidRPr="005514A3" w:rsidTr="003F1262">
              <w:trPr>
                <w:trHeight w:val="57"/>
                <w:jc w:val="center"/>
              </w:trPr>
              <w:tc>
                <w:tcPr>
                  <w:tcW w:w="1701" w:type="dxa"/>
                  <w:tcBorders>
                    <w:top w:val="nil"/>
                    <w:left w:val="nil"/>
                    <w:bottom w:val="single" w:sz="4" w:space="0" w:color="auto"/>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Los Ríos</w:t>
                  </w:r>
                </w:p>
              </w:tc>
              <w:tc>
                <w:tcPr>
                  <w:tcW w:w="1191" w:type="dxa"/>
                  <w:tcBorders>
                    <w:top w:val="nil"/>
                    <w:left w:val="nil"/>
                    <w:bottom w:val="single" w:sz="4" w:space="0" w:color="auto"/>
                    <w:right w:val="single" w:sz="4" w:space="0" w:color="auto"/>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22.22</w:t>
                  </w:r>
                </w:p>
              </w:tc>
              <w:tc>
                <w:tcPr>
                  <w:tcW w:w="1701" w:type="dxa"/>
                  <w:tcBorders>
                    <w:top w:val="nil"/>
                    <w:left w:val="single" w:sz="4" w:space="0" w:color="auto"/>
                    <w:bottom w:val="single" w:sz="4" w:space="0" w:color="auto"/>
                    <w:right w:val="nil"/>
                  </w:tcBorders>
                  <w:shd w:val="clear" w:color="auto" w:fill="auto"/>
                  <w:vAlign w:val="center"/>
                  <w:hideMark/>
                </w:tcPr>
                <w:p w:rsidR="001F62BB" w:rsidRPr="005514A3" w:rsidRDefault="001F62BB" w:rsidP="007D7A28">
                  <w:pPr>
                    <w:jc w:val="left"/>
                    <w:rPr>
                      <w:rFonts w:ascii="Arial" w:eastAsia="Times New Roman" w:hAnsi="Arial" w:cs="Arial"/>
                      <w:sz w:val="16"/>
                      <w:szCs w:val="16"/>
                      <w:lang w:eastAsia="es-EC"/>
                    </w:rPr>
                  </w:pPr>
                  <w:r w:rsidRPr="005514A3">
                    <w:rPr>
                      <w:rFonts w:ascii="Arial" w:eastAsia="Times New Roman" w:hAnsi="Arial" w:cs="Arial"/>
                      <w:sz w:val="16"/>
                      <w:szCs w:val="16"/>
                      <w:lang w:eastAsia="es-EC"/>
                    </w:rPr>
                    <w:t>Zonas No Delimitadas</w:t>
                  </w:r>
                </w:p>
              </w:tc>
              <w:tc>
                <w:tcPr>
                  <w:tcW w:w="1191" w:type="dxa"/>
                  <w:tcBorders>
                    <w:top w:val="nil"/>
                    <w:left w:val="nil"/>
                    <w:bottom w:val="single" w:sz="4" w:space="0" w:color="auto"/>
                    <w:right w:val="nil"/>
                  </w:tcBorders>
                  <w:shd w:val="clear" w:color="auto" w:fill="auto"/>
                  <w:noWrap/>
                  <w:vAlign w:val="center"/>
                  <w:hideMark/>
                </w:tcPr>
                <w:p w:rsidR="001F62BB" w:rsidRPr="005514A3" w:rsidRDefault="001F62BB" w:rsidP="003F1262">
                  <w:pPr>
                    <w:rPr>
                      <w:rFonts w:ascii="Arial" w:eastAsia="Times New Roman" w:hAnsi="Arial" w:cs="Arial"/>
                      <w:sz w:val="16"/>
                      <w:szCs w:val="16"/>
                      <w:lang w:eastAsia="es-EC"/>
                    </w:rPr>
                  </w:pPr>
                  <w:r w:rsidRPr="005514A3">
                    <w:rPr>
                      <w:rFonts w:ascii="Arial" w:eastAsia="Times New Roman" w:hAnsi="Arial" w:cs="Arial"/>
                      <w:sz w:val="16"/>
                      <w:szCs w:val="16"/>
                      <w:lang w:eastAsia="es-EC"/>
                    </w:rPr>
                    <w:t>4.03</w:t>
                  </w:r>
                </w:p>
              </w:tc>
            </w:tr>
          </w:tbl>
          <w:p w:rsidR="001F62BB" w:rsidRPr="00840530" w:rsidRDefault="001F62BB" w:rsidP="003F1262">
            <w:pPr>
              <w:ind w:left="7"/>
              <w:rPr>
                <w:rFonts w:ascii="Arial" w:hAnsi="Arial" w:cs="Arial"/>
                <w:sz w:val="24"/>
                <w:szCs w:val="24"/>
              </w:rPr>
            </w:pPr>
          </w:p>
        </w:tc>
      </w:tr>
    </w:tbl>
    <w:p w:rsidR="001F62BB" w:rsidRPr="003C24A8" w:rsidRDefault="001F62BB" w:rsidP="003C24A8">
      <w:pPr>
        <w:pStyle w:val="Prrafodelista"/>
        <w:spacing w:line="276" w:lineRule="auto"/>
        <w:ind w:left="851"/>
        <w:jc w:val="both"/>
        <w:rPr>
          <w:rFonts w:ascii="Arial" w:hAnsi="Arial" w:cs="Arial"/>
          <w:sz w:val="17"/>
          <w:szCs w:val="17"/>
        </w:rPr>
      </w:pPr>
    </w:p>
    <w:p w:rsidR="001F62BB" w:rsidRPr="003C24A8" w:rsidRDefault="001F62BB" w:rsidP="003C24A8">
      <w:pPr>
        <w:pStyle w:val="Prrafodelista"/>
        <w:spacing w:line="276" w:lineRule="auto"/>
        <w:ind w:left="851"/>
        <w:jc w:val="both"/>
        <w:rPr>
          <w:rFonts w:ascii="Arial" w:hAnsi="Arial" w:cs="Arial"/>
          <w:sz w:val="17"/>
          <w:szCs w:val="17"/>
        </w:rPr>
      </w:pPr>
      <w:r w:rsidRPr="003C24A8">
        <w:rPr>
          <w:rFonts w:ascii="Arial" w:hAnsi="Arial" w:cs="Arial"/>
          <w:b/>
          <w:i/>
          <w:sz w:val="17"/>
          <w:szCs w:val="17"/>
        </w:rPr>
        <w:t>Fuente:</w:t>
      </w:r>
      <w:r w:rsidRPr="003C24A8">
        <w:rPr>
          <w:rFonts w:ascii="Arial" w:hAnsi="Arial" w:cs="Arial"/>
          <w:sz w:val="17"/>
          <w:szCs w:val="17"/>
        </w:rPr>
        <w:t xml:space="preserve"> </w:t>
      </w:r>
      <w:r w:rsidRPr="003C24A8">
        <w:rPr>
          <w:rFonts w:ascii="Arial" w:hAnsi="Arial" w:cs="Arial"/>
          <w:b/>
          <w:sz w:val="17"/>
          <w:szCs w:val="17"/>
        </w:rPr>
        <w:t xml:space="preserve">INEC </w:t>
      </w:r>
      <w:r w:rsidRPr="003C24A8">
        <w:rPr>
          <w:rFonts w:ascii="Arial" w:hAnsi="Arial" w:cs="Arial"/>
          <w:sz w:val="17"/>
          <w:szCs w:val="17"/>
        </w:rPr>
        <w:t>(2010), Base de Datos del VII Censo de Población y VI de Vivienda.</w:t>
      </w:r>
    </w:p>
    <w:p w:rsidR="001F62BB" w:rsidRPr="00480AFA" w:rsidRDefault="001F62BB" w:rsidP="003C24A8">
      <w:pPr>
        <w:pStyle w:val="Prrafodelista"/>
        <w:spacing w:line="276" w:lineRule="auto"/>
        <w:ind w:left="851"/>
        <w:jc w:val="both"/>
        <w:rPr>
          <w:rFonts w:ascii="Arial" w:hAnsi="Arial" w:cs="Arial"/>
          <w:sz w:val="18"/>
          <w:szCs w:val="18"/>
        </w:rPr>
      </w:pPr>
      <w:r w:rsidRPr="003C24A8">
        <w:rPr>
          <w:rFonts w:ascii="Arial" w:hAnsi="Arial" w:cs="Arial"/>
          <w:b/>
          <w:i/>
          <w:sz w:val="17"/>
          <w:szCs w:val="17"/>
        </w:rPr>
        <w:t>Elaborado por:</w:t>
      </w:r>
      <w:r w:rsidRPr="003C24A8">
        <w:rPr>
          <w:rFonts w:ascii="Arial" w:hAnsi="Arial" w:cs="Arial"/>
          <w:sz w:val="17"/>
          <w:szCs w:val="17"/>
        </w:rPr>
        <w:t xml:space="preserve"> Katherine Loor Valeriano</w:t>
      </w:r>
    </w:p>
    <w:p w:rsidR="001F62BB" w:rsidRDefault="001F62BB" w:rsidP="00302CF4">
      <w:pPr>
        <w:pStyle w:val="Prrafodelista"/>
        <w:spacing w:line="480" w:lineRule="auto"/>
        <w:ind w:left="851"/>
        <w:jc w:val="both"/>
        <w:rPr>
          <w:rFonts w:ascii="Arial" w:hAnsi="Arial" w:cs="Arial"/>
        </w:rPr>
      </w:pPr>
    </w:p>
    <w:p w:rsidR="00674EBD" w:rsidRDefault="00674EBD" w:rsidP="0041640C">
      <w:pPr>
        <w:pStyle w:val="TesisTitulo10"/>
        <w:numPr>
          <w:ilvl w:val="1"/>
          <w:numId w:val="9"/>
        </w:numPr>
        <w:ind w:left="851" w:hanging="567"/>
      </w:pPr>
      <w:bookmarkStart w:id="220" w:name="_Toc339212677"/>
      <w:bookmarkStart w:id="221" w:name="_Toc341040606"/>
      <w:r>
        <w:t xml:space="preserve">Total de Inmigrantes y Emigrantes por </w:t>
      </w:r>
      <w:r w:rsidR="008F1FF2">
        <w:t>k</w:t>
      </w:r>
      <w:r>
        <w:t>ilómetro cuadrado.</w:t>
      </w:r>
      <w:bookmarkEnd w:id="220"/>
      <w:bookmarkEnd w:id="221"/>
    </w:p>
    <w:p w:rsidR="00674EBD" w:rsidRPr="00F73801" w:rsidRDefault="00674EBD" w:rsidP="00F73801">
      <w:pPr>
        <w:spacing w:line="480" w:lineRule="auto"/>
        <w:ind w:left="851"/>
        <w:jc w:val="both"/>
        <w:rPr>
          <w:rFonts w:ascii="Arial" w:hAnsi="Arial" w:cs="Arial"/>
          <w:b/>
        </w:rPr>
      </w:pPr>
      <w:bookmarkStart w:id="222" w:name="_Toc331162370"/>
      <w:bookmarkStart w:id="223" w:name="_Toc339199692"/>
      <w:bookmarkStart w:id="224" w:name="_Toc339212562"/>
      <w:bookmarkStart w:id="225" w:name="_Toc339212678"/>
      <w:bookmarkStart w:id="226" w:name="_Toc339784829"/>
      <w:bookmarkStart w:id="227" w:name="_Toc339852984"/>
      <w:bookmarkStart w:id="228" w:name="_Toc340231754"/>
      <w:r w:rsidRPr="00F73801">
        <w:rPr>
          <w:rFonts w:ascii="Arial" w:hAnsi="Arial" w:cs="Arial"/>
        </w:rPr>
        <w:t xml:space="preserve">En la </w:t>
      </w:r>
      <w:r w:rsidRPr="00F73801">
        <w:rPr>
          <w:rFonts w:ascii="Arial" w:hAnsi="Arial" w:cs="Arial"/>
          <w:i/>
        </w:rPr>
        <w:t>Figura 2.3</w:t>
      </w:r>
      <w:r w:rsidRPr="00F73801">
        <w:rPr>
          <w:rFonts w:ascii="Arial" w:hAnsi="Arial" w:cs="Arial"/>
        </w:rPr>
        <w:t xml:space="preserve">, se presenta el total de Inmigrantes por cada kilómetro cuadrado de la provincia de residencia habitual; </w:t>
      </w:r>
      <w:r w:rsidR="002078AD" w:rsidRPr="00F73801">
        <w:rPr>
          <w:rFonts w:ascii="Arial" w:hAnsi="Arial" w:cs="Arial"/>
        </w:rPr>
        <w:t>e</w:t>
      </w:r>
      <w:r w:rsidRPr="00F73801">
        <w:rPr>
          <w:rFonts w:ascii="Arial" w:hAnsi="Arial" w:cs="Arial"/>
        </w:rPr>
        <w:t xml:space="preserve">ste gráfico a diferencia del ya mostrado en la </w:t>
      </w:r>
      <w:r w:rsidRPr="00F73801">
        <w:rPr>
          <w:rFonts w:ascii="Arial" w:hAnsi="Arial" w:cs="Arial"/>
          <w:i/>
        </w:rPr>
        <w:t xml:space="preserve">Figura 2.1 </w:t>
      </w:r>
      <w:r w:rsidRPr="00F73801">
        <w:rPr>
          <w:rFonts w:ascii="Arial" w:hAnsi="Arial" w:cs="Arial"/>
        </w:rPr>
        <w:t xml:space="preserve">permite una mejor visualización de las provincias que en términos absolutos reciben mayor cantidad de población (inmigrantes), pero que por ser grande el tamaño de su población no se podía notar a simple vista en el gráfico anterior. Es este el caso de </w:t>
      </w:r>
      <w:r w:rsidRPr="00F73801">
        <w:rPr>
          <w:rFonts w:ascii="Arial" w:hAnsi="Arial" w:cs="Arial"/>
        </w:rPr>
        <w:lastRenderedPageBreak/>
        <w:t xml:space="preserve">Pichincha, que ahora se puede </w:t>
      </w:r>
      <w:r w:rsidR="002078AD" w:rsidRPr="00F73801">
        <w:rPr>
          <w:rFonts w:ascii="Arial" w:hAnsi="Arial" w:cs="Arial"/>
        </w:rPr>
        <w:t xml:space="preserve">visualmente </w:t>
      </w:r>
      <w:r w:rsidRPr="00F73801">
        <w:rPr>
          <w:rFonts w:ascii="Arial" w:hAnsi="Arial" w:cs="Arial"/>
        </w:rPr>
        <w:t xml:space="preserve">notar que es la provincia con mayor cantidad de inmigrantes, teniendo 82.50 no nativos residentes por cada kilómetro cuadrado de su extensión territorial. También tenemos a Santo Domingo, que tiene 48.88 inmigrantes por cada kilómetro cuadrado, y que a pesar de no ser la provincia que recibe la segunda mayor cantidad de inmigrantes dada su pequeña extensión se convierte en una de las provincias más </w:t>
      </w:r>
      <w:r w:rsidR="002078AD" w:rsidRPr="00F73801">
        <w:rPr>
          <w:rFonts w:ascii="Arial" w:hAnsi="Arial" w:cs="Arial"/>
        </w:rPr>
        <w:t xml:space="preserve">intensamente </w:t>
      </w:r>
      <w:r w:rsidRPr="00F73801">
        <w:rPr>
          <w:rFonts w:ascii="Arial" w:hAnsi="Arial" w:cs="Arial"/>
        </w:rPr>
        <w:t>coloridas dentro de la gráfica; mientras que el resto de provincias de la Sierra presentan entre 3 y 20 inmigrantes por cada kilómetros cuadrado.</w:t>
      </w:r>
      <w:bookmarkEnd w:id="222"/>
      <w:bookmarkEnd w:id="223"/>
      <w:bookmarkEnd w:id="224"/>
      <w:bookmarkEnd w:id="225"/>
      <w:bookmarkEnd w:id="226"/>
      <w:bookmarkEnd w:id="227"/>
      <w:bookmarkEnd w:id="228"/>
      <w:r w:rsidRPr="00F73801">
        <w:rPr>
          <w:rFonts w:ascii="Arial" w:hAnsi="Arial" w:cs="Arial"/>
        </w:rPr>
        <w:t xml:space="preserve"> </w:t>
      </w:r>
    </w:p>
    <w:p w:rsidR="00674EBD" w:rsidRPr="00F73801" w:rsidRDefault="00674EBD" w:rsidP="00F73801">
      <w:pPr>
        <w:spacing w:line="480" w:lineRule="auto"/>
        <w:ind w:left="851"/>
        <w:jc w:val="both"/>
        <w:rPr>
          <w:rFonts w:ascii="Arial" w:hAnsi="Arial" w:cs="Arial"/>
          <w:b/>
        </w:rPr>
      </w:pPr>
    </w:p>
    <w:p w:rsidR="00674EBD" w:rsidRPr="00F73801" w:rsidRDefault="00674EBD" w:rsidP="00F73801">
      <w:pPr>
        <w:spacing w:line="480" w:lineRule="auto"/>
        <w:ind w:left="851"/>
        <w:jc w:val="both"/>
        <w:rPr>
          <w:rFonts w:ascii="Arial" w:hAnsi="Arial" w:cs="Arial"/>
          <w:b/>
        </w:rPr>
      </w:pPr>
      <w:bookmarkStart w:id="229" w:name="_Toc331162371"/>
      <w:bookmarkStart w:id="230" w:name="_Toc339199693"/>
      <w:bookmarkStart w:id="231" w:name="_Toc339212563"/>
      <w:bookmarkStart w:id="232" w:name="_Toc339212679"/>
      <w:bookmarkStart w:id="233" w:name="_Toc339784830"/>
      <w:bookmarkStart w:id="234" w:name="_Toc339852985"/>
      <w:bookmarkStart w:id="235" w:name="_Toc340231755"/>
      <w:r w:rsidRPr="00F73801">
        <w:rPr>
          <w:rFonts w:ascii="Arial" w:hAnsi="Arial" w:cs="Arial"/>
        </w:rPr>
        <w:t xml:space="preserve">Por otro lado, las provincias del Oriente que también presentaban tasas altas de inmigración como Sucumbíos y Orellana muestran una realidad distinta bajo esta medida, pues reciben entre 4.19 y 2.81 emigrantes por cada kilómetro cuadrado respectivamente. En la Costa, se puede notar ahora que es Guayas la provincia que mayor cantidad de población no nativa recibe, pues se pueden encontrar alrededor de 46.85 inmigrantes por cada kilómetro cuadrado; también tenemos que en El Oro hay 25.60 inmigrantes por kilómetro cuadrado. Para el caso de Los Ríos y Santa Elena que presentan iguales tasas de inmigración, en esta nueva gráfica podemos notar en cambio que Los Ríos posee mayor cantidad de inmigrantes pues no sólo tiene mayor extensión sino también la cantidad de inmigrantes por kilómetro cuadrado es mayor respecto a Santa Elena. Galápagos por su parte, </w:t>
      </w:r>
      <w:r w:rsidR="002078AD" w:rsidRPr="00F73801">
        <w:rPr>
          <w:rFonts w:ascii="Arial" w:hAnsi="Arial" w:cs="Arial"/>
        </w:rPr>
        <w:t>es</w:t>
      </w:r>
      <w:r w:rsidRPr="00F73801">
        <w:rPr>
          <w:rFonts w:ascii="Arial" w:hAnsi="Arial" w:cs="Arial"/>
        </w:rPr>
        <w:t xml:space="preserve"> la provincia con mayor tasa de inmigración pero eso no significa que sea la provincia que mayor cantidad de inmigrantes </w:t>
      </w:r>
      <w:r w:rsidRPr="00F73801">
        <w:rPr>
          <w:rFonts w:ascii="Arial" w:hAnsi="Arial" w:cs="Arial"/>
        </w:rPr>
        <w:lastRenderedPageBreak/>
        <w:t xml:space="preserve">recibe, debido a que si vemos en la </w:t>
      </w:r>
      <w:r w:rsidRPr="00F73801">
        <w:rPr>
          <w:rFonts w:ascii="Arial" w:hAnsi="Arial" w:cs="Arial"/>
          <w:i/>
        </w:rPr>
        <w:t>Figura 2.3</w:t>
      </w:r>
      <w:r w:rsidRPr="00F73801">
        <w:rPr>
          <w:rFonts w:ascii="Arial" w:hAnsi="Arial" w:cs="Arial"/>
        </w:rPr>
        <w:t xml:space="preserve"> no solo es una de las provincias con menor extensión sino que también tiene solamente 1.82 inmigrantes por cada kilómetro cuadrado; es decir, es la provincia que menor cantidad de inmigrantes presenta entre todas las provincias del Ecuador.</w:t>
      </w:r>
      <w:bookmarkEnd w:id="229"/>
      <w:bookmarkEnd w:id="230"/>
      <w:bookmarkEnd w:id="231"/>
      <w:bookmarkEnd w:id="232"/>
      <w:bookmarkEnd w:id="233"/>
      <w:bookmarkEnd w:id="234"/>
      <w:bookmarkEnd w:id="235"/>
    </w:p>
    <w:tbl>
      <w:tblPr>
        <w:tblStyle w:val="Tablaconcuadrcula1"/>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674EBD" w:rsidRPr="00840530" w:rsidTr="002078AD">
        <w:trPr>
          <w:trHeight w:val="5233"/>
          <w:jc w:val="right"/>
        </w:trPr>
        <w:tc>
          <w:tcPr>
            <w:tcW w:w="7535" w:type="dxa"/>
          </w:tcPr>
          <w:p w:rsidR="00674EBD" w:rsidRPr="00840530" w:rsidRDefault="00674EBD" w:rsidP="003F1262">
            <w:pPr>
              <w:rPr>
                <w:rFonts w:ascii="Arial" w:hAnsi="Arial" w:cs="Arial"/>
                <w:sz w:val="16"/>
                <w:szCs w:val="16"/>
              </w:rPr>
            </w:pPr>
          </w:p>
          <w:p w:rsidR="00002347" w:rsidRPr="00002347" w:rsidRDefault="00002347" w:rsidP="00002347">
            <w:pPr>
              <w:keepNext/>
              <w:rPr>
                <w:rFonts w:ascii="Arial" w:hAnsi="Arial" w:cs="Arial"/>
                <w:b/>
                <w:sz w:val="16"/>
                <w:szCs w:val="16"/>
              </w:rPr>
            </w:pPr>
            <w:bookmarkStart w:id="236" w:name="_Toc339749894"/>
            <w:bookmarkStart w:id="237" w:name="_Toc341042993"/>
            <w:r>
              <w:rPr>
                <w:rFonts w:ascii="Arial" w:hAnsi="Arial" w:cs="Arial"/>
                <w:b/>
                <w:sz w:val="16"/>
                <w:szCs w:val="16"/>
              </w:rPr>
              <w:t>Figura 2.</w:t>
            </w:r>
            <w:r w:rsidR="00990535" w:rsidRPr="00002347">
              <w:rPr>
                <w:rFonts w:ascii="Arial" w:hAnsi="Arial" w:cs="Arial"/>
                <w:b/>
                <w:sz w:val="16"/>
                <w:szCs w:val="16"/>
              </w:rPr>
              <w:fldChar w:fldCharType="begin"/>
            </w:r>
            <w:r w:rsidRPr="00002347">
              <w:rPr>
                <w:rFonts w:ascii="Arial" w:hAnsi="Arial" w:cs="Arial"/>
                <w:b/>
                <w:sz w:val="16"/>
                <w:szCs w:val="16"/>
              </w:rPr>
              <w:instrText xml:space="preserve"> SEQ Figura_2. \* ARABIC </w:instrText>
            </w:r>
            <w:r w:rsidR="00990535" w:rsidRPr="00002347">
              <w:rPr>
                <w:rFonts w:ascii="Arial" w:hAnsi="Arial" w:cs="Arial"/>
                <w:b/>
                <w:sz w:val="16"/>
                <w:szCs w:val="16"/>
              </w:rPr>
              <w:fldChar w:fldCharType="separate"/>
            </w:r>
            <w:r w:rsidR="00A242E0">
              <w:rPr>
                <w:rFonts w:ascii="Arial" w:hAnsi="Arial" w:cs="Arial"/>
                <w:b/>
                <w:noProof/>
                <w:sz w:val="16"/>
                <w:szCs w:val="16"/>
              </w:rPr>
              <w:t>3</w:t>
            </w:r>
            <w:bookmarkEnd w:id="236"/>
            <w:bookmarkEnd w:id="237"/>
            <w:r w:rsidR="00990535" w:rsidRPr="00002347">
              <w:rPr>
                <w:rFonts w:ascii="Arial" w:hAnsi="Arial" w:cs="Arial"/>
                <w:b/>
                <w:sz w:val="16"/>
                <w:szCs w:val="16"/>
              </w:rPr>
              <w:fldChar w:fldCharType="end"/>
            </w:r>
          </w:p>
          <w:p w:rsidR="00674EBD" w:rsidRPr="00FD0865" w:rsidRDefault="002078AD" w:rsidP="003F1262">
            <w:pPr>
              <w:rPr>
                <w:rFonts w:ascii="Arial" w:hAnsi="Arial" w:cs="Arial"/>
                <w:i/>
                <w:sz w:val="16"/>
                <w:szCs w:val="16"/>
              </w:rPr>
            </w:pPr>
            <w:r>
              <w:rPr>
                <w:rFonts w:ascii="Arial" w:hAnsi="Arial" w:cs="Arial"/>
                <w:b/>
                <w:i/>
                <w:sz w:val="16"/>
                <w:szCs w:val="16"/>
              </w:rPr>
              <w:t xml:space="preserve">Ecuador 2010: </w:t>
            </w:r>
            <w:r w:rsidR="00674EBD" w:rsidRPr="00FD0865">
              <w:rPr>
                <w:rFonts w:ascii="Arial" w:hAnsi="Arial" w:cs="Arial"/>
                <w:i/>
                <w:sz w:val="16"/>
                <w:szCs w:val="16"/>
              </w:rPr>
              <w:t xml:space="preserve">Total de Inmigrantes por </w:t>
            </w:r>
            <w:r w:rsidR="00674EBD">
              <w:rPr>
                <w:rFonts w:ascii="Arial" w:hAnsi="Arial" w:cs="Arial"/>
                <w:i/>
                <w:sz w:val="16"/>
                <w:szCs w:val="16"/>
              </w:rPr>
              <w:t>Kilómetro cuadrado de la provincia de Residencia habitual</w:t>
            </w:r>
          </w:p>
          <w:p w:rsidR="00674EBD" w:rsidRPr="00840530" w:rsidRDefault="00436907" w:rsidP="003F1262">
            <w:pPr>
              <w:rPr>
                <w:rFonts w:ascii="Arial" w:hAnsi="Arial" w:cs="Arial"/>
                <w:sz w:val="24"/>
                <w:szCs w:val="24"/>
              </w:rPr>
            </w:pPr>
            <w:r>
              <w:rPr>
                <w:rFonts w:ascii="Arial" w:hAnsi="Arial" w:cs="Arial"/>
                <w:noProof/>
                <w:sz w:val="16"/>
                <w:szCs w:val="16"/>
                <w:lang w:eastAsia="es-EC"/>
              </w:rPr>
              <w:pict>
                <v:shape id="_x0000_s1137" type="#_x0000_t202" style="position:absolute;left:0;text-align:left;margin-left:262pt;margin-top:108.6pt;width:42pt;height:16.5pt;z-index:25138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1.04</w:t>
                        </w:r>
                      </w:p>
                    </w:txbxContent>
                  </v:textbox>
                </v:shape>
              </w:pict>
            </w:r>
            <w:r>
              <w:rPr>
                <w:rFonts w:ascii="Arial" w:hAnsi="Arial" w:cs="Arial"/>
                <w:noProof/>
                <w:sz w:val="16"/>
                <w:szCs w:val="16"/>
                <w:lang w:eastAsia="es-EC"/>
              </w:rPr>
              <w:pict>
                <v:shape id="_x0000_s1126" type="#_x0000_t202" style="position:absolute;left:0;text-align:left;margin-left:198.25pt;margin-top:79.65pt;width:42pt;height:16.5pt;z-index:25137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8.72</w:t>
                        </w:r>
                      </w:p>
                    </w:txbxContent>
                  </v:textbox>
                </v:shape>
              </w:pict>
            </w:r>
            <w:r>
              <w:rPr>
                <w:rFonts w:ascii="Arial" w:hAnsi="Arial" w:cs="Arial"/>
                <w:noProof/>
                <w:sz w:val="16"/>
                <w:szCs w:val="16"/>
                <w:lang w:eastAsia="es-EC"/>
              </w:rPr>
              <w:pict>
                <v:shape id="_x0000_s1136" type="#_x0000_t202" style="position:absolute;left:0;text-align:left;margin-left:229pt;margin-top:73.65pt;width:42pt;height:16.5pt;z-index:25138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1.82</w:t>
                        </w:r>
                      </w:p>
                    </w:txbxContent>
                  </v:textbox>
                </v:shape>
              </w:pict>
            </w:r>
            <w:r>
              <w:rPr>
                <w:rFonts w:ascii="Arial" w:hAnsi="Arial" w:cs="Arial"/>
                <w:noProof/>
                <w:sz w:val="16"/>
                <w:szCs w:val="16"/>
                <w:lang w:eastAsia="es-EC"/>
              </w:rPr>
              <w:pict>
                <v:shape id="_x0000_s1142" type="#_x0000_t202" style="position:absolute;left:0;text-align:left;margin-left:281.5pt;margin-top:77.1pt;width:42pt;height:16.5pt;z-index:25139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2.81</w:t>
                        </w:r>
                      </w:p>
                    </w:txbxContent>
                  </v:textbox>
                </v:shape>
              </w:pict>
            </w:r>
            <w:r>
              <w:rPr>
                <w:rFonts w:ascii="Arial" w:hAnsi="Arial" w:cs="Arial"/>
                <w:noProof/>
                <w:sz w:val="16"/>
                <w:szCs w:val="16"/>
                <w:lang w:eastAsia="es-EC"/>
              </w:rPr>
              <w:pict>
                <v:shape id="_x0000_s1141" type="#_x0000_t202" style="position:absolute;left:0;text-align:left;margin-left:276.25pt;margin-top:51.6pt;width:42pt;height:16.5pt;z-index:25139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4.19</w:t>
                        </w:r>
                      </w:p>
                    </w:txbxContent>
                  </v:textbox>
                </v:shape>
              </w:pict>
            </w:r>
            <w:r>
              <w:rPr>
                <w:rFonts w:ascii="Arial" w:hAnsi="Arial" w:cs="Arial"/>
                <w:noProof/>
                <w:sz w:val="16"/>
                <w:szCs w:val="16"/>
                <w:lang w:eastAsia="es-EC"/>
              </w:rPr>
              <w:pict>
                <v:shape id="_x0000_s1125" type="#_x0000_t202" style="position:absolute;left:0;text-align:left;margin-left:225pt;margin-top:28.8pt;width:48.4pt;height:16.5pt;rotation:2175710fd;z-index:25137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4.55</w:t>
                        </w:r>
                      </w:p>
                    </w:txbxContent>
                  </v:textbox>
                </v:shape>
              </w:pict>
            </w:r>
            <w:r>
              <w:rPr>
                <w:rFonts w:ascii="Arial" w:hAnsi="Arial" w:cs="Arial"/>
                <w:noProof/>
                <w:sz w:val="16"/>
                <w:szCs w:val="16"/>
                <w:lang w:eastAsia="es-EC"/>
              </w:rPr>
              <w:pict>
                <v:shape id="_x0000_s1131" type="#_x0000_t202" style="position:absolute;left:0;text-align:left;margin-left:217pt;margin-top:38.5pt;width:42pt;height:16.5pt;z-index:25138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12.86</w:t>
                        </w:r>
                      </w:p>
                    </w:txbxContent>
                  </v:textbox>
                </v:shape>
              </w:pict>
            </w:r>
            <w:r>
              <w:rPr>
                <w:rFonts w:ascii="Arial" w:hAnsi="Arial" w:cs="Arial"/>
                <w:noProof/>
                <w:sz w:val="16"/>
                <w:szCs w:val="16"/>
                <w:lang w:eastAsia="es-EC"/>
              </w:rPr>
              <w:pict>
                <v:shape id="_x0000_s1138" type="#_x0000_t202" style="position:absolute;left:0;text-align:left;margin-left:210.25pt;margin-top:55.75pt;width:42pt;height:16.5pt;z-index:25138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82.50</w:t>
                        </w:r>
                      </w:p>
                    </w:txbxContent>
                  </v:textbox>
                </v:shape>
              </w:pict>
            </w:r>
            <w:r>
              <w:rPr>
                <w:rFonts w:ascii="Arial" w:hAnsi="Arial" w:cs="Arial"/>
                <w:noProof/>
                <w:sz w:val="16"/>
                <w:szCs w:val="16"/>
                <w:lang w:eastAsia="es-EC"/>
              </w:rPr>
              <w:pict>
                <v:shape id="_x0000_s1130" type="#_x0000_t202" style="position:absolute;left:0;text-align:left;margin-left:159.55pt;margin-top:113.5pt;width:42pt;height:16.5pt;z-index:25137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46.85</w:t>
                        </w:r>
                      </w:p>
                    </w:txbxContent>
                  </v:textbox>
                </v:shape>
              </w:pict>
            </w:r>
            <w:r>
              <w:rPr>
                <w:rFonts w:ascii="Arial" w:hAnsi="Arial" w:cs="Arial"/>
                <w:noProof/>
                <w:sz w:val="16"/>
                <w:szCs w:val="16"/>
                <w:lang w:eastAsia="es-EC"/>
              </w:rPr>
              <w:pict>
                <v:shape id="_x0000_s1133" type="#_x0000_t202" style="position:absolute;left:0;text-align:left;margin-left:177.85pt;margin-top:100.95pt;width:37.5pt;height:13.8pt;rotation:-90;z-index:25138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" filled="f" stroked="f" strokeweight=".5pt">
                  <v:textbox style="layout-flow:vertical;mso-layout-flow-alt:bottom-to-top">
                    <w:txbxContent>
                      <w:p w:rsidR="006933DF" w:rsidRPr="00A82FB7" w:rsidRDefault="006933DF" w:rsidP="00674EBD">
                        <w:pPr>
                          <w:rPr>
                            <w:rFonts w:ascii="Arial" w:hAnsi="Arial" w:cs="Arial"/>
                            <w:sz w:val="12"/>
                            <w:szCs w:val="12"/>
                          </w:rPr>
                        </w:pPr>
                        <w:r>
                          <w:rPr>
                            <w:rFonts w:ascii="Arial" w:hAnsi="Arial" w:cs="Arial"/>
                            <w:sz w:val="12"/>
                            <w:szCs w:val="12"/>
                          </w:rPr>
                          <w:t>21.02</w:t>
                        </w:r>
                      </w:p>
                    </w:txbxContent>
                  </v:textbox>
                </v:shape>
              </w:pict>
            </w:r>
            <w:r>
              <w:rPr>
                <w:rFonts w:ascii="Arial" w:hAnsi="Arial" w:cs="Arial"/>
                <w:noProof/>
                <w:sz w:val="16"/>
                <w:szCs w:val="16"/>
                <w:lang w:eastAsia="es-EC"/>
              </w:rPr>
              <w:pict>
                <v:shape id="_x0000_s1123" type="#_x0000_t202" style="position:absolute;left:0;text-align:left;margin-left:191.5pt;margin-top:101.85pt;width:42pt;height:16.5pt;rotation:-5689846fd;z-index:25137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" filled="f" stroked="f" strokeweight=".5pt">
                  <v:textbox style="layout-flow:vertical;mso-layout-flow-alt:bottom-to-top">
                    <w:txbxContent>
                      <w:p w:rsidR="006933DF" w:rsidRPr="00A82FB7" w:rsidRDefault="006933DF" w:rsidP="00674EBD">
                        <w:pPr>
                          <w:rPr>
                            <w:rFonts w:ascii="Arial" w:hAnsi="Arial" w:cs="Arial"/>
                            <w:sz w:val="12"/>
                            <w:szCs w:val="12"/>
                          </w:rPr>
                        </w:pPr>
                        <w:r>
                          <w:rPr>
                            <w:rFonts w:ascii="Arial" w:hAnsi="Arial" w:cs="Arial"/>
                            <w:sz w:val="12"/>
                            <w:szCs w:val="12"/>
                          </w:rPr>
                          <w:t>4.92</w:t>
                        </w:r>
                      </w:p>
                    </w:txbxContent>
                  </v:textbox>
                </v:shape>
              </w:pict>
            </w:r>
            <w:r>
              <w:rPr>
                <w:rFonts w:ascii="Arial" w:hAnsi="Arial" w:cs="Arial"/>
                <w:noProof/>
                <w:sz w:val="16"/>
                <w:szCs w:val="16"/>
                <w:lang w:eastAsia="es-EC"/>
              </w:rPr>
              <w:pict>
                <v:shape id="_x0000_s1124" type="#_x0000_t202" style="position:absolute;left:0;text-align:left;margin-left:194.5pt;margin-top:135.6pt;width:42pt;height:16.5pt;z-index:25137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14.66</w:t>
                        </w:r>
                      </w:p>
                    </w:txbxContent>
                  </v:textbox>
                </v:shape>
              </w:pict>
            </w:r>
            <w:r>
              <w:rPr>
                <w:rFonts w:ascii="Arial" w:hAnsi="Arial" w:cs="Arial"/>
                <w:noProof/>
                <w:sz w:val="16"/>
                <w:szCs w:val="16"/>
                <w:lang w:eastAsia="es-EC"/>
              </w:rPr>
              <w:pict>
                <v:shape id="_x0000_s1128" type="#_x0000_t202" style="position:absolute;left:0;text-align:left;margin-left:163.75pt;margin-top:170.1pt;width:42pt;height:16.5pt;z-index:25137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25.60</w:t>
                        </w:r>
                      </w:p>
                    </w:txbxContent>
                  </v:textbox>
                </v:shape>
              </w:pict>
            </w:r>
            <w:r>
              <w:rPr>
                <w:rFonts w:ascii="Arial" w:hAnsi="Arial" w:cs="Arial"/>
                <w:noProof/>
                <w:sz w:val="16"/>
                <w:szCs w:val="16"/>
                <w:lang w:eastAsia="es-EC"/>
              </w:rPr>
              <w:pict>
                <v:shape id="_x0000_s1132" type="#_x0000_t202" style="position:absolute;left:0;text-align:left;margin-left:171.25pt;margin-top:188.85pt;width:42pt;height:16.5pt;z-index:25138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3.28</w:t>
                        </w:r>
                      </w:p>
                    </w:txbxContent>
                  </v:textbox>
                </v:shape>
              </w:pict>
            </w:r>
            <w:r>
              <w:rPr>
                <w:rFonts w:ascii="Arial" w:hAnsi="Arial" w:cs="Arial"/>
                <w:noProof/>
                <w:sz w:val="16"/>
                <w:szCs w:val="16"/>
                <w:lang w:eastAsia="es-EC"/>
              </w:rPr>
              <w:pict>
                <v:shape id="_x0000_s1140" type="#_x0000_t202" style="position:absolute;left:0;text-align:left;margin-left:201.25pt;margin-top:188.85pt;width:33pt;height:21.75pt;z-index:25138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2.93</w:t>
                        </w:r>
                      </w:p>
                    </w:txbxContent>
                  </v:textbox>
                </v:shape>
              </w:pict>
            </w:r>
            <w:r>
              <w:rPr>
                <w:rFonts w:ascii="Arial" w:hAnsi="Arial" w:cs="Arial"/>
                <w:noProof/>
                <w:sz w:val="16"/>
                <w:szCs w:val="16"/>
                <w:lang w:eastAsia="es-EC"/>
              </w:rPr>
              <w:pict>
                <v:shape id="_x0000_s1135" type="#_x0000_t202" style="position:absolute;left:0;text-align:left;margin-left:224.05pt;margin-top:138.6pt;width:42pt;height:16.5pt;z-index:25138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1.19</w:t>
                        </w:r>
                      </w:p>
                    </w:txbxContent>
                  </v:textbox>
                </v:shape>
              </w:pict>
            </w:r>
            <w:r>
              <w:rPr>
                <w:rFonts w:ascii="Arial" w:hAnsi="Arial" w:cs="Arial"/>
                <w:noProof/>
                <w:sz w:val="16"/>
                <w:szCs w:val="16"/>
                <w:lang w:eastAsia="es-EC"/>
              </w:rPr>
              <w:pict>
                <v:shape id="_x0000_s1144" type="#_x0000_t202" style="position:absolute;left:0;text-align:left;margin-left:139.75pt;margin-top:125.85pt;width:42pt;height:16.5pt;z-index:25139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15.84</w:t>
                        </w:r>
                      </w:p>
                    </w:txbxContent>
                  </v:textbox>
                </v:shape>
              </w:pict>
            </w:r>
            <w:r>
              <w:rPr>
                <w:rFonts w:ascii="Arial" w:hAnsi="Arial" w:cs="Arial"/>
                <w:noProof/>
                <w:sz w:val="16"/>
                <w:szCs w:val="16"/>
                <w:lang w:eastAsia="es-EC"/>
              </w:rPr>
              <w:pict>
                <v:shape id="_x0000_s1145" type="#_x0000_t202" style="position:absolute;left:0;text-align:left;margin-left:9.25pt;margin-top:80.05pt;width:42pt;height:16.5pt;z-index:25139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1.82</w:t>
                        </w:r>
                      </w:p>
                    </w:txbxContent>
                  </v:textbox>
                </v:shape>
              </w:pict>
            </w:r>
            <w:r>
              <w:rPr>
                <w:rFonts w:ascii="Arial" w:hAnsi="Arial" w:cs="Arial"/>
                <w:noProof/>
                <w:sz w:val="16"/>
                <w:szCs w:val="16"/>
                <w:lang w:eastAsia="es-EC"/>
              </w:rPr>
              <w:pict>
                <v:shape id="_x0000_s1129" type="#_x0000_t202" style="position:absolute;left:0;text-align:left;margin-left:184pt;margin-top:27.6pt;width:42pt;height:16.5pt;z-index:25137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7.08</w:t>
                        </w:r>
                      </w:p>
                    </w:txbxContent>
                  </v:textbox>
                </v:shape>
              </w:pict>
            </w:r>
            <w:r>
              <w:rPr>
                <w:rFonts w:ascii="Arial" w:hAnsi="Arial" w:cs="Arial"/>
                <w:noProof/>
                <w:sz w:val="16"/>
                <w:szCs w:val="16"/>
                <w:lang w:eastAsia="es-EC"/>
              </w:rPr>
              <w:pict>
                <v:shape id="_x0000_s1122" type="#_x0000_t202" style="position:absolute;left:0;text-align:left;margin-left:181.75pt;margin-top:150.6pt;width:42pt;height:16.5pt;z-index:25137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12.13</w:t>
                        </w:r>
                      </w:p>
                    </w:txbxContent>
                  </v:textbox>
                </v:shape>
              </w:pict>
            </w:r>
            <w:r>
              <w:rPr>
                <w:rFonts w:ascii="Arial" w:hAnsi="Arial" w:cs="Arial"/>
                <w:noProof/>
                <w:sz w:val="16"/>
                <w:szCs w:val="16"/>
                <w:lang w:eastAsia="es-EC"/>
              </w:rPr>
              <w:pict>
                <v:shape id="_x0000_s1134" type="#_x0000_t202" style="position:absolute;left:0;text-align:left;margin-left:151pt;margin-top:82.35pt;width:42pt;height:16.5pt;z-index:25138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4.45</w:t>
                        </w:r>
                      </w:p>
                    </w:txbxContent>
                  </v:textbox>
                </v:shape>
              </w:pict>
            </w:r>
            <w:r>
              <w:rPr>
                <w:rFonts w:ascii="Arial" w:hAnsi="Arial" w:cs="Arial"/>
                <w:noProof/>
                <w:sz w:val="16"/>
                <w:szCs w:val="16"/>
                <w:lang w:eastAsia="es-EC"/>
              </w:rPr>
              <w:pict>
                <v:shape id="_x0000_s1143" type="#_x0000_t202" style="position:absolute;left:0;text-align:left;margin-left:186.25pt;margin-top:59.85pt;width:42pt;height:16.5pt;z-index:25139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48.88</w:t>
                        </w:r>
                      </w:p>
                    </w:txbxContent>
                  </v:textbox>
                </v:shape>
              </w:pict>
            </w:r>
            <w:r>
              <w:rPr>
                <w:rFonts w:ascii="Arial" w:hAnsi="Arial" w:cs="Arial"/>
                <w:noProof/>
                <w:sz w:val="16"/>
                <w:szCs w:val="16"/>
                <w:lang w:eastAsia="es-EC"/>
              </w:rPr>
              <w:pict>
                <v:shape id="_x0000_s1139" type="#_x0000_t202" style="position:absolute;left:0;text-align:left;margin-left:207.25pt;margin-top:95.1pt;width:42pt;height:16.5pt;z-index:25138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19.74</w:t>
                        </w:r>
                      </w:p>
                    </w:txbxContent>
                  </v:textbox>
                </v:shape>
              </w:pict>
            </w:r>
            <w:r>
              <w:rPr>
                <w:rFonts w:ascii="Arial" w:hAnsi="Arial" w:cs="Arial"/>
                <w:noProof/>
                <w:sz w:val="16"/>
                <w:szCs w:val="16"/>
                <w:lang w:eastAsia="es-EC"/>
              </w:rPr>
              <w:pict>
                <v:shape id="_x0000_s1127" type="#_x0000_t202" style="position:absolute;left:0;text-align:left;margin-left:207.25pt;margin-top:117.6pt;width:28.5pt;height:16.5pt;z-index:25137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6.53</w:t>
                        </w:r>
                      </w:p>
                    </w:txbxContent>
                  </v:textbox>
                </v:shape>
              </w:pict>
            </w:r>
            <w:r w:rsidR="00674EBD">
              <w:rPr>
                <w:noProof/>
                <w:lang w:eastAsia="es-EC"/>
              </w:rPr>
              <w:drawing>
                <wp:inline distT="0" distB="0" distL="0" distR="0">
                  <wp:extent cx="4676775" cy="2904933"/>
                  <wp:effectExtent l="0" t="0" r="0" b="0"/>
                  <wp:docPr id="8"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26" cstate="print"/>
                          <a:stretch>
                            <a:fillRect/>
                          </a:stretch>
                        </pic:blipFill>
                        <pic:spPr>
                          <a:xfrm>
                            <a:off x="0" y="0"/>
                            <a:ext cx="4689284" cy="2912703"/>
                          </a:xfrm>
                          <a:prstGeom prst="rect">
                            <a:avLst/>
                          </a:prstGeom>
                        </pic:spPr>
                      </pic:pic>
                    </a:graphicData>
                  </a:graphic>
                </wp:inline>
              </w:drawing>
            </w:r>
          </w:p>
        </w:tc>
      </w:tr>
    </w:tbl>
    <w:p w:rsidR="00674EBD" w:rsidRPr="002078AD" w:rsidRDefault="00674EBD" w:rsidP="002078AD">
      <w:pPr>
        <w:pStyle w:val="Prrafodelista"/>
        <w:spacing w:line="276" w:lineRule="auto"/>
        <w:ind w:left="851"/>
        <w:jc w:val="both"/>
        <w:rPr>
          <w:rFonts w:ascii="Arial" w:hAnsi="Arial" w:cs="Arial"/>
          <w:sz w:val="17"/>
          <w:szCs w:val="17"/>
        </w:rPr>
      </w:pPr>
    </w:p>
    <w:p w:rsidR="00674EBD" w:rsidRPr="002078AD" w:rsidRDefault="00674EBD" w:rsidP="002078AD">
      <w:pPr>
        <w:pStyle w:val="Prrafodelista"/>
        <w:spacing w:line="276" w:lineRule="auto"/>
        <w:ind w:left="851"/>
        <w:jc w:val="both"/>
        <w:rPr>
          <w:rFonts w:ascii="Arial" w:hAnsi="Arial" w:cs="Arial"/>
          <w:sz w:val="17"/>
          <w:szCs w:val="17"/>
        </w:rPr>
      </w:pPr>
      <w:r w:rsidRPr="002078AD">
        <w:rPr>
          <w:rFonts w:ascii="Arial" w:hAnsi="Arial" w:cs="Arial"/>
          <w:b/>
          <w:i/>
          <w:sz w:val="17"/>
          <w:szCs w:val="17"/>
        </w:rPr>
        <w:t>Fuente:</w:t>
      </w:r>
      <w:r w:rsidRPr="002078AD">
        <w:rPr>
          <w:rFonts w:ascii="Arial" w:hAnsi="Arial" w:cs="Arial"/>
          <w:sz w:val="17"/>
          <w:szCs w:val="17"/>
        </w:rPr>
        <w:t xml:space="preserve"> </w:t>
      </w:r>
      <w:r w:rsidRPr="002078AD">
        <w:rPr>
          <w:rFonts w:ascii="Arial" w:hAnsi="Arial" w:cs="Arial"/>
          <w:b/>
          <w:sz w:val="17"/>
          <w:szCs w:val="17"/>
        </w:rPr>
        <w:t xml:space="preserve">INEC </w:t>
      </w:r>
      <w:r w:rsidRPr="002078AD">
        <w:rPr>
          <w:rFonts w:ascii="Arial" w:hAnsi="Arial" w:cs="Arial"/>
          <w:sz w:val="17"/>
          <w:szCs w:val="17"/>
        </w:rPr>
        <w:t>(2010), Base de Datos del VII Censo de Población y VI de Vivienda.</w:t>
      </w:r>
    </w:p>
    <w:p w:rsidR="00674EBD" w:rsidRPr="002078AD" w:rsidRDefault="00674EBD" w:rsidP="002078AD">
      <w:pPr>
        <w:pStyle w:val="Prrafodelista"/>
        <w:spacing w:line="276" w:lineRule="auto"/>
        <w:ind w:left="851"/>
        <w:jc w:val="both"/>
        <w:rPr>
          <w:rFonts w:ascii="Arial" w:hAnsi="Arial" w:cs="Arial"/>
          <w:sz w:val="17"/>
          <w:szCs w:val="17"/>
        </w:rPr>
      </w:pPr>
      <w:r w:rsidRPr="002078AD">
        <w:rPr>
          <w:rFonts w:ascii="Arial" w:hAnsi="Arial" w:cs="Arial"/>
          <w:b/>
          <w:i/>
          <w:sz w:val="17"/>
          <w:szCs w:val="17"/>
        </w:rPr>
        <w:t>Elaborado por:</w:t>
      </w:r>
      <w:r w:rsidRPr="002078AD">
        <w:rPr>
          <w:rFonts w:ascii="Arial" w:hAnsi="Arial" w:cs="Arial"/>
          <w:sz w:val="17"/>
          <w:szCs w:val="17"/>
        </w:rPr>
        <w:t xml:space="preserve"> Katherine Loor Valeriano</w:t>
      </w:r>
    </w:p>
    <w:p w:rsidR="00674EBD" w:rsidRDefault="00674EBD" w:rsidP="002078AD">
      <w:pPr>
        <w:pStyle w:val="TesisTitulo10"/>
        <w:numPr>
          <w:ilvl w:val="0"/>
          <w:numId w:val="0"/>
        </w:numPr>
        <w:ind w:left="851"/>
        <w:rPr>
          <w:b w:val="0"/>
          <w:sz w:val="22"/>
          <w:szCs w:val="22"/>
        </w:rPr>
      </w:pPr>
      <w:bookmarkStart w:id="238" w:name="_Toc331162372"/>
    </w:p>
    <w:p w:rsidR="00674EBD" w:rsidRPr="00287F2C" w:rsidRDefault="00674EBD" w:rsidP="00287F2C">
      <w:pPr>
        <w:spacing w:line="480" w:lineRule="auto"/>
        <w:ind w:left="851"/>
        <w:jc w:val="both"/>
        <w:rPr>
          <w:rFonts w:ascii="Arial" w:hAnsi="Arial" w:cs="Arial"/>
        </w:rPr>
      </w:pPr>
      <w:bookmarkStart w:id="239" w:name="_Toc339199694"/>
      <w:bookmarkStart w:id="240" w:name="_Toc339212564"/>
      <w:bookmarkStart w:id="241" w:name="_Toc339212680"/>
      <w:bookmarkStart w:id="242" w:name="_Toc339784831"/>
      <w:bookmarkStart w:id="243" w:name="_Toc339852986"/>
      <w:bookmarkStart w:id="244" w:name="_Toc340231756"/>
      <w:r w:rsidRPr="00287F2C">
        <w:rPr>
          <w:rFonts w:ascii="Arial" w:hAnsi="Arial" w:cs="Arial"/>
        </w:rPr>
        <w:t xml:space="preserve">En lo que respecta a emigración, también se dieron algunos cambios especialmente en las provincias del Oriente, donde bajo este nuevo esquema, todas presentan entre 0.50 y 2.11 emigrantes por cada kilómetro cuadrado de su extensión territorial cabe considerar que </w:t>
      </w:r>
      <w:r w:rsidR="002078AD" w:rsidRPr="00287F2C">
        <w:rPr>
          <w:rFonts w:ascii="Arial" w:hAnsi="Arial" w:cs="Arial"/>
        </w:rPr>
        <w:t>el</w:t>
      </w:r>
      <w:r w:rsidRPr="00287F2C">
        <w:rPr>
          <w:rFonts w:ascii="Arial" w:hAnsi="Arial" w:cs="Arial"/>
        </w:rPr>
        <w:t xml:space="preserve"> escenario se presenta de esta manera dada la gran extensión de</w:t>
      </w:r>
      <w:r w:rsidR="002078AD" w:rsidRPr="00287F2C">
        <w:rPr>
          <w:rFonts w:ascii="Arial" w:hAnsi="Arial" w:cs="Arial"/>
        </w:rPr>
        <w:t xml:space="preserve"> las provincias de esta región</w:t>
      </w:r>
      <w:r w:rsidR="00F91C02">
        <w:rPr>
          <w:rFonts w:ascii="Arial" w:hAnsi="Arial" w:cs="Arial"/>
        </w:rPr>
        <w:t>;</w:t>
      </w:r>
      <w:r w:rsidRPr="00287F2C">
        <w:rPr>
          <w:rFonts w:ascii="Arial" w:hAnsi="Arial" w:cs="Arial"/>
        </w:rPr>
        <w:t xml:space="preserve"> </w:t>
      </w:r>
      <w:r w:rsidR="00F91C02">
        <w:rPr>
          <w:rFonts w:ascii="Arial" w:hAnsi="Arial" w:cs="Arial"/>
        </w:rPr>
        <w:t>m</w:t>
      </w:r>
      <w:r w:rsidRPr="00287F2C">
        <w:rPr>
          <w:rFonts w:ascii="Arial" w:hAnsi="Arial" w:cs="Arial"/>
        </w:rPr>
        <w:t xml:space="preserve">ientras tanto, de las provincias de la Sierra, Bolívar es una de la de color más </w:t>
      </w:r>
      <w:r w:rsidR="002078AD" w:rsidRPr="00287F2C">
        <w:rPr>
          <w:rFonts w:ascii="Arial" w:hAnsi="Arial" w:cs="Arial"/>
        </w:rPr>
        <w:t>intenso</w:t>
      </w:r>
      <w:r w:rsidRPr="00287F2C">
        <w:rPr>
          <w:rFonts w:ascii="Arial" w:hAnsi="Arial" w:cs="Arial"/>
        </w:rPr>
        <w:t xml:space="preserve"> al igual que en el caso anterior, pues tenemos que </w:t>
      </w:r>
      <w:r w:rsidRPr="00287F2C">
        <w:rPr>
          <w:rFonts w:ascii="Arial" w:hAnsi="Arial" w:cs="Arial"/>
        </w:rPr>
        <w:lastRenderedPageBreak/>
        <w:t>esta provincia expulsa alrededor de 34.65 nacidos en ella por cada kilómetro cuadrado. Otras que presentan valores altos son Tungurahua y Chimborazo 31.53 y 28.78 emigrantes por cada kilómetro cuadrado respectivamente.</w:t>
      </w:r>
      <w:bookmarkEnd w:id="238"/>
      <w:bookmarkEnd w:id="239"/>
      <w:bookmarkEnd w:id="240"/>
      <w:bookmarkEnd w:id="241"/>
      <w:bookmarkEnd w:id="242"/>
      <w:bookmarkEnd w:id="243"/>
      <w:bookmarkEnd w:id="244"/>
    </w:p>
    <w:p w:rsidR="00674EBD" w:rsidRPr="00287F2C" w:rsidRDefault="00674EBD" w:rsidP="00287F2C">
      <w:pPr>
        <w:spacing w:line="480" w:lineRule="auto"/>
        <w:ind w:left="851"/>
        <w:jc w:val="both"/>
        <w:rPr>
          <w:rFonts w:ascii="Arial" w:hAnsi="Arial" w:cs="Arial"/>
        </w:rPr>
      </w:pPr>
    </w:p>
    <w:p w:rsidR="00674EBD" w:rsidRDefault="00674EBD" w:rsidP="00287F2C">
      <w:pPr>
        <w:spacing w:line="480" w:lineRule="auto"/>
        <w:ind w:left="851"/>
        <w:jc w:val="both"/>
      </w:pPr>
      <w:bookmarkStart w:id="245" w:name="_Toc331162373"/>
      <w:bookmarkStart w:id="246" w:name="_Toc339199695"/>
      <w:bookmarkStart w:id="247" w:name="_Toc339212565"/>
      <w:bookmarkStart w:id="248" w:name="_Toc339212681"/>
      <w:bookmarkStart w:id="249" w:name="_Toc339784832"/>
      <w:bookmarkStart w:id="250" w:name="_Toc339852987"/>
      <w:bookmarkStart w:id="251" w:name="_Toc340231757"/>
      <w:r w:rsidRPr="00287F2C">
        <w:rPr>
          <w:rFonts w:ascii="Arial" w:hAnsi="Arial" w:cs="Arial"/>
        </w:rPr>
        <w:t xml:space="preserve">De las provincias de la Costa, tenemos que en términos absolutos Manabí es una de las que mayor cantidad de personas expulsa, pues se tiene que </w:t>
      </w:r>
      <w:r w:rsidR="002078AD" w:rsidRPr="00287F2C">
        <w:rPr>
          <w:rFonts w:ascii="Arial" w:hAnsi="Arial" w:cs="Arial"/>
        </w:rPr>
        <w:t>emigraron</w:t>
      </w:r>
      <w:r w:rsidRPr="00287F2C">
        <w:rPr>
          <w:rFonts w:ascii="Arial" w:hAnsi="Arial" w:cs="Arial"/>
        </w:rPr>
        <w:t xml:space="preserve"> 30.89 nacidos en Manabí por kilómetro cuadrado. Por otro lado, Los Ríos y El Oro expulsan alrededor de 36.10 y 18.99 personas por cada kilómetro cuadrado; siendo además Santa Elena en esta región la provincia que menor cantidad de personas expulsa, </w:t>
      </w:r>
      <w:r w:rsidR="002078AD" w:rsidRPr="00287F2C">
        <w:rPr>
          <w:rFonts w:ascii="Arial" w:hAnsi="Arial" w:cs="Arial"/>
        </w:rPr>
        <w:t>ya</w:t>
      </w:r>
      <w:r w:rsidRPr="00287F2C">
        <w:rPr>
          <w:rFonts w:ascii="Arial" w:hAnsi="Arial" w:cs="Arial"/>
        </w:rPr>
        <w:t xml:space="preserve"> que no sólo es una de las más pequeñas en extensión sino también que 8.33 personas por cada kilómetro cuadrado</w:t>
      </w:r>
      <w:r w:rsidR="002078AD" w:rsidRPr="00287F2C">
        <w:rPr>
          <w:rFonts w:ascii="Arial" w:hAnsi="Arial" w:cs="Arial"/>
        </w:rPr>
        <w:t xml:space="preserve"> han emigrado desde esta provincia</w:t>
      </w:r>
      <w:r w:rsidRPr="00287F2C">
        <w:rPr>
          <w:rFonts w:ascii="Arial" w:hAnsi="Arial" w:cs="Arial"/>
        </w:rPr>
        <w:t>.</w:t>
      </w:r>
      <w:bookmarkEnd w:id="245"/>
      <w:bookmarkEnd w:id="246"/>
      <w:r w:rsidRPr="00287F2C">
        <w:rPr>
          <w:rFonts w:ascii="Arial" w:hAnsi="Arial" w:cs="Arial"/>
        </w:rPr>
        <w:t xml:space="preserve"> </w:t>
      </w:r>
      <w:r w:rsidRPr="00287F2C">
        <w:rPr>
          <w:rFonts w:ascii="Arial" w:hAnsi="Arial" w:cs="Arial"/>
          <w:i/>
        </w:rPr>
        <w:t>Véase</w:t>
      </w:r>
      <w:r w:rsidRPr="00287F2C">
        <w:rPr>
          <w:rFonts w:ascii="Arial" w:hAnsi="Arial" w:cs="Arial"/>
        </w:rPr>
        <w:t xml:space="preserve"> </w:t>
      </w:r>
      <w:r w:rsidRPr="00287F2C">
        <w:rPr>
          <w:rFonts w:ascii="Arial" w:hAnsi="Arial" w:cs="Arial"/>
          <w:i/>
        </w:rPr>
        <w:t>Figura 2.4.</w:t>
      </w:r>
      <w:bookmarkEnd w:id="247"/>
      <w:bookmarkEnd w:id="248"/>
      <w:bookmarkEnd w:id="249"/>
      <w:bookmarkEnd w:id="250"/>
      <w:bookmarkEnd w:id="251"/>
    </w:p>
    <w:tbl>
      <w:tblPr>
        <w:tblStyle w:val="Tablaconcuadrcula1"/>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674EBD" w:rsidRPr="00840530" w:rsidTr="002078AD">
        <w:trPr>
          <w:trHeight w:val="4989"/>
          <w:jc w:val="right"/>
        </w:trPr>
        <w:tc>
          <w:tcPr>
            <w:tcW w:w="7535" w:type="dxa"/>
          </w:tcPr>
          <w:p w:rsidR="00674EBD" w:rsidRPr="00840530" w:rsidRDefault="00674EBD" w:rsidP="003F1262">
            <w:pPr>
              <w:rPr>
                <w:rFonts w:ascii="Arial" w:hAnsi="Arial" w:cs="Arial"/>
                <w:sz w:val="16"/>
                <w:szCs w:val="16"/>
              </w:rPr>
            </w:pPr>
          </w:p>
          <w:p w:rsidR="002808E4" w:rsidRPr="002808E4" w:rsidRDefault="002808E4" w:rsidP="002808E4">
            <w:pPr>
              <w:keepNext/>
              <w:rPr>
                <w:rFonts w:ascii="Arial" w:hAnsi="Arial" w:cs="Arial"/>
                <w:b/>
                <w:sz w:val="16"/>
                <w:szCs w:val="16"/>
              </w:rPr>
            </w:pPr>
            <w:bookmarkStart w:id="252" w:name="_Toc341042994"/>
            <w:r>
              <w:rPr>
                <w:rFonts w:ascii="Arial" w:hAnsi="Arial" w:cs="Arial"/>
                <w:b/>
                <w:sz w:val="16"/>
                <w:szCs w:val="16"/>
              </w:rPr>
              <w:t>Figura 2.</w:t>
            </w:r>
            <w:r w:rsidR="00990535" w:rsidRPr="002808E4">
              <w:rPr>
                <w:rFonts w:ascii="Arial" w:hAnsi="Arial" w:cs="Arial"/>
                <w:b/>
                <w:sz w:val="16"/>
                <w:szCs w:val="16"/>
              </w:rPr>
              <w:fldChar w:fldCharType="begin"/>
            </w:r>
            <w:r w:rsidRPr="002808E4">
              <w:rPr>
                <w:rFonts w:ascii="Arial" w:hAnsi="Arial" w:cs="Arial"/>
                <w:b/>
                <w:sz w:val="16"/>
                <w:szCs w:val="16"/>
              </w:rPr>
              <w:instrText xml:space="preserve"> SEQ Figura_2. \* ARABIC </w:instrText>
            </w:r>
            <w:r w:rsidR="00990535" w:rsidRPr="002808E4">
              <w:rPr>
                <w:rFonts w:ascii="Arial" w:hAnsi="Arial" w:cs="Arial"/>
                <w:b/>
                <w:sz w:val="16"/>
                <w:szCs w:val="16"/>
              </w:rPr>
              <w:fldChar w:fldCharType="separate"/>
            </w:r>
            <w:r w:rsidR="00A242E0">
              <w:rPr>
                <w:rFonts w:ascii="Arial" w:hAnsi="Arial" w:cs="Arial"/>
                <w:b/>
                <w:noProof/>
                <w:sz w:val="16"/>
                <w:szCs w:val="16"/>
              </w:rPr>
              <w:t>4</w:t>
            </w:r>
            <w:bookmarkEnd w:id="252"/>
            <w:r w:rsidR="00990535" w:rsidRPr="002808E4">
              <w:rPr>
                <w:rFonts w:ascii="Arial" w:hAnsi="Arial" w:cs="Arial"/>
                <w:b/>
                <w:sz w:val="16"/>
                <w:szCs w:val="16"/>
              </w:rPr>
              <w:fldChar w:fldCharType="end"/>
            </w:r>
          </w:p>
          <w:p w:rsidR="00674EBD" w:rsidRPr="00FD0865" w:rsidRDefault="002078AD" w:rsidP="003F1262">
            <w:pPr>
              <w:rPr>
                <w:rFonts w:ascii="Arial" w:hAnsi="Arial" w:cs="Arial"/>
                <w:i/>
                <w:sz w:val="16"/>
                <w:szCs w:val="16"/>
              </w:rPr>
            </w:pPr>
            <w:r>
              <w:rPr>
                <w:rFonts w:ascii="Arial" w:hAnsi="Arial" w:cs="Arial"/>
                <w:b/>
                <w:i/>
                <w:sz w:val="16"/>
                <w:szCs w:val="16"/>
              </w:rPr>
              <w:t xml:space="preserve">Ecuador 2010: </w:t>
            </w:r>
            <w:r w:rsidR="00674EBD" w:rsidRPr="00FD0865">
              <w:rPr>
                <w:rFonts w:ascii="Arial" w:hAnsi="Arial" w:cs="Arial"/>
                <w:i/>
                <w:sz w:val="16"/>
                <w:szCs w:val="16"/>
              </w:rPr>
              <w:t xml:space="preserve">Total de Emigrantes por </w:t>
            </w:r>
            <w:r w:rsidR="00674EBD">
              <w:rPr>
                <w:rFonts w:ascii="Arial" w:hAnsi="Arial" w:cs="Arial"/>
                <w:i/>
                <w:sz w:val="16"/>
                <w:szCs w:val="16"/>
              </w:rPr>
              <w:t>Kilómetro cuadrado de la provincia de Nacimiento</w:t>
            </w:r>
          </w:p>
          <w:p w:rsidR="00674EBD" w:rsidRPr="00840530" w:rsidRDefault="00436907" w:rsidP="003F1262">
            <w:pPr>
              <w:rPr>
                <w:rFonts w:ascii="Arial" w:hAnsi="Arial" w:cs="Arial"/>
                <w:sz w:val="24"/>
                <w:szCs w:val="24"/>
              </w:rPr>
            </w:pPr>
            <w:r>
              <w:rPr>
                <w:rFonts w:ascii="Arial" w:hAnsi="Arial" w:cs="Arial"/>
                <w:noProof/>
                <w:sz w:val="16"/>
                <w:szCs w:val="16"/>
                <w:lang w:eastAsia="es-EC"/>
              </w:rPr>
              <w:pict>
                <v:shape id="_x0000_s1152" type="#_x0000_t202" style="position:absolute;left:0;text-align:left;margin-left:163.75pt;margin-top:161.5pt;width:42pt;height:16.5pt;z-index:25140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18.99</w:t>
                        </w:r>
                      </w:p>
                    </w:txbxContent>
                  </v:textbox>
                </v:shape>
              </w:pict>
            </w:r>
            <w:r>
              <w:rPr>
                <w:rFonts w:ascii="Arial" w:hAnsi="Arial" w:cs="Arial"/>
                <w:noProof/>
                <w:sz w:val="16"/>
                <w:szCs w:val="16"/>
                <w:lang w:eastAsia="es-EC"/>
              </w:rPr>
              <w:pict>
                <v:shape id="_x0000_s1146" type="#_x0000_t202" style="position:absolute;left:0;text-align:left;margin-left:184pt;margin-top:145.65pt;width:42pt;height:16.5pt;z-index:25139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14.00</w:t>
                        </w:r>
                      </w:p>
                    </w:txbxContent>
                  </v:textbox>
                </v:shape>
              </w:pict>
            </w:r>
            <w:r>
              <w:rPr>
                <w:rFonts w:ascii="Arial" w:hAnsi="Arial" w:cs="Arial"/>
                <w:noProof/>
                <w:sz w:val="16"/>
                <w:szCs w:val="16"/>
                <w:lang w:eastAsia="es-EC"/>
              </w:rPr>
              <w:pict>
                <v:shape id="_x0000_s1148" type="#_x0000_t202" style="position:absolute;left:0;text-align:left;margin-left:189.25pt;margin-top:129.95pt;width:42pt;height:16.5pt;z-index:25139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16.35</w:t>
                        </w:r>
                      </w:p>
                    </w:txbxContent>
                  </v:textbox>
                </v:shape>
              </w:pict>
            </w:r>
            <w:r>
              <w:rPr>
                <w:rFonts w:ascii="Arial" w:hAnsi="Arial" w:cs="Arial"/>
                <w:noProof/>
                <w:sz w:val="16"/>
                <w:szCs w:val="16"/>
                <w:lang w:eastAsia="es-EC"/>
              </w:rPr>
              <w:pict>
                <v:shape id="_x0000_s1151" type="#_x0000_t202" style="position:absolute;left:0;text-align:left;margin-left:211pt;margin-top:102.35pt;width:21pt;height:30.75pt;z-index:25140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" filled="f" stroked="f" strokeweight=".5pt">
                  <v:textbox style="layout-flow:vertical;mso-layout-flow-alt:bottom-to-top">
                    <w:txbxContent>
                      <w:p w:rsidR="006933DF" w:rsidRPr="00A82FB7" w:rsidRDefault="006933DF" w:rsidP="00674EBD">
                        <w:pPr>
                          <w:rPr>
                            <w:rFonts w:ascii="Arial" w:hAnsi="Arial" w:cs="Arial"/>
                            <w:sz w:val="12"/>
                            <w:szCs w:val="12"/>
                          </w:rPr>
                        </w:pPr>
                        <w:r>
                          <w:rPr>
                            <w:rFonts w:ascii="Arial" w:hAnsi="Arial" w:cs="Arial"/>
                            <w:sz w:val="12"/>
                            <w:szCs w:val="12"/>
                          </w:rPr>
                          <w:t>28.78</w:t>
                        </w:r>
                      </w:p>
                    </w:txbxContent>
                  </v:textbox>
                </v:shape>
              </w:pict>
            </w:r>
            <w:r>
              <w:rPr>
                <w:rFonts w:ascii="Arial" w:hAnsi="Arial" w:cs="Arial"/>
                <w:noProof/>
                <w:sz w:val="16"/>
                <w:szCs w:val="16"/>
                <w:lang w:eastAsia="es-EC"/>
              </w:rPr>
              <w:pict>
                <v:shape id="_x0000_s1150" type="#_x0000_t202" style="position:absolute;left:0;text-align:left;margin-left:196pt;margin-top:76.3pt;width:42pt;height:16.5pt;z-index:25139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25.12</w:t>
                        </w:r>
                      </w:p>
                    </w:txbxContent>
                  </v:textbox>
                </v:shape>
              </w:pict>
            </w:r>
            <w:r>
              <w:rPr>
                <w:rFonts w:ascii="Arial" w:hAnsi="Arial" w:cs="Arial"/>
                <w:noProof/>
                <w:sz w:val="16"/>
                <w:szCs w:val="16"/>
                <w:lang w:eastAsia="es-EC"/>
              </w:rPr>
              <w:pict>
                <v:shape id="_x0000_s1163" type="#_x0000_t202" style="position:absolute;left:0;text-align:left;margin-left:206.5pt;margin-top:89.65pt;width:42pt;height:16.5pt;z-index:25141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31.53</w:t>
                        </w:r>
                      </w:p>
                    </w:txbxContent>
                  </v:textbox>
                </v:shape>
              </w:pict>
            </w:r>
            <w:r>
              <w:rPr>
                <w:rFonts w:ascii="Arial" w:hAnsi="Arial" w:cs="Arial"/>
                <w:noProof/>
                <w:sz w:val="16"/>
                <w:szCs w:val="16"/>
                <w:lang w:eastAsia="es-EC"/>
              </w:rPr>
              <w:pict>
                <v:shape id="_x0000_s1147" type="#_x0000_t202" style="position:absolute;left:0;text-align:left;margin-left:188.5pt;margin-top:98.5pt;width:42pt;height:16.5pt;rotation:-5689846fd;z-index:25139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" filled="f" stroked="f" strokeweight=".5pt">
                  <v:textbox style="layout-flow:vertical;mso-layout-flow-alt:bottom-to-top">
                    <w:txbxContent>
                      <w:p w:rsidR="006933DF" w:rsidRPr="00223CE0" w:rsidRDefault="006933DF" w:rsidP="00674EBD">
                        <w:pPr>
                          <w:rPr>
                            <w:rFonts w:ascii="Arial" w:hAnsi="Arial" w:cs="Arial"/>
                            <w:sz w:val="12"/>
                            <w:szCs w:val="12"/>
                          </w:rPr>
                        </w:pPr>
                        <w:r w:rsidRPr="00223CE0">
                          <w:rPr>
                            <w:rFonts w:ascii="Arial" w:hAnsi="Arial" w:cs="Arial"/>
                            <w:sz w:val="12"/>
                            <w:szCs w:val="12"/>
                          </w:rPr>
                          <w:t>34.65</w:t>
                        </w:r>
                      </w:p>
                    </w:txbxContent>
                  </v:textbox>
                </v:shape>
              </w:pict>
            </w:r>
            <w:r>
              <w:rPr>
                <w:rFonts w:ascii="Arial" w:hAnsi="Arial" w:cs="Arial"/>
                <w:noProof/>
                <w:sz w:val="16"/>
                <w:szCs w:val="16"/>
                <w:lang w:eastAsia="es-EC"/>
              </w:rPr>
              <w:pict>
                <v:shape id="_x0000_s1154" type="#_x0000_t202" style="position:absolute;left:0;text-align:left;margin-left:156.55pt;margin-top:108.7pt;width:42pt;height:16.5pt;z-index:25140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17.66</w:t>
                        </w:r>
                      </w:p>
                    </w:txbxContent>
                  </v:textbox>
                </v:shape>
              </w:pict>
            </w:r>
            <w:r>
              <w:rPr>
                <w:rFonts w:ascii="Arial" w:hAnsi="Arial" w:cs="Arial"/>
                <w:noProof/>
                <w:sz w:val="16"/>
                <w:szCs w:val="16"/>
                <w:lang w:eastAsia="es-EC"/>
              </w:rPr>
              <w:pict>
                <v:shape id="_x0000_s1157" type="#_x0000_t202" style="position:absolute;left:0;text-align:left;margin-left:176.35pt;margin-top:95.55pt;width:37.5pt;height:13.8pt;rotation:-90;z-index:25140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" filled="f" stroked="f" strokeweight=".5pt">
                  <v:textbox style="layout-flow:vertical;mso-layout-flow-alt:bottom-to-top">
                    <w:txbxContent>
                      <w:p w:rsidR="006933DF" w:rsidRPr="00A82FB7" w:rsidRDefault="006933DF" w:rsidP="00674EBD">
                        <w:pPr>
                          <w:rPr>
                            <w:rFonts w:ascii="Arial" w:hAnsi="Arial" w:cs="Arial"/>
                            <w:sz w:val="12"/>
                            <w:szCs w:val="12"/>
                          </w:rPr>
                        </w:pPr>
                        <w:r>
                          <w:rPr>
                            <w:rFonts w:ascii="Arial" w:hAnsi="Arial" w:cs="Arial"/>
                            <w:sz w:val="12"/>
                            <w:szCs w:val="12"/>
                          </w:rPr>
                          <w:t>35.10</w:t>
                        </w:r>
                      </w:p>
                    </w:txbxContent>
                  </v:textbox>
                </v:shape>
              </w:pict>
            </w:r>
            <w:r>
              <w:rPr>
                <w:rFonts w:ascii="Arial" w:hAnsi="Arial" w:cs="Arial"/>
                <w:noProof/>
                <w:sz w:val="16"/>
                <w:szCs w:val="16"/>
                <w:lang w:eastAsia="es-EC"/>
              </w:rPr>
              <w:pict>
                <v:shape id="_x0000_s1153" type="#_x0000_t202" style="position:absolute;left:0;text-align:left;margin-left:184.75pt;margin-top:26.35pt;width:42pt;height:16.5pt;z-index:25140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9.53</w:t>
                        </w:r>
                      </w:p>
                    </w:txbxContent>
                  </v:textbox>
                </v:shape>
              </w:pict>
            </w:r>
            <w:r>
              <w:rPr>
                <w:rFonts w:ascii="Arial" w:hAnsi="Arial" w:cs="Arial"/>
                <w:noProof/>
                <w:sz w:val="16"/>
                <w:szCs w:val="16"/>
                <w:lang w:eastAsia="es-EC"/>
              </w:rPr>
              <w:pict>
                <v:shape id="_x0000_s1155" type="#_x0000_t202" style="position:absolute;left:0;text-align:left;margin-left:213.25pt;margin-top:37pt;width:42pt;height:16.5pt;z-index:25140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25.26</w:t>
                        </w:r>
                      </w:p>
                    </w:txbxContent>
                  </v:textbox>
                </v:shape>
              </w:pict>
            </w:r>
            <w:r>
              <w:rPr>
                <w:rFonts w:ascii="Arial" w:hAnsi="Arial" w:cs="Arial"/>
                <w:noProof/>
                <w:sz w:val="16"/>
                <w:szCs w:val="16"/>
                <w:lang w:eastAsia="es-EC"/>
              </w:rPr>
              <w:pict>
                <v:shape id="_x0000_s1162" type="#_x0000_t202" style="position:absolute;left:0;text-align:left;margin-left:205.75pt;margin-top:53.1pt;width:42pt;height:16.5pt;z-index:25141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16.36</w:t>
                        </w:r>
                      </w:p>
                    </w:txbxContent>
                  </v:textbox>
                </v:shape>
              </w:pict>
            </w:r>
            <w:r>
              <w:rPr>
                <w:rFonts w:ascii="Arial" w:hAnsi="Arial" w:cs="Arial"/>
                <w:noProof/>
                <w:sz w:val="16"/>
                <w:szCs w:val="16"/>
                <w:lang w:eastAsia="es-EC"/>
              </w:rPr>
              <w:pict>
                <v:shape id="_x0000_s1167" type="#_x0000_t202" style="position:absolute;left:0;text-align:left;margin-left:185.5pt;margin-top:57.35pt;width:42pt;height:16.5pt;z-index:25141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" filled="f" stroked="f" strokeweight=".5pt">
                  <v:textbox>
                    <w:txbxContent>
                      <w:p w:rsidR="006933DF" w:rsidRPr="00332058" w:rsidRDefault="006933DF" w:rsidP="00674EBD">
                        <w:pPr>
                          <w:rPr>
                            <w:rFonts w:ascii="Arial" w:hAnsi="Arial" w:cs="Arial"/>
                            <w:sz w:val="11"/>
                            <w:szCs w:val="11"/>
                          </w:rPr>
                        </w:pPr>
                        <w:r w:rsidRPr="00332058">
                          <w:rPr>
                            <w:rFonts w:ascii="Arial" w:hAnsi="Arial" w:cs="Arial"/>
                            <w:sz w:val="11"/>
                            <w:szCs w:val="11"/>
                          </w:rPr>
                          <w:t>22.92</w:t>
                        </w:r>
                      </w:p>
                    </w:txbxContent>
                  </v:textbox>
                </v:shape>
              </w:pict>
            </w:r>
            <w:r>
              <w:rPr>
                <w:rFonts w:ascii="Arial" w:hAnsi="Arial" w:cs="Arial"/>
                <w:noProof/>
                <w:sz w:val="16"/>
                <w:szCs w:val="16"/>
                <w:lang w:eastAsia="es-EC"/>
              </w:rPr>
              <w:pict>
                <v:shape id="_x0000_s1166" type="#_x0000_t202" style="position:absolute;left:0;text-align:left;margin-left:274.75pt;margin-top:75.4pt;width:42pt;height:16.5pt;z-index:25141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0.53</w:t>
                        </w:r>
                      </w:p>
                    </w:txbxContent>
                  </v:textbox>
                </v:shape>
              </w:pict>
            </w:r>
            <w:r>
              <w:rPr>
                <w:rFonts w:ascii="Arial" w:hAnsi="Arial" w:cs="Arial"/>
                <w:noProof/>
                <w:sz w:val="16"/>
                <w:szCs w:val="16"/>
                <w:lang w:eastAsia="es-EC"/>
              </w:rPr>
              <w:pict>
                <v:shape id="_x0000_s1160" type="#_x0000_t202" style="position:absolute;left:0;text-align:left;margin-left:225.25pt;margin-top:70.85pt;width:42pt;height:16.5pt;z-index:25140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2.11</w:t>
                        </w:r>
                      </w:p>
                    </w:txbxContent>
                  </v:textbox>
                </v:shape>
              </w:pict>
            </w:r>
            <w:r>
              <w:rPr>
                <w:rFonts w:ascii="Arial" w:hAnsi="Arial" w:cs="Arial"/>
                <w:noProof/>
                <w:sz w:val="16"/>
                <w:szCs w:val="16"/>
                <w:lang w:eastAsia="es-EC"/>
              </w:rPr>
              <w:pict>
                <v:shape id="_x0000_s1161" type="#_x0000_t202" style="position:absolute;left:0;text-align:left;margin-left:258.25pt;margin-top:105.6pt;width:42pt;height:16.5pt;z-index:25141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0.50</w:t>
                        </w:r>
                      </w:p>
                    </w:txbxContent>
                  </v:textbox>
                </v:shape>
              </w:pict>
            </w:r>
            <w:r>
              <w:rPr>
                <w:rFonts w:ascii="Arial" w:hAnsi="Arial" w:cs="Arial"/>
                <w:noProof/>
                <w:sz w:val="16"/>
                <w:szCs w:val="16"/>
                <w:lang w:eastAsia="es-EC"/>
              </w:rPr>
              <w:pict>
                <v:shape id="_x0000_s1159" type="#_x0000_t202" style="position:absolute;left:0;text-align:left;margin-left:218.05pt;margin-top:135.7pt;width:42pt;height:16.5pt;z-index:25140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1.00</w:t>
                        </w:r>
                      </w:p>
                    </w:txbxContent>
                  </v:textbox>
                </v:shape>
              </w:pict>
            </w:r>
            <w:r>
              <w:rPr>
                <w:rFonts w:ascii="Arial" w:hAnsi="Arial" w:cs="Arial"/>
                <w:noProof/>
                <w:sz w:val="16"/>
                <w:szCs w:val="16"/>
                <w:lang w:eastAsia="es-EC"/>
              </w:rPr>
              <w:pict>
                <v:shape id="_x0000_s1165" type="#_x0000_t202" style="position:absolute;left:0;text-align:left;margin-left:274pt;margin-top:50.1pt;width:42pt;height:16.5pt;z-index:251415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1.24</w:t>
                        </w:r>
                      </w:p>
                    </w:txbxContent>
                  </v:textbox>
                </v:shape>
              </w:pict>
            </w:r>
            <w:r>
              <w:rPr>
                <w:rFonts w:ascii="Arial" w:hAnsi="Arial" w:cs="Arial"/>
                <w:noProof/>
                <w:sz w:val="16"/>
                <w:szCs w:val="16"/>
                <w:lang w:eastAsia="es-EC"/>
              </w:rPr>
              <w:pict>
                <v:shape id="_x0000_s1149" type="#_x0000_t202" style="position:absolute;left:0;text-align:left;margin-left:221.25pt;margin-top:28.55pt;width:48.4pt;height:16.5pt;rotation:2175710fd;z-index:25139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26.82</w:t>
                        </w:r>
                      </w:p>
                    </w:txbxContent>
                  </v:textbox>
                </v:shape>
              </w:pict>
            </w:r>
            <w:r>
              <w:rPr>
                <w:rFonts w:ascii="Arial" w:hAnsi="Arial" w:cs="Arial"/>
                <w:noProof/>
                <w:sz w:val="16"/>
                <w:szCs w:val="16"/>
                <w:lang w:eastAsia="es-EC"/>
              </w:rPr>
              <w:pict>
                <v:shape id="_x0000_s1158" type="#_x0000_t202" style="position:absolute;left:0;text-align:left;margin-left:154pt;margin-top:74.35pt;width:42pt;height:16.5pt;z-index:25140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30.89</w:t>
                        </w:r>
                      </w:p>
                    </w:txbxContent>
                  </v:textbox>
                </v:shape>
              </w:pict>
            </w:r>
            <w:r>
              <w:rPr>
                <w:rFonts w:ascii="Arial" w:hAnsi="Arial" w:cs="Arial"/>
                <w:noProof/>
                <w:sz w:val="16"/>
                <w:szCs w:val="16"/>
                <w:lang w:eastAsia="es-EC"/>
              </w:rPr>
              <w:pict>
                <v:shape id="_x0000_s1168" type="#_x0000_t202" style="position:absolute;left:0;text-align:left;margin-left:140.5pt;margin-top:119.4pt;width:42pt;height:16.5pt;z-index:25141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8.33</w:t>
                        </w:r>
                      </w:p>
                    </w:txbxContent>
                  </v:textbox>
                </v:shape>
              </w:pict>
            </w:r>
            <w:r>
              <w:rPr>
                <w:rFonts w:ascii="Arial" w:hAnsi="Arial" w:cs="Arial"/>
                <w:noProof/>
                <w:sz w:val="16"/>
                <w:szCs w:val="16"/>
                <w:lang w:eastAsia="es-EC"/>
              </w:rPr>
              <w:pict>
                <v:shape id="_x0000_s1156" type="#_x0000_t202" style="position:absolute;left:0;text-align:left;margin-left:169pt;margin-top:181.65pt;width:42pt;height:16.5pt;z-index:25140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21.26</w:t>
                        </w:r>
                      </w:p>
                    </w:txbxContent>
                  </v:textbox>
                </v:shape>
              </w:pict>
            </w:r>
            <w:r>
              <w:rPr>
                <w:rFonts w:ascii="Arial" w:hAnsi="Arial" w:cs="Arial"/>
                <w:noProof/>
                <w:sz w:val="16"/>
                <w:szCs w:val="16"/>
                <w:lang w:eastAsia="es-EC"/>
              </w:rPr>
              <w:pict>
                <v:shape id="_x0000_s1164" type="#_x0000_t202" style="position:absolute;left:0;text-align:left;margin-left:198.25pt;margin-top:179.05pt;width:33pt;height:14.95pt;z-index:25141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1.81</w:t>
                        </w:r>
                      </w:p>
                    </w:txbxContent>
                  </v:textbox>
                </v:shape>
              </w:pict>
            </w:r>
            <w:r>
              <w:rPr>
                <w:rFonts w:ascii="Arial" w:hAnsi="Arial" w:cs="Arial"/>
                <w:noProof/>
                <w:sz w:val="16"/>
                <w:szCs w:val="16"/>
                <w:lang w:eastAsia="es-EC"/>
              </w:rPr>
              <w:pict>
                <v:shape id="_x0000_s1169" type="#_x0000_t202" style="position:absolute;left:0;text-align:left;margin-left:13pt;margin-top:77.4pt;width:42pt;height:16.5pt;z-index:25141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0.29</w:t>
                        </w:r>
                      </w:p>
                    </w:txbxContent>
                  </v:textbox>
                </v:shape>
              </w:pict>
            </w:r>
            <w:r w:rsidR="00674EBD">
              <w:rPr>
                <w:noProof/>
                <w:lang w:eastAsia="es-EC"/>
              </w:rPr>
              <w:drawing>
                <wp:inline distT="0" distB="0" distL="0" distR="0">
                  <wp:extent cx="4500000" cy="2821853"/>
                  <wp:effectExtent l="0" t="0" r="0" b="0"/>
                  <wp:docPr id="15" name="1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Imagen"/>
                          <pic:cNvPicPr>
                            <a:picLocks noChangeAspect="1"/>
                          </pic:cNvPicPr>
                        </pic:nvPicPr>
                        <pic:blipFill>
                          <a:blip r:embed="rId27" cstate="print"/>
                          <a:stretch>
                            <a:fillRect/>
                          </a:stretch>
                        </pic:blipFill>
                        <pic:spPr>
                          <a:xfrm>
                            <a:off x="0" y="0"/>
                            <a:ext cx="4500000" cy="2821853"/>
                          </a:xfrm>
                          <a:prstGeom prst="rect">
                            <a:avLst/>
                          </a:prstGeom>
                        </pic:spPr>
                      </pic:pic>
                    </a:graphicData>
                  </a:graphic>
                </wp:inline>
              </w:drawing>
            </w:r>
          </w:p>
        </w:tc>
      </w:tr>
    </w:tbl>
    <w:p w:rsidR="00674EBD" w:rsidRPr="002078AD" w:rsidRDefault="00674EBD" w:rsidP="002078AD">
      <w:pPr>
        <w:pStyle w:val="Prrafodelista"/>
        <w:spacing w:line="276" w:lineRule="auto"/>
        <w:ind w:left="851"/>
        <w:jc w:val="both"/>
        <w:rPr>
          <w:rFonts w:ascii="Arial" w:hAnsi="Arial" w:cs="Arial"/>
          <w:sz w:val="17"/>
          <w:szCs w:val="17"/>
        </w:rPr>
      </w:pPr>
    </w:p>
    <w:p w:rsidR="00674EBD" w:rsidRPr="002078AD" w:rsidRDefault="00674EBD" w:rsidP="002078AD">
      <w:pPr>
        <w:pStyle w:val="Prrafodelista"/>
        <w:spacing w:line="276" w:lineRule="auto"/>
        <w:ind w:left="851"/>
        <w:jc w:val="both"/>
        <w:rPr>
          <w:rFonts w:ascii="Arial" w:hAnsi="Arial" w:cs="Arial"/>
          <w:sz w:val="17"/>
          <w:szCs w:val="17"/>
        </w:rPr>
      </w:pPr>
      <w:r w:rsidRPr="002078AD">
        <w:rPr>
          <w:rFonts w:ascii="Arial" w:hAnsi="Arial" w:cs="Arial"/>
          <w:b/>
          <w:i/>
          <w:sz w:val="17"/>
          <w:szCs w:val="17"/>
        </w:rPr>
        <w:t>Fuente:</w:t>
      </w:r>
      <w:r w:rsidRPr="002078AD">
        <w:rPr>
          <w:rFonts w:ascii="Arial" w:hAnsi="Arial" w:cs="Arial"/>
          <w:sz w:val="17"/>
          <w:szCs w:val="17"/>
        </w:rPr>
        <w:t xml:space="preserve"> </w:t>
      </w:r>
      <w:r w:rsidRPr="002078AD">
        <w:rPr>
          <w:rFonts w:ascii="Arial" w:hAnsi="Arial" w:cs="Arial"/>
          <w:b/>
          <w:sz w:val="17"/>
          <w:szCs w:val="17"/>
        </w:rPr>
        <w:t xml:space="preserve">INEC </w:t>
      </w:r>
      <w:r w:rsidRPr="002078AD">
        <w:rPr>
          <w:rFonts w:ascii="Arial" w:hAnsi="Arial" w:cs="Arial"/>
          <w:sz w:val="17"/>
          <w:szCs w:val="17"/>
        </w:rPr>
        <w:t>(2010), Base de Datos del VII Censo de Población y VI de Vivienda.</w:t>
      </w:r>
    </w:p>
    <w:p w:rsidR="00674EBD" w:rsidRPr="002078AD" w:rsidRDefault="00674EBD" w:rsidP="002078AD">
      <w:pPr>
        <w:pStyle w:val="Prrafodelista"/>
        <w:spacing w:line="276" w:lineRule="auto"/>
        <w:ind w:left="851"/>
        <w:jc w:val="both"/>
        <w:rPr>
          <w:rFonts w:ascii="Arial" w:hAnsi="Arial" w:cs="Arial"/>
          <w:sz w:val="17"/>
          <w:szCs w:val="17"/>
        </w:rPr>
      </w:pPr>
      <w:r w:rsidRPr="002078AD">
        <w:rPr>
          <w:rFonts w:ascii="Arial" w:hAnsi="Arial" w:cs="Arial"/>
          <w:b/>
          <w:i/>
          <w:sz w:val="17"/>
          <w:szCs w:val="17"/>
        </w:rPr>
        <w:t>Elaborado por:</w:t>
      </w:r>
      <w:r w:rsidRPr="002078AD">
        <w:rPr>
          <w:rFonts w:ascii="Arial" w:hAnsi="Arial" w:cs="Arial"/>
          <w:sz w:val="17"/>
          <w:szCs w:val="17"/>
        </w:rPr>
        <w:t xml:space="preserve"> Katherine Loor Valeriano</w:t>
      </w:r>
    </w:p>
    <w:p w:rsidR="00674EBD" w:rsidRPr="00287F2C" w:rsidRDefault="00674EBD" w:rsidP="00287F2C">
      <w:pPr>
        <w:spacing w:line="480" w:lineRule="auto"/>
        <w:ind w:left="851"/>
        <w:jc w:val="both"/>
        <w:rPr>
          <w:rFonts w:ascii="Arial" w:hAnsi="Arial" w:cs="Arial"/>
        </w:rPr>
      </w:pPr>
      <w:bookmarkStart w:id="253" w:name="_Toc331162374"/>
      <w:bookmarkStart w:id="254" w:name="_Toc339199696"/>
      <w:bookmarkStart w:id="255" w:name="_Toc339212566"/>
      <w:bookmarkStart w:id="256" w:name="_Toc339212682"/>
      <w:bookmarkStart w:id="257" w:name="_Toc339784833"/>
      <w:bookmarkStart w:id="258" w:name="_Toc339852988"/>
      <w:bookmarkStart w:id="259" w:name="_Toc340231758"/>
      <w:r w:rsidRPr="00287F2C">
        <w:rPr>
          <w:rFonts w:ascii="Arial" w:hAnsi="Arial" w:cs="Arial"/>
        </w:rPr>
        <w:lastRenderedPageBreak/>
        <w:t>En la misma figura, se tiene que Galápagos, es sin duda alguna de todas las provincias del Ecuador la que menor cantidad de personas expulsa hacia otras provincias del país, ya que emigran 0.29 personas por cada kilómetro cuadrado. En general debemos considerar para interpretar estos valores no solo la cantidad de emigrantes por kilómetro cuadrado sino también la extensión del territorio de la provincia en análisis.</w:t>
      </w:r>
      <w:bookmarkEnd w:id="253"/>
      <w:bookmarkEnd w:id="254"/>
      <w:bookmarkEnd w:id="255"/>
      <w:bookmarkEnd w:id="256"/>
      <w:bookmarkEnd w:id="257"/>
      <w:bookmarkEnd w:id="258"/>
      <w:bookmarkEnd w:id="259"/>
    </w:p>
    <w:p w:rsidR="00674EBD" w:rsidRPr="00456137" w:rsidRDefault="00674EBD" w:rsidP="00612153">
      <w:pPr>
        <w:pStyle w:val="TesisTitulo10"/>
        <w:numPr>
          <w:ilvl w:val="0"/>
          <w:numId w:val="0"/>
        </w:numPr>
        <w:ind w:left="851"/>
        <w:rPr>
          <w:b w:val="0"/>
          <w:sz w:val="22"/>
          <w:szCs w:val="22"/>
        </w:rPr>
      </w:pPr>
    </w:p>
    <w:p w:rsidR="00674EBD" w:rsidRPr="002C7D19" w:rsidRDefault="00674EBD" w:rsidP="0041640C">
      <w:pPr>
        <w:pStyle w:val="TesisTitulo10"/>
        <w:numPr>
          <w:ilvl w:val="1"/>
          <w:numId w:val="9"/>
        </w:numPr>
        <w:ind w:left="851" w:hanging="567"/>
      </w:pPr>
      <w:bookmarkStart w:id="260" w:name="_Toc339212683"/>
      <w:bookmarkStart w:id="261" w:name="_Toc341040607"/>
      <w:r w:rsidRPr="002C7D19">
        <w:t>Migración Interna en los últimos cinco años por provincia.</w:t>
      </w:r>
      <w:bookmarkEnd w:id="260"/>
      <w:bookmarkEnd w:id="261"/>
    </w:p>
    <w:p w:rsidR="00674EBD" w:rsidRDefault="00674EBD" w:rsidP="00612153">
      <w:pPr>
        <w:pStyle w:val="Prrafodelista"/>
        <w:spacing w:line="480" w:lineRule="auto"/>
        <w:ind w:left="851"/>
        <w:jc w:val="both"/>
        <w:rPr>
          <w:rFonts w:ascii="Arial" w:hAnsi="Arial" w:cs="Arial"/>
        </w:rPr>
      </w:pPr>
      <w:r w:rsidRPr="002C7D19">
        <w:rPr>
          <w:rFonts w:ascii="Arial" w:hAnsi="Arial" w:cs="Arial"/>
        </w:rPr>
        <w:t xml:space="preserve">Todo el análisis realizado en líneas previas sobre las inmigraciones y emigraciones toma como referencia la </w:t>
      </w:r>
      <w:r>
        <w:rPr>
          <w:rFonts w:ascii="Arial" w:hAnsi="Arial" w:cs="Arial"/>
        </w:rPr>
        <w:t xml:space="preserve">variable </w:t>
      </w:r>
      <w:r w:rsidR="00840A1F">
        <w:rPr>
          <w:rFonts w:ascii="Arial" w:hAnsi="Arial" w:cs="Arial"/>
        </w:rPr>
        <w:t>“</w:t>
      </w:r>
      <w:r w:rsidRPr="002C7D19">
        <w:rPr>
          <w:rFonts w:ascii="Arial" w:hAnsi="Arial" w:cs="Arial"/>
        </w:rPr>
        <w:t>provincia de nacimiento</w:t>
      </w:r>
      <w:r w:rsidR="00840A1F">
        <w:rPr>
          <w:rFonts w:ascii="Arial" w:hAnsi="Arial" w:cs="Arial"/>
        </w:rPr>
        <w:t>”</w:t>
      </w:r>
      <w:r w:rsidRPr="002C7D19">
        <w:rPr>
          <w:rFonts w:ascii="Arial" w:hAnsi="Arial" w:cs="Arial"/>
        </w:rPr>
        <w:t>; en esta sección vamos a analizar las tasas de inmigración y emigración tomando como base el lugar donde la persona vivía hace cinco años</w:t>
      </w:r>
      <w:r>
        <w:rPr>
          <w:rFonts w:ascii="Arial" w:hAnsi="Arial" w:cs="Arial"/>
        </w:rPr>
        <w:t xml:space="preserve"> (</w:t>
      </w:r>
      <w:r w:rsidR="00840A1F">
        <w:rPr>
          <w:rFonts w:ascii="Arial" w:hAnsi="Arial" w:cs="Arial"/>
        </w:rPr>
        <w:t>n</w:t>
      </w:r>
      <w:r>
        <w:rPr>
          <w:rFonts w:ascii="Arial" w:hAnsi="Arial" w:cs="Arial"/>
        </w:rPr>
        <w:t>oviembre de 2005)</w:t>
      </w:r>
      <w:r w:rsidR="00840A1F">
        <w:rPr>
          <w:rFonts w:ascii="Arial" w:hAnsi="Arial" w:cs="Arial"/>
        </w:rPr>
        <w:t xml:space="preserve"> y que no necesariamente es el lugar donde nació</w:t>
      </w:r>
      <w:r w:rsidRPr="002C7D19">
        <w:rPr>
          <w:rFonts w:ascii="Arial" w:hAnsi="Arial" w:cs="Arial"/>
        </w:rPr>
        <w:t xml:space="preserve">. Bajo este </w:t>
      </w:r>
      <w:r>
        <w:rPr>
          <w:rFonts w:ascii="Arial" w:hAnsi="Arial" w:cs="Arial"/>
        </w:rPr>
        <w:t>nuevo esquema,</w:t>
      </w:r>
      <w:r w:rsidRPr="002C7D19">
        <w:rPr>
          <w:rFonts w:ascii="Arial" w:hAnsi="Arial" w:cs="Arial"/>
        </w:rPr>
        <w:t xml:space="preserve"> Galápagos continúa siendo la provincia con mayor tasa de inmigración</w:t>
      </w:r>
      <w:r>
        <w:rPr>
          <w:rFonts w:ascii="Arial" w:hAnsi="Arial" w:cs="Arial"/>
        </w:rPr>
        <w:t>,</w:t>
      </w:r>
      <w:r w:rsidRPr="002C7D19">
        <w:rPr>
          <w:rFonts w:ascii="Arial" w:hAnsi="Arial" w:cs="Arial"/>
        </w:rPr>
        <w:t xml:space="preserve"> encontrándose que en los últimos 5 años el 16.80% de su población residente está conformada por ecuatorianos provenientes de otras provincias, principalmente de Tungurahua y Pichincha. </w:t>
      </w:r>
    </w:p>
    <w:p w:rsidR="00674EBD" w:rsidRDefault="00674EBD" w:rsidP="00612153">
      <w:pPr>
        <w:pStyle w:val="Prrafodelista"/>
        <w:spacing w:line="480" w:lineRule="auto"/>
        <w:ind w:left="851"/>
        <w:jc w:val="both"/>
        <w:rPr>
          <w:rFonts w:ascii="Arial" w:hAnsi="Arial" w:cs="Arial"/>
        </w:rPr>
      </w:pPr>
    </w:p>
    <w:p w:rsidR="00674EBD" w:rsidRDefault="00674EBD" w:rsidP="00612153">
      <w:pPr>
        <w:pStyle w:val="Prrafodelista"/>
        <w:spacing w:line="480" w:lineRule="auto"/>
        <w:ind w:left="851"/>
        <w:jc w:val="both"/>
        <w:rPr>
          <w:rFonts w:ascii="Arial" w:hAnsi="Arial" w:cs="Arial"/>
        </w:rPr>
      </w:pPr>
      <w:r w:rsidRPr="002C7D19">
        <w:rPr>
          <w:rFonts w:ascii="Arial" w:hAnsi="Arial" w:cs="Arial"/>
        </w:rPr>
        <w:t xml:space="preserve">Otras de las provincias con </w:t>
      </w:r>
      <w:r>
        <w:rPr>
          <w:rFonts w:ascii="Arial" w:hAnsi="Arial" w:cs="Arial"/>
        </w:rPr>
        <w:t xml:space="preserve">una </w:t>
      </w:r>
      <w:r w:rsidRPr="002C7D19">
        <w:rPr>
          <w:rFonts w:ascii="Arial" w:hAnsi="Arial" w:cs="Arial"/>
        </w:rPr>
        <w:t xml:space="preserve">tasa </w:t>
      </w:r>
      <w:r>
        <w:rPr>
          <w:rFonts w:ascii="Arial" w:hAnsi="Arial" w:cs="Arial"/>
        </w:rPr>
        <w:t xml:space="preserve">alta </w:t>
      </w:r>
      <w:r w:rsidRPr="002C7D19">
        <w:rPr>
          <w:rFonts w:ascii="Arial" w:hAnsi="Arial" w:cs="Arial"/>
        </w:rPr>
        <w:t>de inmigración son Pastaza y Orellana, en donde se enc</w:t>
      </w:r>
      <w:r w:rsidR="00840A1F">
        <w:rPr>
          <w:rFonts w:ascii="Arial" w:hAnsi="Arial" w:cs="Arial"/>
        </w:rPr>
        <w:t>ue</w:t>
      </w:r>
      <w:r w:rsidRPr="002C7D19">
        <w:rPr>
          <w:rFonts w:ascii="Arial" w:hAnsi="Arial" w:cs="Arial"/>
        </w:rPr>
        <w:t>ntra</w:t>
      </w:r>
      <w:r w:rsidR="00840A1F">
        <w:rPr>
          <w:rFonts w:ascii="Arial" w:hAnsi="Arial" w:cs="Arial"/>
        </w:rPr>
        <w:t>n</w:t>
      </w:r>
      <w:r w:rsidRPr="002C7D19">
        <w:rPr>
          <w:rFonts w:ascii="Arial" w:hAnsi="Arial" w:cs="Arial"/>
        </w:rPr>
        <w:t xml:space="preserve"> 126 inmigrantes por cada 1000 residentes en cada una de estas provincias. Sucumbíos era otra de las que mostraba una tasa alta de inmigración en el Oriente, pero si sólo </w:t>
      </w:r>
      <w:r w:rsidRPr="002C7D19">
        <w:rPr>
          <w:rFonts w:ascii="Arial" w:hAnsi="Arial" w:cs="Arial"/>
        </w:rPr>
        <w:lastRenderedPageBreak/>
        <w:t xml:space="preserve">analizamos los movimientos en los últimos 5 años presenta una tasa baja (96 por cada 1000). Iguales cambios presenta Pichincha, que en los últimos años sólo ha recibido 138311 inmigrantes, representando éstos el 6% de la población residente en </w:t>
      </w:r>
      <w:r>
        <w:rPr>
          <w:rFonts w:ascii="Arial" w:hAnsi="Arial" w:cs="Arial"/>
        </w:rPr>
        <w:t>la</w:t>
      </w:r>
      <w:r w:rsidRPr="002C7D19">
        <w:rPr>
          <w:rFonts w:ascii="Arial" w:hAnsi="Arial" w:cs="Arial"/>
        </w:rPr>
        <w:t xml:space="preserve"> provincia, procediendo principalmente desde la</w:t>
      </w:r>
      <w:r>
        <w:rPr>
          <w:rFonts w:ascii="Arial" w:hAnsi="Arial" w:cs="Arial"/>
        </w:rPr>
        <w:t>s</w:t>
      </w:r>
      <w:r w:rsidRPr="002C7D19">
        <w:rPr>
          <w:rFonts w:ascii="Arial" w:hAnsi="Arial" w:cs="Arial"/>
        </w:rPr>
        <w:t xml:space="preserve"> provincias de Manabí, Guayas, Cot</w:t>
      </w:r>
      <w:r w:rsidR="00840A1F">
        <w:rPr>
          <w:rFonts w:ascii="Arial" w:hAnsi="Arial" w:cs="Arial"/>
        </w:rPr>
        <w:t>opaxi, Chimborazo y Esmeraldas; m</w:t>
      </w:r>
      <w:r w:rsidRPr="002C7D19">
        <w:rPr>
          <w:rFonts w:ascii="Arial" w:hAnsi="Arial" w:cs="Arial"/>
        </w:rPr>
        <w:t>ientras que Guayas presenta la tasa más baja de inmigración</w:t>
      </w:r>
      <w:r>
        <w:rPr>
          <w:rFonts w:ascii="Arial" w:hAnsi="Arial" w:cs="Arial"/>
        </w:rPr>
        <w:t xml:space="preserve"> durante los últimos cinco años</w:t>
      </w:r>
      <w:r w:rsidRPr="002C7D19">
        <w:rPr>
          <w:rFonts w:ascii="Arial" w:hAnsi="Arial" w:cs="Arial"/>
        </w:rPr>
        <w:t>, habiendo receptado tan sólo 89739 personas que representan el 2.80% de la población residente en la provincia</w:t>
      </w:r>
      <w:r>
        <w:rPr>
          <w:rFonts w:ascii="Arial" w:hAnsi="Arial" w:cs="Arial"/>
        </w:rPr>
        <w:t>; teniéndose que</w:t>
      </w:r>
      <w:r w:rsidRPr="002C7D19">
        <w:rPr>
          <w:rFonts w:ascii="Arial" w:hAnsi="Arial" w:cs="Arial"/>
        </w:rPr>
        <w:t xml:space="preserve"> se puede</w:t>
      </w:r>
      <w:r>
        <w:rPr>
          <w:rFonts w:ascii="Arial" w:hAnsi="Arial" w:cs="Arial"/>
        </w:rPr>
        <w:t>n</w:t>
      </w:r>
      <w:r w:rsidRPr="002C7D19">
        <w:rPr>
          <w:rFonts w:ascii="Arial" w:hAnsi="Arial" w:cs="Arial"/>
        </w:rPr>
        <w:t xml:space="preserve"> encontrar 6.4 inmigrantes manabitas por cada 1000 residentes en el Guayas, y 4.9 por cada 1000 </w:t>
      </w:r>
      <w:r>
        <w:rPr>
          <w:rFonts w:ascii="Arial" w:hAnsi="Arial" w:cs="Arial"/>
        </w:rPr>
        <w:t xml:space="preserve">personas </w:t>
      </w:r>
      <w:r w:rsidRPr="002C7D19">
        <w:rPr>
          <w:rFonts w:ascii="Arial" w:hAnsi="Arial" w:cs="Arial"/>
        </w:rPr>
        <w:t>procedente de Los Ríos.</w:t>
      </w:r>
      <w:r>
        <w:rPr>
          <w:rFonts w:ascii="Arial" w:hAnsi="Arial" w:cs="Arial"/>
        </w:rPr>
        <w:t xml:space="preserve"> </w:t>
      </w:r>
      <w:r w:rsidRPr="002C7D19">
        <w:rPr>
          <w:rFonts w:ascii="Arial" w:hAnsi="Arial" w:cs="Arial"/>
        </w:rPr>
        <w:t>En general, durante los últimos 5 años las diferentes provinc</w:t>
      </w:r>
      <w:r>
        <w:rPr>
          <w:rFonts w:ascii="Arial" w:hAnsi="Arial" w:cs="Arial"/>
        </w:rPr>
        <w:t xml:space="preserve">ias del Ecuador presentan bajas tasas </w:t>
      </w:r>
      <w:r w:rsidRPr="002C7D19">
        <w:rPr>
          <w:rFonts w:ascii="Arial" w:hAnsi="Arial" w:cs="Arial"/>
        </w:rPr>
        <w:t xml:space="preserve">de inmigración, siendo la mínima 28 y la máxima 168 por cada 1000 residentes en </w:t>
      </w:r>
      <w:r>
        <w:rPr>
          <w:rFonts w:ascii="Arial" w:hAnsi="Arial" w:cs="Arial"/>
        </w:rPr>
        <w:t>la</w:t>
      </w:r>
      <w:r w:rsidRPr="002C7D19">
        <w:rPr>
          <w:rFonts w:ascii="Arial" w:hAnsi="Arial" w:cs="Arial"/>
        </w:rPr>
        <w:t xml:space="preserve"> provincia. </w:t>
      </w:r>
      <w:r>
        <w:rPr>
          <w:rFonts w:ascii="Arial" w:hAnsi="Arial" w:cs="Arial"/>
        </w:rPr>
        <w:t>V</w:t>
      </w:r>
      <w:r w:rsidRPr="00541867">
        <w:rPr>
          <w:rFonts w:ascii="Arial" w:hAnsi="Arial" w:cs="Arial"/>
          <w:i/>
        </w:rPr>
        <w:t>éase Figura 2.</w:t>
      </w:r>
      <w:r>
        <w:rPr>
          <w:rFonts w:ascii="Arial" w:hAnsi="Arial" w:cs="Arial"/>
          <w:i/>
        </w:rPr>
        <w:t>5</w:t>
      </w:r>
      <w:r w:rsidRPr="002C7D19">
        <w:rPr>
          <w:rFonts w:ascii="Arial" w:hAnsi="Arial" w:cs="Arial"/>
        </w:rPr>
        <w:t>.</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674EBD" w:rsidRPr="00840530" w:rsidTr="00840A1F">
        <w:trPr>
          <w:trHeight w:val="4989"/>
          <w:jc w:val="right"/>
        </w:trPr>
        <w:tc>
          <w:tcPr>
            <w:tcW w:w="7535" w:type="dxa"/>
          </w:tcPr>
          <w:p w:rsidR="00674EBD" w:rsidRPr="00840530" w:rsidRDefault="00674EBD" w:rsidP="003F1262">
            <w:pPr>
              <w:rPr>
                <w:rFonts w:ascii="Arial" w:hAnsi="Arial" w:cs="Arial"/>
                <w:sz w:val="16"/>
                <w:szCs w:val="16"/>
              </w:rPr>
            </w:pPr>
          </w:p>
          <w:p w:rsidR="001356B2" w:rsidRPr="001356B2" w:rsidRDefault="001356B2" w:rsidP="001356B2">
            <w:pPr>
              <w:keepNext/>
              <w:rPr>
                <w:rFonts w:ascii="Arial" w:hAnsi="Arial" w:cs="Arial"/>
                <w:b/>
                <w:sz w:val="16"/>
                <w:szCs w:val="16"/>
              </w:rPr>
            </w:pPr>
            <w:bookmarkStart w:id="262" w:name="_Toc341042995"/>
            <w:r>
              <w:rPr>
                <w:rFonts w:ascii="Arial" w:hAnsi="Arial" w:cs="Arial"/>
                <w:b/>
                <w:sz w:val="16"/>
                <w:szCs w:val="16"/>
              </w:rPr>
              <w:t>Figura 2.</w:t>
            </w:r>
            <w:r w:rsidR="00990535" w:rsidRPr="001356B2">
              <w:rPr>
                <w:rFonts w:ascii="Arial" w:hAnsi="Arial" w:cs="Arial"/>
                <w:b/>
                <w:sz w:val="16"/>
                <w:szCs w:val="16"/>
              </w:rPr>
              <w:fldChar w:fldCharType="begin"/>
            </w:r>
            <w:r w:rsidRPr="001356B2">
              <w:rPr>
                <w:rFonts w:ascii="Arial" w:hAnsi="Arial" w:cs="Arial"/>
                <w:b/>
                <w:sz w:val="16"/>
                <w:szCs w:val="16"/>
              </w:rPr>
              <w:instrText xml:space="preserve"> SEQ Figura_2. \* ARABIC </w:instrText>
            </w:r>
            <w:r w:rsidR="00990535" w:rsidRPr="001356B2">
              <w:rPr>
                <w:rFonts w:ascii="Arial" w:hAnsi="Arial" w:cs="Arial"/>
                <w:b/>
                <w:sz w:val="16"/>
                <w:szCs w:val="16"/>
              </w:rPr>
              <w:fldChar w:fldCharType="separate"/>
            </w:r>
            <w:r w:rsidR="00A242E0">
              <w:rPr>
                <w:rFonts w:ascii="Arial" w:hAnsi="Arial" w:cs="Arial"/>
                <w:b/>
                <w:noProof/>
                <w:sz w:val="16"/>
                <w:szCs w:val="16"/>
              </w:rPr>
              <w:t>5</w:t>
            </w:r>
            <w:bookmarkEnd w:id="262"/>
            <w:r w:rsidR="00990535" w:rsidRPr="001356B2">
              <w:rPr>
                <w:rFonts w:ascii="Arial" w:hAnsi="Arial" w:cs="Arial"/>
                <w:b/>
                <w:sz w:val="16"/>
                <w:szCs w:val="16"/>
              </w:rPr>
              <w:fldChar w:fldCharType="end"/>
            </w:r>
          </w:p>
          <w:p w:rsidR="00674EBD" w:rsidRPr="00F70768" w:rsidRDefault="00840A1F" w:rsidP="003F1262">
            <w:pPr>
              <w:rPr>
                <w:rFonts w:ascii="Arial" w:hAnsi="Arial" w:cs="Arial"/>
                <w:i/>
                <w:sz w:val="16"/>
                <w:szCs w:val="16"/>
              </w:rPr>
            </w:pPr>
            <w:r>
              <w:rPr>
                <w:rFonts w:ascii="Arial" w:hAnsi="Arial" w:cs="Arial"/>
                <w:b/>
                <w:i/>
                <w:sz w:val="16"/>
                <w:szCs w:val="16"/>
              </w:rPr>
              <w:t xml:space="preserve">Ecuador 2010: </w:t>
            </w:r>
            <w:r w:rsidR="00674EBD" w:rsidRPr="00F70768">
              <w:rPr>
                <w:rFonts w:ascii="Arial" w:hAnsi="Arial" w:cs="Arial"/>
                <w:i/>
                <w:sz w:val="16"/>
                <w:szCs w:val="16"/>
              </w:rPr>
              <w:t>Tasa de Inmigración por cada 1000 residentes en la Provincia</w:t>
            </w:r>
          </w:p>
          <w:p w:rsidR="00674EBD" w:rsidRPr="00840530" w:rsidRDefault="00436907" w:rsidP="003F1262">
            <w:pPr>
              <w:rPr>
                <w:rFonts w:ascii="Arial" w:hAnsi="Arial" w:cs="Arial"/>
                <w:sz w:val="24"/>
                <w:szCs w:val="24"/>
              </w:rPr>
            </w:pPr>
            <w:r>
              <w:rPr>
                <w:rFonts w:ascii="Arial" w:hAnsi="Arial" w:cs="Arial"/>
                <w:noProof/>
                <w:sz w:val="16"/>
                <w:szCs w:val="16"/>
                <w:lang w:eastAsia="es-EC"/>
              </w:rPr>
              <w:pict>
                <v:shape id="107 Cuadro de texto" o:spid="_x0000_s1091" type="#_x0000_t202" style="position:absolute;left:0;text-align:left;margin-left:211pt;margin-top:89.85pt;width:31.5pt;height:16.5pt;z-index:25133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41</w:t>
                        </w:r>
                      </w:p>
                    </w:txbxContent>
                  </v:textbox>
                </v:shape>
              </w:pict>
            </w:r>
            <w:r>
              <w:rPr>
                <w:rFonts w:ascii="Arial" w:hAnsi="Arial" w:cs="Arial"/>
                <w:noProof/>
                <w:sz w:val="16"/>
                <w:szCs w:val="16"/>
                <w:lang w:eastAsia="es-EC"/>
              </w:rPr>
              <w:pict>
                <v:shape id="102 Cuadro de texto" o:spid="_x0000_s1096" type="#_x0000_t202" style="position:absolute;left:0;text-align:left;margin-left:140.5pt;margin-top:118.35pt;width:42pt;height:16.5pt;z-index:25134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55</w:t>
                        </w:r>
                      </w:p>
                    </w:txbxContent>
                  </v:textbox>
                </v:shape>
              </w:pict>
            </w:r>
            <w:r>
              <w:rPr>
                <w:rFonts w:ascii="Arial" w:hAnsi="Arial" w:cs="Arial"/>
                <w:noProof/>
                <w:sz w:val="16"/>
                <w:szCs w:val="16"/>
                <w:lang w:eastAsia="es-EC"/>
              </w:rPr>
              <w:pict>
                <v:shape id="112 Cuadro de texto" o:spid="_x0000_s1086" type="#_x0000_t202" style="position:absolute;left:0;text-align:left;margin-left:154pt;margin-top:74.1pt;width:42pt;height:16.5pt;z-index:25133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32</w:t>
                        </w:r>
                      </w:p>
                    </w:txbxContent>
                  </v:textbox>
                </v:shape>
              </w:pict>
            </w:r>
            <w:r>
              <w:rPr>
                <w:rFonts w:ascii="Arial" w:hAnsi="Arial" w:cs="Arial"/>
                <w:noProof/>
                <w:sz w:val="16"/>
                <w:szCs w:val="16"/>
                <w:lang w:eastAsia="es-EC"/>
              </w:rPr>
              <w:pict>
                <v:shape id="117 Cuadro de texto" o:spid="_x0000_s1081" type="#_x0000_t202" style="position:absolute;left:0;text-align:left;margin-left:183.25pt;margin-top:26.1pt;width:42pt;height:16.5pt;z-index:25132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58</w:t>
                        </w:r>
                      </w:p>
                    </w:txbxContent>
                  </v:textbox>
                </v:shape>
              </w:pict>
            </w:r>
            <w:r>
              <w:rPr>
                <w:rFonts w:ascii="Arial" w:hAnsi="Arial" w:cs="Arial"/>
                <w:noProof/>
                <w:sz w:val="16"/>
                <w:szCs w:val="16"/>
                <w:lang w:eastAsia="es-EC"/>
              </w:rPr>
              <w:pict>
                <v:shape id="103 Cuadro de texto" o:spid="_x0000_s1095" type="#_x0000_t202" style="position:absolute;left:0;text-align:left;margin-left:184pt;margin-top:58.35pt;width:42pt;height:16.5pt;z-index:25134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104</w:t>
                        </w:r>
                      </w:p>
                    </w:txbxContent>
                  </v:textbox>
                </v:shape>
              </w:pict>
            </w:r>
            <w:r>
              <w:rPr>
                <w:rFonts w:ascii="Arial" w:hAnsi="Arial" w:cs="Arial"/>
                <w:noProof/>
                <w:sz w:val="16"/>
                <w:szCs w:val="16"/>
                <w:lang w:eastAsia="es-EC"/>
              </w:rPr>
              <w:pict>
                <v:shape id="113 Cuadro de texto" o:spid="_x0000_s1085" type="#_x0000_t202" style="position:absolute;left:0;text-align:left;margin-left:178.4pt;margin-top:96.6pt;width:28.1pt;height:16.5pt;z-index:25133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46</w:t>
                        </w:r>
                      </w:p>
                    </w:txbxContent>
                  </v:textbox>
                </v:shape>
              </w:pict>
            </w:r>
            <w:r>
              <w:rPr>
                <w:rFonts w:ascii="Arial" w:hAnsi="Arial" w:cs="Arial"/>
                <w:noProof/>
                <w:sz w:val="16"/>
                <w:szCs w:val="16"/>
                <w:lang w:eastAsia="es-EC"/>
              </w:rPr>
              <w:pict>
                <v:shape id="122 Cuadro de texto" o:spid="_x0000_s1076" type="#_x0000_t202" style="position:absolute;left:0;text-align:left;margin-left:190pt;margin-top:129.6pt;width:42pt;height:16.5pt;z-index:25132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42</w:t>
                        </w:r>
                      </w:p>
                    </w:txbxContent>
                  </v:textbox>
                </v:shape>
              </w:pict>
            </w:r>
            <w:r>
              <w:rPr>
                <w:rFonts w:ascii="Arial" w:hAnsi="Arial" w:cs="Arial"/>
                <w:noProof/>
                <w:sz w:val="16"/>
                <w:szCs w:val="16"/>
                <w:lang w:eastAsia="es-EC"/>
              </w:rPr>
              <w:pict>
                <v:shape id="119 Cuadro de texto" o:spid="_x0000_s1079" type="#_x0000_t202" style="position:absolute;left:0;text-align:left;margin-left:198.25pt;margin-top:110.85pt;width:42pt;height:16.5pt;z-index:25132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43</w:t>
                        </w:r>
                      </w:p>
                    </w:txbxContent>
                  </v:textbox>
                </v:shape>
              </w:pict>
            </w:r>
            <w:r>
              <w:rPr>
                <w:rFonts w:ascii="Arial" w:hAnsi="Arial" w:cs="Arial"/>
                <w:noProof/>
                <w:sz w:val="16"/>
                <w:szCs w:val="16"/>
                <w:lang w:eastAsia="es-EC"/>
              </w:rPr>
              <w:pict>
                <v:shape id="123 Cuadro de texto" o:spid="_x0000_s1075" type="#_x0000_t202" style="position:absolute;left:0;text-align:left;margin-left:187.75pt;margin-top:107.85pt;width:42pt;height:16.5pt;rotation:-5689846fd;z-index:25132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42</w:t>
                        </w:r>
                      </w:p>
                    </w:txbxContent>
                  </v:textbox>
                </v:shape>
              </w:pict>
            </w:r>
            <w:r>
              <w:rPr>
                <w:rFonts w:ascii="Arial" w:hAnsi="Arial" w:cs="Arial"/>
                <w:noProof/>
                <w:sz w:val="16"/>
                <w:szCs w:val="16"/>
                <w:lang w:eastAsia="es-EC"/>
              </w:rPr>
              <w:pict>
                <v:shape id="120 Cuadro de texto" o:spid="_x0000_s1078" type="#_x0000_t202" style="position:absolute;left:0;text-align:left;margin-left:193.75pt;margin-top:77.4pt;width:42pt;height:16.5pt;z-index:25132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43</w:t>
                        </w:r>
                      </w:p>
                    </w:txbxContent>
                  </v:textbox>
                </v:shape>
              </w:pict>
            </w:r>
            <w:r>
              <w:rPr>
                <w:rFonts w:ascii="Arial" w:hAnsi="Arial" w:cs="Arial"/>
                <w:noProof/>
                <w:sz w:val="16"/>
                <w:szCs w:val="16"/>
                <w:lang w:eastAsia="es-EC"/>
              </w:rPr>
              <w:pict>
                <v:shape id="108 Cuadro de texto" o:spid="_x0000_s1090" type="#_x0000_t202" style="position:absolute;left:0;text-align:left;margin-left:206.5pt;margin-top:55pt;width:42pt;height:16.5pt;z-index:25133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60</w:t>
                        </w:r>
                      </w:p>
                    </w:txbxContent>
                  </v:textbox>
                </v:shape>
              </w:pict>
            </w:r>
            <w:r>
              <w:rPr>
                <w:rFonts w:ascii="Arial" w:hAnsi="Arial" w:cs="Arial"/>
                <w:noProof/>
                <w:sz w:val="16"/>
                <w:szCs w:val="16"/>
                <w:lang w:eastAsia="es-EC"/>
              </w:rPr>
              <w:pict>
                <v:shape id="115 Cuadro de texto" o:spid="_x0000_s1083" type="#_x0000_t202" style="position:absolute;left:0;text-align:left;margin-left:213.25pt;margin-top:37pt;width:42pt;height:16.5pt;z-index:25133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50</w:t>
                        </w:r>
                      </w:p>
                    </w:txbxContent>
                  </v:textbox>
                </v:shape>
              </w:pict>
            </w:r>
            <w:r>
              <w:rPr>
                <w:rFonts w:ascii="Arial" w:hAnsi="Arial" w:cs="Arial"/>
                <w:noProof/>
                <w:sz w:val="16"/>
                <w:szCs w:val="16"/>
                <w:lang w:eastAsia="es-EC"/>
              </w:rPr>
              <w:pict>
                <v:shape id="121 Cuadro de texto" o:spid="_x0000_s1077" type="#_x0000_t202" style="position:absolute;left:0;text-align:left;margin-left:224.9pt;margin-top:28.35pt;width:42pt;height:16.5pt;rotation:2175710fd;z-index:25132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53</w:t>
                        </w:r>
                      </w:p>
                    </w:txbxContent>
                  </v:textbox>
                </v:shape>
              </w:pict>
            </w:r>
            <w:r>
              <w:rPr>
                <w:rFonts w:ascii="Arial" w:hAnsi="Arial" w:cs="Arial"/>
                <w:noProof/>
                <w:sz w:val="16"/>
                <w:szCs w:val="16"/>
                <w:lang w:eastAsia="es-EC"/>
              </w:rPr>
              <w:pict>
                <v:shape id="110 Cuadro de texto" o:spid="_x0000_s1088" type="#_x0000_t202" style="position:absolute;left:0;text-align:left;margin-left:223.75pt;margin-top:70.65pt;width:42pt;height:16.5pt;z-index:25133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70</w:t>
                        </w:r>
                      </w:p>
                    </w:txbxContent>
                  </v:textbox>
                </v:shape>
              </w:pict>
            </w:r>
            <w:r>
              <w:rPr>
                <w:rFonts w:ascii="Arial" w:hAnsi="Arial" w:cs="Arial"/>
                <w:noProof/>
                <w:sz w:val="16"/>
                <w:szCs w:val="16"/>
                <w:lang w:eastAsia="es-EC"/>
              </w:rPr>
              <w:pict>
                <v:shape id="109 Cuadro de texto" o:spid="_x0000_s1089" type="#_x0000_t202" style="position:absolute;left:0;text-align:left;margin-left:259.75pt;margin-top:104.1pt;width:42pt;height:16.5pt;z-index:25133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126</w:t>
                        </w:r>
                      </w:p>
                    </w:txbxContent>
                  </v:textbox>
                </v:shape>
              </w:pict>
            </w:r>
            <w:r>
              <w:rPr>
                <w:rFonts w:ascii="Arial" w:hAnsi="Arial" w:cs="Arial"/>
                <w:noProof/>
                <w:sz w:val="16"/>
                <w:szCs w:val="16"/>
                <w:lang w:eastAsia="es-EC"/>
              </w:rPr>
              <w:pict>
                <v:shape id="124 Cuadro de texto" o:spid="_x0000_s1074" type="#_x0000_t202" style="position:absolute;left:0;text-align:left;margin-left:184pt;margin-top:144.6pt;width:42pt;height:16.5pt;z-index:25132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47</w:t>
                        </w:r>
                      </w:p>
                    </w:txbxContent>
                  </v:textbox>
                </v:shape>
              </w:pict>
            </w:r>
            <w:r>
              <w:rPr>
                <w:rFonts w:ascii="Arial" w:hAnsi="Arial" w:cs="Arial"/>
                <w:noProof/>
                <w:sz w:val="16"/>
                <w:szCs w:val="16"/>
                <w:lang w:eastAsia="es-EC"/>
              </w:rPr>
              <w:pict>
                <v:shape id="118 Cuadro de texto" o:spid="_x0000_s1080" type="#_x0000_t202" style="position:absolute;left:0;text-align:left;margin-left:163pt;margin-top:160.35pt;width:42pt;height:16.5pt;z-index:25132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52</w:t>
                        </w:r>
                      </w:p>
                    </w:txbxContent>
                  </v:textbox>
                </v:shape>
              </w:pict>
            </w:r>
            <w:r>
              <w:rPr>
                <w:rFonts w:ascii="Arial" w:hAnsi="Arial" w:cs="Arial"/>
                <w:noProof/>
                <w:sz w:val="16"/>
                <w:szCs w:val="16"/>
                <w:lang w:eastAsia="es-EC"/>
              </w:rPr>
              <w:pict>
                <v:shape id="114 Cuadro de texto" o:spid="_x0000_s1084" type="#_x0000_t202" style="position:absolute;left:0;text-align:left;margin-left:169.75pt;margin-top:180.6pt;width:42pt;height:16.5pt;z-index:25133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46</w:t>
                        </w:r>
                      </w:p>
                    </w:txbxContent>
                  </v:textbox>
                </v:shape>
              </w:pict>
            </w:r>
            <w:r>
              <w:rPr>
                <w:rFonts w:ascii="Arial" w:hAnsi="Arial" w:cs="Arial"/>
                <w:noProof/>
                <w:sz w:val="16"/>
                <w:szCs w:val="16"/>
                <w:lang w:eastAsia="es-EC"/>
              </w:rPr>
              <w:pict>
                <v:shape id="106 Cuadro de texto" o:spid="_x0000_s1092" type="#_x0000_t202" style="position:absolute;left:0;text-align:left;margin-left:194.5pt;margin-top:179.1pt;width:42pt;height:16.5pt;z-index:25134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83</w:t>
                        </w:r>
                      </w:p>
                    </w:txbxContent>
                  </v:textbox>
                </v:shape>
              </w:pict>
            </w:r>
            <w:r>
              <w:rPr>
                <w:rFonts w:ascii="Arial" w:hAnsi="Arial" w:cs="Arial"/>
                <w:noProof/>
                <w:sz w:val="16"/>
                <w:szCs w:val="16"/>
                <w:lang w:eastAsia="es-EC"/>
              </w:rPr>
              <w:pict>
                <v:shape id="104 Cuadro de texto" o:spid="_x0000_s1094" type="#_x0000_t202" style="position:absolute;left:0;text-align:left;margin-left:274.75pt;margin-top:73.35pt;width:42pt;height:16.5pt;z-index:25134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126</w:t>
                        </w:r>
                      </w:p>
                    </w:txbxContent>
                  </v:textbox>
                </v:shape>
              </w:pict>
            </w:r>
            <w:r>
              <w:rPr>
                <w:rFonts w:ascii="Arial" w:hAnsi="Arial" w:cs="Arial"/>
                <w:noProof/>
                <w:sz w:val="16"/>
                <w:szCs w:val="16"/>
                <w:lang w:eastAsia="es-EC"/>
              </w:rPr>
              <w:pict>
                <v:shape id="105 Cuadro de texto" o:spid="_x0000_s1093" type="#_x0000_t202" style="position:absolute;left:0;text-align:left;margin-left:274.75pt;margin-top:50.1pt;width:42pt;height:16.5pt;z-index:25134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96</w:t>
                        </w:r>
                      </w:p>
                    </w:txbxContent>
                  </v:textbox>
                </v:shape>
              </w:pict>
            </w:r>
            <w:r>
              <w:rPr>
                <w:rFonts w:ascii="Arial" w:hAnsi="Arial" w:cs="Arial"/>
                <w:noProof/>
                <w:sz w:val="16"/>
                <w:szCs w:val="16"/>
                <w:lang w:eastAsia="es-EC"/>
              </w:rPr>
              <w:pict>
                <v:shape id="111 Cuadro de texto" o:spid="_x0000_s1087" type="#_x0000_t202" style="position:absolute;left:0;text-align:left;margin-left:221.8pt;margin-top:130.35pt;width:42pt;height:16.5pt;z-index:25133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69</w:t>
                        </w:r>
                      </w:p>
                    </w:txbxContent>
                  </v:textbox>
                </v:shape>
              </w:pict>
            </w:r>
            <w:r>
              <w:rPr>
                <w:rFonts w:ascii="Arial" w:hAnsi="Arial" w:cs="Arial"/>
                <w:noProof/>
                <w:sz w:val="16"/>
                <w:szCs w:val="16"/>
                <w:lang w:eastAsia="es-EC"/>
              </w:rPr>
              <w:pict>
                <v:shape id="101 Cuadro de texto" o:spid="_x0000_s1097" type="#_x0000_t202" style="position:absolute;left:0;text-align:left;margin-left:12.25pt;margin-top:77.05pt;width:42pt;height:16.5pt;z-index:25134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" filled="f" stroked="f" strokeweight=".5pt">
                  <v:textbox>
                    <w:txbxContent>
                      <w:p w:rsidR="006933DF" w:rsidRPr="00FB70B7" w:rsidRDefault="006933DF" w:rsidP="00674EBD">
                        <w:pPr>
                          <w:rPr>
                            <w:rFonts w:ascii="Arial" w:hAnsi="Arial" w:cs="Arial"/>
                            <w:color w:val="FFFFFF" w:themeColor="background1"/>
                            <w:sz w:val="12"/>
                            <w:szCs w:val="12"/>
                          </w:rPr>
                        </w:pPr>
                        <w:r w:rsidRPr="00FB70B7">
                          <w:rPr>
                            <w:rFonts w:ascii="Arial" w:hAnsi="Arial" w:cs="Arial"/>
                            <w:color w:val="FFFFFF" w:themeColor="background1"/>
                            <w:sz w:val="12"/>
                            <w:szCs w:val="12"/>
                          </w:rPr>
                          <w:t>168</w:t>
                        </w:r>
                      </w:p>
                    </w:txbxContent>
                  </v:textbox>
                </v:shape>
              </w:pict>
            </w:r>
            <w:r>
              <w:rPr>
                <w:rFonts w:ascii="Arial" w:hAnsi="Arial" w:cs="Arial"/>
                <w:noProof/>
                <w:sz w:val="16"/>
                <w:szCs w:val="16"/>
                <w:lang w:eastAsia="es-EC"/>
              </w:rPr>
              <w:pict>
                <v:shape id="116 Cuadro de texto" o:spid="_x0000_s1082" type="#_x0000_t202" style="position:absolute;left:0;text-align:left;margin-left:158.05pt;margin-top:109pt;width:42pt;height:16.5pt;z-index:25133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28</w:t>
                        </w:r>
                      </w:p>
                    </w:txbxContent>
                  </v:textbox>
                </v:shape>
              </w:pict>
            </w:r>
            <w:r w:rsidR="00674EBD">
              <w:rPr>
                <w:noProof/>
                <w:lang w:eastAsia="es-EC"/>
              </w:rPr>
              <w:drawing>
                <wp:inline distT="0" distB="0" distL="0" distR="0">
                  <wp:extent cx="4536000" cy="2813605"/>
                  <wp:effectExtent l="0" t="0" r="0" b="0"/>
                  <wp:docPr id="129" name="1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 Imagen"/>
                          <pic:cNvPicPr>
                            <a:picLocks noChangeAspect="1"/>
                          </pic:cNvPicPr>
                        </pic:nvPicPr>
                        <pic:blipFill>
                          <a:blip r:embed="rId28" cstate="print"/>
                          <a:stretch>
                            <a:fillRect/>
                          </a:stretch>
                        </pic:blipFill>
                        <pic:spPr>
                          <a:xfrm>
                            <a:off x="0" y="0"/>
                            <a:ext cx="4536000" cy="2813605"/>
                          </a:xfrm>
                          <a:prstGeom prst="rect">
                            <a:avLst/>
                          </a:prstGeom>
                        </pic:spPr>
                      </pic:pic>
                    </a:graphicData>
                  </a:graphic>
                </wp:inline>
              </w:drawing>
            </w:r>
          </w:p>
        </w:tc>
      </w:tr>
    </w:tbl>
    <w:p w:rsidR="00674EBD" w:rsidRPr="00840A1F" w:rsidRDefault="00674EBD" w:rsidP="00840A1F">
      <w:pPr>
        <w:pStyle w:val="Prrafodelista"/>
        <w:spacing w:line="276" w:lineRule="auto"/>
        <w:ind w:left="851"/>
        <w:jc w:val="both"/>
        <w:rPr>
          <w:rFonts w:ascii="Arial" w:hAnsi="Arial" w:cs="Arial"/>
          <w:sz w:val="17"/>
          <w:szCs w:val="17"/>
        </w:rPr>
      </w:pPr>
    </w:p>
    <w:p w:rsidR="00674EBD" w:rsidRPr="00840A1F" w:rsidRDefault="00674EBD" w:rsidP="00840A1F">
      <w:pPr>
        <w:pStyle w:val="Prrafodelista"/>
        <w:spacing w:line="276" w:lineRule="auto"/>
        <w:ind w:left="851"/>
        <w:jc w:val="both"/>
        <w:rPr>
          <w:rFonts w:ascii="Arial" w:hAnsi="Arial" w:cs="Arial"/>
          <w:sz w:val="17"/>
          <w:szCs w:val="17"/>
        </w:rPr>
      </w:pPr>
      <w:r w:rsidRPr="00840A1F">
        <w:rPr>
          <w:rFonts w:ascii="Arial" w:hAnsi="Arial" w:cs="Arial"/>
          <w:b/>
          <w:i/>
          <w:sz w:val="17"/>
          <w:szCs w:val="17"/>
        </w:rPr>
        <w:t>Fuente:</w:t>
      </w:r>
      <w:r w:rsidRPr="00840A1F">
        <w:rPr>
          <w:rFonts w:ascii="Arial" w:hAnsi="Arial" w:cs="Arial"/>
          <w:sz w:val="17"/>
          <w:szCs w:val="17"/>
        </w:rPr>
        <w:t xml:space="preserve"> </w:t>
      </w:r>
      <w:r w:rsidRPr="00840A1F">
        <w:rPr>
          <w:rFonts w:ascii="Arial" w:hAnsi="Arial" w:cs="Arial"/>
          <w:b/>
          <w:sz w:val="17"/>
          <w:szCs w:val="17"/>
        </w:rPr>
        <w:t xml:space="preserve">INEC </w:t>
      </w:r>
      <w:r w:rsidRPr="00840A1F">
        <w:rPr>
          <w:rFonts w:ascii="Arial" w:hAnsi="Arial" w:cs="Arial"/>
          <w:sz w:val="17"/>
          <w:szCs w:val="17"/>
        </w:rPr>
        <w:t>(2010), Base de Datos del VII Censo de Población y VI de Vivienda.</w:t>
      </w:r>
    </w:p>
    <w:p w:rsidR="00674EBD" w:rsidRPr="00840A1F" w:rsidRDefault="00674EBD" w:rsidP="00840A1F">
      <w:pPr>
        <w:pStyle w:val="Prrafodelista"/>
        <w:tabs>
          <w:tab w:val="left" w:pos="4935"/>
        </w:tabs>
        <w:spacing w:line="276" w:lineRule="auto"/>
        <w:ind w:left="851"/>
        <w:jc w:val="both"/>
        <w:rPr>
          <w:rFonts w:ascii="Arial" w:hAnsi="Arial" w:cs="Arial"/>
          <w:sz w:val="17"/>
          <w:szCs w:val="17"/>
        </w:rPr>
      </w:pPr>
      <w:r w:rsidRPr="00840A1F">
        <w:rPr>
          <w:rFonts w:ascii="Arial" w:hAnsi="Arial" w:cs="Arial"/>
          <w:b/>
          <w:i/>
          <w:sz w:val="17"/>
          <w:szCs w:val="17"/>
        </w:rPr>
        <w:t>Elaborado por:</w:t>
      </w:r>
      <w:r w:rsidRPr="00840A1F">
        <w:rPr>
          <w:rFonts w:ascii="Arial" w:hAnsi="Arial" w:cs="Arial"/>
          <w:sz w:val="17"/>
          <w:szCs w:val="17"/>
        </w:rPr>
        <w:t xml:space="preserve"> Katherine Loor Valeriano</w:t>
      </w:r>
    </w:p>
    <w:p w:rsidR="00674EBD" w:rsidRPr="00FD0E3B" w:rsidRDefault="00674EBD" w:rsidP="00840A1F">
      <w:pPr>
        <w:pStyle w:val="Prrafodelista"/>
        <w:spacing w:line="480" w:lineRule="auto"/>
        <w:ind w:left="851"/>
        <w:jc w:val="both"/>
        <w:rPr>
          <w:rFonts w:ascii="Arial" w:hAnsi="Arial" w:cs="Arial"/>
        </w:rPr>
      </w:pPr>
      <w:r w:rsidRPr="00FD0E3B">
        <w:rPr>
          <w:rFonts w:ascii="Arial" w:hAnsi="Arial" w:cs="Arial"/>
        </w:rPr>
        <w:lastRenderedPageBreak/>
        <w:t>En lo que a emigraciones se refiere, tenemos que en este período la provincia con mayor tasa de emigración es Galápagos (121 por cada 1000), mientras que bajo el escenario anterior era Bolívar. Adicionalmente, tenemos que 44.90 por cada 1000 habitantes que hace 5 años vivían en Galápagos para el 2010 estaban viviendo en Guayas</w:t>
      </w:r>
      <w:r>
        <w:rPr>
          <w:rFonts w:ascii="Arial" w:hAnsi="Arial" w:cs="Arial"/>
        </w:rPr>
        <w:t>; otra</w:t>
      </w:r>
      <w:r w:rsidRPr="00FD0E3B">
        <w:rPr>
          <w:rFonts w:ascii="Arial" w:hAnsi="Arial" w:cs="Arial"/>
        </w:rPr>
        <w:t xml:space="preserve"> provincia de g</w:t>
      </w:r>
      <w:r>
        <w:rPr>
          <w:rFonts w:ascii="Arial" w:hAnsi="Arial" w:cs="Arial"/>
        </w:rPr>
        <w:t>ran atractivo para quienes anteriormente</w:t>
      </w:r>
      <w:r w:rsidRPr="00FD0E3B">
        <w:rPr>
          <w:rFonts w:ascii="Arial" w:hAnsi="Arial" w:cs="Arial"/>
        </w:rPr>
        <w:t xml:space="preserve"> vivían en Galápagos es Pichincha hacia donde se dirigieron aproximadamente 29 por cada 1000.</w:t>
      </w:r>
      <w:r>
        <w:rPr>
          <w:rFonts w:ascii="Arial" w:hAnsi="Arial" w:cs="Arial"/>
        </w:rPr>
        <w:t xml:space="preserve"> </w:t>
      </w:r>
      <w:r w:rsidRPr="00FD0E3B">
        <w:rPr>
          <w:rFonts w:ascii="Arial" w:hAnsi="Arial" w:cs="Arial"/>
        </w:rPr>
        <w:t xml:space="preserve">Sucumbíos </w:t>
      </w:r>
      <w:r>
        <w:rPr>
          <w:rFonts w:ascii="Arial" w:hAnsi="Arial" w:cs="Arial"/>
        </w:rPr>
        <w:t>es la provincia</w:t>
      </w:r>
      <w:r w:rsidRPr="00FD0E3B">
        <w:rPr>
          <w:rFonts w:ascii="Arial" w:hAnsi="Arial" w:cs="Arial"/>
        </w:rPr>
        <w:t xml:space="preserve"> que presentó </w:t>
      </w:r>
      <w:r>
        <w:rPr>
          <w:rFonts w:ascii="Arial" w:hAnsi="Arial" w:cs="Arial"/>
        </w:rPr>
        <w:t>la segunda</w:t>
      </w:r>
      <w:r w:rsidRPr="00FD0E3B">
        <w:rPr>
          <w:rFonts w:ascii="Arial" w:hAnsi="Arial" w:cs="Arial"/>
        </w:rPr>
        <w:t xml:space="preserve"> tasa </w:t>
      </w:r>
      <w:r>
        <w:rPr>
          <w:rFonts w:ascii="Arial" w:hAnsi="Arial" w:cs="Arial"/>
        </w:rPr>
        <w:t>más alta de emigración</w:t>
      </w:r>
      <w:r w:rsidRPr="00FD0E3B">
        <w:rPr>
          <w:rFonts w:ascii="Arial" w:hAnsi="Arial" w:cs="Arial"/>
        </w:rPr>
        <w:t xml:space="preserve">, </w:t>
      </w:r>
      <w:r>
        <w:rPr>
          <w:rFonts w:ascii="Arial" w:hAnsi="Arial" w:cs="Arial"/>
        </w:rPr>
        <w:t>pues</w:t>
      </w:r>
      <w:r w:rsidRPr="00FD0E3B">
        <w:rPr>
          <w:rFonts w:ascii="Arial" w:hAnsi="Arial" w:cs="Arial"/>
        </w:rPr>
        <w:t xml:space="preserve"> </w:t>
      </w:r>
      <w:r>
        <w:rPr>
          <w:rFonts w:ascii="Arial" w:hAnsi="Arial" w:cs="Arial"/>
        </w:rPr>
        <w:t xml:space="preserve">ha </w:t>
      </w:r>
      <w:r w:rsidRPr="00FD0E3B">
        <w:rPr>
          <w:rFonts w:ascii="Arial" w:hAnsi="Arial" w:cs="Arial"/>
        </w:rPr>
        <w:t>expulsa</w:t>
      </w:r>
      <w:r>
        <w:rPr>
          <w:rFonts w:ascii="Arial" w:hAnsi="Arial" w:cs="Arial"/>
        </w:rPr>
        <w:t>do</w:t>
      </w:r>
      <w:r w:rsidRPr="00FD0E3B">
        <w:rPr>
          <w:rFonts w:ascii="Arial" w:hAnsi="Arial" w:cs="Arial"/>
        </w:rPr>
        <w:t xml:space="preserve"> alrededor de 99 personas por cada 1000 habitantes; de ésta población la mayoría se dirigió hacia Pichincha y Orellana, que como una de las leyes de Ravenstein propone la mayor parte de las migraciones son de corta distancia y este es un ejemplo de dicha ley.</w:t>
      </w:r>
    </w:p>
    <w:p w:rsidR="00674EBD" w:rsidRPr="00FD0E3B" w:rsidRDefault="00674EBD" w:rsidP="00840A1F">
      <w:pPr>
        <w:pStyle w:val="Prrafodelista"/>
        <w:spacing w:line="480" w:lineRule="auto"/>
        <w:ind w:left="851"/>
        <w:jc w:val="both"/>
        <w:rPr>
          <w:rFonts w:ascii="Arial" w:hAnsi="Arial" w:cs="Arial"/>
        </w:rPr>
      </w:pPr>
    </w:p>
    <w:p w:rsidR="00674EBD" w:rsidRDefault="00674EBD" w:rsidP="00840A1F">
      <w:pPr>
        <w:pStyle w:val="Prrafodelista"/>
        <w:spacing w:line="480" w:lineRule="auto"/>
        <w:ind w:left="851"/>
        <w:jc w:val="both"/>
        <w:rPr>
          <w:rFonts w:ascii="Arial" w:hAnsi="Arial" w:cs="Arial"/>
        </w:rPr>
      </w:pPr>
      <w:r w:rsidRPr="00FD0E3B">
        <w:rPr>
          <w:rFonts w:ascii="Arial" w:hAnsi="Arial" w:cs="Arial"/>
        </w:rPr>
        <w:t xml:space="preserve">Por otra parte, Carchi y Santo Domingo presentan una tasa de </w:t>
      </w:r>
      <w:r>
        <w:rPr>
          <w:rFonts w:ascii="Arial" w:hAnsi="Arial" w:cs="Arial"/>
        </w:rPr>
        <w:t xml:space="preserve">emigración de </w:t>
      </w:r>
      <w:r w:rsidRPr="00FD0E3B">
        <w:rPr>
          <w:rFonts w:ascii="Arial" w:hAnsi="Arial" w:cs="Arial"/>
        </w:rPr>
        <w:t>93 por cada 1000 personas</w:t>
      </w:r>
      <w:r>
        <w:rPr>
          <w:rFonts w:ascii="Arial" w:hAnsi="Arial" w:cs="Arial"/>
        </w:rPr>
        <w:t xml:space="preserve"> que</w:t>
      </w:r>
      <w:r w:rsidRPr="00FD0E3B">
        <w:rPr>
          <w:rFonts w:ascii="Arial" w:hAnsi="Arial" w:cs="Arial"/>
        </w:rPr>
        <w:t xml:space="preserve"> hace 5 años vivían en dichas provincias al 2010 habían emigrado. Otra de las p</w:t>
      </w:r>
      <w:r>
        <w:rPr>
          <w:rFonts w:ascii="Arial" w:hAnsi="Arial" w:cs="Arial"/>
        </w:rPr>
        <w:t xml:space="preserve">rovincias que muestra una tasa </w:t>
      </w:r>
      <w:r w:rsidRPr="00FD0E3B">
        <w:rPr>
          <w:rFonts w:ascii="Arial" w:hAnsi="Arial" w:cs="Arial"/>
        </w:rPr>
        <w:t xml:space="preserve">alta de expulsión es Pastaza, teniendo una tasa de 86 por cada 1000. </w:t>
      </w:r>
      <w:r>
        <w:rPr>
          <w:rFonts w:ascii="Arial" w:hAnsi="Arial" w:cs="Arial"/>
        </w:rPr>
        <w:t xml:space="preserve">Bolívar es ahora la provincia con </w:t>
      </w:r>
      <w:r w:rsidRPr="00FD0E3B">
        <w:rPr>
          <w:rFonts w:ascii="Arial" w:hAnsi="Arial" w:cs="Arial"/>
        </w:rPr>
        <w:t xml:space="preserve">la sexta tasa </w:t>
      </w:r>
      <w:r>
        <w:rPr>
          <w:rFonts w:ascii="Arial" w:hAnsi="Arial" w:cs="Arial"/>
        </w:rPr>
        <w:t xml:space="preserve">más alta </w:t>
      </w:r>
      <w:r w:rsidRPr="00FD0E3B">
        <w:rPr>
          <w:rFonts w:ascii="Arial" w:hAnsi="Arial" w:cs="Arial"/>
        </w:rPr>
        <w:t>de emigración</w:t>
      </w:r>
      <w:r>
        <w:rPr>
          <w:rFonts w:ascii="Arial" w:hAnsi="Arial" w:cs="Arial"/>
        </w:rPr>
        <w:t xml:space="preserve"> en lo que a emigrantes recientes se refiere (menos de 5 años)</w:t>
      </w:r>
      <w:r w:rsidRPr="00FD0E3B">
        <w:rPr>
          <w:rFonts w:ascii="Arial" w:hAnsi="Arial" w:cs="Arial"/>
        </w:rPr>
        <w:t xml:space="preserve">, expulsando aproximadamente 83 por cada 1000 personas que antes residían en esa provincia. </w:t>
      </w:r>
      <w:r>
        <w:rPr>
          <w:rFonts w:ascii="Arial" w:hAnsi="Arial" w:cs="Arial"/>
        </w:rPr>
        <w:t>Una</w:t>
      </w:r>
      <w:r w:rsidRPr="00FD0E3B">
        <w:rPr>
          <w:rFonts w:ascii="Arial" w:hAnsi="Arial" w:cs="Arial"/>
        </w:rPr>
        <w:t xml:space="preserve"> de las provincias del Oriente con tasa alta de emigración es Napo, desde donde 70 por cada 1000 personas que hace 5 años residían allí han emigrado, está provincia presenta un crecimiento de -5 habitantes en los últimos 5 años como consecuencia de la migración.</w:t>
      </w:r>
    </w:p>
    <w:p w:rsidR="00674EBD" w:rsidRPr="000F5F82" w:rsidRDefault="00674EBD" w:rsidP="00840A1F">
      <w:pPr>
        <w:pStyle w:val="Prrafodelista"/>
        <w:spacing w:line="480" w:lineRule="auto"/>
        <w:ind w:left="851"/>
        <w:jc w:val="both"/>
        <w:rPr>
          <w:rFonts w:ascii="Arial" w:hAnsi="Arial" w:cs="Arial"/>
        </w:rPr>
      </w:pPr>
      <w:r w:rsidRPr="00FD0E3B">
        <w:rPr>
          <w:rFonts w:ascii="Arial" w:hAnsi="Arial" w:cs="Arial"/>
        </w:rPr>
        <w:lastRenderedPageBreak/>
        <w:t>De las provincias de la Costa, podemos observar que en los últimos 5 años Manabí ha expulsado alrededor de 66353, lo que representa 53 personas por cada 1000 habitantes que antes tenía dicha provincia, los mismos que mayoritariamente se dirigieron hacia Pichincha (33.90 por cada 1000), y los restantes se distribuyeron entre las demás provincias. Al igual que en el primer escenario, Guayas continúa siendo la provincia con menor tasa de expulsión de población, registrándose en ese período que 25 por cada 1000 habitantes han emigrado, de los cuales 4 y 3.70 por cada 1000 personas que antes vivían en Guayas se dirigieron hacia Manabí y Los Ríos respectivamente.</w:t>
      </w:r>
      <w:r>
        <w:rPr>
          <w:rFonts w:ascii="Arial" w:hAnsi="Arial" w:cs="Arial"/>
        </w:rPr>
        <w:t xml:space="preserve"> Para más detalles </w:t>
      </w:r>
      <w:r>
        <w:rPr>
          <w:rFonts w:ascii="Arial" w:hAnsi="Arial" w:cs="Arial"/>
          <w:i/>
        </w:rPr>
        <w:t>Véase Figura 2.6</w:t>
      </w:r>
      <w:r>
        <w:rPr>
          <w:rFonts w:ascii="Arial" w:hAnsi="Arial" w:cs="Arial"/>
        </w:rPr>
        <w:t>, donde se presenta el mapa temático con la tasa de emigración por cada 1000 habitantes que hace 5 años vivían en una determinada provincia</w:t>
      </w:r>
      <w:r>
        <w:rPr>
          <w:rFonts w:ascii="Arial" w:hAnsi="Arial" w:cs="Arial"/>
          <w:i/>
        </w:rPr>
        <w:t>.</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674EBD" w:rsidRPr="00840530" w:rsidTr="00840A1F">
        <w:trPr>
          <w:trHeight w:val="5254"/>
          <w:jc w:val="right"/>
        </w:trPr>
        <w:tc>
          <w:tcPr>
            <w:tcW w:w="7535" w:type="dxa"/>
          </w:tcPr>
          <w:p w:rsidR="00674EBD" w:rsidRPr="00840530" w:rsidRDefault="00674EBD" w:rsidP="003F1262">
            <w:pPr>
              <w:rPr>
                <w:rFonts w:ascii="Arial" w:hAnsi="Arial" w:cs="Arial"/>
                <w:sz w:val="16"/>
                <w:szCs w:val="16"/>
              </w:rPr>
            </w:pPr>
          </w:p>
          <w:p w:rsidR="001356B2" w:rsidRPr="001356B2" w:rsidRDefault="001356B2" w:rsidP="001356B2">
            <w:pPr>
              <w:keepNext/>
              <w:rPr>
                <w:rFonts w:ascii="Arial" w:hAnsi="Arial" w:cs="Arial"/>
                <w:b/>
                <w:sz w:val="16"/>
                <w:szCs w:val="16"/>
              </w:rPr>
            </w:pPr>
            <w:bookmarkStart w:id="263" w:name="_Toc341042996"/>
            <w:r>
              <w:rPr>
                <w:rFonts w:ascii="Arial" w:hAnsi="Arial" w:cs="Arial"/>
                <w:b/>
                <w:sz w:val="16"/>
                <w:szCs w:val="16"/>
              </w:rPr>
              <w:t>Figura 2.</w:t>
            </w:r>
            <w:r w:rsidR="00990535" w:rsidRPr="001356B2">
              <w:rPr>
                <w:rFonts w:ascii="Arial" w:hAnsi="Arial" w:cs="Arial"/>
                <w:b/>
                <w:sz w:val="16"/>
                <w:szCs w:val="16"/>
              </w:rPr>
              <w:fldChar w:fldCharType="begin"/>
            </w:r>
            <w:r w:rsidRPr="001356B2">
              <w:rPr>
                <w:rFonts w:ascii="Arial" w:hAnsi="Arial" w:cs="Arial"/>
                <w:b/>
                <w:sz w:val="16"/>
                <w:szCs w:val="16"/>
              </w:rPr>
              <w:instrText xml:space="preserve"> SEQ Figura_2. \* ARABIC </w:instrText>
            </w:r>
            <w:r w:rsidR="00990535" w:rsidRPr="001356B2">
              <w:rPr>
                <w:rFonts w:ascii="Arial" w:hAnsi="Arial" w:cs="Arial"/>
                <w:b/>
                <w:sz w:val="16"/>
                <w:szCs w:val="16"/>
              </w:rPr>
              <w:fldChar w:fldCharType="separate"/>
            </w:r>
            <w:r w:rsidR="00A242E0">
              <w:rPr>
                <w:rFonts w:ascii="Arial" w:hAnsi="Arial" w:cs="Arial"/>
                <w:b/>
                <w:noProof/>
                <w:sz w:val="16"/>
                <w:szCs w:val="16"/>
              </w:rPr>
              <w:t>6</w:t>
            </w:r>
            <w:bookmarkEnd w:id="263"/>
            <w:r w:rsidR="00990535" w:rsidRPr="001356B2">
              <w:rPr>
                <w:rFonts w:ascii="Arial" w:hAnsi="Arial" w:cs="Arial"/>
                <w:b/>
                <w:sz w:val="16"/>
                <w:szCs w:val="16"/>
              </w:rPr>
              <w:fldChar w:fldCharType="end"/>
            </w:r>
          </w:p>
          <w:p w:rsidR="00674EBD" w:rsidRPr="007D22D2" w:rsidRDefault="00840A1F" w:rsidP="003F1262">
            <w:pPr>
              <w:rPr>
                <w:rFonts w:ascii="Arial" w:hAnsi="Arial" w:cs="Arial"/>
                <w:i/>
                <w:sz w:val="16"/>
                <w:szCs w:val="16"/>
              </w:rPr>
            </w:pPr>
            <w:r>
              <w:rPr>
                <w:rFonts w:ascii="Arial" w:hAnsi="Arial" w:cs="Arial"/>
                <w:b/>
                <w:i/>
                <w:sz w:val="16"/>
                <w:szCs w:val="16"/>
              </w:rPr>
              <w:t xml:space="preserve">Ecuador 2010: </w:t>
            </w:r>
            <w:r w:rsidR="00674EBD" w:rsidRPr="007D22D2">
              <w:rPr>
                <w:rFonts w:ascii="Arial" w:hAnsi="Arial" w:cs="Arial"/>
                <w:i/>
                <w:sz w:val="16"/>
                <w:szCs w:val="16"/>
              </w:rPr>
              <w:t xml:space="preserve">Tasa de Emigración por cada 1000 </w:t>
            </w:r>
            <w:r w:rsidR="00674EBD">
              <w:rPr>
                <w:rFonts w:ascii="Arial" w:hAnsi="Arial" w:cs="Arial"/>
                <w:i/>
                <w:sz w:val="16"/>
                <w:szCs w:val="16"/>
              </w:rPr>
              <w:t>habitantes</w:t>
            </w:r>
            <w:r w:rsidR="00674EBD" w:rsidRPr="007D22D2">
              <w:rPr>
                <w:rFonts w:ascii="Arial" w:hAnsi="Arial" w:cs="Arial"/>
                <w:i/>
                <w:sz w:val="16"/>
                <w:szCs w:val="16"/>
              </w:rPr>
              <w:t xml:space="preserve"> que hace 5 años vivían en </w:t>
            </w:r>
            <w:r w:rsidR="00674EBD">
              <w:rPr>
                <w:rFonts w:ascii="Arial" w:hAnsi="Arial" w:cs="Arial"/>
                <w:i/>
                <w:sz w:val="16"/>
                <w:szCs w:val="16"/>
              </w:rPr>
              <w:t>la</w:t>
            </w:r>
            <w:r w:rsidR="00674EBD" w:rsidRPr="007D22D2">
              <w:rPr>
                <w:rFonts w:ascii="Arial" w:hAnsi="Arial" w:cs="Arial"/>
                <w:i/>
                <w:sz w:val="16"/>
                <w:szCs w:val="16"/>
              </w:rPr>
              <w:t xml:space="preserve"> Provincia</w:t>
            </w:r>
          </w:p>
          <w:p w:rsidR="00674EBD" w:rsidRPr="00840530" w:rsidRDefault="00436907" w:rsidP="003F1262">
            <w:pPr>
              <w:rPr>
                <w:rFonts w:ascii="Arial" w:hAnsi="Arial" w:cs="Arial"/>
                <w:sz w:val="24"/>
                <w:szCs w:val="24"/>
              </w:rPr>
            </w:pPr>
            <w:r>
              <w:rPr>
                <w:rFonts w:ascii="Arial" w:hAnsi="Arial" w:cs="Arial"/>
                <w:noProof/>
                <w:sz w:val="16"/>
                <w:szCs w:val="16"/>
                <w:lang w:eastAsia="es-EC"/>
              </w:rPr>
              <w:pict>
                <v:shape id="173 Cuadro de texto" o:spid="_x0000_s1107" type="#_x0000_t202" style="position:absolute;left:0;text-align:left;margin-left:211.75pt;margin-top:40pt;width:42pt;height:16.5pt;z-index:25135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53</w:t>
                        </w:r>
                      </w:p>
                    </w:txbxContent>
                  </v:textbox>
                </v:shape>
              </w:pict>
            </w:r>
            <w:r>
              <w:rPr>
                <w:rFonts w:ascii="Arial" w:hAnsi="Arial" w:cs="Arial"/>
                <w:noProof/>
                <w:sz w:val="16"/>
                <w:szCs w:val="16"/>
                <w:lang w:eastAsia="es-EC"/>
              </w:rPr>
              <w:pict>
                <v:shape id="177 Cuadro de texto" o:spid="_x0000_s1101" type="#_x0000_t202" style="position:absolute;left:0;text-align:left;margin-left:222.65pt;margin-top:32.85pt;width:42pt;height:16.5pt;rotation:2175710fd;z-index:25134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93</w:t>
                        </w:r>
                      </w:p>
                    </w:txbxContent>
                  </v:textbox>
                </v:shape>
              </w:pict>
            </w:r>
            <w:r>
              <w:rPr>
                <w:rFonts w:ascii="Arial" w:hAnsi="Arial" w:cs="Arial"/>
                <w:noProof/>
                <w:sz w:val="16"/>
                <w:szCs w:val="16"/>
                <w:lang w:eastAsia="es-EC"/>
              </w:rPr>
              <w:pict>
                <v:shape id="169 Cuadro de texto" o:spid="_x0000_s1112" type="#_x0000_t202" style="position:absolute;left:0;text-align:left;margin-left:223pt;margin-top:73.65pt;width:42pt;height:16.5pt;z-index:25136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70</w:t>
                        </w:r>
                      </w:p>
                    </w:txbxContent>
                  </v:textbox>
                </v:shape>
              </w:pict>
            </w:r>
            <w:r>
              <w:rPr>
                <w:rFonts w:ascii="Arial" w:hAnsi="Arial" w:cs="Arial"/>
                <w:noProof/>
                <w:sz w:val="16"/>
                <w:szCs w:val="16"/>
                <w:lang w:eastAsia="es-EC"/>
              </w:rPr>
              <w:pict>
                <v:shape id="158 Cuadro de texto" o:spid="_x0000_s1103" type="#_x0000_t202" style="position:absolute;left:0;text-align:left;margin-left:203.5pt;margin-top:117.6pt;width:27.75pt;height:16.5pt;z-index:25135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61</w:t>
                        </w:r>
                      </w:p>
                    </w:txbxContent>
                  </v:textbox>
                </v:shape>
              </w:pict>
            </w:r>
            <w:r>
              <w:rPr>
                <w:rFonts w:ascii="Arial" w:hAnsi="Arial" w:cs="Arial"/>
                <w:noProof/>
                <w:sz w:val="16"/>
                <w:szCs w:val="16"/>
                <w:lang w:eastAsia="es-EC"/>
              </w:rPr>
              <w:pict>
                <v:shape id="159 Cuadro de texto" o:spid="_x0000_s1100" type="#_x0000_t202" style="position:absolute;left:0;text-align:left;margin-left:189.25pt;margin-top:136.35pt;width:42pt;height:16.5pt;z-index:25134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40</w:t>
                        </w:r>
                      </w:p>
                    </w:txbxContent>
                  </v:textbox>
                </v:shape>
              </w:pict>
            </w:r>
            <w:r>
              <w:rPr>
                <w:rFonts w:ascii="Arial" w:hAnsi="Arial" w:cs="Arial"/>
                <w:noProof/>
                <w:sz w:val="16"/>
                <w:szCs w:val="16"/>
                <w:lang w:eastAsia="es-EC"/>
              </w:rPr>
              <w:pict>
                <v:shape id="160 Cuadro de texto" o:spid="_x0000_s1098" type="#_x0000_t202" style="position:absolute;left:0;text-align:left;margin-left:181.75pt;margin-top:152.1pt;width:42pt;height:16.5pt;z-index:25134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34</w:t>
                        </w:r>
                      </w:p>
                    </w:txbxContent>
                  </v:textbox>
                </v:shape>
              </w:pict>
            </w:r>
            <w:r>
              <w:rPr>
                <w:rFonts w:ascii="Arial" w:hAnsi="Arial" w:cs="Arial"/>
                <w:noProof/>
                <w:sz w:val="16"/>
                <w:szCs w:val="16"/>
                <w:lang w:eastAsia="es-EC"/>
              </w:rPr>
              <w:pict>
                <v:shape id="157 Cuadro de texto" o:spid="_x0000_s1104" type="#_x0000_t202" style="position:absolute;left:0;text-align:left;margin-left:161.5pt;margin-top:167.85pt;width:42pt;height:16.5pt;z-index:25135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54</w:t>
                        </w:r>
                      </w:p>
                    </w:txbxContent>
                  </v:textbox>
                </v:shape>
              </w:pict>
            </w:r>
            <w:r>
              <w:rPr>
                <w:rFonts w:ascii="Arial" w:hAnsi="Arial" w:cs="Arial"/>
                <w:noProof/>
                <w:sz w:val="16"/>
                <w:szCs w:val="16"/>
                <w:lang w:eastAsia="es-EC"/>
              </w:rPr>
              <w:pict>
                <v:shape id="172 Cuadro de texto" o:spid="_x0000_s1108" type="#_x0000_t202" style="position:absolute;left:0;text-align:left;margin-left:169pt;margin-top:187.35pt;width:42pt;height:16.5pt;z-index:25135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66</w:t>
                        </w:r>
                      </w:p>
                    </w:txbxContent>
                  </v:textbox>
                </v:shape>
              </w:pict>
            </w:r>
            <w:r>
              <w:rPr>
                <w:rFonts w:ascii="Arial" w:hAnsi="Arial" w:cs="Arial"/>
                <w:noProof/>
                <w:sz w:val="16"/>
                <w:szCs w:val="16"/>
                <w:lang w:eastAsia="es-EC"/>
              </w:rPr>
              <w:pict>
                <v:shape id="165 Cuadro de texto" o:spid="_x0000_s1116" type="#_x0000_t202" style="position:absolute;left:0;text-align:left;margin-left:193pt;margin-top:184.35pt;width:42pt;height:16.5pt;z-index:25136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80</w:t>
                        </w:r>
                      </w:p>
                    </w:txbxContent>
                  </v:textbox>
                </v:shape>
              </w:pict>
            </w:r>
            <w:r>
              <w:rPr>
                <w:rFonts w:ascii="Arial" w:hAnsi="Arial" w:cs="Arial"/>
                <w:noProof/>
                <w:sz w:val="16"/>
                <w:szCs w:val="16"/>
                <w:lang w:eastAsia="es-EC"/>
              </w:rPr>
              <w:pict>
                <v:shape id="170 Cuadro de texto" o:spid="_x0000_s1111" type="#_x0000_t202" style="position:absolute;left:0;text-align:left;margin-left:220.3pt;margin-top:138.6pt;width:42pt;height:16.5pt;z-index:25135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67</w:t>
                        </w:r>
                      </w:p>
                    </w:txbxContent>
                  </v:textbox>
                </v:shape>
              </w:pict>
            </w:r>
            <w:r>
              <w:rPr>
                <w:rFonts w:ascii="Arial" w:hAnsi="Arial" w:cs="Arial"/>
                <w:noProof/>
                <w:sz w:val="16"/>
                <w:szCs w:val="16"/>
                <w:lang w:eastAsia="es-EC"/>
              </w:rPr>
              <w:pict>
                <v:shape id="168 Cuadro de texto" o:spid="_x0000_s1113" type="#_x0000_t202" style="position:absolute;left:0;text-align:left;margin-left:256.75pt;margin-top:107.85pt;width:42pt;height:16.5pt;z-index:25136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86</w:t>
                        </w:r>
                      </w:p>
                    </w:txbxContent>
                  </v:textbox>
                </v:shape>
              </w:pict>
            </w:r>
            <w:r>
              <w:rPr>
                <w:rFonts w:ascii="Arial" w:hAnsi="Arial" w:cs="Arial"/>
                <w:noProof/>
                <w:sz w:val="16"/>
                <w:szCs w:val="16"/>
                <w:lang w:eastAsia="es-EC"/>
              </w:rPr>
              <w:pict>
                <v:shape id="163 Cuadro de texto" o:spid="_x0000_s1118" type="#_x0000_t202" style="position:absolute;left:0;text-align:left;margin-left:272.5pt;margin-top:80.1pt;width:42pt;height:16.5pt;z-index:25136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64</w:t>
                        </w:r>
                      </w:p>
                    </w:txbxContent>
                  </v:textbox>
                </v:shape>
              </w:pict>
            </w:r>
            <w:r>
              <w:rPr>
                <w:rFonts w:ascii="Arial" w:hAnsi="Arial" w:cs="Arial"/>
                <w:noProof/>
                <w:sz w:val="16"/>
                <w:szCs w:val="16"/>
                <w:lang w:eastAsia="es-EC"/>
              </w:rPr>
              <w:pict>
                <v:shape id="164 Cuadro de texto" o:spid="_x0000_s1117" type="#_x0000_t202" style="position:absolute;left:0;text-align:left;margin-left:271.75pt;margin-top:56.85pt;width:42pt;height:16.5pt;z-index:25136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99</w:t>
                        </w:r>
                      </w:p>
                    </w:txbxContent>
                  </v:textbox>
                </v:shape>
              </w:pict>
            </w:r>
            <w:r>
              <w:rPr>
                <w:rFonts w:ascii="Arial" w:hAnsi="Arial" w:cs="Arial"/>
                <w:noProof/>
                <w:sz w:val="16"/>
                <w:szCs w:val="16"/>
                <w:lang w:eastAsia="es-EC"/>
              </w:rPr>
              <w:pict>
                <v:shape id="155 Cuadro de texto" o:spid="_x0000_s1121" type="#_x0000_t202" style="position:absolute;left:0;text-align:left;margin-left:10pt;margin-top:82.3pt;width:42pt;height:16.5pt;z-index:25136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" filled="f" stroked="f" strokeweight=".5pt">
                  <v:textbox>
                    <w:txbxContent>
                      <w:p w:rsidR="006933DF" w:rsidRPr="00456ED0" w:rsidRDefault="006933DF" w:rsidP="00674EBD">
                        <w:pPr>
                          <w:rPr>
                            <w:rFonts w:ascii="Arial" w:hAnsi="Arial" w:cs="Arial"/>
                            <w:color w:val="FFFFFF" w:themeColor="background1"/>
                            <w:sz w:val="12"/>
                            <w:szCs w:val="12"/>
                          </w:rPr>
                        </w:pPr>
                        <w:r w:rsidRPr="00456ED0">
                          <w:rPr>
                            <w:rFonts w:ascii="Arial" w:hAnsi="Arial" w:cs="Arial"/>
                            <w:color w:val="FFFFFF" w:themeColor="background1"/>
                            <w:sz w:val="12"/>
                            <w:szCs w:val="12"/>
                          </w:rPr>
                          <w:t>121</w:t>
                        </w:r>
                      </w:p>
                    </w:txbxContent>
                  </v:textbox>
                </v:shape>
              </w:pict>
            </w:r>
            <w:r>
              <w:rPr>
                <w:rFonts w:ascii="Arial" w:hAnsi="Arial" w:cs="Arial"/>
                <w:noProof/>
                <w:sz w:val="16"/>
                <w:szCs w:val="16"/>
                <w:lang w:eastAsia="es-EC"/>
              </w:rPr>
              <w:pict>
                <v:shape id="162 Cuadro de texto" o:spid="_x0000_s1120" type="#_x0000_t202" style="position:absolute;left:0;text-align:left;margin-left:138.25pt;margin-top:124.35pt;width:42pt;height:16.5pt;z-index:25136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32</w:t>
                        </w:r>
                      </w:p>
                    </w:txbxContent>
                  </v:textbox>
                </v:shape>
              </w:pict>
            </w:r>
            <w:r>
              <w:rPr>
                <w:rFonts w:ascii="Arial" w:hAnsi="Arial" w:cs="Arial"/>
                <w:noProof/>
                <w:sz w:val="16"/>
                <w:szCs w:val="16"/>
                <w:lang w:eastAsia="es-EC"/>
              </w:rPr>
              <w:pict>
                <v:shape id="171 Cuadro de texto" o:spid="_x0000_s1110" type="#_x0000_t202" style="position:absolute;left:0;text-align:left;margin-left:152.5pt;margin-top:80.85pt;width:42pt;height:16.5pt;z-index:25135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53</w:t>
                        </w:r>
                      </w:p>
                    </w:txbxContent>
                  </v:textbox>
                </v:shape>
              </w:pict>
            </w:r>
            <w:r>
              <w:rPr>
                <w:rFonts w:ascii="Arial" w:hAnsi="Arial" w:cs="Arial"/>
                <w:noProof/>
                <w:sz w:val="16"/>
                <w:szCs w:val="16"/>
                <w:lang w:eastAsia="es-EC"/>
              </w:rPr>
              <w:pict>
                <v:shape id="174 Cuadro de texto" o:spid="_x0000_s1106" type="#_x0000_t202" style="position:absolute;left:0;text-align:left;margin-left:155.8pt;margin-top:113.5pt;width:42pt;height:16.5pt;z-index:25135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25</w:t>
                        </w:r>
                      </w:p>
                    </w:txbxContent>
                  </v:textbox>
                </v:shape>
              </w:pict>
            </w:r>
            <w:r>
              <w:rPr>
                <w:rFonts w:ascii="Arial" w:hAnsi="Arial" w:cs="Arial"/>
                <w:noProof/>
                <w:sz w:val="16"/>
                <w:szCs w:val="16"/>
                <w:lang w:eastAsia="es-EC"/>
              </w:rPr>
              <w:pict>
                <v:shape id="175 Cuadro de texto" o:spid="_x0000_s1105" type="#_x0000_t202" style="position:absolute;left:0;text-align:left;margin-left:184.75pt;margin-top:30.6pt;width:42pt;height:16.5pt;z-index:25135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82</w:t>
                        </w:r>
                      </w:p>
                    </w:txbxContent>
                  </v:textbox>
                </v:shape>
              </w:pict>
            </w:r>
            <w:r>
              <w:rPr>
                <w:rFonts w:ascii="Arial" w:hAnsi="Arial" w:cs="Arial"/>
                <w:noProof/>
                <w:sz w:val="16"/>
                <w:szCs w:val="16"/>
                <w:lang w:eastAsia="es-EC"/>
              </w:rPr>
              <w:pict>
                <v:shape id="161 Cuadro de texto" o:spid="_x0000_s1119" type="#_x0000_t202" style="position:absolute;left:0;text-align:left;margin-left:182.5pt;margin-top:63.6pt;width:42pt;height:16.5pt;z-index:25136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93</w:t>
                        </w:r>
                      </w:p>
                    </w:txbxContent>
                  </v:textbox>
                </v:shape>
              </w:pict>
            </w:r>
            <w:r>
              <w:rPr>
                <w:rFonts w:ascii="Arial" w:hAnsi="Arial" w:cs="Arial"/>
                <w:noProof/>
                <w:sz w:val="16"/>
                <w:szCs w:val="16"/>
                <w:lang w:eastAsia="es-EC"/>
              </w:rPr>
              <w:pict>
                <v:shape id="156 Cuadro de texto" o:spid="_x0000_s1109" type="#_x0000_t202" style="position:absolute;left:0;text-align:left;margin-left:178pt;margin-top:100.2pt;width:26.55pt;height:15.75pt;z-index:25135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56</w:t>
                        </w:r>
                      </w:p>
                    </w:txbxContent>
                  </v:textbox>
                </v:shape>
              </w:pict>
            </w:r>
            <w:r>
              <w:rPr>
                <w:rFonts w:ascii="Arial" w:hAnsi="Arial" w:cs="Arial"/>
                <w:noProof/>
                <w:sz w:val="16"/>
                <w:szCs w:val="16"/>
                <w:lang w:eastAsia="es-EC"/>
              </w:rPr>
              <w:pict>
                <v:shape id="178 Cuadro de texto" o:spid="_x0000_s1099" type="#_x0000_t202" style="position:absolute;left:0;text-align:left;margin-left:185.5pt;margin-top:104.1pt;width:42pt;height:16.5pt;z-index:25134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83</w:t>
                        </w:r>
                      </w:p>
                    </w:txbxContent>
                  </v:textbox>
                </v:shape>
              </w:pict>
            </w:r>
            <w:r>
              <w:rPr>
                <w:rFonts w:ascii="Arial" w:hAnsi="Arial" w:cs="Arial"/>
                <w:noProof/>
                <w:sz w:val="16"/>
                <w:szCs w:val="16"/>
                <w:lang w:eastAsia="es-EC"/>
              </w:rPr>
              <w:pict>
                <v:shape id="176 Cuadro de texto" o:spid="_x0000_s1102" type="#_x0000_t202" style="position:absolute;left:0;text-align:left;margin-left:193pt;margin-top:81.9pt;width:42pt;height:16.5pt;z-index:25135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59</w:t>
                        </w:r>
                      </w:p>
                    </w:txbxContent>
                  </v:textbox>
                </v:shape>
              </w:pict>
            </w:r>
            <w:r>
              <w:rPr>
                <w:rFonts w:ascii="Arial" w:hAnsi="Arial" w:cs="Arial"/>
                <w:noProof/>
                <w:sz w:val="16"/>
                <w:szCs w:val="16"/>
                <w:lang w:eastAsia="es-EC"/>
              </w:rPr>
              <w:pict>
                <v:shape id="166 Cuadro de texto" o:spid="_x0000_s1115" type="#_x0000_t202" style="position:absolute;left:0;text-align:left;margin-left:205pt;margin-top:95.85pt;width:42pt;height:16.5pt;z-index:25136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43</w:t>
                        </w:r>
                      </w:p>
                    </w:txbxContent>
                  </v:textbox>
                </v:shape>
              </w:pict>
            </w:r>
            <w:r>
              <w:rPr>
                <w:rFonts w:ascii="Arial" w:hAnsi="Arial" w:cs="Arial"/>
                <w:noProof/>
                <w:sz w:val="16"/>
                <w:szCs w:val="16"/>
                <w:lang w:eastAsia="es-EC"/>
              </w:rPr>
              <w:pict>
                <v:shape id="167 Cuadro de texto" o:spid="_x0000_s1114" type="#_x0000_t202" style="position:absolute;left:0;text-align:left;margin-left:205pt;margin-top:57.25pt;width:42pt;height:16.5pt;z-index:25136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" filled="f" stroked="f" strokeweight=".5pt">
                  <v:textbox>
                    <w:txbxContent>
                      <w:p w:rsidR="006933DF" w:rsidRPr="00A82FB7" w:rsidRDefault="006933DF" w:rsidP="00674EBD">
                        <w:pPr>
                          <w:rPr>
                            <w:rFonts w:ascii="Arial" w:hAnsi="Arial" w:cs="Arial"/>
                            <w:sz w:val="12"/>
                            <w:szCs w:val="12"/>
                          </w:rPr>
                        </w:pPr>
                        <w:r>
                          <w:rPr>
                            <w:rFonts w:ascii="Arial" w:hAnsi="Arial" w:cs="Arial"/>
                            <w:sz w:val="12"/>
                            <w:szCs w:val="12"/>
                          </w:rPr>
                          <w:t>41</w:t>
                        </w:r>
                      </w:p>
                    </w:txbxContent>
                  </v:textbox>
                </v:shape>
              </w:pict>
            </w:r>
            <w:r w:rsidR="00674EBD">
              <w:rPr>
                <w:noProof/>
                <w:lang w:eastAsia="es-EC"/>
              </w:rPr>
              <w:drawing>
                <wp:inline distT="0" distB="0" distL="0" distR="0">
                  <wp:extent cx="4631236" cy="2883600"/>
                  <wp:effectExtent l="0" t="0" r="0" b="0"/>
                  <wp:docPr id="180" name="2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9 Imagen"/>
                          <pic:cNvPicPr>
                            <a:picLocks noChangeAspect="1"/>
                          </pic:cNvPicPr>
                        </pic:nvPicPr>
                        <pic:blipFill>
                          <a:blip r:embed="rId29" cstate="print"/>
                          <a:stretch>
                            <a:fillRect/>
                          </a:stretch>
                        </pic:blipFill>
                        <pic:spPr>
                          <a:xfrm>
                            <a:off x="0" y="0"/>
                            <a:ext cx="4631236" cy="2883600"/>
                          </a:xfrm>
                          <a:prstGeom prst="rect">
                            <a:avLst/>
                          </a:prstGeom>
                        </pic:spPr>
                      </pic:pic>
                    </a:graphicData>
                  </a:graphic>
                </wp:inline>
              </w:drawing>
            </w:r>
          </w:p>
        </w:tc>
      </w:tr>
    </w:tbl>
    <w:p w:rsidR="00674EBD" w:rsidRPr="00840A1F" w:rsidRDefault="00674EBD" w:rsidP="00840A1F">
      <w:pPr>
        <w:pStyle w:val="Prrafodelista"/>
        <w:spacing w:line="276" w:lineRule="auto"/>
        <w:ind w:left="851"/>
        <w:jc w:val="both"/>
        <w:rPr>
          <w:rFonts w:ascii="Arial" w:hAnsi="Arial" w:cs="Arial"/>
          <w:sz w:val="17"/>
          <w:szCs w:val="17"/>
        </w:rPr>
      </w:pPr>
    </w:p>
    <w:p w:rsidR="00674EBD" w:rsidRPr="00840A1F" w:rsidRDefault="00674EBD" w:rsidP="00840A1F">
      <w:pPr>
        <w:pStyle w:val="Prrafodelista"/>
        <w:spacing w:line="276" w:lineRule="auto"/>
        <w:ind w:left="851"/>
        <w:jc w:val="both"/>
        <w:rPr>
          <w:rFonts w:ascii="Arial" w:hAnsi="Arial" w:cs="Arial"/>
          <w:sz w:val="17"/>
          <w:szCs w:val="17"/>
        </w:rPr>
      </w:pPr>
      <w:r w:rsidRPr="00840A1F">
        <w:rPr>
          <w:rFonts w:ascii="Arial" w:hAnsi="Arial" w:cs="Arial"/>
          <w:b/>
          <w:i/>
          <w:sz w:val="17"/>
          <w:szCs w:val="17"/>
        </w:rPr>
        <w:t>Fuente:</w:t>
      </w:r>
      <w:r w:rsidRPr="00840A1F">
        <w:rPr>
          <w:rFonts w:ascii="Arial" w:hAnsi="Arial" w:cs="Arial"/>
          <w:sz w:val="17"/>
          <w:szCs w:val="17"/>
        </w:rPr>
        <w:t xml:space="preserve"> </w:t>
      </w:r>
      <w:r w:rsidRPr="00840A1F">
        <w:rPr>
          <w:rFonts w:ascii="Arial" w:hAnsi="Arial" w:cs="Arial"/>
          <w:b/>
          <w:sz w:val="17"/>
          <w:szCs w:val="17"/>
        </w:rPr>
        <w:t xml:space="preserve">INEC </w:t>
      </w:r>
      <w:r w:rsidRPr="00840A1F">
        <w:rPr>
          <w:rFonts w:ascii="Arial" w:hAnsi="Arial" w:cs="Arial"/>
          <w:sz w:val="17"/>
          <w:szCs w:val="17"/>
        </w:rPr>
        <w:t>(2010), Base de Datos del VII Censo de Población y VI de Vivienda.</w:t>
      </w:r>
    </w:p>
    <w:p w:rsidR="00674EBD" w:rsidRPr="00840A1F" w:rsidRDefault="00674EBD" w:rsidP="00840A1F">
      <w:pPr>
        <w:pStyle w:val="Prrafodelista"/>
        <w:spacing w:line="276" w:lineRule="auto"/>
        <w:ind w:left="851"/>
        <w:jc w:val="both"/>
        <w:rPr>
          <w:rFonts w:ascii="Arial" w:hAnsi="Arial" w:cs="Arial"/>
          <w:sz w:val="17"/>
          <w:szCs w:val="17"/>
        </w:rPr>
      </w:pPr>
      <w:r w:rsidRPr="00840A1F">
        <w:rPr>
          <w:rFonts w:ascii="Arial" w:hAnsi="Arial" w:cs="Arial"/>
          <w:b/>
          <w:i/>
          <w:sz w:val="17"/>
          <w:szCs w:val="17"/>
        </w:rPr>
        <w:t>Elaborado por:</w:t>
      </w:r>
      <w:r w:rsidRPr="00840A1F">
        <w:rPr>
          <w:rFonts w:ascii="Arial" w:hAnsi="Arial" w:cs="Arial"/>
          <w:sz w:val="17"/>
          <w:szCs w:val="17"/>
        </w:rPr>
        <w:t xml:space="preserve"> Katherine Loor Valeriano</w:t>
      </w:r>
    </w:p>
    <w:p w:rsidR="00674EBD" w:rsidRDefault="00674EBD" w:rsidP="0041640C">
      <w:pPr>
        <w:pStyle w:val="TesisTitulo10"/>
        <w:numPr>
          <w:ilvl w:val="1"/>
          <w:numId w:val="9"/>
        </w:numPr>
        <w:ind w:left="851" w:hanging="567"/>
      </w:pPr>
      <w:bookmarkStart w:id="264" w:name="_Toc339212684"/>
      <w:bookmarkStart w:id="265" w:name="_Toc341040608"/>
      <w:r>
        <w:lastRenderedPageBreak/>
        <w:t xml:space="preserve">Tasa </w:t>
      </w:r>
      <w:r w:rsidR="00840A1F">
        <w:t>por</w:t>
      </w:r>
      <w:r>
        <w:t xml:space="preserve"> área de residencia de los Inmigrantes a nivel provincial</w:t>
      </w:r>
      <w:bookmarkEnd w:id="264"/>
      <w:bookmarkEnd w:id="265"/>
    </w:p>
    <w:p w:rsidR="00674EBD" w:rsidRDefault="00674EBD" w:rsidP="00840A1F">
      <w:pPr>
        <w:pStyle w:val="Prrafodelista"/>
        <w:spacing w:line="480" w:lineRule="auto"/>
        <w:ind w:left="851"/>
        <w:jc w:val="both"/>
        <w:rPr>
          <w:rFonts w:ascii="Arial" w:hAnsi="Arial" w:cs="Arial"/>
        </w:rPr>
      </w:pPr>
      <w:r>
        <w:rPr>
          <w:rFonts w:ascii="Arial" w:hAnsi="Arial" w:cs="Arial"/>
        </w:rPr>
        <w:t>Ya no sólo es de interés conocer de qué provincias provienen los inmigrantes que residen en un determinado lugar, sino también en qué áreas de la provincia de residencia habitual se ubican, es decir, conocer si los inmigrantes residen en el área urbana o en el área rural; donde el área urbana</w:t>
      </w:r>
      <w:r>
        <w:rPr>
          <w:rStyle w:val="Refdenotaalpie"/>
          <w:rFonts w:ascii="Arial" w:hAnsi="Arial" w:cs="Arial"/>
        </w:rPr>
        <w:footnoteReference w:id="32"/>
      </w:r>
      <w:r>
        <w:rPr>
          <w:rFonts w:ascii="Arial" w:hAnsi="Arial" w:cs="Arial"/>
        </w:rPr>
        <w:t xml:space="preserve"> es aquella que se encuentra en </w:t>
      </w:r>
      <w:r w:rsidR="00840A1F">
        <w:rPr>
          <w:rFonts w:ascii="Arial" w:hAnsi="Arial" w:cs="Arial"/>
        </w:rPr>
        <w:t>una</w:t>
      </w:r>
      <w:r>
        <w:rPr>
          <w:rFonts w:ascii="Arial" w:hAnsi="Arial" w:cs="Arial"/>
        </w:rPr>
        <w:t xml:space="preserve"> cabecera cantonal, se permiten usos urbanos y cuentan o se hallan dentro del radio de servicio de infraestructura de agua, luz eléctrica, aseo de calles y de otros de naturaleza semejante; mientras que, la zona rural</w:t>
      </w:r>
      <w:r>
        <w:rPr>
          <w:rStyle w:val="Refdenotaalpie"/>
          <w:rFonts w:ascii="Arial" w:hAnsi="Arial" w:cs="Arial"/>
        </w:rPr>
        <w:footnoteReference w:id="33"/>
      </w:r>
      <w:r>
        <w:rPr>
          <w:rFonts w:ascii="Arial" w:hAnsi="Arial" w:cs="Arial"/>
        </w:rPr>
        <w:t xml:space="preserve"> es una extensión razonable de territorio conformada por localidades identificadas por un nombre donde se encentra un asentamiento de viviendas las mismas que pueden estar dispersas o agrupadas.</w:t>
      </w:r>
    </w:p>
    <w:p w:rsidR="009B1A5E" w:rsidRDefault="009B1A5E" w:rsidP="00840A1F">
      <w:pPr>
        <w:pStyle w:val="Prrafodelista"/>
        <w:spacing w:line="480" w:lineRule="auto"/>
        <w:ind w:left="851"/>
        <w:jc w:val="both"/>
        <w:rPr>
          <w:rFonts w:ascii="Arial" w:hAnsi="Arial" w:cs="Arial"/>
        </w:rPr>
      </w:pPr>
    </w:p>
    <w:p w:rsidR="009B1A5E" w:rsidRDefault="009B1A5E" w:rsidP="00840A1F">
      <w:pPr>
        <w:pStyle w:val="Prrafodelista"/>
        <w:spacing w:line="480" w:lineRule="auto"/>
        <w:ind w:left="851"/>
        <w:jc w:val="both"/>
        <w:rPr>
          <w:rFonts w:ascii="Arial" w:hAnsi="Arial" w:cs="Arial"/>
        </w:rPr>
      </w:pPr>
      <w:r>
        <w:rPr>
          <w:rFonts w:ascii="Arial" w:hAnsi="Arial" w:cs="Arial"/>
        </w:rPr>
        <w:t xml:space="preserve">En la </w:t>
      </w:r>
      <w:r>
        <w:rPr>
          <w:rFonts w:ascii="Arial" w:hAnsi="Arial" w:cs="Arial"/>
          <w:i/>
        </w:rPr>
        <w:t>Figura 2.7</w:t>
      </w:r>
      <w:r>
        <w:rPr>
          <w:rFonts w:ascii="Arial" w:hAnsi="Arial" w:cs="Arial"/>
        </w:rPr>
        <w:t xml:space="preserve">, podemos observar que en la mayoría de los casos los inmigrantes residen en el área urbana de la provincia que los ha acogido, existiendo algunas excepciones Bolívar, Cotopaxi, Esmeraldas, Zamora Chinchipe, entre otras. Es así que de los inmigrantes residentes en Esmeraldas, tenemos que 404.20 por cada 1000 inmigrantes residentes en esta provincia viven en el área urbana y 595.80 por cada 1000 en el área rural; para el caso de Guayas la situación es completamente distinta pues 877.78 por cada 1000 inmigrantes residen en el área urbana y sólo 122.22 por cada 1000 habitan en el área rural. </w:t>
      </w:r>
    </w:p>
    <w:p w:rsidR="009B1A5E" w:rsidRPr="005A4102" w:rsidRDefault="009B1A5E" w:rsidP="00840A1F">
      <w:pPr>
        <w:pStyle w:val="Prrafodelista"/>
        <w:spacing w:line="480" w:lineRule="auto"/>
        <w:ind w:left="851"/>
        <w:jc w:val="both"/>
        <w:rPr>
          <w:rFonts w:ascii="Arial" w:hAnsi="Arial" w:cs="Arial"/>
          <w:i/>
        </w:rPr>
      </w:pPr>
      <w:r>
        <w:rPr>
          <w:rFonts w:ascii="Arial" w:hAnsi="Arial" w:cs="Arial"/>
        </w:rPr>
        <w:lastRenderedPageBreak/>
        <w:t xml:space="preserve">En el caso de las personas que viven en calidad de inmigrantes en la provincia de Azuay 710.32 por cada 1000 inmigrantes residen en el área Urbana y 289.68 por cada 1000 viven en el área rural. Pichincha por su parte, muestra un escenario similar al de Guayas, pues 732.64 por cada 1000 inmigrantes que residen en Pichincha viven en una zona urbanizada, y 267.36 por cada 1000 en el área rural. En las provincias del Oriente como Sucumbíos, Zamora Chinchipe y Orellana los inmigrantes residente en cada una de esas ellas viven mayoritariamente en el área rural, pues hay 546.20, 567.12 y 512.15 inmigrantes residentes en el área rural por cada 1000 inmigrantes respectivamente. Para más detalles </w:t>
      </w:r>
      <w:r>
        <w:rPr>
          <w:rFonts w:ascii="Arial" w:hAnsi="Arial" w:cs="Arial"/>
          <w:i/>
        </w:rPr>
        <w:t>véase Figura 2.7.</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9B1A5E" w:rsidRPr="00840530" w:rsidTr="00B66C88">
        <w:trPr>
          <w:trHeight w:val="4649"/>
          <w:jc w:val="right"/>
        </w:trPr>
        <w:tc>
          <w:tcPr>
            <w:tcW w:w="7497" w:type="dxa"/>
          </w:tcPr>
          <w:p w:rsidR="009B1A5E" w:rsidRPr="00840530" w:rsidRDefault="009B1A5E" w:rsidP="003F1262">
            <w:pPr>
              <w:rPr>
                <w:rFonts w:ascii="Arial" w:hAnsi="Arial" w:cs="Arial"/>
                <w:sz w:val="16"/>
                <w:szCs w:val="16"/>
              </w:rPr>
            </w:pPr>
          </w:p>
          <w:p w:rsidR="009B1A5E" w:rsidRPr="009B1A5E" w:rsidRDefault="009B1A5E" w:rsidP="009B1A5E">
            <w:pPr>
              <w:keepNext/>
              <w:rPr>
                <w:rFonts w:ascii="Arial" w:hAnsi="Arial" w:cs="Arial"/>
                <w:b/>
                <w:sz w:val="16"/>
                <w:szCs w:val="16"/>
              </w:rPr>
            </w:pPr>
            <w:bookmarkStart w:id="266" w:name="_Toc341042997"/>
            <w:r w:rsidRPr="009B1A5E">
              <w:rPr>
                <w:rFonts w:ascii="Arial" w:hAnsi="Arial" w:cs="Arial"/>
                <w:b/>
                <w:sz w:val="16"/>
                <w:szCs w:val="16"/>
              </w:rPr>
              <w:t>Figura 2.</w:t>
            </w:r>
            <w:r w:rsidR="00990535" w:rsidRPr="009B1A5E">
              <w:rPr>
                <w:rFonts w:ascii="Arial" w:hAnsi="Arial" w:cs="Arial"/>
                <w:b/>
                <w:sz w:val="16"/>
                <w:szCs w:val="16"/>
              </w:rPr>
              <w:fldChar w:fldCharType="begin"/>
            </w:r>
            <w:r w:rsidRPr="009B1A5E">
              <w:rPr>
                <w:rFonts w:ascii="Arial" w:hAnsi="Arial" w:cs="Arial"/>
                <w:b/>
                <w:sz w:val="16"/>
                <w:szCs w:val="16"/>
              </w:rPr>
              <w:instrText xml:space="preserve"> SEQ Figura_2. \* ARABIC </w:instrText>
            </w:r>
            <w:r w:rsidR="00990535" w:rsidRPr="009B1A5E">
              <w:rPr>
                <w:rFonts w:ascii="Arial" w:hAnsi="Arial" w:cs="Arial"/>
                <w:b/>
                <w:sz w:val="16"/>
                <w:szCs w:val="16"/>
              </w:rPr>
              <w:fldChar w:fldCharType="separate"/>
            </w:r>
            <w:r w:rsidR="00A242E0">
              <w:rPr>
                <w:rFonts w:ascii="Arial" w:hAnsi="Arial" w:cs="Arial"/>
                <w:b/>
                <w:noProof/>
                <w:sz w:val="16"/>
                <w:szCs w:val="16"/>
              </w:rPr>
              <w:t>7</w:t>
            </w:r>
            <w:bookmarkEnd w:id="266"/>
            <w:r w:rsidR="00990535" w:rsidRPr="009B1A5E">
              <w:rPr>
                <w:rFonts w:ascii="Arial" w:hAnsi="Arial" w:cs="Arial"/>
                <w:b/>
                <w:sz w:val="16"/>
                <w:szCs w:val="16"/>
              </w:rPr>
              <w:fldChar w:fldCharType="end"/>
            </w:r>
          </w:p>
          <w:p w:rsidR="009B1A5E" w:rsidRDefault="00840A1F" w:rsidP="003F1262">
            <w:pPr>
              <w:rPr>
                <w:rFonts w:ascii="Arial" w:hAnsi="Arial" w:cs="Arial"/>
                <w:i/>
                <w:sz w:val="16"/>
                <w:szCs w:val="16"/>
              </w:rPr>
            </w:pPr>
            <w:r>
              <w:rPr>
                <w:rFonts w:ascii="Arial" w:hAnsi="Arial" w:cs="Arial"/>
                <w:b/>
                <w:i/>
                <w:sz w:val="16"/>
                <w:szCs w:val="16"/>
              </w:rPr>
              <w:t xml:space="preserve">Ecuador 2010: </w:t>
            </w:r>
            <w:r w:rsidR="009B1A5E">
              <w:rPr>
                <w:rFonts w:ascii="Arial" w:hAnsi="Arial" w:cs="Arial"/>
                <w:i/>
                <w:sz w:val="16"/>
                <w:szCs w:val="16"/>
              </w:rPr>
              <w:t xml:space="preserve">Tasa de área de residencia por cada 1000 Inmigrantes dado que se conoce </w:t>
            </w:r>
          </w:p>
          <w:p w:rsidR="009B1A5E" w:rsidRPr="006148C1" w:rsidRDefault="009B1A5E" w:rsidP="003F1262">
            <w:pPr>
              <w:rPr>
                <w:rFonts w:ascii="Arial" w:hAnsi="Arial" w:cs="Arial"/>
                <w:i/>
                <w:sz w:val="16"/>
                <w:szCs w:val="16"/>
              </w:rPr>
            </w:pPr>
            <w:r>
              <w:rPr>
                <w:rFonts w:ascii="Arial" w:hAnsi="Arial" w:cs="Arial"/>
                <w:i/>
                <w:sz w:val="16"/>
                <w:szCs w:val="16"/>
              </w:rPr>
              <w:t>la provincia de residencia habitual</w:t>
            </w:r>
          </w:p>
          <w:p w:rsidR="009B1A5E" w:rsidRPr="00840530" w:rsidRDefault="00B66C88" w:rsidP="003F1262">
            <w:pPr>
              <w:rPr>
                <w:rFonts w:ascii="Arial" w:hAnsi="Arial" w:cs="Arial"/>
                <w:sz w:val="24"/>
                <w:szCs w:val="24"/>
              </w:rPr>
            </w:pPr>
            <w:r>
              <w:rPr>
                <w:noProof/>
                <w:lang w:eastAsia="es-EC"/>
              </w:rPr>
              <w:drawing>
                <wp:inline distT="0" distB="0" distL="0" distR="0">
                  <wp:extent cx="4600800" cy="2880000"/>
                  <wp:effectExtent l="0" t="0" r="0" b="0"/>
                  <wp:docPr id="189" name="Gráfico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9B1A5E" w:rsidRPr="00840A1F" w:rsidRDefault="009B1A5E" w:rsidP="00840A1F">
      <w:pPr>
        <w:pStyle w:val="Prrafodelista"/>
        <w:spacing w:line="276" w:lineRule="auto"/>
        <w:ind w:left="851"/>
        <w:jc w:val="both"/>
        <w:rPr>
          <w:rFonts w:ascii="Arial" w:hAnsi="Arial" w:cs="Arial"/>
          <w:sz w:val="17"/>
          <w:szCs w:val="17"/>
        </w:rPr>
      </w:pPr>
    </w:p>
    <w:p w:rsidR="009B1A5E" w:rsidRPr="00840A1F" w:rsidRDefault="009B1A5E" w:rsidP="00840A1F">
      <w:pPr>
        <w:pStyle w:val="Prrafodelista"/>
        <w:spacing w:line="276" w:lineRule="auto"/>
        <w:ind w:left="851"/>
        <w:jc w:val="both"/>
        <w:rPr>
          <w:rFonts w:ascii="Arial" w:hAnsi="Arial" w:cs="Arial"/>
          <w:sz w:val="17"/>
          <w:szCs w:val="17"/>
        </w:rPr>
      </w:pPr>
      <w:r w:rsidRPr="00840A1F">
        <w:rPr>
          <w:rFonts w:ascii="Arial" w:hAnsi="Arial" w:cs="Arial"/>
          <w:b/>
          <w:i/>
          <w:sz w:val="17"/>
          <w:szCs w:val="17"/>
        </w:rPr>
        <w:t>Fuente:</w:t>
      </w:r>
      <w:r w:rsidRPr="00840A1F">
        <w:rPr>
          <w:rFonts w:ascii="Arial" w:hAnsi="Arial" w:cs="Arial"/>
          <w:sz w:val="17"/>
          <w:szCs w:val="17"/>
        </w:rPr>
        <w:t xml:space="preserve"> </w:t>
      </w:r>
      <w:r w:rsidRPr="00840A1F">
        <w:rPr>
          <w:rFonts w:ascii="Arial" w:hAnsi="Arial" w:cs="Arial"/>
          <w:b/>
          <w:sz w:val="17"/>
          <w:szCs w:val="17"/>
        </w:rPr>
        <w:t xml:space="preserve">INEC </w:t>
      </w:r>
      <w:r w:rsidRPr="00840A1F">
        <w:rPr>
          <w:rFonts w:ascii="Arial" w:hAnsi="Arial" w:cs="Arial"/>
          <w:sz w:val="17"/>
          <w:szCs w:val="17"/>
        </w:rPr>
        <w:t>(2010), Base de Datos del VII Censo de Población y VI de Vivienda.</w:t>
      </w:r>
    </w:p>
    <w:p w:rsidR="009B1A5E" w:rsidRDefault="009B1A5E" w:rsidP="00840A1F">
      <w:pPr>
        <w:pStyle w:val="Prrafodelista"/>
        <w:spacing w:line="276" w:lineRule="auto"/>
        <w:ind w:left="851"/>
        <w:jc w:val="both"/>
        <w:rPr>
          <w:rFonts w:ascii="Arial" w:hAnsi="Arial" w:cs="Arial"/>
          <w:sz w:val="18"/>
          <w:szCs w:val="18"/>
        </w:rPr>
      </w:pPr>
      <w:r w:rsidRPr="00840A1F">
        <w:rPr>
          <w:rFonts w:ascii="Arial" w:hAnsi="Arial" w:cs="Arial"/>
          <w:b/>
          <w:i/>
          <w:sz w:val="17"/>
          <w:szCs w:val="17"/>
        </w:rPr>
        <w:t>Elaborado por:</w:t>
      </w:r>
      <w:r w:rsidRPr="00840A1F">
        <w:rPr>
          <w:rFonts w:ascii="Arial" w:hAnsi="Arial" w:cs="Arial"/>
          <w:sz w:val="17"/>
          <w:szCs w:val="17"/>
        </w:rPr>
        <w:t xml:space="preserve"> Katherine Loor Valeriano</w:t>
      </w:r>
    </w:p>
    <w:p w:rsidR="001B7F97" w:rsidRDefault="001B7F97" w:rsidP="001346B1">
      <w:pPr>
        <w:pStyle w:val="Prrafodelista"/>
        <w:spacing w:line="480" w:lineRule="auto"/>
        <w:ind w:left="851"/>
        <w:jc w:val="both"/>
        <w:rPr>
          <w:rFonts w:ascii="Arial" w:hAnsi="Arial" w:cs="Arial"/>
        </w:rPr>
      </w:pPr>
    </w:p>
    <w:p w:rsidR="001346B1" w:rsidRPr="001E4D73" w:rsidRDefault="001346B1" w:rsidP="001346B1">
      <w:pPr>
        <w:pStyle w:val="Prrafodelista"/>
        <w:spacing w:line="480" w:lineRule="auto"/>
        <w:ind w:left="851"/>
        <w:jc w:val="both"/>
        <w:rPr>
          <w:rFonts w:ascii="Arial" w:hAnsi="Arial" w:cs="Arial"/>
        </w:rPr>
      </w:pPr>
    </w:p>
    <w:p w:rsidR="00A722F8" w:rsidRPr="00A80843" w:rsidRDefault="00A722F8" w:rsidP="0041640C">
      <w:pPr>
        <w:pStyle w:val="TesisTitulo10"/>
        <w:numPr>
          <w:ilvl w:val="1"/>
          <w:numId w:val="9"/>
        </w:numPr>
        <w:ind w:left="851" w:hanging="567"/>
      </w:pPr>
      <w:bookmarkStart w:id="267" w:name="_Toc339212685"/>
      <w:bookmarkStart w:id="268" w:name="_Toc341040609"/>
      <w:r w:rsidRPr="00A80843">
        <w:lastRenderedPageBreak/>
        <w:t xml:space="preserve">Índice de feminidad de los Emigrantes por </w:t>
      </w:r>
      <w:r w:rsidR="008F1FF2">
        <w:t>p</w:t>
      </w:r>
      <w:r w:rsidRPr="00A80843">
        <w:t>rovincia</w:t>
      </w:r>
      <w:bookmarkEnd w:id="267"/>
      <w:bookmarkEnd w:id="268"/>
      <w:r w:rsidRPr="00A80843">
        <w:t xml:space="preserve"> </w:t>
      </w:r>
    </w:p>
    <w:p w:rsidR="00A722F8" w:rsidRDefault="00A722F8" w:rsidP="001346B1">
      <w:pPr>
        <w:pStyle w:val="Prrafodelista"/>
        <w:spacing w:line="480" w:lineRule="auto"/>
        <w:ind w:left="851"/>
        <w:jc w:val="both"/>
        <w:rPr>
          <w:rFonts w:ascii="Arial" w:hAnsi="Arial" w:cs="Arial"/>
        </w:rPr>
      </w:pPr>
      <w:r w:rsidRPr="00FD0E3B">
        <w:rPr>
          <w:rFonts w:ascii="Arial" w:hAnsi="Arial" w:cs="Arial"/>
        </w:rPr>
        <w:t>El Índice de Femi</w:t>
      </w:r>
      <w:r>
        <w:rPr>
          <w:rFonts w:ascii="Arial" w:hAnsi="Arial" w:cs="Arial"/>
        </w:rPr>
        <w:t>nidad</w:t>
      </w:r>
      <w:r>
        <w:rPr>
          <w:rStyle w:val="Refdenotaalpie"/>
          <w:rFonts w:ascii="Arial" w:hAnsi="Arial" w:cs="Arial"/>
        </w:rPr>
        <w:footnoteReference w:id="34"/>
      </w:r>
      <w:r w:rsidRPr="00FD0E3B">
        <w:rPr>
          <w:rFonts w:ascii="Arial" w:hAnsi="Arial" w:cs="Arial"/>
        </w:rPr>
        <w:t xml:space="preserve"> (IF) es el cociente entre el número de mujeres y el número de hombres en una determinada población y se calcula en forma independiente para cada zona geográfica. Expresa la cantidad de mujeres por cada 100 hombres.</w:t>
      </w:r>
    </w:p>
    <w:p w:rsidR="00A722F8" w:rsidRDefault="00A722F8" w:rsidP="001346B1">
      <w:pPr>
        <w:pStyle w:val="Prrafodelista"/>
        <w:spacing w:line="480" w:lineRule="auto"/>
        <w:ind w:left="851"/>
        <w:rPr>
          <w:rFonts w:ascii="Arial" w:hAnsi="Arial" w:cs="Arial"/>
          <w:position w:val="-30"/>
        </w:rPr>
      </w:pPr>
      <w:r w:rsidRPr="00E23920">
        <w:rPr>
          <w:rFonts w:ascii="Arial" w:hAnsi="Arial" w:cs="Arial"/>
          <w:position w:val="-30"/>
        </w:rPr>
        <w:object w:dxaOrig="3159" w:dyaOrig="700">
          <v:shape id="_x0000_i1068" type="#_x0000_t75" style="width:158.25pt;height:35.25pt" o:ole="">
            <v:imagedata r:id="rId31" o:title=""/>
          </v:shape>
          <o:OLEObject Type="Embed" ProgID="Equation.3" ShapeID="_x0000_i1068" DrawAspect="Content" ObjectID="_1415677157" r:id="rId32"/>
        </w:object>
      </w:r>
    </w:p>
    <w:p w:rsidR="00A722F8" w:rsidRPr="002547EA" w:rsidRDefault="00A722F8" w:rsidP="001346B1">
      <w:pPr>
        <w:pStyle w:val="Prrafodelista"/>
        <w:spacing w:line="480" w:lineRule="auto"/>
        <w:ind w:left="851"/>
        <w:rPr>
          <w:rFonts w:ascii="Arial" w:hAnsi="Arial" w:cs="Arial"/>
          <w:sz w:val="12"/>
          <w:szCs w:val="12"/>
        </w:rPr>
      </w:pPr>
    </w:p>
    <w:p w:rsidR="00A722F8" w:rsidRPr="003C1C0C" w:rsidRDefault="00A722F8" w:rsidP="001346B1">
      <w:pPr>
        <w:pStyle w:val="Prrafodelista"/>
        <w:spacing w:line="480" w:lineRule="auto"/>
        <w:ind w:left="851"/>
        <w:jc w:val="both"/>
        <w:rPr>
          <w:rFonts w:ascii="Arial" w:hAnsi="Arial" w:cs="Arial"/>
        </w:rPr>
      </w:pPr>
      <w:r w:rsidRPr="003C1C0C">
        <w:rPr>
          <w:rFonts w:ascii="Arial" w:hAnsi="Arial" w:cs="Arial"/>
        </w:rPr>
        <w:t>En muchas de las poblaciones la cantidad de mujeres es superior a la cantidad de hombres, hecho que se puede explicar puesto que la esperanza de vida al nacer de las mujeres es superior que la de los hombres. Ecuador es un claro ejemplo de este hecho, pues la tasa de feminidad es 102 mujeres por cada 100 hombres que viven en este país, adicionalmente la esperanza de vida al nacer para el año 2010 es 79 años para las mujeres y 73 año</w:t>
      </w:r>
      <w:r>
        <w:rPr>
          <w:rFonts w:ascii="Arial" w:hAnsi="Arial" w:cs="Arial"/>
        </w:rPr>
        <w:t>s para los hombres, según CEPAL</w:t>
      </w:r>
      <w:r>
        <w:rPr>
          <w:rStyle w:val="Refdenotaalpie"/>
          <w:rFonts w:ascii="Arial" w:hAnsi="Arial" w:cs="Arial"/>
        </w:rPr>
        <w:footnoteReference w:id="35"/>
      </w:r>
      <w:r>
        <w:rPr>
          <w:rFonts w:ascii="Arial" w:hAnsi="Arial" w:cs="Arial"/>
        </w:rPr>
        <w:t xml:space="preserve"> </w:t>
      </w:r>
      <w:r w:rsidRPr="003C1C0C">
        <w:rPr>
          <w:rFonts w:ascii="Arial" w:hAnsi="Arial" w:cs="Arial"/>
        </w:rPr>
        <w:t>-</w:t>
      </w:r>
      <w:r>
        <w:rPr>
          <w:rFonts w:ascii="Arial" w:hAnsi="Arial" w:cs="Arial"/>
        </w:rPr>
        <w:t xml:space="preserve"> </w:t>
      </w:r>
      <w:r w:rsidRPr="003C1C0C">
        <w:rPr>
          <w:rFonts w:ascii="Arial" w:hAnsi="Arial" w:cs="Arial"/>
        </w:rPr>
        <w:t>Ecuador.</w:t>
      </w:r>
    </w:p>
    <w:p w:rsidR="00A722F8" w:rsidRPr="003C1C0C" w:rsidRDefault="00A722F8" w:rsidP="001346B1">
      <w:pPr>
        <w:pStyle w:val="Prrafodelista"/>
        <w:spacing w:line="480" w:lineRule="auto"/>
        <w:ind w:left="851"/>
        <w:jc w:val="both"/>
        <w:rPr>
          <w:rFonts w:ascii="Arial" w:hAnsi="Arial" w:cs="Arial"/>
        </w:rPr>
      </w:pPr>
      <w:r w:rsidRPr="003C1C0C">
        <w:rPr>
          <w:rFonts w:ascii="Arial" w:hAnsi="Arial" w:cs="Arial"/>
        </w:rPr>
        <w:t xml:space="preserve"> </w:t>
      </w:r>
    </w:p>
    <w:p w:rsidR="00A722F8" w:rsidRPr="00913909" w:rsidRDefault="00A722F8" w:rsidP="001346B1">
      <w:pPr>
        <w:pStyle w:val="Prrafodelista"/>
        <w:spacing w:line="480" w:lineRule="auto"/>
        <w:ind w:left="851"/>
        <w:jc w:val="both"/>
        <w:rPr>
          <w:rFonts w:ascii="Arial" w:hAnsi="Arial" w:cs="Arial"/>
        </w:rPr>
      </w:pPr>
      <w:r w:rsidRPr="003C1C0C">
        <w:rPr>
          <w:rFonts w:ascii="Arial" w:hAnsi="Arial" w:cs="Arial"/>
        </w:rPr>
        <w:t xml:space="preserve">Ahora determinaremos los índices de feminidad de los emigrantes </w:t>
      </w:r>
      <w:r>
        <w:rPr>
          <w:rFonts w:ascii="Arial" w:hAnsi="Arial" w:cs="Arial"/>
        </w:rPr>
        <w:t>a nivel</w:t>
      </w:r>
      <w:r w:rsidRPr="003C1C0C">
        <w:rPr>
          <w:rFonts w:ascii="Arial" w:hAnsi="Arial" w:cs="Arial"/>
        </w:rPr>
        <w:t xml:space="preserve"> provincia</w:t>
      </w:r>
      <w:r>
        <w:rPr>
          <w:rFonts w:ascii="Arial" w:hAnsi="Arial" w:cs="Arial"/>
        </w:rPr>
        <w:t>l</w:t>
      </w:r>
      <w:r w:rsidRPr="003C1C0C">
        <w:rPr>
          <w:rFonts w:ascii="Arial" w:hAnsi="Arial" w:cs="Arial"/>
        </w:rPr>
        <w:t xml:space="preserve">, es decir, calcularemos el cociente entre el total de mujeres que han emigrado para el total de hombres que </w:t>
      </w:r>
      <w:r>
        <w:rPr>
          <w:rFonts w:ascii="Arial" w:hAnsi="Arial" w:cs="Arial"/>
        </w:rPr>
        <w:t xml:space="preserve">emigraron de la misma provincia, en la </w:t>
      </w:r>
      <w:r>
        <w:rPr>
          <w:rFonts w:ascii="Arial" w:hAnsi="Arial" w:cs="Arial"/>
          <w:i/>
        </w:rPr>
        <w:t>Figura 2.8</w:t>
      </w:r>
      <w:r>
        <w:rPr>
          <w:rFonts w:ascii="Arial" w:hAnsi="Arial" w:cs="Arial"/>
        </w:rPr>
        <w:t xml:space="preserve">, se presenta el índice de feminidad en donde la altura de la barra representa el valor que toma dicho índice en cada provincia y la línea horizontal de color negro representa 100 hombres; además, las provincias en donde la altura de la barra supere la línea negra </w:t>
      </w:r>
      <w:r>
        <w:rPr>
          <w:rFonts w:ascii="Arial" w:hAnsi="Arial" w:cs="Arial"/>
        </w:rPr>
        <w:lastRenderedPageBreak/>
        <w:t xml:space="preserve">serán aquellas provincias de donde emigran mayor cantidad de mujeres frente a la cantidad de hombres emigrantes. </w:t>
      </w:r>
    </w:p>
    <w:p w:rsidR="00A722F8" w:rsidRPr="003C1C0C" w:rsidRDefault="00A722F8" w:rsidP="001346B1">
      <w:pPr>
        <w:pStyle w:val="Prrafodelista"/>
        <w:spacing w:line="480" w:lineRule="auto"/>
        <w:ind w:left="851"/>
        <w:jc w:val="both"/>
        <w:rPr>
          <w:rFonts w:ascii="Arial" w:hAnsi="Arial" w:cs="Arial"/>
        </w:rPr>
      </w:pPr>
    </w:p>
    <w:p w:rsidR="00A722F8" w:rsidRDefault="00A722F8" w:rsidP="001346B1">
      <w:pPr>
        <w:pStyle w:val="Prrafodelista"/>
        <w:spacing w:line="480" w:lineRule="auto"/>
        <w:ind w:left="851"/>
        <w:jc w:val="both"/>
        <w:rPr>
          <w:rFonts w:ascii="Arial" w:hAnsi="Arial" w:cs="Arial"/>
        </w:rPr>
      </w:pPr>
      <w:r w:rsidRPr="003C1C0C">
        <w:rPr>
          <w:rFonts w:ascii="Arial" w:hAnsi="Arial" w:cs="Arial"/>
        </w:rPr>
        <w:t xml:space="preserve">En la </w:t>
      </w:r>
      <w:r w:rsidRPr="00FD089D">
        <w:rPr>
          <w:rFonts w:ascii="Arial" w:hAnsi="Arial" w:cs="Arial"/>
          <w:i/>
        </w:rPr>
        <w:t>Figura 2.</w:t>
      </w:r>
      <w:r>
        <w:rPr>
          <w:rFonts w:ascii="Arial" w:hAnsi="Arial" w:cs="Arial"/>
          <w:i/>
        </w:rPr>
        <w:t>8</w:t>
      </w:r>
      <w:r w:rsidRPr="003C1C0C">
        <w:rPr>
          <w:rFonts w:ascii="Arial" w:hAnsi="Arial" w:cs="Arial"/>
        </w:rPr>
        <w:t>, podemos observar que existen tres provincias del Oriente con los índices más altos de feminidad, es decir, estas provincias expulsan mayor cantidad de mujeres respecto al total de hombres que emigran y entre ellas tenemos a Morona Santiago que es la de mayor índice, expulsa alrededor de 121.18 mujeres por cada 100 hombres emigrantes; también están Orellana y Zamora Chinchipe que expulsan 116.25 y 115.99 mujeres por cada 100 hombres emigrantes.</w:t>
      </w:r>
    </w:p>
    <w:p w:rsidR="00A722F8" w:rsidRDefault="00A722F8" w:rsidP="001346B1">
      <w:pPr>
        <w:pStyle w:val="Prrafodelista"/>
        <w:spacing w:line="480" w:lineRule="auto"/>
        <w:ind w:left="851"/>
        <w:jc w:val="both"/>
        <w:rPr>
          <w:rFonts w:ascii="Arial" w:hAnsi="Arial" w:cs="Arial"/>
        </w:rPr>
      </w:pPr>
    </w:p>
    <w:p w:rsidR="00A722F8" w:rsidRPr="00AC0B09" w:rsidRDefault="00A722F8" w:rsidP="001346B1">
      <w:pPr>
        <w:pStyle w:val="Prrafodelista"/>
        <w:spacing w:line="480" w:lineRule="auto"/>
        <w:ind w:left="851"/>
        <w:jc w:val="both"/>
        <w:rPr>
          <w:rFonts w:ascii="Arial" w:hAnsi="Arial" w:cs="Arial"/>
          <w:i/>
        </w:rPr>
      </w:pPr>
      <w:r w:rsidRPr="003C1C0C">
        <w:rPr>
          <w:rFonts w:ascii="Arial" w:hAnsi="Arial" w:cs="Arial"/>
        </w:rPr>
        <w:t xml:space="preserve">En general, </w:t>
      </w:r>
      <w:r w:rsidR="00384A1E">
        <w:rPr>
          <w:rFonts w:ascii="Arial" w:hAnsi="Arial" w:cs="Arial"/>
        </w:rPr>
        <w:t>tenemos que</w:t>
      </w:r>
      <w:r w:rsidRPr="003C1C0C">
        <w:rPr>
          <w:rFonts w:ascii="Arial" w:hAnsi="Arial" w:cs="Arial"/>
        </w:rPr>
        <w:t xml:space="preserve"> las provincias del Oriente</w:t>
      </w:r>
      <w:r w:rsidR="00384A1E">
        <w:rPr>
          <w:rFonts w:ascii="Arial" w:hAnsi="Arial" w:cs="Arial"/>
        </w:rPr>
        <w:t xml:space="preserve"> son</w:t>
      </w:r>
      <w:r w:rsidRPr="003C1C0C">
        <w:rPr>
          <w:rFonts w:ascii="Arial" w:hAnsi="Arial" w:cs="Arial"/>
        </w:rPr>
        <w:t xml:space="preserve"> las que expulsan mayor cantidad de mujeres que hombres. Galápagos sigue la misma tendencia puesto que su índice es de 113.37; y, de las provincias de la Sierra tenemos a Cañar con el mayor índice de la región, pues emigran alrededor de 113.69 mujeres por cada 100 hombres; mientras que Imbabura expulsa aproximadamente igual cantidad de hombres que de mujeres, con un índice de feminidad de emigrantes de 100.29. Además, tenemos a Pichincha la cual presenta el menor índice en todo el Ecuador indicando que expulsa mayor cantidad de hombres que de mujeres; así como también hay otras cuatro provincias con índice menor que 100 y todas están ubicadas en ésta región como son los casos de Tungurahua (94.61), Chimborazo (96.30), Cotopaxi (97.58) y Bolívar (99.17).</w:t>
      </w:r>
      <w:r>
        <w:rPr>
          <w:rFonts w:ascii="Arial" w:hAnsi="Arial" w:cs="Arial"/>
        </w:rPr>
        <w:t xml:space="preserve"> </w:t>
      </w:r>
      <w:r w:rsidR="00384A1E">
        <w:rPr>
          <w:rFonts w:ascii="Arial" w:hAnsi="Arial" w:cs="Arial"/>
        </w:rPr>
        <w:t>D</w:t>
      </w:r>
      <w:r w:rsidRPr="003C1C0C">
        <w:rPr>
          <w:rFonts w:ascii="Arial" w:hAnsi="Arial" w:cs="Arial"/>
        </w:rPr>
        <w:t xml:space="preserve">e las provincias de la Costa, Los Ríos es la que mayor índice de feminidad tiene, </w:t>
      </w:r>
      <w:r w:rsidRPr="003C1C0C">
        <w:rPr>
          <w:rFonts w:ascii="Arial" w:hAnsi="Arial" w:cs="Arial"/>
        </w:rPr>
        <w:lastRenderedPageBreak/>
        <w:t xml:space="preserve">expulsando alrededor de 128 mujeres por cada 100 hombres. Las provincias restantes de la región presentan índices entre 100.33 (Santa Elena) y 106.96 (Esmeraldas), Guayas y Santa Elena por su parte expulsan aproximadamente igual cantidad de hombres que de mujeres; y, se conoce que de Manabí egresan 103.93 mujeres por cada 100 hombres emigrantes. </w:t>
      </w:r>
      <w:r>
        <w:rPr>
          <w:rFonts w:ascii="Arial" w:hAnsi="Arial" w:cs="Arial"/>
          <w:i/>
        </w:rPr>
        <w:t>Véase Figura 2.8.</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384A1E">
        <w:trPr>
          <w:trHeight w:val="4524"/>
          <w:jc w:val="right"/>
        </w:trPr>
        <w:tc>
          <w:tcPr>
            <w:tcW w:w="7497" w:type="dxa"/>
          </w:tcPr>
          <w:p w:rsidR="00A722F8" w:rsidRDefault="00A722F8" w:rsidP="003F1262">
            <w:pPr>
              <w:rPr>
                <w:rFonts w:ascii="Arial" w:hAnsi="Arial" w:cs="Arial"/>
                <w:b/>
                <w:sz w:val="16"/>
                <w:szCs w:val="16"/>
              </w:rPr>
            </w:pPr>
          </w:p>
          <w:p w:rsidR="000E4E9F" w:rsidRPr="000E4E9F" w:rsidRDefault="000E4E9F" w:rsidP="000E4E9F">
            <w:pPr>
              <w:keepNext/>
              <w:rPr>
                <w:rFonts w:ascii="Arial" w:hAnsi="Arial" w:cs="Arial"/>
                <w:b/>
                <w:sz w:val="16"/>
                <w:szCs w:val="16"/>
              </w:rPr>
            </w:pPr>
            <w:bookmarkStart w:id="269" w:name="_Toc341042998"/>
            <w:r>
              <w:rPr>
                <w:rFonts w:ascii="Arial" w:hAnsi="Arial" w:cs="Arial"/>
                <w:b/>
                <w:sz w:val="16"/>
                <w:szCs w:val="16"/>
              </w:rPr>
              <w:t>Figura 2.</w:t>
            </w:r>
            <w:r w:rsidR="00990535" w:rsidRPr="000E4E9F">
              <w:rPr>
                <w:rFonts w:ascii="Arial" w:hAnsi="Arial" w:cs="Arial"/>
                <w:b/>
                <w:sz w:val="16"/>
                <w:szCs w:val="16"/>
              </w:rPr>
              <w:fldChar w:fldCharType="begin"/>
            </w:r>
            <w:r w:rsidRPr="000E4E9F">
              <w:rPr>
                <w:rFonts w:ascii="Arial" w:hAnsi="Arial" w:cs="Arial"/>
                <w:b/>
                <w:sz w:val="16"/>
                <w:szCs w:val="16"/>
              </w:rPr>
              <w:instrText xml:space="preserve"> SEQ Figura_2. \* ARABIC </w:instrText>
            </w:r>
            <w:r w:rsidR="00990535" w:rsidRPr="000E4E9F">
              <w:rPr>
                <w:rFonts w:ascii="Arial" w:hAnsi="Arial" w:cs="Arial"/>
                <w:b/>
                <w:sz w:val="16"/>
                <w:szCs w:val="16"/>
              </w:rPr>
              <w:fldChar w:fldCharType="separate"/>
            </w:r>
            <w:r w:rsidR="00A242E0">
              <w:rPr>
                <w:rFonts w:ascii="Arial" w:hAnsi="Arial" w:cs="Arial"/>
                <w:b/>
                <w:noProof/>
                <w:sz w:val="16"/>
                <w:szCs w:val="16"/>
              </w:rPr>
              <w:t>8</w:t>
            </w:r>
            <w:bookmarkEnd w:id="269"/>
            <w:r w:rsidR="00990535" w:rsidRPr="000E4E9F">
              <w:rPr>
                <w:rFonts w:ascii="Arial" w:hAnsi="Arial" w:cs="Arial"/>
                <w:b/>
                <w:sz w:val="16"/>
                <w:szCs w:val="16"/>
              </w:rPr>
              <w:fldChar w:fldCharType="end"/>
            </w:r>
          </w:p>
          <w:p w:rsidR="00A722F8" w:rsidRPr="00FD089D" w:rsidRDefault="00384A1E" w:rsidP="003F1262">
            <w:pPr>
              <w:rPr>
                <w:rFonts w:ascii="Arial" w:hAnsi="Arial" w:cs="Arial"/>
                <w:i/>
                <w:sz w:val="16"/>
                <w:szCs w:val="16"/>
              </w:rPr>
            </w:pPr>
            <w:r>
              <w:rPr>
                <w:rFonts w:ascii="Arial" w:hAnsi="Arial" w:cs="Arial"/>
                <w:b/>
                <w:i/>
                <w:sz w:val="16"/>
                <w:szCs w:val="16"/>
              </w:rPr>
              <w:t xml:space="preserve">Ecuador 2010: </w:t>
            </w:r>
            <w:r w:rsidR="00A722F8" w:rsidRPr="00FD089D">
              <w:rPr>
                <w:rFonts w:ascii="Arial" w:hAnsi="Arial" w:cs="Arial"/>
                <w:i/>
                <w:sz w:val="16"/>
                <w:szCs w:val="16"/>
              </w:rPr>
              <w:t>Índice de F</w:t>
            </w:r>
            <w:r w:rsidR="00A722F8">
              <w:rPr>
                <w:rFonts w:ascii="Arial" w:hAnsi="Arial" w:cs="Arial"/>
                <w:i/>
                <w:sz w:val="16"/>
                <w:szCs w:val="16"/>
              </w:rPr>
              <w:t>eminidad de los Emigrantes por p</w:t>
            </w:r>
            <w:r w:rsidR="00A722F8" w:rsidRPr="00FD089D">
              <w:rPr>
                <w:rFonts w:ascii="Arial" w:hAnsi="Arial" w:cs="Arial"/>
                <w:i/>
                <w:sz w:val="16"/>
                <w:szCs w:val="16"/>
              </w:rPr>
              <w:t>rovincia</w:t>
            </w:r>
            <w:r w:rsidR="00A722F8">
              <w:rPr>
                <w:rFonts w:ascii="Arial" w:hAnsi="Arial" w:cs="Arial"/>
                <w:i/>
                <w:sz w:val="16"/>
                <w:szCs w:val="16"/>
              </w:rPr>
              <w:t xml:space="preserve"> de nacimiento</w:t>
            </w:r>
          </w:p>
          <w:p w:rsidR="00A722F8" w:rsidRDefault="00A722F8" w:rsidP="003F1262">
            <w:pPr>
              <w:rPr>
                <w:noProof/>
                <w:lang w:eastAsia="es-EC"/>
              </w:rPr>
            </w:pPr>
            <w:r>
              <w:rPr>
                <w:noProof/>
                <w:lang w:eastAsia="es-EC"/>
              </w:rPr>
              <w:drawing>
                <wp:inline distT="0" distB="0" distL="0" distR="0">
                  <wp:extent cx="4610100" cy="250507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722F8" w:rsidRPr="00C34899" w:rsidRDefault="00A722F8" w:rsidP="003F1262">
            <w:pPr>
              <w:rPr>
                <w:rFonts w:ascii="Arial" w:hAnsi="Arial" w:cs="Arial"/>
                <w:sz w:val="10"/>
                <w:szCs w:val="10"/>
              </w:rPr>
            </w:pPr>
          </w:p>
        </w:tc>
      </w:tr>
    </w:tbl>
    <w:p w:rsidR="00A722F8" w:rsidRPr="00384A1E" w:rsidRDefault="00A722F8" w:rsidP="00384A1E">
      <w:pPr>
        <w:pStyle w:val="Prrafodelista"/>
        <w:spacing w:line="276" w:lineRule="auto"/>
        <w:ind w:left="851"/>
        <w:jc w:val="both"/>
        <w:rPr>
          <w:rFonts w:ascii="Arial" w:hAnsi="Arial" w:cs="Arial"/>
          <w:sz w:val="17"/>
          <w:szCs w:val="17"/>
        </w:rPr>
      </w:pPr>
    </w:p>
    <w:p w:rsidR="00A722F8" w:rsidRPr="00384A1E" w:rsidRDefault="00A722F8" w:rsidP="00384A1E">
      <w:pPr>
        <w:pStyle w:val="Prrafodelista"/>
        <w:spacing w:line="276" w:lineRule="auto"/>
        <w:ind w:left="851"/>
        <w:jc w:val="both"/>
        <w:rPr>
          <w:rFonts w:ascii="Arial" w:hAnsi="Arial" w:cs="Arial"/>
          <w:sz w:val="17"/>
          <w:szCs w:val="17"/>
        </w:rPr>
      </w:pPr>
      <w:r w:rsidRPr="00384A1E">
        <w:rPr>
          <w:rFonts w:ascii="Arial" w:hAnsi="Arial" w:cs="Arial"/>
          <w:b/>
          <w:i/>
          <w:sz w:val="17"/>
          <w:szCs w:val="17"/>
        </w:rPr>
        <w:t>Fuente:</w:t>
      </w:r>
      <w:r w:rsidRPr="00384A1E">
        <w:rPr>
          <w:rFonts w:ascii="Arial" w:hAnsi="Arial" w:cs="Arial"/>
          <w:sz w:val="17"/>
          <w:szCs w:val="17"/>
        </w:rPr>
        <w:t xml:space="preserve"> </w:t>
      </w:r>
      <w:r w:rsidRPr="00384A1E">
        <w:rPr>
          <w:rFonts w:ascii="Arial" w:hAnsi="Arial" w:cs="Arial"/>
          <w:b/>
          <w:sz w:val="17"/>
          <w:szCs w:val="17"/>
        </w:rPr>
        <w:t xml:space="preserve">INEC </w:t>
      </w:r>
      <w:r w:rsidRPr="00384A1E">
        <w:rPr>
          <w:rFonts w:ascii="Arial" w:hAnsi="Arial" w:cs="Arial"/>
          <w:sz w:val="17"/>
          <w:szCs w:val="17"/>
        </w:rPr>
        <w:t>(2010), Base de Datos del VII Censo de Población y VI de Vivienda.</w:t>
      </w:r>
    </w:p>
    <w:p w:rsidR="00A722F8" w:rsidRPr="00384A1E" w:rsidRDefault="00A722F8" w:rsidP="00384A1E">
      <w:pPr>
        <w:pStyle w:val="Prrafodelista"/>
        <w:spacing w:line="276" w:lineRule="auto"/>
        <w:ind w:left="851"/>
        <w:jc w:val="both"/>
        <w:rPr>
          <w:rFonts w:ascii="Arial" w:hAnsi="Arial" w:cs="Arial"/>
          <w:sz w:val="17"/>
          <w:szCs w:val="17"/>
        </w:rPr>
      </w:pPr>
      <w:r w:rsidRPr="00384A1E">
        <w:rPr>
          <w:rFonts w:ascii="Arial" w:hAnsi="Arial" w:cs="Arial"/>
          <w:b/>
          <w:i/>
          <w:sz w:val="17"/>
          <w:szCs w:val="17"/>
        </w:rPr>
        <w:t>Elaborado por:</w:t>
      </w:r>
      <w:r w:rsidRPr="00384A1E">
        <w:rPr>
          <w:rFonts w:ascii="Arial" w:hAnsi="Arial" w:cs="Arial"/>
          <w:sz w:val="17"/>
          <w:szCs w:val="17"/>
        </w:rPr>
        <w:t xml:space="preserve"> Katherine Loor Valeriano</w:t>
      </w:r>
    </w:p>
    <w:p w:rsidR="00A722F8" w:rsidRDefault="00A722F8" w:rsidP="00A722F8">
      <w:pPr>
        <w:pStyle w:val="Prrafodelista"/>
        <w:spacing w:line="480" w:lineRule="auto"/>
        <w:ind w:left="567"/>
        <w:jc w:val="both"/>
        <w:rPr>
          <w:rFonts w:ascii="Arial" w:hAnsi="Arial" w:cs="Arial"/>
        </w:rPr>
      </w:pPr>
    </w:p>
    <w:p w:rsidR="00A722F8" w:rsidRPr="00F533E7" w:rsidRDefault="00A722F8" w:rsidP="0041640C">
      <w:pPr>
        <w:pStyle w:val="TesisTitulo10"/>
        <w:numPr>
          <w:ilvl w:val="1"/>
          <w:numId w:val="9"/>
        </w:numPr>
        <w:ind w:left="851" w:hanging="567"/>
      </w:pPr>
      <w:bookmarkStart w:id="270" w:name="_Toc339212686"/>
      <w:bookmarkStart w:id="271" w:name="_Toc341040610"/>
      <w:r w:rsidRPr="00F533E7">
        <w:t>Distribución de Edad de los Inmigrantes por provincia de residencia habitual</w:t>
      </w:r>
      <w:bookmarkEnd w:id="270"/>
      <w:bookmarkEnd w:id="271"/>
    </w:p>
    <w:p w:rsidR="00A722F8" w:rsidRPr="00A3206C" w:rsidRDefault="00A722F8" w:rsidP="00384A1E">
      <w:pPr>
        <w:pStyle w:val="Prrafodelista"/>
        <w:spacing w:line="480" w:lineRule="auto"/>
        <w:ind w:left="851"/>
        <w:jc w:val="both"/>
        <w:rPr>
          <w:rFonts w:ascii="Arial" w:hAnsi="Arial" w:cs="Arial"/>
        </w:rPr>
      </w:pPr>
      <w:r>
        <w:rPr>
          <w:rFonts w:ascii="Arial" w:hAnsi="Arial" w:cs="Arial"/>
        </w:rPr>
        <w:t xml:space="preserve">En la </w:t>
      </w:r>
      <w:r>
        <w:rPr>
          <w:rFonts w:ascii="Arial" w:hAnsi="Arial" w:cs="Arial"/>
          <w:i/>
        </w:rPr>
        <w:t>Figura 2.9</w:t>
      </w:r>
      <w:r>
        <w:rPr>
          <w:rFonts w:ascii="Arial" w:hAnsi="Arial" w:cs="Arial"/>
        </w:rPr>
        <w:t xml:space="preserve">, se presenta la distribución de edad de los inmigrantes por provincia de residencia habitual, en donde se tiene que la mayor ponderación de la población inmigrante tiene edades comprendidas entre los 15 y 65 años es decir son parte de la población económicamente activa; </w:t>
      </w:r>
      <w:r>
        <w:rPr>
          <w:rFonts w:ascii="Arial" w:hAnsi="Arial" w:cs="Arial"/>
        </w:rPr>
        <w:lastRenderedPageBreak/>
        <w:t xml:space="preserve">además, tenemos que la proporción de menores de 15 años es mayor que la proporción de adultos mayores para cada una de las provincias. En provincias como Bolívar, Carchi, Manabí o en las Zonas no Delimitadas se tiene que alrededor del 30% son inmigrantes menores de 15 años, aproximadamente el 60% tienen edades comprendidas entre los 15 y 65 años; y, un poco menos del 10% son personas con 65 años y más; mientras que, en Guayas del total de inmigrantes el 10% son menores de 15 años, el 79% son personas en edades económicamente activa y el 11% son adultos mayores; por otra parte, Pichincha presenta un escenario similar al de Guayas debido a que del total de emigrantes el 11% son menores de 15 años, el 80% tienen entre 15 y 65 años y el 9% son mayores de 65 años. </w:t>
      </w:r>
    </w:p>
    <w:tbl>
      <w:tblPr>
        <w:tblW w:w="7497" w:type="dxa"/>
        <w:jc w:val="right"/>
        <w:tblInd w:w="1293"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D758D9">
        <w:trPr>
          <w:trHeight w:val="4107"/>
          <w:jc w:val="right"/>
        </w:trPr>
        <w:tc>
          <w:tcPr>
            <w:tcW w:w="7497" w:type="dxa"/>
          </w:tcPr>
          <w:p w:rsidR="00A722F8" w:rsidRDefault="00A722F8" w:rsidP="003F1262">
            <w:pPr>
              <w:rPr>
                <w:rFonts w:ascii="Arial" w:hAnsi="Arial" w:cs="Arial"/>
                <w:b/>
                <w:sz w:val="16"/>
                <w:szCs w:val="16"/>
              </w:rPr>
            </w:pPr>
          </w:p>
          <w:p w:rsidR="000E4E9F" w:rsidRPr="000E4E9F" w:rsidRDefault="000E4E9F" w:rsidP="000E4E9F">
            <w:pPr>
              <w:keepNext/>
              <w:rPr>
                <w:rFonts w:ascii="Arial" w:hAnsi="Arial" w:cs="Arial"/>
                <w:b/>
                <w:sz w:val="16"/>
                <w:szCs w:val="16"/>
              </w:rPr>
            </w:pPr>
            <w:bookmarkStart w:id="272" w:name="_Toc341042999"/>
            <w:r>
              <w:rPr>
                <w:rFonts w:ascii="Arial" w:hAnsi="Arial" w:cs="Arial"/>
                <w:b/>
                <w:sz w:val="16"/>
                <w:szCs w:val="16"/>
              </w:rPr>
              <w:t>Figura 2.</w:t>
            </w:r>
            <w:r w:rsidR="00990535" w:rsidRPr="000E4E9F">
              <w:rPr>
                <w:rFonts w:ascii="Arial" w:hAnsi="Arial" w:cs="Arial"/>
                <w:b/>
                <w:sz w:val="16"/>
                <w:szCs w:val="16"/>
              </w:rPr>
              <w:fldChar w:fldCharType="begin"/>
            </w:r>
            <w:r w:rsidRPr="000E4E9F">
              <w:rPr>
                <w:rFonts w:ascii="Arial" w:hAnsi="Arial" w:cs="Arial"/>
                <w:b/>
                <w:sz w:val="16"/>
                <w:szCs w:val="16"/>
              </w:rPr>
              <w:instrText xml:space="preserve"> SEQ Figura_2. \* ARABIC </w:instrText>
            </w:r>
            <w:r w:rsidR="00990535" w:rsidRPr="000E4E9F">
              <w:rPr>
                <w:rFonts w:ascii="Arial" w:hAnsi="Arial" w:cs="Arial"/>
                <w:b/>
                <w:sz w:val="16"/>
                <w:szCs w:val="16"/>
              </w:rPr>
              <w:fldChar w:fldCharType="separate"/>
            </w:r>
            <w:r w:rsidR="00A242E0">
              <w:rPr>
                <w:rFonts w:ascii="Arial" w:hAnsi="Arial" w:cs="Arial"/>
                <w:b/>
                <w:noProof/>
                <w:sz w:val="16"/>
                <w:szCs w:val="16"/>
              </w:rPr>
              <w:t>9</w:t>
            </w:r>
            <w:bookmarkEnd w:id="272"/>
            <w:r w:rsidR="00990535" w:rsidRPr="000E4E9F">
              <w:rPr>
                <w:rFonts w:ascii="Arial" w:hAnsi="Arial" w:cs="Arial"/>
                <w:b/>
                <w:sz w:val="16"/>
                <w:szCs w:val="16"/>
              </w:rPr>
              <w:fldChar w:fldCharType="end"/>
            </w:r>
          </w:p>
          <w:p w:rsidR="00A722F8" w:rsidRPr="00FD089D" w:rsidRDefault="00177CF9" w:rsidP="003F1262">
            <w:pPr>
              <w:rPr>
                <w:rFonts w:ascii="Arial" w:hAnsi="Arial" w:cs="Arial"/>
                <w:i/>
                <w:sz w:val="16"/>
                <w:szCs w:val="16"/>
              </w:rPr>
            </w:pPr>
            <w:r>
              <w:rPr>
                <w:rFonts w:ascii="Arial" w:hAnsi="Arial" w:cs="Arial"/>
                <w:b/>
                <w:i/>
                <w:sz w:val="16"/>
                <w:szCs w:val="16"/>
              </w:rPr>
              <w:t xml:space="preserve">Ecuador 2010: </w:t>
            </w:r>
            <w:r w:rsidR="00A722F8">
              <w:rPr>
                <w:rFonts w:ascii="Arial" w:hAnsi="Arial" w:cs="Arial"/>
                <w:i/>
                <w:sz w:val="16"/>
                <w:szCs w:val="16"/>
              </w:rPr>
              <w:t>Distribución de Edad de los Inmigrantes por Provincia de residencia habitual</w:t>
            </w:r>
          </w:p>
          <w:p w:rsidR="00A722F8" w:rsidRDefault="00BE5848" w:rsidP="003F1262">
            <w:pPr>
              <w:rPr>
                <w:noProof/>
                <w:lang w:eastAsia="es-EC"/>
              </w:rPr>
            </w:pPr>
            <w:r>
              <w:rPr>
                <w:noProof/>
                <w:lang w:eastAsia="es-EC"/>
              </w:rPr>
              <w:drawing>
                <wp:inline distT="0" distB="0" distL="0" distR="0">
                  <wp:extent cx="4514850" cy="2232000"/>
                  <wp:effectExtent l="0" t="0" r="0" b="0"/>
                  <wp:docPr id="190" name="Gráfico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722F8" w:rsidRPr="00C34899" w:rsidRDefault="00A722F8" w:rsidP="003F1262">
            <w:pPr>
              <w:rPr>
                <w:rFonts w:ascii="Arial" w:hAnsi="Arial" w:cs="Arial"/>
                <w:sz w:val="10"/>
                <w:szCs w:val="10"/>
              </w:rPr>
            </w:pPr>
          </w:p>
        </w:tc>
      </w:tr>
    </w:tbl>
    <w:p w:rsidR="00A722F8" w:rsidRPr="00384A1E" w:rsidRDefault="00A722F8" w:rsidP="00384A1E">
      <w:pPr>
        <w:pStyle w:val="Prrafodelista"/>
        <w:spacing w:line="276" w:lineRule="auto"/>
        <w:ind w:left="851"/>
        <w:jc w:val="both"/>
        <w:rPr>
          <w:rFonts w:ascii="Arial" w:hAnsi="Arial" w:cs="Arial"/>
          <w:sz w:val="17"/>
          <w:szCs w:val="17"/>
        </w:rPr>
      </w:pPr>
    </w:p>
    <w:p w:rsidR="00A722F8" w:rsidRPr="00384A1E" w:rsidRDefault="00A722F8" w:rsidP="00384A1E">
      <w:pPr>
        <w:pStyle w:val="Prrafodelista"/>
        <w:spacing w:line="276" w:lineRule="auto"/>
        <w:ind w:left="851"/>
        <w:jc w:val="both"/>
        <w:rPr>
          <w:rFonts w:ascii="Arial" w:hAnsi="Arial" w:cs="Arial"/>
          <w:sz w:val="17"/>
          <w:szCs w:val="17"/>
        </w:rPr>
      </w:pPr>
      <w:r w:rsidRPr="00384A1E">
        <w:rPr>
          <w:rFonts w:ascii="Arial" w:hAnsi="Arial" w:cs="Arial"/>
          <w:b/>
          <w:i/>
          <w:sz w:val="17"/>
          <w:szCs w:val="17"/>
        </w:rPr>
        <w:t>Fuente:</w:t>
      </w:r>
      <w:r w:rsidRPr="00384A1E">
        <w:rPr>
          <w:rFonts w:ascii="Arial" w:hAnsi="Arial" w:cs="Arial"/>
          <w:sz w:val="17"/>
          <w:szCs w:val="17"/>
        </w:rPr>
        <w:t xml:space="preserve"> </w:t>
      </w:r>
      <w:r w:rsidRPr="00384A1E">
        <w:rPr>
          <w:rFonts w:ascii="Arial" w:hAnsi="Arial" w:cs="Arial"/>
          <w:b/>
          <w:sz w:val="17"/>
          <w:szCs w:val="17"/>
        </w:rPr>
        <w:t xml:space="preserve">INEC </w:t>
      </w:r>
      <w:r w:rsidRPr="00384A1E">
        <w:rPr>
          <w:rFonts w:ascii="Arial" w:hAnsi="Arial" w:cs="Arial"/>
          <w:sz w:val="17"/>
          <w:szCs w:val="17"/>
        </w:rPr>
        <w:t>(2010), Base de Datos del VII Censo de Población y VI de Vivienda.</w:t>
      </w:r>
    </w:p>
    <w:p w:rsidR="00A722F8" w:rsidRPr="00384A1E" w:rsidRDefault="00A722F8" w:rsidP="00384A1E">
      <w:pPr>
        <w:pStyle w:val="Prrafodelista"/>
        <w:spacing w:line="276" w:lineRule="auto"/>
        <w:ind w:left="851"/>
        <w:jc w:val="both"/>
        <w:rPr>
          <w:rFonts w:ascii="Arial" w:hAnsi="Arial" w:cs="Arial"/>
          <w:sz w:val="17"/>
          <w:szCs w:val="17"/>
        </w:rPr>
      </w:pPr>
      <w:r w:rsidRPr="00384A1E">
        <w:rPr>
          <w:rFonts w:ascii="Arial" w:hAnsi="Arial" w:cs="Arial"/>
          <w:b/>
          <w:i/>
          <w:sz w:val="17"/>
          <w:szCs w:val="17"/>
        </w:rPr>
        <w:t>Elaborado por:</w:t>
      </w:r>
      <w:r w:rsidRPr="00384A1E">
        <w:rPr>
          <w:rFonts w:ascii="Arial" w:hAnsi="Arial" w:cs="Arial"/>
          <w:sz w:val="17"/>
          <w:szCs w:val="17"/>
        </w:rPr>
        <w:t xml:space="preserve"> Katherine Loor Valeriano</w:t>
      </w:r>
    </w:p>
    <w:p w:rsidR="00A722F8" w:rsidRDefault="00A722F8" w:rsidP="00A722F8">
      <w:pPr>
        <w:pStyle w:val="Prrafodelista"/>
        <w:spacing w:line="480" w:lineRule="auto"/>
        <w:ind w:left="567"/>
        <w:jc w:val="both"/>
        <w:rPr>
          <w:rFonts w:ascii="Arial" w:hAnsi="Arial" w:cs="Arial"/>
        </w:rPr>
      </w:pPr>
    </w:p>
    <w:p w:rsidR="00A722F8" w:rsidRPr="009512BC" w:rsidRDefault="00A722F8" w:rsidP="00D758D9">
      <w:pPr>
        <w:pStyle w:val="Prrafodelista"/>
        <w:spacing w:line="480" w:lineRule="auto"/>
        <w:ind w:left="851"/>
        <w:jc w:val="both"/>
        <w:rPr>
          <w:rFonts w:ascii="Arial" w:hAnsi="Arial" w:cs="Arial"/>
          <w:i/>
        </w:rPr>
      </w:pPr>
      <w:r>
        <w:rPr>
          <w:rFonts w:ascii="Arial" w:hAnsi="Arial" w:cs="Arial"/>
        </w:rPr>
        <w:t xml:space="preserve">En la </w:t>
      </w:r>
      <w:r>
        <w:rPr>
          <w:rFonts w:ascii="Arial" w:hAnsi="Arial" w:cs="Arial"/>
          <w:i/>
        </w:rPr>
        <w:t>Tabla 2.</w:t>
      </w:r>
      <w:r w:rsidR="00D758D9">
        <w:rPr>
          <w:rFonts w:ascii="Arial" w:hAnsi="Arial" w:cs="Arial"/>
          <w:i/>
        </w:rPr>
        <w:t>6</w:t>
      </w:r>
      <w:r>
        <w:rPr>
          <w:rFonts w:ascii="Arial" w:hAnsi="Arial" w:cs="Arial"/>
        </w:rPr>
        <w:t xml:space="preserve">, se presentan las estadísticas descriptivas de la población inmigrante en cada una de las provincias, entre las estadísticas mostradas </w:t>
      </w:r>
      <w:r>
        <w:rPr>
          <w:rFonts w:ascii="Arial" w:hAnsi="Arial" w:cs="Arial"/>
        </w:rPr>
        <w:lastRenderedPageBreak/>
        <w:t xml:space="preserve">tenemos la edad promedio, el error estándar de la media, </w:t>
      </w:r>
      <w:r w:rsidR="00177CF9">
        <w:rPr>
          <w:rFonts w:ascii="Arial" w:hAnsi="Arial" w:cs="Arial"/>
        </w:rPr>
        <w:t>la edad mediana, la edad mínima y</w:t>
      </w:r>
      <w:r>
        <w:rPr>
          <w:rFonts w:ascii="Arial" w:hAnsi="Arial" w:cs="Arial"/>
        </w:rPr>
        <w:t xml:space="preserve"> máxima. En donde tenemos que la provincia cuyos inmigrantes presentan la menor edad promedio es Manabí, pues tienen   25.364 ± 0.064 años, además el 50% de los inmigrantes tienen menos de 22 años</w:t>
      </w:r>
      <w:r w:rsidR="00177CF9">
        <w:rPr>
          <w:rFonts w:ascii="Arial" w:hAnsi="Arial" w:cs="Arial"/>
        </w:rPr>
        <w:t xml:space="preserve"> (mediana)</w:t>
      </w:r>
      <w:r>
        <w:rPr>
          <w:rFonts w:ascii="Arial" w:hAnsi="Arial" w:cs="Arial"/>
        </w:rPr>
        <w:t xml:space="preserve">; mientras que la provincia en la cual sus inmigrantes internos de toda la vida tienen la mayor edad promedio es Guayas, ya que la edad promedio de estos es 39.349 ± 0.023 años, y el 50% de los inmigrantes que habitualmente residen en esta provincia son menores de 38 años. En lo que respecta a Pichincha, la edad promedio de los no nativos es 36.786 ± 0.021 años. Para más </w:t>
      </w:r>
      <w:r w:rsidR="00D758D9">
        <w:rPr>
          <w:rFonts w:ascii="Arial" w:hAnsi="Arial" w:cs="Arial"/>
        </w:rPr>
        <w:t>detalles sobre otras provincias.</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A722F8" w:rsidRPr="00840530" w:rsidTr="00D758D9">
        <w:trPr>
          <w:trHeight w:val="6293"/>
          <w:jc w:val="right"/>
        </w:trPr>
        <w:tc>
          <w:tcPr>
            <w:tcW w:w="7535" w:type="dxa"/>
          </w:tcPr>
          <w:p w:rsidR="00A722F8" w:rsidRPr="00840530" w:rsidRDefault="00A722F8" w:rsidP="003F1262">
            <w:pPr>
              <w:rPr>
                <w:rFonts w:ascii="Arial" w:hAnsi="Arial" w:cs="Arial"/>
                <w:sz w:val="16"/>
                <w:szCs w:val="16"/>
              </w:rPr>
            </w:pPr>
          </w:p>
          <w:p w:rsidR="00C06232" w:rsidRPr="00C06232" w:rsidRDefault="00C06232" w:rsidP="00C06232">
            <w:pPr>
              <w:keepNext/>
              <w:rPr>
                <w:rFonts w:ascii="Arial" w:hAnsi="Arial" w:cs="Arial"/>
                <w:b/>
                <w:sz w:val="16"/>
                <w:szCs w:val="16"/>
              </w:rPr>
            </w:pPr>
            <w:bookmarkStart w:id="273" w:name="_Toc341041581"/>
            <w:r>
              <w:rPr>
                <w:rFonts w:ascii="Arial" w:hAnsi="Arial" w:cs="Arial"/>
                <w:b/>
                <w:sz w:val="16"/>
                <w:szCs w:val="16"/>
              </w:rPr>
              <w:t>Tabla 2.</w:t>
            </w:r>
            <w:r w:rsidR="00990535" w:rsidRPr="00C06232">
              <w:rPr>
                <w:rFonts w:ascii="Arial" w:hAnsi="Arial" w:cs="Arial"/>
                <w:b/>
                <w:sz w:val="16"/>
                <w:szCs w:val="16"/>
              </w:rPr>
              <w:fldChar w:fldCharType="begin"/>
            </w:r>
            <w:r w:rsidRPr="00C06232">
              <w:rPr>
                <w:rFonts w:ascii="Arial" w:hAnsi="Arial" w:cs="Arial"/>
                <w:b/>
                <w:sz w:val="16"/>
                <w:szCs w:val="16"/>
              </w:rPr>
              <w:instrText xml:space="preserve"> SEQ Tabla2. \* ARABIC </w:instrText>
            </w:r>
            <w:r w:rsidR="00990535" w:rsidRPr="00C06232">
              <w:rPr>
                <w:rFonts w:ascii="Arial" w:hAnsi="Arial" w:cs="Arial"/>
                <w:b/>
                <w:sz w:val="16"/>
                <w:szCs w:val="16"/>
              </w:rPr>
              <w:fldChar w:fldCharType="separate"/>
            </w:r>
            <w:r w:rsidR="00A242E0">
              <w:rPr>
                <w:rFonts w:ascii="Arial" w:hAnsi="Arial" w:cs="Arial"/>
                <w:b/>
                <w:noProof/>
                <w:sz w:val="16"/>
                <w:szCs w:val="16"/>
              </w:rPr>
              <w:t>6</w:t>
            </w:r>
            <w:bookmarkEnd w:id="273"/>
            <w:r w:rsidR="00990535" w:rsidRPr="00C06232">
              <w:rPr>
                <w:rFonts w:ascii="Arial" w:hAnsi="Arial" w:cs="Arial"/>
                <w:b/>
                <w:sz w:val="16"/>
                <w:szCs w:val="16"/>
              </w:rPr>
              <w:fldChar w:fldCharType="end"/>
            </w:r>
          </w:p>
          <w:p w:rsidR="00177CF9" w:rsidRDefault="00177CF9" w:rsidP="003F1262">
            <w:pPr>
              <w:rPr>
                <w:rFonts w:ascii="Arial" w:hAnsi="Arial" w:cs="Arial"/>
                <w:i/>
                <w:sz w:val="16"/>
                <w:szCs w:val="16"/>
              </w:rPr>
            </w:pPr>
            <w:r>
              <w:rPr>
                <w:rFonts w:ascii="Arial" w:hAnsi="Arial" w:cs="Arial"/>
                <w:b/>
                <w:i/>
                <w:sz w:val="16"/>
                <w:szCs w:val="16"/>
              </w:rPr>
              <w:t xml:space="preserve">Ecuador 2010: </w:t>
            </w:r>
            <w:r w:rsidR="00A722F8">
              <w:rPr>
                <w:rFonts w:ascii="Arial" w:hAnsi="Arial" w:cs="Arial"/>
                <w:i/>
                <w:sz w:val="16"/>
                <w:szCs w:val="16"/>
              </w:rPr>
              <w:t xml:space="preserve">Estadísticas Descriptivas </w:t>
            </w:r>
            <w:r w:rsidR="00807CDA">
              <w:rPr>
                <w:rFonts w:ascii="Arial" w:hAnsi="Arial" w:cs="Arial"/>
                <w:i/>
                <w:sz w:val="16"/>
                <w:szCs w:val="16"/>
              </w:rPr>
              <w:t xml:space="preserve">de la Edad </w:t>
            </w:r>
            <w:r w:rsidR="00A722F8">
              <w:rPr>
                <w:rFonts w:ascii="Arial" w:hAnsi="Arial" w:cs="Arial"/>
                <w:i/>
                <w:sz w:val="16"/>
                <w:szCs w:val="16"/>
              </w:rPr>
              <w:t xml:space="preserve">de los Inmigrantes por </w:t>
            </w:r>
          </w:p>
          <w:p w:rsidR="00A722F8" w:rsidRPr="0031171A" w:rsidRDefault="00A722F8" w:rsidP="003F1262">
            <w:pPr>
              <w:rPr>
                <w:rFonts w:ascii="Arial" w:hAnsi="Arial" w:cs="Arial"/>
                <w:i/>
                <w:sz w:val="16"/>
                <w:szCs w:val="16"/>
              </w:rPr>
            </w:pPr>
            <w:r>
              <w:rPr>
                <w:rFonts w:ascii="Arial" w:hAnsi="Arial" w:cs="Arial"/>
                <w:i/>
                <w:sz w:val="16"/>
                <w:szCs w:val="16"/>
              </w:rPr>
              <w:t>Provincia de residencia habitual</w:t>
            </w:r>
          </w:p>
          <w:p w:rsidR="00A722F8" w:rsidRDefault="00A722F8" w:rsidP="003F1262">
            <w:pPr>
              <w:rPr>
                <w:rFonts w:ascii="Arial" w:hAnsi="Arial" w:cs="Arial"/>
                <w:b/>
                <w:sz w:val="16"/>
                <w:szCs w:val="16"/>
              </w:rPr>
            </w:pPr>
          </w:p>
          <w:tbl>
            <w:tblPr>
              <w:tblW w:w="6287" w:type="dxa"/>
              <w:jc w:val="center"/>
              <w:tblCellMar>
                <w:left w:w="70" w:type="dxa"/>
                <w:right w:w="70" w:type="dxa"/>
              </w:tblCellMar>
              <w:tblLook w:val="04A0" w:firstRow="1" w:lastRow="0" w:firstColumn="1" w:lastColumn="0" w:noHBand="0" w:noVBand="1"/>
            </w:tblPr>
            <w:tblGrid>
              <w:gridCol w:w="2154"/>
              <w:gridCol w:w="737"/>
              <w:gridCol w:w="1077"/>
              <w:gridCol w:w="815"/>
              <w:gridCol w:w="734"/>
              <w:gridCol w:w="770"/>
            </w:tblGrid>
            <w:tr w:rsidR="00D758D9" w:rsidRPr="00B00AEF" w:rsidTr="00177CF9">
              <w:trPr>
                <w:trHeight w:val="20"/>
                <w:jc w:val="center"/>
              </w:trPr>
              <w:tc>
                <w:tcPr>
                  <w:tcW w:w="2154" w:type="dxa"/>
                  <w:tcBorders>
                    <w:top w:val="single" w:sz="4" w:space="0" w:color="auto"/>
                    <w:left w:val="nil"/>
                    <w:bottom w:val="single" w:sz="4" w:space="0" w:color="auto"/>
                    <w:right w:val="nil"/>
                  </w:tcBorders>
                  <w:shd w:val="clear" w:color="auto" w:fill="auto"/>
                  <w:vAlign w:val="center"/>
                  <w:hideMark/>
                </w:tcPr>
                <w:p w:rsidR="00D758D9" w:rsidRPr="00B00AEF" w:rsidRDefault="00D758D9" w:rsidP="003F1262">
                  <w:pPr>
                    <w:rPr>
                      <w:rFonts w:ascii="Arial" w:eastAsia="Times New Roman" w:hAnsi="Arial" w:cs="Arial"/>
                      <w:b/>
                      <w:bCs/>
                      <w:color w:val="000000"/>
                      <w:sz w:val="16"/>
                      <w:szCs w:val="16"/>
                      <w:lang w:eastAsia="es-EC"/>
                    </w:rPr>
                  </w:pPr>
                  <w:r w:rsidRPr="00B00AEF">
                    <w:rPr>
                      <w:rFonts w:ascii="Arial" w:eastAsia="Times New Roman" w:hAnsi="Arial" w:cs="Arial"/>
                      <w:b/>
                      <w:bCs/>
                      <w:color w:val="000000"/>
                      <w:sz w:val="16"/>
                      <w:szCs w:val="16"/>
                      <w:lang w:eastAsia="es-EC"/>
                    </w:rPr>
                    <w:t>Provincia de residencia habitual</w:t>
                  </w:r>
                </w:p>
              </w:tc>
              <w:tc>
                <w:tcPr>
                  <w:tcW w:w="737" w:type="dxa"/>
                  <w:tcBorders>
                    <w:top w:val="single" w:sz="4" w:space="0" w:color="auto"/>
                    <w:left w:val="nil"/>
                    <w:bottom w:val="single" w:sz="4" w:space="0" w:color="auto"/>
                    <w:right w:val="nil"/>
                  </w:tcBorders>
                  <w:shd w:val="clear" w:color="auto" w:fill="auto"/>
                  <w:vAlign w:val="center"/>
                  <w:hideMark/>
                </w:tcPr>
                <w:p w:rsidR="00D758D9" w:rsidRPr="00B00AEF" w:rsidRDefault="00D758D9" w:rsidP="003F1262">
                  <w:pPr>
                    <w:rPr>
                      <w:rFonts w:ascii="Arial" w:eastAsia="Times New Roman" w:hAnsi="Arial" w:cs="Arial"/>
                      <w:b/>
                      <w:bCs/>
                      <w:color w:val="000000"/>
                      <w:sz w:val="16"/>
                      <w:szCs w:val="16"/>
                      <w:lang w:eastAsia="es-EC"/>
                    </w:rPr>
                  </w:pPr>
                  <w:r w:rsidRPr="00B00AEF">
                    <w:rPr>
                      <w:rFonts w:ascii="Arial" w:eastAsia="Times New Roman" w:hAnsi="Arial" w:cs="Arial"/>
                      <w:b/>
                      <w:bCs/>
                      <w:color w:val="000000"/>
                      <w:sz w:val="16"/>
                      <w:szCs w:val="16"/>
                      <w:lang w:eastAsia="es-EC"/>
                    </w:rPr>
                    <w:t>Media</w:t>
                  </w:r>
                </w:p>
              </w:tc>
              <w:tc>
                <w:tcPr>
                  <w:tcW w:w="1077" w:type="dxa"/>
                  <w:tcBorders>
                    <w:top w:val="single" w:sz="4" w:space="0" w:color="auto"/>
                    <w:left w:val="nil"/>
                    <w:bottom w:val="single" w:sz="4" w:space="0" w:color="auto"/>
                    <w:right w:val="nil"/>
                  </w:tcBorders>
                  <w:shd w:val="clear" w:color="auto" w:fill="auto"/>
                  <w:vAlign w:val="center"/>
                  <w:hideMark/>
                </w:tcPr>
                <w:p w:rsidR="00D758D9" w:rsidRPr="00B00AEF" w:rsidRDefault="00D758D9" w:rsidP="003F1262">
                  <w:pPr>
                    <w:rPr>
                      <w:rFonts w:ascii="Arial" w:eastAsia="Times New Roman" w:hAnsi="Arial" w:cs="Arial"/>
                      <w:b/>
                      <w:bCs/>
                      <w:color w:val="000000"/>
                      <w:sz w:val="16"/>
                      <w:szCs w:val="16"/>
                      <w:lang w:eastAsia="es-EC"/>
                    </w:rPr>
                  </w:pPr>
                  <w:r w:rsidRPr="00B00AEF">
                    <w:rPr>
                      <w:rFonts w:ascii="Arial" w:eastAsia="Times New Roman" w:hAnsi="Arial" w:cs="Arial"/>
                      <w:b/>
                      <w:bCs/>
                      <w:color w:val="000000"/>
                      <w:sz w:val="16"/>
                      <w:szCs w:val="16"/>
                      <w:lang w:eastAsia="es-EC"/>
                    </w:rPr>
                    <w:t>Error Estándar de la Media</w:t>
                  </w:r>
                </w:p>
              </w:tc>
              <w:tc>
                <w:tcPr>
                  <w:tcW w:w="815" w:type="dxa"/>
                  <w:tcBorders>
                    <w:top w:val="single" w:sz="4" w:space="0" w:color="auto"/>
                    <w:left w:val="nil"/>
                    <w:bottom w:val="single" w:sz="4" w:space="0" w:color="auto"/>
                    <w:right w:val="nil"/>
                  </w:tcBorders>
                  <w:shd w:val="clear" w:color="auto" w:fill="auto"/>
                  <w:vAlign w:val="center"/>
                  <w:hideMark/>
                </w:tcPr>
                <w:p w:rsidR="00D758D9" w:rsidRPr="00B00AEF" w:rsidRDefault="00D758D9" w:rsidP="003F1262">
                  <w:pPr>
                    <w:rPr>
                      <w:rFonts w:ascii="Arial" w:eastAsia="Times New Roman" w:hAnsi="Arial" w:cs="Arial"/>
                      <w:b/>
                      <w:bCs/>
                      <w:color w:val="000000"/>
                      <w:sz w:val="16"/>
                      <w:szCs w:val="16"/>
                      <w:lang w:eastAsia="es-EC"/>
                    </w:rPr>
                  </w:pPr>
                  <w:r w:rsidRPr="00B00AEF">
                    <w:rPr>
                      <w:rFonts w:ascii="Arial" w:eastAsia="Times New Roman" w:hAnsi="Arial" w:cs="Arial"/>
                      <w:b/>
                      <w:bCs/>
                      <w:color w:val="000000"/>
                      <w:sz w:val="16"/>
                      <w:szCs w:val="16"/>
                      <w:lang w:eastAsia="es-EC"/>
                    </w:rPr>
                    <w:t>Mediana</w:t>
                  </w:r>
                </w:p>
              </w:tc>
              <w:tc>
                <w:tcPr>
                  <w:tcW w:w="734" w:type="dxa"/>
                  <w:tcBorders>
                    <w:top w:val="single" w:sz="4" w:space="0" w:color="auto"/>
                    <w:left w:val="nil"/>
                    <w:bottom w:val="single" w:sz="4" w:space="0" w:color="auto"/>
                    <w:right w:val="nil"/>
                  </w:tcBorders>
                  <w:shd w:val="clear" w:color="auto" w:fill="auto"/>
                  <w:vAlign w:val="center"/>
                  <w:hideMark/>
                </w:tcPr>
                <w:p w:rsidR="00D758D9" w:rsidRPr="00B00AEF" w:rsidRDefault="00D758D9" w:rsidP="003F1262">
                  <w:pPr>
                    <w:rPr>
                      <w:rFonts w:ascii="Arial" w:eastAsia="Times New Roman" w:hAnsi="Arial" w:cs="Arial"/>
                      <w:b/>
                      <w:bCs/>
                      <w:color w:val="000000"/>
                      <w:sz w:val="16"/>
                      <w:szCs w:val="16"/>
                      <w:lang w:eastAsia="es-EC"/>
                    </w:rPr>
                  </w:pPr>
                  <w:r w:rsidRPr="00B00AEF">
                    <w:rPr>
                      <w:rFonts w:ascii="Arial" w:eastAsia="Times New Roman" w:hAnsi="Arial" w:cs="Arial"/>
                      <w:b/>
                      <w:bCs/>
                      <w:color w:val="000000"/>
                      <w:sz w:val="16"/>
                      <w:szCs w:val="16"/>
                      <w:lang w:eastAsia="es-EC"/>
                    </w:rPr>
                    <w:t>Mínimo</w:t>
                  </w:r>
                </w:p>
              </w:tc>
              <w:tc>
                <w:tcPr>
                  <w:tcW w:w="770" w:type="dxa"/>
                  <w:tcBorders>
                    <w:top w:val="single" w:sz="4" w:space="0" w:color="auto"/>
                    <w:left w:val="nil"/>
                    <w:bottom w:val="single" w:sz="4" w:space="0" w:color="auto"/>
                    <w:right w:val="nil"/>
                  </w:tcBorders>
                  <w:shd w:val="clear" w:color="auto" w:fill="auto"/>
                  <w:vAlign w:val="center"/>
                  <w:hideMark/>
                </w:tcPr>
                <w:p w:rsidR="00D758D9" w:rsidRPr="00B00AEF" w:rsidRDefault="00D758D9" w:rsidP="003F1262">
                  <w:pPr>
                    <w:rPr>
                      <w:rFonts w:ascii="Arial" w:eastAsia="Times New Roman" w:hAnsi="Arial" w:cs="Arial"/>
                      <w:b/>
                      <w:bCs/>
                      <w:color w:val="000000"/>
                      <w:sz w:val="16"/>
                      <w:szCs w:val="16"/>
                      <w:lang w:eastAsia="es-EC"/>
                    </w:rPr>
                  </w:pPr>
                  <w:r w:rsidRPr="00B00AEF">
                    <w:rPr>
                      <w:rFonts w:ascii="Arial" w:eastAsia="Times New Roman" w:hAnsi="Arial" w:cs="Arial"/>
                      <w:b/>
                      <w:bCs/>
                      <w:color w:val="000000"/>
                      <w:sz w:val="16"/>
                      <w:szCs w:val="16"/>
                      <w:lang w:eastAsia="es-EC"/>
                    </w:rPr>
                    <w:t>Máximo</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Azuay</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31.155</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0.058</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28</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110</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Bolívar</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25.885</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0.149</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20</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105</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Cañar</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27.693</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0.092</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24</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105</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Carchi</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26.622</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0.154</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23</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97</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Cotopaxi</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30.075</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0.084</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28</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119</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Chimborazo</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30.254</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0.096</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26</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105</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El Oro</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39.306</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0.052</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38</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118</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Esmeraldas</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34.321</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0.060</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33</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120</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Guayas</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39.349</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0.023</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38</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118</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Imbabura</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35.741</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0.085</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33</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101</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Loja</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26.019</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0.093</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22</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107</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Los Ríos</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34.277</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0.053</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32</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114</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Manabí</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25.364</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0.064</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22</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102</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Morona Santiago</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36.837</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0.129</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35</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110</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Napo</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34.281</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0.130</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33</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104</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Pastaza</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33.921</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0.114</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31</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117</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Pichincha</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36.786</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0.021</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35</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117</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Tungurahua</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33.904</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0.075</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31</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103</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Zamora Chinchipe</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37.255</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0.122</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37</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112</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Galápagos</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31.716</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0.143</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31</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99</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Sucumbíos</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35.122</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0.066</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34</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117</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Orellana</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32.300</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0.073</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31</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115</w:t>
                  </w:r>
                </w:p>
              </w:tc>
            </w:tr>
            <w:tr w:rsidR="00D758D9" w:rsidRPr="00B00AEF" w:rsidTr="00177CF9">
              <w:trPr>
                <w:trHeight w:val="20"/>
                <w:jc w:val="center"/>
              </w:trPr>
              <w:tc>
                <w:tcPr>
                  <w:tcW w:w="2154" w:type="dxa"/>
                  <w:tcBorders>
                    <w:top w:val="nil"/>
                    <w:left w:val="nil"/>
                    <w:bottom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 xml:space="preserve">Santo Domingo </w:t>
                  </w:r>
                </w:p>
              </w:tc>
              <w:tc>
                <w:tcPr>
                  <w:tcW w:w="73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36.432</w:t>
                  </w:r>
                </w:p>
              </w:tc>
              <w:tc>
                <w:tcPr>
                  <w:tcW w:w="1077"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0.047</w:t>
                  </w:r>
                </w:p>
              </w:tc>
              <w:tc>
                <w:tcPr>
                  <w:tcW w:w="815"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35</w:t>
                  </w:r>
                </w:p>
              </w:tc>
              <w:tc>
                <w:tcPr>
                  <w:tcW w:w="734"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120</w:t>
                  </w:r>
                </w:p>
              </w:tc>
            </w:tr>
            <w:tr w:rsidR="00D758D9" w:rsidRPr="00B00AEF" w:rsidTr="00177CF9">
              <w:trPr>
                <w:trHeight w:val="20"/>
                <w:jc w:val="center"/>
              </w:trPr>
              <w:tc>
                <w:tcPr>
                  <w:tcW w:w="2154" w:type="dxa"/>
                  <w:tcBorders>
                    <w:top w:val="nil"/>
                    <w:left w:val="nil"/>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Santa Elena</w:t>
                  </w:r>
                </w:p>
              </w:tc>
              <w:tc>
                <w:tcPr>
                  <w:tcW w:w="737" w:type="dxa"/>
                  <w:tcBorders>
                    <w:top w:val="nil"/>
                    <w:left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32.922</w:t>
                  </w:r>
                </w:p>
              </w:tc>
              <w:tc>
                <w:tcPr>
                  <w:tcW w:w="1077" w:type="dxa"/>
                  <w:tcBorders>
                    <w:top w:val="nil"/>
                    <w:left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0.077</w:t>
                  </w:r>
                </w:p>
              </w:tc>
              <w:tc>
                <w:tcPr>
                  <w:tcW w:w="815" w:type="dxa"/>
                  <w:tcBorders>
                    <w:top w:val="nil"/>
                    <w:left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32</w:t>
                  </w:r>
                </w:p>
              </w:tc>
              <w:tc>
                <w:tcPr>
                  <w:tcW w:w="734" w:type="dxa"/>
                  <w:tcBorders>
                    <w:top w:val="nil"/>
                    <w:left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105</w:t>
                  </w:r>
                </w:p>
              </w:tc>
            </w:tr>
            <w:tr w:rsidR="00D758D9" w:rsidRPr="00B00AEF" w:rsidTr="00177CF9">
              <w:trPr>
                <w:trHeight w:val="20"/>
                <w:jc w:val="center"/>
              </w:trPr>
              <w:tc>
                <w:tcPr>
                  <w:tcW w:w="2154" w:type="dxa"/>
                  <w:tcBorders>
                    <w:top w:val="nil"/>
                    <w:left w:val="nil"/>
                    <w:bottom w:val="single" w:sz="4" w:space="0" w:color="auto"/>
                    <w:right w:val="nil"/>
                  </w:tcBorders>
                  <w:shd w:val="clear" w:color="auto" w:fill="auto"/>
                  <w:vAlign w:val="center"/>
                  <w:hideMark/>
                </w:tcPr>
                <w:p w:rsidR="00D758D9" w:rsidRPr="00B00AEF" w:rsidRDefault="00D758D9" w:rsidP="009774F8">
                  <w:pPr>
                    <w:jc w:val="left"/>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Zonas No Delimitadas</w:t>
                  </w:r>
                </w:p>
              </w:tc>
              <w:tc>
                <w:tcPr>
                  <w:tcW w:w="737" w:type="dxa"/>
                  <w:tcBorders>
                    <w:top w:val="nil"/>
                    <w:left w:val="nil"/>
                    <w:bottom w:val="single" w:sz="4" w:space="0" w:color="auto"/>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29.224</w:t>
                  </w:r>
                </w:p>
              </w:tc>
              <w:tc>
                <w:tcPr>
                  <w:tcW w:w="1077" w:type="dxa"/>
                  <w:tcBorders>
                    <w:top w:val="nil"/>
                    <w:left w:val="nil"/>
                    <w:bottom w:val="single" w:sz="4" w:space="0" w:color="auto"/>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0.143</w:t>
                  </w:r>
                </w:p>
              </w:tc>
              <w:tc>
                <w:tcPr>
                  <w:tcW w:w="815" w:type="dxa"/>
                  <w:tcBorders>
                    <w:top w:val="nil"/>
                    <w:left w:val="nil"/>
                    <w:bottom w:val="single" w:sz="4" w:space="0" w:color="auto"/>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26</w:t>
                  </w:r>
                </w:p>
              </w:tc>
              <w:tc>
                <w:tcPr>
                  <w:tcW w:w="734" w:type="dxa"/>
                  <w:tcBorders>
                    <w:top w:val="nil"/>
                    <w:left w:val="nil"/>
                    <w:bottom w:val="single" w:sz="4" w:space="0" w:color="auto"/>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0</w:t>
                  </w:r>
                </w:p>
              </w:tc>
              <w:tc>
                <w:tcPr>
                  <w:tcW w:w="770" w:type="dxa"/>
                  <w:tcBorders>
                    <w:top w:val="nil"/>
                    <w:left w:val="nil"/>
                    <w:bottom w:val="single" w:sz="4" w:space="0" w:color="auto"/>
                    <w:right w:val="nil"/>
                  </w:tcBorders>
                  <w:shd w:val="clear" w:color="auto" w:fill="auto"/>
                  <w:noWrap/>
                  <w:vAlign w:val="center"/>
                  <w:hideMark/>
                </w:tcPr>
                <w:p w:rsidR="00D758D9" w:rsidRPr="00B00AEF" w:rsidRDefault="00D758D9" w:rsidP="003F1262">
                  <w:pPr>
                    <w:rPr>
                      <w:rFonts w:ascii="Arial" w:eastAsia="Times New Roman" w:hAnsi="Arial" w:cs="Arial"/>
                      <w:color w:val="000000"/>
                      <w:sz w:val="16"/>
                      <w:szCs w:val="16"/>
                      <w:lang w:eastAsia="es-EC"/>
                    </w:rPr>
                  </w:pPr>
                  <w:r w:rsidRPr="00B00AEF">
                    <w:rPr>
                      <w:rFonts w:ascii="Arial" w:eastAsia="Times New Roman" w:hAnsi="Arial" w:cs="Arial"/>
                      <w:color w:val="000000"/>
                      <w:sz w:val="16"/>
                      <w:szCs w:val="16"/>
                      <w:lang w:eastAsia="es-EC"/>
                    </w:rPr>
                    <w:t>106</w:t>
                  </w:r>
                </w:p>
              </w:tc>
            </w:tr>
          </w:tbl>
          <w:p w:rsidR="00A722F8" w:rsidRPr="00840530" w:rsidRDefault="00A722F8" w:rsidP="003F1262">
            <w:pPr>
              <w:jc w:val="left"/>
              <w:rPr>
                <w:rFonts w:ascii="Arial" w:hAnsi="Arial" w:cs="Arial"/>
                <w:sz w:val="24"/>
                <w:szCs w:val="24"/>
              </w:rPr>
            </w:pPr>
          </w:p>
        </w:tc>
      </w:tr>
    </w:tbl>
    <w:p w:rsidR="00A722F8" w:rsidRPr="00D758D9" w:rsidRDefault="00A722F8" w:rsidP="00D758D9">
      <w:pPr>
        <w:pStyle w:val="Prrafodelista"/>
        <w:spacing w:line="276" w:lineRule="auto"/>
        <w:ind w:left="851"/>
        <w:jc w:val="both"/>
        <w:rPr>
          <w:rFonts w:ascii="Arial" w:hAnsi="Arial" w:cs="Arial"/>
          <w:sz w:val="17"/>
          <w:szCs w:val="17"/>
        </w:rPr>
      </w:pPr>
    </w:p>
    <w:p w:rsidR="00A722F8" w:rsidRPr="00D758D9" w:rsidRDefault="00A722F8" w:rsidP="00D758D9">
      <w:pPr>
        <w:pStyle w:val="Prrafodelista"/>
        <w:spacing w:line="276" w:lineRule="auto"/>
        <w:ind w:left="851"/>
        <w:jc w:val="both"/>
        <w:rPr>
          <w:rFonts w:ascii="Arial" w:hAnsi="Arial" w:cs="Arial"/>
          <w:sz w:val="17"/>
          <w:szCs w:val="17"/>
        </w:rPr>
      </w:pPr>
      <w:r w:rsidRPr="00D758D9">
        <w:rPr>
          <w:rFonts w:ascii="Arial" w:hAnsi="Arial" w:cs="Arial"/>
          <w:b/>
          <w:i/>
          <w:sz w:val="17"/>
          <w:szCs w:val="17"/>
        </w:rPr>
        <w:t>Fuente:</w:t>
      </w:r>
      <w:r w:rsidRPr="00D758D9">
        <w:rPr>
          <w:rFonts w:ascii="Arial" w:hAnsi="Arial" w:cs="Arial"/>
          <w:sz w:val="17"/>
          <w:szCs w:val="17"/>
        </w:rPr>
        <w:t xml:space="preserve"> </w:t>
      </w:r>
      <w:r w:rsidRPr="00D758D9">
        <w:rPr>
          <w:rFonts w:ascii="Arial" w:hAnsi="Arial" w:cs="Arial"/>
          <w:b/>
          <w:sz w:val="17"/>
          <w:szCs w:val="17"/>
        </w:rPr>
        <w:t xml:space="preserve">INEC </w:t>
      </w:r>
      <w:r w:rsidRPr="00D758D9">
        <w:rPr>
          <w:rFonts w:ascii="Arial" w:hAnsi="Arial" w:cs="Arial"/>
          <w:sz w:val="17"/>
          <w:szCs w:val="17"/>
        </w:rPr>
        <w:t>(2010), Base de Datos del VII Censo de Población y VI de Vivienda.</w:t>
      </w:r>
    </w:p>
    <w:p w:rsidR="00A722F8" w:rsidRPr="00D758D9" w:rsidRDefault="00A722F8" w:rsidP="00D758D9">
      <w:pPr>
        <w:pStyle w:val="Prrafodelista"/>
        <w:spacing w:line="276" w:lineRule="auto"/>
        <w:ind w:left="851"/>
        <w:jc w:val="both"/>
        <w:rPr>
          <w:rFonts w:ascii="Arial" w:hAnsi="Arial" w:cs="Arial"/>
          <w:sz w:val="17"/>
          <w:szCs w:val="17"/>
        </w:rPr>
      </w:pPr>
      <w:r w:rsidRPr="00D758D9">
        <w:rPr>
          <w:rFonts w:ascii="Arial" w:hAnsi="Arial" w:cs="Arial"/>
          <w:b/>
          <w:i/>
          <w:sz w:val="17"/>
          <w:szCs w:val="17"/>
        </w:rPr>
        <w:t>Elaborado por:</w:t>
      </w:r>
      <w:r w:rsidRPr="00D758D9">
        <w:rPr>
          <w:rFonts w:ascii="Arial" w:hAnsi="Arial" w:cs="Arial"/>
          <w:sz w:val="17"/>
          <w:szCs w:val="17"/>
        </w:rPr>
        <w:t xml:space="preserve"> Katherine Loor Valeriano</w:t>
      </w:r>
    </w:p>
    <w:p w:rsidR="00177CF9" w:rsidRDefault="00A722F8" w:rsidP="0041640C">
      <w:pPr>
        <w:pStyle w:val="TesisTitulo10"/>
        <w:numPr>
          <w:ilvl w:val="1"/>
          <w:numId w:val="9"/>
        </w:numPr>
        <w:ind w:left="993" w:hanging="709"/>
      </w:pPr>
      <w:bookmarkStart w:id="274" w:name="_Toc341040611"/>
      <w:bookmarkStart w:id="275" w:name="_Toc339212687"/>
      <w:r w:rsidRPr="00F533E7">
        <w:lastRenderedPageBreak/>
        <w:t xml:space="preserve">Distribución de Edad de los </w:t>
      </w:r>
      <w:r>
        <w:t>Emigrantes</w:t>
      </w:r>
      <w:r w:rsidRPr="00F533E7">
        <w:t xml:space="preserve"> por provincia</w:t>
      </w:r>
      <w:bookmarkEnd w:id="274"/>
      <w:r w:rsidRPr="00F533E7">
        <w:t xml:space="preserve"> </w:t>
      </w:r>
    </w:p>
    <w:p w:rsidR="00A722F8" w:rsidRPr="00F533E7" w:rsidRDefault="00A722F8" w:rsidP="00177CF9">
      <w:pPr>
        <w:pStyle w:val="TesisTitulo10"/>
        <w:numPr>
          <w:ilvl w:val="0"/>
          <w:numId w:val="0"/>
        </w:numPr>
        <w:ind w:left="851"/>
      </w:pPr>
      <w:bookmarkStart w:id="276" w:name="_Toc341040612"/>
      <w:r w:rsidRPr="00F533E7">
        <w:t xml:space="preserve">de </w:t>
      </w:r>
      <w:r>
        <w:t>nacimiento</w:t>
      </w:r>
      <w:bookmarkEnd w:id="275"/>
      <w:bookmarkEnd w:id="276"/>
    </w:p>
    <w:p w:rsidR="00A722F8" w:rsidRPr="00D55EAB" w:rsidRDefault="00A722F8" w:rsidP="00177CF9">
      <w:pPr>
        <w:pStyle w:val="Prrafodelista"/>
        <w:spacing w:line="480" w:lineRule="auto"/>
        <w:ind w:left="851"/>
        <w:jc w:val="both"/>
        <w:rPr>
          <w:rFonts w:ascii="Arial" w:hAnsi="Arial" w:cs="Arial"/>
          <w:i/>
        </w:rPr>
      </w:pPr>
      <w:r>
        <w:rPr>
          <w:rFonts w:ascii="Arial" w:hAnsi="Arial" w:cs="Arial"/>
        </w:rPr>
        <w:t xml:space="preserve">En lo que respecta a la distribución de edad de los emigrantes por provincia de nacimiento, tenemos que la mayor ponderación de los emigrantes de cada una de las provincias tienen edades comprendidas entre los 15 y 65 años, es decir están en edad económicamente activa; aunque en provincias como Sucumbíos el 38% de los emigrantes son menores de 15 años, alrededor del  62% tienen entre 15 y 65 años; y, el 1% son adultos mayores. </w:t>
      </w:r>
      <w:r w:rsidR="00F91C02">
        <w:rPr>
          <w:rFonts w:ascii="Arial" w:hAnsi="Arial" w:cs="Arial"/>
        </w:rPr>
        <w:t>De</w:t>
      </w:r>
      <w:r>
        <w:rPr>
          <w:rFonts w:ascii="Arial" w:hAnsi="Arial" w:cs="Arial"/>
        </w:rPr>
        <w:t xml:space="preserve"> las personas que han emigrado desde Guayas, el 26% son menores de 15 años, el 69% están en edades económicamente activa y el 5% son adultos mayores; y, para el caso de Pichincha se tiene que el 34% de los emigrantes son menores de 15 años, el 60% tienen entre 15 y 65 años; y, el 6% del total de emigrantes lo constituyen los adultos mayores. </w:t>
      </w:r>
      <w:r w:rsidRPr="002F5639">
        <w:rPr>
          <w:rFonts w:ascii="Arial" w:hAnsi="Arial" w:cs="Arial"/>
          <w:i/>
        </w:rPr>
        <w:t>V</w:t>
      </w:r>
      <w:r>
        <w:rPr>
          <w:rFonts w:ascii="Arial" w:hAnsi="Arial" w:cs="Arial"/>
          <w:i/>
        </w:rPr>
        <w:t>éase Figura 2.10.</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177CF9">
        <w:trPr>
          <w:trHeight w:val="4096"/>
          <w:jc w:val="right"/>
        </w:trPr>
        <w:tc>
          <w:tcPr>
            <w:tcW w:w="7497" w:type="dxa"/>
          </w:tcPr>
          <w:p w:rsidR="00A722F8" w:rsidRDefault="00A722F8" w:rsidP="003F1262">
            <w:pPr>
              <w:rPr>
                <w:rFonts w:ascii="Arial" w:hAnsi="Arial" w:cs="Arial"/>
                <w:b/>
                <w:sz w:val="16"/>
                <w:szCs w:val="16"/>
              </w:rPr>
            </w:pPr>
          </w:p>
          <w:p w:rsidR="00D53528" w:rsidRPr="00D53528" w:rsidRDefault="00D53528" w:rsidP="00D53528">
            <w:pPr>
              <w:pStyle w:val="Epgrafe"/>
              <w:rPr>
                <w:rFonts w:ascii="Arial" w:hAnsi="Arial" w:cs="Arial"/>
                <w:bCs w:val="0"/>
                <w:color w:val="auto"/>
                <w:sz w:val="16"/>
                <w:szCs w:val="16"/>
              </w:rPr>
            </w:pPr>
            <w:bookmarkStart w:id="277" w:name="_Toc341043000"/>
            <w:r>
              <w:rPr>
                <w:rFonts w:ascii="Arial" w:hAnsi="Arial" w:cs="Arial"/>
                <w:bCs w:val="0"/>
                <w:color w:val="auto"/>
                <w:sz w:val="16"/>
                <w:szCs w:val="16"/>
              </w:rPr>
              <w:t>Figura 2.</w:t>
            </w:r>
            <w:r w:rsidR="00990535" w:rsidRPr="00D53528">
              <w:rPr>
                <w:rFonts w:ascii="Arial" w:hAnsi="Arial" w:cs="Arial"/>
                <w:bCs w:val="0"/>
                <w:color w:val="auto"/>
                <w:sz w:val="16"/>
                <w:szCs w:val="16"/>
              </w:rPr>
              <w:fldChar w:fldCharType="begin"/>
            </w:r>
            <w:r w:rsidRPr="00D53528">
              <w:rPr>
                <w:rFonts w:ascii="Arial" w:hAnsi="Arial" w:cs="Arial"/>
                <w:bCs w:val="0"/>
                <w:color w:val="auto"/>
                <w:sz w:val="16"/>
                <w:szCs w:val="16"/>
              </w:rPr>
              <w:instrText xml:space="preserve"> SEQ Figura_2. \* ARABIC </w:instrText>
            </w:r>
            <w:r w:rsidR="00990535" w:rsidRPr="00D53528">
              <w:rPr>
                <w:rFonts w:ascii="Arial" w:hAnsi="Arial" w:cs="Arial"/>
                <w:bCs w:val="0"/>
                <w:color w:val="auto"/>
                <w:sz w:val="16"/>
                <w:szCs w:val="16"/>
              </w:rPr>
              <w:fldChar w:fldCharType="separate"/>
            </w:r>
            <w:r w:rsidR="00A242E0">
              <w:rPr>
                <w:rFonts w:ascii="Arial" w:hAnsi="Arial" w:cs="Arial"/>
                <w:bCs w:val="0"/>
                <w:noProof/>
                <w:color w:val="auto"/>
                <w:sz w:val="16"/>
                <w:szCs w:val="16"/>
              </w:rPr>
              <w:t>10</w:t>
            </w:r>
            <w:bookmarkEnd w:id="277"/>
            <w:r w:rsidR="00990535" w:rsidRPr="00D53528">
              <w:rPr>
                <w:rFonts w:ascii="Arial" w:hAnsi="Arial" w:cs="Arial"/>
                <w:bCs w:val="0"/>
                <w:color w:val="auto"/>
                <w:sz w:val="16"/>
                <w:szCs w:val="16"/>
              </w:rPr>
              <w:fldChar w:fldCharType="end"/>
            </w:r>
          </w:p>
          <w:p w:rsidR="00A722F8" w:rsidRPr="00FD089D" w:rsidRDefault="00BE5EE1" w:rsidP="003F1262">
            <w:pPr>
              <w:rPr>
                <w:rFonts w:ascii="Arial" w:hAnsi="Arial" w:cs="Arial"/>
                <w:i/>
                <w:sz w:val="16"/>
                <w:szCs w:val="16"/>
              </w:rPr>
            </w:pPr>
            <w:r>
              <w:rPr>
                <w:rFonts w:ascii="Arial" w:hAnsi="Arial" w:cs="Arial"/>
                <w:b/>
                <w:i/>
                <w:sz w:val="16"/>
                <w:szCs w:val="16"/>
              </w:rPr>
              <w:t xml:space="preserve">Ecuador 2010: </w:t>
            </w:r>
            <w:r w:rsidR="00A722F8">
              <w:rPr>
                <w:rFonts w:ascii="Arial" w:hAnsi="Arial" w:cs="Arial"/>
                <w:i/>
                <w:sz w:val="16"/>
                <w:szCs w:val="16"/>
              </w:rPr>
              <w:t>Distribución de Edad de los Emigrantes por Provincia de nacimiento</w:t>
            </w:r>
          </w:p>
          <w:p w:rsidR="00A722F8" w:rsidRDefault="00177CF9" w:rsidP="003F1262">
            <w:pPr>
              <w:rPr>
                <w:noProof/>
                <w:lang w:eastAsia="es-EC"/>
              </w:rPr>
            </w:pPr>
            <w:r>
              <w:rPr>
                <w:noProof/>
                <w:lang w:eastAsia="es-EC"/>
              </w:rPr>
              <w:drawing>
                <wp:inline distT="0" distB="0" distL="0" distR="0">
                  <wp:extent cx="4514850" cy="2268000"/>
                  <wp:effectExtent l="0" t="0" r="0" b="0"/>
                  <wp:docPr id="191" name="Gráfico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722F8" w:rsidRPr="002D3E25" w:rsidRDefault="00A722F8" w:rsidP="003F1262">
            <w:pPr>
              <w:rPr>
                <w:noProof/>
                <w:sz w:val="6"/>
                <w:szCs w:val="6"/>
                <w:lang w:eastAsia="es-EC"/>
              </w:rPr>
            </w:pPr>
          </w:p>
        </w:tc>
      </w:tr>
    </w:tbl>
    <w:p w:rsidR="00A722F8" w:rsidRPr="00177CF9" w:rsidRDefault="00A722F8" w:rsidP="00177CF9">
      <w:pPr>
        <w:pStyle w:val="Prrafodelista"/>
        <w:spacing w:line="276" w:lineRule="auto"/>
        <w:ind w:left="851"/>
        <w:jc w:val="both"/>
        <w:rPr>
          <w:rFonts w:ascii="Arial" w:hAnsi="Arial" w:cs="Arial"/>
          <w:sz w:val="17"/>
          <w:szCs w:val="17"/>
        </w:rPr>
      </w:pPr>
    </w:p>
    <w:p w:rsidR="00A722F8" w:rsidRPr="00177CF9" w:rsidRDefault="00A722F8" w:rsidP="00177CF9">
      <w:pPr>
        <w:pStyle w:val="Prrafodelista"/>
        <w:spacing w:line="276" w:lineRule="auto"/>
        <w:ind w:left="851"/>
        <w:jc w:val="both"/>
        <w:rPr>
          <w:rFonts w:ascii="Arial" w:hAnsi="Arial" w:cs="Arial"/>
          <w:sz w:val="17"/>
          <w:szCs w:val="17"/>
        </w:rPr>
      </w:pPr>
      <w:r w:rsidRPr="00177CF9">
        <w:rPr>
          <w:rFonts w:ascii="Arial" w:hAnsi="Arial" w:cs="Arial"/>
          <w:b/>
          <w:i/>
          <w:sz w:val="17"/>
          <w:szCs w:val="17"/>
        </w:rPr>
        <w:t>Fuente:</w:t>
      </w:r>
      <w:r w:rsidRPr="00177CF9">
        <w:rPr>
          <w:rFonts w:ascii="Arial" w:hAnsi="Arial" w:cs="Arial"/>
          <w:sz w:val="17"/>
          <w:szCs w:val="17"/>
        </w:rPr>
        <w:t xml:space="preserve"> </w:t>
      </w:r>
      <w:r w:rsidRPr="00177CF9">
        <w:rPr>
          <w:rFonts w:ascii="Arial" w:hAnsi="Arial" w:cs="Arial"/>
          <w:b/>
          <w:sz w:val="17"/>
          <w:szCs w:val="17"/>
        </w:rPr>
        <w:t xml:space="preserve">INEC </w:t>
      </w:r>
      <w:r w:rsidRPr="00177CF9">
        <w:rPr>
          <w:rFonts w:ascii="Arial" w:hAnsi="Arial" w:cs="Arial"/>
          <w:sz w:val="17"/>
          <w:szCs w:val="17"/>
        </w:rPr>
        <w:t>(2010), Base de Datos del VII Censo de Población y VI de Vivienda.</w:t>
      </w:r>
    </w:p>
    <w:p w:rsidR="00A722F8" w:rsidRPr="00177CF9" w:rsidRDefault="00A722F8" w:rsidP="00177CF9">
      <w:pPr>
        <w:pStyle w:val="Prrafodelista"/>
        <w:spacing w:line="276" w:lineRule="auto"/>
        <w:ind w:left="851"/>
        <w:jc w:val="both"/>
        <w:rPr>
          <w:rFonts w:ascii="Arial" w:hAnsi="Arial" w:cs="Arial"/>
          <w:sz w:val="17"/>
          <w:szCs w:val="17"/>
        </w:rPr>
      </w:pPr>
      <w:r w:rsidRPr="00177CF9">
        <w:rPr>
          <w:rFonts w:ascii="Arial" w:hAnsi="Arial" w:cs="Arial"/>
          <w:b/>
          <w:i/>
          <w:sz w:val="17"/>
          <w:szCs w:val="17"/>
        </w:rPr>
        <w:t>Elaborado por:</w:t>
      </w:r>
      <w:r w:rsidRPr="00177CF9">
        <w:rPr>
          <w:rFonts w:ascii="Arial" w:hAnsi="Arial" w:cs="Arial"/>
          <w:sz w:val="17"/>
          <w:szCs w:val="17"/>
        </w:rPr>
        <w:t xml:space="preserve"> Katherine Loor Valeriano</w:t>
      </w:r>
    </w:p>
    <w:p w:rsidR="00A722F8" w:rsidRPr="00360899" w:rsidRDefault="00A722F8" w:rsidP="00BE5EE1">
      <w:pPr>
        <w:pStyle w:val="Prrafodelista"/>
        <w:spacing w:line="480" w:lineRule="auto"/>
        <w:ind w:left="851"/>
        <w:jc w:val="both"/>
        <w:rPr>
          <w:rFonts w:ascii="Arial" w:hAnsi="Arial" w:cs="Arial"/>
          <w:i/>
        </w:rPr>
      </w:pPr>
      <w:r>
        <w:rPr>
          <w:rFonts w:ascii="Arial" w:hAnsi="Arial" w:cs="Arial"/>
        </w:rPr>
        <w:lastRenderedPageBreak/>
        <w:t xml:space="preserve">En la </w:t>
      </w:r>
      <w:r>
        <w:rPr>
          <w:rFonts w:ascii="Arial" w:hAnsi="Arial" w:cs="Arial"/>
          <w:i/>
        </w:rPr>
        <w:t>Tabla 2.</w:t>
      </w:r>
      <w:r w:rsidR="00BE5EE1">
        <w:rPr>
          <w:rFonts w:ascii="Arial" w:hAnsi="Arial" w:cs="Arial"/>
          <w:i/>
        </w:rPr>
        <w:t>7</w:t>
      </w:r>
      <w:r>
        <w:rPr>
          <w:rFonts w:ascii="Arial" w:hAnsi="Arial" w:cs="Arial"/>
        </w:rPr>
        <w:t xml:space="preserve">, se presentan las estadísticas descriptivas de los emigrantes de toda la vida por provincia de nacimiento; en donde tenemos que de los emigrantes de toda la vida de Sucumbíos la edad promedio es 19.350 ± 0.080 años, siendo estos la población de menor edad promedio, además el 50% de éstos son menores de 18 años, este dato lo podemos corroborar con la figura anterior; y, la provincia cuya población inmigrante presenta la mayor edad promedio respecto a los emigrantes de las demás provincias es Cañar, ya que la edad promedio de su población emigrante de toda la vida es 44.167 ± 0.092 años; y, el 50% de ellos son menores de 45 años. </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A722F8" w:rsidRPr="00840530" w:rsidTr="00BE5EE1">
        <w:trPr>
          <w:trHeight w:val="6293"/>
          <w:jc w:val="right"/>
        </w:trPr>
        <w:tc>
          <w:tcPr>
            <w:tcW w:w="7535" w:type="dxa"/>
          </w:tcPr>
          <w:p w:rsidR="00A722F8" w:rsidRPr="00840530" w:rsidRDefault="00A722F8" w:rsidP="003F1262">
            <w:pPr>
              <w:rPr>
                <w:rFonts w:ascii="Arial" w:hAnsi="Arial" w:cs="Arial"/>
                <w:sz w:val="16"/>
                <w:szCs w:val="16"/>
              </w:rPr>
            </w:pPr>
          </w:p>
          <w:p w:rsidR="00D53528" w:rsidRPr="00D53528" w:rsidRDefault="00D53528" w:rsidP="00D53528">
            <w:pPr>
              <w:pStyle w:val="Epgrafe"/>
              <w:rPr>
                <w:rFonts w:ascii="Arial" w:hAnsi="Arial" w:cs="Arial"/>
                <w:bCs w:val="0"/>
                <w:color w:val="auto"/>
                <w:sz w:val="16"/>
                <w:szCs w:val="16"/>
              </w:rPr>
            </w:pPr>
            <w:bookmarkStart w:id="278" w:name="_Toc341041582"/>
            <w:r w:rsidRPr="00D53528">
              <w:rPr>
                <w:rFonts w:ascii="Arial" w:hAnsi="Arial" w:cs="Arial"/>
                <w:bCs w:val="0"/>
                <w:color w:val="auto"/>
                <w:sz w:val="16"/>
                <w:szCs w:val="16"/>
              </w:rPr>
              <w:t>Tabla 2.</w:t>
            </w:r>
            <w:r w:rsidR="00990535" w:rsidRPr="00D53528">
              <w:rPr>
                <w:rFonts w:ascii="Arial" w:hAnsi="Arial" w:cs="Arial"/>
                <w:bCs w:val="0"/>
                <w:color w:val="auto"/>
                <w:sz w:val="16"/>
                <w:szCs w:val="16"/>
              </w:rPr>
              <w:fldChar w:fldCharType="begin"/>
            </w:r>
            <w:r w:rsidRPr="00D53528">
              <w:rPr>
                <w:rFonts w:ascii="Arial" w:hAnsi="Arial" w:cs="Arial"/>
                <w:bCs w:val="0"/>
                <w:color w:val="auto"/>
                <w:sz w:val="16"/>
                <w:szCs w:val="16"/>
              </w:rPr>
              <w:instrText xml:space="preserve"> SEQ Tabla2. \* ARABIC </w:instrText>
            </w:r>
            <w:r w:rsidR="00990535" w:rsidRPr="00D53528">
              <w:rPr>
                <w:rFonts w:ascii="Arial" w:hAnsi="Arial" w:cs="Arial"/>
                <w:bCs w:val="0"/>
                <w:color w:val="auto"/>
                <w:sz w:val="16"/>
                <w:szCs w:val="16"/>
              </w:rPr>
              <w:fldChar w:fldCharType="separate"/>
            </w:r>
            <w:r w:rsidR="00A242E0">
              <w:rPr>
                <w:rFonts w:ascii="Arial" w:hAnsi="Arial" w:cs="Arial"/>
                <w:bCs w:val="0"/>
                <w:noProof/>
                <w:color w:val="auto"/>
                <w:sz w:val="16"/>
                <w:szCs w:val="16"/>
              </w:rPr>
              <w:t>7</w:t>
            </w:r>
            <w:bookmarkEnd w:id="278"/>
            <w:r w:rsidR="00990535" w:rsidRPr="00D53528">
              <w:rPr>
                <w:rFonts w:ascii="Arial" w:hAnsi="Arial" w:cs="Arial"/>
                <w:bCs w:val="0"/>
                <w:color w:val="auto"/>
                <w:sz w:val="16"/>
                <w:szCs w:val="16"/>
              </w:rPr>
              <w:fldChar w:fldCharType="end"/>
            </w:r>
          </w:p>
          <w:p w:rsidR="00A722F8" w:rsidRPr="0031171A" w:rsidRDefault="00BE5EE1" w:rsidP="003F1262">
            <w:pPr>
              <w:rPr>
                <w:rFonts w:ascii="Arial" w:hAnsi="Arial" w:cs="Arial"/>
                <w:i/>
                <w:sz w:val="16"/>
                <w:szCs w:val="16"/>
              </w:rPr>
            </w:pPr>
            <w:r>
              <w:rPr>
                <w:rFonts w:ascii="Arial" w:hAnsi="Arial" w:cs="Arial"/>
                <w:b/>
                <w:i/>
                <w:sz w:val="16"/>
                <w:szCs w:val="16"/>
              </w:rPr>
              <w:t xml:space="preserve">Ecuador 2010: </w:t>
            </w:r>
            <w:r w:rsidR="00A722F8">
              <w:rPr>
                <w:rFonts w:ascii="Arial" w:hAnsi="Arial" w:cs="Arial"/>
                <w:i/>
                <w:sz w:val="16"/>
                <w:szCs w:val="16"/>
              </w:rPr>
              <w:t xml:space="preserve">Estadísticas Descriptivas </w:t>
            </w:r>
            <w:r w:rsidR="00807CDA">
              <w:rPr>
                <w:rFonts w:ascii="Arial" w:hAnsi="Arial" w:cs="Arial"/>
                <w:i/>
                <w:sz w:val="16"/>
                <w:szCs w:val="16"/>
              </w:rPr>
              <w:t xml:space="preserve">de la Edad </w:t>
            </w:r>
            <w:r w:rsidR="00A722F8">
              <w:rPr>
                <w:rFonts w:ascii="Arial" w:hAnsi="Arial" w:cs="Arial"/>
                <w:i/>
                <w:sz w:val="16"/>
                <w:szCs w:val="16"/>
              </w:rPr>
              <w:t>de los Emigrantes por Provincia de nacimiento</w:t>
            </w:r>
          </w:p>
          <w:p w:rsidR="00A722F8" w:rsidRDefault="00A722F8" w:rsidP="003F1262">
            <w:pPr>
              <w:rPr>
                <w:rFonts w:ascii="Arial" w:hAnsi="Arial" w:cs="Arial"/>
                <w:b/>
                <w:sz w:val="16"/>
                <w:szCs w:val="16"/>
              </w:rPr>
            </w:pPr>
          </w:p>
          <w:tbl>
            <w:tblPr>
              <w:tblW w:w="5681" w:type="dxa"/>
              <w:jc w:val="center"/>
              <w:tblCellMar>
                <w:left w:w="70" w:type="dxa"/>
                <w:right w:w="70" w:type="dxa"/>
              </w:tblCellMar>
              <w:tblLook w:val="04A0" w:firstRow="1" w:lastRow="0" w:firstColumn="1" w:lastColumn="0" w:noHBand="0" w:noVBand="1"/>
            </w:tblPr>
            <w:tblGrid>
              <w:gridCol w:w="1548"/>
              <w:gridCol w:w="737"/>
              <w:gridCol w:w="1077"/>
              <w:gridCol w:w="815"/>
              <w:gridCol w:w="734"/>
              <w:gridCol w:w="770"/>
            </w:tblGrid>
            <w:tr w:rsidR="00BE5EE1" w:rsidRPr="00B00AEF" w:rsidTr="00BE5EE1">
              <w:trPr>
                <w:trHeight w:val="20"/>
                <w:jc w:val="center"/>
              </w:trPr>
              <w:tc>
                <w:tcPr>
                  <w:tcW w:w="1548" w:type="dxa"/>
                  <w:tcBorders>
                    <w:top w:val="single" w:sz="4" w:space="0" w:color="auto"/>
                    <w:left w:val="nil"/>
                    <w:bottom w:val="single" w:sz="4" w:space="0" w:color="auto"/>
                    <w:right w:val="nil"/>
                  </w:tcBorders>
                  <w:shd w:val="clear" w:color="auto" w:fill="auto"/>
                  <w:vAlign w:val="center"/>
                  <w:hideMark/>
                </w:tcPr>
                <w:p w:rsidR="00BE5EE1" w:rsidRPr="00B00AEF" w:rsidRDefault="00BE5EE1" w:rsidP="003F1262">
                  <w:pPr>
                    <w:rPr>
                      <w:rFonts w:ascii="Arial" w:eastAsia="Times New Roman" w:hAnsi="Arial" w:cs="Arial"/>
                      <w:b/>
                      <w:bCs/>
                      <w:color w:val="000000"/>
                      <w:sz w:val="16"/>
                      <w:szCs w:val="16"/>
                      <w:lang w:eastAsia="es-EC"/>
                    </w:rPr>
                  </w:pPr>
                  <w:r w:rsidRPr="00B00AEF">
                    <w:rPr>
                      <w:rFonts w:ascii="Arial" w:eastAsia="Times New Roman" w:hAnsi="Arial" w:cs="Arial"/>
                      <w:b/>
                      <w:bCs/>
                      <w:color w:val="000000"/>
                      <w:sz w:val="16"/>
                      <w:szCs w:val="16"/>
                      <w:lang w:eastAsia="es-EC"/>
                    </w:rPr>
                    <w:t xml:space="preserve">Provincia de </w:t>
                  </w:r>
                  <w:r>
                    <w:rPr>
                      <w:rFonts w:ascii="Arial" w:eastAsia="Times New Roman" w:hAnsi="Arial" w:cs="Arial"/>
                      <w:b/>
                      <w:bCs/>
                      <w:color w:val="000000"/>
                      <w:sz w:val="16"/>
                      <w:szCs w:val="16"/>
                      <w:lang w:eastAsia="es-EC"/>
                    </w:rPr>
                    <w:t>nacimiento</w:t>
                  </w:r>
                </w:p>
              </w:tc>
              <w:tc>
                <w:tcPr>
                  <w:tcW w:w="737" w:type="dxa"/>
                  <w:tcBorders>
                    <w:top w:val="single" w:sz="4" w:space="0" w:color="auto"/>
                    <w:left w:val="nil"/>
                    <w:bottom w:val="single" w:sz="4" w:space="0" w:color="auto"/>
                    <w:right w:val="nil"/>
                  </w:tcBorders>
                  <w:shd w:val="clear" w:color="auto" w:fill="auto"/>
                  <w:vAlign w:val="center"/>
                  <w:hideMark/>
                </w:tcPr>
                <w:p w:rsidR="00BE5EE1" w:rsidRPr="00B00AEF" w:rsidRDefault="00BE5EE1" w:rsidP="003F1262">
                  <w:pPr>
                    <w:rPr>
                      <w:rFonts w:ascii="Arial" w:eastAsia="Times New Roman" w:hAnsi="Arial" w:cs="Arial"/>
                      <w:b/>
                      <w:bCs/>
                      <w:color w:val="000000"/>
                      <w:sz w:val="16"/>
                      <w:szCs w:val="16"/>
                      <w:lang w:eastAsia="es-EC"/>
                    </w:rPr>
                  </w:pPr>
                  <w:r w:rsidRPr="00B00AEF">
                    <w:rPr>
                      <w:rFonts w:ascii="Arial" w:eastAsia="Times New Roman" w:hAnsi="Arial" w:cs="Arial"/>
                      <w:b/>
                      <w:bCs/>
                      <w:color w:val="000000"/>
                      <w:sz w:val="16"/>
                      <w:szCs w:val="16"/>
                      <w:lang w:eastAsia="es-EC"/>
                    </w:rPr>
                    <w:t>Media</w:t>
                  </w:r>
                </w:p>
              </w:tc>
              <w:tc>
                <w:tcPr>
                  <w:tcW w:w="1077" w:type="dxa"/>
                  <w:tcBorders>
                    <w:top w:val="single" w:sz="4" w:space="0" w:color="auto"/>
                    <w:left w:val="nil"/>
                    <w:bottom w:val="single" w:sz="4" w:space="0" w:color="auto"/>
                    <w:right w:val="nil"/>
                  </w:tcBorders>
                  <w:shd w:val="clear" w:color="auto" w:fill="auto"/>
                  <w:vAlign w:val="center"/>
                  <w:hideMark/>
                </w:tcPr>
                <w:p w:rsidR="00BE5EE1" w:rsidRPr="00B00AEF" w:rsidRDefault="00BE5EE1" w:rsidP="003F1262">
                  <w:pPr>
                    <w:rPr>
                      <w:rFonts w:ascii="Arial" w:eastAsia="Times New Roman" w:hAnsi="Arial" w:cs="Arial"/>
                      <w:b/>
                      <w:bCs/>
                      <w:color w:val="000000"/>
                      <w:sz w:val="16"/>
                      <w:szCs w:val="16"/>
                      <w:lang w:eastAsia="es-EC"/>
                    </w:rPr>
                  </w:pPr>
                  <w:r w:rsidRPr="00B00AEF">
                    <w:rPr>
                      <w:rFonts w:ascii="Arial" w:eastAsia="Times New Roman" w:hAnsi="Arial" w:cs="Arial"/>
                      <w:b/>
                      <w:bCs/>
                      <w:color w:val="000000"/>
                      <w:sz w:val="16"/>
                      <w:szCs w:val="16"/>
                      <w:lang w:eastAsia="es-EC"/>
                    </w:rPr>
                    <w:t>Error Estándar de la Media</w:t>
                  </w:r>
                </w:p>
              </w:tc>
              <w:tc>
                <w:tcPr>
                  <w:tcW w:w="815" w:type="dxa"/>
                  <w:tcBorders>
                    <w:top w:val="single" w:sz="4" w:space="0" w:color="auto"/>
                    <w:left w:val="nil"/>
                    <w:bottom w:val="single" w:sz="4" w:space="0" w:color="auto"/>
                    <w:right w:val="nil"/>
                  </w:tcBorders>
                  <w:shd w:val="clear" w:color="auto" w:fill="auto"/>
                  <w:vAlign w:val="center"/>
                  <w:hideMark/>
                </w:tcPr>
                <w:p w:rsidR="00BE5EE1" w:rsidRPr="00B00AEF" w:rsidRDefault="00BE5EE1" w:rsidP="003F1262">
                  <w:pPr>
                    <w:rPr>
                      <w:rFonts w:ascii="Arial" w:eastAsia="Times New Roman" w:hAnsi="Arial" w:cs="Arial"/>
                      <w:b/>
                      <w:bCs/>
                      <w:color w:val="000000"/>
                      <w:sz w:val="16"/>
                      <w:szCs w:val="16"/>
                      <w:lang w:eastAsia="es-EC"/>
                    </w:rPr>
                  </w:pPr>
                  <w:r w:rsidRPr="00B00AEF">
                    <w:rPr>
                      <w:rFonts w:ascii="Arial" w:eastAsia="Times New Roman" w:hAnsi="Arial" w:cs="Arial"/>
                      <w:b/>
                      <w:bCs/>
                      <w:color w:val="000000"/>
                      <w:sz w:val="16"/>
                      <w:szCs w:val="16"/>
                      <w:lang w:eastAsia="es-EC"/>
                    </w:rPr>
                    <w:t>Mediana</w:t>
                  </w:r>
                </w:p>
              </w:tc>
              <w:tc>
                <w:tcPr>
                  <w:tcW w:w="734" w:type="dxa"/>
                  <w:tcBorders>
                    <w:top w:val="single" w:sz="4" w:space="0" w:color="auto"/>
                    <w:left w:val="nil"/>
                    <w:bottom w:val="single" w:sz="4" w:space="0" w:color="auto"/>
                    <w:right w:val="nil"/>
                  </w:tcBorders>
                  <w:shd w:val="clear" w:color="auto" w:fill="auto"/>
                  <w:vAlign w:val="center"/>
                  <w:hideMark/>
                </w:tcPr>
                <w:p w:rsidR="00BE5EE1" w:rsidRPr="00B00AEF" w:rsidRDefault="00BE5EE1" w:rsidP="003F1262">
                  <w:pPr>
                    <w:rPr>
                      <w:rFonts w:ascii="Arial" w:eastAsia="Times New Roman" w:hAnsi="Arial" w:cs="Arial"/>
                      <w:b/>
                      <w:bCs/>
                      <w:color w:val="000000"/>
                      <w:sz w:val="16"/>
                      <w:szCs w:val="16"/>
                      <w:lang w:eastAsia="es-EC"/>
                    </w:rPr>
                  </w:pPr>
                  <w:r w:rsidRPr="00B00AEF">
                    <w:rPr>
                      <w:rFonts w:ascii="Arial" w:eastAsia="Times New Roman" w:hAnsi="Arial" w:cs="Arial"/>
                      <w:b/>
                      <w:bCs/>
                      <w:color w:val="000000"/>
                      <w:sz w:val="16"/>
                      <w:szCs w:val="16"/>
                      <w:lang w:eastAsia="es-EC"/>
                    </w:rPr>
                    <w:t>Mínimo</w:t>
                  </w:r>
                </w:p>
              </w:tc>
              <w:tc>
                <w:tcPr>
                  <w:tcW w:w="770" w:type="dxa"/>
                  <w:tcBorders>
                    <w:top w:val="single" w:sz="4" w:space="0" w:color="auto"/>
                    <w:left w:val="nil"/>
                    <w:bottom w:val="single" w:sz="4" w:space="0" w:color="auto"/>
                    <w:right w:val="nil"/>
                  </w:tcBorders>
                  <w:shd w:val="clear" w:color="auto" w:fill="auto"/>
                  <w:vAlign w:val="center"/>
                  <w:hideMark/>
                </w:tcPr>
                <w:p w:rsidR="00BE5EE1" w:rsidRPr="00B00AEF" w:rsidRDefault="00BE5EE1" w:rsidP="003F1262">
                  <w:pPr>
                    <w:rPr>
                      <w:rFonts w:ascii="Arial" w:eastAsia="Times New Roman" w:hAnsi="Arial" w:cs="Arial"/>
                      <w:b/>
                      <w:bCs/>
                      <w:color w:val="000000"/>
                      <w:sz w:val="16"/>
                      <w:szCs w:val="16"/>
                      <w:lang w:eastAsia="es-EC"/>
                    </w:rPr>
                  </w:pPr>
                  <w:r w:rsidRPr="00B00AEF">
                    <w:rPr>
                      <w:rFonts w:ascii="Arial" w:eastAsia="Times New Roman" w:hAnsi="Arial" w:cs="Arial"/>
                      <w:b/>
                      <w:bCs/>
                      <w:color w:val="000000"/>
                      <w:sz w:val="16"/>
                      <w:szCs w:val="16"/>
                      <w:lang w:eastAsia="es-EC"/>
                    </w:rPr>
                    <w:t>Máximo</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Azuay</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43.651</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0.064</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45</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112</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Bolívar</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41.072</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0.051</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40</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117</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Cañar</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44.167</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0.092</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45</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105</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Carchi</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40.702</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0.062</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39</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118</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Cotopaxi</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39.193</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0.051</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38</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113</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Chimborazo</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39.631</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0.046</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37</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113</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El Oro</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31.943</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0.059</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30</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111</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Esmeraldas</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30.203</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0.043</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28</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117</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Guayas</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28.944</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0.036</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27</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115</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Imbabura</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36.789</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0.060</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36</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119</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Loja</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42.054</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0.039</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42</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118</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Los Ríos</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33.632</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0.038</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32</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120</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Manabí</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37.603</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0.023</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36</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114</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Morona Santiago</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28.583</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0.106</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26</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96</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Napo</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30.045</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0.107</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28</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111</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Pastaza</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28.765</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0.145</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27</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96</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Pichincha</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27.202</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0.051</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23</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117</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Tungurahua</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40.940</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0.064</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40</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111</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Zamora Chinchipe</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28.248</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0.109</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26</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100</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Galápagos</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28.338</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0.400</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23</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90</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Sucumbíos</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19.350</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0.080</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18</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108</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Orellana</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20.955</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0.130</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19</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99</w:t>
                  </w:r>
                </w:p>
              </w:tc>
            </w:tr>
            <w:tr w:rsidR="00BE5EE1" w:rsidRPr="00B00AEF" w:rsidTr="00BE5EE1">
              <w:trPr>
                <w:trHeight w:val="20"/>
                <w:jc w:val="center"/>
              </w:trPr>
              <w:tc>
                <w:tcPr>
                  <w:tcW w:w="1548" w:type="dxa"/>
                  <w:tcBorders>
                    <w:top w:val="nil"/>
                    <w:left w:val="nil"/>
                    <w:bottom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 xml:space="preserve">Santo Domingo </w:t>
                  </w:r>
                </w:p>
              </w:tc>
              <w:tc>
                <w:tcPr>
                  <w:tcW w:w="73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22.637</w:t>
                  </w:r>
                </w:p>
              </w:tc>
              <w:tc>
                <w:tcPr>
                  <w:tcW w:w="1077"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0.049</w:t>
                  </w:r>
                </w:p>
              </w:tc>
              <w:tc>
                <w:tcPr>
                  <w:tcW w:w="815"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22</w:t>
                  </w:r>
                </w:p>
              </w:tc>
              <w:tc>
                <w:tcPr>
                  <w:tcW w:w="734"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107</w:t>
                  </w:r>
                </w:p>
              </w:tc>
            </w:tr>
            <w:tr w:rsidR="00BE5EE1" w:rsidRPr="00B00AEF" w:rsidTr="00BE5EE1">
              <w:trPr>
                <w:trHeight w:val="20"/>
                <w:jc w:val="center"/>
              </w:trPr>
              <w:tc>
                <w:tcPr>
                  <w:tcW w:w="1548" w:type="dxa"/>
                  <w:tcBorders>
                    <w:top w:val="nil"/>
                    <w:left w:val="nil"/>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Santa Elena</w:t>
                  </w:r>
                </w:p>
              </w:tc>
              <w:tc>
                <w:tcPr>
                  <w:tcW w:w="737" w:type="dxa"/>
                  <w:tcBorders>
                    <w:top w:val="nil"/>
                    <w:left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37.798</w:t>
                  </w:r>
                </w:p>
              </w:tc>
              <w:tc>
                <w:tcPr>
                  <w:tcW w:w="1077" w:type="dxa"/>
                  <w:tcBorders>
                    <w:top w:val="nil"/>
                    <w:left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0.116</w:t>
                  </w:r>
                </w:p>
              </w:tc>
              <w:tc>
                <w:tcPr>
                  <w:tcW w:w="815" w:type="dxa"/>
                  <w:tcBorders>
                    <w:top w:val="nil"/>
                    <w:left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38</w:t>
                  </w:r>
                </w:p>
              </w:tc>
              <w:tc>
                <w:tcPr>
                  <w:tcW w:w="734" w:type="dxa"/>
                  <w:tcBorders>
                    <w:top w:val="nil"/>
                    <w:left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102</w:t>
                  </w:r>
                </w:p>
              </w:tc>
            </w:tr>
            <w:tr w:rsidR="00BE5EE1" w:rsidRPr="00B00AEF" w:rsidTr="00BE5EE1">
              <w:trPr>
                <w:trHeight w:val="20"/>
                <w:jc w:val="center"/>
              </w:trPr>
              <w:tc>
                <w:tcPr>
                  <w:tcW w:w="1548" w:type="dxa"/>
                  <w:tcBorders>
                    <w:top w:val="nil"/>
                    <w:left w:val="nil"/>
                    <w:bottom w:val="single" w:sz="4" w:space="0" w:color="auto"/>
                    <w:right w:val="nil"/>
                  </w:tcBorders>
                  <w:shd w:val="clear" w:color="auto" w:fill="auto"/>
                </w:tcPr>
                <w:p w:rsidR="00BE5EE1" w:rsidRDefault="00BE5EE1" w:rsidP="00EB054C">
                  <w:pPr>
                    <w:jc w:val="left"/>
                    <w:rPr>
                      <w:rFonts w:ascii="Arial" w:hAnsi="Arial" w:cs="Arial"/>
                      <w:color w:val="000000"/>
                      <w:sz w:val="16"/>
                      <w:szCs w:val="16"/>
                    </w:rPr>
                  </w:pPr>
                  <w:r>
                    <w:rPr>
                      <w:rFonts w:ascii="Arial" w:hAnsi="Arial" w:cs="Arial"/>
                      <w:color w:val="000000"/>
                      <w:sz w:val="16"/>
                      <w:szCs w:val="16"/>
                    </w:rPr>
                    <w:t>Zonas No Delimitadas</w:t>
                  </w:r>
                </w:p>
              </w:tc>
              <w:tc>
                <w:tcPr>
                  <w:tcW w:w="737" w:type="dxa"/>
                  <w:tcBorders>
                    <w:top w:val="nil"/>
                    <w:left w:val="nil"/>
                    <w:bottom w:val="single" w:sz="4" w:space="0" w:color="auto"/>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21.565</w:t>
                  </w:r>
                </w:p>
              </w:tc>
              <w:tc>
                <w:tcPr>
                  <w:tcW w:w="1077" w:type="dxa"/>
                  <w:tcBorders>
                    <w:top w:val="nil"/>
                    <w:left w:val="nil"/>
                    <w:bottom w:val="single" w:sz="4" w:space="0" w:color="auto"/>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1.044</w:t>
                  </w:r>
                </w:p>
              </w:tc>
              <w:tc>
                <w:tcPr>
                  <w:tcW w:w="815" w:type="dxa"/>
                  <w:tcBorders>
                    <w:top w:val="nil"/>
                    <w:left w:val="nil"/>
                    <w:bottom w:val="single" w:sz="4" w:space="0" w:color="auto"/>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19</w:t>
                  </w:r>
                </w:p>
              </w:tc>
              <w:tc>
                <w:tcPr>
                  <w:tcW w:w="734" w:type="dxa"/>
                  <w:tcBorders>
                    <w:top w:val="nil"/>
                    <w:left w:val="nil"/>
                    <w:bottom w:val="single" w:sz="4" w:space="0" w:color="auto"/>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0</w:t>
                  </w:r>
                </w:p>
              </w:tc>
              <w:tc>
                <w:tcPr>
                  <w:tcW w:w="770" w:type="dxa"/>
                  <w:tcBorders>
                    <w:top w:val="nil"/>
                    <w:left w:val="nil"/>
                    <w:bottom w:val="single" w:sz="4" w:space="0" w:color="auto"/>
                    <w:right w:val="nil"/>
                  </w:tcBorders>
                  <w:shd w:val="clear" w:color="auto" w:fill="auto"/>
                  <w:noWrap/>
                  <w:vAlign w:val="center"/>
                </w:tcPr>
                <w:p w:rsidR="00BE5EE1" w:rsidRDefault="00BE5EE1" w:rsidP="003F1262">
                  <w:pPr>
                    <w:rPr>
                      <w:rFonts w:ascii="Arial" w:hAnsi="Arial" w:cs="Arial"/>
                      <w:color w:val="000000"/>
                      <w:sz w:val="16"/>
                      <w:szCs w:val="16"/>
                    </w:rPr>
                  </w:pPr>
                  <w:r>
                    <w:rPr>
                      <w:rFonts w:ascii="Arial" w:hAnsi="Arial" w:cs="Arial"/>
                      <w:color w:val="000000"/>
                      <w:sz w:val="16"/>
                      <w:szCs w:val="16"/>
                    </w:rPr>
                    <w:t>87</w:t>
                  </w:r>
                </w:p>
              </w:tc>
            </w:tr>
          </w:tbl>
          <w:p w:rsidR="00A722F8" w:rsidRPr="00840530" w:rsidRDefault="00A722F8" w:rsidP="003F1262">
            <w:pPr>
              <w:jc w:val="left"/>
              <w:rPr>
                <w:rFonts w:ascii="Arial" w:hAnsi="Arial" w:cs="Arial"/>
                <w:sz w:val="24"/>
                <w:szCs w:val="24"/>
              </w:rPr>
            </w:pPr>
          </w:p>
        </w:tc>
      </w:tr>
    </w:tbl>
    <w:p w:rsidR="00A722F8" w:rsidRPr="00BE5EE1" w:rsidRDefault="00A722F8" w:rsidP="00BE5EE1">
      <w:pPr>
        <w:pStyle w:val="Prrafodelista"/>
        <w:spacing w:line="276" w:lineRule="auto"/>
        <w:ind w:left="851"/>
        <w:jc w:val="both"/>
        <w:rPr>
          <w:rFonts w:ascii="Arial" w:hAnsi="Arial" w:cs="Arial"/>
          <w:sz w:val="17"/>
          <w:szCs w:val="17"/>
        </w:rPr>
      </w:pPr>
    </w:p>
    <w:p w:rsidR="00A722F8" w:rsidRPr="00BE5EE1" w:rsidRDefault="00A722F8" w:rsidP="00BE5EE1">
      <w:pPr>
        <w:pStyle w:val="Prrafodelista"/>
        <w:spacing w:line="276" w:lineRule="auto"/>
        <w:ind w:left="851"/>
        <w:jc w:val="both"/>
        <w:rPr>
          <w:rFonts w:ascii="Arial" w:hAnsi="Arial" w:cs="Arial"/>
          <w:sz w:val="17"/>
          <w:szCs w:val="17"/>
        </w:rPr>
      </w:pPr>
      <w:r w:rsidRPr="00BE5EE1">
        <w:rPr>
          <w:rFonts w:ascii="Arial" w:hAnsi="Arial" w:cs="Arial"/>
          <w:b/>
          <w:i/>
          <w:sz w:val="17"/>
          <w:szCs w:val="17"/>
        </w:rPr>
        <w:t>Fuente:</w:t>
      </w:r>
      <w:r w:rsidRPr="00BE5EE1">
        <w:rPr>
          <w:rFonts w:ascii="Arial" w:hAnsi="Arial" w:cs="Arial"/>
          <w:sz w:val="17"/>
          <w:szCs w:val="17"/>
        </w:rPr>
        <w:t xml:space="preserve"> </w:t>
      </w:r>
      <w:r w:rsidRPr="00BE5EE1">
        <w:rPr>
          <w:rFonts w:ascii="Arial" w:hAnsi="Arial" w:cs="Arial"/>
          <w:b/>
          <w:sz w:val="17"/>
          <w:szCs w:val="17"/>
        </w:rPr>
        <w:t xml:space="preserve">INEC </w:t>
      </w:r>
      <w:r w:rsidRPr="00BE5EE1">
        <w:rPr>
          <w:rFonts w:ascii="Arial" w:hAnsi="Arial" w:cs="Arial"/>
          <w:sz w:val="17"/>
          <w:szCs w:val="17"/>
        </w:rPr>
        <w:t>(2010), Base de Datos del VII Censo de Población y VI de Vivienda.</w:t>
      </w:r>
    </w:p>
    <w:p w:rsidR="00A722F8" w:rsidRPr="00BE5EE1" w:rsidRDefault="00A722F8" w:rsidP="00BE5EE1">
      <w:pPr>
        <w:pStyle w:val="Prrafodelista"/>
        <w:spacing w:line="276" w:lineRule="auto"/>
        <w:ind w:left="851"/>
        <w:jc w:val="both"/>
        <w:rPr>
          <w:rFonts w:ascii="Arial" w:hAnsi="Arial" w:cs="Arial"/>
          <w:sz w:val="17"/>
          <w:szCs w:val="17"/>
        </w:rPr>
      </w:pPr>
      <w:r w:rsidRPr="00BE5EE1">
        <w:rPr>
          <w:rFonts w:ascii="Arial" w:hAnsi="Arial" w:cs="Arial"/>
          <w:b/>
          <w:i/>
          <w:sz w:val="17"/>
          <w:szCs w:val="17"/>
        </w:rPr>
        <w:t>Elaborado por:</w:t>
      </w:r>
      <w:r w:rsidRPr="00BE5EE1">
        <w:rPr>
          <w:rFonts w:ascii="Arial" w:hAnsi="Arial" w:cs="Arial"/>
          <w:sz w:val="17"/>
          <w:szCs w:val="17"/>
        </w:rPr>
        <w:t xml:space="preserve"> Katherine Loor Valeriano</w:t>
      </w:r>
    </w:p>
    <w:p w:rsidR="00BE5EE1" w:rsidRDefault="00A722F8" w:rsidP="0041640C">
      <w:pPr>
        <w:pStyle w:val="TesisTitulo10"/>
        <w:numPr>
          <w:ilvl w:val="1"/>
          <w:numId w:val="9"/>
        </w:numPr>
        <w:ind w:left="993" w:hanging="709"/>
      </w:pPr>
      <w:bookmarkStart w:id="279" w:name="_Toc341040613"/>
      <w:bookmarkStart w:id="280" w:name="_Toc339212688"/>
      <w:r w:rsidRPr="003C1C0C">
        <w:lastRenderedPageBreak/>
        <w:t>Tasa de Participación Económica de los Inmigrantes</w:t>
      </w:r>
      <w:bookmarkEnd w:id="279"/>
      <w:r w:rsidRPr="003C1C0C">
        <w:t xml:space="preserve"> </w:t>
      </w:r>
    </w:p>
    <w:p w:rsidR="00A722F8" w:rsidRPr="003C1C0C" w:rsidRDefault="00A722F8" w:rsidP="00BE5EE1">
      <w:pPr>
        <w:pStyle w:val="TesisTitulo10"/>
        <w:numPr>
          <w:ilvl w:val="0"/>
          <w:numId w:val="0"/>
        </w:numPr>
        <w:ind w:left="851"/>
      </w:pPr>
      <w:bookmarkStart w:id="281" w:name="_Toc341040614"/>
      <w:r w:rsidRPr="003C1C0C">
        <w:t>en la provincia de destino</w:t>
      </w:r>
      <w:bookmarkEnd w:id="280"/>
      <w:bookmarkEnd w:id="281"/>
    </w:p>
    <w:p w:rsidR="00A722F8" w:rsidRDefault="00A722F8" w:rsidP="00BE5EE1">
      <w:pPr>
        <w:pStyle w:val="Prrafodelista"/>
        <w:spacing w:line="480" w:lineRule="auto"/>
        <w:ind w:left="851"/>
        <w:jc w:val="both"/>
        <w:rPr>
          <w:rFonts w:ascii="Arial" w:hAnsi="Arial" w:cs="Arial"/>
        </w:rPr>
      </w:pPr>
      <w:r w:rsidRPr="003C1C0C">
        <w:rPr>
          <w:rFonts w:ascii="Arial" w:hAnsi="Arial" w:cs="Arial"/>
        </w:rPr>
        <w:t xml:space="preserve">La </w:t>
      </w:r>
      <w:r>
        <w:rPr>
          <w:rFonts w:ascii="Arial" w:hAnsi="Arial" w:cs="Arial"/>
        </w:rPr>
        <w:t>Tasa de Participación Económica</w:t>
      </w:r>
      <w:r>
        <w:rPr>
          <w:rStyle w:val="Refdenotaalpie"/>
          <w:rFonts w:ascii="Arial" w:hAnsi="Arial" w:cs="Arial"/>
        </w:rPr>
        <w:footnoteReference w:id="36"/>
      </w:r>
      <w:r>
        <w:rPr>
          <w:rFonts w:ascii="Arial" w:hAnsi="Arial" w:cs="Arial"/>
        </w:rPr>
        <w:t xml:space="preserve"> </w:t>
      </w:r>
      <w:r w:rsidRPr="003C1C0C">
        <w:rPr>
          <w:rFonts w:ascii="Arial" w:hAnsi="Arial" w:cs="Arial"/>
        </w:rPr>
        <w:t>(TPE), mide el grado de participación de la población en el mercado de trabajo; y se calcula como el cociente entre la población económicamente activa (definida como las personas que trabajan o buscan trabajo) de 15 años y más y la población total de 15 años y más, multiplicado por 100.</w:t>
      </w:r>
    </w:p>
    <w:p w:rsidR="00A722F8" w:rsidRPr="002547EA" w:rsidRDefault="00A722F8" w:rsidP="00BE5EE1">
      <w:pPr>
        <w:pStyle w:val="Prrafodelista"/>
        <w:spacing w:line="480" w:lineRule="auto"/>
        <w:ind w:left="851"/>
        <w:jc w:val="both"/>
        <w:rPr>
          <w:rFonts w:ascii="Arial" w:hAnsi="Arial" w:cs="Arial"/>
          <w:sz w:val="12"/>
          <w:szCs w:val="12"/>
        </w:rPr>
      </w:pPr>
    </w:p>
    <w:p w:rsidR="00A722F8" w:rsidRDefault="00A722F8" w:rsidP="00BE5EE1">
      <w:pPr>
        <w:pStyle w:val="Prrafodelista"/>
        <w:spacing w:line="480" w:lineRule="auto"/>
        <w:ind w:left="851"/>
        <w:rPr>
          <w:rFonts w:ascii="Arial" w:hAnsi="Arial" w:cs="Arial"/>
        </w:rPr>
      </w:pPr>
      <w:r w:rsidRPr="00A02C67">
        <w:rPr>
          <w:rFonts w:ascii="Arial" w:hAnsi="Arial" w:cs="Arial"/>
          <w:position w:val="-28"/>
        </w:rPr>
        <w:object w:dxaOrig="6240" w:dyaOrig="639">
          <v:shape id="_x0000_i1069" type="#_x0000_t75" style="width:312pt;height:32.25pt" o:ole="">
            <v:imagedata r:id="rId36" o:title=""/>
          </v:shape>
          <o:OLEObject Type="Embed" ProgID="Equation.3" ShapeID="_x0000_i1069" DrawAspect="Content" ObjectID="_1415677158" r:id="rId37"/>
        </w:object>
      </w:r>
    </w:p>
    <w:p w:rsidR="00A722F8" w:rsidRDefault="00A722F8" w:rsidP="00BE5EE1">
      <w:pPr>
        <w:pStyle w:val="Prrafodelista"/>
        <w:spacing w:line="480" w:lineRule="auto"/>
        <w:ind w:left="851"/>
        <w:jc w:val="both"/>
        <w:rPr>
          <w:rFonts w:ascii="Arial" w:hAnsi="Arial" w:cs="Arial"/>
        </w:rPr>
      </w:pPr>
    </w:p>
    <w:p w:rsidR="00A722F8" w:rsidRDefault="00A722F8" w:rsidP="00BE5EE1">
      <w:pPr>
        <w:pStyle w:val="Prrafodelista"/>
        <w:spacing w:line="480" w:lineRule="auto"/>
        <w:ind w:left="851"/>
        <w:jc w:val="both"/>
        <w:rPr>
          <w:rFonts w:ascii="Arial" w:hAnsi="Arial" w:cs="Arial"/>
        </w:rPr>
      </w:pPr>
      <w:r w:rsidRPr="001679E4">
        <w:rPr>
          <w:rFonts w:ascii="Arial" w:hAnsi="Arial" w:cs="Arial"/>
        </w:rPr>
        <w:t xml:space="preserve">Para el cálculo de esta tasa se han considerado dos preguntas de la sección “Datos de población” contenidas en la Boleta Censal; las preguntas seleccionadas son ¿Qué hizo (….) la semana pasada? y ¿Si NO ha trabajado (….)?, de donde se determinó el total de personas mayores de 15 años que la semana pasada han trabajado al menos una hora, que no trabajaron pero sí tienen trabajo, al menos una hora fabricaron algún producto o brindaron algún servicio, al menos una hora ayudaron en algún negocio o trabajo de un familiar, al menos una hora realizaron labores agrícolas o cuidaron animales, son Cesantes: buscaron trabajo habiendo trabajado antes y están disponibles para trabajar; o, quienes buscaron trabajo por primera vez y están disponibles para trabajar. La tasa de </w:t>
      </w:r>
      <w:r w:rsidRPr="001679E4">
        <w:rPr>
          <w:rFonts w:ascii="Arial" w:hAnsi="Arial" w:cs="Arial"/>
        </w:rPr>
        <w:lastRenderedPageBreak/>
        <w:t>participación económica de los inmigrantes (TPEI) por provincia se la determinó mediante la expresión:</w:t>
      </w:r>
    </w:p>
    <w:p w:rsidR="00A722F8" w:rsidRDefault="00A722F8" w:rsidP="00BE5EE1">
      <w:pPr>
        <w:pStyle w:val="Prrafodelista"/>
        <w:spacing w:line="480" w:lineRule="auto"/>
        <w:ind w:left="851"/>
        <w:rPr>
          <w:rFonts w:ascii="Arial" w:hAnsi="Arial" w:cs="Arial"/>
        </w:rPr>
      </w:pPr>
      <w:r w:rsidRPr="00A02C67">
        <w:rPr>
          <w:rFonts w:ascii="Arial" w:hAnsi="Arial" w:cs="Arial"/>
          <w:position w:val="-28"/>
        </w:rPr>
        <w:object w:dxaOrig="5560" w:dyaOrig="639">
          <v:shape id="_x0000_i1070" type="#_x0000_t75" style="width:278.25pt;height:32.25pt" o:ole="">
            <v:imagedata r:id="rId38" o:title=""/>
          </v:shape>
          <o:OLEObject Type="Embed" ProgID="Equation.3" ShapeID="_x0000_i1070" DrawAspect="Content" ObjectID="_1415677159" r:id="rId39"/>
        </w:object>
      </w:r>
    </w:p>
    <w:p w:rsidR="00A722F8" w:rsidRPr="002547EA" w:rsidRDefault="00A722F8" w:rsidP="00BE5EE1">
      <w:pPr>
        <w:pStyle w:val="Prrafodelista"/>
        <w:spacing w:line="480" w:lineRule="auto"/>
        <w:ind w:left="851"/>
        <w:jc w:val="both"/>
        <w:rPr>
          <w:rFonts w:ascii="Arial" w:hAnsi="Arial" w:cs="Arial"/>
          <w:sz w:val="12"/>
          <w:szCs w:val="12"/>
        </w:rPr>
      </w:pPr>
    </w:p>
    <w:p w:rsidR="00A722F8" w:rsidRPr="001679E4" w:rsidRDefault="00A722F8" w:rsidP="00BE5EE1">
      <w:pPr>
        <w:pStyle w:val="Prrafodelista"/>
        <w:spacing w:line="480" w:lineRule="auto"/>
        <w:ind w:left="851"/>
        <w:jc w:val="both"/>
        <w:rPr>
          <w:rFonts w:ascii="Arial" w:hAnsi="Arial" w:cs="Arial"/>
        </w:rPr>
      </w:pPr>
      <w:r w:rsidRPr="001679E4">
        <w:rPr>
          <w:rFonts w:ascii="Arial" w:hAnsi="Arial" w:cs="Arial"/>
        </w:rPr>
        <w:t xml:space="preserve">Donde, </w:t>
      </w:r>
    </w:p>
    <w:p w:rsidR="00A722F8" w:rsidRPr="001679E4" w:rsidRDefault="00A722F8" w:rsidP="00BE5EE1">
      <w:pPr>
        <w:pStyle w:val="Prrafodelista"/>
        <w:spacing w:line="480" w:lineRule="auto"/>
        <w:ind w:left="851"/>
        <w:jc w:val="both"/>
        <w:rPr>
          <w:rFonts w:ascii="Arial" w:hAnsi="Arial" w:cs="Arial"/>
        </w:rPr>
      </w:pPr>
      <w:r w:rsidRPr="001679E4">
        <w:rPr>
          <w:rFonts w:ascii="Arial" w:hAnsi="Arial" w:cs="Arial"/>
        </w:rPr>
        <w:t>PIEA</w:t>
      </w:r>
      <w:r w:rsidRPr="00BD6816">
        <w:rPr>
          <w:rFonts w:ascii="Arial" w:hAnsi="Arial" w:cs="Arial"/>
          <w:vertAlign w:val="subscript"/>
        </w:rPr>
        <w:t>i</w:t>
      </w:r>
      <w:r w:rsidRPr="001679E4">
        <w:rPr>
          <w:rFonts w:ascii="Arial" w:hAnsi="Arial" w:cs="Arial"/>
        </w:rPr>
        <w:t>: Población inmigrante económicamente activa mayor de 15 años que reside en la provincia i.</w:t>
      </w:r>
    </w:p>
    <w:p w:rsidR="00A722F8" w:rsidRPr="001679E4" w:rsidRDefault="00A722F8" w:rsidP="00BE5EE1">
      <w:pPr>
        <w:pStyle w:val="Prrafodelista"/>
        <w:spacing w:line="480" w:lineRule="auto"/>
        <w:ind w:left="851"/>
        <w:jc w:val="both"/>
        <w:rPr>
          <w:rFonts w:ascii="Arial" w:hAnsi="Arial" w:cs="Arial"/>
        </w:rPr>
      </w:pPr>
    </w:p>
    <w:p w:rsidR="00800384" w:rsidRDefault="00A722F8" w:rsidP="00BE5EE1">
      <w:pPr>
        <w:pStyle w:val="Prrafodelista"/>
        <w:spacing w:line="480" w:lineRule="auto"/>
        <w:ind w:left="851"/>
        <w:jc w:val="both"/>
        <w:rPr>
          <w:rFonts w:ascii="Arial" w:hAnsi="Arial" w:cs="Arial"/>
        </w:rPr>
      </w:pPr>
      <w:r w:rsidRPr="001679E4">
        <w:rPr>
          <w:rFonts w:ascii="Arial" w:hAnsi="Arial" w:cs="Arial"/>
        </w:rPr>
        <w:t xml:space="preserve">En la </w:t>
      </w:r>
      <w:r w:rsidRPr="00903808">
        <w:rPr>
          <w:rFonts w:ascii="Arial" w:hAnsi="Arial" w:cs="Arial"/>
          <w:i/>
        </w:rPr>
        <w:t>Figura 2.</w:t>
      </w:r>
      <w:r>
        <w:rPr>
          <w:rFonts w:ascii="Arial" w:hAnsi="Arial" w:cs="Arial"/>
          <w:i/>
        </w:rPr>
        <w:t>11</w:t>
      </w:r>
      <w:r w:rsidRPr="001679E4">
        <w:rPr>
          <w:rFonts w:ascii="Arial" w:hAnsi="Arial" w:cs="Arial"/>
        </w:rPr>
        <w:t xml:space="preserve">, se muestran las tasas de participación económica de los inmigrantes por provincia de residencia habitual; de igual manera se presenta la tasa de participación </w:t>
      </w:r>
      <w:r>
        <w:rPr>
          <w:rFonts w:ascii="Arial" w:hAnsi="Arial" w:cs="Arial"/>
        </w:rPr>
        <w:t>económica de los nativos en cada una de las provincias</w:t>
      </w:r>
      <w:r w:rsidRPr="001679E4">
        <w:rPr>
          <w:rFonts w:ascii="Arial" w:hAnsi="Arial" w:cs="Arial"/>
        </w:rPr>
        <w:t xml:space="preserve">, cabe mencionar que para calcular la tasa de participación económica de los habitantes </w:t>
      </w:r>
      <w:r>
        <w:rPr>
          <w:rFonts w:ascii="Arial" w:hAnsi="Arial" w:cs="Arial"/>
        </w:rPr>
        <w:t xml:space="preserve">ecuatorianos </w:t>
      </w:r>
      <w:r w:rsidRPr="001679E4">
        <w:rPr>
          <w:rFonts w:ascii="Arial" w:hAnsi="Arial" w:cs="Arial"/>
        </w:rPr>
        <w:t xml:space="preserve">mayores de 15 años residentes en </w:t>
      </w:r>
      <w:r>
        <w:rPr>
          <w:rFonts w:ascii="Arial" w:hAnsi="Arial" w:cs="Arial"/>
        </w:rPr>
        <w:t>una determinada</w:t>
      </w:r>
      <w:r w:rsidRPr="001679E4">
        <w:rPr>
          <w:rFonts w:ascii="Arial" w:hAnsi="Arial" w:cs="Arial"/>
        </w:rPr>
        <w:t xml:space="preserve"> provincia se debe sumar la </w:t>
      </w:r>
      <w:r>
        <w:rPr>
          <w:rFonts w:ascii="Arial" w:hAnsi="Arial" w:cs="Arial"/>
        </w:rPr>
        <w:t xml:space="preserve">tasa de </w:t>
      </w:r>
      <w:r w:rsidRPr="001679E4">
        <w:rPr>
          <w:rFonts w:ascii="Arial" w:hAnsi="Arial" w:cs="Arial"/>
        </w:rPr>
        <w:t xml:space="preserve">participación de los inmigrantes </w:t>
      </w:r>
      <w:r>
        <w:rPr>
          <w:rFonts w:ascii="Arial" w:hAnsi="Arial" w:cs="Arial"/>
        </w:rPr>
        <w:t xml:space="preserve">y la de los nativos. </w:t>
      </w:r>
    </w:p>
    <w:p w:rsidR="00800384" w:rsidRDefault="00800384" w:rsidP="00BE5EE1">
      <w:pPr>
        <w:pStyle w:val="Prrafodelista"/>
        <w:spacing w:line="480" w:lineRule="auto"/>
        <w:ind w:left="851"/>
        <w:jc w:val="both"/>
        <w:rPr>
          <w:rFonts w:ascii="Arial" w:hAnsi="Arial" w:cs="Arial"/>
        </w:rPr>
      </w:pPr>
    </w:p>
    <w:p w:rsidR="00A722F8" w:rsidRPr="00576187" w:rsidRDefault="00A722F8" w:rsidP="00BE5EE1">
      <w:pPr>
        <w:pStyle w:val="Prrafodelista"/>
        <w:spacing w:line="480" w:lineRule="auto"/>
        <w:ind w:left="851"/>
        <w:jc w:val="both"/>
        <w:rPr>
          <w:rFonts w:ascii="Arial" w:hAnsi="Arial" w:cs="Arial"/>
        </w:rPr>
      </w:pPr>
      <w:r w:rsidRPr="00576187">
        <w:rPr>
          <w:rFonts w:ascii="Arial" w:hAnsi="Arial" w:cs="Arial"/>
        </w:rPr>
        <w:t>Como se había mencionado en líneas previas Galápagos es la provincia con mayor tasa de inmigración, así también en esta provincia el 72.19% de la población ecuatoriana adulta (de 15 años y más) residente</w:t>
      </w:r>
      <w:r>
        <w:rPr>
          <w:rFonts w:ascii="Arial" w:hAnsi="Arial" w:cs="Arial"/>
        </w:rPr>
        <w:t>,</w:t>
      </w:r>
      <w:r w:rsidRPr="00576187">
        <w:rPr>
          <w:rFonts w:ascii="Arial" w:hAnsi="Arial" w:cs="Arial"/>
        </w:rPr>
        <w:t xml:space="preserve"> está insertada en la actividad económica, siendo esta la mayor de las tasas a nivel nacional, de estos el 54.44% son inmigrantes que participan económicamente ya sea trabajando o buscando empleo y la diferencia son los nativos, es decir, es mayor la proporción de inmigrantes que trabajan o buscan empleo, hecho que es explicable puesto que es mayor la cantidad </w:t>
      </w:r>
      <w:r w:rsidRPr="00576187">
        <w:rPr>
          <w:rFonts w:ascii="Arial" w:hAnsi="Arial" w:cs="Arial"/>
        </w:rPr>
        <w:lastRenderedPageBreak/>
        <w:t>de inmigrantes que de nativos.</w:t>
      </w:r>
      <w:r>
        <w:rPr>
          <w:rFonts w:ascii="Arial" w:hAnsi="Arial" w:cs="Arial"/>
        </w:rPr>
        <w:t xml:space="preserve"> </w:t>
      </w:r>
      <w:r w:rsidRPr="00576187">
        <w:rPr>
          <w:rFonts w:ascii="Arial" w:hAnsi="Arial" w:cs="Arial"/>
        </w:rPr>
        <w:t>Por tanto, se espera que las provincias que tienen tasas altas de inmigración, la tasa participación de los inmigrantes en las actividades económicas sean también altas. Entonces, para Sucumbíos que es otra de las provincias con una tasa alta de inmigración (462 por cada 1000) y cuya participación de su población adulta en la economía es del 57.33%, presenta una tasa de participación de los inmigrantes del 39.90% estando tan sólo el 17.43% de su población nativa insertada en las actividades económicas de la provincia.</w:t>
      </w:r>
    </w:p>
    <w:p w:rsidR="00A722F8" w:rsidRPr="00576187" w:rsidRDefault="00A722F8" w:rsidP="00BE5EE1">
      <w:pPr>
        <w:pStyle w:val="Prrafodelista"/>
        <w:spacing w:line="480" w:lineRule="auto"/>
        <w:ind w:left="851"/>
        <w:jc w:val="both"/>
        <w:rPr>
          <w:rFonts w:ascii="Arial" w:hAnsi="Arial" w:cs="Arial"/>
        </w:rPr>
      </w:pPr>
    </w:p>
    <w:p w:rsidR="00800384" w:rsidRDefault="00A722F8" w:rsidP="00BE5EE1">
      <w:pPr>
        <w:pStyle w:val="Prrafodelista"/>
        <w:spacing w:line="480" w:lineRule="auto"/>
        <w:ind w:left="851"/>
        <w:jc w:val="both"/>
        <w:rPr>
          <w:rFonts w:ascii="Arial" w:hAnsi="Arial" w:cs="Arial"/>
        </w:rPr>
      </w:pPr>
      <w:r w:rsidRPr="00576187">
        <w:rPr>
          <w:rFonts w:ascii="Arial" w:hAnsi="Arial" w:cs="Arial"/>
        </w:rPr>
        <w:t>Otra de las provincias del Oriente que presenta una tasa alta de inmigración al igual que Sucumbíos es Orellana, pero su tasa de participación económica es superior (61.51%), mientras que la tasa de participación de los inmigrantes es de 41.36%; es decir, en estas provincias los inmigrantes son parte fundamental en la economía, aunque también se debe considerar que uno de los motivos por los cuales las personas emigran es para buscar mejoras en su calidad de vida mediante el trabajo.</w:t>
      </w:r>
      <w:r>
        <w:rPr>
          <w:rFonts w:ascii="Arial" w:hAnsi="Arial" w:cs="Arial"/>
        </w:rPr>
        <w:t xml:space="preserve"> </w:t>
      </w:r>
      <w:r w:rsidRPr="00576187">
        <w:rPr>
          <w:rFonts w:ascii="Arial" w:hAnsi="Arial" w:cs="Arial"/>
        </w:rPr>
        <w:t>En Zamora Chinchipe el 34.60% de su población residente es inmigrante, y la tasa de participación de los mayores de 15 años en las actividades económicas es de 61.34%, presentando tasas aproximadamente iguales tanto para nativos (31.37%) como para inmigrantes (29.97%).</w:t>
      </w:r>
      <w:r>
        <w:rPr>
          <w:rFonts w:ascii="Arial" w:hAnsi="Arial" w:cs="Arial"/>
        </w:rPr>
        <w:t xml:space="preserve"> </w:t>
      </w:r>
    </w:p>
    <w:p w:rsidR="00800384" w:rsidRDefault="00800384" w:rsidP="00BE5EE1">
      <w:pPr>
        <w:pStyle w:val="Prrafodelista"/>
        <w:spacing w:line="480" w:lineRule="auto"/>
        <w:ind w:left="851"/>
        <w:jc w:val="both"/>
        <w:rPr>
          <w:rFonts w:ascii="Arial" w:hAnsi="Arial" w:cs="Arial"/>
        </w:rPr>
      </w:pPr>
    </w:p>
    <w:p w:rsidR="00800384" w:rsidRDefault="00A722F8" w:rsidP="00BE5EE1">
      <w:pPr>
        <w:pStyle w:val="Prrafodelista"/>
        <w:spacing w:line="480" w:lineRule="auto"/>
        <w:ind w:left="851"/>
        <w:jc w:val="both"/>
        <w:rPr>
          <w:rFonts w:ascii="Arial" w:hAnsi="Arial" w:cs="Arial"/>
        </w:rPr>
      </w:pPr>
      <w:r w:rsidRPr="00576187">
        <w:rPr>
          <w:rFonts w:ascii="Arial" w:hAnsi="Arial" w:cs="Arial"/>
        </w:rPr>
        <w:t xml:space="preserve">En la región Sierra, Santo Domingo presenta la mayor tasa de inmigración (47.74%) con respecto a la población de la provincia, así también el 59.54% de su población adulta participa en las actividades económicas de los </w:t>
      </w:r>
      <w:r w:rsidRPr="00576187">
        <w:rPr>
          <w:rFonts w:ascii="Arial" w:hAnsi="Arial" w:cs="Arial"/>
        </w:rPr>
        <w:lastRenderedPageBreak/>
        <w:t>cuales el 37.65% son los inmigrantes que trabajan o buscan empleo y el restante son los nacidos en esta provincia (nativos). Ésta es la única provincia de la Sierra en la cual los inmigrantes tienen mayor participación que los nativos.</w:t>
      </w:r>
      <w:r>
        <w:rPr>
          <w:rFonts w:ascii="Arial" w:hAnsi="Arial" w:cs="Arial"/>
        </w:rPr>
        <w:t xml:space="preserve"> </w:t>
      </w:r>
      <w:r w:rsidRPr="00576187">
        <w:rPr>
          <w:rFonts w:ascii="Arial" w:hAnsi="Arial" w:cs="Arial"/>
        </w:rPr>
        <w:t>En Pichincha, el 65.15% de su población adulta está insertada en las actividades económicas, teniendo la población nativa la mayor participación (38.73%) y el restante 26.42% es la participación de los inmigrantes ya sea</w:t>
      </w:r>
      <w:r w:rsidR="00800384">
        <w:rPr>
          <w:rFonts w:ascii="Arial" w:hAnsi="Arial" w:cs="Arial"/>
        </w:rPr>
        <w:t xml:space="preserve"> trabajando o buscando trabajo; m</w:t>
      </w:r>
      <w:r w:rsidRPr="00576187">
        <w:rPr>
          <w:rFonts w:ascii="Arial" w:hAnsi="Arial" w:cs="Arial"/>
        </w:rPr>
        <w:t xml:space="preserve">ientras que provincias </w:t>
      </w:r>
      <w:r w:rsidR="00800384">
        <w:rPr>
          <w:rFonts w:ascii="Arial" w:hAnsi="Arial" w:cs="Arial"/>
        </w:rPr>
        <w:t>como</w:t>
      </w:r>
      <w:r w:rsidRPr="00576187">
        <w:rPr>
          <w:rFonts w:ascii="Arial" w:hAnsi="Arial" w:cs="Arial"/>
        </w:rPr>
        <w:t xml:space="preserve"> Bolívar, Chimborazo y Loja que presentan tasas bajas de inmigración también es menor la tasa de participación de los inmigrantes en las actividades económicas, siendo iguales a 5.45%, 6.12% y 5.04% respectivamente.</w:t>
      </w:r>
      <w:r w:rsidR="00800384">
        <w:rPr>
          <w:rFonts w:ascii="Arial" w:hAnsi="Arial" w:cs="Arial"/>
        </w:rPr>
        <w:t xml:space="preserve"> </w:t>
      </w:r>
    </w:p>
    <w:p w:rsidR="00800384" w:rsidRDefault="00800384" w:rsidP="00BE5EE1">
      <w:pPr>
        <w:pStyle w:val="Prrafodelista"/>
        <w:spacing w:line="480" w:lineRule="auto"/>
        <w:ind w:left="851"/>
        <w:jc w:val="both"/>
        <w:rPr>
          <w:rFonts w:ascii="Arial" w:hAnsi="Arial" w:cs="Arial"/>
        </w:rPr>
      </w:pPr>
    </w:p>
    <w:p w:rsidR="00800384" w:rsidRPr="00800384" w:rsidRDefault="00A722F8" w:rsidP="00800384">
      <w:pPr>
        <w:pStyle w:val="Prrafodelista"/>
        <w:spacing w:line="480" w:lineRule="auto"/>
        <w:ind w:left="851"/>
        <w:jc w:val="both"/>
        <w:rPr>
          <w:rFonts w:ascii="Arial" w:hAnsi="Arial" w:cs="Arial"/>
          <w:i/>
        </w:rPr>
      </w:pPr>
      <w:r w:rsidRPr="00576187">
        <w:rPr>
          <w:rFonts w:ascii="Arial" w:hAnsi="Arial" w:cs="Arial"/>
        </w:rPr>
        <w:t xml:space="preserve">En la provincia del Guayas el 20% de la población residente son inmigrantes; y, la tasa de participación en las actividades económicas de los ecuatorianos mayores de 15 años que residen en Guayas es del 58.28%, de los cuales 15.74% es la participación de los inmigrantes y la restante es la de los nacidos en Guayas (42.54%). Para el caso de Manabí, que a nivel nacional es la provincia con menor tasa de inmigración </w:t>
      </w:r>
      <w:r>
        <w:rPr>
          <w:rFonts w:ascii="Arial" w:hAnsi="Arial" w:cs="Arial"/>
        </w:rPr>
        <w:t xml:space="preserve">interna, </w:t>
      </w:r>
      <w:r w:rsidRPr="00576187">
        <w:rPr>
          <w:rFonts w:ascii="Arial" w:hAnsi="Arial" w:cs="Arial"/>
        </w:rPr>
        <w:t xml:space="preserve">también es menor la tasa de participación de sus inmigrantes en la economía (3.44%), mientras que el 49.19% de su población nativa mayor de 15 años están insertados en las actividades económicas ya sea trabajando o buscando empleo. </w:t>
      </w:r>
      <w:r>
        <w:rPr>
          <w:rFonts w:ascii="Arial" w:hAnsi="Arial" w:cs="Arial"/>
        </w:rPr>
        <w:t xml:space="preserve">Para más detalles </w:t>
      </w:r>
      <w:r>
        <w:rPr>
          <w:rFonts w:ascii="Arial" w:hAnsi="Arial" w:cs="Arial"/>
          <w:i/>
        </w:rPr>
        <w:t>Véase Figura 2.11.</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1853F0">
        <w:trPr>
          <w:trHeight w:val="3666"/>
          <w:jc w:val="right"/>
        </w:trPr>
        <w:tc>
          <w:tcPr>
            <w:tcW w:w="7497" w:type="dxa"/>
          </w:tcPr>
          <w:p w:rsidR="00A722F8" w:rsidRPr="00840530" w:rsidRDefault="00A722F8" w:rsidP="003F1262">
            <w:pPr>
              <w:rPr>
                <w:rFonts w:ascii="Arial" w:hAnsi="Arial" w:cs="Arial"/>
                <w:sz w:val="16"/>
                <w:szCs w:val="16"/>
              </w:rPr>
            </w:pPr>
          </w:p>
          <w:p w:rsidR="00B84E81" w:rsidRPr="00B84E81" w:rsidRDefault="00B84E81" w:rsidP="00B84E81">
            <w:pPr>
              <w:keepNext/>
              <w:rPr>
                <w:rFonts w:ascii="Arial" w:hAnsi="Arial" w:cs="Arial"/>
                <w:b/>
                <w:sz w:val="16"/>
                <w:szCs w:val="16"/>
              </w:rPr>
            </w:pPr>
            <w:bookmarkStart w:id="282" w:name="_Toc341043001"/>
            <w:r>
              <w:rPr>
                <w:rFonts w:ascii="Arial" w:hAnsi="Arial" w:cs="Arial"/>
                <w:b/>
                <w:sz w:val="16"/>
                <w:szCs w:val="16"/>
              </w:rPr>
              <w:t>Figura 2.</w:t>
            </w:r>
            <w:r w:rsidR="00990535" w:rsidRPr="00B84E81">
              <w:rPr>
                <w:rFonts w:ascii="Arial" w:hAnsi="Arial" w:cs="Arial"/>
                <w:b/>
                <w:sz w:val="16"/>
                <w:szCs w:val="16"/>
              </w:rPr>
              <w:fldChar w:fldCharType="begin"/>
            </w:r>
            <w:r w:rsidRPr="00B84E81">
              <w:rPr>
                <w:rFonts w:ascii="Arial" w:hAnsi="Arial" w:cs="Arial"/>
                <w:b/>
                <w:sz w:val="16"/>
                <w:szCs w:val="16"/>
              </w:rPr>
              <w:instrText xml:space="preserve"> SEQ Figura_2. \* ARABIC </w:instrText>
            </w:r>
            <w:r w:rsidR="00990535" w:rsidRPr="00B84E81">
              <w:rPr>
                <w:rFonts w:ascii="Arial" w:hAnsi="Arial" w:cs="Arial"/>
                <w:b/>
                <w:sz w:val="16"/>
                <w:szCs w:val="16"/>
              </w:rPr>
              <w:fldChar w:fldCharType="separate"/>
            </w:r>
            <w:r w:rsidR="00A242E0">
              <w:rPr>
                <w:rFonts w:ascii="Arial" w:hAnsi="Arial" w:cs="Arial"/>
                <w:b/>
                <w:noProof/>
                <w:sz w:val="16"/>
                <w:szCs w:val="16"/>
              </w:rPr>
              <w:t>11</w:t>
            </w:r>
            <w:bookmarkEnd w:id="282"/>
            <w:r w:rsidR="00990535" w:rsidRPr="00B84E81">
              <w:rPr>
                <w:rFonts w:ascii="Arial" w:hAnsi="Arial" w:cs="Arial"/>
                <w:b/>
                <w:sz w:val="16"/>
                <w:szCs w:val="16"/>
              </w:rPr>
              <w:fldChar w:fldCharType="end"/>
            </w:r>
          </w:p>
          <w:p w:rsidR="00A722F8" w:rsidRPr="00903808" w:rsidRDefault="001853F0" w:rsidP="003F1262">
            <w:pPr>
              <w:rPr>
                <w:rFonts w:ascii="Arial" w:hAnsi="Arial" w:cs="Arial"/>
                <w:i/>
                <w:sz w:val="16"/>
                <w:szCs w:val="16"/>
              </w:rPr>
            </w:pPr>
            <w:r>
              <w:rPr>
                <w:rFonts w:ascii="Arial" w:hAnsi="Arial" w:cs="Arial"/>
                <w:b/>
                <w:i/>
                <w:sz w:val="16"/>
                <w:szCs w:val="16"/>
              </w:rPr>
              <w:t xml:space="preserve">Ecuador 2010: </w:t>
            </w:r>
            <w:r w:rsidR="00A722F8" w:rsidRPr="00903808">
              <w:rPr>
                <w:rFonts w:ascii="Arial" w:hAnsi="Arial" w:cs="Arial"/>
                <w:i/>
                <w:sz w:val="16"/>
                <w:szCs w:val="16"/>
              </w:rPr>
              <w:t xml:space="preserve">Tasa de Participación Económica </w:t>
            </w:r>
            <w:r w:rsidR="00A722F8">
              <w:rPr>
                <w:rFonts w:ascii="Arial" w:hAnsi="Arial" w:cs="Arial"/>
                <w:i/>
                <w:sz w:val="16"/>
                <w:szCs w:val="16"/>
              </w:rPr>
              <w:t>por cada 100 Inmigrantes por Provincia</w:t>
            </w:r>
          </w:p>
          <w:p w:rsidR="00A722F8" w:rsidRPr="00182EE5" w:rsidRDefault="001853F0" w:rsidP="003F1262">
            <w:pPr>
              <w:rPr>
                <w:noProof/>
                <w:lang w:eastAsia="es-EC"/>
              </w:rPr>
            </w:pPr>
            <w:r>
              <w:rPr>
                <w:noProof/>
                <w:lang w:eastAsia="es-EC"/>
              </w:rPr>
              <w:drawing>
                <wp:inline distT="0" distB="0" distL="0" distR="0">
                  <wp:extent cx="4572000" cy="2352675"/>
                  <wp:effectExtent l="0" t="0" r="0" b="0"/>
                  <wp:docPr id="384" name="Gráfico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A722F8">
              <w:rPr>
                <w:noProof/>
                <w:lang w:eastAsia="es-EC"/>
              </w:rPr>
              <w:t xml:space="preserve"> </w:t>
            </w:r>
          </w:p>
        </w:tc>
      </w:tr>
    </w:tbl>
    <w:p w:rsidR="00A722F8" w:rsidRPr="00800384" w:rsidRDefault="00A722F8" w:rsidP="00800384">
      <w:pPr>
        <w:pStyle w:val="Prrafodelista"/>
        <w:spacing w:line="276" w:lineRule="auto"/>
        <w:ind w:left="851"/>
        <w:jc w:val="both"/>
        <w:rPr>
          <w:rFonts w:ascii="Arial" w:hAnsi="Arial" w:cs="Arial"/>
          <w:b/>
          <w:i/>
          <w:sz w:val="17"/>
          <w:szCs w:val="17"/>
        </w:rPr>
      </w:pPr>
    </w:p>
    <w:p w:rsidR="00A722F8" w:rsidRPr="00800384" w:rsidRDefault="00A722F8" w:rsidP="00800384">
      <w:pPr>
        <w:pStyle w:val="Prrafodelista"/>
        <w:spacing w:line="276" w:lineRule="auto"/>
        <w:ind w:left="851"/>
        <w:jc w:val="both"/>
        <w:rPr>
          <w:rFonts w:ascii="Arial" w:hAnsi="Arial" w:cs="Arial"/>
          <w:sz w:val="17"/>
          <w:szCs w:val="17"/>
        </w:rPr>
      </w:pPr>
      <w:r w:rsidRPr="00800384">
        <w:rPr>
          <w:rFonts w:ascii="Arial" w:hAnsi="Arial" w:cs="Arial"/>
          <w:b/>
          <w:i/>
          <w:sz w:val="17"/>
          <w:szCs w:val="17"/>
        </w:rPr>
        <w:t>Fuente:</w:t>
      </w:r>
      <w:r w:rsidRPr="00800384">
        <w:rPr>
          <w:rFonts w:ascii="Arial" w:hAnsi="Arial" w:cs="Arial"/>
          <w:sz w:val="17"/>
          <w:szCs w:val="17"/>
        </w:rPr>
        <w:t xml:space="preserve"> </w:t>
      </w:r>
      <w:r w:rsidRPr="00800384">
        <w:rPr>
          <w:rFonts w:ascii="Arial" w:hAnsi="Arial" w:cs="Arial"/>
          <w:b/>
          <w:sz w:val="17"/>
          <w:szCs w:val="17"/>
        </w:rPr>
        <w:t xml:space="preserve">INEC </w:t>
      </w:r>
      <w:r w:rsidRPr="00800384">
        <w:rPr>
          <w:rFonts w:ascii="Arial" w:hAnsi="Arial" w:cs="Arial"/>
          <w:sz w:val="17"/>
          <w:szCs w:val="17"/>
        </w:rPr>
        <w:t>(2010), Base de Datos del VII Censo de Población y VI de Vivienda.</w:t>
      </w:r>
    </w:p>
    <w:p w:rsidR="00A722F8" w:rsidRPr="00800384" w:rsidRDefault="00A722F8" w:rsidP="00800384">
      <w:pPr>
        <w:pStyle w:val="Prrafodelista"/>
        <w:spacing w:line="276" w:lineRule="auto"/>
        <w:ind w:left="851"/>
        <w:jc w:val="both"/>
        <w:rPr>
          <w:rFonts w:ascii="Arial" w:hAnsi="Arial" w:cs="Arial"/>
          <w:sz w:val="17"/>
          <w:szCs w:val="17"/>
        </w:rPr>
      </w:pPr>
      <w:r w:rsidRPr="00800384">
        <w:rPr>
          <w:rFonts w:ascii="Arial" w:hAnsi="Arial" w:cs="Arial"/>
          <w:b/>
          <w:i/>
          <w:sz w:val="17"/>
          <w:szCs w:val="17"/>
        </w:rPr>
        <w:t>Elaborado por:</w:t>
      </w:r>
      <w:r w:rsidRPr="00800384">
        <w:rPr>
          <w:rFonts w:ascii="Arial" w:hAnsi="Arial" w:cs="Arial"/>
          <w:sz w:val="17"/>
          <w:szCs w:val="17"/>
        </w:rPr>
        <w:t xml:space="preserve"> Katherine Loor Valeriano</w:t>
      </w:r>
    </w:p>
    <w:p w:rsidR="00800384" w:rsidRPr="00800384" w:rsidRDefault="00800384" w:rsidP="00800384">
      <w:pPr>
        <w:pStyle w:val="Prrafodelista"/>
        <w:spacing w:line="480" w:lineRule="auto"/>
        <w:ind w:left="567"/>
        <w:jc w:val="both"/>
        <w:rPr>
          <w:rFonts w:ascii="Arial" w:hAnsi="Arial" w:cs="Arial"/>
        </w:rPr>
      </w:pPr>
    </w:p>
    <w:p w:rsidR="001853F0" w:rsidRDefault="00A722F8" w:rsidP="0041640C">
      <w:pPr>
        <w:pStyle w:val="TesisTitulo10"/>
        <w:numPr>
          <w:ilvl w:val="1"/>
          <w:numId w:val="9"/>
        </w:numPr>
        <w:ind w:left="993" w:hanging="709"/>
      </w:pPr>
      <w:bookmarkStart w:id="283" w:name="_Toc341040615"/>
      <w:bookmarkStart w:id="284" w:name="_Toc339212689"/>
      <w:r w:rsidRPr="00576187">
        <w:t>Perfil de los emigrantes de Manabí residentes en otras</w:t>
      </w:r>
      <w:bookmarkEnd w:id="283"/>
      <w:r w:rsidRPr="00576187">
        <w:t xml:space="preserve"> </w:t>
      </w:r>
    </w:p>
    <w:p w:rsidR="00A722F8" w:rsidRPr="00576187" w:rsidRDefault="00A722F8" w:rsidP="001853F0">
      <w:pPr>
        <w:pStyle w:val="TesisTitulo10"/>
        <w:numPr>
          <w:ilvl w:val="0"/>
          <w:numId w:val="0"/>
        </w:numPr>
        <w:ind w:left="851"/>
      </w:pPr>
      <w:bookmarkStart w:id="285" w:name="_Toc341040616"/>
      <w:r w:rsidRPr="00576187">
        <w:t>provincias del Ecuador</w:t>
      </w:r>
      <w:bookmarkEnd w:id="284"/>
      <w:bookmarkEnd w:id="285"/>
    </w:p>
    <w:p w:rsidR="00A722F8" w:rsidRPr="00576187" w:rsidRDefault="00A722F8" w:rsidP="001853F0">
      <w:pPr>
        <w:pStyle w:val="Prrafodelista"/>
        <w:spacing w:line="480" w:lineRule="auto"/>
        <w:ind w:left="851"/>
        <w:jc w:val="both"/>
        <w:rPr>
          <w:rFonts w:ascii="Arial" w:hAnsi="Arial" w:cs="Arial"/>
        </w:rPr>
      </w:pPr>
      <w:r w:rsidRPr="00576187">
        <w:rPr>
          <w:rFonts w:ascii="Arial" w:hAnsi="Arial" w:cs="Arial"/>
        </w:rPr>
        <w:t>En términos absolutos Manabí expulsa la mayor cantidad de población, se calcula que alrededor de 585085 personas nacidas en dicha provincia son inmigrantes en otras provincias del país, de aquí la importancia de analizar cuales son las características de dicho grupo poblacional y que aportes proporcionan a su lugar de destino.</w:t>
      </w:r>
    </w:p>
    <w:p w:rsidR="00A722F8" w:rsidRPr="00576187" w:rsidRDefault="00A722F8" w:rsidP="001853F0">
      <w:pPr>
        <w:pStyle w:val="Prrafodelista"/>
        <w:spacing w:line="480" w:lineRule="auto"/>
        <w:ind w:left="851"/>
        <w:jc w:val="both"/>
        <w:rPr>
          <w:rFonts w:ascii="Arial" w:hAnsi="Arial" w:cs="Arial"/>
        </w:rPr>
      </w:pPr>
    </w:p>
    <w:p w:rsidR="00A722F8" w:rsidRPr="00576187" w:rsidRDefault="00A722F8" w:rsidP="0041640C">
      <w:pPr>
        <w:pStyle w:val="TesisTitulo20"/>
        <w:numPr>
          <w:ilvl w:val="2"/>
          <w:numId w:val="9"/>
        </w:numPr>
        <w:ind w:left="1701" w:hanging="850"/>
      </w:pPr>
      <w:bookmarkStart w:id="286" w:name="_Toc339212690"/>
      <w:bookmarkStart w:id="287" w:name="_Toc341040617"/>
      <w:r w:rsidRPr="00576187">
        <w:t>Género</w:t>
      </w:r>
      <w:bookmarkEnd w:id="286"/>
      <w:bookmarkEnd w:id="287"/>
    </w:p>
    <w:p w:rsidR="00A722F8" w:rsidRDefault="00A722F8" w:rsidP="001853F0">
      <w:pPr>
        <w:pStyle w:val="Prrafodelista"/>
        <w:spacing w:line="480" w:lineRule="auto"/>
        <w:ind w:left="851"/>
        <w:jc w:val="both"/>
        <w:rPr>
          <w:rFonts w:ascii="Arial" w:hAnsi="Arial" w:cs="Arial"/>
        </w:rPr>
      </w:pPr>
      <w:r w:rsidRPr="00576187">
        <w:rPr>
          <w:rFonts w:ascii="Arial" w:hAnsi="Arial" w:cs="Arial"/>
        </w:rPr>
        <w:t>Manabí, expulsa alrededor del 30.86% de los hombres nacidos en dicha provincia y el 31.87% de las mujeres;</w:t>
      </w:r>
      <w:r>
        <w:rPr>
          <w:rFonts w:ascii="Arial" w:hAnsi="Arial" w:cs="Arial"/>
        </w:rPr>
        <w:t xml:space="preserve"> m</w:t>
      </w:r>
      <w:r w:rsidRPr="00576187">
        <w:rPr>
          <w:rFonts w:ascii="Arial" w:hAnsi="Arial" w:cs="Arial"/>
        </w:rPr>
        <w:t xml:space="preserve">ientras que si analizamos la proporción de cada género por provincia de emigración, tenemos que las provincias a las cuales van en mayor cantidad las mujeres que los hombres </w:t>
      </w:r>
      <w:r w:rsidRPr="00576187">
        <w:rPr>
          <w:rFonts w:ascii="Arial" w:hAnsi="Arial" w:cs="Arial"/>
        </w:rPr>
        <w:lastRenderedPageBreak/>
        <w:t xml:space="preserve">son Guayas, Imbabura, Chimborazo, Loja, Pichincha, entre otras; emigrando hacia Guayas un 52% de mujeres y lo restante son hombres; y, hacia Chimborazo un 56.30% de mujeres y el restante son de género masculino. </w:t>
      </w:r>
      <w:r w:rsidRPr="007E3C80">
        <w:rPr>
          <w:rFonts w:ascii="Arial" w:hAnsi="Arial" w:cs="Arial"/>
          <w:i/>
        </w:rPr>
        <w:t>Véase Tabla 2.</w:t>
      </w:r>
      <w:r w:rsidR="001853F0">
        <w:rPr>
          <w:rFonts w:ascii="Arial" w:hAnsi="Arial" w:cs="Arial"/>
          <w:i/>
        </w:rPr>
        <w:t>8</w:t>
      </w:r>
      <w:r w:rsidRPr="00576187">
        <w:rPr>
          <w:rFonts w:ascii="Arial" w:hAnsi="Arial" w:cs="Arial"/>
        </w:rPr>
        <w:t>.</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A722F8" w:rsidRPr="00840530" w:rsidTr="001853F0">
        <w:trPr>
          <w:trHeight w:val="3345"/>
          <w:jc w:val="right"/>
        </w:trPr>
        <w:tc>
          <w:tcPr>
            <w:tcW w:w="7535" w:type="dxa"/>
          </w:tcPr>
          <w:p w:rsidR="00A722F8" w:rsidRPr="00840530" w:rsidRDefault="00A722F8" w:rsidP="003F1262">
            <w:pPr>
              <w:rPr>
                <w:rFonts w:ascii="Arial" w:hAnsi="Arial" w:cs="Arial"/>
                <w:sz w:val="16"/>
                <w:szCs w:val="16"/>
              </w:rPr>
            </w:pPr>
          </w:p>
          <w:p w:rsidR="00B84E81" w:rsidRPr="00B84E81" w:rsidRDefault="00B84E81" w:rsidP="00B84E81">
            <w:pPr>
              <w:keepNext/>
              <w:rPr>
                <w:rFonts w:ascii="Arial" w:hAnsi="Arial" w:cs="Arial"/>
                <w:b/>
                <w:sz w:val="16"/>
                <w:szCs w:val="16"/>
              </w:rPr>
            </w:pPr>
            <w:bookmarkStart w:id="288" w:name="_Toc341041583"/>
            <w:r w:rsidRPr="00B84E81">
              <w:rPr>
                <w:rFonts w:ascii="Arial" w:hAnsi="Arial" w:cs="Arial"/>
                <w:b/>
                <w:sz w:val="16"/>
                <w:szCs w:val="16"/>
              </w:rPr>
              <w:t>Tabla</w:t>
            </w:r>
            <w:r>
              <w:rPr>
                <w:rFonts w:ascii="Arial" w:hAnsi="Arial" w:cs="Arial"/>
                <w:b/>
                <w:sz w:val="16"/>
                <w:szCs w:val="16"/>
              </w:rPr>
              <w:t xml:space="preserve"> </w:t>
            </w:r>
            <w:r w:rsidRPr="00B84E81">
              <w:rPr>
                <w:rFonts w:ascii="Arial" w:hAnsi="Arial" w:cs="Arial"/>
                <w:b/>
                <w:sz w:val="16"/>
                <w:szCs w:val="16"/>
              </w:rPr>
              <w:t>2.</w:t>
            </w:r>
            <w:r w:rsidR="00990535" w:rsidRPr="00B84E81">
              <w:rPr>
                <w:rFonts w:ascii="Arial" w:hAnsi="Arial" w:cs="Arial"/>
                <w:b/>
                <w:sz w:val="16"/>
                <w:szCs w:val="16"/>
              </w:rPr>
              <w:fldChar w:fldCharType="begin"/>
            </w:r>
            <w:r w:rsidRPr="00B84E81">
              <w:rPr>
                <w:rFonts w:ascii="Arial" w:hAnsi="Arial" w:cs="Arial"/>
                <w:b/>
                <w:sz w:val="16"/>
                <w:szCs w:val="16"/>
              </w:rPr>
              <w:instrText xml:space="preserve"> SEQ Tabla2. \* ARABIC </w:instrText>
            </w:r>
            <w:r w:rsidR="00990535" w:rsidRPr="00B84E81">
              <w:rPr>
                <w:rFonts w:ascii="Arial" w:hAnsi="Arial" w:cs="Arial"/>
                <w:b/>
                <w:sz w:val="16"/>
                <w:szCs w:val="16"/>
              </w:rPr>
              <w:fldChar w:fldCharType="separate"/>
            </w:r>
            <w:r w:rsidR="00A242E0">
              <w:rPr>
                <w:rFonts w:ascii="Arial" w:hAnsi="Arial" w:cs="Arial"/>
                <w:b/>
                <w:noProof/>
                <w:sz w:val="16"/>
                <w:szCs w:val="16"/>
              </w:rPr>
              <w:t>8</w:t>
            </w:r>
            <w:bookmarkEnd w:id="288"/>
            <w:r w:rsidR="00990535" w:rsidRPr="00B84E81">
              <w:rPr>
                <w:rFonts w:ascii="Arial" w:hAnsi="Arial" w:cs="Arial"/>
                <w:b/>
                <w:sz w:val="16"/>
                <w:szCs w:val="16"/>
              </w:rPr>
              <w:fldChar w:fldCharType="end"/>
            </w:r>
          </w:p>
          <w:p w:rsidR="00A722F8" w:rsidRPr="006148C1" w:rsidRDefault="001853F0" w:rsidP="003F1262">
            <w:pPr>
              <w:rPr>
                <w:rFonts w:ascii="Arial" w:hAnsi="Arial" w:cs="Arial"/>
                <w:i/>
                <w:sz w:val="16"/>
                <w:szCs w:val="16"/>
              </w:rPr>
            </w:pPr>
            <w:r>
              <w:rPr>
                <w:rFonts w:ascii="Arial" w:hAnsi="Arial" w:cs="Arial"/>
                <w:b/>
                <w:i/>
                <w:sz w:val="16"/>
                <w:szCs w:val="16"/>
              </w:rPr>
              <w:t xml:space="preserve">Manabí 2010: </w:t>
            </w:r>
            <w:r w:rsidR="00A722F8" w:rsidRPr="006148C1">
              <w:rPr>
                <w:rFonts w:ascii="Arial" w:hAnsi="Arial" w:cs="Arial"/>
                <w:i/>
                <w:sz w:val="16"/>
                <w:szCs w:val="16"/>
              </w:rPr>
              <w:t>Proporción de Género dado que se conoce la provincia de Residencia habitual</w:t>
            </w:r>
          </w:p>
          <w:p w:rsidR="00A722F8" w:rsidRPr="00F62D87" w:rsidRDefault="00A722F8" w:rsidP="003F1262">
            <w:pPr>
              <w:rPr>
                <w:rFonts w:ascii="Arial" w:hAnsi="Arial" w:cs="Arial"/>
                <w:i/>
                <w:sz w:val="10"/>
                <w:szCs w:val="10"/>
              </w:rPr>
            </w:pPr>
          </w:p>
          <w:tbl>
            <w:tblPr>
              <w:tblW w:w="7107" w:type="dxa"/>
              <w:jc w:val="center"/>
              <w:tblCellMar>
                <w:left w:w="70" w:type="dxa"/>
                <w:right w:w="70" w:type="dxa"/>
              </w:tblCellMar>
              <w:tblLook w:val="04A0" w:firstRow="1" w:lastRow="0" w:firstColumn="1" w:lastColumn="0" w:noHBand="0" w:noVBand="1"/>
            </w:tblPr>
            <w:tblGrid>
              <w:gridCol w:w="1723"/>
              <w:gridCol w:w="923"/>
              <w:gridCol w:w="896"/>
              <w:gridCol w:w="1725"/>
              <w:gridCol w:w="923"/>
              <w:gridCol w:w="917"/>
            </w:tblGrid>
            <w:tr w:rsidR="00A722F8" w:rsidRPr="008E2F6A" w:rsidTr="003F1262">
              <w:trPr>
                <w:trHeight w:val="20"/>
                <w:jc w:val="center"/>
              </w:trPr>
              <w:tc>
                <w:tcPr>
                  <w:tcW w:w="1723" w:type="dxa"/>
                  <w:vMerge w:val="restart"/>
                  <w:tcBorders>
                    <w:top w:val="single" w:sz="4" w:space="0" w:color="auto"/>
                    <w:left w:val="nil"/>
                    <w:right w:val="nil"/>
                  </w:tcBorders>
                  <w:shd w:val="clear" w:color="auto" w:fill="auto"/>
                  <w:vAlign w:val="center"/>
                  <w:hideMark/>
                </w:tcPr>
                <w:p w:rsidR="00A722F8" w:rsidRPr="008E2F6A" w:rsidRDefault="00A722F8" w:rsidP="003F1262">
                  <w:pPr>
                    <w:rPr>
                      <w:rFonts w:ascii="Arial" w:eastAsia="Times New Roman" w:hAnsi="Arial" w:cs="Arial"/>
                      <w:b/>
                      <w:bCs/>
                      <w:sz w:val="15"/>
                      <w:szCs w:val="15"/>
                      <w:lang w:eastAsia="es-EC"/>
                    </w:rPr>
                  </w:pPr>
                  <w:r w:rsidRPr="008E2F6A">
                    <w:rPr>
                      <w:rFonts w:ascii="Arial" w:eastAsia="Times New Roman" w:hAnsi="Arial" w:cs="Arial"/>
                      <w:b/>
                      <w:bCs/>
                      <w:sz w:val="15"/>
                      <w:szCs w:val="15"/>
                      <w:lang w:eastAsia="es-EC"/>
                    </w:rPr>
                    <w:t>Provincia de Residencia Habitual</w:t>
                  </w:r>
                </w:p>
              </w:tc>
              <w:tc>
                <w:tcPr>
                  <w:tcW w:w="1819" w:type="dxa"/>
                  <w:gridSpan w:val="2"/>
                  <w:tcBorders>
                    <w:top w:val="single" w:sz="4" w:space="0" w:color="auto"/>
                    <w:left w:val="nil"/>
                    <w:bottom w:val="single" w:sz="4" w:space="0" w:color="auto"/>
                    <w:right w:val="nil"/>
                  </w:tcBorders>
                  <w:shd w:val="clear" w:color="auto" w:fill="auto"/>
                  <w:noWrap/>
                  <w:vAlign w:val="center"/>
                  <w:hideMark/>
                </w:tcPr>
                <w:p w:rsidR="00A722F8" w:rsidRPr="008E2F6A" w:rsidRDefault="00A722F8" w:rsidP="003F1262">
                  <w:pPr>
                    <w:rPr>
                      <w:rFonts w:ascii="Arial" w:eastAsia="Times New Roman" w:hAnsi="Arial" w:cs="Arial"/>
                      <w:b/>
                      <w:bCs/>
                      <w:sz w:val="15"/>
                      <w:szCs w:val="15"/>
                      <w:lang w:eastAsia="es-EC"/>
                    </w:rPr>
                  </w:pPr>
                  <w:r w:rsidRPr="008E2F6A">
                    <w:rPr>
                      <w:rFonts w:ascii="Arial" w:eastAsia="Times New Roman" w:hAnsi="Arial" w:cs="Arial"/>
                      <w:b/>
                      <w:bCs/>
                      <w:sz w:val="15"/>
                      <w:szCs w:val="15"/>
                      <w:lang w:eastAsia="es-EC"/>
                    </w:rPr>
                    <w:t>Género</w:t>
                  </w:r>
                </w:p>
              </w:tc>
              <w:tc>
                <w:tcPr>
                  <w:tcW w:w="1725" w:type="dxa"/>
                  <w:vMerge w:val="restart"/>
                  <w:tcBorders>
                    <w:top w:val="single" w:sz="4" w:space="0" w:color="auto"/>
                    <w:left w:val="single" w:sz="4" w:space="0" w:color="auto"/>
                    <w:right w:val="nil"/>
                  </w:tcBorders>
                  <w:shd w:val="clear" w:color="auto" w:fill="auto"/>
                  <w:vAlign w:val="center"/>
                  <w:hideMark/>
                </w:tcPr>
                <w:p w:rsidR="00A722F8" w:rsidRPr="008E2F6A" w:rsidRDefault="00A722F8" w:rsidP="003F1262">
                  <w:pPr>
                    <w:rPr>
                      <w:rFonts w:ascii="Arial" w:eastAsia="Times New Roman" w:hAnsi="Arial" w:cs="Arial"/>
                      <w:b/>
                      <w:bCs/>
                      <w:sz w:val="15"/>
                      <w:szCs w:val="15"/>
                      <w:lang w:eastAsia="es-EC"/>
                    </w:rPr>
                  </w:pPr>
                  <w:r w:rsidRPr="008E2F6A">
                    <w:rPr>
                      <w:rFonts w:ascii="Arial" w:eastAsia="Times New Roman" w:hAnsi="Arial" w:cs="Arial"/>
                      <w:b/>
                      <w:bCs/>
                      <w:sz w:val="15"/>
                      <w:szCs w:val="15"/>
                      <w:lang w:eastAsia="es-EC"/>
                    </w:rPr>
                    <w:t>Provincia de Residencia Habitual</w:t>
                  </w:r>
                </w:p>
              </w:tc>
              <w:tc>
                <w:tcPr>
                  <w:tcW w:w="1840" w:type="dxa"/>
                  <w:gridSpan w:val="2"/>
                  <w:tcBorders>
                    <w:top w:val="single" w:sz="4" w:space="0" w:color="auto"/>
                    <w:left w:val="nil"/>
                    <w:bottom w:val="single" w:sz="4" w:space="0" w:color="auto"/>
                    <w:right w:val="nil"/>
                  </w:tcBorders>
                  <w:shd w:val="clear" w:color="auto" w:fill="auto"/>
                  <w:noWrap/>
                  <w:vAlign w:val="center"/>
                  <w:hideMark/>
                </w:tcPr>
                <w:p w:rsidR="00A722F8" w:rsidRPr="008E2F6A" w:rsidRDefault="00A722F8" w:rsidP="003F1262">
                  <w:pPr>
                    <w:rPr>
                      <w:rFonts w:ascii="Arial" w:eastAsia="Times New Roman" w:hAnsi="Arial" w:cs="Arial"/>
                      <w:b/>
                      <w:bCs/>
                      <w:sz w:val="15"/>
                      <w:szCs w:val="15"/>
                      <w:lang w:eastAsia="es-EC"/>
                    </w:rPr>
                  </w:pPr>
                  <w:r w:rsidRPr="008E2F6A">
                    <w:rPr>
                      <w:rFonts w:ascii="Arial" w:eastAsia="Times New Roman" w:hAnsi="Arial" w:cs="Arial"/>
                      <w:b/>
                      <w:bCs/>
                      <w:sz w:val="15"/>
                      <w:szCs w:val="15"/>
                      <w:lang w:eastAsia="es-EC"/>
                    </w:rPr>
                    <w:t>Género</w:t>
                  </w:r>
                </w:p>
              </w:tc>
            </w:tr>
            <w:tr w:rsidR="00A722F8" w:rsidRPr="008E2F6A" w:rsidTr="003F1262">
              <w:trPr>
                <w:trHeight w:val="20"/>
                <w:jc w:val="center"/>
              </w:trPr>
              <w:tc>
                <w:tcPr>
                  <w:tcW w:w="1723" w:type="dxa"/>
                  <w:vMerge/>
                  <w:tcBorders>
                    <w:left w:val="nil"/>
                    <w:bottom w:val="single" w:sz="4" w:space="0" w:color="000000"/>
                    <w:right w:val="nil"/>
                  </w:tcBorders>
                  <w:shd w:val="clear" w:color="auto" w:fill="auto"/>
                  <w:vAlign w:val="center"/>
                  <w:hideMark/>
                </w:tcPr>
                <w:p w:rsidR="00A722F8" w:rsidRPr="008E2F6A" w:rsidRDefault="00A722F8" w:rsidP="003F1262">
                  <w:pPr>
                    <w:rPr>
                      <w:rFonts w:ascii="Arial" w:eastAsia="Times New Roman" w:hAnsi="Arial" w:cs="Arial"/>
                      <w:b/>
                      <w:bCs/>
                      <w:sz w:val="15"/>
                      <w:szCs w:val="15"/>
                      <w:lang w:eastAsia="es-EC"/>
                    </w:rPr>
                  </w:pPr>
                </w:p>
              </w:tc>
              <w:tc>
                <w:tcPr>
                  <w:tcW w:w="923" w:type="dxa"/>
                  <w:tcBorders>
                    <w:top w:val="nil"/>
                    <w:left w:val="nil"/>
                    <w:bottom w:val="single" w:sz="4" w:space="0" w:color="auto"/>
                    <w:right w:val="nil"/>
                  </w:tcBorders>
                  <w:shd w:val="clear" w:color="auto" w:fill="auto"/>
                  <w:vAlign w:val="center"/>
                  <w:hideMark/>
                </w:tcPr>
                <w:p w:rsidR="00A722F8" w:rsidRPr="008E2F6A" w:rsidRDefault="00A722F8" w:rsidP="003F1262">
                  <w:pPr>
                    <w:rPr>
                      <w:rFonts w:ascii="Arial" w:eastAsia="Times New Roman" w:hAnsi="Arial" w:cs="Arial"/>
                      <w:b/>
                      <w:bCs/>
                      <w:sz w:val="15"/>
                      <w:szCs w:val="15"/>
                      <w:lang w:eastAsia="es-EC"/>
                    </w:rPr>
                  </w:pPr>
                  <w:r w:rsidRPr="008E2F6A">
                    <w:rPr>
                      <w:rFonts w:ascii="Arial" w:eastAsia="Times New Roman" w:hAnsi="Arial" w:cs="Arial"/>
                      <w:b/>
                      <w:bCs/>
                      <w:sz w:val="15"/>
                      <w:szCs w:val="15"/>
                      <w:lang w:eastAsia="es-EC"/>
                    </w:rPr>
                    <w:t>Masculino</w:t>
                  </w:r>
                </w:p>
              </w:tc>
              <w:tc>
                <w:tcPr>
                  <w:tcW w:w="896" w:type="dxa"/>
                  <w:tcBorders>
                    <w:top w:val="nil"/>
                    <w:left w:val="nil"/>
                    <w:bottom w:val="single" w:sz="4" w:space="0" w:color="auto"/>
                    <w:right w:val="nil"/>
                  </w:tcBorders>
                  <w:shd w:val="clear" w:color="auto" w:fill="auto"/>
                  <w:vAlign w:val="center"/>
                  <w:hideMark/>
                </w:tcPr>
                <w:p w:rsidR="00A722F8" w:rsidRPr="008E2F6A" w:rsidRDefault="00A722F8" w:rsidP="003F1262">
                  <w:pPr>
                    <w:rPr>
                      <w:rFonts w:ascii="Arial" w:eastAsia="Times New Roman" w:hAnsi="Arial" w:cs="Arial"/>
                      <w:b/>
                      <w:bCs/>
                      <w:sz w:val="15"/>
                      <w:szCs w:val="15"/>
                      <w:lang w:eastAsia="es-EC"/>
                    </w:rPr>
                  </w:pPr>
                  <w:r w:rsidRPr="008E2F6A">
                    <w:rPr>
                      <w:rFonts w:ascii="Arial" w:eastAsia="Times New Roman" w:hAnsi="Arial" w:cs="Arial"/>
                      <w:b/>
                      <w:bCs/>
                      <w:sz w:val="15"/>
                      <w:szCs w:val="15"/>
                      <w:lang w:eastAsia="es-EC"/>
                    </w:rPr>
                    <w:t>Femenino</w:t>
                  </w:r>
                </w:p>
              </w:tc>
              <w:tc>
                <w:tcPr>
                  <w:tcW w:w="1725" w:type="dxa"/>
                  <w:vMerge/>
                  <w:tcBorders>
                    <w:left w:val="single" w:sz="4" w:space="0" w:color="auto"/>
                    <w:bottom w:val="single" w:sz="4" w:space="0" w:color="000000"/>
                    <w:right w:val="nil"/>
                  </w:tcBorders>
                  <w:vAlign w:val="center"/>
                  <w:hideMark/>
                </w:tcPr>
                <w:p w:rsidR="00A722F8" w:rsidRPr="008E2F6A" w:rsidRDefault="00A722F8" w:rsidP="003F1262">
                  <w:pPr>
                    <w:rPr>
                      <w:rFonts w:ascii="Arial" w:eastAsia="Times New Roman" w:hAnsi="Arial" w:cs="Arial"/>
                      <w:b/>
                      <w:bCs/>
                      <w:sz w:val="15"/>
                      <w:szCs w:val="15"/>
                      <w:lang w:eastAsia="es-EC"/>
                    </w:rPr>
                  </w:pPr>
                </w:p>
              </w:tc>
              <w:tc>
                <w:tcPr>
                  <w:tcW w:w="923" w:type="dxa"/>
                  <w:tcBorders>
                    <w:top w:val="nil"/>
                    <w:left w:val="nil"/>
                    <w:bottom w:val="single" w:sz="4" w:space="0" w:color="auto"/>
                    <w:right w:val="nil"/>
                  </w:tcBorders>
                  <w:shd w:val="clear" w:color="auto" w:fill="auto"/>
                  <w:vAlign w:val="center"/>
                  <w:hideMark/>
                </w:tcPr>
                <w:p w:rsidR="00A722F8" w:rsidRPr="008E2F6A" w:rsidRDefault="00A722F8" w:rsidP="003F1262">
                  <w:pPr>
                    <w:rPr>
                      <w:rFonts w:ascii="Arial" w:eastAsia="Times New Roman" w:hAnsi="Arial" w:cs="Arial"/>
                      <w:b/>
                      <w:bCs/>
                      <w:sz w:val="15"/>
                      <w:szCs w:val="15"/>
                      <w:lang w:eastAsia="es-EC"/>
                    </w:rPr>
                  </w:pPr>
                  <w:r w:rsidRPr="008E2F6A">
                    <w:rPr>
                      <w:rFonts w:ascii="Arial" w:eastAsia="Times New Roman" w:hAnsi="Arial" w:cs="Arial"/>
                      <w:b/>
                      <w:bCs/>
                      <w:sz w:val="15"/>
                      <w:szCs w:val="15"/>
                      <w:lang w:eastAsia="es-EC"/>
                    </w:rPr>
                    <w:t>Masculino</w:t>
                  </w:r>
                </w:p>
              </w:tc>
              <w:tc>
                <w:tcPr>
                  <w:tcW w:w="917" w:type="dxa"/>
                  <w:tcBorders>
                    <w:top w:val="nil"/>
                    <w:left w:val="nil"/>
                    <w:bottom w:val="single" w:sz="4" w:space="0" w:color="auto"/>
                    <w:right w:val="nil"/>
                  </w:tcBorders>
                  <w:shd w:val="clear" w:color="auto" w:fill="auto"/>
                  <w:vAlign w:val="center"/>
                  <w:hideMark/>
                </w:tcPr>
                <w:p w:rsidR="00A722F8" w:rsidRPr="008E2F6A" w:rsidRDefault="00A722F8" w:rsidP="003F1262">
                  <w:pPr>
                    <w:rPr>
                      <w:rFonts w:ascii="Arial" w:eastAsia="Times New Roman" w:hAnsi="Arial" w:cs="Arial"/>
                      <w:b/>
                      <w:bCs/>
                      <w:sz w:val="15"/>
                      <w:szCs w:val="15"/>
                      <w:lang w:eastAsia="es-EC"/>
                    </w:rPr>
                  </w:pPr>
                  <w:r w:rsidRPr="008E2F6A">
                    <w:rPr>
                      <w:rFonts w:ascii="Arial" w:eastAsia="Times New Roman" w:hAnsi="Arial" w:cs="Arial"/>
                      <w:b/>
                      <w:bCs/>
                      <w:sz w:val="15"/>
                      <w:szCs w:val="15"/>
                      <w:lang w:eastAsia="es-EC"/>
                    </w:rPr>
                    <w:t>Femenino</w:t>
                  </w:r>
                </w:p>
              </w:tc>
            </w:tr>
            <w:tr w:rsidR="00A722F8" w:rsidRPr="008E2F6A" w:rsidTr="003F1262">
              <w:trPr>
                <w:trHeight w:val="20"/>
                <w:jc w:val="center"/>
              </w:trPr>
              <w:tc>
                <w:tcPr>
                  <w:tcW w:w="1723" w:type="dxa"/>
                  <w:tcBorders>
                    <w:top w:val="nil"/>
                    <w:left w:val="nil"/>
                    <w:bottom w:val="nil"/>
                    <w:right w:val="nil"/>
                  </w:tcBorders>
                  <w:shd w:val="clear" w:color="auto" w:fill="auto"/>
                  <w:noWrap/>
                  <w:vAlign w:val="center"/>
                  <w:hideMark/>
                </w:tcPr>
                <w:p w:rsidR="00A722F8" w:rsidRPr="008E2F6A" w:rsidRDefault="00A722F8" w:rsidP="00464B6E">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Azuay</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0.553</w:t>
                  </w:r>
                </w:p>
              </w:tc>
              <w:tc>
                <w:tcPr>
                  <w:tcW w:w="896"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0.447</w:t>
                  </w:r>
                </w:p>
              </w:tc>
              <w:tc>
                <w:tcPr>
                  <w:tcW w:w="1725" w:type="dxa"/>
                  <w:tcBorders>
                    <w:top w:val="nil"/>
                    <w:left w:val="single" w:sz="4" w:space="0" w:color="auto"/>
                    <w:bottom w:val="nil"/>
                    <w:right w:val="nil"/>
                  </w:tcBorders>
                  <w:shd w:val="clear" w:color="auto" w:fill="auto"/>
                  <w:noWrap/>
                  <w:vAlign w:val="center"/>
                  <w:hideMark/>
                </w:tcPr>
                <w:p w:rsidR="00A722F8" w:rsidRPr="008E2F6A" w:rsidRDefault="00A722F8" w:rsidP="007D7A28">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Morona Santiago</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0.615</w:t>
                  </w:r>
                </w:p>
              </w:tc>
              <w:tc>
                <w:tcPr>
                  <w:tcW w:w="917"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0.385</w:t>
                  </w:r>
                </w:p>
              </w:tc>
            </w:tr>
            <w:tr w:rsidR="00A722F8" w:rsidRPr="008E2F6A" w:rsidTr="003F1262">
              <w:trPr>
                <w:trHeight w:val="20"/>
                <w:jc w:val="center"/>
              </w:trPr>
              <w:tc>
                <w:tcPr>
                  <w:tcW w:w="1723" w:type="dxa"/>
                  <w:tcBorders>
                    <w:top w:val="nil"/>
                    <w:left w:val="nil"/>
                    <w:bottom w:val="nil"/>
                    <w:right w:val="nil"/>
                  </w:tcBorders>
                  <w:shd w:val="clear" w:color="auto" w:fill="auto"/>
                  <w:noWrap/>
                  <w:vAlign w:val="center"/>
                  <w:hideMark/>
                </w:tcPr>
                <w:p w:rsidR="00A722F8" w:rsidRPr="008E2F6A" w:rsidRDefault="00A722F8" w:rsidP="00464B6E">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Bolívar</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0.473</w:t>
                  </w:r>
                </w:p>
              </w:tc>
              <w:tc>
                <w:tcPr>
                  <w:tcW w:w="896"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0.527</w:t>
                  </w:r>
                </w:p>
              </w:tc>
              <w:tc>
                <w:tcPr>
                  <w:tcW w:w="1725" w:type="dxa"/>
                  <w:tcBorders>
                    <w:top w:val="nil"/>
                    <w:left w:val="single" w:sz="4" w:space="0" w:color="auto"/>
                    <w:bottom w:val="nil"/>
                    <w:right w:val="nil"/>
                  </w:tcBorders>
                  <w:shd w:val="clear" w:color="auto" w:fill="auto"/>
                  <w:noWrap/>
                  <w:vAlign w:val="center"/>
                  <w:hideMark/>
                </w:tcPr>
                <w:p w:rsidR="00A722F8" w:rsidRPr="008E2F6A" w:rsidRDefault="00A722F8" w:rsidP="007D7A28">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Napo</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0.529</w:t>
                  </w:r>
                </w:p>
              </w:tc>
              <w:tc>
                <w:tcPr>
                  <w:tcW w:w="917"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0.471</w:t>
                  </w:r>
                </w:p>
              </w:tc>
            </w:tr>
            <w:tr w:rsidR="00A722F8" w:rsidRPr="008E2F6A" w:rsidTr="003F1262">
              <w:trPr>
                <w:trHeight w:val="20"/>
                <w:jc w:val="center"/>
              </w:trPr>
              <w:tc>
                <w:tcPr>
                  <w:tcW w:w="1723" w:type="dxa"/>
                  <w:tcBorders>
                    <w:top w:val="nil"/>
                    <w:left w:val="nil"/>
                    <w:bottom w:val="nil"/>
                    <w:right w:val="nil"/>
                  </w:tcBorders>
                  <w:shd w:val="clear" w:color="auto" w:fill="auto"/>
                  <w:noWrap/>
                  <w:vAlign w:val="center"/>
                  <w:hideMark/>
                </w:tcPr>
                <w:p w:rsidR="00A722F8" w:rsidRPr="008E2F6A" w:rsidRDefault="00A722F8" w:rsidP="00464B6E">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Cañar</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0.554</w:t>
                  </w:r>
                </w:p>
              </w:tc>
              <w:tc>
                <w:tcPr>
                  <w:tcW w:w="896"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0.446</w:t>
                  </w:r>
                </w:p>
              </w:tc>
              <w:tc>
                <w:tcPr>
                  <w:tcW w:w="1725" w:type="dxa"/>
                  <w:tcBorders>
                    <w:top w:val="nil"/>
                    <w:left w:val="single" w:sz="4" w:space="0" w:color="auto"/>
                    <w:bottom w:val="nil"/>
                    <w:right w:val="nil"/>
                  </w:tcBorders>
                  <w:shd w:val="clear" w:color="auto" w:fill="auto"/>
                  <w:noWrap/>
                  <w:vAlign w:val="center"/>
                  <w:hideMark/>
                </w:tcPr>
                <w:p w:rsidR="00A722F8" w:rsidRPr="008E2F6A" w:rsidRDefault="00A722F8" w:rsidP="007D7A28">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Pastaza</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0.511</w:t>
                  </w:r>
                </w:p>
              </w:tc>
              <w:tc>
                <w:tcPr>
                  <w:tcW w:w="917"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0.489</w:t>
                  </w:r>
                </w:p>
              </w:tc>
            </w:tr>
            <w:tr w:rsidR="00A722F8" w:rsidRPr="008E2F6A" w:rsidTr="003F1262">
              <w:trPr>
                <w:trHeight w:val="20"/>
                <w:jc w:val="center"/>
              </w:trPr>
              <w:tc>
                <w:tcPr>
                  <w:tcW w:w="1723" w:type="dxa"/>
                  <w:tcBorders>
                    <w:top w:val="nil"/>
                    <w:left w:val="nil"/>
                    <w:bottom w:val="nil"/>
                    <w:right w:val="nil"/>
                  </w:tcBorders>
                  <w:shd w:val="clear" w:color="auto" w:fill="auto"/>
                  <w:noWrap/>
                  <w:vAlign w:val="center"/>
                  <w:hideMark/>
                </w:tcPr>
                <w:p w:rsidR="00A722F8" w:rsidRPr="008E2F6A" w:rsidRDefault="00A722F8" w:rsidP="00464B6E">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Carchi</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0.456</w:t>
                  </w:r>
                </w:p>
              </w:tc>
              <w:tc>
                <w:tcPr>
                  <w:tcW w:w="896"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0.544</w:t>
                  </w:r>
                </w:p>
              </w:tc>
              <w:tc>
                <w:tcPr>
                  <w:tcW w:w="1725" w:type="dxa"/>
                  <w:tcBorders>
                    <w:top w:val="nil"/>
                    <w:left w:val="single" w:sz="4" w:space="0" w:color="auto"/>
                    <w:bottom w:val="nil"/>
                    <w:right w:val="nil"/>
                  </w:tcBorders>
                  <w:shd w:val="clear" w:color="auto" w:fill="auto"/>
                  <w:noWrap/>
                  <w:vAlign w:val="center"/>
                  <w:hideMark/>
                </w:tcPr>
                <w:p w:rsidR="00A722F8" w:rsidRPr="008E2F6A" w:rsidRDefault="00A722F8" w:rsidP="007D7A28">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Pichincha</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0.466</w:t>
                  </w:r>
                </w:p>
              </w:tc>
              <w:tc>
                <w:tcPr>
                  <w:tcW w:w="917"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0.534</w:t>
                  </w:r>
                </w:p>
              </w:tc>
            </w:tr>
            <w:tr w:rsidR="00A722F8" w:rsidRPr="008E2F6A" w:rsidTr="003F1262">
              <w:trPr>
                <w:trHeight w:val="20"/>
                <w:jc w:val="center"/>
              </w:trPr>
              <w:tc>
                <w:tcPr>
                  <w:tcW w:w="1723" w:type="dxa"/>
                  <w:tcBorders>
                    <w:top w:val="nil"/>
                    <w:left w:val="nil"/>
                    <w:bottom w:val="nil"/>
                    <w:right w:val="nil"/>
                  </w:tcBorders>
                  <w:shd w:val="clear" w:color="auto" w:fill="auto"/>
                  <w:noWrap/>
                  <w:vAlign w:val="center"/>
                  <w:hideMark/>
                </w:tcPr>
                <w:p w:rsidR="00A722F8" w:rsidRPr="008E2F6A" w:rsidRDefault="00A722F8" w:rsidP="00464B6E">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Cotopaxi</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0.534</w:t>
                  </w:r>
                </w:p>
              </w:tc>
              <w:tc>
                <w:tcPr>
                  <w:tcW w:w="896"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0.466</w:t>
                  </w:r>
                </w:p>
              </w:tc>
              <w:tc>
                <w:tcPr>
                  <w:tcW w:w="1725" w:type="dxa"/>
                  <w:tcBorders>
                    <w:top w:val="nil"/>
                    <w:left w:val="single" w:sz="4" w:space="0" w:color="auto"/>
                    <w:bottom w:val="nil"/>
                    <w:right w:val="nil"/>
                  </w:tcBorders>
                  <w:shd w:val="clear" w:color="auto" w:fill="auto"/>
                  <w:noWrap/>
                  <w:vAlign w:val="center"/>
                  <w:hideMark/>
                </w:tcPr>
                <w:p w:rsidR="00A722F8" w:rsidRPr="008E2F6A" w:rsidRDefault="00A722F8" w:rsidP="007D7A28">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Tungurahua</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0.458</w:t>
                  </w:r>
                </w:p>
              </w:tc>
              <w:tc>
                <w:tcPr>
                  <w:tcW w:w="917"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0.542</w:t>
                  </w:r>
                </w:p>
              </w:tc>
            </w:tr>
            <w:tr w:rsidR="00A722F8" w:rsidRPr="008E2F6A" w:rsidTr="003F1262">
              <w:trPr>
                <w:trHeight w:val="20"/>
                <w:jc w:val="center"/>
              </w:trPr>
              <w:tc>
                <w:tcPr>
                  <w:tcW w:w="1723" w:type="dxa"/>
                  <w:tcBorders>
                    <w:top w:val="nil"/>
                    <w:left w:val="nil"/>
                    <w:bottom w:val="nil"/>
                    <w:right w:val="nil"/>
                  </w:tcBorders>
                  <w:shd w:val="clear" w:color="auto" w:fill="auto"/>
                  <w:noWrap/>
                  <w:vAlign w:val="center"/>
                  <w:hideMark/>
                </w:tcPr>
                <w:p w:rsidR="00A722F8" w:rsidRPr="008E2F6A" w:rsidRDefault="00A722F8" w:rsidP="00464B6E">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Chimborazo</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0.437</w:t>
                  </w:r>
                </w:p>
              </w:tc>
              <w:tc>
                <w:tcPr>
                  <w:tcW w:w="896"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0.563</w:t>
                  </w:r>
                </w:p>
              </w:tc>
              <w:tc>
                <w:tcPr>
                  <w:tcW w:w="1725" w:type="dxa"/>
                  <w:tcBorders>
                    <w:top w:val="nil"/>
                    <w:left w:val="single" w:sz="4" w:space="0" w:color="auto"/>
                    <w:bottom w:val="nil"/>
                    <w:right w:val="nil"/>
                  </w:tcBorders>
                  <w:shd w:val="clear" w:color="auto" w:fill="auto"/>
                  <w:noWrap/>
                  <w:vAlign w:val="center"/>
                  <w:hideMark/>
                </w:tcPr>
                <w:p w:rsidR="00A722F8" w:rsidRPr="008E2F6A" w:rsidRDefault="00A722F8" w:rsidP="007D7A28">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Zamora Chinchipe</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0.665</w:t>
                  </w:r>
                </w:p>
              </w:tc>
              <w:tc>
                <w:tcPr>
                  <w:tcW w:w="917"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0.335</w:t>
                  </w:r>
                </w:p>
              </w:tc>
            </w:tr>
            <w:tr w:rsidR="00A722F8" w:rsidRPr="008E2F6A" w:rsidTr="003F1262">
              <w:trPr>
                <w:trHeight w:val="20"/>
                <w:jc w:val="center"/>
              </w:trPr>
              <w:tc>
                <w:tcPr>
                  <w:tcW w:w="1723" w:type="dxa"/>
                  <w:tcBorders>
                    <w:top w:val="nil"/>
                    <w:left w:val="nil"/>
                    <w:bottom w:val="nil"/>
                    <w:right w:val="nil"/>
                  </w:tcBorders>
                  <w:shd w:val="clear" w:color="auto" w:fill="auto"/>
                  <w:noWrap/>
                  <w:vAlign w:val="center"/>
                  <w:hideMark/>
                </w:tcPr>
                <w:p w:rsidR="00A722F8" w:rsidRPr="008E2F6A" w:rsidRDefault="00A722F8" w:rsidP="00464B6E">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El Oro</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0.535</w:t>
                  </w:r>
                </w:p>
              </w:tc>
              <w:tc>
                <w:tcPr>
                  <w:tcW w:w="896"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0.465</w:t>
                  </w:r>
                </w:p>
              </w:tc>
              <w:tc>
                <w:tcPr>
                  <w:tcW w:w="1725" w:type="dxa"/>
                  <w:tcBorders>
                    <w:top w:val="nil"/>
                    <w:left w:val="single" w:sz="4" w:space="0" w:color="auto"/>
                    <w:bottom w:val="nil"/>
                    <w:right w:val="nil"/>
                  </w:tcBorders>
                  <w:shd w:val="clear" w:color="auto" w:fill="auto"/>
                  <w:noWrap/>
                  <w:vAlign w:val="center"/>
                  <w:hideMark/>
                </w:tcPr>
                <w:p w:rsidR="00A722F8" w:rsidRPr="008E2F6A" w:rsidRDefault="00A722F8" w:rsidP="007D7A28">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Galápagos</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0.490</w:t>
                  </w:r>
                </w:p>
              </w:tc>
              <w:tc>
                <w:tcPr>
                  <w:tcW w:w="917"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0.510</w:t>
                  </w:r>
                </w:p>
              </w:tc>
            </w:tr>
            <w:tr w:rsidR="00A722F8" w:rsidRPr="008E2F6A" w:rsidTr="003F1262">
              <w:trPr>
                <w:trHeight w:val="20"/>
                <w:jc w:val="center"/>
              </w:trPr>
              <w:tc>
                <w:tcPr>
                  <w:tcW w:w="1723" w:type="dxa"/>
                  <w:tcBorders>
                    <w:top w:val="nil"/>
                    <w:left w:val="nil"/>
                    <w:bottom w:val="nil"/>
                    <w:right w:val="nil"/>
                  </w:tcBorders>
                  <w:shd w:val="clear" w:color="auto" w:fill="auto"/>
                  <w:noWrap/>
                  <w:vAlign w:val="center"/>
                  <w:hideMark/>
                </w:tcPr>
                <w:p w:rsidR="00A722F8" w:rsidRPr="008E2F6A" w:rsidRDefault="00A722F8" w:rsidP="00464B6E">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Esmeraldas</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0.527</w:t>
                  </w:r>
                </w:p>
              </w:tc>
              <w:tc>
                <w:tcPr>
                  <w:tcW w:w="896"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0.473</w:t>
                  </w:r>
                </w:p>
              </w:tc>
              <w:tc>
                <w:tcPr>
                  <w:tcW w:w="1725" w:type="dxa"/>
                  <w:tcBorders>
                    <w:top w:val="nil"/>
                    <w:left w:val="single" w:sz="4" w:space="0" w:color="auto"/>
                    <w:bottom w:val="nil"/>
                    <w:right w:val="nil"/>
                  </w:tcBorders>
                  <w:shd w:val="clear" w:color="auto" w:fill="auto"/>
                  <w:noWrap/>
                  <w:vAlign w:val="center"/>
                  <w:hideMark/>
                </w:tcPr>
                <w:p w:rsidR="00A722F8" w:rsidRPr="008E2F6A" w:rsidRDefault="00A722F8" w:rsidP="007D7A28">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Sucumbíos</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0.538</w:t>
                  </w:r>
                </w:p>
              </w:tc>
              <w:tc>
                <w:tcPr>
                  <w:tcW w:w="917"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0.462</w:t>
                  </w:r>
                </w:p>
              </w:tc>
            </w:tr>
            <w:tr w:rsidR="00A722F8" w:rsidRPr="008E2F6A" w:rsidTr="003F1262">
              <w:trPr>
                <w:trHeight w:val="20"/>
                <w:jc w:val="center"/>
              </w:trPr>
              <w:tc>
                <w:tcPr>
                  <w:tcW w:w="1723" w:type="dxa"/>
                  <w:tcBorders>
                    <w:top w:val="nil"/>
                    <w:left w:val="nil"/>
                    <w:bottom w:val="nil"/>
                    <w:right w:val="nil"/>
                  </w:tcBorders>
                  <w:shd w:val="clear" w:color="auto" w:fill="auto"/>
                  <w:noWrap/>
                  <w:vAlign w:val="center"/>
                  <w:hideMark/>
                </w:tcPr>
                <w:p w:rsidR="00A722F8" w:rsidRPr="008E2F6A" w:rsidRDefault="00A722F8" w:rsidP="00464B6E">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Guayas</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0.480</w:t>
                  </w:r>
                </w:p>
              </w:tc>
              <w:tc>
                <w:tcPr>
                  <w:tcW w:w="896"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0.520</w:t>
                  </w:r>
                </w:p>
              </w:tc>
              <w:tc>
                <w:tcPr>
                  <w:tcW w:w="1725" w:type="dxa"/>
                  <w:tcBorders>
                    <w:top w:val="nil"/>
                    <w:left w:val="single" w:sz="4" w:space="0" w:color="auto"/>
                    <w:bottom w:val="nil"/>
                    <w:right w:val="nil"/>
                  </w:tcBorders>
                  <w:shd w:val="clear" w:color="auto" w:fill="auto"/>
                  <w:noWrap/>
                  <w:vAlign w:val="center"/>
                  <w:hideMark/>
                </w:tcPr>
                <w:p w:rsidR="00A722F8" w:rsidRPr="008E2F6A" w:rsidRDefault="00A722F8" w:rsidP="007D7A28">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Orellana</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0.533</w:t>
                  </w:r>
                </w:p>
              </w:tc>
              <w:tc>
                <w:tcPr>
                  <w:tcW w:w="917"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0.467</w:t>
                  </w:r>
                </w:p>
              </w:tc>
            </w:tr>
            <w:tr w:rsidR="00A722F8" w:rsidRPr="008E2F6A" w:rsidTr="003F1262">
              <w:trPr>
                <w:trHeight w:val="20"/>
                <w:jc w:val="center"/>
              </w:trPr>
              <w:tc>
                <w:tcPr>
                  <w:tcW w:w="1723" w:type="dxa"/>
                  <w:tcBorders>
                    <w:top w:val="nil"/>
                    <w:left w:val="nil"/>
                    <w:bottom w:val="nil"/>
                    <w:right w:val="nil"/>
                  </w:tcBorders>
                  <w:shd w:val="clear" w:color="auto" w:fill="auto"/>
                  <w:noWrap/>
                  <w:vAlign w:val="center"/>
                  <w:hideMark/>
                </w:tcPr>
                <w:p w:rsidR="00A722F8" w:rsidRPr="008E2F6A" w:rsidRDefault="00A722F8" w:rsidP="00464B6E">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Imbabura</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0.450</w:t>
                  </w:r>
                </w:p>
              </w:tc>
              <w:tc>
                <w:tcPr>
                  <w:tcW w:w="896"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0.550</w:t>
                  </w:r>
                </w:p>
              </w:tc>
              <w:tc>
                <w:tcPr>
                  <w:tcW w:w="1725" w:type="dxa"/>
                  <w:tcBorders>
                    <w:top w:val="nil"/>
                    <w:left w:val="single" w:sz="4" w:space="0" w:color="auto"/>
                    <w:bottom w:val="nil"/>
                    <w:right w:val="nil"/>
                  </w:tcBorders>
                  <w:shd w:val="clear" w:color="auto" w:fill="auto"/>
                  <w:noWrap/>
                  <w:vAlign w:val="center"/>
                  <w:hideMark/>
                </w:tcPr>
                <w:p w:rsidR="00A722F8" w:rsidRPr="008E2F6A" w:rsidRDefault="00A722F8" w:rsidP="007D7A28">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Santo Domingo</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0.477</w:t>
                  </w:r>
                </w:p>
              </w:tc>
              <w:tc>
                <w:tcPr>
                  <w:tcW w:w="917"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0.523</w:t>
                  </w:r>
                </w:p>
              </w:tc>
            </w:tr>
            <w:tr w:rsidR="00A722F8" w:rsidRPr="008E2F6A" w:rsidTr="003F1262">
              <w:trPr>
                <w:trHeight w:val="20"/>
                <w:jc w:val="center"/>
              </w:trPr>
              <w:tc>
                <w:tcPr>
                  <w:tcW w:w="1723" w:type="dxa"/>
                  <w:tcBorders>
                    <w:top w:val="nil"/>
                    <w:left w:val="nil"/>
                    <w:bottom w:val="nil"/>
                    <w:right w:val="nil"/>
                  </w:tcBorders>
                  <w:shd w:val="clear" w:color="auto" w:fill="auto"/>
                  <w:noWrap/>
                  <w:vAlign w:val="center"/>
                  <w:hideMark/>
                </w:tcPr>
                <w:p w:rsidR="00A722F8" w:rsidRPr="008E2F6A" w:rsidRDefault="00A722F8" w:rsidP="00464B6E">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Loja</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0.485</w:t>
                  </w:r>
                </w:p>
              </w:tc>
              <w:tc>
                <w:tcPr>
                  <w:tcW w:w="896"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0.515</w:t>
                  </w:r>
                </w:p>
              </w:tc>
              <w:tc>
                <w:tcPr>
                  <w:tcW w:w="1725" w:type="dxa"/>
                  <w:tcBorders>
                    <w:top w:val="nil"/>
                    <w:left w:val="single" w:sz="4" w:space="0" w:color="auto"/>
                    <w:bottom w:val="nil"/>
                    <w:right w:val="nil"/>
                  </w:tcBorders>
                  <w:shd w:val="clear" w:color="auto" w:fill="auto"/>
                  <w:noWrap/>
                  <w:vAlign w:val="center"/>
                  <w:hideMark/>
                </w:tcPr>
                <w:p w:rsidR="00A722F8" w:rsidRPr="008E2F6A" w:rsidRDefault="00A722F8" w:rsidP="007D7A28">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Santa Elena</w:t>
                  </w:r>
                </w:p>
              </w:tc>
              <w:tc>
                <w:tcPr>
                  <w:tcW w:w="923"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0.511</w:t>
                  </w:r>
                </w:p>
              </w:tc>
              <w:tc>
                <w:tcPr>
                  <w:tcW w:w="917" w:type="dxa"/>
                  <w:tcBorders>
                    <w:top w:val="nil"/>
                    <w:left w:val="nil"/>
                    <w:bottom w:val="nil"/>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0.489</w:t>
                  </w:r>
                </w:p>
              </w:tc>
            </w:tr>
            <w:tr w:rsidR="00A722F8" w:rsidRPr="008E2F6A" w:rsidTr="003F1262">
              <w:trPr>
                <w:trHeight w:val="20"/>
                <w:jc w:val="center"/>
              </w:trPr>
              <w:tc>
                <w:tcPr>
                  <w:tcW w:w="1723" w:type="dxa"/>
                  <w:tcBorders>
                    <w:top w:val="nil"/>
                    <w:left w:val="nil"/>
                    <w:bottom w:val="single" w:sz="4" w:space="0" w:color="auto"/>
                    <w:right w:val="nil"/>
                  </w:tcBorders>
                  <w:shd w:val="clear" w:color="auto" w:fill="auto"/>
                  <w:noWrap/>
                  <w:vAlign w:val="center"/>
                  <w:hideMark/>
                </w:tcPr>
                <w:p w:rsidR="00A722F8" w:rsidRPr="008E2F6A" w:rsidRDefault="00A722F8" w:rsidP="00464B6E">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Los Ríos</w:t>
                  </w:r>
                </w:p>
              </w:tc>
              <w:tc>
                <w:tcPr>
                  <w:tcW w:w="923" w:type="dxa"/>
                  <w:tcBorders>
                    <w:top w:val="nil"/>
                    <w:left w:val="nil"/>
                    <w:bottom w:val="single" w:sz="4" w:space="0" w:color="auto"/>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0.513</w:t>
                  </w:r>
                </w:p>
              </w:tc>
              <w:tc>
                <w:tcPr>
                  <w:tcW w:w="896" w:type="dxa"/>
                  <w:tcBorders>
                    <w:top w:val="nil"/>
                    <w:left w:val="nil"/>
                    <w:bottom w:val="single" w:sz="4" w:space="0" w:color="auto"/>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0.487</w:t>
                  </w:r>
                </w:p>
              </w:tc>
              <w:tc>
                <w:tcPr>
                  <w:tcW w:w="1725" w:type="dxa"/>
                  <w:tcBorders>
                    <w:top w:val="nil"/>
                    <w:left w:val="single" w:sz="4" w:space="0" w:color="auto"/>
                    <w:bottom w:val="single" w:sz="4" w:space="0" w:color="auto"/>
                    <w:right w:val="nil"/>
                  </w:tcBorders>
                  <w:shd w:val="clear" w:color="auto" w:fill="auto"/>
                  <w:noWrap/>
                  <w:vAlign w:val="center"/>
                  <w:hideMark/>
                </w:tcPr>
                <w:p w:rsidR="00A722F8" w:rsidRPr="008E2F6A" w:rsidRDefault="00A722F8" w:rsidP="007D7A28">
                  <w:pPr>
                    <w:jc w:val="left"/>
                    <w:rPr>
                      <w:rFonts w:ascii="Arial" w:eastAsia="Times New Roman" w:hAnsi="Arial" w:cs="Arial"/>
                      <w:sz w:val="15"/>
                      <w:szCs w:val="15"/>
                      <w:lang w:eastAsia="es-EC"/>
                    </w:rPr>
                  </w:pPr>
                  <w:r w:rsidRPr="008E2F6A">
                    <w:rPr>
                      <w:rFonts w:ascii="Arial" w:eastAsia="Times New Roman" w:hAnsi="Arial" w:cs="Arial"/>
                      <w:sz w:val="15"/>
                      <w:szCs w:val="15"/>
                      <w:lang w:eastAsia="es-EC"/>
                    </w:rPr>
                    <w:t>Zonas no Delimitadas</w:t>
                  </w:r>
                </w:p>
              </w:tc>
              <w:tc>
                <w:tcPr>
                  <w:tcW w:w="923" w:type="dxa"/>
                  <w:tcBorders>
                    <w:top w:val="nil"/>
                    <w:left w:val="nil"/>
                    <w:bottom w:val="single" w:sz="4" w:space="0" w:color="auto"/>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0.528</w:t>
                  </w:r>
                </w:p>
              </w:tc>
              <w:tc>
                <w:tcPr>
                  <w:tcW w:w="917" w:type="dxa"/>
                  <w:tcBorders>
                    <w:top w:val="nil"/>
                    <w:left w:val="nil"/>
                    <w:bottom w:val="single" w:sz="4" w:space="0" w:color="auto"/>
                    <w:right w:val="nil"/>
                  </w:tcBorders>
                  <w:shd w:val="clear" w:color="auto" w:fill="auto"/>
                  <w:noWrap/>
                  <w:vAlign w:val="center"/>
                  <w:hideMark/>
                </w:tcPr>
                <w:p w:rsidR="00A722F8" w:rsidRPr="008E2F6A" w:rsidRDefault="00A722F8" w:rsidP="003F1262">
                  <w:pPr>
                    <w:rPr>
                      <w:rFonts w:ascii="Arial" w:eastAsia="Times New Roman" w:hAnsi="Arial" w:cs="Arial"/>
                      <w:sz w:val="15"/>
                      <w:szCs w:val="15"/>
                      <w:lang w:eastAsia="es-EC"/>
                    </w:rPr>
                  </w:pPr>
                  <w:r w:rsidRPr="008E2F6A">
                    <w:rPr>
                      <w:rFonts w:ascii="Arial" w:eastAsia="Times New Roman" w:hAnsi="Arial" w:cs="Arial"/>
                      <w:sz w:val="15"/>
                      <w:szCs w:val="15"/>
                      <w:lang w:eastAsia="es-EC"/>
                    </w:rPr>
                    <w:t>0.472</w:t>
                  </w:r>
                </w:p>
              </w:tc>
            </w:tr>
          </w:tbl>
          <w:p w:rsidR="00A722F8" w:rsidRPr="00840530" w:rsidRDefault="00A722F8" w:rsidP="003F1262">
            <w:pPr>
              <w:jc w:val="both"/>
              <w:rPr>
                <w:rFonts w:ascii="Arial" w:hAnsi="Arial" w:cs="Arial"/>
                <w:sz w:val="24"/>
                <w:szCs w:val="24"/>
              </w:rPr>
            </w:pPr>
          </w:p>
        </w:tc>
      </w:tr>
    </w:tbl>
    <w:p w:rsidR="00A722F8" w:rsidRPr="001853F0" w:rsidRDefault="00A722F8" w:rsidP="001853F0">
      <w:pPr>
        <w:pStyle w:val="Prrafodelista"/>
        <w:spacing w:line="276" w:lineRule="auto"/>
        <w:ind w:left="851"/>
        <w:jc w:val="both"/>
        <w:rPr>
          <w:rFonts w:ascii="Arial" w:hAnsi="Arial" w:cs="Arial"/>
          <w:b/>
          <w:i/>
          <w:sz w:val="17"/>
          <w:szCs w:val="17"/>
        </w:rPr>
      </w:pPr>
    </w:p>
    <w:p w:rsidR="00A722F8" w:rsidRPr="001853F0" w:rsidRDefault="00A722F8" w:rsidP="001853F0">
      <w:pPr>
        <w:pStyle w:val="Prrafodelista"/>
        <w:spacing w:line="276" w:lineRule="auto"/>
        <w:ind w:left="851"/>
        <w:jc w:val="both"/>
        <w:rPr>
          <w:rFonts w:ascii="Arial" w:hAnsi="Arial" w:cs="Arial"/>
          <w:sz w:val="17"/>
          <w:szCs w:val="17"/>
        </w:rPr>
      </w:pPr>
      <w:r w:rsidRPr="001853F0">
        <w:rPr>
          <w:rFonts w:ascii="Arial" w:hAnsi="Arial" w:cs="Arial"/>
          <w:b/>
          <w:i/>
          <w:sz w:val="17"/>
          <w:szCs w:val="17"/>
        </w:rPr>
        <w:t>Fuente:</w:t>
      </w:r>
      <w:r w:rsidRPr="001853F0">
        <w:rPr>
          <w:rFonts w:ascii="Arial" w:hAnsi="Arial" w:cs="Arial"/>
          <w:sz w:val="17"/>
          <w:szCs w:val="17"/>
        </w:rPr>
        <w:t xml:space="preserve"> </w:t>
      </w:r>
      <w:r w:rsidRPr="001853F0">
        <w:rPr>
          <w:rFonts w:ascii="Arial" w:hAnsi="Arial" w:cs="Arial"/>
          <w:b/>
          <w:sz w:val="17"/>
          <w:szCs w:val="17"/>
        </w:rPr>
        <w:t xml:space="preserve">INEC </w:t>
      </w:r>
      <w:r w:rsidRPr="001853F0">
        <w:rPr>
          <w:rFonts w:ascii="Arial" w:hAnsi="Arial" w:cs="Arial"/>
          <w:sz w:val="17"/>
          <w:szCs w:val="17"/>
        </w:rPr>
        <w:t>(2010), Base de Datos del VII Censo de Población y VI de Vivienda.</w:t>
      </w:r>
    </w:p>
    <w:p w:rsidR="00A722F8" w:rsidRDefault="00A722F8" w:rsidP="001853F0">
      <w:pPr>
        <w:pStyle w:val="Prrafodelista"/>
        <w:spacing w:line="276" w:lineRule="auto"/>
        <w:ind w:left="851"/>
        <w:jc w:val="both"/>
        <w:rPr>
          <w:rFonts w:ascii="Arial" w:hAnsi="Arial" w:cs="Arial"/>
          <w:sz w:val="17"/>
          <w:szCs w:val="17"/>
        </w:rPr>
      </w:pPr>
      <w:r w:rsidRPr="001853F0">
        <w:rPr>
          <w:rFonts w:ascii="Arial" w:hAnsi="Arial" w:cs="Arial"/>
          <w:b/>
          <w:i/>
          <w:sz w:val="17"/>
          <w:szCs w:val="17"/>
        </w:rPr>
        <w:t>Elaborado por:</w:t>
      </w:r>
      <w:r w:rsidRPr="001853F0">
        <w:rPr>
          <w:rFonts w:ascii="Arial" w:hAnsi="Arial" w:cs="Arial"/>
          <w:sz w:val="17"/>
          <w:szCs w:val="17"/>
        </w:rPr>
        <w:t xml:space="preserve"> Katherine Loor Valeriano</w:t>
      </w:r>
    </w:p>
    <w:p w:rsidR="001853F0" w:rsidRPr="001853F0" w:rsidRDefault="001853F0" w:rsidP="001853F0">
      <w:pPr>
        <w:pStyle w:val="Prrafodelista"/>
        <w:spacing w:line="480" w:lineRule="auto"/>
        <w:ind w:left="851"/>
        <w:jc w:val="both"/>
        <w:rPr>
          <w:rFonts w:ascii="Arial" w:hAnsi="Arial" w:cs="Arial"/>
        </w:rPr>
      </w:pPr>
    </w:p>
    <w:p w:rsidR="00A722F8" w:rsidRPr="00576187" w:rsidRDefault="00A722F8" w:rsidP="0041640C">
      <w:pPr>
        <w:pStyle w:val="TesisTitulo20"/>
        <w:numPr>
          <w:ilvl w:val="2"/>
          <w:numId w:val="9"/>
        </w:numPr>
        <w:ind w:left="1701" w:hanging="850"/>
      </w:pPr>
      <w:bookmarkStart w:id="289" w:name="_Toc339212691"/>
      <w:bookmarkStart w:id="290" w:name="_Toc341040618"/>
      <w:r w:rsidRPr="00576187">
        <w:t>Edad</w:t>
      </w:r>
      <w:bookmarkEnd w:id="289"/>
      <w:bookmarkEnd w:id="290"/>
    </w:p>
    <w:p w:rsidR="00EE21BD" w:rsidRDefault="00A722F8" w:rsidP="00EE21BD">
      <w:pPr>
        <w:pStyle w:val="Prrafodelista"/>
        <w:spacing w:line="480" w:lineRule="auto"/>
        <w:ind w:left="851"/>
        <w:jc w:val="both"/>
        <w:rPr>
          <w:rFonts w:ascii="Arial" w:hAnsi="Arial" w:cs="Arial"/>
        </w:rPr>
      </w:pPr>
      <w:r w:rsidRPr="00576187">
        <w:rPr>
          <w:rFonts w:ascii="Arial" w:hAnsi="Arial" w:cs="Arial"/>
        </w:rPr>
        <w:t>En lo que respecta a la edad, tenemos que esta provincia ha expulsado alrededor del 38.42% de su población con edades entre 15 y 65 años (edad económicamente activa). Las edades de los emigrantes se distribuye de la siguiente manera, el 9.05% corresponde a los emigrantes con edades menores a 15 años, el 83.46% son personas en edad económicamente activa y el porcentaje restante (7.49%) son los adultos mayores (personas mayores a 65 años). La edad promedio de las personas que han emigrado es 37.60 ± 0.023, la edad mínima es cero y la máxima ciento catorce.</w:t>
      </w:r>
      <w:r w:rsidR="00EE21BD">
        <w:rPr>
          <w:rFonts w:ascii="Arial" w:hAnsi="Arial" w:cs="Arial"/>
        </w:rPr>
        <w:t xml:space="preserve"> </w:t>
      </w:r>
      <w:r w:rsidRPr="00576187">
        <w:rPr>
          <w:rFonts w:ascii="Arial" w:hAnsi="Arial" w:cs="Arial"/>
        </w:rPr>
        <w:t xml:space="preserve">Si analizamos los resultados de la </w:t>
      </w:r>
      <w:r w:rsidRPr="007E3C80">
        <w:rPr>
          <w:rFonts w:ascii="Arial" w:hAnsi="Arial" w:cs="Arial"/>
          <w:i/>
        </w:rPr>
        <w:t>Tabla 2.</w:t>
      </w:r>
      <w:r w:rsidR="00EE21BD">
        <w:rPr>
          <w:rFonts w:ascii="Arial" w:hAnsi="Arial" w:cs="Arial"/>
          <w:i/>
        </w:rPr>
        <w:t>9</w:t>
      </w:r>
      <w:r w:rsidRPr="00576187">
        <w:rPr>
          <w:rFonts w:ascii="Arial" w:hAnsi="Arial" w:cs="Arial"/>
        </w:rPr>
        <w:t xml:space="preserve">, podemos notar que de las personas que emigraron hacia Guayas el 84.80% era personas en edades </w:t>
      </w:r>
      <w:r w:rsidRPr="00576187">
        <w:rPr>
          <w:rFonts w:ascii="Arial" w:hAnsi="Arial" w:cs="Arial"/>
        </w:rPr>
        <w:lastRenderedPageBreak/>
        <w:t xml:space="preserve">económicamente activa, además emigraron mayor cantidad de adultos mayores que de personas menores de 15 años; por otra parte en Pichincha tenemos que el 84.50% tenían edades entre 15 y 65 años y hacia esta provincia emigraron mayor cantidad de menores de 15 años respecto a la cantidad de mayores de 65 años. </w:t>
      </w:r>
      <w:r w:rsidR="00F91C02">
        <w:rPr>
          <w:rFonts w:ascii="Arial" w:hAnsi="Arial" w:cs="Arial"/>
        </w:rPr>
        <w:t>D</w:t>
      </w:r>
      <w:r w:rsidRPr="00576187">
        <w:rPr>
          <w:rFonts w:ascii="Arial" w:hAnsi="Arial" w:cs="Arial"/>
        </w:rPr>
        <w:t>e los que emigraron hacia Bolívar el 78.40% tienen edades entre 15 y 65 años, un 18.20% son menores de 15 años y el restante corresponde a los adultos mayores.</w:t>
      </w:r>
      <w:r w:rsidR="00EE21BD">
        <w:rPr>
          <w:rFonts w:ascii="Arial" w:hAnsi="Arial" w:cs="Arial"/>
        </w:rPr>
        <w:t xml:space="preserve"> </w:t>
      </w:r>
    </w:p>
    <w:p w:rsidR="00EE21BD" w:rsidRDefault="00EE21BD" w:rsidP="00EE21BD">
      <w:pPr>
        <w:pStyle w:val="Prrafodelista"/>
        <w:spacing w:line="480" w:lineRule="auto"/>
        <w:ind w:left="851"/>
        <w:jc w:val="both"/>
        <w:rPr>
          <w:rFonts w:ascii="Arial" w:hAnsi="Arial" w:cs="Arial"/>
        </w:rPr>
      </w:pPr>
    </w:p>
    <w:p w:rsidR="00A722F8" w:rsidRPr="00515F7F" w:rsidRDefault="00A722F8" w:rsidP="00EE21BD">
      <w:pPr>
        <w:pStyle w:val="Prrafodelista"/>
        <w:spacing w:line="480" w:lineRule="auto"/>
        <w:ind w:left="851"/>
        <w:jc w:val="both"/>
        <w:rPr>
          <w:rFonts w:ascii="Arial" w:hAnsi="Arial" w:cs="Arial"/>
          <w:i/>
        </w:rPr>
      </w:pPr>
      <w:r w:rsidRPr="00CA4D36">
        <w:rPr>
          <w:rFonts w:ascii="Arial" w:hAnsi="Arial" w:cs="Arial"/>
        </w:rPr>
        <w:t>En Galápagos, el 86.20% de los manabitas que emigraron pertenecen a la población en edad económicamente activa y sólo un 3% son adultos mayores y el porcentaje restante corresponde a los menores de 15 años. De las provincias del Oriente, tenemos a Sucumbíos donde los manabitas que viven en calidad de inmigrantes en esa provincia el 84.40% tienen edades entre 15 y 65 años, mientras que para Napo el porcentaje de inmigrantes en el mismo rango de edades es del 78.60%.</w:t>
      </w:r>
      <w:r>
        <w:rPr>
          <w:rFonts w:ascii="Arial" w:hAnsi="Arial" w:cs="Arial"/>
        </w:rPr>
        <w:t xml:space="preserve"> </w:t>
      </w:r>
      <w:r>
        <w:rPr>
          <w:rFonts w:ascii="Arial" w:hAnsi="Arial" w:cs="Arial"/>
          <w:i/>
        </w:rPr>
        <w:t>Véase Tabla 2.</w:t>
      </w:r>
      <w:r w:rsidR="00EE21BD">
        <w:rPr>
          <w:rFonts w:ascii="Arial" w:hAnsi="Arial" w:cs="Arial"/>
          <w:i/>
        </w:rPr>
        <w:t>9</w:t>
      </w:r>
      <w:r>
        <w:rPr>
          <w:rFonts w:ascii="Arial" w:hAnsi="Arial" w:cs="Arial"/>
          <w:i/>
        </w:rPr>
        <w:t>.</w:t>
      </w:r>
    </w:p>
    <w:tbl>
      <w:tblPr>
        <w:tblW w:w="7540"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40"/>
      </w:tblGrid>
      <w:tr w:rsidR="00A722F8" w:rsidRPr="00840530" w:rsidTr="00EE21BD">
        <w:trPr>
          <w:trHeight w:val="3969"/>
          <w:jc w:val="right"/>
        </w:trPr>
        <w:tc>
          <w:tcPr>
            <w:tcW w:w="7540" w:type="dxa"/>
          </w:tcPr>
          <w:p w:rsidR="00A722F8" w:rsidRDefault="00A722F8" w:rsidP="003F1262">
            <w:pPr>
              <w:rPr>
                <w:rFonts w:ascii="Arial" w:hAnsi="Arial" w:cs="Arial"/>
                <w:b/>
                <w:sz w:val="16"/>
                <w:szCs w:val="16"/>
              </w:rPr>
            </w:pPr>
          </w:p>
          <w:p w:rsidR="00547F37" w:rsidRPr="00547F37" w:rsidRDefault="00547F37" w:rsidP="00547F37">
            <w:pPr>
              <w:keepNext/>
              <w:rPr>
                <w:rFonts w:ascii="Arial" w:hAnsi="Arial" w:cs="Arial"/>
                <w:b/>
                <w:sz w:val="16"/>
                <w:szCs w:val="16"/>
              </w:rPr>
            </w:pPr>
            <w:bookmarkStart w:id="291" w:name="_Toc341041584"/>
            <w:r>
              <w:rPr>
                <w:rFonts w:ascii="Arial" w:hAnsi="Arial" w:cs="Arial"/>
                <w:b/>
                <w:sz w:val="16"/>
                <w:szCs w:val="16"/>
              </w:rPr>
              <w:t>Tabla 2.</w:t>
            </w:r>
            <w:r w:rsidR="00990535" w:rsidRPr="00547F37">
              <w:rPr>
                <w:rFonts w:ascii="Arial" w:hAnsi="Arial" w:cs="Arial"/>
                <w:b/>
                <w:sz w:val="16"/>
                <w:szCs w:val="16"/>
              </w:rPr>
              <w:fldChar w:fldCharType="begin"/>
            </w:r>
            <w:r w:rsidRPr="00547F37">
              <w:rPr>
                <w:rFonts w:ascii="Arial" w:hAnsi="Arial" w:cs="Arial"/>
                <w:b/>
                <w:sz w:val="16"/>
                <w:szCs w:val="16"/>
              </w:rPr>
              <w:instrText xml:space="preserve"> SEQ Tabla2. \* ARABIC </w:instrText>
            </w:r>
            <w:r w:rsidR="00990535" w:rsidRPr="00547F37">
              <w:rPr>
                <w:rFonts w:ascii="Arial" w:hAnsi="Arial" w:cs="Arial"/>
                <w:b/>
                <w:sz w:val="16"/>
                <w:szCs w:val="16"/>
              </w:rPr>
              <w:fldChar w:fldCharType="separate"/>
            </w:r>
            <w:r w:rsidR="00A242E0">
              <w:rPr>
                <w:rFonts w:ascii="Arial" w:hAnsi="Arial" w:cs="Arial"/>
                <w:b/>
                <w:noProof/>
                <w:sz w:val="16"/>
                <w:szCs w:val="16"/>
              </w:rPr>
              <w:t>9</w:t>
            </w:r>
            <w:bookmarkEnd w:id="291"/>
            <w:r w:rsidR="00990535" w:rsidRPr="00547F37">
              <w:rPr>
                <w:rFonts w:ascii="Arial" w:hAnsi="Arial" w:cs="Arial"/>
                <w:b/>
                <w:sz w:val="16"/>
                <w:szCs w:val="16"/>
              </w:rPr>
              <w:fldChar w:fldCharType="end"/>
            </w:r>
          </w:p>
          <w:p w:rsidR="00A722F8" w:rsidRPr="006148C1" w:rsidRDefault="00EE21BD" w:rsidP="003F1262">
            <w:pPr>
              <w:rPr>
                <w:rFonts w:ascii="Arial" w:hAnsi="Arial" w:cs="Arial"/>
                <w:i/>
                <w:sz w:val="16"/>
                <w:szCs w:val="16"/>
              </w:rPr>
            </w:pPr>
            <w:r>
              <w:rPr>
                <w:rFonts w:ascii="Arial" w:hAnsi="Arial" w:cs="Arial"/>
                <w:b/>
                <w:i/>
                <w:sz w:val="16"/>
                <w:szCs w:val="16"/>
              </w:rPr>
              <w:t xml:space="preserve">Manabí 2010: </w:t>
            </w:r>
            <w:r w:rsidR="00A722F8">
              <w:rPr>
                <w:rFonts w:ascii="Arial" w:hAnsi="Arial" w:cs="Arial"/>
                <w:i/>
                <w:sz w:val="16"/>
                <w:szCs w:val="16"/>
              </w:rPr>
              <w:t>Proporción</w:t>
            </w:r>
            <w:r w:rsidR="00A722F8" w:rsidRPr="006148C1">
              <w:rPr>
                <w:rFonts w:ascii="Arial" w:hAnsi="Arial" w:cs="Arial"/>
                <w:i/>
                <w:sz w:val="16"/>
                <w:szCs w:val="16"/>
              </w:rPr>
              <w:t xml:space="preserve"> de Edad dad</w:t>
            </w:r>
            <w:r w:rsidR="00A722F8">
              <w:rPr>
                <w:rFonts w:ascii="Arial" w:hAnsi="Arial" w:cs="Arial"/>
                <w:i/>
                <w:sz w:val="16"/>
                <w:szCs w:val="16"/>
              </w:rPr>
              <w:t>o que se conoce</w:t>
            </w:r>
            <w:r w:rsidR="00A722F8" w:rsidRPr="006148C1">
              <w:rPr>
                <w:rFonts w:ascii="Arial" w:hAnsi="Arial" w:cs="Arial"/>
                <w:i/>
                <w:sz w:val="16"/>
                <w:szCs w:val="16"/>
              </w:rPr>
              <w:t xml:space="preserve"> la provincia de Residencia habitual</w:t>
            </w:r>
          </w:p>
          <w:p w:rsidR="00A722F8" w:rsidRPr="00EE21BD" w:rsidRDefault="00A722F8" w:rsidP="00EE21BD">
            <w:pPr>
              <w:jc w:val="both"/>
              <w:rPr>
                <w:rFonts w:ascii="Arial" w:hAnsi="Arial" w:cs="Arial"/>
                <w:sz w:val="10"/>
                <w:szCs w:val="10"/>
              </w:rPr>
            </w:pPr>
          </w:p>
          <w:tbl>
            <w:tblPr>
              <w:tblW w:w="7222" w:type="dxa"/>
              <w:jc w:val="center"/>
              <w:tblCellMar>
                <w:left w:w="0" w:type="dxa"/>
                <w:right w:w="0" w:type="dxa"/>
              </w:tblCellMar>
              <w:tblLook w:val="04A0" w:firstRow="1" w:lastRow="0" w:firstColumn="1" w:lastColumn="0" w:noHBand="0" w:noVBand="1"/>
            </w:tblPr>
            <w:tblGrid>
              <w:gridCol w:w="998"/>
              <w:gridCol w:w="903"/>
              <w:gridCol w:w="734"/>
              <w:gridCol w:w="846"/>
              <w:gridCol w:w="1304"/>
              <w:gridCol w:w="850"/>
              <w:gridCol w:w="737"/>
              <w:gridCol w:w="850"/>
            </w:tblGrid>
            <w:tr w:rsidR="00A722F8" w:rsidRPr="003D31DC" w:rsidTr="00EE21BD">
              <w:trPr>
                <w:trHeight w:val="227"/>
                <w:jc w:val="center"/>
              </w:trPr>
              <w:tc>
                <w:tcPr>
                  <w:tcW w:w="998" w:type="dxa"/>
                  <w:vMerge w:val="restart"/>
                  <w:tcBorders>
                    <w:top w:val="single" w:sz="4" w:space="0" w:color="auto"/>
                    <w:left w:val="nil"/>
                    <w:right w:val="nil"/>
                  </w:tcBorders>
                  <w:shd w:val="clear" w:color="auto" w:fill="auto"/>
                  <w:vAlign w:val="center"/>
                  <w:hideMark/>
                </w:tcPr>
                <w:p w:rsidR="00A722F8" w:rsidRPr="003D31DC" w:rsidRDefault="00A722F8" w:rsidP="003F1262">
                  <w:pPr>
                    <w:rPr>
                      <w:rFonts w:ascii="Arial" w:eastAsia="Times New Roman" w:hAnsi="Arial" w:cs="Arial"/>
                      <w:b/>
                      <w:bCs/>
                      <w:sz w:val="14"/>
                      <w:szCs w:val="14"/>
                      <w:lang w:eastAsia="es-EC"/>
                    </w:rPr>
                  </w:pPr>
                  <w:r w:rsidRPr="00D81CCD">
                    <w:rPr>
                      <w:rFonts w:ascii="Arial" w:eastAsia="Times New Roman" w:hAnsi="Arial" w:cs="Arial"/>
                      <w:b/>
                      <w:bCs/>
                      <w:sz w:val="14"/>
                      <w:szCs w:val="14"/>
                      <w:lang w:eastAsia="es-EC"/>
                    </w:rPr>
                    <w:t>Provincia de Residencia Habitual</w:t>
                  </w:r>
                </w:p>
              </w:tc>
              <w:tc>
                <w:tcPr>
                  <w:tcW w:w="2483" w:type="dxa"/>
                  <w:gridSpan w:val="3"/>
                  <w:tcBorders>
                    <w:top w:val="single" w:sz="4" w:space="0" w:color="auto"/>
                    <w:left w:val="nil"/>
                    <w:bottom w:val="single" w:sz="4" w:space="0" w:color="auto"/>
                    <w:right w:val="nil"/>
                  </w:tcBorders>
                  <w:shd w:val="clear" w:color="auto" w:fill="auto"/>
                  <w:noWrap/>
                  <w:vAlign w:val="center"/>
                  <w:hideMark/>
                </w:tcPr>
                <w:p w:rsidR="00A722F8" w:rsidRPr="003D31DC" w:rsidRDefault="00A722F8" w:rsidP="003F1262">
                  <w:pPr>
                    <w:rPr>
                      <w:rFonts w:ascii="Arial" w:eastAsia="Times New Roman" w:hAnsi="Arial" w:cs="Arial"/>
                      <w:b/>
                      <w:bCs/>
                      <w:sz w:val="14"/>
                      <w:szCs w:val="14"/>
                      <w:lang w:eastAsia="es-EC"/>
                    </w:rPr>
                  </w:pPr>
                  <w:r w:rsidRPr="003D31DC">
                    <w:rPr>
                      <w:rFonts w:ascii="Arial" w:eastAsia="Times New Roman" w:hAnsi="Arial" w:cs="Arial"/>
                      <w:b/>
                      <w:bCs/>
                      <w:sz w:val="14"/>
                      <w:szCs w:val="14"/>
                      <w:lang w:eastAsia="es-EC"/>
                    </w:rPr>
                    <w:t>Distribución de Edad</w:t>
                  </w:r>
                </w:p>
              </w:tc>
              <w:tc>
                <w:tcPr>
                  <w:tcW w:w="1304" w:type="dxa"/>
                  <w:vMerge w:val="restart"/>
                  <w:tcBorders>
                    <w:top w:val="single" w:sz="4" w:space="0" w:color="auto"/>
                    <w:left w:val="single" w:sz="4" w:space="0" w:color="auto"/>
                    <w:right w:val="nil"/>
                  </w:tcBorders>
                  <w:shd w:val="clear" w:color="auto" w:fill="auto"/>
                  <w:vAlign w:val="center"/>
                  <w:hideMark/>
                </w:tcPr>
                <w:p w:rsidR="00A722F8" w:rsidRPr="003D31DC" w:rsidRDefault="00A722F8" w:rsidP="003F1262">
                  <w:pPr>
                    <w:rPr>
                      <w:rFonts w:ascii="Arial" w:eastAsia="Times New Roman" w:hAnsi="Arial" w:cs="Arial"/>
                      <w:b/>
                      <w:bCs/>
                      <w:sz w:val="14"/>
                      <w:szCs w:val="14"/>
                      <w:lang w:eastAsia="es-EC"/>
                    </w:rPr>
                  </w:pPr>
                  <w:r w:rsidRPr="00D81CCD">
                    <w:rPr>
                      <w:rFonts w:ascii="Arial" w:eastAsia="Times New Roman" w:hAnsi="Arial" w:cs="Arial"/>
                      <w:b/>
                      <w:bCs/>
                      <w:sz w:val="14"/>
                      <w:szCs w:val="14"/>
                      <w:lang w:eastAsia="es-EC"/>
                    </w:rPr>
                    <w:t>Provincia de Residencia Habitual</w:t>
                  </w:r>
                </w:p>
              </w:tc>
              <w:tc>
                <w:tcPr>
                  <w:tcW w:w="2437" w:type="dxa"/>
                  <w:gridSpan w:val="3"/>
                  <w:tcBorders>
                    <w:top w:val="single" w:sz="4" w:space="0" w:color="auto"/>
                    <w:left w:val="nil"/>
                    <w:bottom w:val="single" w:sz="4" w:space="0" w:color="auto"/>
                    <w:right w:val="nil"/>
                  </w:tcBorders>
                  <w:shd w:val="clear" w:color="auto" w:fill="auto"/>
                  <w:noWrap/>
                  <w:vAlign w:val="center"/>
                  <w:hideMark/>
                </w:tcPr>
                <w:p w:rsidR="00A722F8" w:rsidRPr="003D31DC" w:rsidRDefault="00A722F8" w:rsidP="003F1262">
                  <w:pPr>
                    <w:rPr>
                      <w:rFonts w:ascii="Arial" w:eastAsia="Times New Roman" w:hAnsi="Arial" w:cs="Arial"/>
                      <w:b/>
                      <w:bCs/>
                      <w:sz w:val="14"/>
                      <w:szCs w:val="14"/>
                      <w:lang w:eastAsia="es-EC"/>
                    </w:rPr>
                  </w:pPr>
                  <w:r w:rsidRPr="003D31DC">
                    <w:rPr>
                      <w:rFonts w:ascii="Arial" w:eastAsia="Times New Roman" w:hAnsi="Arial" w:cs="Arial"/>
                      <w:b/>
                      <w:bCs/>
                      <w:sz w:val="14"/>
                      <w:szCs w:val="14"/>
                      <w:lang w:eastAsia="es-EC"/>
                    </w:rPr>
                    <w:t>Distribución de Edad</w:t>
                  </w:r>
                </w:p>
              </w:tc>
            </w:tr>
            <w:tr w:rsidR="00A722F8" w:rsidRPr="003D31DC" w:rsidTr="00EE21BD">
              <w:trPr>
                <w:trHeight w:val="20"/>
                <w:jc w:val="center"/>
              </w:trPr>
              <w:tc>
                <w:tcPr>
                  <w:tcW w:w="998" w:type="dxa"/>
                  <w:vMerge/>
                  <w:tcBorders>
                    <w:left w:val="nil"/>
                    <w:bottom w:val="single" w:sz="4" w:space="0" w:color="auto"/>
                    <w:right w:val="nil"/>
                  </w:tcBorders>
                  <w:shd w:val="clear" w:color="auto" w:fill="auto"/>
                  <w:vAlign w:val="center"/>
                  <w:hideMark/>
                </w:tcPr>
                <w:p w:rsidR="00A722F8" w:rsidRPr="003D31DC" w:rsidRDefault="00A722F8" w:rsidP="003F1262">
                  <w:pPr>
                    <w:rPr>
                      <w:rFonts w:ascii="Arial" w:eastAsia="Times New Roman" w:hAnsi="Arial" w:cs="Arial"/>
                      <w:b/>
                      <w:bCs/>
                      <w:sz w:val="16"/>
                      <w:szCs w:val="16"/>
                      <w:lang w:eastAsia="es-EC"/>
                    </w:rPr>
                  </w:pPr>
                </w:p>
              </w:tc>
              <w:tc>
                <w:tcPr>
                  <w:tcW w:w="903" w:type="dxa"/>
                  <w:tcBorders>
                    <w:top w:val="nil"/>
                    <w:left w:val="nil"/>
                    <w:bottom w:val="single" w:sz="4" w:space="0" w:color="auto"/>
                    <w:right w:val="nil"/>
                  </w:tcBorders>
                  <w:shd w:val="clear" w:color="auto" w:fill="auto"/>
                  <w:vAlign w:val="center"/>
                  <w:hideMark/>
                </w:tcPr>
                <w:p w:rsidR="00A722F8" w:rsidRDefault="00A722F8" w:rsidP="003F1262">
                  <w:pPr>
                    <w:rPr>
                      <w:rFonts w:ascii="Arial" w:eastAsia="Times New Roman" w:hAnsi="Arial" w:cs="Arial"/>
                      <w:b/>
                      <w:bCs/>
                      <w:sz w:val="14"/>
                      <w:szCs w:val="14"/>
                      <w:lang w:eastAsia="es-EC"/>
                    </w:rPr>
                  </w:pPr>
                  <w:r w:rsidRPr="003D31DC">
                    <w:rPr>
                      <w:rFonts w:ascii="Arial" w:eastAsia="Times New Roman" w:hAnsi="Arial" w:cs="Arial"/>
                      <w:b/>
                      <w:bCs/>
                      <w:sz w:val="14"/>
                      <w:szCs w:val="14"/>
                      <w:lang w:eastAsia="es-EC"/>
                    </w:rPr>
                    <w:t>Menores</w:t>
                  </w:r>
                </w:p>
                <w:p w:rsidR="00A722F8" w:rsidRPr="003D31DC" w:rsidRDefault="00A722F8" w:rsidP="003F1262">
                  <w:pPr>
                    <w:rPr>
                      <w:rFonts w:ascii="Arial" w:eastAsia="Times New Roman" w:hAnsi="Arial" w:cs="Arial"/>
                      <w:b/>
                      <w:bCs/>
                      <w:sz w:val="14"/>
                      <w:szCs w:val="14"/>
                      <w:lang w:eastAsia="es-EC"/>
                    </w:rPr>
                  </w:pPr>
                  <w:r w:rsidRPr="003D31DC">
                    <w:rPr>
                      <w:rFonts w:ascii="Arial" w:eastAsia="Times New Roman" w:hAnsi="Arial" w:cs="Arial"/>
                      <w:b/>
                      <w:bCs/>
                      <w:sz w:val="14"/>
                      <w:szCs w:val="14"/>
                      <w:lang w:eastAsia="es-EC"/>
                    </w:rPr>
                    <w:t>de 15 años</w:t>
                  </w:r>
                </w:p>
              </w:tc>
              <w:tc>
                <w:tcPr>
                  <w:tcW w:w="734" w:type="dxa"/>
                  <w:tcBorders>
                    <w:top w:val="nil"/>
                    <w:left w:val="nil"/>
                    <w:bottom w:val="single" w:sz="4" w:space="0" w:color="auto"/>
                    <w:right w:val="nil"/>
                  </w:tcBorders>
                  <w:shd w:val="clear" w:color="auto" w:fill="auto"/>
                  <w:vAlign w:val="center"/>
                  <w:hideMark/>
                </w:tcPr>
                <w:p w:rsidR="00A722F8" w:rsidRDefault="00A722F8" w:rsidP="003F1262">
                  <w:pPr>
                    <w:rPr>
                      <w:rFonts w:ascii="Arial" w:eastAsia="Times New Roman" w:hAnsi="Arial" w:cs="Arial"/>
                      <w:b/>
                      <w:bCs/>
                      <w:sz w:val="14"/>
                      <w:szCs w:val="14"/>
                      <w:lang w:eastAsia="es-EC"/>
                    </w:rPr>
                  </w:pPr>
                  <w:r w:rsidRPr="003D31DC">
                    <w:rPr>
                      <w:rFonts w:ascii="Arial" w:eastAsia="Times New Roman" w:hAnsi="Arial" w:cs="Arial"/>
                      <w:b/>
                      <w:bCs/>
                      <w:sz w:val="14"/>
                      <w:szCs w:val="14"/>
                      <w:lang w:eastAsia="es-EC"/>
                    </w:rPr>
                    <w:t>Entre 15</w:t>
                  </w:r>
                </w:p>
                <w:p w:rsidR="00A722F8" w:rsidRPr="003D31DC" w:rsidRDefault="00A722F8" w:rsidP="003F1262">
                  <w:pPr>
                    <w:rPr>
                      <w:rFonts w:ascii="Arial" w:eastAsia="Times New Roman" w:hAnsi="Arial" w:cs="Arial"/>
                      <w:b/>
                      <w:bCs/>
                      <w:sz w:val="14"/>
                      <w:szCs w:val="14"/>
                      <w:lang w:eastAsia="es-EC"/>
                    </w:rPr>
                  </w:pPr>
                  <w:r w:rsidRPr="003D31DC">
                    <w:rPr>
                      <w:rFonts w:ascii="Arial" w:eastAsia="Times New Roman" w:hAnsi="Arial" w:cs="Arial"/>
                      <w:b/>
                      <w:bCs/>
                      <w:sz w:val="14"/>
                      <w:szCs w:val="14"/>
                      <w:lang w:eastAsia="es-EC"/>
                    </w:rPr>
                    <w:t>y 65 años</w:t>
                  </w:r>
                </w:p>
              </w:tc>
              <w:tc>
                <w:tcPr>
                  <w:tcW w:w="846" w:type="dxa"/>
                  <w:tcBorders>
                    <w:top w:val="nil"/>
                    <w:left w:val="nil"/>
                    <w:bottom w:val="single" w:sz="4" w:space="0" w:color="auto"/>
                    <w:right w:val="nil"/>
                  </w:tcBorders>
                  <w:shd w:val="clear" w:color="auto" w:fill="auto"/>
                  <w:vAlign w:val="center"/>
                  <w:hideMark/>
                </w:tcPr>
                <w:p w:rsidR="00A722F8" w:rsidRPr="003D31DC" w:rsidRDefault="00A722F8" w:rsidP="003F1262">
                  <w:pPr>
                    <w:rPr>
                      <w:rFonts w:ascii="Arial" w:eastAsia="Times New Roman" w:hAnsi="Arial" w:cs="Arial"/>
                      <w:b/>
                      <w:bCs/>
                      <w:sz w:val="14"/>
                      <w:szCs w:val="14"/>
                      <w:lang w:eastAsia="es-EC"/>
                    </w:rPr>
                  </w:pPr>
                  <w:r w:rsidRPr="003D31DC">
                    <w:rPr>
                      <w:rFonts w:ascii="Arial" w:eastAsia="Times New Roman" w:hAnsi="Arial" w:cs="Arial"/>
                      <w:b/>
                      <w:bCs/>
                      <w:sz w:val="14"/>
                      <w:szCs w:val="14"/>
                      <w:lang w:eastAsia="es-EC"/>
                    </w:rPr>
                    <w:t>Mayores de 65 años</w:t>
                  </w:r>
                </w:p>
              </w:tc>
              <w:tc>
                <w:tcPr>
                  <w:tcW w:w="1304" w:type="dxa"/>
                  <w:vMerge/>
                  <w:tcBorders>
                    <w:left w:val="single" w:sz="4" w:space="0" w:color="auto"/>
                    <w:bottom w:val="single" w:sz="4" w:space="0" w:color="auto"/>
                    <w:right w:val="nil"/>
                  </w:tcBorders>
                  <w:shd w:val="clear" w:color="auto" w:fill="auto"/>
                  <w:vAlign w:val="center"/>
                  <w:hideMark/>
                </w:tcPr>
                <w:p w:rsidR="00A722F8" w:rsidRPr="003D31DC" w:rsidRDefault="00A722F8" w:rsidP="003F1262">
                  <w:pPr>
                    <w:rPr>
                      <w:rFonts w:ascii="Arial" w:eastAsia="Times New Roman" w:hAnsi="Arial" w:cs="Arial"/>
                      <w:b/>
                      <w:bCs/>
                      <w:sz w:val="14"/>
                      <w:szCs w:val="14"/>
                      <w:lang w:eastAsia="es-EC"/>
                    </w:rPr>
                  </w:pPr>
                </w:p>
              </w:tc>
              <w:tc>
                <w:tcPr>
                  <w:tcW w:w="850" w:type="dxa"/>
                  <w:tcBorders>
                    <w:top w:val="nil"/>
                    <w:left w:val="nil"/>
                    <w:bottom w:val="single" w:sz="4" w:space="0" w:color="auto"/>
                    <w:right w:val="nil"/>
                  </w:tcBorders>
                  <w:shd w:val="clear" w:color="auto" w:fill="auto"/>
                  <w:vAlign w:val="center"/>
                  <w:hideMark/>
                </w:tcPr>
                <w:p w:rsidR="00A722F8" w:rsidRDefault="00A722F8" w:rsidP="003F1262">
                  <w:pPr>
                    <w:rPr>
                      <w:rFonts w:ascii="Arial" w:eastAsia="Times New Roman" w:hAnsi="Arial" w:cs="Arial"/>
                      <w:b/>
                      <w:bCs/>
                      <w:sz w:val="14"/>
                      <w:szCs w:val="14"/>
                      <w:lang w:eastAsia="es-EC"/>
                    </w:rPr>
                  </w:pPr>
                  <w:r w:rsidRPr="003D31DC">
                    <w:rPr>
                      <w:rFonts w:ascii="Arial" w:eastAsia="Times New Roman" w:hAnsi="Arial" w:cs="Arial"/>
                      <w:b/>
                      <w:bCs/>
                      <w:sz w:val="14"/>
                      <w:szCs w:val="14"/>
                      <w:lang w:eastAsia="es-EC"/>
                    </w:rPr>
                    <w:t>Menores</w:t>
                  </w:r>
                </w:p>
                <w:p w:rsidR="00A722F8" w:rsidRPr="003D31DC" w:rsidRDefault="00A722F8" w:rsidP="003F1262">
                  <w:pPr>
                    <w:rPr>
                      <w:rFonts w:ascii="Arial" w:eastAsia="Times New Roman" w:hAnsi="Arial" w:cs="Arial"/>
                      <w:b/>
                      <w:bCs/>
                      <w:sz w:val="14"/>
                      <w:szCs w:val="14"/>
                      <w:lang w:eastAsia="es-EC"/>
                    </w:rPr>
                  </w:pPr>
                  <w:r w:rsidRPr="003D31DC">
                    <w:rPr>
                      <w:rFonts w:ascii="Arial" w:eastAsia="Times New Roman" w:hAnsi="Arial" w:cs="Arial"/>
                      <w:b/>
                      <w:bCs/>
                      <w:sz w:val="14"/>
                      <w:szCs w:val="14"/>
                      <w:lang w:eastAsia="es-EC"/>
                    </w:rPr>
                    <w:t>de 15 años</w:t>
                  </w:r>
                </w:p>
              </w:tc>
              <w:tc>
                <w:tcPr>
                  <w:tcW w:w="737" w:type="dxa"/>
                  <w:tcBorders>
                    <w:top w:val="nil"/>
                    <w:left w:val="nil"/>
                    <w:bottom w:val="single" w:sz="4" w:space="0" w:color="auto"/>
                    <w:right w:val="nil"/>
                  </w:tcBorders>
                  <w:shd w:val="clear" w:color="auto" w:fill="auto"/>
                  <w:vAlign w:val="center"/>
                  <w:hideMark/>
                </w:tcPr>
                <w:p w:rsidR="00A722F8" w:rsidRDefault="00A722F8" w:rsidP="003F1262">
                  <w:pPr>
                    <w:rPr>
                      <w:rFonts w:ascii="Arial" w:eastAsia="Times New Roman" w:hAnsi="Arial" w:cs="Arial"/>
                      <w:b/>
                      <w:bCs/>
                      <w:sz w:val="14"/>
                      <w:szCs w:val="14"/>
                      <w:lang w:eastAsia="es-EC"/>
                    </w:rPr>
                  </w:pPr>
                  <w:r w:rsidRPr="003D31DC">
                    <w:rPr>
                      <w:rFonts w:ascii="Arial" w:eastAsia="Times New Roman" w:hAnsi="Arial" w:cs="Arial"/>
                      <w:b/>
                      <w:bCs/>
                      <w:sz w:val="14"/>
                      <w:szCs w:val="14"/>
                      <w:lang w:eastAsia="es-EC"/>
                    </w:rPr>
                    <w:t>Entre 15</w:t>
                  </w:r>
                </w:p>
                <w:p w:rsidR="00A722F8" w:rsidRPr="003D31DC" w:rsidRDefault="00A722F8" w:rsidP="003F1262">
                  <w:pPr>
                    <w:rPr>
                      <w:rFonts w:ascii="Arial" w:eastAsia="Times New Roman" w:hAnsi="Arial" w:cs="Arial"/>
                      <w:b/>
                      <w:bCs/>
                      <w:sz w:val="14"/>
                      <w:szCs w:val="14"/>
                      <w:lang w:eastAsia="es-EC"/>
                    </w:rPr>
                  </w:pPr>
                  <w:r w:rsidRPr="003D31DC">
                    <w:rPr>
                      <w:rFonts w:ascii="Arial" w:eastAsia="Times New Roman" w:hAnsi="Arial" w:cs="Arial"/>
                      <w:b/>
                      <w:bCs/>
                      <w:sz w:val="14"/>
                      <w:szCs w:val="14"/>
                      <w:lang w:eastAsia="es-EC"/>
                    </w:rPr>
                    <w:t>y 65 años</w:t>
                  </w:r>
                </w:p>
              </w:tc>
              <w:tc>
                <w:tcPr>
                  <w:tcW w:w="850" w:type="dxa"/>
                  <w:tcBorders>
                    <w:top w:val="nil"/>
                    <w:left w:val="nil"/>
                    <w:bottom w:val="single" w:sz="4" w:space="0" w:color="auto"/>
                    <w:right w:val="nil"/>
                  </w:tcBorders>
                  <w:shd w:val="clear" w:color="auto" w:fill="auto"/>
                  <w:vAlign w:val="center"/>
                  <w:hideMark/>
                </w:tcPr>
                <w:p w:rsidR="00A722F8" w:rsidRPr="003D31DC" w:rsidRDefault="00A722F8" w:rsidP="003F1262">
                  <w:pPr>
                    <w:rPr>
                      <w:rFonts w:ascii="Arial" w:eastAsia="Times New Roman" w:hAnsi="Arial" w:cs="Arial"/>
                      <w:b/>
                      <w:bCs/>
                      <w:sz w:val="14"/>
                      <w:szCs w:val="14"/>
                      <w:lang w:eastAsia="es-EC"/>
                    </w:rPr>
                  </w:pPr>
                  <w:r w:rsidRPr="003D31DC">
                    <w:rPr>
                      <w:rFonts w:ascii="Arial" w:eastAsia="Times New Roman" w:hAnsi="Arial" w:cs="Arial"/>
                      <w:b/>
                      <w:bCs/>
                      <w:sz w:val="14"/>
                      <w:szCs w:val="14"/>
                      <w:lang w:eastAsia="es-EC"/>
                    </w:rPr>
                    <w:t>Mayores de 65 años</w:t>
                  </w:r>
                </w:p>
              </w:tc>
            </w:tr>
            <w:tr w:rsidR="00A722F8" w:rsidRPr="003D31DC" w:rsidTr="00EE21BD">
              <w:trPr>
                <w:trHeight w:val="20"/>
                <w:jc w:val="center"/>
              </w:trPr>
              <w:tc>
                <w:tcPr>
                  <w:tcW w:w="998" w:type="dxa"/>
                  <w:tcBorders>
                    <w:top w:val="nil"/>
                    <w:left w:val="nil"/>
                    <w:bottom w:val="nil"/>
                    <w:right w:val="nil"/>
                  </w:tcBorders>
                  <w:shd w:val="clear" w:color="auto" w:fill="auto"/>
                  <w:noWrap/>
                  <w:vAlign w:val="center"/>
                  <w:hideMark/>
                </w:tcPr>
                <w:p w:rsidR="00A722F8" w:rsidRPr="00EE21BD" w:rsidRDefault="00A722F8" w:rsidP="007D7A28">
                  <w:pPr>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Azuay</w:t>
                  </w:r>
                </w:p>
              </w:tc>
              <w:tc>
                <w:tcPr>
                  <w:tcW w:w="903"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0.122</w:t>
                  </w:r>
                </w:p>
              </w:tc>
              <w:tc>
                <w:tcPr>
                  <w:tcW w:w="734"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0.850</w:t>
                  </w:r>
                </w:p>
              </w:tc>
              <w:tc>
                <w:tcPr>
                  <w:tcW w:w="846"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0.028</w:t>
                  </w:r>
                </w:p>
              </w:tc>
              <w:tc>
                <w:tcPr>
                  <w:tcW w:w="1304" w:type="dxa"/>
                  <w:tcBorders>
                    <w:top w:val="nil"/>
                    <w:left w:val="single" w:sz="4" w:space="0" w:color="auto"/>
                    <w:bottom w:val="nil"/>
                    <w:right w:val="nil"/>
                  </w:tcBorders>
                  <w:shd w:val="clear" w:color="auto" w:fill="auto"/>
                  <w:noWrap/>
                  <w:vAlign w:val="center"/>
                  <w:hideMark/>
                </w:tcPr>
                <w:p w:rsidR="00A722F8" w:rsidRPr="00EE21BD" w:rsidRDefault="00A722F8" w:rsidP="007D7A28">
                  <w:pPr>
                    <w:ind w:left="57"/>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Morona Santiago</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0.176</w:t>
                  </w:r>
                </w:p>
              </w:tc>
              <w:tc>
                <w:tcPr>
                  <w:tcW w:w="737"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0.804</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0.020</w:t>
                  </w:r>
                </w:p>
              </w:tc>
            </w:tr>
            <w:tr w:rsidR="00A722F8" w:rsidRPr="003D31DC" w:rsidTr="00EE21BD">
              <w:trPr>
                <w:trHeight w:val="20"/>
                <w:jc w:val="center"/>
              </w:trPr>
              <w:tc>
                <w:tcPr>
                  <w:tcW w:w="998" w:type="dxa"/>
                  <w:tcBorders>
                    <w:top w:val="nil"/>
                    <w:left w:val="nil"/>
                    <w:bottom w:val="nil"/>
                    <w:right w:val="nil"/>
                  </w:tcBorders>
                  <w:shd w:val="clear" w:color="auto" w:fill="auto"/>
                  <w:noWrap/>
                  <w:vAlign w:val="center"/>
                  <w:hideMark/>
                </w:tcPr>
                <w:p w:rsidR="00A722F8" w:rsidRPr="00EE21BD" w:rsidRDefault="00A722F8" w:rsidP="007D7A28">
                  <w:pPr>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Bolívar</w:t>
                  </w:r>
                </w:p>
              </w:tc>
              <w:tc>
                <w:tcPr>
                  <w:tcW w:w="903"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0.182</w:t>
                  </w:r>
                </w:p>
              </w:tc>
              <w:tc>
                <w:tcPr>
                  <w:tcW w:w="734"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0.784</w:t>
                  </w:r>
                </w:p>
              </w:tc>
              <w:tc>
                <w:tcPr>
                  <w:tcW w:w="846"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0.034</w:t>
                  </w:r>
                </w:p>
              </w:tc>
              <w:tc>
                <w:tcPr>
                  <w:tcW w:w="1304" w:type="dxa"/>
                  <w:tcBorders>
                    <w:top w:val="nil"/>
                    <w:left w:val="single" w:sz="4" w:space="0" w:color="auto"/>
                    <w:bottom w:val="nil"/>
                    <w:right w:val="nil"/>
                  </w:tcBorders>
                  <w:shd w:val="clear" w:color="auto" w:fill="auto"/>
                  <w:noWrap/>
                  <w:vAlign w:val="center"/>
                  <w:hideMark/>
                </w:tcPr>
                <w:p w:rsidR="00A722F8" w:rsidRPr="00EE21BD" w:rsidRDefault="00A722F8" w:rsidP="007D7A28">
                  <w:pPr>
                    <w:ind w:left="57"/>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Napo</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0.174</w:t>
                  </w:r>
                </w:p>
              </w:tc>
              <w:tc>
                <w:tcPr>
                  <w:tcW w:w="737"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0.786</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0.040</w:t>
                  </w:r>
                </w:p>
              </w:tc>
            </w:tr>
            <w:tr w:rsidR="00A722F8" w:rsidRPr="003D31DC" w:rsidTr="00EE21BD">
              <w:trPr>
                <w:trHeight w:val="20"/>
                <w:jc w:val="center"/>
              </w:trPr>
              <w:tc>
                <w:tcPr>
                  <w:tcW w:w="998" w:type="dxa"/>
                  <w:tcBorders>
                    <w:top w:val="nil"/>
                    <w:left w:val="nil"/>
                    <w:bottom w:val="nil"/>
                    <w:right w:val="nil"/>
                  </w:tcBorders>
                  <w:shd w:val="clear" w:color="auto" w:fill="auto"/>
                  <w:noWrap/>
                  <w:vAlign w:val="center"/>
                  <w:hideMark/>
                </w:tcPr>
                <w:p w:rsidR="00A722F8" w:rsidRPr="00EE21BD" w:rsidRDefault="00A722F8" w:rsidP="007D7A28">
                  <w:pPr>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Cañar</w:t>
                  </w:r>
                </w:p>
              </w:tc>
              <w:tc>
                <w:tcPr>
                  <w:tcW w:w="903"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0.151</w:t>
                  </w:r>
                </w:p>
              </w:tc>
              <w:tc>
                <w:tcPr>
                  <w:tcW w:w="734"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0.808</w:t>
                  </w:r>
                </w:p>
              </w:tc>
              <w:tc>
                <w:tcPr>
                  <w:tcW w:w="846"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0.041</w:t>
                  </w:r>
                </w:p>
              </w:tc>
              <w:tc>
                <w:tcPr>
                  <w:tcW w:w="1304" w:type="dxa"/>
                  <w:tcBorders>
                    <w:top w:val="nil"/>
                    <w:left w:val="single" w:sz="4" w:space="0" w:color="auto"/>
                    <w:bottom w:val="nil"/>
                    <w:right w:val="nil"/>
                  </w:tcBorders>
                  <w:shd w:val="clear" w:color="auto" w:fill="auto"/>
                  <w:noWrap/>
                  <w:vAlign w:val="center"/>
                  <w:hideMark/>
                </w:tcPr>
                <w:p w:rsidR="00A722F8" w:rsidRPr="00EE21BD" w:rsidRDefault="00A722F8" w:rsidP="007D7A28">
                  <w:pPr>
                    <w:ind w:left="57"/>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Pastaza</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0.158</w:t>
                  </w:r>
                </w:p>
              </w:tc>
              <w:tc>
                <w:tcPr>
                  <w:tcW w:w="737"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0.790</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0.051</w:t>
                  </w:r>
                </w:p>
              </w:tc>
            </w:tr>
            <w:tr w:rsidR="00A722F8" w:rsidRPr="003D31DC" w:rsidTr="00EE21BD">
              <w:trPr>
                <w:trHeight w:val="20"/>
                <w:jc w:val="center"/>
              </w:trPr>
              <w:tc>
                <w:tcPr>
                  <w:tcW w:w="998" w:type="dxa"/>
                  <w:tcBorders>
                    <w:top w:val="nil"/>
                    <w:left w:val="nil"/>
                    <w:bottom w:val="nil"/>
                    <w:right w:val="nil"/>
                  </w:tcBorders>
                  <w:shd w:val="clear" w:color="auto" w:fill="auto"/>
                  <w:noWrap/>
                  <w:vAlign w:val="center"/>
                  <w:hideMark/>
                </w:tcPr>
                <w:p w:rsidR="00A722F8" w:rsidRPr="00EE21BD" w:rsidRDefault="00A722F8" w:rsidP="007D7A28">
                  <w:pPr>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Carchi</w:t>
                  </w:r>
                </w:p>
              </w:tc>
              <w:tc>
                <w:tcPr>
                  <w:tcW w:w="903"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0.125</w:t>
                  </w:r>
                </w:p>
              </w:tc>
              <w:tc>
                <w:tcPr>
                  <w:tcW w:w="734"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0.837</w:t>
                  </w:r>
                </w:p>
              </w:tc>
              <w:tc>
                <w:tcPr>
                  <w:tcW w:w="846"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0.038</w:t>
                  </w:r>
                </w:p>
              </w:tc>
              <w:tc>
                <w:tcPr>
                  <w:tcW w:w="1304" w:type="dxa"/>
                  <w:tcBorders>
                    <w:top w:val="nil"/>
                    <w:left w:val="single" w:sz="4" w:space="0" w:color="auto"/>
                    <w:bottom w:val="nil"/>
                    <w:right w:val="nil"/>
                  </w:tcBorders>
                  <w:shd w:val="clear" w:color="auto" w:fill="auto"/>
                  <w:noWrap/>
                  <w:vAlign w:val="center"/>
                  <w:hideMark/>
                </w:tcPr>
                <w:p w:rsidR="00A722F8" w:rsidRPr="00EE21BD" w:rsidRDefault="00A722F8" w:rsidP="007D7A28">
                  <w:pPr>
                    <w:ind w:left="57"/>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Pichincha</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0.130</w:t>
                  </w:r>
                </w:p>
              </w:tc>
              <w:tc>
                <w:tcPr>
                  <w:tcW w:w="737"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0.845</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0.025</w:t>
                  </w:r>
                </w:p>
              </w:tc>
            </w:tr>
            <w:tr w:rsidR="00A722F8" w:rsidRPr="003D31DC" w:rsidTr="00EE21BD">
              <w:trPr>
                <w:trHeight w:val="20"/>
                <w:jc w:val="center"/>
              </w:trPr>
              <w:tc>
                <w:tcPr>
                  <w:tcW w:w="998" w:type="dxa"/>
                  <w:tcBorders>
                    <w:top w:val="nil"/>
                    <w:left w:val="nil"/>
                    <w:bottom w:val="nil"/>
                    <w:right w:val="nil"/>
                  </w:tcBorders>
                  <w:shd w:val="clear" w:color="auto" w:fill="auto"/>
                  <w:noWrap/>
                  <w:vAlign w:val="center"/>
                  <w:hideMark/>
                </w:tcPr>
                <w:p w:rsidR="00A722F8" w:rsidRPr="00EE21BD" w:rsidRDefault="00A722F8" w:rsidP="007D7A28">
                  <w:pPr>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Cotopaxi</w:t>
                  </w:r>
                </w:p>
              </w:tc>
              <w:tc>
                <w:tcPr>
                  <w:tcW w:w="903"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0.115</w:t>
                  </w:r>
                </w:p>
              </w:tc>
              <w:tc>
                <w:tcPr>
                  <w:tcW w:w="734"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0.836</w:t>
                  </w:r>
                </w:p>
              </w:tc>
              <w:tc>
                <w:tcPr>
                  <w:tcW w:w="846"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0.048</w:t>
                  </w:r>
                </w:p>
              </w:tc>
              <w:tc>
                <w:tcPr>
                  <w:tcW w:w="1304" w:type="dxa"/>
                  <w:tcBorders>
                    <w:top w:val="nil"/>
                    <w:left w:val="single" w:sz="4" w:space="0" w:color="auto"/>
                    <w:bottom w:val="nil"/>
                    <w:right w:val="nil"/>
                  </w:tcBorders>
                  <w:shd w:val="clear" w:color="auto" w:fill="auto"/>
                  <w:noWrap/>
                  <w:vAlign w:val="center"/>
                  <w:hideMark/>
                </w:tcPr>
                <w:p w:rsidR="00A722F8" w:rsidRPr="00EE21BD" w:rsidRDefault="00A722F8" w:rsidP="007D7A28">
                  <w:pPr>
                    <w:ind w:left="57"/>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Tungurahua</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0.133</w:t>
                  </w:r>
                </w:p>
              </w:tc>
              <w:tc>
                <w:tcPr>
                  <w:tcW w:w="737"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0.834</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0.033</w:t>
                  </w:r>
                </w:p>
              </w:tc>
            </w:tr>
            <w:tr w:rsidR="00A722F8" w:rsidRPr="003D31DC" w:rsidTr="00EE21BD">
              <w:trPr>
                <w:trHeight w:val="20"/>
                <w:jc w:val="center"/>
              </w:trPr>
              <w:tc>
                <w:tcPr>
                  <w:tcW w:w="998" w:type="dxa"/>
                  <w:tcBorders>
                    <w:top w:val="nil"/>
                    <w:left w:val="nil"/>
                    <w:bottom w:val="nil"/>
                    <w:right w:val="nil"/>
                  </w:tcBorders>
                  <w:shd w:val="clear" w:color="auto" w:fill="auto"/>
                  <w:noWrap/>
                  <w:vAlign w:val="center"/>
                  <w:hideMark/>
                </w:tcPr>
                <w:p w:rsidR="00A722F8" w:rsidRPr="00EE21BD" w:rsidRDefault="00A722F8" w:rsidP="007D7A28">
                  <w:pPr>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Chimborazo</w:t>
                  </w:r>
                </w:p>
              </w:tc>
              <w:tc>
                <w:tcPr>
                  <w:tcW w:w="903"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0.145</w:t>
                  </w:r>
                </w:p>
              </w:tc>
              <w:tc>
                <w:tcPr>
                  <w:tcW w:w="734"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0.825</w:t>
                  </w:r>
                </w:p>
              </w:tc>
              <w:tc>
                <w:tcPr>
                  <w:tcW w:w="846"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0.030</w:t>
                  </w:r>
                </w:p>
              </w:tc>
              <w:tc>
                <w:tcPr>
                  <w:tcW w:w="1304" w:type="dxa"/>
                  <w:tcBorders>
                    <w:top w:val="nil"/>
                    <w:left w:val="single" w:sz="4" w:space="0" w:color="auto"/>
                    <w:bottom w:val="nil"/>
                    <w:right w:val="nil"/>
                  </w:tcBorders>
                  <w:shd w:val="clear" w:color="auto" w:fill="auto"/>
                  <w:noWrap/>
                  <w:vAlign w:val="center"/>
                  <w:hideMark/>
                </w:tcPr>
                <w:p w:rsidR="00A722F8" w:rsidRPr="00EE21BD" w:rsidRDefault="00A722F8" w:rsidP="007D7A28">
                  <w:pPr>
                    <w:ind w:left="57"/>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Zamora Chinchipe</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0.128</w:t>
                  </w:r>
                </w:p>
              </w:tc>
              <w:tc>
                <w:tcPr>
                  <w:tcW w:w="737"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0.853</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0.018</w:t>
                  </w:r>
                </w:p>
              </w:tc>
            </w:tr>
            <w:tr w:rsidR="00A722F8" w:rsidRPr="003D31DC" w:rsidTr="00EE21BD">
              <w:trPr>
                <w:trHeight w:val="20"/>
                <w:jc w:val="center"/>
              </w:trPr>
              <w:tc>
                <w:tcPr>
                  <w:tcW w:w="998" w:type="dxa"/>
                  <w:tcBorders>
                    <w:top w:val="nil"/>
                    <w:left w:val="nil"/>
                    <w:bottom w:val="nil"/>
                    <w:right w:val="nil"/>
                  </w:tcBorders>
                  <w:shd w:val="clear" w:color="auto" w:fill="auto"/>
                  <w:noWrap/>
                  <w:vAlign w:val="center"/>
                  <w:hideMark/>
                </w:tcPr>
                <w:p w:rsidR="00A722F8" w:rsidRPr="00EE21BD" w:rsidRDefault="00A722F8" w:rsidP="007D7A28">
                  <w:pPr>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El Oro</w:t>
                  </w:r>
                </w:p>
              </w:tc>
              <w:tc>
                <w:tcPr>
                  <w:tcW w:w="903"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0.106</w:t>
                  </w:r>
                </w:p>
              </w:tc>
              <w:tc>
                <w:tcPr>
                  <w:tcW w:w="734"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0.841</w:t>
                  </w:r>
                </w:p>
              </w:tc>
              <w:tc>
                <w:tcPr>
                  <w:tcW w:w="846"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0.053</w:t>
                  </w:r>
                </w:p>
              </w:tc>
              <w:tc>
                <w:tcPr>
                  <w:tcW w:w="1304" w:type="dxa"/>
                  <w:tcBorders>
                    <w:top w:val="nil"/>
                    <w:left w:val="single" w:sz="4" w:space="0" w:color="auto"/>
                    <w:bottom w:val="nil"/>
                    <w:right w:val="nil"/>
                  </w:tcBorders>
                  <w:shd w:val="clear" w:color="auto" w:fill="auto"/>
                  <w:noWrap/>
                  <w:vAlign w:val="center"/>
                  <w:hideMark/>
                </w:tcPr>
                <w:p w:rsidR="00A722F8" w:rsidRPr="00EE21BD" w:rsidRDefault="00A722F8" w:rsidP="007D7A28">
                  <w:pPr>
                    <w:ind w:left="57"/>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Galápagos</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0.108</w:t>
                  </w:r>
                </w:p>
              </w:tc>
              <w:tc>
                <w:tcPr>
                  <w:tcW w:w="737"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0.862</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0.030</w:t>
                  </w:r>
                </w:p>
              </w:tc>
            </w:tr>
            <w:tr w:rsidR="00A722F8" w:rsidRPr="003D31DC" w:rsidTr="00EE21BD">
              <w:trPr>
                <w:trHeight w:val="20"/>
                <w:jc w:val="center"/>
              </w:trPr>
              <w:tc>
                <w:tcPr>
                  <w:tcW w:w="998" w:type="dxa"/>
                  <w:tcBorders>
                    <w:top w:val="nil"/>
                    <w:left w:val="nil"/>
                    <w:bottom w:val="nil"/>
                    <w:right w:val="nil"/>
                  </w:tcBorders>
                  <w:shd w:val="clear" w:color="auto" w:fill="auto"/>
                  <w:noWrap/>
                  <w:vAlign w:val="center"/>
                  <w:hideMark/>
                </w:tcPr>
                <w:p w:rsidR="00A722F8" w:rsidRPr="00EE21BD" w:rsidRDefault="00A722F8" w:rsidP="007D7A28">
                  <w:pPr>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Esmeraldas</w:t>
                  </w:r>
                </w:p>
              </w:tc>
              <w:tc>
                <w:tcPr>
                  <w:tcW w:w="903"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0.102</w:t>
                  </w:r>
                </w:p>
              </w:tc>
              <w:tc>
                <w:tcPr>
                  <w:tcW w:w="734"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0.800</w:t>
                  </w:r>
                </w:p>
              </w:tc>
              <w:tc>
                <w:tcPr>
                  <w:tcW w:w="846"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0.098</w:t>
                  </w:r>
                </w:p>
              </w:tc>
              <w:tc>
                <w:tcPr>
                  <w:tcW w:w="1304" w:type="dxa"/>
                  <w:tcBorders>
                    <w:top w:val="nil"/>
                    <w:left w:val="single" w:sz="4" w:space="0" w:color="auto"/>
                    <w:bottom w:val="nil"/>
                    <w:right w:val="nil"/>
                  </w:tcBorders>
                  <w:shd w:val="clear" w:color="auto" w:fill="auto"/>
                  <w:noWrap/>
                  <w:vAlign w:val="center"/>
                  <w:hideMark/>
                </w:tcPr>
                <w:p w:rsidR="00A722F8" w:rsidRPr="00EE21BD" w:rsidRDefault="00A722F8" w:rsidP="007D7A28">
                  <w:pPr>
                    <w:ind w:left="57"/>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Sucumbíos</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0.100</w:t>
                  </w:r>
                </w:p>
              </w:tc>
              <w:tc>
                <w:tcPr>
                  <w:tcW w:w="737"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0.844</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0.056</w:t>
                  </w:r>
                </w:p>
              </w:tc>
            </w:tr>
            <w:tr w:rsidR="00A722F8" w:rsidRPr="003D31DC" w:rsidTr="00EE21BD">
              <w:trPr>
                <w:trHeight w:val="20"/>
                <w:jc w:val="center"/>
              </w:trPr>
              <w:tc>
                <w:tcPr>
                  <w:tcW w:w="998" w:type="dxa"/>
                  <w:tcBorders>
                    <w:top w:val="nil"/>
                    <w:left w:val="nil"/>
                    <w:bottom w:val="nil"/>
                    <w:right w:val="nil"/>
                  </w:tcBorders>
                  <w:shd w:val="clear" w:color="auto" w:fill="auto"/>
                  <w:noWrap/>
                  <w:vAlign w:val="center"/>
                  <w:hideMark/>
                </w:tcPr>
                <w:p w:rsidR="00A722F8" w:rsidRPr="00EE21BD" w:rsidRDefault="00A722F8" w:rsidP="007D7A28">
                  <w:pPr>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Guayas</w:t>
                  </w:r>
                </w:p>
              </w:tc>
              <w:tc>
                <w:tcPr>
                  <w:tcW w:w="903"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0.063</w:t>
                  </w:r>
                </w:p>
              </w:tc>
              <w:tc>
                <w:tcPr>
                  <w:tcW w:w="734"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0.848</w:t>
                  </w:r>
                </w:p>
              </w:tc>
              <w:tc>
                <w:tcPr>
                  <w:tcW w:w="846"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0.088</w:t>
                  </w:r>
                </w:p>
              </w:tc>
              <w:tc>
                <w:tcPr>
                  <w:tcW w:w="1304" w:type="dxa"/>
                  <w:tcBorders>
                    <w:top w:val="nil"/>
                    <w:left w:val="single" w:sz="4" w:space="0" w:color="auto"/>
                    <w:bottom w:val="nil"/>
                    <w:right w:val="nil"/>
                  </w:tcBorders>
                  <w:shd w:val="clear" w:color="auto" w:fill="auto"/>
                  <w:noWrap/>
                  <w:vAlign w:val="center"/>
                  <w:hideMark/>
                </w:tcPr>
                <w:p w:rsidR="00A722F8" w:rsidRPr="00EE21BD" w:rsidRDefault="00A722F8" w:rsidP="007D7A28">
                  <w:pPr>
                    <w:ind w:left="57"/>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Orellana</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0.122</w:t>
                  </w:r>
                </w:p>
              </w:tc>
              <w:tc>
                <w:tcPr>
                  <w:tcW w:w="737"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0.837</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0.041</w:t>
                  </w:r>
                </w:p>
              </w:tc>
            </w:tr>
            <w:tr w:rsidR="00A722F8" w:rsidRPr="003D31DC" w:rsidTr="00EE21BD">
              <w:trPr>
                <w:trHeight w:val="20"/>
                <w:jc w:val="center"/>
              </w:trPr>
              <w:tc>
                <w:tcPr>
                  <w:tcW w:w="998" w:type="dxa"/>
                  <w:tcBorders>
                    <w:top w:val="nil"/>
                    <w:left w:val="nil"/>
                    <w:bottom w:val="nil"/>
                    <w:right w:val="nil"/>
                  </w:tcBorders>
                  <w:shd w:val="clear" w:color="auto" w:fill="auto"/>
                  <w:noWrap/>
                  <w:vAlign w:val="center"/>
                  <w:hideMark/>
                </w:tcPr>
                <w:p w:rsidR="00A722F8" w:rsidRPr="00EE21BD" w:rsidRDefault="00A722F8" w:rsidP="007D7A28">
                  <w:pPr>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Imbabura</w:t>
                  </w:r>
                </w:p>
              </w:tc>
              <w:tc>
                <w:tcPr>
                  <w:tcW w:w="903"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0.148</w:t>
                  </w:r>
                </w:p>
              </w:tc>
              <w:tc>
                <w:tcPr>
                  <w:tcW w:w="734"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0.825</w:t>
                  </w:r>
                </w:p>
              </w:tc>
              <w:tc>
                <w:tcPr>
                  <w:tcW w:w="846"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0.028</w:t>
                  </w:r>
                </w:p>
              </w:tc>
              <w:tc>
                <w:tcPr>
                  <w:tcW w:w="1304" w:type="dxa"/>
                  <w:tcBorders>
                    <w:top w:val="nil"/>
                    <w:left w:val="single" w:sz="4" w:space="0" w:color="auto"/>
                    <w:bottom w:val="nil"/>
                    <w:right w:val="nil"/>
                  </w:tcBorders>
                  <w:shd w:val="clear" w:color="auto" w:fill="auto"/>
                  <w:noWrap/>
                  <w:vAlign w:val="center"/>
                  <w:hideMark/>
                </w:tcPr>
                <w:p w:rsidR="00A722F8" w:rsidRPr="00EE21BD" w:rsidRDefault="00A722F8" w:rsidP="007D7A28">
                  <w:pPr>
                    <w:ind w:left="57"/>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Santo Domingo</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0.119</w:t>
                  </w:r>
                </w:p>
              </w:tc>
              <w:tc>
                <w:tcPr>
                  <w:tcW w:w="737"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0.813</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0.069</w:t>
                  </w:r>
                </w:p>
              </w:tc>
            </w:tr>
            <w:tr w:rsidR="00A722F8" w:rsidRPr="003D31DC" w:rsidTr="00EE21BD">
              <w:trPr>
                <w:trHeight w:val="20"/>
                <w:jc w:val="center"/>
              </w:trPr>
              <w:tc>
                <w:tcPr>
                  <w:tcW w:w="998" w:type="dxa"/>
                  <w:tcBorders>
                    <w:top w:val="nil"/>
                    <w:left w:val="nil"/>
                    <w:bottom w:val="nil"/>
                    <w:right w:val="nil"/>
                  </w:tcBorders>
                  <w:shd w:val="clear" w:color="auto" w:fill="auto"/>
                  <w:noWrap/>
                  <w:vAlign w:val="center"/>
                  <w:hideMark/>
                </w:tcPr>
                <w:p w:rsidR="00A722F8" w:rsidRPr="00EE21BD" w:rsidRDefault="00A722F8" w:rsidP="007D7A28">
                  <w:pPr>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Loja</w:t>
                  </w:r>
                </w:p>
              </w:tc>
              <w:tc>
                <w:tcPr>
                  <w:tcW w:w="903"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0.156</w:t>
                  </w:r>
                </w:p>
              </w:tc>
              <w:tc>
                <w:tcPr>
                  <w:tcW w:w="734"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0.820</w:t>
                  </w:r>
                </w:p>
              </w:tc>
              <w:tc>
                <w:tcPr>
                  <w:tcW w:w="846"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0.024</w:t>
                  </w:r>
                </w:p>
              </w:tc>
              <w:tc>
                <w:tcPr>
                  <w:tcW w:w="1304" w:type="dxa"/>
                  <w:tcBorders>
                    <w:top w:val="nil"/>
                    <w:left w:val="single" w:sz="4" w:space="0" w:color="auto"/>
                    <w:bottom w:val="nil"/>
                    <w:right w:val="nil"/>
                  </w:tcBorders>
                  <w:shd w:val="clear" w:color="auto" w:fill="auto"/>
                  <w:noWrap/>
                  <w:vAlign w:val="center"/>
                  <w:hideMark/>
                </w:tcPr>
                <w:p w:rsidR="00A722F8" w:rsidRPr="00EE21BD" w:rsidRDefault="00A722F8" w:rsidP="007D7A28">
                  <w:pPr>
                    <w:ind w:left="57"/>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Santa Elena</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0.085</w:t>
                  </w:r>
                </w:p>
              </w:tc>
              <w:tc>
                <w:tcPr>
                  <w:tcW w:w="737"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0.848</w:t>
                  </w:r>
                </w:p>
              </w:tc>
              <w:tc>
                <w:tcPr>
                  <w:tcW w:w="850" w:type="dxa"/>
                  <w:tcBorders>
                    <w:top w:val="nil"/>
                    <w:left w:val="nil"/>
                    <w:bottom w:val="nil"/>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0.066</w:t>
                  </w:r>
                </w:p>
              </w:tc>
            </w:tr>
            <w:tr w:rsidR="00A722F8" w:rsidRPr="003D31DC" w:rsidTr="00EE21BD">
              <w:trPr>
                <w:trHeight w:val="20"/>
                <w:jc w:val="center"/>
              </w:trPr>
              <w:tc>
                <w:tcPr>
                  <w:tcW w:w="998" w:type="dxa"/>
                  <w:tcBorders>
                    <w:top w:val="nil"/>
                    <w:left w:val="nil"/>
                    <w:bottom w:val="single" w:sz="4" w:space="0" w:color="auto"/>
                    <w:right w:val="nil"/>
                  </w:tcBorders>
                  <w:shd w:val="clear" w:color="auto" w:fill="auto"/>
                  <w:noWrap/>
                  <w:vAlign w:val="center"/>
                  <w:hideMark/>
                </w:tcPr>
                <w:p w:rsidR="00A722F8" w:rsidRPr="00EE21BD" w:rsidRDefault="00A722F8" w:rsidP="007D7A28">
                  <w:pPr>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Los Ríos</w:t>
                  </w:r>
                </w:p>
              </w:tc>
              <w:tc>
                <w:tcPr>
                  <w:tcW w:w="903" w:type="dxa"/>
                  <w:tcBorders>
                    <w:top w:val="nil"/>
                    <w:left w:val="nil"/>
                    <w:bottom w:val="single" w:sz="4" w:space="0" w:color="auto"/>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0.088</w:t>
                  </w:r>
                </w:p>
              </w:tc>
              <w:tc>
                <w:tcPr>
                  <w:tcW w:w="734" w:type="dxa"/>
                  <w:tcBorders>
                    <w:top w:val="nil"/>
                    <w:left w:val="nil"/>
                    <w:bottom w:val="single" w:sz="4" w:space="0" w:color="auto"/>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0.808</w:t>
                  </w:r>
                </w:p>
              </w:tc>
              <w:tc>
                <w:tcPr>
                  <w:tcW w:w="846" w:type="dxa"/>
                  <w:tcBorders>
                    <w:top w:val="nil"/>
                    <w:left w:val="nil"/>
                    <w:bottom w:val="single" w:sz="4" w:space="0" w:color="auto"/>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0.104</w:t>
                  </w:r>
                </w:p>
              </w:tc>
              <w:tc>
                <w:tcPr>
                  <w:tcW w:w="1304" w:type="dxa"/>
                  <w:tcBorders>
                    <w:top w:val="nil"/>
                    <w:left w:val="single" w:sz="4" w:space="0" w:color="auto"/>
                    <w:bottom w:val="single" w:sz="4" w:space="0" w:color="auto"/>
                    <w:right w:val="nil"/>
                  </w:tcBorders>
                  <w:shd w:val="clear" w:color="auto" w:fill="auto"/>
                  <w:noWrap/>
                  <w:vAlign w:val="center"/>
                  <w:hideMark/>
                </w:tcPr>
                <w:p w:rsidR="00A722F8" w:rsidRPr="00EE21BD" w:rsidRDefault="00A722F8" w:rsidP="007D7A28">
                  <w:pPr>
                    <w:ind w:left="57"/>
                    <w:jc w:val="left"/>
                    <w:rPr>
                      <w:rFonts w:ascii="Arial" w:eastAsia="Times New Roman" w:hAnsi="Arial" w:cs="Arial"/>
                      <w:sz w:val="16"/>
                      <w:szCs w:val="16"/>
                      <w:lang w:eastAsia="es-EC"/>
                    </w:rPr>
                  </w:pPr>
                  <w:r w:rsidRPr="00EE21BD">
                    <w:rPr>
                      <w:rFonts w:ascii="Arial" w:eastAsia="Times New Roman" w:hAnsi="Arial" w:cs="Arial"/>
                      <w:sz w:val="16"/>
                      <w:szCs w:val="16"/>
                      <w:lang w:eastAsia="es-EC"/>
                    </w:rPr>
                    <w:t>Zonas no Delimitadas</w:t>
                  </w:r>
                </w:p>
              </w:tc>
              <w:tc>
                <w:tcPr>
                  <w:tcW w:w="850" w:type="dxa"/>
                  <w:tcBorders>
                    <w:top w:val="nil"/>
                    <w:left w:val="nil"/>
                    <w:bottom w:val="single" w:sz="4" w:space="0" w:color="auto"/>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0.126</w:t>
                  </w:r>
                </w:p>
              </w:tc>
              <w:tc>
                <w:tcPr>
                  <w:tcW w:w="737" w:type="dxa"/>
                  <w:tcBorders>
                    <w:top w:val="nil"/>
                    <w:left w:val="nil"/>
                    <w:bottom w:val="single" w:sz="4" w:space="0" w:color="auto"/>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0.770</w:t>
                  </w:r>
                </w:p>
              </w:tc>
              <w:tc>
                <w:tcPr>
                  <w:tcW w:w="850" w:type="dxa"/>
                  <w:tcBorders>
                    <w:top w:val="nil"/>
                    <w:left w:val="nil"/>
                    <w:bottom w:val="single" w:sz="4" w:space="0" w:color="auto"/>
                    <w:right w:val="nil"/>
                  </w:tcBorders>
                  <w:shd w:val="clear" w:color="auto" w:fill="auto"/>
                  <w:noWrap/>
                  <w:vAlign w:val="center"/>
                  <w:hideMark/>
                </w:tcPr>
                <w:p w:rsidR="00A722F8" w:rsidRPr="00EE21BD" w:rsidRDefault="00A722F8" w:rsidP="003F1262">
                  <w:pPr>
                    <w:rPr>
                      <w:rFonts w:ascii="Arial" w:eastAsia="Times New Roman" w:hAnsi="Arial" w:cs="Arial"/>
                      <w:sz w:val="16"/>
                      <w:szCs w:val="16"/>
                      <w:lang w:eastAsia="es-EC"/>
                    </w:rPr>
                  </w:pPr>
                  <w:r w:rsidRPr="00EE21BD">
                    <w:rPr>
                      <w:rFonts w:ascii="Arial" w:eastAsia="Times New Roman" w:hAnsi="Arial" w:cs="Arial"/>
                      <w:sz w:val="16"/>
                      <w:szCs w:val="16"/>
                      <w:lang w:eastAsia="es-EC"/>
                    </w:rPr>
                    <w:t>0.104</w:t>
                  </w:r>
                </w:p>
              </w:tc>
            </w:tr>
          </w:tbl>
          <w:p w:rsidR="00A722F8" w:rsidRPr="00840530" w:rsidRDefault="00A722F8" w:rsidP="003F1262">
            <w:pPr>
              <w:jc w:val="both"/>
              <w:rPr>
                <w:rFonts w:ascii="Arial" w:hAnsi="Arial" w:cs="Arial"/>
                <w:sz w:val="24"/>
                <w:szCs w:val="24"/>
              </w:rPr>
            </w:pPr>
          </w:p>
        </w:tc>
      </w:tr>
    </w:tbl>
    <w:p w:rsidR="00A722F8" w:rsidRPr="00EE21BD" w:rsidRDefault="00A722F8" w:rsidP="00EE21BD">
      <w:pPr>
        <w:pStyle w:val="Prrafodelista"/>
        <w:spacing w:line="276" w:lineRule="auto"/>
        <w:ind w:left="851"/>
        <w:jc w:val="both"/>
        <w:rPr>
          <w:rFonts w:ascii="Arial" w:hAnsi="Arial" w:cs="Arial"/>
          <w:sz w:val="17"/>
          <w:szCs w:val="17"/>
        </w:rPr>
      </w:pPr>
    </w:p>
    <w:p w:rsidR="00A722F8" w:rsidRPr="00EE21BD" w:rsidRDefault="00A722F8" w:rsidP="00EE21BD">
      <w:pPr>
        <w:pStyle w:val="Prrafodelista"/>
        <w:spacing w:line="276" w:lineRule="auto"/>
        <w:ind w:left="851"/>
        <w:jc w:val="both"/>
        <w:rPr>
          <w:rFonts w:ascii="Arial" w:hAnsi="Arial" w:cs="Arial"/>
          <w:sz w:val="17"/>
          <w:szCs w:val="17"/>
        </w:rPr>
      </w:pPr>
      <w:r w:rsidRPr="00EE21BD">
        <w:rPr>
          <w:rFonts w:ascii="Arial" w:hAnsi="Arial" w:cs="Arial"/>
          <w:b/>
          <w:i/>
          <w:sz w:val="17"/>
          <w:szCs w:val="17"/>
        </w:rPr>
        <w:t>Fuente:</w:t>
      </w:r>
      <w:r w:rsidRPr="00EE21BD">
        <w:rPr>
          <w:rFonts w:ascii="Arial" w:hAnsi="Arial" w:cs="Arial"/>
          <w:sz w:val="17"/>
          <w:szCs w:val="17"/>
        </w:rPr>
        <w:t xml:space="preserve"> </w:t>
      </w:r>
      <w:r w:rsidRPr="00EE21BD">
        <w:rPr>
          <w:rFonts w:ascii="Arial" w:hAnsi="Arial" w:cs="Arial"/>
          <w:b/>
          <w:sz w:val="17"/>
          <w:szCs w:val="17"/>
        </w:rPr>
        <w:t xml:space="preserve">INEC </w:t>
      </w:r>
      <w:r w:rsidRPr="00EE21BD">
        <w:rPr>
          <w:rFonts w:ascii="Arial" w:hAnsi="Arial" w:cs="Arial"/>
          <w:sz w:val="17"/>
          <w:szCs w:val="17"/>
        </w:rPr>
        <w:t>(2010), Base de Datos del VII Censo de Población y VI de Vivienda.</w:t>
      </w:r>
    </w:p>
    <w:p w:rsidR="00A722F8" w:rsidRPr="00EE21BD" w:rsidRDefault="00A722F8" w:rsidP="00EE21BD">
      <w:pPr>
        <w:pStyle w:val="Prrafodelista"/>
        <w:spacing w:line="276" w:lineRule="auto"/>
        <w:ind w:left="851"/>
        <w:jc w:val="both"/>
        <w:rPr>
          <w:rFonts w:ascii="Arial" w:hAnsi="Arial" w:cs="Arial"/>
          <w:sz w:val="17"/>
          <w:szCs w:val="17"/>
        </w:rPr>
      </w:pPr>
      <w:r w:rsidRPr="00EE21BD">
        <w:rPr>
          <w:rFonts w:ascii="Arial" w:hAnsi="Arial" w:cs="Arial"/>
          <w:b/>
          <w:i/>
          <w:sz w:val="17"/>
          <w:szCs w:val="17"/>
        </w:rPr>
        <w:t>Elaborado por:</w:t>
      </w:r>
      <w:r w:rsidRPr="00EE21BD">
        <w:rPr>
          <w:rFonts w:ascii="Arial" w:hAnsi="Arial" w:cs="Arial"/>
          <w:sz w:val="17"/>
          <w:szCs w:val="17"/>
        </w:rPr>
        <w:t xml:space="preserve"> Katherine Loor Valeriano</w:t>
      </w:r>
    </w:p>
    <w:p w:rsidR="00A722F8" w:rsidRPr="00CA4D36" w:rsidRDefault="00A722F8" w:rsidP="0041640C">
      <w:pPr>
        <w:pStyle w:val="TesisTitulo20"/>
        <w:numPr>
          <w:ilvl w:val="2"/>
          <w:numId w:val="9"/>
        </w:numPr>
        <w:ind w:left="1701" w:hanging="850"/>
      </w:pPr>
      <w:bookmarkStart w:id="292" w:name="_Toc339212692"/>
      <w:bookmarkStart w:id="293" w:name="_Toc341040619"/>
      <w:r>
        <w:lastRenderedPageBreak/>
        <w:t>Índice de feminidad por grupo de edad</w:t>
      </w:r>
      <w:bookmarkEnd w:id="292"/>
      <w:bookmarkEnd w:id="293"/>
    </w:p>
    <w:p w:rsidR="00A722F8" w:rsidRDefault="00A722F8" w:rsidP="00EE21BD">
      <w:pPr>
        <w:pStyle w:val="Prrafodelista"/>
        <w:spacing w:line="480" w:lineRule="auto"/>
        <w:ind w:left="851"/>
        <w:jc w:val="both"/>
        <w:rPr>
          <w:rFonts w:ascii="Arial" w:hAnsi="Arial" w:cs="Arial"/>
        </w:rPr>
      </w:pPr>
      <w:r>
        <w:rPr>
          <w:rFonts w:ascii="Arial" w:hAnsi="Arial" w:cs="Arial"/>
        </w:rPr>
        <w:t xml:space="preserve">En las dos subsecciones previas hemos hablado del género y la edad de los emigrantes manabitas por provincia a la cual se dirigen; ahora trataremos ambas variables para determinar el índice de feminidad por grupos de edad. </w:t>
      </w:r>
      <w:r>
        <w:rPr>
          <w:rFonts w:ascii="Arial" w:hAnsi="Arial" w:cs="Arial"/>
          <w:i/>
        </w:rPr>
        <w:t xml:space="preserve">Véase Figura 2.12, </w:t>
      </w:r>
      <w:r>
        <w:rPr>
          <w:rFonts w:ascii="Arial" w:hAnsi="Arial" w:cs="Arial"/>
        </w:rPr>
        <w:t xml:space="preserve">donde el alto de las barras es el valor del índice de feminidad por grupo de edad por cada 100 hombres manabitas que han emigrado, es por ello que a los hombres se los representan como una recta a nivel de 100. Con ello podemos corroborar lo dicho en líneas previas, pues en la mayoría de los intervalos de edad se tiene que más emigran mujeres que hombres. </w:t>
      </w:r>
    </w:p>
    <w:p w:rsidR="00EE21BD" w:rsidRDefault="00EE21BD" w:rsidP="00EE21BD">
      <w:pPr>
        <w:pStyle w:val="Prrafodelista"/>
        <w:spacing w:line="480" w:lineRule="auto"/>
        <w:ind w:left="851"/>
        <w:jc w:val="both"/>
        <w:rPr>
          <w:rFonts w:ascii="Arial" w:hAnsi="Arial" w:cs="Arial"/>
        </w:rPr>
      </w:pPr>
    </w:p>
    <w:p w:rsidR="00A722F8" w:rsidRPr="008D10AA" w:rsidRDefault="00A722F8" w:rsidP="00EE21BD">
      <w:pPr>
        <w:pStyle w:val="Prrafodelista"/>
        <w:spacing w:line="480" w:lineRule="auto"/>
        <w:ind w:left="851"/>
        <w:jc w:val="both"/>
        <w:rPr>
          <w:rFonts w:ascii="Arial" w:hAnsi="Arial" w:cs="Arial"/>
        </w:rPr>
      </w:pPr>
      <w:r>
        <w:rPr>
          <w:rFonts w:ascii="Arial" w:hAnsi="Arial" w:cs="Arial"/>
        </w:rPr>
        <w:t xml:space="preserve">Para los emigrantes de toda la vida de Manabí que al año del censo (2010) tenían más de 100 años podemos notar que hay 272 mujeres por cada 100 hombres emigrantes; y quienes tenían entre 95 y 100 años en cambio esta tasa es de 200 mujeres emigrantes por cada 100 hombres. En general, para edades mayores (65 años y más) el índice de feminidad de los emigrantes es superior a 100; mientras que para edades entre 1 y 10 años este índice es inferior a 100, se tiene que emigran 97.49 mujeres por cada 100 hombres con edades entre 1 y 5 años y 99.86 mujeres por cada 100 con edades comprendidas en el intervalo entre 5 y 10 años. En cambio para los emigrantes en edades económicamente activa (entre 15 y 65 años), podemos observar que no es extraordinariamente grande la diferencia como se da en el caso de los mayores de 80 años; teniéndose un índice de feminidad de 106.29 mujeres emigrantes con edades entre 15 y </w:t>
      </w:r>
      <w:r>
        <w:rPr>
          <w:rFonts w:ascii="Arial" w:hAnsi="Arial" w:cs="Arial"/>
        </w:rPr>
        <w:lastRenderedPageBreak/>
        <w:t xml:space="preserve">20 años por cada 100 hombres, para los emigrantes con edades entre 20 y 25 años este índice es de 105.10 mujeres por cada 100 hombres emigrantes. </w:t>
      </w:r>
      <w:r>
        <w:rPr>
          <w:rFonts w:ascii="Arial" w:hAnsi="Arial" w:cs="Arial"/>
          <w:i/>
        </w:rPr>
        <w:t>Véase Figura 2.12.</w:t>
      </w:r>
    </w:p>
    <w:tbl>
      <w:tblPr>
        <w:tblW w:w="7497" w:type="dxa"/>
        <w:jc w:val="right"/>
        <w:tblInd w:w="936"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EE21BD">
        <w:trPr>
          <w:trHeight w:val="3702"/>
          <w:jc w:val="right"/>
        </w:trPr>
        <w:tc>
          <w:tcPr>
            <w:tcW w:w="7497" w:type="dxa"/>
          </w:tcPr>
          <w:p w:rsidR="00A722F8" w:rsidRDefault="00A722F8" w:rsidP="003F1262">
            <w:pPr>
              <w:rPr>
                <w:rFonts w:ascii="Arial" w:hAnsi="Arial" w:cs="Arial"/>
                <w:b/>
                <w:sz w:val="16"/>
                <w:szCs w:val="16"/>
              </w:rPr>
            </w:pPr>
          </w:p>
          <w:p w:rsidR="00547F37" w:rsidRPr="00547F37" w:rsidRDefault="00547F37" w:rsidP="00547F37">
            <w:pPr>
              <w:pStyle w:val="Epgrafe"/>
              <w:rPr>
                <w:rFonts w:ascii="Arial" w:hAnsi="Arial" w:cs="Arial"/>
                <w:bCs w:val="0"/>
                <w:color w:val="auto"/>
                <w:sz w:val="16"/>
                <w:szCs w:val="16"/>
              </w:rPr>
            </w:pPr>
            <w:bookmarkStart w:id="294" w:name="_Toc341043002"/>
            <w:r>
              <w:rPr>
                <w:rFonts w:ascii="Arial" w:hAnsi="Arial" w:cs="Arial"/>
                <w:bCs w:val="0"/>
                <w:color w:val="auto"/>
                <w:sz w:val="16"/>
                <w:szCs w:val="16"/>
              </w:rPr>
              <w:t>Figura 2.</w:t>
            </w:r>
            <w:r w:rsidR="00990535" w:rsidRPr="00547F37">
              <w:rPr>
                <w:rFonts w:ascii="Arial" w:hAnsi="Arial" w:cs="Arial"/>
                <w:bCs w:val="0"/>
                <w:color w:val="auto"/>
                <w:sz w:val="16"/>
                <w:szCs w:val="16"/>
              </w:rPr>
              <w:fldChar w:fldCharType="begin"/>
            </w:r>
            <w:r w:rsidRPr="00547F37">
              <w:rPr>
                <w:rFonts w:ascii="Arial" w:hAnsi="Arial" w:cs="Arial"/>
                <w:bCs w:val="0"/>
                <w:color w:val="auto"/>
                <w:sz w:val="16"/>
                <w:szCs w:val="16"/>
              </w:rPr>
              <w:instrText xml:space="preserve"> SEQ Figura_2. \* ARABIC </w:instrText>
            </w:r>
            <w:r w:rsidR="00990535" w:rsidRPr="00547F37">
              <w:rPr>
                <w:rFonts w:ascii="Arial" w:hAnsi="Arial" w:cs="Arial"/>
                <w:bCs w:val="0"/>
                <w:color w:val="auto"/>
                <w:sz w:val="16"/>
                <w:szCs w:val="16"/>
              </w:rPr>
              <w:fldChar w:fldCharType="separate"/>
            </w:r>
            <w:r w:rsidR="00A242E0">
              <w:rPr>
                <w:rFonts w:ascii="Arial" w:hAnsi="Arial" w:cs="Arial"/>
                <w:bCs w:val="0"/>
                <w:noProof/>
                <w:color w:val="auto"/>
                <w:sz w:val="16"/>
                <w:szCs w:val="16"/>
              </w:rPr>
              <w:t>12</w:t>
            </w:r>
            <w:bookmarkEnd w:id="294"/>
            <w:r w:rsidR="00990535" w:rsidRPr="00547F37">
              <w:rPr>
                <w:rFonts w:ascii="Arial" w:hAnsi="Arial" w:cs="Arial"/>
                <w:bCs w:val="0"/>
                <w:color w:val="auto"/>
                <w:sz w:val="16"/>
                <w:szCs w:val="16"/>
              </w:rPr>
              <w:fldChar w:fldCharType="end"/>
            </w:r>
          </w:p>
          <w:p w:rsidR="00A722F8" w:rsidRPr="006148C1" w:rsidRDefault="00EE21BD" w:rsidP="003F1262">
            <w:pPr>
              <w:rPr>
                <w:rFonts w:ascii="Arial" w:hAnsi="Arial" w:cs="Arial"/>
                <w:i/>
                <w:sz w:val="8"/>
                <w:szCs w:val="8"/>
              </w:rPr>
            </w:pPr>
            <w:r>
              <w:rPr>
                <w:rFonts w:ascii="Arial" w:hAnsi="Arial" w:cs="Arial"/>
                <w:b/>
                <w:i/>
                <w:sz w:val="16"/>
                <w:szCs w:val="16"/>
              </w:rPr>
              <w:t xml:space="preserve">Manabí 2010: </w:t>
            </w:r>
            <w:r w:rsidR="00A722F8">
              <w:rPr>
                <w:rFonts w:ascii="Arial" w:hAnsi="Arial" w:cs="Arial"/>
                <w:i/>
                <w:sz w:val="16"/>
                <w:szCs w:val="16"/>
              </w:rPr>
              <w:t>Índice de feminidad por grupo de edad de los emigrantes nacidos en Manabí</w:t>
            </w:r>
          </w:p>
          <w:p w:rsidR="00A722F8" w:rsidRPr="00840530" w:rsidRDefault="00A722F8" w:rsidP="003F1262">
            <w:pPr>
              <w:rPr>
                <w:rFonts w:ascii="Arial" w:hAnsi="Arial" w:cs="Arial"/>
                <w:sz w:val="24"/>
                <w:szCs w:val="24"/>
              </w:rPr>
            </w:pPr>
            <w:r>
              <w:rPr>
                <w:noProof/>
                <w:lang w:eastAsia="es-EC"/>
              </w:rPr>
              <w:drawing>
                <wp:inline distT="0" distB="0" distL="0" distR="0">
                  <wp:extent cx="4505325" cy="20193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A722F8" w:rsidRPr="00EE21BD" w:rsidRDefault="00A722F8" w:rsidP="00EE21BD">
      <w:pPr>
        <w:pStyle w:val="Prrafodelista"/>
        <w:spacing w:line="276" w:lineRule="auto"/>
        <w:ind w:left="851"/>
        <w:jc w:val="both"/>
        <w:rPr>
          <w:rFonts w:ascii="Arial" w:hAnsi="Arial" w:cs="Arial"/>
          <w:sz w:val="17"/>
          <w:szCs w:val="17"/>
        </w:rPr>
      </w:pPr>
    </w:p>
    <w:p w:rsidR="00A722F8" w:rsidRPr="00EE21BD" w:rsidRDefault="00A722F8" w:rsidP="00EE21BD">
      <w:pPr>
        <w:pStyle w:val="Prrafodelista"/>
        <w:spacing w:line="276" w:lineRule="auto"/>
        <w:ind w:left="851"/>
        <w:jc w:val="both"/>
        <w:rPr>
          <w:rFonts w:ascii="Arial" w:hAnsi="Arial" w:cs="Arial"/>
          <w:sz w:val="17"/>
          <w:szCs w:val="17"/>
        </w:rPr>
      </w:pPr>
      <w:r w:rsidRPr="00EE21BD">
        <w:rPr>
          <w:rFonts w:ascii="Arial" w:hAnsi="Arial" w:cs="Arial"/>
          <w:b/>
          <w:i/>
          <w:sz w:val="17"/>
          <w:szCs w:val="17"/>
        </w:rPr>
        <w:t>Fuente:</w:t>
      </w:r>
      <w:r w:rsidRPr="00EE21BD">
        <w:rPr>
          <w:rFonts w:ascii="Arial" w:hAnsi="Arial" w:cs="Arial"/>
          <w:sz w:val="17"/>
          <w:szCs w:val="17"/>
        </w:rPr>
        <w:t xml:space="preserve"> </w:t>
      </w:r>
      <w:r w:rsidRPr="00EE21BD">
        <w:rPr>
          <w:rFonts w:ascii="Arial" w:hAnsi="Arial" w:cs="Arial"/>
          <w:b/>
          <w:sz w:val="17"/>
          <w:szCs w:val="17"/>
        </w:rPr>
        <w:t xml:space="preserve">INEC </w:t>
      </w:r>
      <w:r w:rsidRPr="00EE21BD">
        <w:rPr>
          <w:rFonts w:ascii="Arial" w:hAnsi="Arial" w:cs="Arial"/>
          <w:sz w:val="17"/>
          <w:szCs w:val="17"/>
        </w:rPr>
        <w:t>(2010), Base de Datos del VII Censo de Población y VI de Vivienda.</w:t>
      </w:r>
    </w:p>
    <w:p w:rsidR="00A722F8" w:rsidRDefault="00A722F8" w:rsidP="00EE21BD">
      <w:pPr>
        <w:pStyle w:val="Prrafodelista"/>
        <w:spacing w:line="276" w:lineRule="auto"/>
        <w:ind w:left="851"/>
        <w:jc w:val="both"/>
        <w:rPr>
          <w:rFonts w:ascii="Arial" w:hAnsi="Arial" w:cs="Arial"/>
          <w:sz w:val="17"/>
          <w:szCs w:val="17"/>
        </w:rPr>
      </w:pPr>
      <w:r w:rsidRPr="00EE21BD">
        <w:rPr>
          <w:rFonts w:ascii="Arial" w:hAnsi="Arial" w:cs="Arial"/>
          <w:b/>
          <w:i/>
          <w:sz w:val="17"/>
          <w:szCs w:val="17"/>
        </w:rPr>
        <w:t>Elaborado por:</w:t>
      </w:r>
      <w:r w:rsidRPr="00EE21BD">
        <w:rPr>
          <w:rFonts w:ascii="Arial" w:hAnsi="Arial" w:cs="Arial"/>
          <w:sz w:val="17"/>
          <w:szCs w:val="17"/>
        </w:rPr>
        <w:t xml:space="preserve"> Katherine Loor Valeriano</w:t>
      </w:r>
    </w:p>
    <w:p w:rsidR="00EE21BD" w:rsidRPr="00EE21BD" w:rsidRDefault="00EE21BD" w:rsidP="00EE21BD">
      <w:pPr>
        <w:pStyle w:val="Prrafodelista"/>
        <w:spacing w:line="480" w:lineRule="auto"/>
        <w:ind w:left="851"/>
        <w:jc w:val="both"/>
        <w:rPr>
          <w:rFonts w:ascii="Arial" w:hAnsi="Arial" w:cs="Arial"/>
        </w:rPr>
      </w:pPr>
    </w:p>
    <w:p w:rsidR="00DC69CE" w:rsidRDefault="00DC69CE" w:rsidP="00DC69CE">
      <w:pPr>
        <w:pStyle w:val="TesisTitulo20"/>
        <w:numPr>
          <w:ilvl w:val="2"/>
          <w:numId w:val="9"/>
        </w:numPr>
        <w:ind w:left="1701" w:hanging="850"/>
      </w:pPr>
      <w:bookmarkStart w:id="295" w:name="_Toc341040620"/>
      <w:bookmarkStart w:id="296" w:name="_Toc339212693"/>
      <w:r>
        <w:t xml:space="preserve">Tasa </w:t>
      </w:r>
      <w:r w:rsidR="00A722F8" w:rsidRPr="00651902">
        <w:t xml:space="preserve">de </w:t>
      </w:r>
      <w:r w:rsidR="00A722F8">
        <w:t>área</w:t>
      </w:r>
      <w:r>
        <w:t xml:space="preserve"> </w:t>
      </w:r>
      <w:r w:rsidR="00A722F8">
        <w:t xml:space="preserve"> de </w:t>
      </w:r>
      <w:r>
        <w:t xml:space="preserve"> </w:t>
      </w:r>
      <w:r w:rsidR="00A722F8">
        <w:t>residencia</w:t>
      </w:r>
      <w:r w:rsidR="00A722F8" w:rsidRPr="00651902">
        <w:t xml:space="preserve"> </w:t>
      </w:r>
      <w:r>
        <w:t xml:space="preserve"> para  </w:t>
      </w:r>
      <w:r w:rsidR="00A722F8">
        <w:t xml:space="preserve">grupo </w:t>
      </w:r>
      <w:r>
        <w:t xml:space="preserve"> </w:t>
      </w:r>
      <w:r w:rsidR="00A722F8">
        <w:t>de</w:t>
      </w:r>
      <w:r>
        <w:t xml:space="preserve"> </w:t>
      </w:r>
      <w:r w:rsidR="00A722F8">
        <w:t xml:space="preserve"> e</w:t>
      </w:r>
      <w:r w:rsidR="00A722F8" w:rsidRPr="00651902">
        <w:t>dades</w:t>
      </w:r>
      <w:bookmarkEnd w:id="295"/>
      <w:r w:rsidR="00A722F8" w:rsidRPr="00651902">
        <w:t xml:space="preserve"> </w:t>
      </w:r>
      <w:bookmarkStart w:id="297" w:name="_Toc341040621"/>
    </w:p>
    <w:p w:rsidR="00A722F8" w:rsidRPr="00651902" w:rsidRDefault="00A722F8" w:rsidP="00DC69CE">
      <w:pPr>
        <w:pStyle w:val="TesisTitulo20"/>
        <w:numPr>
          <w:ilvl w:val="0"/>
          <w:numId w:val="0"/>
        </w:numPr>
        <w:ind w:left="851"/>
      </w:pPr>
      <w:r w:rsidRPr="00651902">
        <w:t xml:space="preserve">específicas y </w:t>
      </w:r>
      <w:r>
        <w:t>g</w:t>
      </w:r>
      <w:r w:rsidRPr="00651902">
        <w:t xml:space="preserve">énero </w:t>
      </w:r>
      <w:r>
        <w:t>por cada 1000</w:t>
      </w:r>
      <w:r w:rsidRPr="00651902">
        <w:t xml:space="preserve"> </w:t>
      </w:r>
      <w:r w:rsidR="008F1FF2">
        <w:t>e</w:t>
      </w:r>
      <w:r>
        <w:t>migrantes de Manabí</w:t>
      </w:r>
      <w:bookmarkEnd w:id="296"/>
      <w:bookmarkEnd w:id="297"/>
    </w:p>
    <w:p w:rsidR="00A722F8" w:rsidRDefault="00A722F8" w:rsidP="00A911D2">
      <w:pPr>
        <w:pStyle w:val="Prrafodelista"/>
        <w:spacing w:line="480" w:lineRule="auto"/>
        <w:ind w:left="851"/>
        <w:jc w:val="both"/>
        <w:rPr>
          <w:rFonts w:ascii="Arial" w:hAnsi="Arial" w:cs="Arial"/>
        </w:rPr>
      </w:pPr>
      <w:r>
        <w:rPr>
          <w:rFonts w:ascii="Arial" w:hAnsi="Arial" w:cs="Arial"/>
        </w:rPr>
        <w:t xml:space="preserve">Así como ya mencionamos la provincia hacia la cual se dirigen los emigrantes manabitas, ahora hablaremos sobre el área donde residen, es decir, si se trata del área urbana o rural; determinando la tasa por cada 1000 emigrantes para un grupo de edad y género determinado, tenemos que de los hombres que han emigrado y que al año del Censo (2010) tenían edades comprendidas entre 20 y 25 años, 671.49 por cada 1000 residen en el área urbana y 328.51 por cada 1000 residen en el área rural; mientras que las mujeres emigrantes con edades comprendidas en el </w:t>
      </w:r>
      <w:r>
        <w:rPr>
          <w:rFonts w:ascii="Arial" w:hAnsi="Arial" w:cs="Arial"/>
        </w:rPr>
        <w:lastRenderedPageBreak/>
        <w:t xml:space="preserve">mismo rango de edad tenemos que 716.92 por cada 1000 residen en el área urbana y 283.08 por cada 1000 en el área rural. </w:t>
      </w:r>
    </w:p>
    <w:p w:rsidR="00A722F8" w:rsidRDefault="00A722F8" w:rsidP="00A911D2">
      <w:pPr>
        <w:pStyle w:val="Prrafodelista"/>
        <w:spacing w:line="480" w:lineRule="auto"/>
        <w:ind w:left="851"/>
        <w:jc w:val="both"/>
        <w:rPr>
          <w:rFonts w:ascii="Arial" w:hAnsi="Arial" w:cs="Arial"/>
        </w:rPr>
      </w:pPr>
    </w:p>
    <w:p w:rsidR="00A722F8" w:rsidRDefault="00A722F8" w:rsidP="00A911D2">
      <w:pPr>
        <w:pStyle w:val="Prrafodelista"/>
        <w:spacing w:line="480" w:lineRule="auto"/>
        <w:ind w:left="851"/>
        <w:jc w:val="both"/>
        <w:rPr>
          <w:rFonts w:ascii="Arial" w:hAnsi="Arial" w:cs="Arial"/>
        </w:rPr>
      </w:pPr>
      <w:r>
        <w:rPr>
          <w:rFonts w:ascii="Arial" w:hAnsi="Arial" w:cs="Arial"/>
        </w:rPr>
        <w:t>Para los emigrantes con edades en el intervalo de 40 a 45 años, se tiene que 726.68 hombres por cada 1000 viven en el área urbana y 273.32 hombres por cada 1000 residen en el área rural; mientras que para las mujeres pertenecientes al mismo grupo de edad estas tasas toman valores de 784.47 por cada 1000 mujeres  y 215.53 por cada 1000 mujeres respectivamente. De los emigrantes con edades entre 70 y 75 años en cambio, tenemos que 668.31 hombres por cada 1000 hombres emigrantes residen en el área urbana y para el caso de las mujeres esta tasa asciende a 779.73 mujeres por cada 1000 mujeres emigrantes. En general, podemos notar que en todos los grupos de edad las mujeres siempre presentan una tasa de urbanización superior a la de los hombres.</w:t>
      </w:r>
    </w:p>
    <w:p w:rsidR="00A911D2" w:rsidRDefault="00A911D2" w:rsidP="00A911D2">
      <w:pPr>
        <w:pStyle w:val="Prrafodelista"/>
        <w:spacing w:line="480" w:lineRule="auto"/>
        <w:ind w:left="851"/>
        <w:jc w:val="both"/>
        <w:rPr>
          <w:rFonts w:ascii="Arial" w:hAnsi="Arial" w:cs="Arial"/>
        </w:rPr>
      </w:pPr>
    </w:p>
    <w:p w:rsidR="00A722F8" w:rsidRPr="006D5DFB" w:rsidRDefault="00A722F8" w:rsidP="00A911D2">
      <w:pPr>
        <w:pStyle w:val="Prrafodelista"/>
        <w:spacing w:line="480" w:lineRule="auto"/>
        <w:ind w:left="851"/>
        <w:jc w:val="both"/>
        <w:rPr>
          <w:rFonts w:ascii="Arial" w:hAnsi="Arial" w:cs="Arial"/>
        </w:rPr>
      </w:pPr>
      <w:r>
        <w:rPr>
          <w:rFonts w:ascii="Arial" w:hAnsi="Arial" w:cs="Arial"/>
        </w:rPr>
        <w:t xml:space="preserve">En la </w:t>
      </w:r>
      <w:r>
        <w:rPr>
          <w:rFonts w:ascii="Arial" w:hAnsi="Arial" w:cs="Arial"/>
          <w:i/>
        </w:rPr>
        <w:t>Figura 2.13</w:t>
      </w:r>
      <w:r>
        <w:rPr>
          <w:rFonts w:ascii="Arial" w:hAnsi="Arial" w:cs="Arial"/>
        </w:rPr>
        <w:t xml:space="preserve"> se muestran dichas tasas, en donde podemos observar que en todos los casos la tasa toma valores mayores para las personas que residen en áreas urbanas, es decir, la mayoría de los emigrantes manabitas viven en el área urbana; aunque para el caso de los hombres podemos notar que la tendencia de la tasa es a aumenta para edades entre 0 y 55 años, a partir de esta edad dicha tasa disminuye, y vuelve a aumentar para edades mayores a 75 años; donde finalmente en los dos últimos grupos de edad vuelve a disminuir. Por el contrario, las mujeres siempre presentan </w:t>
      </w:r>
      <w:r>
        <w:rPr>
          <w:rFonts w:ascii="Arial" w:hAnsi="Arial" w:cs="Arial"/>
        </w:rPr>
        <w:lastRenderedPageBreak/>
        <w:t xml:space="preserve">una tasa creciente, es decir a mayor edad es mayor la cantidad de mujeres que residen en el área urbana respecto al área rural. </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A911D2">
        <w:trPr>
          <w:trHeight w:val="6388"/>
          <w:jc w:val="right"/>
        </w:trPr>
        <w:tc>
          <w:tcPr>
            <w:tcW w:w="7497" w:type="dxa"/>
          </w:tcPr>
          <w:p w:rsidR="00A722F8" w:rsidRDefault="00A722F8" w:rsidP="003F1262">
            <w:pPr>
              <w:rPr>
                <w:rFonts w:ascii="Arial" w:hAnsi="Arial" w:cs="Arial"/>
                <w:b/>
                <w:sz w:val="16"/>
                <w:szCs w:val="16"/>
              </w:rPr>
            </w:pPr>
          </w:p>
          <w:p w:rsidR="00482001" w:rsidRPr="00482001" w:rsidRDefault="00482001" w:rsidP="00482001">
            <w:pPr>
              <w:keepNext/>
              <w:rPr>
                <w:rFonts w:ascii="Arial" w:hAnsi="Arial" w:cs="Arial"/>
                <w:b/>
                <w:sz w:val="16"/>
                <w:szCs w:val="16"/>
              </w:rPr>
            </w:pPr>
            <w:bookmarkStart w:id="298" w:name="_Toc341043003"/>
            <w:r>
              <w:rPr>
                <w:rFonts w:ascii="Arial" w:hAnsi="Arial" w:cs="Arial"/>
                <w:b/>
                <w:sz w:val="16"/>
                <w:szCs w:val="16"/>
              </w:rPr>
              <w:t>Figura 2.</w:t>
            </w:r>
            <w:r w:rsidR="00990535" w:rsidRPr="00482001">
              <w:rPr>
                <w:rFonts w:ascii="Arial" w:hAnsi="Arial" w:cs="Arial"/>
                <w:b/>
                <w:sz w:val="16"/>
                <w:szCs w:val="16"/>
              </w:rPr>
              <w:fldChar w:fldCharType="begin"/>
            </w:r>
            <w:r w:rsidRPr="00482001">
              <w:rPr>
                <w:rFonts w:ascii="Arial" w:hAnsi="Arial" w:cs="Arial"/>
                <w:b/>
                <w:sz w:val="16"/>
                <w:szCs w:val="16"/>
              </w:rPr>
              <w:instrText xml:space="preserve"> SEQ Figura_2. \* ARABIC </w:instrText>
            </w:r>
            <w:r w:rsidR="00990535" w:rsidRPr="00482001">
              <w:rPr>
                <w:rFonts w:ascii="Arial" w:hAnsi="Arial" w:cs="Arial"/>
                <w:b/>
                <w:sz w:val="16"/>
                <w:szCs w:val="16"/>
              </w:rPr>
              <w:fldChar w:fldCharType="separate"/>
            </w:r>
            <w:r w:rsidR="00A242E0">
              <w:rPr>
                <w:rFonts w:ascii="Arial" w:hAnsi="Arial" w:cs="Arial"/>
                <w:b/>
                <w:noProof/>
                <w:sz w:val="16"/>
                <w:szCs w:val="16"/>
              </w:rPr>
              <w:t>13</w:t>
            </w:r>
            <w:bookmarkEnd w:id="298"/>
            <w:r w:rsidR="00990535" w:rsidRPr="00482001">
              <w:rPr>
                <w:rFonts w:ascii="Arial" w:hAnsi="Arial" w:cs="Arial"/>
                <w:b/>
                <w:sz w:val="16"/>
                <w:szCs w:val="16"/>
              </w:rPr>
              <w:fldChar w:fldCharType="end"/>
            </w:r>
          </w:p>
          <w:p w:rsidR="00A722F8" w:rsidRPr="00F44C12" w:rsidRDefault="00A911D2" w:rsidP="003F1262">
            <w:pPr>
              <w:rPr>
                <w:rFonts w:ascii="Arial" w:hAnsi="Arial" w:cs="Arial"/>
                <w:i/>
                <w:sz w:val="16"/>
                <w:szCs w:val="16"/>
              </w:rPr>
            </w:pPr>
            <w:r>
              <w:rPr>
                <w:rFonts w:ascii="Arial" w:hAnsi="Arial" w:cs="Arial"/>
                <w:b/>
                <w:i/>
                <w:sz w:val="16"/>
                <w:szCs w:val="16"/>
              </w:rPr>
              <w:t>Manabí 2010:</w:t>
            </w:r>
            <w:r w:rsidR="00A722F8" w:rsidRPr="00F44C12">
              <w:rPr>
                <w:rFonts w:ascii="Arial" w:hAnsi="Arial" w:cs="Arial"/>
                <w:i/>
                <w:sz w:val="16"/>
                <w:szCs w:val="16"/>
              </w:rPr>
              <w:t xml:space="preserve"> Tasa </w:t>
            </w:r>
            <w:r w:rsidR="00A722F8">
              <w:rPr>
                <w:rFonts w:ascii="Arial" w:hAnsi="Arial" w:cs="Arial"/>
                <w:i/>
                <w:sz w:val="16"/>
                <w:szCs w:val="16"/>
              </w:rPr>
              <w:t>de área de residencia</w:t>
            </w:r>
            <w:r w:rsidR="00A722F8" w:rsidRPr="00F44C12">
              <w:rPr>
                <w:rFonts w:ascii="Arial" w:hAnsi="Arial" w:cs="Arial"/>
                <w:i/>
                <w:sz w:val="16"/>
                <w:szCs w:val="16"/>
              </w:rPr>
              <w:t xml:space="preserve"> </w:t>
            </w:r>
            <w:r w:rsidR="00A722F8">
              <w:rPr>
                <w:rFonts w:ascii="Arial" w:hAnsi="Arial" w:cs="Arial"/>
                <w:i/>
                <w:sz w:val="16"/>
                <w:szCs w:val="16"/>
              </w:rPr>
              <w:t>para</w:t>
            </w:r>
            <w:r w:rsidR="00A722F8" w:rsidRPr="00F44C12">
              <w:rPr>
                <w:rFonts w:ascii="Arial" w:hAnsi="Arial" w:cs="Arial"/>
                <w:i/>
                <w:sz w:val="16"/>
                <w:szCs w:val="16"/>
              </w:rPr>
              <w:t xml:space="preserve"> </w:t>
            </w:r>
            <w:r w:rsidR="00A722F8">
              <w:rPr>
                <w:rFonts w:ascii="Arial" w:hAnsi="Arial" w:cs="Arial"/>
                <w:i/>
                <w:sz w:val="16"/>
                <w:szCs w:val="16"/>
              </w:rPr>
              <w:t>grupo de e</w:t>
            </w:r>
            <w:r w:rsidR="00A722F8" w:rsidRPr="00F44C12">
              <w:rPr>
                <w:rFonts w:ascii="Arial" w:hAnsi="Arial" w:cs="Arial"/>
                <w:i/>
                <w:sz w:val="16"/>
                <w:szCs w:val="16"/>
              </w:rPr>
              <w:t xml:space="preserve">dades específicas y </w:t>
            </w:r>
            <w:r w:rsidR="00A722F8">
              <w:rPr>
                <w:rFonts w:ascii="Arial" w:hAnsi="Arial" w:cs="Arial"/>
                <w:i/>
                <w:sz w:val="16"/>
                <w:szCs w:val="16"/>
              </w:rPr>
              <w:t>g</w:t>
            </w:r>
            <w:r w:rsidR="00A722F8" w:rsidRPr="00F44C12">
              <w:rPr>
                <w:rFonts w:ascii="Arial" w:hAnsi="Arial" w:cs="Arial"/>
                <w:i/>
                <w:sz w:val="16"/>
                <w:szCs w:val="16"/>
              </w:rPr>
              <w:t>énero</w:t>
            </w:r>
          </w:p>
          <w:p w:rsidR="00A722F8" w:rsidRDefault="00A722F8" w:rsidP="003F1262">
            <w:pPr>
              <w:rPr>
                <w:rFonts w:ascii="Arial" w:hAnsi="Arial" w:cs="Arial"/>
                <w:b/>
                <w:sz w:val="16"/>
                <w:szCs w:val="16"/>
              </w:rPr>
            </w:pPr>
            <w:r w:rsidRPr="00F44C12">
              <w:rPr>
                <w:rFonts w:ascii="Arial" w:hAnsi="Arial" w:cs="Arial"/>
                <w:i/>
                <w:sz w:val="16"/>
                <w:szCs w:val="16"/>
              </w:rPr>
              <w:t xml:space="preserve">por cada 1000 </w:t>
            </w:r>
            <w:r w:rsidR="00A911D2">
              <w:rPr>
                <w:rFonts w:ascii="Arial" w:hAnsi="Arial" w:cs="Arial"/>
                <w:i/>
                <w:sz w:val="16"/>
                <w:szCs w:val="16"/>
              </w:rPr>
              <w:t>emigr</w:t>
            </w:r>
            <w:r w:rsidR="009C410E">
              <w:rPr>
                <w:rFonts w:ascii="Arial" w:hAnsi="Arial" w:cs="Arial"/>
                <w:i/>
                <w:sz w:val="16"/>
                <w:szCs w:val="16"/>
              </w:rPr>
              <w:t>antes</w:t>
            </w:r>
          </w:p>
          <w:p w:rsidR="00A722F8" w:rsidRDefault="00436907" w:rsidP="003F1262">
            <w:pPr>
              <w:rPr>
                <w:noProof/>
                <w:lang w:eastAsia="es-EC"/>
              </w:rPr>
            </w:pPr>
            <w:r>
              <w:rPr>
                <w:rFonts w:ascii="Arial" w:hAnsi="Arial" w:cs="Arial"/>
                <w:noProof/>
                <w:lang w:eastAsia="es-EC"/>
              </w:rPr>
              <w:pict>
                <v:shape id="_x0000_s1217" type="#_x0000_t202" style="position:absolute;left:0;text-align:left;margin-left:179.2pt;margin-top:83.45pt;width:89.8pt;height:15.8pt;z-index:2514457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17;mso-fit-shape-to-text:t">
                    <w:txbxContent>
                      <w:p w:rsidR="006933DF" w:rsidRPr="009C2ABD" w:rsidRDefault="006933DF" w:rsidP="00A722F8">
                        <w:pPr>
                          <w:rPr>
                            <w:rFonts w:ascii="Arial" w:hAnsi="Arial" w:cs="Arial"/>
                            <w:color w:val="E36C0A" w:themeColor="accent6" w:themeShade="BF"/>
                            <w:sz w:val="15"/>
                            <w:szCs w:val="15"/>
                          </w:rPr>
                        </w:pPr>
                        <w:r>
                          <w:rPr>
                            <w:rFonts w:ascii="Arial" w:hAnsi="Arial" w:cs="Arial"/>
                            <w:color w:val="E36C0A" w:themeColor="accent6" w:themeShade="BF"/>
                            <w:sz w:val="15"/>
                            <w:szCs w:val="15"/>
                          </w:rPr>
                          <w:t>Rural</w:t>
                        </w:r>
                      </w:p>
                    </w:txbxContent>
                  </v:textbox>
                </v:shape>
              </w:pict>
            </w:r>
            <w:r>
              <w:rPr>
                <w:rFonts w:ascii="Arial" w:hAnsi="Arial" w:cs="Arial"/>
                <w:b/>
                <w:i/>
                <w:noProof/>
                <w:sz w:val="18"/>
                <w:szCs w:val="18"/>
                <w:lang w:eastAsia="es-EC"/>
              </w:rPr>
              <w:pict>
                <v:shape id="_x0000_s1999" type="#_x0000_t32" style="position:absolute;left:0;text-align:left;margin-left:219.2pt;margin-top:74.45pt;width:4.6pt;height:12.75pt;flip:x y;z-index:251824640" o:connectortype="straight" strokecolor="#e36c0a [2409]">
                  <v:stroke endarrow="block"/>
                </v:shape>
              </w:pict>
            </w:r>
            <w:r>
              <w:rPr>
                <w:rFonts w:ascii="Arial" w:hAnsi="Arial" w:cs="Arial"/>
                <w:b/>
                <w:i/>
                <w:noProof/>
                <w:sz w:val="18"/>
                <w:szCs w:val="18"/>
                <w:lang w:eastAsia="es-EC"/>
              </w:rPr>
              <w:pict>
                <v:shape id="_x0000_s1216" type="#_x0000_t202" style="position:absolute;left:0;text-align:left;margin-left:182.2pt;margin-top:9.55pt;width:89.8pt;height:14.75pt;z-index:25144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16">
                    <w:txbxContent>
                      <w:p w:rsidR="006933DF" w:rsidRPr="009C2ABD" w:rsidRDefault="006933DF" w:rsidP="00A722F8">
                        <w:pPr>
                          <w:rPr>
                            <w:rFonts w:ascii="Arial" w:hAnsi="Arial" w:cs="Arial"/>
                            <w:color w:val="0070C0"/>
                            <w:sz w:val="15"/>
                            <w:szCs w:val="15"/>
                          </w:rPr>
                        </w:pPr>
                        <w:r>
                          <w:rPr>
                            <w:rFonts w:ascii="Arial" w:hAnsi="Arial" w:cs="Arial"/>
                            <w:color w:val="0070C0"/>
                            <w:sz w:val="15"/>
                            <w:szCs w:val="15"/>
                          </w:rPr>
                          <w:t>Urbana</w:t>
                        </w:r>
                      </w:p>
                    </w:txbxContent>
                  </v:textbox>
                </v:shape>
              </w:pict>
            </w:r>
            <w:r>
              <w:rPr>
                <w:rFonts w:ascii="Arial" w:hAnsi="Arial" w:cs="Arial"/>
                <w:noProof/>
                <w:lang w:eastAsia="es-EC"/>
              </w:rPr>
              <w:pict>
                <v:shape id="_x0000_s1997" type="#_x0000_t32" style="position:absolute;left:0;text-align:left;margin-left:216.3pt;margin-top:20.55pt;width:9.6pt;height:14.75pt;flip:x;z-index:251823616" o:connectortype="straight" strokecolor="#0070c0">
                  <v:stroke endarrow="block"/>
                </v:shape>
              </w:pict>
            </w:r>
            <w:r>
              <w:rPr>
                <w:rFonts w:ascii="Arial" w:hAnsi="Arial" w:cs="Arial"/>
                <w:noProof/>
                <w:lang w:eastAsia="es-EC"/>
              </w:rPr>
              <w:pict>
                <v:shape id="_x0000_s1214" type="#_x0000_t202" style="position:absolute;left:0;text-align:left;margin-left:62.45pt;margin-top:6.4pt;width:153.85pt;height:17.9pt;z-index:25144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214">
                    <w:txbxContent>
                      <w:p w:rsidR="006933DF" w:rsidRPr="00C800F3" w:rsidRDefault="006933DF" w:rsidP="00A722F8">
                        <w:pPr>
                          <w:rPr>
                            <w:rFonts w:ascii="Arial" w:hAnsi="Arial" w:cs="Arial"/>
                            <w:b/>
                            <w:sz w:val="15"/>
                            <w:szCs w:val="15"/>
                          </w:rPr>
                        </w:pPr>
                        <w:r>
                          <w:rPr>
                            <w:rFonts w:ascii="Arial" w:hAnsi="Arial" w:cs="Arial"/>
                            <w:b/>
                            <w:sz w:val="15"/>
                            <w:szCs w:val="15"/>
                          </w:rPr>
                          <w:t>Hombres</w:t>
                        </w:r>
                      </w:p>
                    </w:txbxContent>
                  </v:textbox>
                </v:shape>
              </w:pict>
            </w:r>
            <w:r w:rsidR="00A722F8">
              <w:rPr>
                <w:noProof/>
                <w:lang w:eastAsia="es-EC"/>
              </w:rPr>
              <w:t xml:space="preserve"> </w:t>
            </w:r>
            <w:r w:rsidR="00A722F8">
              <w:rPr>
                <w:noProof/>
                <w:lang w:eastAsia="es-EC"/>
              </w:rPr>
              <w:drawing>
                <wp:inline distT="0" distB="0" distL="0" distR="0">
                  <wp:extent cx="4212000" cy="18000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722F8" w:rsidRPr="00167907" w:rsidRDefault="00436907" w:rsidP="003F1262">
            <w:pPr>
              <w:rPr>
                <w:rFonts w:ascii="Arial" w:hAnsi="Arial" w:cs="Arial"/>
                <w:b/>
                <w:sz w:val="16"/>
                <w:szCs w:val="16"/>
              </w:rPr>
            </w:pPr>
            <w:r>
              <w:rPr>
                <w:rFonts w:ascii="Arial" w:hAnsi="Arial" w:cs="Arial"/>
                <w:b/>
                <w:noProof/>
                <w:sz w:val="16"/>
                <w:szCs w:val="16"/>
                <w:lang w:eastAsia="es-EC"/>
              </w:rPr>
              <w:pict>
                <v:shape id="_x0000_s1219" type="#_x0000_t202" style="position:absolute;left:0;text-align:left;margin-left:185.2pt;margin-top:87.25pt;width:89.8pt;height:15.8pt;z-index:2514478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19;mso-fit-shape-to-text:t">
                    <w:txbxContent>
                      <w:p w:rsidR="006933DF" w:rsidRPr="009C2ABD" w:rsidRDefault="006933DF" w:rsidP="00A722F8">
                        <w:pPr>
                          <w:rPr>
                            <w:rFonts w:ascii="Arial" w:hAnsi="Arial" w:cs="Arial"/>
                            <w:color w:val="E36C0A" w:themeColor="accent6" w:themeShade="BF"/>
                            <w:sz w:val="15"/>
                            <w:szCs w:val="15"/>
                          </w:rPr>
                        </w:pPr>
                        <w:r>
                          <w:rPr>
                            <w:rFonts w:ascii="Arial" w:hAnsi="Arial" w:cs="Arial"/>
                            <w:color w:val="E36C0A" w:themeColor="accent6" w:themeShade="BF"/>
                            <w:sz w:val="15"/>
                            <w:szCs w:val="15"/>
                          </w:rPr>
                          <w:t>Rural</w:t>
                        </w:r>
                      </w:p>
                    </w:txbxContent>
                  </v:textbox>
                </v:shape>
              </w:pict>
            </w:r>
            <w:r>
              <w:rPr>
                <w:rFonts w:ascii="Arial" w:hAnsi="Arial" w:cs="Arial"/>
                <w:b/>
                <w:noProof/>
                <w:sz w:val="16"/>
                <w:szCs w:val="16"/>
                <w:lang w:eastAsia="es-EC"/>
              </w:rPr>
              <w:pict>
                <v:shape id="_x0000_s2001" type="#_x0000_t32" style="position:absolute;left:0;text-align:left;margin-left:225.3pt;margin-top:81.25pt;width:5.25pt;height:10.5pt;flip:x y;z-index:251826688" o:connectortype="straight" strokecolor="#e36c0a [2409]">
                  <v:stroke endarrow="block"/>
                </v:shape>
              </w:pict>
            </w:r>
            <w:r>
              <w:rPr>
                <w:rFonts w:ascii="Arial" w:hAnsi="Arial" w:cs="Arial"/>
                <w:b/>
                <w:noProof/>
                <w:sz w:val="16"/>
                <w:szCs w:val="16"/>
                <w:lang w:eastAsia="es-EC"/>
              </w:rPr>
              <w:pict>
                <v:shape id="_x0000_s1218" type="#_x0000_t202" style="position:absolute;left:0;text-align:left;margin-left:176.2pt;margin-top:37.75pt;width:89.8pt;height:14.75pt;z-index:25144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18">
                    <w:txbxContent>
                      <w:p w:rsidR="006933DF" w:rsidRPr="009C2ABD" w:rsidRDefault="006933DF" w:rsidP="00A722F8">
                        <w:pPr>
                          <w:rPr>
                            <w:rFonts w:ascii="Arial" w:hAnsi="Arial" w:cs="Arial"/>
                            <w:color w:val="0070C0"/>
                            <w:sz w:val="15"/>
                            <w:szCs w:val="15"/>
                          </w:rPr>
                        </w:pPr>
                        <w:r>
                          <w:rPr>
                            <w:rFonts w:ascii="Arial" w:hAnsi="Arial" w:cs="Arial"/>
                            <w:color w:val="0070C0"/>
                            <w:sz w:val="15"/>
                            <w:szCs w:val="15"/>
                          </w:rPr>
                          <w:t>Urbana</w:t>
                        </w:r>
                      </w:p>
                    </w:txbxContent>
                  </v:textbox>
                </v:shape>
              </w:pict>
            </w:r>
            <w:r>
              <w:rPr>
                <w:rFonts w:ascii="Arial" w:hAnsi="Arial" w:cs="Arial"/>
                <w:b/>
                <w:noProof/>
                <w:sz w:val="16"/>
                <w:szCs w:val="16"/>
                <w:lang w:eastAsia="es-EC"/>
              </w:rPr>
              <w:pict>
                <v:shape id="_x0000_s2000" type="#_x0000_t32" style="position:absolute;left:0;text-align:left;margin-left:216.3pt;margin-top:27.85pt;width:4.5pt;height:14.4pt;flip:x y;z-index:251825664" o:connectortype="straight" strokecolor="#0070c0">
                  <v:stroke endarrow="block"/>
                </v:shape>
              </w:pict>
            </w:r>
            <w:r>
              <w:rPr>
                <w:rFonts w:ascii="Arial" w:hAnsi="Arial" w:cs="Arial"/>
                <w:noProof/>
                <w:lang w:eastAsia="es-EC"/>
              </w:rPr>
              <w:pict>
                <v:shape id="_x0000_s1215" type="#_x0000_t202" style="position:absolute;left:0;text-align:left;margin-left:61.7pt;margin-top:6.4pt;width:164.2pt;height:17.9pt;z-index:25144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215">
                    <w:txbxContent>
                      <w:p w:rsidR="006933DF" w:rsidRPr="00C800F3" w:rsidRDefault="006933DF" w:rsidP="00A722F8">
                        <w:pPr>
                          <w:rPr>
                            <w:rFonts w:ascii="Arial" w:hAnsi="Arial" w:cs="Arial"/>
                            <w:b/>
                            <w:sz w:val="15"/>
                            <w:szCs w:val="15"/>
                          </w:rPr>
                        </w:pPr>
                        <w:r>
                          <w:rPr>
                            <w:rFonts w:ascii="Arial" w:hAnsi="Arial" w:cs="Arial"/>
                            <w:b/>
                            <w:sz w:val="15"/>
                            <w:szCs w:val="15"/>
                          </w:rPr>
                          <w:t>Mujeres</w:t>
                        </w:r>
                      </w:p>
                    </w:txbxContent>
                  </v:textbox>
                </v:shape>
              </w:pict>
            </w:r>
            <w:r w:rsidR="00A722F8">
              <w:rPr>
                <w:noProof/>
                <w:lang w:eastAsia="es-EC"/>
              </w:rPr>
              <w:drawing>
                <wp:inline distT="0" distB="0" distL="0" distR="0">
                  <wp:extent cx="4211955" cy="18000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A722F8">
              <w:rPr>
                <w:noProof/>
                <w:lang w:eastAsia="es-EC"/>
              </w:rPr>
              <w:t xml:space="preserve">  </w:t>
            </w:r>
          </w:p>
        </w:tc>
      </w:tr>
    </w:tbl>
    <w:p w:rsidR="00A722F8" w:rsidRPr="003056B4" w:rsidRDefault="00A722F8" w:rsidP="00A911D2">
      <w:pPr>
        <w:pStyle w:val="Prrafodelista"/>
        <w:spacing w:line="276" w:lineRule="auto"/>
        <w:ind w:left="851"/>
        <w:jc w:val="both"/>
        <w:rPr>
          <w:rFonts w:ascii="Arial" w:hAnsi="Arial" w:cs="Arial"/>
          <w:sz w:val="18"/>
          <w:szCs w:val="18"/>
        </w:rPr>
      </w:pPr>
    </w:p>
    <w:p w:rsidR="00A722F8" w:rsidRPr="003056B4" w:rsidRDefault="00A722F8" w:rsidP="00A911D2">
      <w:pPr>
        <w:pStyle w:val="Prrafodelista"/>
        <w:spacing w:line="276" w:lineRule="auto"/>
        <w:ind w:left="851"/>
        <w:jc w:val="both"/>
        <w:rPr>
          <w:rFonts w:ascii="Arial" w:hAnsi="Arial" w:cs="Arial"/>
          <w:sz w:val="18"/>
          <w:szCs w:val="18"/>
        </w:rPr>
      </w:pPr>
      <w:r w:rsidRPr="003056B4">
        <w:rPr>
          <w:rFonts w:ascii="Arial" w:hAnsi="Arial" w:cs="Arial"/>
          <w:b/>
          <w:i/>
          <w:sz w:val="18"/>
          <w:szCs w:val="18"/>
        </w:rPr>
        <w:t>Fuente:</w:t>
      </w:r>
      <w:r w:rsidRPr="003056B4">
        <w:rPr>
          <w:rFonts w:ascii="Arial" w:hAnsi="Arial" w:cs="Arial"/>
          <w:sz w:val="18"/>
          <w:szCs w:val="18"/>
        </w:rPr>
        <w:t xml:space="preserve"> </w:t>
      </w:r>
      <w:r w:rsidRPr="003056B4">
        <w:rPr>
          <w:rFonts w:ascii="Arial" w:hAnsi="Arial" w:cs="Arial"/>
          <w:b/>
          <w:sz w:val="18"/>
          <w:szCs w:val="18"/>
        </w:rPr>
        <w:t xml:space="preserve">INEC </w:t>
      </w:r>
      <w:r w:rsidRPr="003056B4">
        <w:rPr>
          <w:rFonts w:ascii="Arial" w:hAnsi="Arial" w:cs="Arial"/>
          <w:sz w:val="18"/>
          <w:szCs w:val="18"/>
        </w:rPr>
        <w:t>(2010), Base de Datos del VII Censo de Población y VI de Vivienda.</w:t>
      </w:r>
    </w:p>
    <w:p w:rsidR="00A722F8" w:rsidRDefault="00A722F8" w:rsidP="00A911D2">
      <w:pPr>
        <w:pStyle w:val="Prrafodelista"/>
        <w:spacing w:line="276" w:lineRule="auto"/>
        <w:ind w:left="851"/>
        <w:jc w:val="both"/>
        <w:rPr>
          <w:rFonts w:ascii="Arial" w:hAnsi="Arial" w:cs="Arial"/>
          <w:sz w:val="18"/>
          <w:szCs w:val="18"/>
        </w:rPr>
      </w:pPr>
      <w:r w:rsidRPr="003056B4">
        <w:rPr>
          <w:rFonts w:ascii="Arial" w:hAnsi="Arial" w:cs="Arial"/>
          <w:b/>
          <w:i/>
          <w:sz w:val="18"/>
          <w:szCs w:val="18"/>
        </w:rPr>
        <w:t>Elaborado por:</w:t>
      </w:r>
      <w:r w:rsidRPr="003056B4">
        <w:rPr>
          <w:rFonts w:ascii="Arial" w:hAnsi="Arial" w:cs="Arial"/>
          <w:sz w:val="18"/>
          <w:szCs w:val="18"/>
        </w:rPr>
        <w:t xml:space="preserve"> Katherine Loor Valeriano</w:t>
      </w:r>
    </w:p>
    <w:p w:rsidR="00A911D2" w:rsidRPr="00A911D2" w:rsidRDefault="00A911D2" w:rsidP="00A911D2">
      <w:pPr>
        <w:pStyle w:val="Prrafodelista"/>
        <w:spacing w:line="480" w:lineRule="auto"/>
        <w:ind w:left="851"/>
        <w:jc w:val="both"/>
        <w:rPr>
          <w:rFonts w:ascii="Arial" w:hAnsi="Arial" w:cs="Arial"/>
        </w:rPr>
      </w:pPr>
    </w:p>
    <w:p w:rsidR="00A722F8" w:rsidRPr="00CA4D36" w:rsidRDefault="00A722F8" w:rsidP="0041640C">
      <w:pPr>
        <w:pStyle w:val="TesisTitulo20"/>
        <w:numPr>
          <w:ilvl w:val="2"/>
          <w:numId w:val="9"/>
        </w:numPr>
        <w:ind w:left="1701" w:hanging="850"/>
      </w:pPr>
      <w:bookmarkStart w:id="299" w:name="_Toc339212694"/>
      <w:bookmarkStart w:id="300" w:name="_Toc341040622"/>
      <w:r w:rsidRPr="00CA4D36">
        <w:t>Nivel de Instrucción</w:t>
      </w:r>
      <w:bookmarkEnd w:id="299"/>
      <w:bookmarkEnd w:id="300"/>
    </w:p>
    <w:p w:rsidR="00A722F8" w:rsidRPr="00A911D2" w:rsidRDefault="00A722F8" w:rsidP="00A911D2">
      <w:pPr>
        <w:pStyle w:val="Prrafodelista"/>
        <w:spacing w:line="480" w:lineRule="auto"/>
        <w:ind w:left="851"/>
        <w:jc w:val="both"/>
        <w:rPr>
          <w:rFonts w:ascii="Arial" w:hAnsi="Arial" w:cs="Arial"/>
          <w:i/>
        </w:rPr>
      </w:pPr>
      <w:r w:rsidRPr="00CA4D36">
        <w:rPr>
          <w:rFonts w:ascii="Arial" w:hAnsi="Arial" w:cs="Arial"/>
        </w:rPr>
        <w:t>Las personas que emigraron desde Manabí hacia el resto de provincias del Ecuador tenían diferentes niveles de instrucción, se calcula que el 7.</w:t>
      </w:r>
      <w:r>
        <w:rPr>
          <w:rFonts w:ascii="Arial" w:hAnsi="Arial" w:cs="Arial"/>
        </w:rPr>
        <w:t>78</w:t>
      </w:r>
      <w:r w:rsidRPr="00CA4D36">
        <w:rPr>
          <w:rFonts w:ascii="Arial" w:hAnsi="Arial" w:cs="Arial"/>
        </w:rPr>
        <w:t>% no tienen algún nivel de instrucción, existe un 1.0</w:t>
      </w:r>
      <w:r>
        <w:rPr>
          <w:rFonts w:ascii="Arial" w:hAnsi="Arial" w:cs="Arial"/>
        </w:rPr>
        <w:t>2</w:t>
      </w:r>
      <w:r w:rsidRPr="00CA4D36">
        <w:rPr>
          <w:rFonts w:ascii="Arial" w:hAnsi="Arial" w:cs="Arial"/>
        </w:rPr>
        <w:t xml:space="preserve">% que asiste a Centros de Alfabetización/(EBA), el </w:t>
      </w:r>
      <w:r>
        <w:rPr>
          <w:rFonts w:ascii="Arial" w:hAnsi="Arial" w:cs="Arial"/>
        </w:rPr>
        <w:t>48.41</w:t>
      </w:r>
      <w:r w:rsidRPr="00CA4D36">
        <w:rPr>
          <w:rFonts w:ascii="Arial" w:hAnsi="Arial" w:cs="Arial"/>
        </w:rPr>
        <w:t>% tiene hasta nivel de instrucción primeria, el 3</w:t>
      </w:r>
      <w:r>
        <w:rPr>
          <w:rFonts w:ascii="Arial" w:hAnsi="Arial" w:cs="Arial"/>
        </w:rPr>
        <w:t>2.4</w:t>
      </w:r>
      <w:r w:rsidRPr="00CA4D36">
        <w:rPr>
          <w:rFonts w:ascii="Arial" w:hAnsi="Arial" w:cs="Arial"/>
        </w:rPr>
        <w:t>6% hasta instruc</w:t>
      </w:r>
      <w:r>
        <w:rPr>
          <w:rFonts w:ascii="Arial" w:hAnsi="Arial" w:cs="Arial"/>
        </w:rPr>
        <w:t>ción secundaria,</w:t>
      </w:r>
      <w:r w:rsidRPr="00CA4D36">
        <w:rPr>
          <w:rFonts w:ascii="Arial" w:hAnsi="Arial" w:cs="Arial"/>
        </w:rPr>
        <w:t xml:space="preserve"> también </w:t>
      </w:r>
      <w:r>
        <w:rPr>
          <w:rFonts w:ascii="Arial" w:hAnsi="Arial" w:cs="Arial"/>
        </w:rPr>
        <w:t>existe</w:t>
      </w:r>
      <w:r w:rsidRPr="00CA4D36">
        <w:rPr>
          <w:rFonts w:ascii="Arial" w:hAnsi="Arial" w:cs="Arial"/>
        </w:rPr>
        <w:t xml:space="preserve"> un 8.</w:t>
      </w:r>
      <w:r>
        <w:rPr>
          <w:rFonts w:ascii="Arial" w:hAnsi="Arial" w:cs="Arial"/>
        </w:rPr>
        <w:t>52</w:t>
      </w:r>
      <w:r w:rsidRPr="00CA4D36">
        <w:rPr>
          <w:rFonts w:ascii="Arial" w:hAnsi="Arial" w:cs="Arial"/>
        </w:rPr>
        <w:t>% de los emigrantes con nivel s</w:t>
      </w:r>
      <w:r>
        <w:rPr>
          <w:rFonts w:ascii="Arial" w:hAnsi="Arial" w:cs="Arial"/>
        </w:rPr>
        <w:t xml:space="preserve">uperior (pregrado y postgrado); y, el porcentaje </w:t>
      </w:r>
      <w:r>
        <w:rPr>
          <w:rFonts w:ascii="Arial" w:hAnsi="Arial" w:cs="Arial"/>
        </w:rPr>
        <w:lastRenderedPageBreak/>
        <w:t>restante son los valores ignorados</w:t>
      </w:r>
      <w:r w:rsidR="00A911D2">
        <w:rPr>
          <w:rFonts w:ascii="Arial" w:hAnsi="Arial" w:cs="Arial"/>
        </w:rPr>
        <w:t xml:space="preserve"> u omitidos</w:t>
      </w:r>
      <w:r>
        <w:rPr>
          <w:rFonts w:ascii="Arial" w:hAnsi="Arial" w:cs="Arial"/>
        </w:rPr>
        <w:t>.</w:t>
      </w:r>
      <w:r w:rsidR="00A911D2">
        <w:rPr>
          <w:rFonts w:ascii="Arial" w:hAnsi="Arial" w:cs="Arial"/>
        </w:rPr>
        <w:t xml:space="preserve"> </w:t>
      </w:r>
      <w:r w:rsidRPr="00CA4D36">
        <w:rPr>
          <w:rFonts w:ascii="Arial" w:hAnsi="Arial" w:cs="Arial"/>
        </w:rPr>
        <w:t xml:space="preserve">Realizando el análisis por provincia, tenemos para Los Ríos que el </w:t>
      </w:r>
      <w:r>
        <w:rPr>
          <w:rFonts w:ascii="Arial" w:hAnsi="Arial" w:cs="Arial"/>
        </w:rPr>
        <w:t>13.60</w:t>
      </w:r>
      <w:r w:rsidRPr="00CA4D36">
        <w:rPr>
          <w:rFonts w:ascii="Arial" w:hAnsi="Arial" w:cs="Arial"/>
        </w:rPr>
        <w:t xml:space="preserve">% de los inmigrantes manabitas hacia esta provincia no tienen nivel </w:t>
      </w:r>
      <w:r>
        <w:rPr>
          <w:rFonts w:ascii="Arial" w:hAnsi="Arial" w:cs="Arial"/>
        </w:rPr>
        <w:t xml:space="preserve">alguno </w:t>
      </w:r>
      <w:r w:rsidRPr="00CA4D36">
        <w:rPr>
          <w:rFonts w:ascii="Arial" w:hAnsi="Arial" w:cs="Arial"/>
        </w:rPr>
        <w:t xml:space="preserve">de instrucción, el </w:t>
      </w:r>
      <w:r>
        <w:rPr>
          <w:rFonts w:ascii="Arial" w:hAnsi="Arial" w:cs="Arial"/>
        </w:rPr>
        <w:t>55.10</w:t>
      </w:r>
      <w:r w:rsidRPr="00CA4D36">
        <w:rPr>
          <w:rFonts w:ascii="Arial" w:hAnsi="Arial" w:cs="Arial"/>
        </w:rPr>
        <w:t>% tienen hasta primaria, 2</w:t>
      </w:r>
      <w:r>
        <w:rPr>
          <w:rFonts w:ascii="Arial" w:hAnsi="Arial" w:cs="Arial"/>
        </w:rPr>
        <w:t>2.50</w:t>
      </w:r>
      <w:r w:rsidRPr="00CA4D36">
        <w:rPr>
          <w:rFonts w:ascii="Arial" w:hAnsi="Arial" w:cs="Arial"/>
        </w:rPr>
        <w:t>% hasta secundaria y existe un 4.</w:t>
      </w:r>
      <w:r>
        <w:rPr>
          <w:rFonts w:ascii="Arial" w:hAnsi="Arial" w:cs="Arial"/>
        </w:rPr>
        <w:t>8</w:t>
      </w:r>
      <w:r w:rsidRPr="00CA4D36">
        <w:rPr>
          <w:rFonts w:ascii="Arial" w:hAnsi="Arial" w:cs="Arial"/>
        </w:rPr>
        <w:t>0% con nivel superior. Guayas presenta un mejor escenario que Los Ríos, puesto que el 4</w:t>
      </w:r>
      <w:r>
        <w:rPr>
          <w:rFonts w:ascii="Arial" w:hAnsi="Arial" w:cs="Arial"/>
        </w:rPr>
        <w:t>6.5</w:t>
      </w:r>
      <w:r w:rsidRPr="00CA4D36">
        <w:rPr>
          <w:rFonts w:ascii="Arial" w:hAnsi="Arial" w:cs="Arial"/>
        </w:rPr>
        <w:t>0% tiene hasta nivel primario, el 34.</w:t>
      </w:r>
      <w:r>
        <w:rPr>
          <w:rFonts w:ascii="Arial" w:hAnsi="Arial" w:cs="Arial"/>
        </w:rPr>
        <w:t>3</w:t>
      </w:r>
      <w:r w:rsidRPr="00CA4D36">
        <w:rPr>
          <w:rFonts w:ascii="Arial" w:hAnsi="Arial" w:cs="Arial"/>
        </w:rPr>
        <w:t>0% tiene hasta secundaria y un mayor p</w:t>
      </w:r>
      <w:r w:rsidR="00A911D2">
        <w:rPr>
          <w:rFonts w:ascii="Arial" w:hAnsi="Arial" w:cs="Arial"/>
        </w:rPr>
        <w:t xml:space="preserve">orcentaje tiene nivel superior. </w:t>
      </w:r>
      <w:r w:rsidR="00A911D2">
        <w:rPr>
          <w:rFonts w:ascii="Arial" w:hAnsi="Arial" w:cs="Arial"/>
          <w:i/>
        </w:rPr>
        <w:t>Véase Tabla 2.10.</w:t>
      </w:r>
    </w:p>
    <w:tbl>
      <w:tblPr>
        <w:tblW w:w="0" w:type="auto"/>
        <w:jc w:val="right"/>
        <w:tblInd w:w="936"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A722F8" w:rsidRPr="00840530" w:rsidTr="00A911D2">
        <w:trPr>
          <w:trHeight w:val="6236"/>
          <w:jc w:val="right"/>
        </w:trPr>
        <w:tc>
          <w:tcPr>
            <w:tcW w:w="7535" w:type="dxa"/>
          </w:tcPr>
          <w:p w:rsidR="00A722F8" w:rsidRDefault="00A722F8" w:rsidP="003F1262">
            <w:pPr>
              <w:rPr>
                <w:rFonts w:ascii="Arial" w:hAnsi="Arial" w:cs="Arial"/>
                <w:b/>
                <w:sz w:val="16"/>
                <w:szCs w:val="16"/>
              </w:rPr>
            </w:pPr>
          </w:p>
          <w:p w:rsidR="00112FC0" w:rsidRPr="00112FC0" w:rsidRDefault="00112FC0" w:rsidP="00112FC0">
            <w:pPr>
              <w:keepNext/>
              <w:rPr>
                <w:rFonts w:ascii="Arial" w:hAnsi="Arial" w:cs="Arial"/>
                <w:b/>
                <w:sz w:val="16"/>
                <w:szCs w:val="16"/>
              </w:rPr>
            </w:pPr>
            <w:bookmarkStart w:id="301" w:name="_Toc341041585"/>
            <w:r>
              <w:rPr>
                <w:rFonts w:ascii="Arial" w:hAnsi="Arial" w:cs="Arial"/>
                <w:b/>
                <w:sz w:val="16"/>
                <w:szCs w:val="16"/>
              </w:rPr>
              <w:t>Tabla</w:t>
            </w:r>
            <w:r w:rsidR="008C7795">
              <w:rPr>
                <w:rFonts w:ascii="Arial" w:hAnsi="Arial" w:cs="Arial"/>
                <w:b/>
                <w:sz w:val="16"/>
                <w:szCs w:val="16"/>
              </w:rPr>
              <w:t xml:space="preserve"> </w:t>
            </w:r>
            <w:r>
              <w:rPr>
                <w:rFonts w:ascii="Arial" w:hAnsi="Arial" w:cs="Arial"/>
                <w:b/>
                <w:sz w:val="16"/>
                <w:szCs w:val="16"/>
              </w:rPr>
              <w:t>2.</w:t>
            </w:r>
            <w:r w:rsidR="00990535" w:rsidRPr="00112FC0">
              <w:rPr>
                <w:rFonts w:ascii="Arial" w:hAnsi="Arial" w:cs="Arial"/>
                <w:b/>
                <w:sz w:val="16"/>
                <w:szCs w:val="16"/>
              </w:rPr>
              <w:fldChar w:fldCharType="begin"/>
            </w:r>
            <w:r w:rsidRPr="00112FC0">
              <w:rPr>
                <w:rFonts w:ascii="Arial" w:hAnsi="Arial" w:cs="Arial"/>
                <w:b/>
                <w:sz w:val="16"/>
                <w:szCs w:val="16"/>
              </w:rPr>
              <w:instrText xml:space="preserve"> SEQ Tabla2. \* ARABIC </w:instrText>
            </w:r>
            <w:r w:rsidR="00990535" w:rsidRPr="00112FC0">
              <w:rPr>
                <w:rFonts w:ascii="Arial" w:hAnsi="Arial" w:cs="Arial"/>
                <w:b/>
                <w:sz w:val="16"/>
                <w:szCs w:val="16"/>
              </w:rPr>
              <w:fldChar w:fldCharType="separate"/>
            </w:r>
            <w:r w:rsidR="00A242E0">
              <w:rPr>
                <w:rFonts w:ascii="Arial" w:hAnsi="Arial" w:cs="Arial"/>
                <w:b/>
                <w:noProof/>
                <w:sz w:val="16"/>
                <w:szCs w:val="16"/>
              </w:rPr>
              <w:t>10</w:t>
            </w:r>
            <w:bookmarkEnd w:id="301"/>
            <w:r w:rsidR="00990535" w:rsidRPr="00112FC0">
              <w:rPr>
                <w:rFonts w:ascii="Arial" w:hAnsi="Arial" w:cs="Arial"/>
                <w:b/>
                <w:sz w:val="16"/>
                <w:szCs w:val="16"/>
              </w:rPr>
              <w:fldChar w:fldCharType="end"/>
            </w:r>
          </w:p>
          <w:p w:rsidR="00A911D2" w:rsidRDefault="00A911D2" w:rsidP="003F1262">
            <w:pPr>
              <w:rPr>
                <w:rFonts w:ascii="Arial" w:hAnsi="Arial" w:cs="Arial"/>
                <w:i/>
                <w:sz w:val="16"/>
                <w:szCs w:val="16"/>
              </w:rPr>
            </w:pPr>
            <w:r>
              <w:rPr>
                <w:rFonts w:ascii="Arial" w:hAnsi="Arial" w:cs="Arial"/>
                <w:b/>
                <w:i/>
                <w:sz w:val="16"/>
                <w:szCs w:val="16"/>
              </w:rPr>
              <w:t xml:space="preserve">Manabí 2010: </w:t>
            </w:r>
            <w:r w:rsidR="00A722F8" w:rsidRPr="006148C1">
              <w:rPr>
                <w:rFonts w:ascii="Arial" w:hAnsi="Arial" w:cs="Arial"/>
                <w:i/>
                <w:sz w:val="16"/>
                <w:szCs w:val="16"/>
              </w:rPr>
              <w:t xml:space="preserve">Nivel de Instrucción </w:t>
            </w:r>
            <w:r w:rsidR="00A722F8">
              <w:rPr>
                <w:rFonts w:ascii="Arial" w:hAnsi="Arial" w:cs="Arial"/>
                <w:i/>
                <w:sz w:val="16"/>
                <w:szCs w:val="16"/>
              </w:rPr>
              <w:t xml:space="preserve">de los Emigrantes manabitas </w:t>
            </w:r>
            <w:r w:rsidR="00A722F8" w:rsidRPr="006148C1">
              <w:rPr>
                <w:rFonts w:ascii="Arial" w:hAnsi="Arial" w:cs="Arial"/>
                <w:i/>
                <w:sz w:val="16"/>
                <w:szCs w:val="16"/>
              </w:rPr>
              <w:t>dad</w:t>
            </w:r>
            <w:r w:rsidR="00A722F8">
              <w:rPr>
                <w:rFonts w:ascii="Arial" w:hAnsi="Arial" w:cs="Arial"/>
                <w:i/>
                <w:sz w:val="16"/>
                <w:szCs w:val="16"/>
              </w:rPr>
              <w:t xml:space="preserve">o que se </w:t>
            </w:r>
          </w:p>
          <w:p w:rsidR="00A722F8" w:rsidRPr="006148C1" w:rsidRDefault="00A722F8" w:rsidP="003F1262">
            <w:pPr>
              <w:rPr>
                <w:rFonts w:ascii="Arial" w:hAnsi="Arial" w:cs="Arial"/>
                <w:i/>
                <w:sz w:val="8"/>
                <w:szCs w:val="8"/>
              </w:rPr>
            </w:pPr>
            <w:r>
              <w:rPr>
                <w:rFonts w:ascii="Arial" w:hAnsi="Arial" w:cs="Arial"/>
                <w:i/>
                <w:sz w:val="16"/>
                <w:szCs w:val="16"/>
              </w:rPr>
              <w:t>conoce</w:t>
            </w:r>
            <w:r w:rsidRPr="006148C1">
              <w:rPr>
                <w:rFonts w:ascii="Arial" w:hAnsi="Arial" w:cs="Arial"/>
                <w:i/>
                <w:sz w:val="16"/>
                <w:szCs w:val="16"/>
              </w:rPr>
              <w:t xml:space="preserve"> la provincia de Residencia habitual</w:t>
            </w:r>
          </w:p>
          <w:p w:rsidR="00A722F8" w:rsidRPr="00B4122A" w:rsidRDefault="00A722F8" w:rsidP="003F1262">
            <w:pPr>
              <w:rPr>
                <w:rFonts w:ascii="Arial" w:hAnsi="Arial" w:cs="Arial"/>
                <w:b/>
                <w:sz w:val="10"/>
                <w:szCs w:val="10"/>
              </w:rPr>
            </w:pPr>
          </w:p>
          <w:tbl>
            <w:tblPr>
              <w:tblW w:w="6916" w:type="dxa"/>
              <w:jc w:val="center"/>
              <w:tblCellMar>
                <w:left w:w="0" w:type="dxa"/>
                <w:right w:w="0" w:type="dxa"/>
              </w:tblCellMar>
              <w:tblLook w:val="04A0" w:firstRow="1" w:lastRow="0" w:firstColumn="1" w:lastColumn="0" w:noHBand="0" w:noVBand="1"/>
            </w:tblPr>
            <w:tblGrid>
              <w:gridCol w:w="1417"/>
              <w:gridCol w:w="737"/>
              <w:gridCol w:w="1701"/>
              <w:gridCol w:w="680"/>
              <w:gridCol w:w="907"/>
              <w:gridCol w:w="737"/>
              <w:gridCol w:w="737"/>
            </w:tblGrid>
            <w:tr w:rsidR="00A722F8" w:rsidRPr="00A911D2" w:rsidTr="003F1262">
              <w:trPr>
                <w:trHeight w:val="20"/>
                <w:jc w:val="center"/>
              </w:trPr>
              <w:tc>
                <w:tcPr>
                  <w:tcW w:w="1417" w:type="dxa"/>
                  <w:vMerge w:val="restart"/>
                  <w:tcBorders>
                    <w:top w:val="single" w:sz="4" w:space="0" w:color="auto"/>
                    <w:left w:val="nil"/>
                    <w:bottom w:val="single" w:sz="4" w:space="0" w:color="000000"/>
                    <w:right w:val="nil"/>
                  </w:tcBorders>
                  <w:shd w:val="clear" w:color="auto" w:fill="auto"/>
                  <w:vAlign w:val="center"/>
                  <w:hideMark/>
                </w:tcPr>
                <w:p w:rsidR="00A722F8" w:rsidRPr="00A911D2" w:rsidRDefault="00A722F8" w:rsidP="003F1262">
                  <w:pPr>
                    <w:rPr>
                      <w:rFonts w:ascii="Arial" w:eastAsia="Times New Roman" w:hAnsi="Arial" w:cs="Arial"/>
                      <w:b/>
                      <w:bCs/>
                      <w:sz w:val="16"/>
                      <w:szCs w:val="16"/>
                      <w:lang w:eastAsia="es-EC"/>
                    </w:rPr>
                  </w:pPr>
                  <w:r w:rsidRPr="00A911D2">
                    <w:rPr>
                      <w:rFonts w:ascii="Arial" w:eastAsia="Times New Roman" w:hAnsi="Arial" w:cs="Arial"/>
                      <w:b/>
                      <w:bCs/>
                      <w:sz w:val="16"/>
                      <w:szCs w:val="16"/>
                      <w:lang w:eastAsia="es-EC"/>
                    </w:rPr>
                    <w:t>Provincia de Residencia</w:t>
                  </w:r>
                </w:p>
              </w:tc>
              <w:tc>
                <w:tcPr>
                  <w:tcW w:w="5499" w:type="dxa"/>
                  <w:gridSpan w:val="6"/>
                  <w:tcBorders>
                    <w:top w:val="single" w:sz="4" w:space="0" w:color="auto"/>
                    <w:left w:val="nil"/>
                    <w:bottom w:val="single" w:sz="4" w:space="0" w:color="auto"/>
                    <w:right w:val="nil"/>
                  </w:tcBorders>
                  <w:shd w:val="clear" w:color="auto" w:fill="auto"/>
                  <w:noWrap/>
                  <w:vAlign w:val="center"/>
                  <w:hideMark/>
                </w:tcPr>
                <w:p w:rsidR="00A722F8" w:rsidRPr="00A911D2" w:rsidRDefault="00A722F8" w:rsidP="003F1262">
                  <w:pPr>
                    <w:rPr>
                      <w:rFonts w:ascii="Arial" w:eastAsia="Times New Roman" w:hAnsi="Arial" w:cs="Arial"/>
                      <w:b/>
                      <w:bCs/>
                      <w:sz w:val="16"/>
                      <w:szCs w:val="16"/>
                      <w:lang w:eastAsia="es-EC"/>
                    </w:rPr>
                  </w:pPr>
                  <w:r w:rsidRPr="00A911D2">
                    <w:rPr>
                      <w:rFonts w:ascii="Arial" w:eastAsia="Times New Roman" w:hAnsi="Arial" w:cs="Arial"/>
                      <w:b/>
                      <w:bCs/>
                      <w:sz w:val="16"/>
                      <w:szCs w:val="16"/>
                      <w:lang w:eastAsia="es-EC"/>
                    </w:rPr>
                    <w:t>Nivel más alto de instrucción</w:t>
                  </w:r>
                </w:p>
              </w:tc>
            </w:tr>
            <w:tr w:rsidR="00A722F8" w:rsidRPr="00A911D2" w:rsidTr="003F1262">
              <w:trPr>
                <w:trHeight w:val="20"/>
                <w:jc w:val="center"/>
              </w:trPr>
              <w:tc>
                <w:tcPr>
                  <w:tcW w:w="1417" w:type="dxa"/>
                  <w:vMerge/>
                  <w:tcBorders>
                    <w:top w:val="single" w:sz="4" w:space="0" w:color="auto"/>
                    <w:left w:val="nil"/>
                    <w:bottom w:val="single" w:sz="4" w:space="0" w:color="000000"/>
                    <w:right w:val="nil"/>
                  </w:tcBorders>
                  <w:vAlign w:val="center"/>
                  <w:hideMark/>
                </w:tcPr>
                <w:p w:rsidR="00A722F8" w:rsidRPr="00A911D2" w:rsidRDefault="00A722F8" w:rsidP="003F1262">
                  <w:pPr>
                    <w:rPr>
                      <w:rFonts w:ascii="Arial" w:eastAsia="Times New Roman" w:hAnsi="Arial" w:cs="Arial"/>
                      <w:b/>
                      <w:bCs/>
                      <w:sz w:val="16"/>
                      <w:szCs w:val="16"/>
                      <w:lang w:eastAsia="es-EC"/>
                    </w:rPr>
                  </w:pPr>
                </w:p>
              </w:tc>
              <w:tc>
                <w:tcPr>
                  <w:tcW w:w="737" w:type="dxa"/>
                  <w:tcBorders>
                    <w:top w:val="nil"/>
                    <w:left w:val="nil"/>
                    <w:bottom w:val="single" w:sz="4" w:space="0" w:color="auto"/>
                    <w:right w:val="nil"/>
                  </w:tcBorders>
                  <w:shd w:val="clear" w:color="auto" w:fill="auto"/>
                  <w:noWrap/>
                  <w:vAlign w:val="center"/>
                  <w:hideMark/>
                </w:tcPr>
                <w:p w:rsidR="00A722F8" w:rsidRPr="00A911D2" w:rsidRDefault="00A722F8" w:rsidP="003F1262">
                  <w:pPr>
                    <w:rPr>
                      <w:rFonts w:ascii="Arial" w:eastAsia="Times New Roman" w:hAnsi="Arial" w:cs="Arial"/>
                      <w:b/>
                      <w:bCs/>
                      <w:sz w:val="16"/>
                      <w:szCs w:val="16"/>
                      <w:lang w:eastAsia="es-EC"/>
                    </w:rPr>
                  </w:pPr>
                  <w:r w:rsidRPr="00A911D2">
                    <w:rPr>
                      <w:rFonts w:ascii="Arial" w:eastAsia="Times New Roman" w:hAnsi="Arial" w:cs="Arial"/>
                      <w:b/>
                      <w:bCs/>
                      <w:sz w:val="16"/>
                      <w:szCs w:val="16"/>
                      <w:lang w:eastAsia="es-EC"/>
                    </w:rPr>
                    <w:t>Ninguno</w:t>
                  </w:r>
                </w:p>
              </w:tc>
              <w:tc>
                <w:tcPr>
                  <w:tcW w:w="1701" w:type="dxa"/>
                  <w:tcBorders>
                    <w:top w:val="nil"/>
                    <w:left w:val="nil"/>
                    <w:bottom w:val="single" w:sz="4" w:space="0" w:color="auto"/>
                    <w:right w:val="nil"/>
                  </w:tcBorders>
                  <w:shd w:val="clear" w:color="auto" w:fill="auto"/>
                  <w:vAlign w:val="center"/>
                  <w:hideMark/>
                </w:tcPr>
                <w:p w:rsidR="00A722F8" w:rsidRPr="00A911D2" w:rsidRDefault="00A722F8" w:rsidP="003F1262">
                  <w:pPr>
                    <w:rPr>
                      <w:rFonts w:ascii="Arial" w:eastAsia="Times New Roman" w:hAnsi="Arial" w:cs="Arial"/>
                      <w:b/>
                      <w:bCs/>
                      <w:sz w:val="16"/>
                      <w:szCs w:val="16"/>
                      <w:lang w:eastAsia="es-EC"/>
                    </w:rPr>
                  </w:pPr>
                  <w:r w:rsidRPr="00A911D2">
                    <w:rPr>
                      <w:rFonts w:ascii="Arial" w:eastAsia="Times New Roman" w:hAnsi="Arial" w:cs="Arial"/>
                      <w:b/>
                      <w:bCs/>
                      <w:sz w:val="16"/>
                      <w:szCs w:val="16"/>
                      <w:lang w:eastAsia="es-EC"/>
                    </w:rPr>
                    <w:t>Centro de Alfabetización/(EBA)</w:t>
                  </w:r>
                </w:p>
              </w:tc>
              <w:tc>
                <w:tcPr>
                  <w:tcW w:w="680" w:type="dxa"/>
                  <w:tcBorders>
                    <w:top w:val="nil"/>
                    <w:left w:val="nil"/>
                    <w:bottom w:val="single" w:sz="4" w:space="0" w:color="auto"/>
                    <w:right w:val="nil"/>
                  </w:tcBorders>
                  <w:shd w:val="clear" w:color="auto" w:fill="auto"/>
                  <w:noWrap/>
                  <w:vAlign w:val="center"/>
                  <w:hideMark/>
                </w:tcPr>
                <w:p w:rsidR="00A722F8" w:rsidRPr="00A911D2" w:rsidRDefault="00A722F8" w:rsidP="003F1262">
                  <w:pPr>
                    <w:rPr>
                      <w:rFonts w:ascii="Arial" w:eastAsia="Times New Roman" w:hAnsi="Arial" w:cs="Arial"/>
                      <w:b/>
                      <w:bCs/>
                      <w:sz w:val="16"/>
                      <w:szCs w:val="16"/>
                      <w:lang w:eastAsia="es-EC"/>
                    </w:rPr>
                  </w:pPr>
                  <w:r w:rsidRPr="00A911D2">
                    <w:rPr>
                      <w:rFonts w:ascii="Arial" w:eastAsia="Times New Roman" w:hAnsi="Arial" w:cs="Arial"/>
                      <w:b/>
                      <w:bCs/>
                      <w:sz w:val="16"/>
                      <w:szCs w:val="16"/>
                      <w:lang w:eastAsia="es-EC"/>
                    </w:rPr>
                    <w:t>Primaria</w:t>
                  </w:r>
                </w:p>
              </w:tc>
              <w:tc>
                <w:tcPr>
                  <w:tcW w:w="907" w:type="dxa"/>
                  <w:tcBorders>
                    <w:top w:val="nil"/>
                    <w:left w:val="nil"/>
                    <w:bottom w:val="single" w:sz="4" w:space="0" w:color="auto"/>
                    <w:right w:val="nil"/>
                  </w:tcBorders>
                  <w:shd w:val="clear" w:color="auto" w:fill="auto"/>
                  <w:noWrap/>
                  <w:vAlign w:val="center"/>
                  <w:hideMark/>
                </w:tcPr>
                <w:p w:rsidR="00A722F8" w:rsidRPr="00A911D2" w:rsidRDefault="00A722F8" w:rsidP="003F1262">
                  <w:pPr>
                    <w:rPr>
                      <w:rFonts w:ascii="Arial" w:eastAsia="Times New Roman" w:hAnsi="Arial" w:cs="Arial"/>
                      <w:b/>
                      <w:bCs/>
                      <w:sz w:val="16"/>
                      <w:szCs w:val="16"/>
                      <w:lang w:eastAsia="es-EC"/>
                    </w:rPr>
                  </w:pPr>
                  <w:r w:rsidRPr="00A911D2">
                    <w:rPr>
                      <w:rFonts w:ascii="Arial" w:eastAsia="Times New Roman" w:hAnsi="Arial" w:cs="Arial"/>
                      <w:b/>
                      <w:bCs/>
                      <w:sz w:val="16"/>
                      <w:szCs w:val="16"/>
                      <w:lang w:eastAsia="es-EC"/>
                    </w:rPr>
                    <w:t>Secundaria</w:t>
                  </w:r>
                </w:p>
              </w:tc>
              <w:tc>
                <w:tcPr>
                  <w:tcW w:w="737" w:type="dxa"/>
                  <w:tcBorders>
                    <w:top w:val="nil"/>
                    <w:left w:val="nil"/>
                    <w:bottom w:val="single" w:sz="4" w:space="0" w:color="auto"/>
                    <w:right w:val="nil"/>
                  </w:tcBorders>
                  <w:shd w:val="clear" w:color="auto" w:fill="auto"/>
                  <w:noWrap/>
                  <w:vAlign w:val="center"/>
                  <w:hideMark/>
                </w:tcPr>
                <w:p w:rsidR="00A722F8" w:rsidRPr="00A911D2" w:rsidRDefault="00A722F8" w:rsidP="003F1262">
                  <w:pPr>
                    <w:rPr>
                      <w:rFonts w:ascii="Arial" w:eastAsia="Times New Roman" w:hAnsi="Arial" w:cs="Arial"/>
                      <w:b/>
                      <w:bCs/>
                      <w:sz w:val="16"/>
                      <w:szCs w:val="16"/>
                      <w:lang w:eastAsia="es-EC"/>
                    </w:rPr>
                  </w:pPr>
                  <w:r w:rsidRPr="00A911D2">
                    <w:rPr>
                      <w:rFonts w:ascii="Arial" w:eastAsia="Times New Roman" w:hAnsi="Arial" w:cs="Arial"/>
                      <w:b/>
                      <w:bCs/>
                      <w:sz w:val="16"/>
                      <w:szCs w:val="16"/>
                      <w:lang w:eastAsia="es-EC"/>
                    </w:rPr>
                    <w:t>Superior</w:t>
                  </w:r>
                </w:p>
              </w:tc>
              <w:tc>
                <w:tcPr>
                  <w:tcW w:w="737" w:type="dxa"/>
                  <w:tcBorders>
                    <w:top w:val="nil"/>
                    <w:left w:val="nil"/>
                    <w:bottom w:val="single" w:sz="4" w:space="0" w:color="auto"/>
                    <w:right w:val="nil"/>
                  </w:tcBorders>
                  <w:shd w:val="clear" w:color="auto" w:fill="auto"/>
                  <w:noWrap/>
                  <w:vAlign w:val="center"/>
                  <w:hideMark/>
                </w:tcPr>
                <w:p w:rsidR="00A722F8" w:rsidRPr="00A911D2" w:rsidRDefault="00A722F8" w:rsidP="003F1262">
                  <w:pPr>
                    <w:rPr>
                      <w:rFonts w:ascii="Arial" w:eastAsia="Times New Roman" w:hAnsi="Arial" w:cs="Arial"/>
                      <w:b/>
                      <w:bCs/>
                      <w:sz w:val="16"/>
                      <w:szCs w:val="16"/>
                      <w:lang w:eastAsia="es-EC"/>
                    </w:rPr>
                  </w:pPr>
                  <w:r w:rsidRPr="00A911D2">
                    <w:rPr>
                      <w:rFonts w:ascii="Arial" w:eastAsia="Times New Roman" w:hAnsi="Arial" w:cs="Arial"/>
                      <w:b/>
                      <w:bCs/>
                      <w:sz w:val="16"/>
                      <w:szCs w:val="16"/>
                      <w:lang w:eastAsia="es-EC"/>
                    </w:rPr>
                    <w:t>Se Ignora</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Azuay</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0.026</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0.003</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0.428</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0.390</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0.139</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0.015</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Bolívar</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0.103</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0.014</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0.537</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0.267</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0.064</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0.016</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Cañar</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0.099</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0.007</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0.605</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0.246</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0.022</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0.021</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Carchi</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0.054</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0.007</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0.385</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0.431</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0.112</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0.012</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Cotopaxi</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0.117</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0.018</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0.585</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0.221</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0.043</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0.016</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Chimborazo</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0.023</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0.003</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0.324</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0.426</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0.213</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0.010</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El Oro</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0.078</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0.010</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0.536</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0.299</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0.061</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0.016</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Esmeraldas</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0.129</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0.014</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0.553</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0.228</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0.045</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0.031</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Guayas</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0.070</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0.009</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0.465</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0.343</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0.094</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0.018</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Imbabura</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0.029</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0.003</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0.387</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0.419</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0.155</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0.008</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Loja</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0.022</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0.006</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0.342</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0.439</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0.171</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0.020</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Los Ríos</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0.136</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0.018</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0.551</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0.225</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0.048</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0.022</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Morona Santiago</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0.023</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0.000</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0.388</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0.370</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0.206</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0.013</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Napo</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0.048</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0.011</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0.419</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0.372</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0.136</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0.014</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Pastaza</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0.034</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0.009</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0.393</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0.414</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0.142</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0.007</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Pichincha</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0.029</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0.005</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0.394</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0.421</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0.140</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0.010</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Tungurahua</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0.019</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0.007</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0.410</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0.427</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0.127</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0.011</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Zamora Chinchipe</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0.024</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0.010</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0.391</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0.454</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0.101</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0.019</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Galápagos</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0.010</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0.006</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0.313</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0.489</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0.171</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0.011</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Sucumbíos</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0.093</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0.013</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0.512</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0.305</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0.054</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0.024</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Orellana</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0.077</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0.009</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0.470</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0.344</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0.083</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0.016</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 xml:space="preserve">Santo Domingo </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0.089</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0.008</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0.532</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0.301</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0.054</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0.016</w:t>
                  </w:r>
                </w:p>
              </w:tc>
            </w:tr>
            <w:tr w:rsidR="00A722F8" w:rsidRPr="00A911D2" w:rsidTr="003F1262">
              <w:trPr>
                <w:trHeight w:val="20"/>
                <w:jc w:val="center"/>
              </w:trPr>
              <w:tc>
                <w:tcPr>
                  <w:tcW w:w="1417" w:type="dxa"/>
                  <w:tcBorders>
                    <w:top w:val="nil"/>
                    <w:left w:val="nil"/>
                    <w:bottom w:val="nil"/>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Santa Elena</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0.079</w:t>
                  </w:r>
                </w:p>
              </w:tc>
              <w:tc>
                <w:tcPr>
                  <w:tcW w:w="1701"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0.015</w:t>
                  </w:r>
                </w:p>
              </w:tc>
              <w:tc>
                <w:tcPr>
                  <w:tcW w:w="680"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0.554</w:t>
                  </w:r>
                </w:p>
              </w:tc>
              <w:tc>
                <w:tcPr>
                  <w:tcW w:w="90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0.287</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0.052</w:t>
                  </w:r>
                </w:p>
              </w:tc>
              <w:tc>
                <w:tcPr>
                  <w:tcW w:w="737" w:type="dxa"/>
                  <w:tcBorders>
                    <w:top w:val="nil"/>
                    <w:left w:val="nil"/>
                    <w:bottom w:val="nil"/>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0.012</w:t>
                  </w:r>
                </w:p>
              </w:tc>
            </w:tr>
            <w:tr w:rsidR="00A722F8" w:rsidRPr="00A911D2" w:rsidTr="003F1262">
              <w:trPr>
                <w:trHeight w:val="20"/>
                <w:jc w:val="center"/>
              </w:trPr>
              <w:tc>
                <w:tcPr>
                  <w:tcW w:w="1417" w:type="dxa"/>
                  <w:tcBorders>
                    <w:top w:val="nil"/>
                    <w:left w:val="nil"/>
                    <w:bottom w:val="single" w:sz="4" w:space="0" w:color="auto"/>
                    <w:right w:val="nil"/>
                  </w:tcBorders>
                  <w:shd w:val="clear" w:color="auto" w:fill="auto"/>
                  <w:vAlign w:val="center"/>
                  <w:hideMark/>
                </w:tcPr>
                <w:p w:rsidR="00A722F8" w:rsidRPr="00A911D2" w:rsidRDefault="00A722F8" w:rsidP="00F6695E">
                  <w:pPr>
                    <w:jc w:val="left"/>
                    <w:rPr>
                      <w:rFonts w:ascii="Arial" w:eastAsia="Times New Roman" w:hAnsi="Arial" w:cs="Arial"/>
                      <w:color w:val="000000"/>
                      <w:sz w:val="16"/>
                      <w:szCs w:val="16"/>
                      <w:lang w:eastAsia="es-EC"/>
                    </w:rPr>
                  </w:pPr>
                  <w:r w:rsidRPr="00A911D2">
                    <w:rPr>
                      <w:rFonts w:ascii="Arial" w:eastAsia="Times New Roman" w:hAnsi="Arial" w:cs="Arial"/>
                      <w:color w:val="000000"/>
                      <w:sz w:val="16"/>
                      <w:szCs w:val="16"/>
                      <w:lang w:eastAsia="es-EC"/>
                    </w:rPr>
                    <w:t>Zonas No Delimitadas</w:t>
                  </w:r>
                </w:p>
              </w:tc>
              <w:tc>
                <w:tcPr>
                  <w:tcW w:w="737" w:type="dxa"/>
                  <w:tcBorders>
                    <w:top w:val="nil"/>
                    <w:left w:val="nil"/>
                    <w:bottom w:val="single" w:sz="4" w:space="0" w:color="auto"/>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0.133</w:t>
                  </w:r>
                </w:p>
              </w:tc>
              <w:tc>
                <w:tcPr>
                  <w:tcW w:w="1701" w:type="dxa"/>
                  <w:tcBorders>
                    <w:top w:val="nil"/>
                    <w:left w:val="nil"/>
                    <w:bottom w:val="single" w:sz="4" w:space="0" w:color="auto"/>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0.028</w:t>
                  </w:r>
                </w:p>
              </w:tc>
              <w:tc>
                <w:tcPr>
                  <w:tcW w:w="680" w:type="dxa"/>
                  <w:tcBorders>
                    <w:top w:val="nil"/>
                    <w:left w:val="nil"/>
                    <w:bottom w:val="single" w:sz="4" w:space="0" w:color="auto"/>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0.592</w:t>
                  </w:r>
                </w:p>
              </w:tc>
              <w:tc>
                <w:tcPr>
                  <w:tcW w:w="907" w:type="dxa"/>
                  <w:tcBorders>
                    <w:top w:val="nil"/>
                    <w:left w:val="nil"/>
                    <w:bottom w:val="single" w:sz="4" w:space="0" w:color="auto"/>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0.194</w:t>
                  </w:r>
                </w:p>
              </w:tc>
              <w:tc>
                <w:tcPr>
                  <w:tcW w:w="737" w:type="dxa"/>
                  <w:tcBorders>
                    <w:top w:val="nil"/>
                    <w:left w:val="nil"/>
                    <w:bottom w:val="single" w:sz="4" w:space="0" w:color="auto"/>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0.029</w:t>
                  </w:r>
                </w:p>
              </w:tc>
              <w:tc>
                <w:tcPr>
                  <w:tcW w:w="737" w:type="dxa"/>
                  <w:tcBorders>
                    <w:top w:val="nil"/>
                    <w:left w:val="nil"/>
                    <w:bottom w:val="single" w:sz="4" w:space="0" w:color="auto"/>
                    <w:right w:val="nil"/>
                  </w:tcBorders>
                  <w:shd w:val="clear" w:color="auto" w:fill="auto"/>
                  <w:noWrap/>
                  <w:vAlign w:val="center"/>
                  <w:hideMark/>
                </w:tcPr>
                <w:p w:rsidR="00A722F8" w:rsidRPr="00A911D2" w:rsidRDefault="00A722F8" w:rsidP="003F1262">
                  <w:pPr>
                    <w:rPr>
                      <w:rFonts w:ascii="Arial" w:eastAsia="Times New Roman" w:hAnsi="Arial" w:cs="Arial"/>
                      <w:sz w:val="16"/>
                      <w:szCs w:val="16"/>
                      <w:lang w:eastAsia="es-EC"/>
                    </w:rPr>
                  </w:pPr>
                  <w:r w:rsidRPr="00A911D2">
                    <w:rPr>
                      <w:rFonts w:ascii="Arial" w:eastAsia="Times New Roman" w:hAnsi="Arial" w:cs="Arial"/>
                      <w:sz w:val="16"/>
                      <w:szCs w:val="16"/>
                      <w:lang w:eastAsia="es-EC"/>
                    </w:rPr>
                    <w:t>0.023</w:t>
                  </w:r>
                </w:p>
              </w:tc>
            </w:tr>
          </w:tbl>
          <w:p w:rsidR="00A722F8" w:rsidRPr="00840530" w:rsidRDefault="00A722F8" w:rsidP="003F1262">
            <w:pPr>
              <w:jc w:val="both"/>
              <w:rPr>
                <w:rFonts w:ascii="Arial" w:hAnsi="Arial" w:cs="Arial"/>
                <w:sz w:val="24"/>
                <w:szCs w:val="24"/>
              </w:rPr>
            </w:pPr>
          </w:p>
        </w:tc>
      </w:tr>
    </w:tbl>
    <w:p w:rsidR="00A722F8" w:rsidRPr="00A911D2" w:rsidRDefault="00A722F8" w:rsidP="00A911D2">
      <w:pPr>
        <w:pStyle w:val="Prrafodelista"/>
        <w:spacing w:line="276" w:lineRule="auto"/>
        <w:ind w:left="851"/>
        <w:jc w:val="both"/>
        <w:rPr>
          <w:rFonts w:ascii="Arial" w:hAnsi="Arial" w:cs="Arial"/>
          <w:sz w:val="17"/>
          <w:szCs w:val="17"/>
        </w:rPr>
      </w:pPr>
    </w:p>
    <w:p w:rsidR="00A722F8" w:rsidRPr="00A911D2" w:rsidRDefault="00A722F8" w:rsidP="00A911D2">
      <w:pPr>
        <w:pStyle w:val="Prrafodelista"/>
        <w:spacing w:line="276" w:lineRule="auto"/>
        <w:ind w:left="851"/>
        <w:jc w:val="both"/>
        <w:rPr>
          <w:rFonts w:ascii="Arial" w:hAnsi="Arial" w:cs="Arial"/>
          <w:sz w:val="17"/>
          <w:szCs w:val="17"/>
        </w:rPr>
      </w:pPr>
      <w:r w:rsidRPr="00A911D2">
        <w:rPr>
          <w:rFonts w:ascii="Arial" w:hAnsi="Arial" w:cs="Arial"/>
          <w:b/>
          <w:i/>
          <w:sz w:val="17"/>
          <w:szCs w:val="17"/>
        </w:rPr>
        <w:t>Fuente:</w:t>
      </w:r>
      <w:r w:rsidRPr="00A911D2">
        <w:rPr>
          <w:rFonts w:ascii="Arial" w:hAnsi="Arial" w:cs="Arial"/>
          <w:sz w:val="17"/>
          <w:szCs w:val="17"/>
        </w:rPr>
        <w:t xml:space="preserve"> </w:t>
      </w:r>
      <w:r w:rsidRPr="00A911D2">
        <w:rPr>
          <w:rFonts w:ascii="Arial" w:hAnsi="Arial" w:cs="Arial"/>
          <w:b/>
          <w:sz w:val="17"/>
          <w:szCs w:val="17"/>
        </w:rPr>
        <w:t xml:space="preserve">INEC </w:t>
      </w:r>
      <w:r w:rsidRPr="00A911D2">
        <w:rPr>
          <w:rFonts w:ascii="Arial" w:hAnsi="Arial" w:cs="Arial"/>
          <w:sz w:val="17"/>
          <w:szCs w:val="17"/>
        </w:rPr>
        <w:t>(2010), Base de Datos del VII Censo de Población y VI de Vivienda.</w:t>
      </w:r>
    </w:p>
    <w:p w:rsidR="00A722F8" w:rsidRPr="00A911D2" w:rsidRDefault="00A722F8" w:rsidP="00A911D2">
      <w:pPr>
        <w:pStyle w:val="Prrafodelista"/>
        <w:spacing w:line="276" w:lineRule="auto"/>
        <w:ind w:left="851"/>
        <w:jc w:val="both"/>
        <w:rPr>
          <w:rFonts w:ascii="Arial" w:hAnsi="Arial" w:cs="Arial"/>
          <w:sz w:val="17"/>
          <w:szCs w:val="17"/>
        </w:rPr>
      </w:pPr>
      <w:r w:rsidRPr="00A911D2">
        <w:rPr>
          <w:rFonts w:ascii="Arial" w:hAnsi="Arial" w:cs="Arial"/>
          <w:b/>
          <w:i/>
          <w:sz w:val="17"/>
          <w:szCs w:val="17"/>
        </w:rPr>
        <w:t>Elaborado por:</w:t>
      </w:r>
      <w:r w:rsidRPr="00A911D2">
        <w:rPr>
          <w:rFonts w:ascii="Arial" w:hAnsi="Arial" w:cs="Arial"/>
          <w:sz w:val="17"/>
          <w:szCs w:val="17"/>
        </w:rPr>
        <w:t xml:space="preserve"> Katherine Loor Valeriano</w:t>
      </w:r>
    </w:p>
    <w:p w:rsidR="00A722F8" w:rsidRDefault="00A722F8" w:rsidP="00A911D2">
      <w:pPr>
        <w:pStyle w:val="Prrafodelista"/>
        <w:spacing w:line="480" w:lineRule="auto"/>
        <w:ind w:left="851"/>
        <w:jc w:val="both"/>
        <w:rPr>
          <w:rFonts w:ascii="Arial" w:hAnsi="Arial" w:cs="Arial"/>
        </w:rPr>
      </w:pPr>
    </w:p>
    <w:p w:rsidR="00A911D2" w:rsidRDefault="00A911D2" w:rsidP="00A911D2">
      <w:pPr>
        <w:pStyle w:val="Prrafodelista"/>
        <w:spacing w:line="480" w:lineRule="auto"/>
        <w:ind w:left="851"/>
        <w:jc w:val="both"/>
        <w:rPr>
          <w:rFonts w:ascii="Arial" w:hAnsi="Arial" w:cs="Arial"/>
        </w:rPr>
      </w:pPr>
      <w:r>
        <w:rPr>
          <w:rFonts w:ascii="Arial" w:hAnsi="Arial" w:cs="Arial"/>
        </w:rPr>
        <w:t>Además, s</w:t>
      </w:r>
      <w:r w:rsidRPr="00CA4D36">
        <w:rPr>
          <w:rFonts w:ascii="Arial" w:hAnsi="Arial" w:cs="Arial"/>
        </w:rPr>
        <w:t xml:space="preserve">i pasamos de las provincias de la Costa a las de la Sierra, tenemos que el nivel de instrucción de los que emigraron hacia Pichincha es </w:t>
      </w:r>
      <w:r>
        <w:rPr>
          <w:rFonts w:ascii="Arial" w:hAnsi="Arial" w:cs="Arial"/>
        </w:rPr>
        <w:t>más alto</w:t>
      </w:r>
      <w:r w:rsidRPr="00CA4D36">
        <w:rPr>
          <w:rFonts w:ascii="Arial" w:hAnsi="Arial" w:cs="Arial"/>
        </w:rPr>
        <w:t>, debido a que</w:t>
      </w:r>
      <w:r>
        <w:rPr>
          <w:rFonts w:ascii="Arial" w:hAnsi="Arial" w:cs="Arial"/>
        </w:rPr>
        <w:t xml:space="preserve"> si bien,</w:t>
      </w:r>
      <w:r w:rsidRPr="00CA4D36">
        <w:rPr>
          <w:rFonts w:ascii="Arial" w:hAnsi="Arial" w:cs="Arial"/>
        </w:rPr>
        <w:t xml:space="preserve"> el </w:t>
      </w:r>
      <w:r>
        <w:rPr>
          <w:rFonts w:ascii="Arial" w:hAnsi="Arial" w:cs="Arial"/>
        </w:rPr>
        <w:t>2.90</w:t>
      </w:r>
      <w:r w:rsidRPr="00CA4D36">
        <w:rPr>
          <w:rFonts w:ascii="Arial" w:hAnsi="Arial" w:cs="Arial"/>
        </w:rPr>
        <w:t xml:space="preserve">% no tienen algún nivel de </w:t>
      </w:r>
      <w:r w:rsidRPr="00CA4D36">
        <w:rPr>
          <w:rFonts w:ascii="Arial" w:hAnsi="Arial" w:cs="Arial"/>
        </w:rPr>
        <w:lastRenderedPageBreak/>
        <w:t>instrucción, el 39.</w:t>
      </w:r>
      <w:r>
        <w:rPr>
          <w:rFonts w:ascii="Arial" w:hAnsi="Arial" w:cs="Arial"/>
        </w:rPr>
        <w:t>4</w:t>
      </w:r>
      <w:r w:rsidRPr="00CA4D36">
        <w:rPr>
          <w:rFonts w:ascii="Arial" w:hAnsi="Arial" w:cs="Arial"/>
        </w:rPr>
        <w:t>0% tiene hasta primaria, el 42.</w:t>
      </w:r>
      <w:r>
        <w:rPr>
          <w:rFonts w:ascii="Arial" w:hAnsi="Arial" w:cs="Arial"/>
        </w:rPr>
        <w:t>1</w:t>
      </w:r>
      <w:r w:rsidRPr="00CA4D36">
        <w:rPr>
          <w:rFonts w:ascii="Arial" w:hAnsi="Arial" w:cs="Arial"/>
        </w:rPr>
        <w:t xml:space="preserve">0% </w:t>
      </w:r>
      <w:r>
        <w:rPr>
          <w:rFonts w:ascii="Arial" w:hAnsi="Arial" w:cs="Arial"/>
        </w:rPr>
        <w:t>tiene hasta secundaria, y el 14</w:t>
      </w:r>
      <w:r w:rsidRPr="00CA4D36">
        <w:rPr>
          <w:rFonts w:ascii="Arial" w:hAnsi="Arial" w:cs="Arial"/>
        </w:rPr>
        <w:t>% de los que emigraron hacia esta provincia tienen nivel superior presentándose más casos de personas que han obtenido o están cursando un pregrado respecto a los de postgrado. Otra de las provincias de la Sierra cuyos emigrantes manabitas presentan alto nivel de instrucción es Chimborazo, donde el 32.</w:t>
      </w:r>
      <w:r>
        <w:rPr>
          <w:rFonts w:ascii="Arial" w:hAnsi="Arial" w:cs="Arial"/>
        </w:rPr>
        <w:t>4</w:t>
      </w:r>
      <w:r w:rsidRPr="00CA4D36">
        <w:rPr>
          <w:rFonts w:ascii="Arial" w:hAnsi="Arial" w:cs="Arial"/>
        </w:rPr>
        <w:t>0% tiene hasta instrucción primaria, el 4</w:t>
      </w:r>
      <w:r>
        <w:rPr>
          <w:rFonts w:ascii="Arial" w:hAnsi="Arial" w:cs="Arial"/>
        </w:rPr>
        <w:t>2.60</w:t>
      </w:r>
      <w:r w:rsidRPr="00CA4D36">
        <w:rPr>
          <w:rFonts w:ascii="Arial" w:hAnsi="Arial" w:cs="Arial"/>
        </w:rPr>
        <w:t>% hasta secundaria y el 21.</w:t>
      </w:r>
      <w:r>
        <w:rPr>
          <w:rFonts w:ascii="Arial" w:hAnsi="Arial" w:cs="Arial"/>
        </w:rPr>
        <w:t>3</w:t>
      </w:r>
      <w:r w:rsidRPr="00CA4D36">
        <w:rPr>
          <w:rFonts w:ascii="Arial" w:hAnsi="Arial" w:cs="Arial"/>
        </w:rPr>
        <w:t xml:space="preserve">0% tiene hasta instrucción superior. </w:t>
      </w:r>
      <w:r w:rsidR="007E4C99">
        <w:rPr>
          <w:rFonts w:ascii="Arial" w:hAnsi="Arial" w:cs="Arial"/>
        </w:rPr>
        <w:t xml:space="preserve">Para más detalles </w:t>
      </w:r>
      <w:r w:rsidR="007E4C99">
        <w:rPr>
          <w:rFonts w:ascii="Arial" w:hAnsi="Arial" w:cs="Arial"/>
          <w:i/>
        </w:rPr>
        <w:t>v</w:t>
      </w:r>
      <w:r w:rsidRPr="004E08BD">
        <w:rPr>
          <w:rFonts w:ascii="Arial" w:hAnsi="Arial" w:cs="Arial"/>
          <w:i/>
        </w:rPr>
        <w:t>éase Tabla 2.</w:t>
      </w:r>
      <w:r>
        <w:rPr>
          <w:rFonts w:ascii="Arial" w:hAnsi="Arial" w:cs="Arial"/>
          <w:i/>
        </w:rPr>
        <w:t>10</w:t>
      </w:r>
      <w:r w:rsidRPr="00CA4D36">
        <w:rPr>
          <w:rFonts w:ascii="Arial" w:hAnsi="Arial" w:cs="Arial"/>
        </w:rPr>
        <w:t>.</w:t>
      </w:r>
    </w:p>
    <w:p w:rsidR="00A911D2" w:rsidRDefault="00A911D2" w:rsidP="00A911D2">
      <w:pPr>
        <w:pStyle w:val="Prrafodelista"/>
        <w:spacing w:line="480" w:lineRule="auto"/>
        <w:ind w:left="851"/>
        <w:jc w:val="both"/>
        <w:rPr>
          <w:rFonts w:ascii="Arial" w:hAnsi="Arial" w:cs="Arial"/>
        </w:rPr>
      </w:pPr>
    </w:p>
    <w:p w:rsidR="00A722F8" w:rsidRPr="00CA4D36" w:rsidRDefault="00A722F8" w:rsidP="0041640C">
      <w:pPr>
        <w:pStyle w:val="TesisTitulo20"/>
        <w:numPr>
          <w:ilvl w:val="2"/>
          <w:numId w:val="9"/>
        </w:numPr>
        <w:ind w:left="1701" w:hanging="850"/>
      </w:pPr>
      <w:bookmarkStart w:id="302" w:name="_Toc339212695"/>
      <w:bookmarkStart w:id="303" w:name="_Toc341040623"/>
      <w:r w:rsidRPr="00CA4D36">
        <w:t>Actividad económica</w:t>
      </w:r>
      <w:bookmarkEnd w:id="302"/>
      <w:bookmarkEnd w:id="303"/>
    </w:p>
    <w:p w:rsidR="00A722F8" w:rsidRPr="00CA4D36" w:rsidRDefault="00A722F8" w:rsidP="007E4C99">
      <w:pPr>
        <w:pStyle w:val="Prrafodelista"/>
        <w:spacing w:line="480" w:lineRule="auto"/>
        <w:ind w:left="851"/>
        <w:jc w:val="both"/>
        <w:rPr>
          <w:rFonts w:ascii="Arial" w:hAnsi="Arial" w:cs="Arial"/>
        </w:rPr>
      </w:pPr>
      <w:r w:rsidRPr="00CA4D36">
        <w:rPr>
          <w:rFonts w:ascii="Arial" w:hAnsi="Arial" w:cs="Arial"/>
        </w:rPr>
        <w:t xml:space="preserve">Otra de las características de interés es la actividad económica a la que se dedican los emigrantes en su correspondiente provincia de residencia habitual, para ello utilizaremos la pregunta treinta y uno de la Sección 4 de la boleta censal, que consulta ¿En el lugar indicado (….) trabaja o trabajó como?, la misma que para nuestro análisis la agruparemos en cinco categorías, la primera la denominaremos “Empleado” e incluye las opciones Empleado/a u obrero/a del Estado, Gobierno, Municipio, Consejo Provincial, Juntas Parroquiales, Empleado/a u obrero/a privado y Empleado/a doméstico/a, la segunda “Jornalero o Peón” que en la boleta censal tiene el mismo nombre, la tercera “Patrono o Cuenta propia” que agrupa las opciones Patrono/a y Cuenta propia, la penúltima denominada “Socio” que tiene el mismo nombre en la boleta y la última que hace referencia a </w:t>
      </w:r>
      <w:r>
        <w:rPr>
          <w:rFonts w:ascii="Arial" w:hAnsi="Arial" w:cs="Arial"/>
        </w:rPr>
        <w:t>los trabajadores no remunerados</w:t>
      </w:r>
      <w:r w:rsidRPr="00CA4D36">
        <w:rPr>
          <w:rFonts w:ascii="Arial" w:hAnsi="Arial" w:cs="Arial"/>
        </w:rPr>
        <w:t>.</w:t>
      </w:r>
    </w:p>
    <w:p w:rsidR="00A722F8" w:rsidRPr="00CA4D36" w:rsidRDefault="00A722F8" w:rsidP="007E4C99">
      <w:pPr>
        <w:pStyle w:val="Prrafodelista"/>
        <w:spacing w:line="480" w:lineRule="auto"/>
        <w:ind w:left="851"/>
        <w:jc w:val="both"/>
        <w:rPr>
          <w:rFonts w:ascii="Arial" w:hAnsi="Arial" w:cs="Arial"/>
        </w:rPr>
      </w:pPr>
    </w:p>
    <w:p w:rsidR="00A722F8" w:rsidRPr="00CA4D36" w:rsidRDefault="00A722F8" w:rsidP="007E4C99">
      <w:pPr>
        <w:pStyle w:val="Prrafodelista"/>
        <w:spacing w:line="480" w:lineRule="auto"/>
        <w:ind w:left="851"/>
        <w:jc w:val="both"/>
        <w:rPr>
          <w:rFonts w:ascii="Arial" w:hAnsi="Arial" w:cs="Arial"/>
        </w:rPr>
      </w:pPr>
      <w:r w:rsidRPr="00CA4D36">
        <w:rPr>
          <w:rFonts w:ascii="Arial" w:hAnsi="Arial" w:cs="Arial"/>
        </w:rPr>
        <w:lastRenderedPageBreak/>
        <w:t xml:space="preserve">Entre los emigrantes manabitas, el </w:t>
      </w:r>
      <w:r>
        <w:rPr>
          <w:rFonts w:ascii="Arial" w:hAnsi="Arial" w:cs="Arial"/>
        </w:rPr>
        <w:t>49.71</w:t>
      </w:r>
      <w:r w:rsidRPr="00CA4D36">
        <w:rPr>
          <w:rFonts w:ascii="Arial" w:hAnsi="Arial" w:cs="Arial"/>
        </w:rPr>
        <w:t>% se desempeña como empleado sea del sector público, privado o como doméstic</w:t>
      </w:r>
      <w:r>
        <w:rPr>
          <w:rFonts w:ascii="Arial" w:hAnsi="Arial" w:cs="Arial"/>
        </w:rPr>
        <w:t>o, el 16.59</w:t>
      </w:r>
      <w:r w:rsidRPr="00CA4D36">
        <w:rPr>
          <w:rFonts w:ascii="Arial" w:hAnsi="Arial" w:cs="Arial"/>
        </w:rPr>
        <w:t xml:space="preserve">% son jornaleros o peones, el </w:t>
      </w:r>
      <w:r>
        <w:rPr>
          <w:rFonts w:ascii="Arial" w:hAnsi="Arial" w:cs="Arial"/>
        </w:rPr>
        <w:t>7.73</w:t>
      </w:r>
      <w:r w:rsidRPr="00CA4D36">
        <w:rPr>
          <w:rFonts w:ascii="Arial" w:hAnsi="Arial" w:cs="Arial"/>
        </w:rPr>
        <w:t>% son patronos o trabajan por cuenta propia, el 0.8</w:t>
      </w:r>
      <w:r>
        <w:rPr>
          <w:rFonts w:ascii="Arial" w:hAnsi="Arial" w:cs="Arial"/>
        </w:rPr>
        <w:t>3</w:t>
      </w:r>
      <w:r w:rsidRPr="00CA4D36">
        <w:rPr>
          <w:rFonts w:ascii="Arial" w:hAnsi="Arial" w:cs="Arial"/>
        </w:rPr>
        <w:t>% trabaja en asociació</w:t>
      </w:r>
      <w:r>
        <w:rPr>
          <w:rFonts w:ascii="Arial" w:hAnsi="Arial" w:cs="Arial"/>
        </w:rPr>
        <w:t>n con otra persona o personas, el</w:t>
      </w:r>
      <w:r w:rsidRPr="00CA4D36">
        <w:rPr>
          <w:rFonts w:ascii="Arial" w:hAnsi="Arial" w:cs="Arial"/>
        </w:rPr>
        <w:t xml:space="preserve"> 1.4</w:t>
      </w:r>
      <w:r>
        <w:rPr>
          <w:rFonts w:ascii="Arial" w:hAnsi="Arial" w:cs="Arial"/>
        </w:rPr>
        <w:t>4</w:t>
      </w:r>
      <w:r w:rsidRPr="00CA4D36">
        <w:rPr>
          <w:rFonts w:ascii="Arial" w:hAnsi="Arial" w:cs="Arial"/>
        </w:rPr>
        <w:t>% s</w:t>
      </w:r>
      <w:r>
        <w:rPr>
          <w:rFonts w:ascii="Arial" w:hAnsi="Arial" w:cs="Arial"/>
        </w:rPr>
        <w:t xml:space="preserve">on trabajadores no remunerados; y, se ignoran el 3.70% de los datos. </w:t>
      </w:r>
      <w:r w:rsidRPr="00CA4D36">
        <w:rPr>
          <w:rFonts w:ascii="Arial" w:hAnsi="Arial" w:cs="Arial"/>
        </w:rPr>
        <w:t>Los manabitas que emigraron hacia Guayas y participan en la actividad económica de esta provincia, un 5</w:t>
      </w:r>
      <w:r>
        <w:rPr>
          <w:rFonts w:ascii="Arial" w:hAnsi="Arial" w:cs="Arial"/>
        </w:rPr>
        <w:t>4</w:t>
      </w:r>
      <w:r w:rsidRPr="00CA4D36">
        <w:rPr>
          <w:rFonts w:ascii="Arial" w:hAnsi="Arial" w:cs="Arial"/>
        </w:rPr>
        <w:t>% trabajan como empleados sea del sector público, privado o doméstico, el 10.</w:t>
      </w:r>
      <w:r>
        <w:rPr>
          <w:rFonts w:ascii="Arial" w:hAnsi="Arial" w:cs="Arial"/>
        </w:rPr>
        <w:t>5</w:t>
      </w:r>
      <w:r w:rsidRPr="00CA4D36">
        <w:rPr>
          <w:rFonts w:ascii="Arial" w:hAnsi="Arial" w:cs="Arial"/>
        </w:rPr>
        <w:t xml:space="preserve">0% son jornaleros o peones, mientras que el </w:t>
      </w:r>
      <w:r>
        <w:rPr>
          <w:rFonts w:ascii="Arial" w:hAnsi="Arial" w:cs="Arial"/>
        </w:rPr>
        <w:t>296</w:t>
      </w:r>
      <w:r w:rsidRPr="00CA4D36">
        <w:rPr>
          <w:rFonts w:ascii="Arial" w:hAnsi="Arial" w:cs="Arial"/>
        </w:rPr>
        <w:t xml:space="preserve">0% son propietarios de negocio, el 1% trabaja en asociación y el mismo porcentaje tiene un trabajo no remunerado. Por otra parte, los que emigraron hacia Santa Elena tenemos que el </w:t>
      </w:r>
      <w:r>
        <w:rPr>
          <w:rFonts w:ascii="Arial" w:hAnsi="Arial" w:cs="Arial"/>
        </w:rPr>
        <w:t>40.30</w:t>
      </w:r>
      <w:r w:rsidRPr="00CA4D36">
        <w:rPr>
          <w:rFonts w:ascii="Arial" w:hAnsi="Arial" w:cs="Arial"/>
        </w:rPr>
        <w:t xml:space="preserve">% se desempeñan como empleados, el </w:t>
      </w:r>
      <w:r>
        <w:rPr>
          <w:rFonts w:ascii="Arial" w:hAnsi="Arial" w:cs="Arial"/>
        </w:rPr>
        <w:t>13.30</w:t>
      </w:r>
      <w:r w:rsidRPr="00CA4D36">
        <w:rPr>
          <w:rFonts w:ascii="Arial" w:hAnsi="Arial" w:cs="Arial"/>
        </w:rPr>
        <w:t xml:space="preserve">% trabajan como jornaleros o peones, un </w:t>
      </w:r>
      <w:r>
        <w:rPr>
          <w:rFonts w:ascii="Arial" w:hAnsi="Arial" w:cs="Arial"/>
        </w:rPr>
        <w:t>38</w:t>
      </w:r>
      <w:r w:rsidRPr="00CA4D36">
        <w:rPr>
          <w:rFonts w:ascii="Arial" w:hAnsi="Arial" w:cs="Arial"/>
        </w:rPr>
        <w:t>% trabajan por cuenta propia o como patrones, el 1% trabaja en sociedad y el 3% posee un trabajo no remunerado.</w:t>
      </w:r>
      <w:r>
        <w:rPr>
          <w:rFonts w:ascii="Arial" w:hAnsi="Arial" w:cs="Arial"/>
        </w:rPr>
        <w:t xml:space="preserve"> </w:t>
      </w:r>
    </w:p>
    <w:p w:rsidR="00A722F8" w:rsidRDefault="00A722F8" w:rsidP="007E4C99">
      <w:pPr>
        <w:pStyle w:val="Prrafodelista"/>
        <w:spacing w:line="480" w:lineRule="auto"/>
        <w:ind w:left="851"/>
        <w:jc w:val="both"/>
        <w:rPr>
          <w:rFonts w:ascii="Arial" w:hAnsi="Arial" w:cs="Arial"/>
        </w:rPr>
      </w:pPr>
    </w:p>
    <w:p w:rsidR="007E4C99" w:rsidRDefault="00A722F8" w:rsidP="007E4C99">
      <w:pPr>
        <w:pStyle w:val="Prrafodelista"/>
        <w:spacing w:line="480" w:lineRule="auto"/>
        <w:ind w:left="851"/>
        <w:jc w:val="both"/>
        <w:rPr>
          <w:rFonts w:ascii="Arial" w:hAnsi="Arial" w:cs="Arial"/>
          <w:i/>
        </w:rPr>
      </w:pPr>
      <w:r w:rsidRPr="00CA4D36">
        <w:rPr>
          <w:rFonts w:ascii="Arial" w:hAnsi="Arial" w:cs="Arial"/>
        </w:rPr>
        <w:t>Además, de los manabitas que emigraron hacia la provincia de Pichincha, la mayoría se desempeña como empleado (7</w:t>
      </w:r>
      <w:r>
        <w:rPr>
          <w:rFonts w:ascii="Arial" w:hAnsi="Arial" w:cs="Arial"/>
        </w:rPr>
        <w:t>1</w:t>
      </w:r>
      <w:r w:rsidRPr="00CA4D36">
        <w:rPr>
          <w:rFonts w:ascii="Arial" w:hAnsi="Arial" w:cs="Arial"/>
        </w:rPr>
        <w:t>.</w:t>
      </w:r>
      <w:r>
        <w:rPr>
          <w:rFonts w:ascii="Arial" w:hAnsi="Arial" w:cs="Arial"/>
        </w:rPr>
        <w:t>8</w:t>
      </w:r>
      <w:r w:rsidRPr="00CA4D36">
        <w:rPr>
          <w:rFonts w:ascii="Arial" w:hAnsi="Arial" w:cs="Arial"/>
        </w:rPr>
        <w:t>0%), el 7.</w:t>
      </w:r>
      <w:r>
        <w:rPr>
          <w:rFonts w:ascii="Arial" w:hAnsi="Arial" w:cs="Arial"/>
        </w:rPr>
        <w:t>3</w:t>
      </w:r>
      <w:r w:rsidRPr="00CA4D36">
        <w:rPr>
          <w:rFonts w:ascii="Arial" w:hAnsi="Arial" w:cs="Arial"/>
        </w:rPr>
        <w:t>0% son jornaleros o peones, el 1</w:t>
      </w:r>
      <w:r>
        <w:rPr>
          <w:rFonts w:ascii="Arial" w:hAnsi="Arial" w:cs="Arial"/>
        </w:rPr>
        <w:t>6.60</w:t>
      </w:r>
      <w:r w:rsidRPr="00CA4D36">
        <w:rPr>
          <w:rFonts w:ascii="Arial" w:hAnsi="Arial" w:cs="Arial"/>
        </w:rPr>
        <w:t xml:space="preserve">% trabajan por cuenta propia o como patrono, un 1% </w:t>
      </w:r>
      <w:r w:rsidR="007E4C99">
        <w:rPr>
          <w:rFonts w:ascii="Arial" w:hAnsi="Arial" w:cs="Arial"/>
        </w:rPr>
        <w:t>“</w:t>
      </w:r>
      <w:r w:rsidRPr="00CA4D36">
        <w:rPr>
          <w:rFonts w:ascii="Arial" w:hAnsi="Arial" w:cs="Arial"/>
        </w:rPr>
        <w:t>en sociedad</w:t>
      </w:r>
      <w:r w:rsidR="007E4C99">
        <w:rPr>
          <w:rFonts w:ascii="Arial" w:hAnsi="Arial" w:cs="Arial"/>
        </w:rPr>
        <w:t>”</w:t>
      </w:r>
      <w:r w:rsidRPr="00CA4D36">
        <w:rPr>
          <w:rFonts w:ascii="Arial" w:hAnsi="Arial" w:cs="Arial"/>
        </w:rPr>
        <w:t xml:space="preserve"> y el mismo porcentaje tiene un trabajo no remunerado</w:t>
      </w:r>
      <w:r w:rsidR="007E4C99">
        <w:rPr>
          <w:rFonts w:ascii="Arial" w:hAnsi="Arial" w:cs="Arial"/>
        </w:rPr>
        <w:t>;</w:t>
      </w:r>
      <w:r w:rsidRPr="00CA4D36">
        <w:rPr>
          <w:rFonts w:ascii="Arial" w:hAnsi="Arial" w:cs="Arial"/>
        </w:rPr>
        <w:t xml:space="preserve"> </w:t>
      </w:r>
      <w:r w:rsidR="007E4C99">
        <w:rPr>
          <w:rFonts w:ascii="Arial" w:hAnsi="Arial" w:cs="Arial"/>
        </w:rPr>
        <w:t>m</w:t>
      </w:r>
      <w:r w:rsidRPr="00CA4D36">
        <w:rPr>
          <w:rFonts w:ascii="Arial" w:hAnsi="Arial" w:cs="Arial"/>
        </w:rPr>
        <w:t>ientras tanto, los que emigraron a Bolívar trabajan mayoritariamente como jornaleros o peones (</w:t>
      </w:r>
      <w:r>
        <w:rPr>
          <w:rFonts w:ascii="Arial" w:hAnsi="Arial" w:cs="Arial"/>
        </w:rPr>
        <w:t>51.30%), un 23</w:t>
      </w:r>
      <w:r w:rsidRPr="00CA4D36">
        <w:rPr>
          <w:rFonts w:ascii="Arial" w:hAnsi="Arial" w:cs="Arial"/>
        </w:rPr>
        <w:t>% son dueños de</w:t>
      </w:r>
      <w:r>
        <w:rPr>
          <w:rFonts w:ascii="Arial" w:hAnsi="Arial" w:cs="Arial"/>
        </w:rPr>
        <w:t xml:space="preserve"> sus negocios o patrones, el 20.7</w:t>
      </w:r>
      <w:r w:rsidRPr="00CA4D36">
        <w:rPr>
          <w:rFonts w:ascii="Arial" w:hAnsi="Arial" w:cs="Arial"/>
        </w:rPr>
        <w:t>0% son empleados, y el porcentaje</w:t>
      </w:r>
      <w:r>
        <w:rPr>
          <w:rFonts w:ascii="Arial" w:hAnsi="Arial" w:cs="Arial"/>
        </w:rPr>
        <w:t xml:space="preserve"> restante trabajan en sociedad,</w:t>
      </w:r>
      <w:r w:rsidRPr="00CA4D36">
        <w:rPr>
          <w:rFonts w:ascii="Arial" w:hAnsi="Arial" w:cs="Arial"/>
        </w:rPr>
        <w:t xml:space="preserve"> no poseen remuneración alguna</w:t>
      </w:r>
      <w:r>
        <w:rPr>
          <w:rFonts w:ascii="Arial" w:hAnsi="Arial" w:cs="Arial"/>
        </w:rPr>
        <w:t xml:space="preserve"> o se ignora</w:t>
      </w:r>
      <w:r w:rsidRPr="00CA4D36">
        <w:rPr>
          <w:rFonts w:ascii="Arial" w:hAnsi="Arial" w:cs="Arial"/>
        </w:rPr>
        <w:t xml:space="preserve">. </w:t>
      </w:r>
      <w:r w:rsidR="007E4C99">
        <w:rPr>
          <w:rFonts w:ascii="Arial" w:hAnsi="Arial" w:cs="Arial"/>
        </w:rPr>
        <w:t>L</w:t>
      </w:r>
      <w:r w:rsidR="007E4C99" w:rsidRPr="00CA4D36">
        <w:rPr>
          <w:rFonts w:ascii="Arial" w:hAnsi="Arial" w:cs="Arial"/>
        </w:rPr>
        <w:t>os que</w:t>
      </w:r>
      <w:r w:rsidR="007E4C99">
        <w:rPr>
          <w:rFonts w:ascii="Arial" w:hAnsi="Arial" w:cs="Arial"/>
        </w:rPr>
        <w:t xml:space="preserve"> emigraron hacia Sucumbíos un 4</w:t>
      </w:r>
      <w:r w:rsidR="007E4C99" w:rsidRPr="00CA4D36">
        <w:rPr>
          <w:rFonts w:ascii="Arial" w:hAnsi="Arial" w:cs="Arial"/>
        </w:rPr>
        <w:t>3% son empleados tanto del sector púb</w:t>
      </w:r>
      <w:r w:rsidR="007E4C99">
        <w:rPr>
          <w:rFonts w:ascii="Arial" w:hAnsi="Arial" w:cs="Arial"/>
        </w:rPr>
        <w:t xml:space="preserve">lico, privado o </w:t>
      </w:r>
      <w:r w:rsidR="007E4C99">
        <w:rPr>
          <w:rFonts w:ascii="Arial" w:hAnsi="Arial" w:cs="Arial"/>
        </w:rPr>
        <w:lastRenderedPageBreak/>
        <w:t>doméstico, el 15.5</w:t>
      </w:r>
      <w:r w:rsidR="007E4C99" w:rsidRPr="00CA4D36">
        <w:rPr>
          <w:rFonts w:ascii="Arial" w:hAnsi="Arial" w:cs="Arial"/>
        </w:rPr>
        <w:t xml:space="preserve">0% son jornaleros o peones, el </w:t>
      </w:r>
      <w:r w:rsidR="007E4C99">
        <w:rPr>
          <w:rFonts w:ascii="Arial" w:hAnsi="Arial" w:cs="Arial"/>
        </w:rPr>
        <w:t>32.70</w:t>
      </w:r>
      <w:r w:rsidR="007E4C99" w:rsidRPr="00CA4D36">
        <w:rPr>
          <w:rFonts w:ascii="Arial" w:hAnsi="Arial" w:cs="Arial"/>
        </w:rPr>
        <w:t>% son patrones o trabajan por cuenta propia; y, los restantes trabajan en</w:t>
      </w:r>
      <w:r w:rsidR="007E4C99">
        <w:rPr>
          <w:rFonts w:ascii="Arial" w:hAnsi="Arial" w:cs="Arial"/>
        </w:rPr>
        <w:t xml:space="preserve"> asociación con otras personas,</w:t>
      </w:r>
      <w:r w:rsidR="007E4C99" w:rsidRPr="00CA4D36">
        <w:rPr>
          <w:rFonts w:ascii="Arial" w:hAnsi="Arial" w:cs="Arial"/>
        </w:rPr>
        <w:t xml:space="preserve"> trabajan si percibir remuneración alguna</w:t>
      </w:r>
      <w:r w:rsidR="007E4C99">
        <w:rPr>
          <w:rFonts w:ascii="Arial" w:hAnsi="Arial" w:cs="Arial"/>
        </w:rPr>
        <w:t xml:space="preserve"> o son datos que se ignoran</w:t>
      </w:r>
      <w:r w:rsidR="007E4C99" w:rsidRPr="00CA4D36">
        <w:rPr>
          <w:rFonts w:ascii="Arial" w:hAnsi="Arial" w:cs="Arial"/>
        </w:rPr>
        <w:t>; en general en la mayor parte de las provincias del Oriente los emigrantes trabajan mayoritariamente como empleados, otra menor proporción trabaja por cuenta propio o como patrono y una proporción más pequeña son jornaleros o peones.</w:t>
      </w:r>
      <w:r w:rsidR="007E4C99">
        <w:rPr>
          <w:rFonts w:ascii="Arial" w:hAnsi="Arial" w:cs="Arial"/>
        </w:rPr>
        <w:t xml:space="preserve"> </w:t>
      </w:r>
      <w:r w:rsidR="007E4C99" w:rsidRPr="00737C91">
        <w:rPr>
          <w:rFonts w:ascii="Arial" w:hAnsi="Arial" w:cs="Arial"/>
          <w:i/>
        </w:rPr>
        <w:t>Véase Tabla 2.</w:t>
      </w:r>
      <w:r w:rsidR="007E4C99">
        <w:rPr>
          <w:rFonts w:ascii="Arial" w:hAnsi="Arial" w:cs="Arial"/>
          <w:i/>
        </w:rPr>
        <w:t>11</w:t>
      </w:r>
      <w:r w:rsidR="007E4C99" w:rsidRPr="00737C91">
        <w:rPr>
          <w:rFonts w:ascii="Arial" w:hAnsi="Arial" w:cs="Arial"/>
          <w:i/>
        </w:rPr>
        <w:t>.</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A722F8" w:rsidRPr="00840530" w:rsidTr="007E4C99">
        <w:trPr>
          <w:trHeight w:val="5839"/>
          <w:jc w:val="right"/>
        </w:trPr>
        <w:tc>
          <w:tcPr>
            <w:tcW w:w="7535" w:type="dxa"/>
          </w:tcPr>
          <w:p w:rsidR="00A722F8" w:rsidRDefault="00A722F8" w:rsidP="003F1262">
            <w:pPr>
              <w:rPr>
                <w:rFonts w:ascii="Arial" w:hAnsi="Arial" w:cs="Arial"/>
                <w:b/>
                <w:sz w:val="16"/>
                <w:szCs w:val="16"/>
              </w:rPr>
            </w:pPr>
          </w:p>
          <w:p w:rsidR="00E10434" w:rsidRPr="00E10434" w:rsidRDefault="00E10434" w:rsidP="00E10434">
            <w:pPr>
              <w:pStyle w:val="Epgrafe"/>
              <w:rPr>
                <w:rFonts w:ascii="Arial" w:hAnsi="Arial" w:cs="Arial"/>
                <w:bCs w:val="0"/>
                <w:color w:val="auto"/>
                <w:sz w:val="16"/>
                <w:szCs w:val="16"/>
              </w:rPr>
            </w:pPr>
            <w:bookmarkStart w:id="304" w:name="_Toc341041586"/>
            <w:r w:rsidRPr="00E10434">
              <w:rPr>
                <w:rFonts w:ascii="Arial" w:hAnsi="Arial" w:cs="Arial"/>
                <w:bCs w:val="0"/>
                <w:color w:val="auto"/>
                <w:sz w:val="16"/>
                <w:szCs w:val="16"/>
              </w:rPr>
              <w:t>Tabla</w:t>
            </w:r>
            <w:r>
              <w:rPr>
                <w:rFonts w:ascii="Arial" w:hAnsi="Arial" w:cs="Arial"/>
                <w:bCs w:val="0"/>
                <w:color w:val="auto"/>
                <w:sz w:val="16"/>
                <w:szCs w:val="16"/>
              </w:rPr>
              <w:t xml:space="preserve"> </w:t>
            </w:r>
            <w:r w:rsidRPr="00E10434">
              <w:rPr>
                <w:rFonts w:ascii="Arial" w:hAnsi="Arial" w:cs="Arial"/>
                <w:bCs w:val="0"/>
                <w:color w:val="auto"/>
                <w:sz w:val="16"/>
                <w:szCs w:val="16"/>
              </w:rPr>
              <w:t>2.</w:t>
            </w:r>
            <w:r w:rsidR="00990535" w:rsidRPr="00E10434">
              <w:rPr>
                <w:rFonts w:ascii="Arial" w:hAnsi="Arial" w:cs="Arial"/>
                <w:bCs w:val="0"/>
                <w:color w:val="auto"/>
                <w:sz w:val="16"/>
                <w:szCs w:val="16"/>
              </w:rPr>
              <w:fldChar w:fldCharType="begin"/>
            </w:r>
            <w:r w:rsidRPr="00E10434">
              <w:rPr>
                <w:rFonts w:ascii="Arial" w:hAnsi="Arial" w:cs="Arial"/>
                <w:bCs w:val="0"/>
                <w:color w:val="auto"/>
                <w:sz w:val="16"/>
                <w:szCs w:val="16"/>
              </w:rPr>
              <w:instrText xml:space="preserve"> SEQ Tabla2. \* ARABIC </w:instrText>
            </w:r>
            <w:r w:rsidR="00990535" w:rsidRPr="00E10434">
              <w:rPr>
                <w:rFonts w:ascii="Arial" w:hAnsi="Arial" w:cs="Arial"/>
                <w:bCs w:val="0"/>
                <w:color w:val="auto"/>
                <w:sz w:val="16"/>
                <w:szCs w:val="16"/>
              </w:rPr>
              <w:fldChar w:fldCharType="separate"/>
            </w:r>
            <w:r w:rsidR="00A242E0">
              <w:rPr>
                <w:rFonts w:ascii="Arial" w:hAnsi="Arial" w:cs="Arial"/>
                <w:bCs w:val="0"/>
                <w:noProof/>
                <w:color w:val="auto"/>
                <w:sz w:val="16"/>
                <w:szCs w:val="16"/>
              </w:rPr>
              <w:t>11</w:t>
            </w:r>
            <w:bookmarkEnd w:id="304"/>
            <w:r w:rsidR="00990535" w:rsidRPr="00E10434">
              <w:rPr>
                <w:rFonts w:ascii="Arial" w:hAnsi="Arial" w:cs="Arial"/>
                <w:bCs w:val="0"/>
                <w:color w:val="auto"/>
                <w:sz w:val="16"/>
                <w:szCs w:val="16"/>
              </w:rPr>
              <w:fldChar w:fldCharType="end"/>
            </w:r>
          </w:p>
          <w:p w:rsidR="00A722F8" w:rsidRPr="004A1915" w:rsidRDefault="007E4C99" w:rsidP="003F1262">
            <w:pPr>
              <w:rPr>
                <w:rFonts w:ascii="Arial" w:hAnsi="Arial" w:cs="Arial"/>
                <w:i/>
                <w:sz w:val="16"/>
                <w:szCs w:val="16"/>
              </w:rPr>
            </w:pPr>
            <w:r>
              <w:rPr>
                <w:rFonts w:ascii="Arial" w:hAnsi="Arial" w:cs="Arial"/>
                <w:b/>
                <w:i/>
                <w:sz w:val="16"/>
                <w:szCs w:val="16"/>
              </w:rPr>
              <w:t xml:space="preserve">Manabí 2010: </w:t>
            </w:r>
            <w:r w:rsidR="00A722F8" w:rsidRPr="004A1915">
              <w:rPr>
                <w:rFonts w:ascii="Arial" w:hAnsi="Arial" w:cs="Arial"/>
                <w:i/>
                <w:sz w:val="16"/>
                <w:szCs w:val="16"/>
              </w:rPr>
              <w:t xml:space="preserve">Actividad económica </w:t>
            </w:r>
            <w:r w:rsidR="00A722F8">
              <w:rPr>
                <w:rFonts w:ascii="Arial" w:hAnsi="Arial" w:cs="Arial"/>
                <w:i/>
                <w:sz w:val="16"/>
                <w:szCs w:val="16"/>
              </w:rPr>
              <w:t>dado que se conoce</w:t>
            </w:r>
            <w:r w:rsidR="00A722F8" w:rsidRPr="004A1915">
              <w:rPr>
                <w:rFonts w:ascii="Arial" w:hAnsi="Arial" w:cs="Arial"/>
                <w:i/>
                <w:sz w:val="16"/>
                <w:szCs w:val="16"/>
              </w:rPr>
              <w:t xml:space="preserve"> la provincia de Residencia habitual</w:t>
            </w:r>
          </w:p>
          <w:p w:rsidR="00A722F8" w:rsidRPr="000B70BB" w:rsidRDefault="00A722F8" w:rsidP="003F1262">
            <w:pPr>
              <w:rPr>
                <w:rFonts w:ascii="Arial" w:hAnsi="Arial" w:cs="Arial"/>
                <w:b/>
                <w:sz w:val="10"/>
                <w:szCs w:val="10"/>
              </w:rPr>
            </w:pPr>
          </w:p>
          <w:tbl>
            <w:tblPr>
              <w:tblW w:w="6917" w:type="dxa"/>
              <w:jc w:val="center"/>
              <w:tblCellMar>
                <w:left w:w="0" w:type="dxa"/>
                <w:right w:w="0" w:type="dxa"/>
              </w:tblCellMar>
              <w:tblLook w:val="04A0" w:firstRow="1" w:lastRow="0" w:firstColumn="1" w:lastColumn="0" w:noHBand="0" w:noVBand="1"/>
            </w:tblPr>
            <w:tblGrid>
              <w:gridCol w:w="1701"/>
              <w:gridCol w:w="794"/>
              <w:gridCol w:w="737"/>
              <w:gridCol w:w="1134"/>
              <w:gridCol w:w="680"/>
              <w:gridCol w:w="1077"/>
              <w:gridCol w:w="794"/>
            </w:tblGrid>
            <w:tr w:rsidR="00A722F8" w:rsidRPr="004E08BD" w:rsidTr="003F1262">
              <w:trPr>
                <w:trHeight w:val="20"/>
                <w:jc w:val="center"/>
              </w:trPr>
              <w:tc>
                <w:tcPr>
                  <w:tcW w:w="1701" w:type="dxa"/>
                  <w:vMerge w:val="restart"/>
                  <w:tcBorders>
                    <w:top w:val="single" w:sz="4" w:space="0" w:color="auto"/>
                    <w:left w:val="nil"/>
                    <w:bottom w:val="single" w:sz="4" w:space="0" w:color="000000"/>
                    <w:right w:val="nil"/>
                  </w:tcBorders>
                  <w:shd w:val="clear" w:color="auto" w:fill="auto"/>
                  <w:vAlign w:val="center"/>
                  <w:hideMark/>
                </w:tcPr>
                <w:p w:rsidR="00A722F8" w:rsidRPr="004E08BD" w:rsidRDefault="00A722F8" w:rsidP="003F1262">
                  <w:pPr>
                    <w:rPr>
                      <w:rFonts w:ascii="Arial" w:eastAsia="Times New Roman" w:hAnsi="Arial" w:cs="Arial"/>
                      <w:b/>
                      <w:bCs/>
                      <w:sz w:val="16"/>
                      <w:szCs w:val="16"/>
                      <w:lang w:eastAsia="es-EC"/>
                    </w:rPr>
                  </w:pPr>
                  <w:r w:rsidRPr="004E08BD">
                    <w:rPr>
                      <w:rFonts w:ascii="Arial" w:eastAsia="Times New Roman" w:hAnsi="Arial" w:cs="Arial"/>
                      <w:b/>
                      <w:bCs/>
                      <w:sz w:val="16"/>
                      <w:szCs w:val="16"/>
                      <w:lang w:eastAsia="es-EC"/>
                    </w:rPr>
                    <w:t>Provincia de Residencia habitual</w:t>
                  </w:r>
                </w:p>
              </w:tc>
              <w:tc>
                <w:tcPr>
                  <w:tcW w:w="5216" w:type="dxa"/>
                  <w:gridSpan w:val="6"/>
                  <w:tcBorders>
                    <w:top w:val="single" w:sz="4" w:space="0" w:color="auto"/>
                    <w:left w:val="nil"/>
                    <w:bottom w:val="single" w:sz="4" w:space="0" w:color="auto"/>
                    <w:right w:val="nil"/>
                  </w:tcBorders>
                  <w:shd w:val="clear" w:color="auto" w:fill="auto"/>
                  <w:noWrap/>
                  <w:vAlign w:val="center"/>
                  <w:hideMark/>
                </w:tcPr>
                <w:p w:rsidR="00A722F8" w:rsidRPr="004E08BD" w:rsidRDefault="00A722F8" w:rsidP="003F1262">
                  <w:pPr>
                    <w:rPr>
                      <w:rFonts w:ascii="Arial" w:eastAsia="Times New Roman" w:hAnsi="Arial" w:cs="Arial"/>
                      <w:b/>
                      <w:bCs/>
                      <w:sz w:val="16"/>
                      <w:szCs w:val="16"/>
                      <w:lang w:eastAsia="es-EC"/>
                    </w:rPr>
                  </w:pPr>
                  <w:r w:rsidRPr="004E08BD">
                    <w:rPr>
                      <w:rFonts w:ascii="Arial" w:eastAsia="Times New Roman" w:hAnsi="Arial" w:cs="Arial"/>
                      <w:b/>
                      <w:bCs/>
                      <w:sz w:val="16"/>
                      <w:szCs w:val="16"/>
                      <w:lang w:eastAsia="es-EC"/>
                    </w:rPr>
                    <w:t>Trabajo o trabajó como</w:t>
                  </w:r>
                </w:p>
              </w:tc>
            </w:tr>
            <w:tr w:rsidR="00A722F8" w:rsidRPr="004E08BD" w:rsidTr="003F1262">
              <w:trPr>
                <w:trHeight w:val="20"/>
                <w:jc w:val="center"/>
              </w:trPr>
              <w:tc>
                <w:tcPr>
                  <w:tcW w:w="1701" w:type="dxa"/>
                  <w:vMerge/>
                  <w:tcBorders>
                    <w:top w:val="single" w:sz="4" w:space="0" w:color="auto"/>
                    <w:left w:val="nil"/>
                    <w:bottom w:val="single" w:sz="4" w:space="0" w:color="000000"/>
                    <w:right w:val="nil"/>
                  </w:tcBorders>
                  <w:vAlign w:val="center"/>
                  <w:hideMark/>
                </w:tcPr>
                <w:p w:rsidR="00A722F8" w:rsidRPr="004E08BD" w:rsidRDefault="00A722F8" w:rsidP="003F1262">
                  <w:pPr>
                    <w:rPr>
                      <w:rFonts w:ascii="Arial" w:eastAsia="Times New Roman" w:hAnsi="Arial" w:cs="Arial"/>
                      <w:b/>
                      <w:bCs/>
                      <w:sz w:val="16"/>
                      <w:szCs w:val="16"/>
                      <w:lang w:eastAsia="es-EC"/>
                    </w:rPr>
                  </w:pPr>
                </w:p>
              </w:tc>
              <w:tc>
                <w:tcPr>
                  <w:tcW w:w="794" w:type="dxa"/>
                  <w:tcBorders>
                    <w:top w:val="nil"/>
                    <w:left w:val="nil"/>
                    <w:bottom w:val="single" w:sz="4" w:space="0" w:color="auto"/>
                    <w:right w:val="nil"/>
                  </w:tcBorders>
                  <w:shd w:val="clear" w:color="auto" w:fill="auto"/>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Empleado</w:t>
                  </w:r>
                </w:p>
              </w:tc>
              <w:tc>
                <w:tcPr>
                  <w:tcW w:w="737" w:type="dxa"/>
                  <w:tcBorders>
                    <w:top w:val="nil"/>
                    <w:left w:val="nil"/>
                    <w:bottom w:val="single" w:sz="4" w:space="0" w:color="auto"/>
                    <w:right w:val="nil"/>
                  </w:tcBorders>
                  <w:shd w:val="clear" w:color="auto" w:fill="auto"/>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Jornalero o Peón</w:t>
                  </w:r>
                </w:p>
              </w:tc>
              <w:tc>
                <w:tcPr>
                  <w:tcW w:w="1134" w:type="dxa"/>
                  <w:tcBorders>
                    <w:top w:val="nil"/>
                    <w:left w:val="nil"/>
                    <w:bottom w:val="single" w:sz="4" w:space="0" w:color="auto"/>
                    <w:right w:val="nil"/>
                  </w:tcBorders>
                  <w:shd w:val="clear" w:color="auto" w:fill="auto"/>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Patrono o Cuenta propia</w:t>
                  </w:r>
                </w:p>
              </w:tc>
              <w:tc>
                <w:tcPr>
                  <w:tcW w:w="680" w:type="dxa"/>
                  <w:tcBorders>
                    <w:top w:val="nil"/>
                    <w:left w:val="nil"/>
                    <w:bottom w:val="single" w:sz="4" w:space="0" w:color="auto"/>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Socio</w:t>
                  </w:r>
                </w:p>
              </w:tc>
              <w:tc>
                <w:tcPr>
                  <w:tcW w:w="1077" w:type="dxa"/>
                  <w:tcBorders>
                    <w:top w:val="nil"/>
                    <w:left w:val="nil"/>
                    <w:bottom w:val="single" w:sz="4" w:space="0" w:color="auto"/>
                    <w:right w:val="nil"/>
                  </w:tcBorders>
                  <w:shd w:val="clear" w:color="auto" w:fill="auto"/>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Trabajador no remunerado</w:t>
                  </w:r>
                </w:p>
              </w:tc>
              <w:tc>
                <w:tcPr>
                  <w:tcW w:w="794" w:type="dxa"/>
                  <w:tcBorders>
                    <w:top w:val="nil"/>
                    <w:left w:val="nil"/>
                    <w:bottom w:val="single" w:sz="4" w:space="0" w:color="auto"/>
                    <w:right w:val="nil"/>
                  </w:tcBorders>
                  <w:shd w:val="clear" w:color="auto" w:fill="auto"/>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Se ignora</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Azuay</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0.650</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0.112</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0.192</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Bolívar</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0.207</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0.513</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0.230</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0.03</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Cañar</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0.368</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0.438</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0.157</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Carchi</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0.492</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0.141</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0.309</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0.03</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Cotopaxi</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0.290</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0.468</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0.205</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Chimborazo</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0.538</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0.091</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0.316</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El Oro</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0.364</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0.332</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0.253</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0.03</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Esmeraldas</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0.276</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0.303</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0.322</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0.06</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Guayas</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0.540</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0.105</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0.297</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0.04</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Imbabura</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0.510</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0.078</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0.355</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0.03</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Loja</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0.575</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0.097</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0.283</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Los Ríos</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0.296</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0.411</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0.246</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0.00</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0.04</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Morona Santiago</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0.615</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0.094</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0.237</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Napo</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0.497</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0.124</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0.329</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Pastaza</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0.566</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0.116</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0.278</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Pichincha</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0.718</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0.073</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0.166</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Tungurahua</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0.575</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0.033</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0.348</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Zamora Chinchipe</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0.597</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0.122</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0.223</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0.04</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0.00</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Galápagos</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0.630</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0.052</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0.280</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0.03</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Sucumbíos</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0.430</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0.155</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0.327</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0.03</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0.05</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Orellana</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0.513</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0.138</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0.285</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0.04</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 xml:space="preserve">Santo Domingo </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0.421</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0.208</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0.308</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0.03</w:t>
                  </w:r>
                </w:p>
              </w:tc>
            </w:tr>
            <w:tr w:rsidR="00A722F8" w:rsidRPr="004E08BD" w:rsidTr="003F1262">
              <w:trPr>
                <w:trHeight w:val="20"/>
                <w:jc w:val="center"/>
              </w:trPr>
              <w:tc>
                <w:tcPr>
                  <w:tcW w:w="1701" w:type="dxa"/>
                  <w:tcBorders>
                    <w:top w:val="nil"/>
                    <w:left w:val="nil"/>
                    <w:bottom w:val="nil"/>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Santa Elena</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0.403</w:t>
                  </w:r>
                </w:p>
              </w:tc>
              <w:tc>
                <w:tcPr>
                  <w:tcW w:w="73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0.133</w:t>
                  </w:r>
                </w:p>
              </w:tc>
              <w:tc>
                <w:tcPr>
                  <w:tcW w:w="113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0.380</w:t>
                  </w:r>
                </w:p>
              </w:tc>
              <w:tc>
                <w:tcPr>
                  <w:tcW w:w="680"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0.01</w:t>
                  </w:r>
                </w:p>
              </w:tc>
              <w:tc>
                <w:tcPr>
                  <w:tcW w:w="1077"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0.03</w:t>
                  </w:r>
                </w:p>
              </w:tc>
              <w:tc>
                <w:tcPr>
                  <w:tcW w:w="794" w:type="dxa"/>
                  <w:tcBorders>
                    <w:top w:val="nil"/>
                    <w:left w:val="nil"/>
                    <w:bottom w:val="nil"/>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0.04</w:t>
                  </w:r>
                </w:p>
              </w:tc>
            </w:tr>
            <w:tr w:rsidR="00A722F8" w:rsidRPr="004E08BD" w:rsidTr="003F1262">
              <w:trPr>
                <w:trHeight w:val="20"/>
                <w:jc w:val="center"/>
              </w:trPr>
              <w:tc>
                <w:tcPr>
                  <w:tcW w:w="1701" w:type="dxa"/>
                  <w:tcBorders>
                    <w:top w:val="nil"/>
                    <w:left w:val="nil"/>
                    <w:bottom w:val="single" w:sz="4" w:space="0" w:color="auto"/>
                    <w:right w:val="nil"/>
                  </w:tcBorders>
                  <w:shd w:val="clear" w:color="auto" w:fill="auto"/>
                  <w:vAlign w:val="center"/>
                  <w:hideMark/>
                </w:tcPr>
                <w:p w:rsidR="00A722F8" w:rsidRPr="004E08BD" w:rsidRDefault="00A722F8" w:rsidP="00F6695E">
                  <w:pPr>
                    <w:jc w:val="left"/>
                    <w:rPr>
                      <w:rFonts w:ascii="Arial" w:eastAsia="Times New Roman" w:hAnsi="Arial" w:cs="Arial"/>
                      <w:color w:val="000000"/>
                      <w:sz w:val="16"/>
                      <w:szCs w:val="16"/>
                      <w:lang w:eastAsia="es-EC"/>
                    </w:rPr>
                  </w:pPr>
                  <w:r w:rsidRPr="004E08BD">
                    <w:rPr>
                      <w:rFonts w:ascii="Arial" w:eastAsia="Times New Roman" w:hAnsi="Arial" w:cs="Arial"/>
                      <w:color w:val="000000"/>
                      <w:sz w:val="16"/>
                      <w:szCs w:val="16"/>
                      <w:lang w:eastAsia="es-EC"/>
                    </w:rPr>
                    <w:t>Zonas No Delimitadas</w:t>
                  </w:r>
                </w:p>
              </w:tc>
              <w:tc>
                <w:tcPr>
                  <w:tcW w:w="794" w:type="dxa"/>
                  <w:tcBorders>
                    <w:top w:val="nil"/>
                    <w:left w:val="nil"/>
                    <w:bottom w:val="single" w:sz="4" w:space="0" w:color="auto"/>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0.141</w:t>
                  </w:r>
                </w:p>
              </w:tc>
              <w:tc>
                <w:tcPr>
                  <w:tcW w:w="737" w:type="dxa"/>
                  <w:tcBorders>
                    <w:top w:val="nil"/>
                    <w:left w:val="nil"/>
                    <w:bottom w:val="single" w:sz="4" w:space="0" w:color="auto"/>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0.426</w:t>
                  </w:r>
                </w:p>
              </w:tc>
              <w:tc>
                <w:tcPr>
                  <w:tcW w:w="1134" w:type="dxa"/>
                  <w:tcBorders>
                    <w:top w:val="nil"/>
                    <w:left w:val="nil"/>
                    <w:bottom w:val="single" w:sz="4" w:space="0" w:color="auto"/>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0.362</w:t>
                  </w:r>
                </w:p>
              </w:tc>
              <w:tc>
                <w:tcPr>
                  <w:tcW w:w="680" w:type="dxa"/>
                  <w:tcBorders>
                    <w:top w:val="nil"/>
                    <w:left w:val="nil"/>
                    <w:bottom w:val="single" w:sz="4" w:space="0" w:color="auto"/>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0.00</w:t>
                  </w:r>
                </w:p>
              </w:tc>
              <w:tc>
                <w:tcPr>
                  <w:tcW w:w="1077" w:type="dxa"/>
                  <w:tcBorders>
                    <w:top w:val="nil"/>
                    <w:left w:val="nil"/>
                    <w:bottom w:val="single" w:sz="4" w:space="0" w:color="auto"/>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0.02</w:t>
                  </w:r>
                </w:p>
              </w:tc>
              <w:tc>
                <w:tcPr>
                  <w:tcW w:w="794" w:type="dxa"/>
                  <w:tcBorders>
                    <w:top w:val="nil"/>
                    <w:left w:val="nil"/>
                    <w:bottom w:val="single" w:sz="4" w:space="0" w:color="auto"/>
                    <w:right w:val="nil"/>
                  </w:tcBorders>
                  <w:shd w:val="clear" w:color="auto" w:fill="auto"/>
                  <w:noWrap/>
                  <w:vAlign w:val="center"/>
                  <w:hideMark/>
                </w:tcPr>
                <w:p w:rsidR="00A722F8" w:rsidRPr="004E08BD" w:rsidRDefault="00A722F8" w:rsidP="003F1262">
                  <w:pPr>
                    <w:rPr>
                      <w:rFonts w:ascii="Arial" w:eastAsia="Times New Roman" w:hAnsi="Arial" w:cs="Arial"/>
                      <w:sz w:val="16"/>
                      <w:szCs w:val="16"/>
                      <w:lang w:eastAsia="es-EC"/>
                    </w:rPr>
                  </w:pPr>
                  <w:r w:rsidRPr="004E08BD">
                    <w:rPr>
                      <w:rFonts w:ascii="Arial" w:eastAsia="Times New Roman" w:hAnsi="Arial" w:cs="Arial"/>
                      <w:sz w:val="16"/>
                      <w:szCs w:val="16"/>
                      <w:lang w:eastAsia="es-EC"/>
                    </w:rPr>
                    <w:t>0.05</w:t>
                  </w:r>
                </w:p>
              </w:tc>
            </w:tr>
          </w:tbl>
          <w:p w:rsidR="00A722F8" w:rsidRPr="00840530" w:rsidRDefault="00A722F8" w:rsidP="003F1262">
            <w:pPr>
              <w:jc w:val="both"/>
              <w:rPr>
                <w:rFonts w:ascii="Arial" w:hAnsi="Arial" w:cs="Arial"/>
                <w:sz w:val="24"/>
                <w:szCs w:val="24"/>
              </w:rPr>
            </w:pPr>
          </w:p>
        </w:tc>
      </w:tr>
    </w:tbl>
    <w:p w:rsidR="00A722F8" w:rsidRPr="007E4C99" w:rsidRDefault="00A722F8" w:rsidP="007E4C99">
      <w:pPr>
        <w:pStyle w:val="Prrafodelista"/>
        <w:spacing w:line="276" w:lineRule="auto"/>
        <w:ind w:left="851"/>
        <w:jc w:val="both"/>
        <w:rPr>
          <w:rFonts w:ascii="Arial" w:hAnsi="Arial" w:cs="Arial"/>
          <w:sz w:val="17"/>
          <w:szCs w:val="17"/>
        </w:rPr>
      </w:pPr>
    </w:p>
    <w:p w:rsidR="00A722F8" w:rsidRPr="007E4C99" w:rsidRDefault="00A722F8" w:rsidP="007E4C99">
      <w:pPr>
        <w:pStyle w:val="Prrafodelista"/>
        <w:spacing w:line="276" w:lineRule="auto"/>
        <w:ind w:left="851"/>
        <w:jc w:val="both"/>
        <w:rPr>
          <w:rFonts w:ascii="Arial" w:hAnsi="Arial" w:cs="Arial"/>
          <w:sz w:val="17"/>
          <w:szCs w:val="17"/>
        </w:rPr>
      </w:pPr>
      <w:r w:rsidRPr="007E4C99">
        <w:rPr>
          <w:rFonts w:ascii="Arial" w:hAnsi="Arial" w:cs="Arial"/>
          <w:b/>
          <w:i/>
          <w:sz w:val="17"/>
          <w:szCs w:val="17"/>
        </w:rPr>
        <w:t>Fuente:</w:t>
      </w:r>
      <w:r w:rsidRPr="007E4C99">
        <w:rPr>
          <w:rFonts w:ascii="Arial" w:hAnsi="Arial" w:cs="Arial"/>
          <w:sz w:val="17"/>
          <w:szCs w:val="17"/>
        </w:rPr>
        <w:t xml:space="preserve"> </w:t>
      </w:r>
      <w:r w:rsidRPr="007E4C99">
        <w:rPr>
          <w:rFonts w:ascii="Arial" w:hAnsi="Arial" w:cs="Arial"/>
          <w:b/>
          <w:sz w:val="17"/>
          <w:szCs w:val="17"/>
        </w:rPr>
        <w:t xml:space="preserve">INEC </w:t>
      </w:r>
      <w:r w:rsidRPr="007E4C99">
        <w:rPr>
          <w:rFonts w:ascii="Arial" w:hAnsi="Arial" w:cs="Arial"/>
          <w:sz w:val="17"/>
          <w:szCs w:val="17"/>
        </w:rPr>
        <w:t>(2010), Base de Datos del VII Censo de Población y VI de Vivienda.</w:t>
      </w:r>
    </w:p>
    <w:p w:rsidR="00A722F8" w:rsidRPr="000B70BB" w:rsidRDefault="00A722F8" w:rsidP="007E4C99">
      <w:pPr>
        <w:pStyle w:val="Prrafodelista"/>
        <w:spacing w:line="276" w:lineRule="auto"/>
        <w:ind w:left="851"/>
        <w:jc w:val="both"/>
        <w:rPr>
          <w:rFonts w:ascii="Arial" w:hAnsi="Arial" w:cs="Arial"/>
          <w:sz w:val="18"/>
          <w:szCs w:val="18"/>
        </w:rPr>
      </w:pPr>
      <w:r w:rsidRPr="007E4C99">
        <w:rPr>
          <w:rFonts w:ascii="Arial" w:hAnsi="Arial" w:cs="Arial"/>
          <w:b/>
          <w:i/>
          <w:sz w:val="17"/>
          <w:szCs w:val="17"/>
        </w:rPr>
        <w:t>Elaborado por:</w:t>
      </w:r>
      <w:r w:rsidRPr="007E4C99">
        <w:rPr>
          <w:rFonts w:ascii="Arial" w:hAnsi="Arial" w:cs="Arial"/>
          <w:sz w:val="17"/>
          <w:szCs w:val="17"/>
        </w:rPr>
        <w:t xml:space="preserve"> Katherine Loor Valeriano</w:t>
      </w:r>
    </w:p>
    <w:p w:rsidR="00A722F8" w:rsidRDefault="00A722F8" w:rsidP="007E4C99">
      <w:pPr>
        <w:pStyle w:val="Prrafodelista"/>
        <w:spacing w:line="480" w:lineRule="auto"/>
        <w:ind w:left="851"/>
        <w:jc w:val="both"/>
        <w:rPr>
          <w:rFonts w:ascii="Arial" w:hAnsi="Arial" w:cs="Arial"/>
        </w:rPr>
      </w:pPr>
    </w:p>
    <w:p w:rsidR="00A722F8" w:rsidRPr="00CA4D36" w:rsidRDefault="00A722F8" w:rsidP="0041640C">
      <w:pPr>
        <w:pStyle w:val="TesisTitulo20"/>
        <w:numPr>
          <w:ilvl w:val="2"/>
          <w:numId w:val="9"/>
        </w:numPr>
        <w:ind w:left="1701" w:hanging="850"/>
      </w:pPr>
      <w:bookmarkStart w:id="305" w:name="_Toc339212696"/>
      <w:bookmarkStart w:id="306" w:name="_Toc341040624"/>
      <w:r w:rsidRPr="00CA4D36">
        <w:t>Tipo de vivienda</w:t>
      </w:r>
      <w:bookmarkEnd w:id="305"/>
      <w:bookmarkEnd w:id="306"/>
    </w:p>
    <w:p w:rsidR="00A722F8" w:rsidRDefault="00A722F8" w:rsidP="007E4C99">
      <w:pPr>
        <w:pStyle w:val="Prrafodelista"/>
        <w:spacing w:line="480" w:lineRule="auto"/>
        <w:ind w:left="851"/>
        <w:jc w:val="both"/>
        <w:rPr>
          <w:rFonts w:ascii="Arial" w:hAnsi="Arial" w:cs="Arial"/>
        </w:rPr>
      </w:pPr>
      <w:r w:rsidRPr="00CA4D36">
        <w:rPr>
          <w:rFonts w:ascii="Arial" w:hAnsi="Arial" w:cs="Arial"/>
        </w:rPr>
        <w:t xml:space="preserve">Hasta el momento hemos visto que quienes emigran desde Manabí, son personas mayoritariamente en edades económicamente activa, tanto de </w:t>
      </w:r>
      <w:r w:rsidRPr="00CA4D36">
        <w:rPr>
          <w:rFonts w:ascii="Arial" w:hAnsi="Arial" w:cs="Arial"/>
        </w:rPr>
        <w:lastRenderedPageBreak/>
        <w:t xml:space="preserve">género masculino como femenino, con nivel de instrucción primario o secundario, son pocos los que tienen nivel superior; en la provincia de destino la mayor cantidad trabaja en calidad de empleados, pero también existe un grupo grande que trabaja por cuenta propia o como patrono. Todo esto nos indica lo que ellos aportan en cada una de las provincias de residencia, pero ¿qué han recibido a cambio o que han ganado al emigrar?, para ello ahora analizaremos el tipo de la vivienda en la cual reside, las categorías son casa/villa, departamento en casa o edificio, cuarto en casa de inquilinato, otras viviendas particulares (mediagua, rancho, covacha, choza, otras), viviendas colectivas (hotel, pensión, residencial, hostal, cuartel militar o de Policía/Bomberos, centro de rehabilitación social, cárcel, Centro de acogida y protección para niños y niñas, mujeres e indigentes, hospital, clínica, convento o institución religiosa, asilo de anciano, orfanato, otras), y sin vivienda. </w:t>
      </w:r>
    </w:p>
    <w:p w:rsidR="00A722F8" w:rsidRPr="00CA4D36" w:rsidRDefault="00A722F8" w:rsidP="007E4C99">
      <w:pPr>
        <w:pStyle w:val="Prrafodelista"/>
        <w:spacing w:line="480" w:lineRule="auto"/>
        <w:ind w:left="851"/>
        <w:jc w:val="both"/>
        <w:rPr>
          <w:rFonts w:ascii="Arial" w:hAnsi="Arial" w:cs="Arial"/>
        </w:rPr>
      </w:pPr>
    </w:p>
    <w:p w:rsidR="00A722F8" w:rsidRPr="00CA4D36" w:rsidRDefault="00A722F8" w:rsidP="007E4C99">
      <w:pPr>
        <w:pStyle w:val="Prrafodelista"/>
        <w:spacing w:line="480" w:lineRule="auto"/>
        <w:ind w:left="851"/>
        <w:jc w:val="both"/>
        <w:rPr>
          <w:rFonts w:ascii="Arial" w:hAnsi="Arial" w:cs="Arial"/>
        </w:rPr>
      </w:pPr>
      <w:r w:rsidRPr="00CA4D36">
        <w:rPr>
          <w:rFonts w:ascii="Arial" w:hAnsi="Arial" w:cs="Arial"/>
        </w:rPr>
        <w:t xml:space="preserve">Guayas, como </w:t>
      </w:r>
      <w:r>
        <w:rPr>
          <w:rFonts w:ascii="Arial" w:hAnsi="Arial" w:cs="Arial"/>
        </w:rPr>
        <w:t>ya se mencionara</w:t>
      </w:r>
      <w:r w:rsidRPr="00CA4D36">
        <w:rPr>
          <w:rFonts w:ascii="Arial" w:hAnsi="Arial" w:cs="Arial"/>
        </w:rPr>
        <w:t xml:space="preserve"> es la provincia que mayor </w:t>
      </w:r>
      <w:r>
        <w:rPr>
          <w:rFonts w:ascii="Arial" w:hAnsi="Arial" w:cs="Arial"/>
        </w:rPr>
        <w:t>cantidad</w:t>
      </w:r>
      <w:r w:rsidRPr="00CA4D36">
        <w:rPr>
          <w:rFonts w:ascii="Arial" w:hAnsi="Arial" w:cs="Arial"/>
        </w:rPr>
        <w:t xml:space="preserve"> de manabitas recibe, de los cuales el 76% viven en una casa/villa, el 5.90% vive en un departamento en casa o edificio, el 2.80% y el 14.70% viven en cuartos en casa de inquilinato y otras viviendas particulares respectivamente, mientras que el porcentaje restante habita en viviendas colectivas o no poseen vivienda. Además, por cada 10000 inmigrantes manabitas en Guayas existen 10 que están en la cárcel y 7.41 que están en un cuartel Militar, de Policía o de Bomberos. Para la provincia de Los Ríos, el 75.20% viven en casa o villa, el 3.90% y el 3.40% viven en departamento </w:t>
      </w:r>
      <w:r w:rsidRPr="00CA4D36">
        <w:rPr>
          <w:rFonts w:ascii="Arial" w:hAnsi="Arial" w:cs="Arial"/>
        </w:rPr>
        <w:lastRenderedPageBreak/>
        <w:t xml:space="preserve">en casa o edificio y cuartos en casa de inquilinato respectivamente, y el porcentaje restante vive en otras viviendas particulares (17%), viviendas colectivas (0.50%) y sin viviendas (0.014%). </w:t>
      </w:r>
      <w:r w:rsidR="00F91C02">
        <w:rPr>
          <w:rFonts w:ascii="Arial" w:hAnsi="Arial" w:cs="Arial"/>
        </w:rPr>
        <w:t>De</w:t>
      </w:r>
      <w:r w:rsidRPr="00CA4D36">
        <w:rPr>
          <w:rFonts w:ascii="Arial" w:hAnsi="Arial" w:cs="Arial"/>
        </w:rPr>
        <w:t xml:space="preserve"> los que emigraron hacia Esmeraldas el 72.20% viven en una casa/villa, 3.40% en departamento en casa o edificio, 2% en cuarto en casa de inquilinato, y los porcentajes restantes viven en otros tipos de vivienda ya mencionados en líneas previas.</w:t>
      </w:r>
    </w:p>
    <w:p w:rsidR="00A722F8" w:rsidRPr="00CA4D36" w:rsidRDefault="00A722F8" w:rsidP="007E4C99">
      <w:pPr>
        <w:pStyle w:val="Prrafodelista"/>
        <w:spacing w:line="480" w:lineRule="auto"/>
        <w:ind w:left="851"/>
        <w:jc w:val="both"/>
        <w:rPr>
          <w:rFonts w:ascii="Arial" w:hAnsi="Arial" w:cs="Arial"/>
        </w:rPr>
      </w:pPr>
    </w:p>
    <w:p w:rsidR="007E4C99" w:rsidRDefault="007E4C99" w:rsidP="007E4C99">
      <w:pPr>
        <w:pStyle w:val="Prrafodelista"/>
        <w:spacing w:line="480" w:lineRule="auto"/>
        <w:ind w:left="851"/>
        <w:jc w:val="both"/>
        <w:rPr>
          <w:rFonts w:ascii="Arial" w:hAnsi="Arial" w:cs="Arial"/>
        </w:rPr>
      </w:pPr>
      <w:r w:rsidRPr="00CA4D36">
        <w:rPr>
          <w:rFonts w:ascii="Arial" w:hAnsi="Arial" w:cs="Arial"/>
        </w:rPr>
        <w:t>El escenario de los que viajaron a la Sierra es un tanto distinto, pues para el caso de los que viven como inmigrantes en Pichincha s</w:t>
      </w:r>
      <w:r>
        <w:rPr>
          <w:rFonts w:ascii="Arial" w:hAnsi="Arial" w:cs="Arial"/>
        </w:rPr>
        <w:t>o</w:t>
      </w:r>
      <w:r w:rsidRPr="00CA4D36">
        <w:rPr>
          <w:rFonts w:ascii="Arial" w:hAnsi="Arial" w:cs="Arial"/>
        </w:rPr>
        <w:t xml:space="preserve">lo el 50% vive en una casa o villa, el 30.80% en un departamento en casa o edificio, el 14.10% cuarto en casa de inquilinato y el porcentaje restante (5.15%) en otras viviendas. Como podemos apreciar en la </w:t>
      </w:r>
      <w:r w:rsidRPr="007F368C">
        <w:rPr>
          <w:rFonts w:ascii="Arial" w:hAnsi="Arial" w:cs="Arial"/>
          <w:i/>
        </w:rPr>
        <w:t>Tabla 2.</w:t>
      </w:r>
      <w:r>
        <w:rPr>
          <w:rFonts w:ascii="Arial" w:hAnsi="Arial" w:cs="Arial"/>
          <w:i/>
        </w:rPr>
        <w:t>12</w:t>
      </w:r>
      <w:r w:rsidRPr="00CA4D36">
        <w:rPr>
          <w:rFonts w:ascii="Arial" w:hAnsi="Arial" w:cs="Arial"/>
        </w:rPr>
        <w:t>, el escenario es similar en la mayoría de las provincias de la región, exceptuando  Bolívar, Carchi Santo Domingo e Imbabura que presentan distribuciones parecidas a las encontradas en la Costa; pues en Bolívar el 75.10% de los manabitas inmigrantes viven en una casa o villa, 4.30% en un departamento en casa o edificio, el 4.80% en departamento en casa de inquilinato y los restantes en otras viviendas.</w:t>
      </w:r>
      <w:r>
        <w:rPr>
          <w:rFonts w:ascii="Arial" w:hAnsi="Arial" w:cs="Arial"/>
        </w:rPr>
        <w:t xml:space="preserve"> </w:t>
      </w:r>
      <w:r w:rsidRPr="00CA4D36">
        <w:rPr>
          <w:rFonts w:ascii="Arial" w:hAnsi="Arial" w:cs="Arial"/>
        </w:rPr>
        <w:t xml:space="preserve">En las provincias del Oriente, tenemos que de los manabitas que residen en Sucumbíos el 70.50% viven en una casa o villa, el 3.30% en un departamento en casa o edificio, el 9.50% en un cuarto en casa de inquilinato; y, el porcentaje restante vive en otras viviendas en particulares (14.93%), otras viviendas colectivas (1.75%) o sin vivienda (0.08%). Además, en Zamora Chinchipe los inmigrantes manabitas viven en </w:t>
      </w:r>
      <w:r w:rsidRPr="00CA4D36">
        <w:rPr>
          <w:rFonts w:ascii="Arial" w:hAnsi="Arial" w:cs="Arial"/>
        </w:rPr>
        <w:lastRenderedPageBreak/>
        <w:t>casa/villa (58.70%), el 6% y 8.70% viven en departamento en casa o edificio y en cuarto en casa de inquilinato respectivamente, y los restantes viven en otras viviendas particulares (11.01%) y en otras viviendas colectivas (15.60%).</w:t>
      </w:r>
      <w:r>
        <w:rPr>
          <w:rFonts w:ascii="Arial" w:hAnsi="Arial" w:cs="Arial"/>
        </w:rPr>
        <w:t xml:space="preserve"> </w:t>
      </w:r>
      <w:r w:rsidRPr="00CA4D36">
        <w:rPr>
          <w:rFonts w:ascii="Arial" w:hAnsi="Arial" w:cs="Arial"/>
        </w:rPr>
        <w:t xml:space="preserve">Para más detalles sobre otras provincias, podemos consultar la </w:t>
      </w:r>
      <w:r w:rsidRPr="007E3C80">
        <w:rPr>
          <w:rFonts w:ascii="Arial" w:hAnsi="Arial" w:cs="Arial"/>
          <w:i/>
        </w:rPr>
        <w:t>Tabla 2.</w:t>
      </w:r>
      <w:r>
        <w:rPr>
          <w:rFonts w:ascii="Arial" w:hAnsi="Arial" w:cs="Arial"/>
          <w:i/>
        </w:rPr>
        <w:t>12</w:t>
      </w:r>
      <w:r w:rsidRPr="00CA4D36">
        <w:rPr>
          <w:rFonts w:ascii="Arial" w:hAnsi="Arial" w:cs="Arial"/>
        </w:rPr>
        <w:t>, donde notamos que en las provincias de la Costa y el Oriente los inmigrantes manabitas viven mayoritariamente en una casa o villa (más del 70%) con algunas excepciones, y los restantes viven en otros tipos de vivienda; mientras que quienes emigraron hacia la región Sierra viven la mayoría en casa/villa o departamento en casa o edificio.</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A722F8" w:rsidRPr="00840530" w:rsidTr="007E4C99">
        <w:trPr>
          <w:trHeight w:val="6293"/>
          <w:jc w:val="right"/>
        </w:trPr>
        <w:tc>
          <w:tcPr>
            <w:tcW w:w="7535" w:type="dxa"/>
          </w:tcPr>
          <w:p w:rsidR="00A722F8" w:rsidRDefault="00A722F8" w:rsidP="003F1262">
            <w:pPr>
              <w:rPr>
                <w:rFonts w:ascii="Arial" w:hAnsi="Arial" w:cs="Arial"/>
                <w:b/>
                <w:sz w:val="16"/>
                <w:szCs w:val="16"/>
              </w:rPr>
            </w:pPr>
          </w:p>
          <w:p w:rsidR="00E10434" w:rsidRPr="00E10434" w:rsidRDefault="00E10434" w:rsidP="00E10434">
            <w:pPr>
              <w:keepNext/>
              <w:rPr>
                <w:rFonts w:ascii="Arial" w:hAnsi="Arial" w:cs="Arial"/>
                <w:b/>
                <w:sz w:val="16"/>
                <w:szCs w:val="16"/>
              </w:rPr>
            </w:pPr>
            <w:bookmarkStart w:id="307" w:name="_Toc341041587"/>
            <w:r w:rsidRPr="00E10434">
              <w:rPr>
                <w:rFonts w:ascii="Arial" w:hAnsi="Arial" w:cs="Arial"/>
                <w:b/>
                <w:sz w:val="16"/>
                <w:szCs w:val="16"/>
              </w:rPr>
              <w:t>Tabla</w:t>
            </w:r>
            <w:r>
              <w:rPr>
                <w:rFonts w:ascii="Arial" w:hAnsi="Arial" w:cs="Arial"/>
                <w:b/>
                <w:sz w:val="16"/>
                <w:szCs w:val="16"/>
              </w:rPr>
              <w:t xml:space="preserve"> </w:t>
            </w:r>
            <w:r w:rsidRPr="00E10434">
              <w:rPr>
                <w:rFonts w:ascii="Arial" w:hAnsi="Arial" w:cs="Arial"/>
                <w:b/>
                <w:sz w:val="16"/>
                <w:szCs w:val="16"/>
              </w:rPr>
              <w:t>2.</w:t>
            </w:r>
            <w:r w:rsidR="00990535" w:rsidRPr="00E10434">
              <w:rPr>
                <w:rFonts w:ascii="Arial" w:hAnsi="Arial" w:cs="Arial"/>
                <w:b/>
                <w:sz w:val="16"/>
                <w:szCs w:val="16"/>
              </w:rPr>
              <w:fldChar w:fldCharType="begin"/>
            </w:r>
            <w:r w:rsidRPr="00E10434">
              <w:rPr>
                <w:rFonts w:ascii="Arial" w:hAnsi="Arial" w:cs="Arial"/>
                <w:b/>
                <w:sz w:val="16"/>
                <w:szCs w:val="16"/>
              </w:rPr>
              <w:instrText xml:space="preserve"> SEQ Tabla2. \* ARABIC </w:instrText>
            </w:r>
            <w:r w:rsidR="00990535" w:rsidRPr="00E10434">
              <w:rPr>
                <w:rFonts w:ascii="Arial" w:hAnsi="Arial" w:cs="Arial"/>
                <w:b/>
                <w:sz w:val="16"/>
                <w:szCs w:val="16"/>
              </w:rPr>
              <w:fldChar w:fldCharType="separate"/>
            </w:r>
            <w:r w:rsidR="00A242E0">
              <w:rPr>
                <w:rFonts w:ascii="Arial" w:hAnsi="Arial" w:cs="Arial"/>
                <w:b/>
                <w:noProof/>
                <w:sz w:val="16"/>
                <w:szCs w:val="16"/>
              </w:rPr>
              <w:t>12</w:t>
            </w:r>
            <w:bookmarkEnd w:id="307"/>
            <w:r w:rsidR="00990535" w:rsidRPr="00E10434">
              <w:rPr>
                <w:rFonts w:ascii="Arial" w:hAnsi="Arial" w:cs="Arial"/>
                <w:b/>
                <w:sz w:val="16"/>
                <w:szCs w:val="16"/>
              </w:rPr>
              <w:fldChar w:fldCharType="end"/>
            </w:r>
          </w:p>
          <w:p w:rsidR="00A722F8" w:rsidRPr="007E3C80" w:rsidRDefault="007E4C99" w:rsidP="003F1262">
            <w:pPr>
              <w:rPr>
                <w:rFonts w:ascii="Arial" w:hAnsi="Arial" w:cs="Arial"/>
                <w:i/>
                <w:sz w:val="16"/>
                <w:szCs w:val="16"/>
              </w:rPr>
            </w:pPr>
            <w:r>
              <w:rPr>
                <w:rFonts w:ascii="Arial" w:hAnsi="Arial" w:cs="Arial"/>
                <w:b/>
                <w:i/>
                <w:sz w:val="16"/>
                <w:szCs w:val="16"/>
              </w:rPr>
              <w:t xml:space="preserve">Manabí 2010: </w:t>
            </w:r>
            <w:r w:rsidR="00A722F8">
              <w:rPr>
                <w:rFonts w:ascii="Arial" w:hAnsi="Arial" w:cs="Arial"/>
                <w:i/>
                <w:sz w:val="16"/>
                <w:szCs w:val="16"/>
              </w:rPr>
              <w:t>Tipo de vivienda dado que se conoce</w:t>
            </w:r>
            <w:r w:rsidR="00A722F8" w:rsidRPr="007E3C80">
              <w:rPr>
                <w:rFonts w:ascii="Arial" w:hAnsi="Arial" w:cs="Arial"/>
                <w:i/>
                <w:sz w:val="16"/>
                <w:szCs w:val="16"/>
              </w:rPr>
              <w:t xml:space="preserve"> la provincia de Residencia habitual</w:t>
            </w:r>
          </w:p>
          <w:p w:rsidR="00A722F8" w:rsidRDefault="00A722F8" w:rsidP="003F1262">
            <w:pPr>
              <w:rPr>
                <w:rFonts w:ascii="Arial" w:hAnsi="Arial" w:cs="Arial"/>
                <w:b/>
                <w:sz w:val="16"/>
                <w:szCs w:val="16"/>
              </w:rPr>
            </w:pPr>
          </w:p>
          <w:tbl>
            <w:tblPr>
              <w:tblW w:w="7007" w:type="dxa"/>
              <w:jc w:val="center"/>
              <w:tblCellMar>
                <w:left w:w="70" w:type="dxa"/>
                <w:right w:w="70" w:type="dxa"/>
              </w:tblCellMar>
              <w:tblLook w:val="04A0" w:firstRow="1" w:lastRow="0" w:firstColumn="1" w:lastColumn="0" w:noHBand="0" w:noVBand="1"/>
            </w:tblPr>
            <w:tblGrid>
              <w:gridCol w:w="1395"/>
              <w:gridCol w:w="843"/>
              <w:gridCol w:w="1116"/>
              <w:gridCol w:w="1020"/>
              <w:gridCol w:w="968"/>
              <w:gridCol w:w="852"/>
              <w:gridCol w:w="813"/>
            </w:tblGrid>
            <w:tr w:rsidR="00A722F8" w:rsidRPr="002C1072" w:rsidTr="003F1262">
              <w:trPr>
                <w:trHeight w:val="20"/>
                <w:jc w:val="center"/>
              </w:trPr>
              <w:tc>
                <w:tcPr>
                  <w:tcW w:w="1531" w:type="dxa"/>
                  <w:tcBorders>
                    <w:top w:val="single" w:sz="4" w:space="0" w:color="auto"/>
                    <w:left w:val="nil"/>
                    <w:bottom w:val="single" w:sz="4" w:space="0" w:color="auto"/>
                    <w:right w:val="nil"/>
                  </w:tcBorders>
                  <w:shd w:val="clear" w:color="auto" w:fill="auto"/>
                  <w:vAlign w:val="center"/>
                  <w:hideMark/>
                </w:tcPr>
                <w:p w:rsidR="00A722F8" w:rsidRPr="002C1072" w:rsidRDefault="00A722F8" w:rsidP="003F1262">
                  <w:pPr>
                    <w:rPr>
                      <w:rFonts w:ascii="Arial" w:eastAsia="Times New Roman" w:hAnsi="Arial" w:cs="Arial"/>
                      <w:b/>
                      <w:bCs/>
                      <w:sz w:val="14"/>
                      <w:szCs w:val="14"/>
                      <w:lang w:eastAsia="es-EC"/>
                    </w:rPr>
                  </w:pPr>
                  <w:r w:rsidRPr="002C1072">
                    <w:rPr>
                      <w:rFonts w:ascii="Arial" w:eastAsia="Times New Roman" w:hAnsi="Arial" w:cs="Arial"/>
                      <w:b/>
                      <w:bCs/>
                      <w:sz w:val="14"/>
                      <w:szCs w:val="14"/>
                      <w:lang w:eastAsia="es-EC"/>
                    </w:rPr>
                    <w:t>Provincia de Residencia</w:t>
                  </w:r>
                </w:p>
              </w:tc>
              <w:tc>
                <w:tcPr>
                  <w:tcW w:w="843" w:type="dxa"/>
                  <w:tcBorders>
                    <w:top w:val="single" w:sz="4" w:space="0" w:color="auto"/>
                    <w:left w:val="nil"/>
                    <w:bottom w:val="single" w:sz="4" w:space="0" w:color="auto"/>
                    <w:right w:val="nil"/>
                  </w:tcBorders>
                  <w:shd w:val="clear" w:color="auto" w:fill="auto"/>
                  <w:vAlign w:val="center"/>
                  <w:hideMark/>
                </w:tcPr>
                <w:p w:rsidR="00A722F8" w:rsidRPr="002C1072" w:rsidRDefault="00A722F8" w:rsidP="003F1262">
                  <w:pPr>
                    <w:rPr>
                      <w:rFonts w:ascii="Arial" w:eastAsia="Times New Roman" w:hAnsi="Arial" w:cs="Arial"/>
                      <w:b/>
                      <w:bCs/>
                      <w:color w:val="000000"/>
                      <w:sz w:val="14"/>
                      <w:szCs w:val="14"/>
                      <w:lang w:eastAsia="es-EC"/>
                    </w:rPr>
                  </w:pPr>
                  <w:r w:rsidRPr="002C1072">
                    <w:rPr>
                      <w:rFonts w:ascii="Arial" w:eastAsia="Times New Roman" w:hAnsi="Arial" w:cs="Arial"/>
                      <w:b/>
                      <w:bCs/>
                      <w:color w:val="000000"/>
                      <w:sz w:val="14"/>
                      <w:szCs w:val="14"/>
                      <w:lang w:eastAsia="es-EC"/>
                    </w:rPr>
                    <w:t>Casa/Villa</w:t>
                  </w:r>
                </w:p>
              </w:tc>
              <w:tc>
                <w:tcPr>
                  <w:tcW w:w="1082" w:type="dxa"/>
                  <w:tcBorders>
                    <w:top w:val="single" w:sz="4" w:space="0" w:color="auto"/>
                    <w:left w:val="nil"/>
                    <w:bottom w:val="single" w:sz="4" w:space="0" w:color="auto"/>
                    <w:right w:val="nil"/>
                  </w:tcBorders>
                  <w:shd w:val="clear" w:color="auto" w:fill="auto"/>
                  <w:vAlign w:val="center"/>
                  <w:hideMark/>
                </w:tcPr>
                <w:p w:rsidR="00A722F8" w:rsidRPr="002C1072" w:rsidRDefault="00A722F8" w:rsidP="003F1262">
                  <w:pPr>
                    <w:rPr>
                      <w:rFonts w:ascii="Arial" w:eastAsia="Times New Roman" w:hAnsi="Arial" w:cs="Arial"/>
                      <w:b/>
                      <w:bCs/>
                      <w:color w:val="000000"/>
                      <w:sz w:val="14"/>
                      <w:szCs w:val="14"/>
                      <w:lang w:eastAsia="es-EC"/>
                    </w:rPr>
                  </w:pPr>
                  <w:r w:rsidRPr="002C1072">
                    <w:rPr>
                      <w:rFonts w:ascii="Arial" w:eastAsia="Times New Roman" w:hAnsi="Arial" w:cs="Arial"/>
                      <w:b/>
                      <w:bCs/>
                      <w:color w:val="000000"/>
                      <w:sz w:val="14"/>
                      <w:szCs w:val="14"/>
                      <w:lang w:eastAsia="es-EC"/>
                    </w:rPr>
                    <w:t>Departamento en casa o edificio</w:t>
                  </w:r>
                </w:p>
              </w:tc>
              <w:tc>
                <w:tcPr>
                  <w:tcW w:w="1020" w:type="dxa"/>
                  <w:tcBorders>
                    <w:top w:val="single" w:sz="4" w:space="0" w:color="auto"/>
                    <w:left w:val="nil"/>
                    <w:bottom w:val="single" w:sz="4" w:space="0" w:color="auto"/>
                    <w:right w:val="nil"/>
                  </w:tcBorders>
                  <w:shd w:val="clear" w:color="auto" w:fill="auto"/>
                  <w:vAlign w:val="center"/>
                  <w:hideMark/>
                </w:tcPr>
                <w:p w:rsidR="00A722F8" w:rsidRPr="002C1072" w:rsidRDefault="00A722F8" w:rsidP="003F1262">
                  <w:pPr>
                    <w:rPr>
                      <w:rFonts w:ascii="Arial" w:eastAsia="Times New Roman" w:hAnsi="Arial" w:cs="Arial"/>
                      <w:b/>
                      <w:bCs/>
                      <w:color w:val="000000"/>
                      <w:sz w:val="14"/>
                      <w:szCs w:val="14"/>
                      <w:lang w:eastAsia="es-EC"/>
                    </w:rPr>
                  </w:pPr>
                  <w:r w:rsidRPr="002C1072">
                    <w:rPr>
                      <w:rFonts w:ascii="Arial" w:eastAsia="Times New Roman" w:hAnsi="Arial" w:cs="Arial"/>
                      <w:b/>
                      <w:bCs/>
                      <w:color w:val="000000"/>
                      <w:sz w:val="14"/>
                      <w:szCs w:val="14"/>
                      <w:lang w:eastAsia="es-EC"/>
                    </w:rPr>
                    <w:t>Cuarto(s) en casa de inquilinato</w:t>
                  </w:r>
                </w:p>
              </w:tc>
              <w:tc>
                <w:tcPr>
                  <w:tcW w:w="934" w:type="dxa"/>
                  <w:tcBorders>
                    <w:top w:val="single" w:sz="4" w:space="0" w:color="auto"/>
                    <w:left w:val="nil"/>
                    <w:bottom w:val="single" w:sz="4" w:space="0" w:color="auto"/>
                    <w:right w:val="nil"/>
                  </w:tcBorders>
                  <w:shd w:val="clear" w:color="auto" w:fill="auto"/>
                  <w:vAlign w:val="center"/>
                  <w:hideMark/>
                </w:tcPr>
                <w:p w:rsidR="00A722F8" w:rsidRPr="002C1072" w:rsidRDefault="00A722F8" w:rsidP="003F1262">
                  <w:pPr>
                    <w:rPr>
                      <w:rFonts w:ascii="Arial" w:eastAsia="Times New Roman" w:hAnsi="Arial" w:cs="Arial"/>
                      <w:b/>
                      <w:bCs/>
                      <w:color w:val="000000"/>
                      <w:sz w:val="14"/>
                      <w:szCs w:val="14"/>
                      <w:lang w:eastAsia="es-EC"/>
                    </w:rPr>
                  </w:pPr>
                  <w:r w:rsidRPr="002C1072">
                    <w:rPr>
                      <w:rFonts w:ascii="Arial" w:eastAsia="Times New Roman" w:hAnsi="Arial" w:cs="Arial"/>
                      <w:b/>
                      <w:bCs/>
                      <w:color w:val="000000"/>
                      <w:sz w:val="14"/>
                      <w:szCs w:val="14"/>
                      <w:lang w:eastAsia="es-EC"/>
                    </w:rPr>
                    <w:t>Otras viviendas particulares</w:t>
                  </w:r>
                </w:p>
              </w:tc>
              <w:tc>
                <w:tcPr>
                  <w:tcW w:w="818" w:type="dxa"/>
                  <w:tcBorders>
                    <w:top w:val="single" w:sz="4" w:space="0" w:color="auto"/>
                    <w:left w:val="nil"/>
                    <w:bottom w:val="single" w:sz="4" w:space="0" w:color="auto"/>
                    <w:right w:val="nil"/>
                  </w:tcBorders>
                  <w:shd w:val="clear" w:color="auto" w:fill="auto"/>
                  <w:vAlign w:val="center"/>
                  <w:hideMark/>
                </w:tcPr>
                <w:p w:rsidR="00A722F8" w:rsidRPr="002C1072" w:rsidRDefault="00A722F8" w:rsidP="003F1262">
                  <w:pPr>
                    <w:rPr>
                      <w:rFonts w:ascii="Arial" w:eastAsia="Times New Roman" w:hAnsi="Arial" w:cs="Arial"/>
                      <w:b/>
                      <w:bCs/>
                      <w:color w:val="000000"/>
                      <w:sz w:val="14"/>
                      <w:szCs w:val="14"/>
                      <w:lang w:eastAsia="es-EC"/>
                    </w:rPr>
                  </w:pPr>
                  <w:r w:rsidRPr="002C1072">
                    <w:rPr>
                      <w:rFonts w:ascii="Arial" w:eastAsia="Times New Roman" w:hAnsi="Arial" w:cs="Arial"/>
                      <w:b/>
                      <w:bCs/>
                      <w:color w:val="000000"/>
                      <w:sz w:val="14"/>
                      <w:szCs w:val="14"/>
                      <w:lang w:eastAsia="es-EC"/>
                    </w:rPr>
                    <w:t>Viviendas colectivas</w:t>
                  </w:r>
                </w:p>
              </w:tc>
              <w:tc>
                <w:tcPr>
                  <w:tcW w:w="779" w:type="dxa"/>
                  <w:tcBorders>
                    <w:top w:val="single" w:sz="4" w:space="0" w:color="auto"/>
                    <w:left w:val="nil"/>
                    <w:bottom w:val="single" w:sz="4" w:space="0" w:color="auto"/>
                    <w:right w:val="nil"/>
                  </w:tcBorders>
                  <w:shd w:val="clear" w:color="auto" w:fill="auto"/>
                  <w:vAlign w:val="center"/>
                  <w:hideMark/>
                </w:tcPr>
                <w:p w:rsidR="00A722F8" w:rsidRPr="002C1072" w:rsidRDefault="00A722F8" w:rsidP="003F1262">
                  <w:pPr>
                    <w:rPr>
                      <w:rFonts w:ascii="Arial" w:eastAsia="Times New Roman" w:hAnsi="Arial" w:cs="Arial"/>
                      <w:b/>
                      <w:bCs/>
                      <w:color w:val="000000"/>
                      <w:sz w:val="14"/>
                      <w:szCs w:val="14"/>
                      <w:lang w:eastAsia="es-EC"/>
                    </w:rPr>
                  </w:pPr>
                  <w:r w:rsidRPr="002C1072">
                    <w:rPr>
                      <w:rFonts w:ascii="Arial" w:eastAsia="Times New Roman" w:hAnsi="Arial" w:cs="Arial"/>
                      <w:b/>
                      <w:bCs/>
                      <w:color w:val="000000"/>
                      <w:sz w:val="14"/>
                      <w:szCs w:val="14"/>
                      <w:lang w:eastAsia="es-EC"/>
                    </w:rPr>
                    <w:t>Sin viviendas</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Azuay</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0.599</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0.193</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0.106</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0.060</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0.042</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Bolívar</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0.751</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0.043</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0.048</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0.139</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0.019</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Cañar</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0.690</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0.059</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0.074</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0.164</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0.012</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Carchi</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0.718</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0.087</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0.047</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0.083</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0.065</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Cotopaxi</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0.611</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0.052</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0.126</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0.199</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0.011</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Chimborazo</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0.654</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0.184</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0.074</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0.035</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0.053</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El Oro</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0.681</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0.064</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0.091</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0.146</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0.018</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Esmeraldas</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0.722</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0.034</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0.020</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0.223</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0.001</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Guayas</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0.760</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0.059</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0.028</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0.147</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0.005</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Imbabura</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0.716</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0.139</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0.097</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0.040</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0.008</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Loja</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0.602</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0.157</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0.077</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0.054</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0.110</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Los Ríos</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0.752</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0.039</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0.034</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0.170</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0.005</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Morona Santiago</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0.683</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0.082</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0.077</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0.037</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0.121</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Napo</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0.715</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0.067</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0.098</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0.102</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0.017</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Pastaza</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0.665</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0.081</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0.103</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0.086</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0.066</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Pichincha</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0.500</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0.308</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0.141</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0.049</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0.003</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Tungurahua</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0.586</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0.234</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0.115</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0.048</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0.018</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Zamora Chinchipe</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0.587</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0.060</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0.087</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0.110</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0.156</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Galápagos</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0.667</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0.111</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0.169</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0.043</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0.010</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Sucumbíos</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0.705</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0.033</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0.095</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0.149</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0.018</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0.001</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Orellana</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0.702</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0.039</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0.085</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0.152</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0.022</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Santo Domingo</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0.729</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0.070</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0.061</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0.139</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0.002</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nil"/>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Santa Elena</w:t>
                  </w:r>
                </w:p>
              </w:tc>
              <w:tc>
                <w:tcPr>
                  <w:tcW w:w="843"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0.743</w:t>
                  </w:r>
                </w:p>
              </w:tc>
              <w:tc>
                <w:tcPr>
                  <w:tcW w:w="1082"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0.019</w:t>
                  </w:r>
                </w:p>
              </w:tc>
              <w:tc>
                <w:tcPr>
                  <w:tcW w:w="1020"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0.012</w:t>
                  </w:r>
                </w:p>
              </w:tc>
              <w:tc>
                <w:tcPr>
                  <w:tcW w:w="934"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0.220</w:t>
                  </w:r>
                </w:p>
              </w:tc>
              <w:tc>
                <w:tcPr>
                  <w:tcW w:w="818"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0.008</w:t>
                  </w:r>
                </w:p>
              </w:tc>
              <w:tc>
                <w:tcPr>
                  <w:tcW w:w="779" w:type="dxa"/>
                  <w:tcBorders>
                    <w:top w:val="nil"/>
                    <w:left w:val="nil"/>
                    <w:bottom w:val="nil"/>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r w:rsidR="00A722F8" w:rsidRPr="002C1072" w:rsidTr="003F1262">
              <w:trPr>
                <w:trHeight w:val="20"/>
                <w:jc w:val="center"/>
              </w:trPr>
              <w:tc>
                <w:tcPr>
                  <w:tcW w:w="1531" w:type="dxa"/>
                  <w:tcBorders>
                    <w:top w:val="nil"/>
                    <w:left w:val="nil"/>
                    <w:bottom w:val="single" w:sz="4" w:space="0" w:color="auto"/>
                    <w:right w:val="nil"/>
                  </w:tcBorders>
                  <w:shd w:val="clear" w:color="auto" w:fill="auto"/>
                  <w:vAlign w:val="center"/>
                  <w:hideMark/>
                </w:tcPr>
                <w:p w:rsidR="00A722F8" w:rsidRPr="002C1072" w:rsidRDefault="00A722F8" w:rsidP="001936DC">
                  <w:pPr>
                    <w:jc w:val="left"/>
                    <w:rPr>
                      <w:rFonts w:ascii="Arial" w:eastAsia="Times New Roman" w:hAnsi="Arial" w:cs="Arial"/>
                      <w:color w:val="000000"/>
                      <w:sz w:val="16"/>
                      <w:szCs w:val="16"/>
                      <w:lang w:eastAsia="es-EC"/>
                    </w:rPr>
                  </w:pPr>
                  <w:r w:rsidRPr="002C1072">
                    <w:rPr>
                      <w:rFonts w:ascii="Arial" w:eastAsia="Times New Roman" w:hAnsi="Arial" w:cs="Arial"/>
                      <w:color w:val="000000"/>
                      <w:sz w:val="16"/>
                      <w:szCs w:val="16"/>
                      <w:lang w:eastAsia="es-EC"/>
                    </w:rPr>
                    <w:t>Zonas No Delimitadas</w:t>
                  </w:r>
                </w:p>
              </w:tc>
              <w:tc>
                <w:tcPr>
                  <w:tcW w:w="843" w:type="dxa"/>
                  <w:tcBorders>
                    <w:top w:val="nil"/>
                    <w:left w:val="nil"/>
                    <w:bottom w:val="single" w:sz="4" w:space="0" w:color="auto"/>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0.719</w:t>
                  </w:r>
                </w:p>
              </w:tc>
              <w:tc>
                <w:tcPr>
                  <w:tcW w:w="1082" w:type="dxa"/>
                  <w:tcBorders>
                    <w:top w:val="nil"/>
                    <w:left w:val="nil"/>
                    <w:bottom w:val="single" w:sz="4" w:space="0" w:color="auto"/>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0.012</w:t>
                  </w:r>
                </w:p>
              </w:tc>
              <w:tc>
                <w:tcPr>
                  <w:tcW w:w="1020" w:type="dxa"/>
                  <w:tcBorders>
                    <w:top w:val="nil"/>
                    <w:left w:val="nil"/>
                    <w:bottom w:val="single" w:sz="4" w:space="0" w:color="auto"/>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0.010</w:t>
                  </w:r>
                </w:p>
              </w:tc>
              <w:tc>
                <w:tcPr>
                  <w:tcW w:w="934" w:type="dxa"/>
                  <w:tcBorders>
                    <w:top w:val="nil"/>
                    <w:left w:val="nil"/>
                    <w:bottom w:val="single" w:sz="4" w:space="0" w:color="auto"/>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0.258</w:t>
                  </w:r>
                </w:p>
              </w:tc>
              <w:tc>
                <w:tcPr>
                  <w:tcW w:w="818" w:type="dxa"/>
                  <w:tcBorders>
                    <w:top w:val="nil"/>
                    <w:left w:val="nil"/>
                    <w:bottom w:val="single" w:sz="4" w:space="0" w:color="auto"/>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c>
                <w:tcPr>
                  <w:tcW w:w="779" w:type="dxa"/>
                  <w:tcBorders>
                    <w:top w:val="nil"/>
                    <w:left w:val="nil"/>
                    <w:bottom w:val="single" w:sz="4" w:space="0" w:color="auto"/>
                    <w:right w:val="nil"/>
                  </w:tcBorders>
                  <w:shd w:val="clear" w:color="auto" w:fill="auto"/>
                  <w:noWrap/>
                  <w:vAlign w:val="center"/>
                  <w:hideMark/>
                </w:tcPr>
                <w:p w:rsidR="00A722F8" w:rsidRPr="002C1072" w:rsidRDefault="00A722F8" w:rsidP="003F1262">
                  <w:pPr>
                    <w:rPr>
                      <w:rFonts w:ascii="Arial" w:eastAsia="Times New Roman" w:hAnsi="Arial" w:cs="Arial"/>
                      <w:sz w:val="16"/>
                      <w:szCs w:val="16"/>
                      <w:lang w:eastAsia="es-EC"/>
                    </w:rPr>
                  </w:pPr>
                  <w:r w:rsidRPr="002C1072">
                    <w:rPr>
                      <w:rFonts w:ascii="Arial" w:eastAsia="Times New Roman" w:hAnsi="Arial" w:cs="Arial"/>
                      <w:sz w:val="16"/>
                      <w:szCs w:val="16"/>
                      <w:lang w:eastAsia="es-EC"/>
                    </w:rPr>
                    <w:t>0.000</w:t>
                  </w:r>
                </w:p>
              </w:tc>
            </w:tr>
          </w:tbl>
          <w:p w:rsidR="00A722F8" w:rsidRPr="00840530" w:rsidRDefault="00A722F8" w:rsidP="003F1262">
            <w:pPr>
              <w:jc w:val="both"/>
              <w:rPr>
                <w:rFonts w:ascii="Arial" w:hAnsi="Arial" w:cs="Arial"/>
                <w:sz w:val="24"/>
                <w:szCs w:val="24"/>
              </w:rPr>
            </w:pPr>
          </w:p>
        </w:tc>
      </w:tr>
    </w:tbl>
    <w:p w:rsidR="00A722F8" w:rsidRPr="007E4C99" w:rsidRDefault="00A722F8" w:rsidP="007E4C99">
      <w:pPr>
        <w:pStyle w:val="Prrafodelista"/>
        <w:spacing w:line="276" w:lineRule="auto"/>
        <w:ind w:left="851"/>
        <w:jc w:val="both"/>
        <w:rPr>
          <w:rFonts w:ascii="Arial" w:hAnsi="Arial" w:cs="Arial"/>
          <w:sz w:val="17"/>
          <w:szCs w:val="17"/>
        </w:rPr>
      </w:pPr>
    </w:p>
    <w:p w:rsidR="00A722F8" w:rsidRPr="007E4C99" w:rsidRDefault="00A722F8" w:rsidP="007E4C99">
      <w:pPr>
        <w:pStyle w:val="Prrafodelista"/>
        <w:spacing w:line="276" w:lineRule="auto"/>
        <w:ind w:left="851"/>
        <w:jc w:val="both"/>
        <w:rPr>
          <w:rFonts w:ascii="Arial" w:hAnsi="Arial" w:cs="Arial"/>
          <w:sz w:val="17"/>
          <w:szCs w:val="17"/>
        </w:rPr>
      </w:pPr>
      <w:r w:rsidRPr="007E4C99">
        <w:rPr>
          <w:rFonts w:ascii="Arial" w:hAnsi="Arial" w:cs="Arial"/>
          <w:b/>
          <w:i/>
          <w:sz w:val="17"/>
          <w:szCs w:val="17"/>
        </w:rPr>
        <w:t>Fuente:</w:t>
      </w:r>
      <w:r w:rsidRPr="007E4C99">
        <w:rPr>
          <w:rFonts w:ascii="Arial" w:hAnsi="Arial" w:cs="Arial"/>
          <w:sz w:val="17"/>
          <w:szCs w:val="17"/>
        </w:rPr>
        <w:t xml:space="preserve"> </w:t>
      </w:r>
      <w:r w:rsidRPr="007E4C99">
        <w:rPr>
          <w:rFonts w:ascii="Arial" w:hAnsi="Arial" w:cs="Arial"/>
          <w:b/>
          <w:sz w:val="17"/>
          <w:szCs w:val="17"/>
        </w:rPr>
        <w:t xml:space="preserve">INEC </w:t>
      </w:r>
      <w:r w:rsidRPr="007E4C99">
        <w:rPr>
          <w:rFonts w:ascii="Arial" w:hAnsi="Arial" w:cs="Arial"/>
          <w:sz w:val="17"/>
          <w:szCs w:val="17"/>
        </w:rPr>
        <w:t>(2010), Base de Datos del VII Censo de Población y VI de Vivienda.</w:t>
      </w:r>
    </w:p>
    <w:p w:rsidR="007E4C99" w:rsidRPr="007E4C99" w:rsidRDefault="00A722F8" w:rsidP="007E4C99">
      <w:pPr>
        <w:pStyle w:val="Prrafodelista"/>
        <w:spacing w:line="276" w:lineRule="auto"/>
        <w:ind w:left="851"/>
        <w:jc w:val="both"/>
        <w:rPr>
          <w:rFonts w:ascii="Arial" w:hAnsi="Arial" w:cs="Arial"/>
          <w:sz w:val="17"/>
          <w:szCs w:val="17"/>
        </w:rPr>
      </w:pPr>
      <w:r w:rsidRPr="007E4C99">
        <w:rPr>
          <w:rFonts w:ascii="Arial" w:hAnsi="Arial" w:cs="Arial"/>
          <w:b/>
          <w:i/>
          <w:sz w:val="17"/>
          <w:szCs w:val="17"/>
        </w:rPr>
        <w:t>Elaborado por:</w:t>
      </w:r>
      <w:r w:rsidRPr="007E4C99">
        <w:rPr>
          <w:rFonts w:ascii="Arial" w:hAnsi="Arial" w:cs="Arial"/>
          <w:sz w:val="17"/>
          <w:szCs w:val="17"/>
        </w:rPr>
        <w:t xml:space="preserve"> Ka</w:t>
      </w:r>
      <w:r w:rsidR="007E4C99">
        <w:rPr>
          <w:rFonts w:ascii="Arial" w:hAnsi="Arial" w:cs="Arial"/>
          <w:sz w:val="17"/>
          <w:szCs w:val="17"/>
        </w:rPr>
        <w:t>therine Loor Valeriano</w:t>
      </w:r>
    </w:p>
    <w:p w:rsidR="00A722F8" w:rsidRPr="0078340C" w:rsidRDefault="00A722F8" w:rsidP="00A722F8">
      <w:pPr>
        <w:pStyle w:val="Prrafodelista"/>
        <w:spacing w:line="480" w:lineRule="auto"/>
        <w:ind w:left="567"/>
        <w:jc w:val="both"/>
        <w:rPr>
          <w:rFonts w:ascii="Arial" w:hAnsi="Arial" w:cs="Arial"/>
        </w:rPr>
      </w:pPr>
    </w:p>
    <w:p w:rsidR="00A722F8" w:rsidRPr="00A23271" w:rsidRDefault="00A722F8" w:rsidP="0041640C">
      <w:pPr>
        <w:pStyle w:val="TesisTitulo20"/>
        <w:numPr>
          <w:ilvl w:val="2"/>
          <w:numId w:val="9"/>
        </w:numPr>
        <w:ind w:left="1701" w:hanging="850"/>
      </w:pPr>
      <w:bookmarkStart w:id="308" w:name="_Toc339212697"/>
      <w:bookmarkStart w:id="309" w:name="_Toc341040625"/>
      <w:r w:rsidRPr="00A23271">
        <w:lastRenderedPageBreak/>
        <w:t>Agua y energía eléctrica de la vivienda</w:t>
      </w:r>
      <w:bookmarkEnd w:id="308"/>
      <w:bookmarkEnd w:id="309"/>
    </w:p>
    <w:p w:rsidR="00A722F8" w:rsidRDefault="00A722F8" w:rsidP="007E4C99">
      <w:pPr>
        <w:pStyle w:val="Prrafodelista"/>
        <w:spacing w:line="480" w:lineRule="auto"/>
        <w:ind w:left="851"/>
        <w:jc w:val="both"/>
        <w:rPr>
          <w:rFonts w:ascii="Arial" w:hAnsi="Arial" w:cs="Arial"/>
        </w:rPr>
      </w:pPr>
      <w:r w:rsidRPr="00A23271">
        <w:rPr>
          <w:rFonts w:ascii="Arial" w:hAnsi="Arial" w:cs="Arial"/>
        </w:rPr>
        <w:t xml:space="preserve">Ahora analizaremos el porcentaje de viviendas donde residen los emigrantes manabitas que se abastecen de agua de la red pública y de energía eléctrica de la red de la empresa eléctrica de servicio público. Analizando los resultados contenidos en la </w:t>
      </w:r>
      <w:r w:rsidRPr="00E80B56">
        <w:rPr>
          <w:rFonts w:ascii="Arial" w:hAnsi="Arial" w:cs="Arial"/>
          <w:i/>
        </w:rPr>
        <w:t>Tabla 2.1</w:t>
      </w:r>
      <w:r w:rsidR="007E4C99">
        <w:rPr>
          <w:rFonts w:ascii="Arial" w:hAnsi="Arial" w:cs="Arial"/>
          <w:i/>
        </w:rPr>
        <w:t>3</w:t>
      </w:r>
      <w:r w:rsidRPr="00A23271">
        <w:rPr>
          <w:rFonts w:ascii="Arial" w:hAnsi="Arial" w:cs="Arial"/>
        </w:rPr>
        <w:t>, podemos observar que el peor de los escenarios es el que existe en Esmeraldas, pues solo un 81.80% de las viviendas donde residen inmigrantes manabitas tiene acceso al servicio público de energía eléctrica y en lo que respecta a agua potable vemos que sólo el 36.80% tienen acceso a este servicio básico por medios públicos, el porcentaje restante se abastece mediante pozos, ríos, vertientes, acequias, canal, carro repartidor, agua lluvia o albarrada.</w:t>
      </w:r>
      <w:r>
        <w:rPr>
          <w:rFonts w:ascii="Arial" w:hAnsi="Arial" w:cs="Arial"/>
        </w:rPr>
        <w:t xml:space="preserve"> </w:t>
      </w:r>
      <w:r w:rsidRPr="00A23271">
        <w:rPr>
          <w:rFonts w:ascii="Arial" w:hAnsi="Arial" w:cs="Arial"/>
        </w:rPr>
        <w:t xml:space="preserve">La provincia que mayor cantidad de emigrantes desde la provincia de Manabí acoge es Guayas, donde alrededor del 89.40% de las viviendas reciben la energía eléctrica de la red de la empresa eléctrica pública y en lo que a agua potable se refiere el 66.30% de las viviendas la reciben por este medio; un escenario parecido se tiene en las otras provincias de la Costa, exceptuando Santa Elena donde existe una mayor proporción de viviendas que se abastecen de agua de la red pública (81.40%). </w:t>
      </w:r>
    </w:p>
    <w:p w:rsidR="007E4C99" w:rsidRDefault="007E4C99" w:rsidP="007E4C99">
      <w:pPr>
        <w:pStyle w:val="Prrafodelista"/>
        <w:spacing w:line="480" w:lineRule="auto"/>
        <w:ind w:left="851"/>
        <w:jc w:val="both"/>
        <w:rPr>
          <w:rFonts w:ascii="Arial" w:hAnsi="Arial" w:cs="Arial"/>
        </w:rPr>
      </w:pPr>
    </w:p>
    <w:p w:rsidR="007E4C99" w:rsidRPr="00A23271" w:rsidRDefault="007E4C99" w:rsidP="007E4C99">
      <w:pPr>
        <w:pStyle w:val="Prrafodelista"/>
        <w:spacing w:line="480" w:lineRule="auto"/>
        <w:ind w:left="851"/>
        <w:jc w:val="both"/>
        <w:rPr>
          <w:rFonts w:ascii="Arial" w:hAnsi="Arial" w:cs="Arial"/>
        </w:rPr>
      </w:pPr>
      <w:r w:rsidRPr="007E4C99">
        <w:rPr>
          <w:rFonts w:ascii="Arial" w:hAnsi="Arial" w:cs="Arial"/>
        </w:rPr>
        <w:t xml:space="preserve">En la región Sierra, la provincia de Tungurahua es en la que un mayor porcentaje de emigrantes manabitas tienen acceso a los servicios básicos, pues el 99.70% y el 93.20% de las viviendas recibe energía eléctrica y agua potable de red pública respectivamente; en Pichincha encontramos una distribución similar, debido a que el 90.40% y el 98.80% de las viviendas se </w:t>
      </w:r>
      <w:r w:rsidRPr="007E4C99">
        <w:rPr>
          <w:rFonts w:ascii="Arial" w:hAnsi="Arial" w:cs="Arial"/>
        </w:rPr>
        <w:lastRenderedPageBreak/>
        <w:t>abastecen de agua y energía eléctrica de la red pública. Sin embargo, existen otras provincias de la región que no ofrecen estos servicios en iguales proporciones como es el caso de Bolívar y Cañar donde alrededor del 60% de las viviendas de los residentes manabitas reciben el servicio de agua potable de la red pública y el porcentaje restante utiliza otros medios para abastecerse del líquido vital. En Sucumbíos también existe un porcentaje muy bajo de viviendas de residencia de inmigrantes manabitas que reciben el agua por medio de la red pública de agua (39.20%), pero también hay otras provincias donde este porcentaje es más alto como en Morona Santiago donde el 79% de las viviendas de manabitas reciben el agua desde la red pública. Véase Tabla 2.1</w:t>
      </w:r>
      <w:r>
        <w:rPr>
          <w:rFonts w:ascii="Arial" w:hAnsi="Arial" w:cs="Arial"/>
        </w:rPr>
        <w:t>3</w:t>
      </w:r>
      <w:r w:rsidRPr="007E4C99">
        <w:rPr>
          <w:rFonts w:ascii="Arial" w:hAnsi="Arial" w:cs="Arial"/>
        </w:rPr>
        <w:t>.</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A722F8" w:rsidRPr="00840530" w:rsidTr="007E4C99">
        <w:trPr>
          <w:trHeight w:val="5953"/>
          <w:jc w:val="right"/>
        </w:trPr>
        <w:tc>
          <w:tcPr>
            <w:tcW w:w="7535" w:type="dxa"/>
          </w:tcPr>
          <w:p w:rsidR="00A722F8" w:rsidRDefault="00A722F8" w:rsidP="003F1262">
            <w:pPr>
              <w:rPr>
                <w:rFonts w:ascii="Arial" w:hAnsi="Arial" w:cs="Arial"/>
                <w:b/>
                <w:sz w:val="16"/>
                <w:szCs w:val="16"/>
              </w:rPr>
            </w:pPr>
          </w:p>
          <w:p w:rsidR="007E124F" w:rsidRPr="007E124F" w:rsidRDefault="007E124F" w:rsidP="007E124F">
            <w:pPr>
              <w:keepNext/>
              <w:rPr>
                <w:rFonts w:ascii="Arial" w:hAnsi="Arial" w:cs="Arial"/>
                <w:b/>
                <w:sz w:val="16"/>
                <w:szCs w:val="16"/>
              </w:rPr>
            </w:pPr>
            <w:bookmarkStart w:id="310" w:name="_Toc341041588"/>
            <w:r w:rsidRPr="007E124F">
              <w:rPr>
                <w:rFonts w:ascii="Arial" w:hAnsi="Arial" w:cs="Arial"/>
                <w:b/>
                <w:sz w:val="16"/>
                <w:szCs w:val="16"/>
              </w:rPr>
              <w:t>Tabla</w:t>
            </w:r>
            <w:r>
              <w:rPr>
                <w:rFonts w:ascii="Arial" w:hAnsi="Arial" w:cs="Arial"/>
                <w:b/>
                <w:sz w:val="16"/>
                <w:szCs w:val="16"/>
              </w:rPr>
              <w:t xml:space="preserve"> </w:t>
            </w:r>
            <w:r w:rsidRPr="007E124F">
              <w:rPr>
                <w:rFonts w:ascii="Arial" w:hAnsi="Arial" w:cs="Arial"/>
                <w:b/>
                <w:sz w:val="16"/>
                <w:szCs w:val="16"/>
              </w:rPr>
              <w:t>2.</w:t>
            </w:r>
            <w:r w:rsidR="00990535" w:rsidRPr="007E124F">
              <w:rPr>
                <w:rFonts w:ascii="Arial" w:hAnsi="Arial" w:cs="Arial"/>
                <w:b/>
                <w:sz w:val="16"/>
                <w:szCs w:val="16"/>
              </w:rPr>
              <w:fldChar w:fldCharType="begin"/>
            </w:r>
            <w:r w:rsidRPr="007E124F">
              <w:rPr>
                <w:rFonts w:ascii="Arial" w:hAnsi="Arial" w:cs="Arial"/>
                <w:b/>
                <w:sz w:val="16"/>
                <w:szCs w:val="16"/>
              </w:rPr>
              <w:instrText xml:space="preserve"> SEQ Tabla2. \* ARABIC </w:instrText>
            </w:r>
            <w:r w:rsidR="00990535" w:rsidRPr="007E124F">
              <w:rPr>
                <w:rFonts w:ascii="Arial" w:hAnsi="Arial" w:cs="Arial"/>
                <w:b/>
                <w:sz w:val="16"/>
                <w:szCs w:val="16"/>
              </w:rPr>
              <w:fldChar w:fldCharType="separate"/>
            </w:r>
            <w:r w:rsidR="00A242E0">
              <w:rPr>
                <w:rFonts w:ascii="Arial" w:hAnsi="Arial" w:cs="Arial"/>
                <w:b/>
                <w:noProof/>
                <w:sz w:val="16"/>
                <w:szCs w:val="16"/>
              </w:rPr>
              <w:t>13</w:t>
            </w:r>
            <w:bookmarkEnd w:id="310"/>
            <w:r w:rsidR="00990535" w:rsidRPr="007E124F">
              <w:rPr>
                <w:rFonts w:ascii="Arial" w:hAnsi="Arial" w:cs="Arial"/>
                <w:b/>
                <w:sz w:val="16"/>
                <w:szCs w:val="16"/>
              </w:rPr>
              <w:fldChar w:fldCharType="end"/>
            </w:r>
          </w:p>
          <w:p w:rsidR="00A722F8" w:rsidRPr="00E904BC" w:rsidRDefault="007E4C99" w:rsidP="003F1262">
            <w:pPr>
              <w:rPr>
                <w:rFonts w:ascii="Arial" w:hAnsi="Arial" w:cs="Arial"/>
                <w:i/>
                <w:sz w:val="16"/>
                <w:szCs w:val="16"/>
              </w:rPr>
            </w:pPr>
            <w:r>
              <w:rPr>
                <w:rFonts w:ascii="Arial" w:hAnsi="Arial" w:cs="Arial"/>
                <w:b/>
                <w:i/>
                <w:sz w:val="16"/>
                <w:szCs w:val="16"/>
              </w:rPr>
              <w:t xml:space="preserve">Manabí 2010: </w:t>
            </w:r>
            <w:r w:rsidR="00A722F8" w:rsidRPr="00E904BC">
              <w:rPr>
                <w:rFonts w:ascii="Arial" w:hAnsi="Arial" w:cs="Arial"/>
                <w:i/>
                <w:sz w:val="16"/>
                <w:szCs w:val="16"/>
              </w:rPr>
              <w:t>De dónde proviene el agua y energía eléctrica de la vivienda de los inmigrantes</w:t>
            </w:r>
          </w:p>
          <w:p w:rsidR="00A722F8" w:rsidRPr="00E904BC" w:rsidRDefault="00A722F8" w:rsidP="003F1262">
            <w:pPr>
              <w:rPr>
                <w:rFonts w:ascii="Arial" w:hAnsi="Arial" w:cs="Arial"/>
                <w:i/>
                <w:sz w:val="16"/>
                <w:szCs w:val="16"/>
              </w:rPr>
            </w:pPr>
            <w:r w:rsidRPr="00E904BC">
              <w:rPr>
                <w:rFonts w:ascii="Arial" w:hAnsi="Arial" w:cs="Arial"/>
                <w:i/>
                <w:sz w:val="16"/>
                <w:szCs w:val="16"/>
              </w:rPr>
              <w:t>Dad</w:t>
            </w:r>
            <w:r>
              <w:rPr>
                <w:rFonts w:ascii="Arial" w:hAnsi="Arial" w:cs="Arial"/>
                <w:i/>
                <w:sz w:val="16"/>
                <w:szCs w:val="16"/>
              </w:rPr>
              <w:t>o que se conoce</w:t>
            </w:r>
            <w:r w:rsidRPr="00E904BC">
              <w:rPr>
                <w:rFonts w:ascii="Arial" w:hAnsi="Arial" w:cs="Arial"/>
                <w:i/>
                <w:sz w:val="16"/>
                <w:szCs w:val="16"/>
              </w:rPr>
              <w:t xml:space="preserve"> la provincia de Residencia habitual</w:t>
            </w:r>
          </w:p>
          <w:p w:rsidR="00A722F8" w:rsidRDefault="00A722F8" w:rsidP="003F1262">
            <w:pPr>
              <w:rPr>
                <w:rFonts w:ascii="Arial" w:hAnsi="Arial" w:cs="Arial"/>
                <w:b/>
                <w:sz w:val="16"/>
                <w:szCs w:val="16"/>
              </w:rPr>
            </w:pPr>
          </w:p>
          <w:tbl>
            <w:tblPr>
              <w:tblW w:w="5669" w:type="dxa"/>
              <w:jc w:val="center"/>
              <w:tblCellMar>
                <w:left w:w="70" w:type="dxa"/>
                <w:right w:w="70" w:type="dxa"/>
              </w:tblCellMar>
              <w:tblLook w:val="04A0" w:firstRow="1" w:lastRow="0" w:firstColumn="1" w:lastColumn="0" w:noHBand="0" w:noVBand="1"/>
            </w:tblPr>
            <w:tblGrid>
              <w:gridCol w:w="2041"/>
              <w:gridCol w:w="2154"/>
              <w:gridCol w:w="1474"/>
            </w:tblGrid>
            <w:tr w:rsidR="00A722F8" w:rsidRPr="007366B9" w:rsidTr="003F1262">
              <w:trPr>
                <w:trHeight w:val="20"/>
                <w:jc w:val="center"/>
              </w:trPr>
              <w:tc>
                <w:tcPr>
                  <w:tcW w:w="2041" w:type="dxa"/>
                  <w:tcBorders>
                    <w:top w:val="single" w:sz="4" w:space="0" w:color="auto"/>
                    <w:left w:val="nil"/>
                    <w:bottom w:val="single" w:sz="4" w:space="0" w:color="auto"/>
                    <w:right w:val="nil"/>
                  </w:tcBorders>
                  <w:shd w:val="clear" w:color="auto" w:fill="auto"/>
                  <w:vAlign w:val="center"/>
                  <w:hideMark/>
                </w:tcPr>
                <w:p w:rsidR="00A722F8" w:rsidRPr="007366B9" w:rsidRDefault="00A722F8" w:rsidP="003F1262">
                  <w:pPr>
                    <w:rPr>
                      <w:rFonts w:ascii="Arial" w:eastAsia="Times New Roman" w:hAnsi="Arial" w:cs="Arial"/>
                      <w:b/>
                      <w:bCs/>
                      <w:sz w:val="16"/>
                      <w:szCs w:val="16"/>
                      <w:lang w:eastAsia="es-EC"/>
                    </w:rPr>
                  </w:pPr>
                  <w:r w:rsidRPr="007366B9">
                    <w:rPr>
                      <w:rFonts w:ascii="Arial" w:eastAsia="Times New Roman" w:hAnsi="Arial" w:cs="Arial"/>
                      <w:b/>
                      <w:bCs/>
                      <w:sz w:val="16"/>
                      <w:szCs w:val="16"/>
                      <w:lang w:eastAsia="es-EC"/>
                    </w:rPr>
                    <w:t>Provincia de Residencia</w:t>
                  </w:r>
                </w:p>
              </w:tc>
              <w:tc>
                <w:tcPr>
                  <w:tcW w:w="2154" w:type="dxa"/>
                  <w:tcBorders>
                    <w:top w:val="single" w:sz="4" w:space="0" w:color="auto"/>
                    <w:left w:val="nil"/>
                    <w:bottom w:val="single" w:sz="4" w:space="0" w:color="auto"/>
                    <w:right w:val="nil"/>
                  </w:tcBorders>
                  <w:shd w:val="clear" w:color="auto" w:fill="auto"/>
                  <w:vAlign w:val="center"/>
                  <w:hideMark/>
                </w:tcPr>
                <w:p w:rsidR="00A722F8" w:rsidRPr="007366B9" w:rsidRDefault="00A722F8" w:rsidP="003F1262">
                  <w:pPr>
                    <w:rPr>
                      <w:rFonts w:ascii="Arial" w:eastAsia="Times New Roman" w:hAnsi="Arial" w:cs="Arial"/>
                      <w:b/>
                      <w:bCs/>
                      <w:color w:val="000000"/>
                      <w:sz w:val="16"/>
                      <w:szCs w:val="16"/>
                      <w:lang w:eastAsia="es-EC"/>
                    </w:rPr>
                  </w:pPr>
                  <w:r w:rsidRPr="007E4C99">
                    <w:rPr>
                      <w:rFonts w:ascii="Arial" w:eastAsia="Times New Roman" w:hAnsi="Arial" w:cs="Arial"/>
                      <w:b/>
                      <w:bCs/>
                      <w:color w:val="000000"/>
                      <w:sz w:val="16"/>
                      <w:szCs w:val="16"/>
                      <w:lang w:eastAsia="es-EC"/>
                    </w:rPr>
                    <w:t>Red de</w:t>
                  </w:r>
                  <w:r w:rsidRPr="007E4C99">
                    <w:rPr>
                      <w:rFonts w:ascii="Arial" w:eastAsia="Times New Roman" w:hAnsi="Arial" w:cs="Arial"/>
                      <w:b/>
                      <w:bCs/>
                      <w:i/>
                      <w:color w:val="000000"/>
                      <w:sz w:val="16"/>
                      <w:szCs w:val="16"/>
                      <w:lang w:eastAsia="es-EC"/>
                    </w:rPr>
                    <w:t xml:space="preserve"> empresa eléctrica</w:t>
                  </w:r>
                  <w:r w:rsidRPr="007366B9">
                    <w:rPr>
                      <w:rFonts w:ascii="Arial" w:eastAsia="Times New Roman" w:hAnsi="Arial" w:cs="Arial"/>
                      <w:b/>
                      <w:bCs/>
                      <w:color w:val="000000"/>
                      <w:sz w:val="16"/>
                      <w:szCs w:val="16"/>
                      <w:lang w:eastAsia="es-EC"/>
                    </w:rPr>
                    <w:t xml:space="preserve"> de servicio público</w:t>
                  </w:r>
                </w:p>
              </w:tc>
              <w:tc>
                <w:tcPr>
                  <w:tcW w:w="1474" w:type="dxa"/>
                  <w:tcBorders>
                    <w:top w:val="single" w:sz="4" w:space="0" w:color="auto"/>
                    <w:left w:val="nil"/>
                    <w:bottom w:val="single" w:sz="4" w:space="0" w:color="auto"/>
                    <w:right w:val="nil"/>
                  </w:tcBorders>
                  <w:shd w:val="clear" w:color="auto" w:fill="auto"/>
                  <w:vAlign w:val="center"/>
                  <w:hideMark/>
                </w:tcPr>
                <w:p w:rsidR="00A722F8" w:rsidRPr="007366B9" w:rsidRDefault="00A722F8" w:rsidP="003F1262">
                  <w:pPr>
                    <w:rPr>
                      <w:rFonts w:ascii="Arial" w:eastAsia="Times New Roman" w:hAnsi="Arial" w:cs="Arial"/>
                      <w:b/>
                      <w:bCs/>
                      <w:color w:val="000000"/>
                      <w:sz w:val="16"/>
                      <w:szCs w:val="16"/>
                      <w:lang w:eastAsia="es-EC"/>
                    </w:rPr>
                  </w:pPr>
                  <w:r w:rsidRPr="007366B9">
                    <w:rPr>
                      <w:rFonts w:ascii="Arial" w:eastAsia="Times New Roman" w:hAnsi="Arial" w:cs="Arial"/>
                      <w:b/>
                      <w:bCs/>
                      <w:color w:val="000000"/>
                      <w:sz w:val="16"/>
                      <w:szCs w:val="16"/>
                      <w:lang w:eastAsia="es-EC"/>
                    </w:rPr>
                    <w:t xml:space="preserve">Recibe </w:t>
                  </w:r>
                  <w:r w:rsidRPr="007E4C99">
                    <w:rPr>
                      <w:rFonts w:ascii="Arial" w:eastAsia="Times New Roman" w:hAnsi="Arial" w:cs="Arial"/>
                      <w:b/>
                      <w:bCs/>
                      <w:i/>
                      <w:color w:val="000000"/>
                      <w:sz w:val="16"/>
                      <w:szCs w:val="16"/>
                      <w:lang w:eastAsia="es-EC"/>
                    </w:rPr>
                    <w:t>Agua</w:t>
                  </w:r>
                  <w:r w:rsidRPr="007366B9">
                    <w:rPr>
                      <w:rFonts w:ascii="Arial" w:eastAsia="Times New Roman" w:hAnsi="Arial" w:cs="Arial"/>
                      <w:b/>
                      <w:bCs/>
                      <w:color w:val="000000"/>
                      <w:sz w:val="16"/>
                      <w:szCs w:val="16"/>
                      <w:lang w:eastAsia="es-EC"/>
                    </w:rPr>
                    <w:t xml:space="preserve"> de la red pública</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Azuay</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0.989</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0.862</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Bolívar</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0.879</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0.599</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Cañar</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0.931</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0.585</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Carchi</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0.957</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0.848</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Cotopaxi</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0.915</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0.621</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Chimborazo</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0.992</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0.894</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El Oro</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0.954</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0.696</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Esmeraldas</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0.818</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0.368</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Guayas</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0.894</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0.663</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Imbabura</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0.987</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0.880</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Loja</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0.979</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0.895</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Los Ríos</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0.906</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0.523</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Morona Santiago</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0.941</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0.790</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Napo</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0.920</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0.730</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Pastaza</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0.945</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0.752</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Pichincha</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0.988</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0.904</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Tungurahua</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0.997</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0.932</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Zamora Chinchipe</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0.960</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0.680</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Galápagos</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0.988</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0.793</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Sucumbíos</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0.858</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0.392</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Orellana</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0.889</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0.615</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Santo Domingo</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0.943</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0.408</w:t>
                  </w:r>
                </w:p>
              </w:tc>
            </w:tr>
            <w:tr w:rsidR="00A722F8" w:rsidRPr="007366B9" w:rsidTr="003F1262">
              <w:trPr>
                <w:trHeight w:val="20"/>
                <w:jc w:val="center"/>
              </w:trPr>
              <w:tc>
                <w:tcPr>
                  <w:tcW w:w="2041" w:type="dxa"/>
                  <w:tcBorders>
                    <w:top w:val="nil"/>
                    <w:left w:val="nil"/>
                    <w:bottom w:val="nil"/>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Santa Elena</w:t>
                  </w:r>
                </w:p>
              </w:tc>
              <w:tc>
                <w:tcPr>
                  <w:tcW w:w="215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0.881</w:t>
                  </w:r>
                </w:p>
              </w:tc>
              <w:tc>
                <w:tcPr>
                  <w:tcW w:w="1474" w:type="dxa"/>
                  <w:tcBorders>
                    <w:top w:val="nil"/>
                    <w:left w:val="nil"/>
                    <w:bottom w:val="nil"/>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0.814</w:t>
                  </w:r>
                </w:p>
              </w:tc>
            </w:tr>
            <w:tr w:rsidR="00A722F8" w:rsidRPr="007366B9" w:rsidTr="003F1262">
              <w:trPr>
                <w:trHeight w:val="20"/>
                <w:jc w:val="center"/>
              </w:trPr>
              <w:tc>
                <w:tcPr>
                  <w:tcW w:w="2041" w:type="dxa"/>
                  <w:tcBorders>
                    <w:top w:val="nil"/>
                    <w:left w:val="nil"/>
                    <w:bottom w:val="single" w:sz="4" w:space="0" w:color="auto"/>
                    <w:right w:val="nil"/>
                  </w:tcBorders>
                  <w:shd w:val="clear" w:color="auto" w:fill="auto"/>
                  <w:vAlign w:val="center"/>
                  <w:hideMark/>
                </w:tcPr>
                <w:p w:rsidR="00A722F8" w:rsidRPr="007366B9" w:rsidRDefault="00A722F8" w:rsidP="001936DC">
                  <w:pPr>
                    <w:jc w:val="left"/>
                    <w:rPr>
                      <w:rFonts w:ascii="Arial" w:eastAsia="Times New Roman" w:hAnsi="Arial" w:cs="Arial"/>
                      <w:color w:val="000000"/>
                      <w:sz w:val="16"/>
                      <w:szCs w:val="16"/>
                      <w:lang w:eastAsia="es-EC"/>
                    </w:rPr>
                  </w:pPr>
                  <w:r w:rsidRPr="007366B9">
                    <w:rPr>
                      <w:rFonts w:ascii="Arial" w:eastAsia="Times New Roman" w:hAnsi="Arial" w:cs="Arial"/>
                      <w:color w:val="000000"/>
                      <w:sz w:val="16"/>
                      <w:szCs w:val="16"/>
                      <w:lang w:eastAsia="es-EC"/>
                    </w:rPr>
                    <w:t>Zonas No Delimitadas</w:t>
                  </w:r>
                </w:p>
              </w:tc>
              <w:tc>
                <w:tcPr>
                  <w:tcW w:w="2154" w:type="dxa"/>
                  <w:tcBorders>
                    <w:top w:val="nil"/>
                    <w:left w:val="nil"/>
                    <w:bottom w:val="single" w:sz="4" w:space="0" w:color="auto"/>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0.763</w:t>
                  </w:r>
                </w:p>
              </w:tc>
              <w:tc>
                <w:tcPr>
                  <w:tcW w:w="1474" w:type="dxa"/>
                  <w:tcBorders>
                    <w:top w:val="nil"/>
                    <w:left w:val="nil"/>
                    <w:bottom w:val="single" w:sz="4" w:space="0" w:color="auto"/>
                    <w:right w:val="nil"/>
                  </w:tcBorders>
                  <w:shd w:val="clear" w:color="auto" w:fill="auto"/>
                  <w:noWrap/>
                  <w:vAlign w:val="center"/>
                  <w:hideMark/>
                </w:tcPr>
                <w:p w:rsidR="00A722F8" w:rsidRPr="007366B9" w:rsidRDefault="00A722F8" w:rsidP="003F1262">
                  <w:pPr>
                    <w:rPr>
                      <w:rFonts w:ascii="Arial" w:eastAsia="Times New Roman" w:hAnsi="Arial" w:cs="Arial"/>
                      <w:sz w:val="16"/>
                      <w:szCs w:val="16"/>
                      <w:lang w:eastAsia="es-EC"/>
                    </w:rPr>
                  </w:pPr>
                  <w:r w:rsidRPr="007366B9">
                    <w:rPr>
                      <w:rFonts w:ascii="Arial" w:eastAsia="Times New Roman" w:hAnsi="Arial" w:cs="Arial"/>
                      <w:sz w:val="16"/>
                      <w:szCs w:val="16"/>
                      <w:lang w:eastAsia="es-EC"/>
                    </w:rPr>
                    <w:t>0.187</w:t>
                  </w:r>
                </w:p>
              </w:tc>
            </w:tr>
          </w:tbl>
          <w:p w:rsidR="00A722F8" w:rsidRPr="00840530" w:rsidRDefault="00A722F8" w:rsidP="003F1262">
            <w:pPr>
              <w:jc w:val="both"/>
              <w:rPr>
                <w:rFonts w:ascii="Arial" w:hAnsi="Arial" w:cs="Arial"/>
                <w:sz w:val="24"/>
                <w:szCs w:val="24"/>
              </w:rPr>
            </w:pPr>
          </w:p>
        </w:tc>
      </w:tr>
    </w:tbl>
    <w:p w:rsidR="00A722F8" w:rsidRPr="007E4C99" w:rsidRDefault="00A722F8" w:rsidP="007E4C99">
      <w:pPr>
        <w:pStyle w:val="Prrafodelista"/>
        <w:spacing w:line="276" w:lineRule="auto"/>
        <w:ind w:left="851"/>
        <w:jc w:val="both"/>
        <w:rPr>
          <w:rFonts w:ascii="Arial" w:hAnsi="Arial" w:cs="Arial"/>
          <w:sz w:val="17"/>
          <w:szCs w:val="17"/>
        </w:rPr>
      </w:pPr>
    </w:p>
    <w:p w:rsidR="00A722F8" w:rsidRPr="007E4C99" w:rsidRDefault="00A722F8" w:rsidP="007E4C99">
      <w:pPr>
        <w:pStyle w:val="Prrafodelista"/>
        <w:spacing w:line="276" w:lineRule="auto"/>
        <w:ind w:left="851"/>
        <w:jc w:val="both"/>
        <w:rPr>
          <w:rFonts w:ascii="Arial" w:hAnsi="Arial" w:cs="Arial"/>
          <w:sz w:val="17"/>
          <w:szCs w:val="17"/>
        </w:rPr>
      </w:pPr>
      <w:r w:rsidRPr="007E4C99">
        <w:rPr>
          <w:rFonts w:ascii="Arial" w:hAnsi="Arial" w:cs="Arial"/>
          <w:b/>
          <w:i/>
          <w:sz w:val="17"/>
          <w:szCs w:val="17"/>
        </w:rPr>
        <w:t>Fuente:</w:t>
      </w:r>
      <w:r w:rsidRPr="007E4C99">
        <w:rPr>
          <w:rFonts w:ascii="Arial" w:hAnsi="Arial" w:cs="Arial"/>
          <w:sz w:val="17"/>
          <w:szCs w:val="17"/>
        </w:rPr>
        <w:t xml:space="preserve"> </w:t>
      </w:r>
      <w:r w:rsidRPr="007E4C99">
        <w:rPr>
          <w:rFonts w:ascii="Arial" w:hAnsi="Arial" w:cs="Arial"/>
          <w:b/>
          <w:sz w:val="17"/>
          <w:szCs w:val="17"/>
        </w:rPr>
        <w:t xml:space="preserve">INEC </w:t>
      </w:r>
      <w:r w:rsidRPr="007E4C99">
        <w:rPr>
          <w:rFonts w:ascii="Arial" w:hAnsi="Arial" w:cs="Arial"/>
          <w:sz w:val="17"/>
          <w:szCs w:val="17"/>
        </w:rPr>
        <w:t>(2010), Base de Datos del VII Censo de Población y VI de Vivienda.</w:t>
      </w:r>
    </w:p>
    <w:p w:rsidR="00A722F8" w:rsidRPr="007E4C99" w:rsidRDefault="00A722F8" w:rsidP="007E4C99">
      <w:pPr>
        <w:pStyle w:val="Prrafodelista"/>
        <w:spacing w:line="276" w:lineRule="auto"/>
        <w:ind w:left="851"/>
        <w:jc w:val="both"/>
        <w:rPr>
          <w:rFonts w:ascii="Arial" w:hAnsi="Arial" w:cs="Arial"/>
          <w:sz w:val="17"/>
          <w:szCs w:val="17"/>
        </w:rPr>
      </w:pPr>
      <w:r w:rsidRPr="007E4C99">
        <w:rPr>
          <w:rFonts w:ascii="Arial" w:hAnsi="Arial" w:cs="Arial"/>
          <w:b/>
          <w:i/>
          <w:sz w:val="17"/>
          <w:szCs w:val="17"/>
        </w:rPr>
        <w:t>Elaborado por:</w:t>
      </w:r>
      <w:r w:rsidRPr="007E4C99">
        <w:rPr>
          <w:rFonts w:ascii="Arial" w:hAnsi="Arial" w:cs="Arial"/>
          <w:sz w:val="17"/>
          <w:szCs w:val="17"/>
        </w:rPr>
        <w:t xml:space="preserve"> Katherine Loor Valeriano</w:t>
      </w:r>
    </w:p>
    <w:p w:rsidR="00A722F8" w:rsidRPr="003E0825" w:rsidRDefault="00A722F8" w:rsidP="0041640C">
      <w:pPr>
        <w:pStyle w:val="TesisTitulo20"/>
        <w:numPr>
          <w:ilvl w:val="2"/>
          <w:numId w:val="9"/>
        </w:numPr>
        <w:ind w:left="1701" w:hanging="850"/>
      </w:pPr>
      <w:bookmarkStart w:id="311" w:name="_Toc339212698"/>
      <w:bookmarkStart w:id="312" w:name="_Toc341040626"/>
      <w:r w:rsidRPr="003E0825">
        <w:lastRenderedPageBreak/>
        <w:t>Teléfono fijo, Computadora y acceso a Internet</w:t>
      </w:r>
      <w:bookmarkEnd w:id="311"/>
      <w:bookmarkEnd w:id="312"/>
    </w:p>
    <w:p w:rsidR="00A722F8" w:rsidRDefault="00A722F8" w:rsidP="007E4C99">
      <w:pPr>
        <w:pStyle w:val="Prrafodelista"/>
        <w:spacing w:line="480" w:lineRule="auto"/>
        <w:ind w:left="851"/>
        <w:jc w:val="both"/>
        <w:rPr>
          <w:rFonts w:ascii="Arial" w:hAnsi="Arial" w:cs="Arial"/>
        </w:rPr>
      </w:pPr>
      <w:r w:rsidRPr="003E0825">
        <w:rPr>
          <w:rFonts w:ascii="Arial" w:hAnsi="Arial" w:cs="Arial"/>
        </w:rPr>
        <w:t>Las Tecnologías de la Información y la Comunicación (TIC)</w:t>
      </w:r>
      <w:r>
        <w:rPr>
          <w:rStyle w:val="Refdenotaalpie"/>
          <w:rFonts w:ascii="Arial" w:hAnsi="Arial" w:cs="Arial"/>
        </w:rPr>
        <w:footnoteReference w:id="37"/>
      </w:r>
      <w:r w:rsidRPr="003E0825">
        <w:rPr>
          <w:rFonts w:ascii="Arial" w:hAnsi="Arial" w:cs="Arial"/>
        </w:rPr>
        <w:t>, son un conjunto de servicios, redes, software y aparatos que se integran a un Sistema de Información interconectado y complementario y que tienen como fin la mejora de la calidad de vida de las personas dentro de un entorno.</w:t>
      </w:r>
    </w:p>
    <w:p w:rsidR="00A722F8" w:rsidRPr="003E0825" w:rsidRDefault="00A722F8" w:rsidP="007E4C99">
      <w:pPr>
        <w:pStyle w:val="Prrafodelista"/>
        <w:spacing w:line="480" w:lineRule="auto"/>
        <w:ind w:left="851"/>
        <w:jc w:val="both"/>
        <w:rPr>
          <w:rFonts w:ascii="Arial" w:hAnsi="Arial" w:cs="Arial"/>
        </w:rPr>
      </w:pPr>
    </w:p>
    <w:p w:rsidR="00A722F8" w:rsidRPr="003E0825" w:rsidRDefault="00A722F8" w:rsidP="007E4C99">
      <w:pPr>
        <w:pStyle w:val="Prrafodelista"/>
        <w:spacing w:line="480" w:lineRule="auto"/>
        <w:ind w:left="851"/>
        <w:jc w:val="both"/>
        <w:rPr>
          <w:rFonts w:ascii="Arial" w:hAnsi="Arial" w:cs="Arial"/>
        </w:rPr>
      </w:pPr>
      <w:r w:rsidRPr="003E0825">
        <w:rPr>
          <w:rFonts w:ascii="Arial" w:hAnsi="Arial" w:cs="Arial"/>
        </w:rPr>
        <w:t>Las TIC</w:t>
      </w:r>
      <w:r>
        <w:rPr>
          <w:rFonts w:ascii="Arial" w:hAnsi="Arial" w:cs="Arial"/>
        </w:rPr>
        <w:t>’s</w:t>
      </w:r>
      <w:r w:rsidRPr="003E0825">
        <w:rPr>
          <w:rFonts w:ascii="Arial" w:hAnsi="Arial" w:cs="Arial"/>
        </w:rPr>
        <w:t xml:space="preserve"> son un factor importante para el desarrollo de la sociedad, en ellas se incluyen tenencia de televisor, línea telefónica fija o móvil, tenencia de computadora, acceso a Internet entre otras, pero las TIC no solo se refieren a poseer equipos sino también al uso que le demos a los mismos; por tanto es necesario poder medir estas características en los censos, en Ecuador en el Censo del año 2010 fue la primera vez que </w:t>
      </w:r>
      <w:r>
        <w:rPr>
          <w:rFonts w:ascii="Arial" w:hAnsi="Arial" w:cs="Arial"/>
        </w:rPr>
        <w:t xml:space="preserve">en un Censo </w:t>
      </w:r>
      <w:r w:rsidRPr="003E0825">
        <w:rPr>
          <w:rFonts w:ascii="Arial" w:hAnsi="Arial" w:cs="Arial"/>
        </w:rPr>
        <w:t xml:space="preserve">se midió la tenencia de computadora, el acceso a Internet, así como también si en los últimos meses ha utilizado teléfono celular, computadora o accedido a Internet con la finalidad de medir el analfabetismo digital. En esta subsección, vamos a considerar solo la tenencia de telefonía fija, computadora y el acceso a Internet en los hogares de los emigrantes manabitas que residen en otras provincias del país. Entonces, en base a estas variables tenemos que la provincia que presenta un mayor porcentaje de hogares en donde se puede acceder a estos dispositivos y servicios es Galápagos, pues en el 72.90% de los hogares se tiene disponibilidad de </w:t>
      </w:r>
      <w:r w:rsidRPr="003E0825">
        <w:rPr>
          <w:rFonts w:ascii="Arial" w:hAnsi="Arial" w:cs="Arial"/>
        </w:rPr>
        <w:lastRenderedPageBreak/>
        <w:t xml:space="preserve">teléfono fijo, en el 45.70% hay computadora y en el 17.20% hay conexión a Internet. </w:t>
      </w:r>
    </w:p>
    <w:p w:rsidR="00A722F8" w:rsidRPr="003E0825" w:rsidRDefault="00A722F8" w:rsidP="007E4C99">
      <w:pPr>
        <w:pStyle w:val="Prrafodelista"/>
        <w:spacing w:line="480" w:lineRule="auto"/>
        <w:ind w:left="851"/>
        <w:jc w:val="both"/>
        <w:rPr>
          <w:rFonts w:ascii="Arial" w:hAnsi="Arial" w:cs="Arial"/>
        </w:rPr>
      </w:pPr>
    </w:p>
    <w:p w:rsidR="00A722F8" w:rsidRDefault="00A722F8" w:rsidP="007E4C99">
      <w:pPr>
        <w:pStyle w:val="Prrafodelista"/>
        <w:spacing w:line="480" w:lineRule="auto"/>
        <w:ind w:left="851"/>
        <w:jc w:val="both"/>
        <w:rPr>
          <w:rFonts w:ascii="Arial" w:hAnsi="Arial" w:cs="Arial"/>
        </w:rPr>
      </w:pPr>
      <w:r w:rsidRPr="003E0825">
        <w:rPr>
          <w:rFonts w:ascii="Arial" w:hAnsi="Arial" w:cs="Arial"/>
        </w:rPr>
        <w:t xml:space="preserve">Para Guayas y Pichincha los dos grandes centros económicos del país, estos porcentajes disminuyen considerablemente con respecto a Galápagos, como se muestra en la </w:t>
      </w:r>
      <w:r w:rsidRPr="007E4C99">
        <w:rPr>
          <w:rFonts w:ascii="Arial" w:hAnsi="Arial" w:cs="Arial"/>
          <w:i/>
        </w:rPr>
        <w:t>Tabla 2.1</w:t>
      </w:r>
      <w:r w:rsidR="007E4C99">
        <w:rPr>
          <w:rFonts w:ascii="Arial" w:hAnsi="Arial" w:cs="Arial"/>
          <w:i/>
        </w:rPr>
        <w:t>4</w:t>
      </w:r>
      <w:r w:rsidR="002731BB">
        <w:rPr>
          <w:rFonts w:ascii="Arial" w:hAnsi="Arial" w:cs="Arial"/>
        </w:rPr>
        <w:t xml:space="preserve">, en Guayas </w:t>
      </w:r>
      <w:r w:rsidRPr="003E0825">
        <w:rPr>
          <w:rFonts w:ascii="Arial" w:hAnsi="Arial" w:cs="Arial"/>
        </w:rPr>
        <w:t xml:space="preserve">el </w:t>
      </w:r>
      <w:r w:rsidR="002731BB">
        <w:rPr>
          <w:rFonts w:ascii="Arial" w:hAnsi="Arial" w:cs="Arial"/>
        </w:rPr>
        <w:t>25</w:t>
      </w:r>
      <w:r w:rsidRPr="003E0825">
        <w:rPr>
          <w:rFonts w:ascii="Arial" w:hAnsi="Arial" w:cs="Arial"/>
        </w:rPr>
        <w:t>.</w:t>
      </w:r>
      <w:r w:rsidR="002731BB">
        <w:rPr>
          <w:rFonts w:ascii="Arial" w:hAnsi="Arial" w:cs="Arial"/>
        </w:rPr>
        <w:t>8</w:t>
      </w:r>
      <w:r w:rsidRPr="003E0825">
        <w:rPr>
          <w:rFonts w:ascii="Arial" w:hAnsi="Arial" w:cs="Arial"/>
        </w:rPr>
        <w:t xml:space="preserve">0% de los hogares donde residen manabitas posee teléfono fijo, el </w:t>
      </w:r>
      <w:r w:rsidR="002731BB">
        <w:rPr>
          <w:rFonts w:ascii="Arial" w:hAnsi="Arial" w:cs="Arial"/>
        </w:rPr>
        <w:t>17.20</w:t>
      </w:r>
      <w:r w:rsidRPr="003E0825">
        <w:rPr>
          <w:rFonts w:ascii="Arial" w:hAnsi="Arial" w:cs="Arial"/>
        </w:rPr>
        <w:t xml:space="preserve">% y el </w:t>
      </w:r>
      <w:r w:rsidR="002731BB">
        <w:rPr>
          <w:rFonts w:ascii="Arial" w:hAnsi="Arial" w:cs="Arial"/>
        </w:rPr>
        <w:t>9</w:t>
      </w:r>
      <w:r w:rsidRPr="003E0825">
        <w:rPr>
          <w:rFonts w:ascii="Arial" w:hAnsi="Arial" w:cs="Arial"/>
        </w:rPr>
        <w:t>.30% tienen computadora y acceso a Internet respectivamente. Pichincha presenta un mejor escenario que Guayas, debido a que en el 35.90% de los hogares se dispone de telefonía fija, el 29.50% posee computadora en casa y sólo el 13.90% de los inmigrantes manabitas residentes en esta pr</w:t>
      </w:r>
      <w:r w:rsidR="002731BB">
        <w:rPr>
          <w:rFonts w:ascii="Arial" w:hAnsi="Arial" w:cs="Arial"/>
        </w:rPr>
        <w:t>ovincia tiene acceso a Internet; m</w:t>
      </w:r>
      <w:r w:rsidRPr="003E0825">
        <w:rPr>
          <w:rFonts w:ascii="Arial" w:hAnsi="Arial" w:cs="Arial"/>
        </w:rPr>
        <w:t>ientras que para los manabitas que viven en Bolívar, en el 18.60% de los hogares se tiene teléfono fijo, el 10% posee computadoras y tan sólo el 1.80% posee acceso a Internet. De los emigrantes de Manabí que residen en Ca</w:t>
      </w:r>
      <w:r w:rsidR="002731BB">
        <w:rPr>
          <w:rFonts w:ascii="Arial" w:hAnsi="Arial" w:cs="Arial"/>
        </w:rPr>
        <w:t>ñar</w:t>
      </w:r>
      <w:r w:rsidRPr="003E0825">
        <w:rPr>
          <w:rFonts w:ascii="Arial" w:hAnsi="Arial" w:cs="Arial"/>
        </w:rPr>
        <w:t xml:space="preserve">, sólo en el 10.90% de los hogares se posee línea telefónica, un 2.80% posee acceso a Internet y el 6.10% tienen disponibilidad de computadora en casa. </w:t>
      </w:r>
    </w:p>
    <w:p w:rsidR="00A722F8" w:rsidRDefault="00A722F8" w:rsidP="007E4C99">
      <w:pPr>
        <w:pStyle w:val="Prrafodelista"/>
        <w:spacing w:line="480" w:lineRule="auto"/>
        <w:ind w:left="851"/>
        <w:jc w:val="both"/>
        <w:rPr>
          <w:rFonts w:ascii="Arial" w:hAnsi="Arial" w:cs="Arial"/>
        </w:rPr>
      </w:pPr>
    </w:p>
    <w:p w:rsidR="00A722F8" w:rsidRDefault="00A722F8" w:rsidP="007E4C99">
      <w:pPr>
        <w:pStyle w:val="Prrafodelista"/>
        <w:spacing w:line="480" w:lineRule="auto"/>
        <w:ind w:left="851"/>
        <w:jc w:val="both"/>
        <w:rPr>
          <w:rFonts w:ascii="Arial" w:hAnsi="Arial" w:cs="Arial"/>
        </w:rPr>
      </w:pPr>
      <w:r w:rsidRPr="003E0825">
        <w:rPr>
          <w:rFonts w:ascii="Arial" w:hAnsi="Arial" w:cs="Arial"/>
        </w:rPr>
        <w:t xml:space="preserve">En el Oriente, la provincia donde hay mayor porcentaje de posesión de teléfono fijo y computadora es en Morona Santiago, donde en alrededor del 31.10% de los hogares se </w:t>
      </w:r>
      <w:r w:rsidR="00AE13C0">
        <w:rPr>
          <w:rFonts w:ascii="Arial" w:hAnsi="Arial" w:cs="Arial"/>
        </w:rPr>
        <w:t>posee</w:t>
      </w:r>
      <w:r w:rsidRPr="003E0825">
        <w:rPr>
          <w:rFonts w:ascii="Arial" w:hAnsi="Arial" w:cs="Arial"/>
        </w:rPr>
        <w:t xml:space="preserve"> teléfono fijo, en el 29.10% se puede encontrar computadora y acceso a Internet en un 10.70% de los hogares donde viven manabitas; mientras que las provincias que presentan bajos porcentajes de posesión de teléfono, computadora y acceso a Internet en la </w:t>
      </w:r>
      <w:r w:rsidRPr="003E0825">
        <w:rPr>
          <w:rFonts w:ascii="Arial" w:hAnsi="Arial" w:cs="Arial"/>
        </w:rPr>
        <w:lastRenderedPageBreak/>
        <w:t xml:space="preserve">región son Sucumbíos y Orellana, debido a que en Sucumbíos solo en el 16.10% de los hogares se dispone de teléfono, en el 13.90% de computadora y en el 5.20% conexión a Internet. </w:t>
      </w:r>
      <w:r w:rsidRPr="00BE0F27">
        <w:rPr>
          <w:rFonts w:ascii="Arial" w:hAnsi="Arial" w:cs="Arial"/>
        </w:rPr>
        <w:t>Como dato adicional, también se ha determinado que del total de personas que han emigrado desde Manabí hacia el resto de provincias del país tan sólo en el 23.51% de los hogares donde ellos residen se posee telefonía fija, en el 16.43% de los hogares se puede encontrar por lo menos una computadora y sólo en el 8.28% de éstos hay acceso a Internet.</w:t>
      </w:r>
      <w:r>
        <w:rPr>
          <w:rFonts w:ascii="Arial" w:hAnsi="Arial" w:cs="Arial"/>
        </w:rPr>
        <w:t xml:space="preserve"> </w:t>
      </w:r>
      <w:r w:rsidRPr="00685C15">
        <w:rPr>
          <w:rFonts w:ascii="Arial" w:hAnsi="Arial" w:cs="Arial"/>
          <w:i/>
        </w:rPr>
        <w:t>Véase Tabla 2.1</w:t>
      </w:r>
      <w:r w:rsidR="007E4C99">
        <w:rPr>
          <w:rFonts w:ascii="Arial" w:hAnsi="Arial" w:cs="Arial"/>
          <w:i/>
        </w:rPr>
        <w:t>4</w:t>
      </w:r>
      <w:r w:rsidRPr="003E0825">
        <w:rPr>
          <w:rFonts w:ascii="Arial" w:hAnsi="Arial" w:cs="Arial"/>
        </w:rPr>
        <w:t>.</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A722F8" w:rsidRPr="00840530" w:rsidTr="002731BB">
        <w:trPr>
          <w:trHeight w:val="6180"/>
          <w:jc w:val="right"/>
        </w:trPr>
        <w:tc>
          <w:tcPr>
            <w:tcW w:w="7535" w:type="dxa"/>
          </w:tcPr>
          <w:p w:rsidR="00A722F8" w:rsidRDefault="00A722F8" w:rsidP="003F1262">
            <w:pPr>
              <w:ind w:left="-108"/>
              <w:rPr>
                <w:rFonts w:ascii="Arial" w:hAnsi="Arial" w:cs="Arial"/>
                <w:b/>
                <w:sz w:val="16"/>
                <w:szCs w:val="16"/>
              </w:rPr>
            </w:pPr>
          </w:p>
          <w:p w:rsidR="007E124F" w:rsidRPr="007E124F" w:rsidRDefault="007E124F" w:rsidP="007E124F">
            <w:pPr>
              <w:keepNext/>
              <w:rPr>
                <w:rFonts w:ascii="Arial" w:hAnsi="Arial" w:cs="Arial"/>
                <w:b/>
                <w:sz w:val="16"/>
                <w:szCs w:val="16"/>
              </w:rPr>
            </w:pPr>
            <w:bookmarkStart w:id="313" w:name="_Toc341041589"/>
            <w:r w:rsidRPr="007E124F">
              <w:rPr>
                <w:rFonts w:ascii="Arial" w:hAnsi="Arial" w:cs="Arial"/>
                <w:b/>
                <w:sz w:val="16"/>
                <w:szCs w:val="16"/>
              </w:rPr>
              <w:t>Tabla</w:t>
            </w:r>
            <w:r>
              <w:rPr>
                <w:rFonts w:ascii="Arial" w:hAnsi="Arial" w:cs="Arial"/>
                <w:b/>
                <w:sz w:val="16"/>
                <w:szCs w:val="16"/>
              </w:rPr>
              <w:t xml:space="preserve"> </w:t>
            </w:r>
            <w:r w:rsidRPr="007E124F">
              <w:rPr>
                <w:rFonts w:ascii="Arial" w:hAnsi="Arial" w:cs="Arial"/>
                <w:b/>
                <w:sz w:val="16"/>
                <w:szCs w:val="16"/>
              </w:rPr>
              <w:t>2.</w:t>
            </w:r>
            <w:r w:rsidR="00990535" w:rsidRPr="007E124F">
              <w:rPr>
                <w:rFonts w:ascii="Arial" w:hAnsi="Arial" w:cs="Arial"/>
                <w:b/>
                <w:sz w:val="16"/>
                <w:szCs w:val="16"/>
              </w:rPr>
              <w:fldChar w:fldCharType="begin"/>
            </w:r>
            <w:r w:rsidRPr="007E124F">
              <w:rPr>
                <w:rFonts w:ascii="Arial" w:hAnsi="Arial" w:cs="Arial"/>
                <w:b/>
                <w:sz w:val="16"/>
                <w:szCs w:val="16"/>
              </w:rPr>
              <w:instrText xml:space="preserve"> SEQ Tabla2. \* ARABIC </w:instrText>
            </w:r>
            <w:r w:rsidR="00990535" w:rsidRPr="007E124F">
              <w:rPr>
                <w:rFonts w:ascii="Arial" w:hAnsi="Arial" w:cs="Arial"/>
                <w:b/>
                <w:sz w:val="16"/>
                <w:szCs w:val="16"/>
              </w:rPr>
              <w:fldChar w:fldCharType="separate"/>
            </w:r>
            <w:r w:rsidR="00A242E0">
              <w:rPr>
                <w:rFonts w:ascii="Arial" w:hAnsi="Arial" w:cs="Arial"/>
                <w:b/>
                <w:noProof/>
                <w:sz w:val="16"/>
                <w:szCs w:val="16"/>
              </w:rPr>
              <w:t>14</w:t>
            </w:r>
            <w:bookmarkEnd w:id="313"/>
            <w:r w:rsidR="00990535" w:rsidRPr="007E124F">
              <w:rPr>
                <w:rFonts w:ascii="Arial" w:hAnsi="Arial" w:cs="Arial"/>
                <w:b/>
                <w:sz w:val="16"/>
                <w:szCs w:val="16"/>
              </w:rPr>
              <w:fldChar w:fldCharType="end"/>
            </w:r>
          </w:p>
          <w:p w:rsidR="00A722F8" w:rsidRPr="00685C15" w:rsidRDefault="002731BB" w:rsidP="003F1262">
            <w:pPr>
              <w:rPr>
                <w:rFonts w:ascii="Arial" w:hAnsi="Arial" w:cs="Arial"/>
                <w:i/>
                <w:sz w:val="16"/>
                <w:szCs w:val="16"/>
              </w:rPr>
            </w:pPr>
            <w:r>
              <w:rPr>
                <w:rFonts w:ascii="Arial" w:hAnsi="Arial" w:cs="Arial"/>
                <w:b/>
                <w:i/>
                <w:sz w:val="16"/>
                <w:szCs w:val="16"/>
              </w:rPr>
              <w:t xml:space="preserve">Manabí 2010: </w:t>
            </w:r>
            <w:r w:rsidR="00A722F8" w:rsidRPr="00685C15">
              <w:rPr>
                <w:rFonts w:ascii="Arial" w:hAnsi="Arial" w:cs="Arial"/>
                <w:i/>
                <w:sz w:val="16"/>
                <w:szCs w:val="16"/>
              </w:rPr>
              <w:t>Disponibilidad de teléfono fijo, computadora y acceso a Internet en hogares de</w:t>
            </w:r>
          </w:p>
          <w:p w:rsidR="00A722F8" w:rsidRPr="00685C15" w:rsidRDefault="00A722F8" w:rsidP="003F1262">
            <w:pPr>
              <w:rPr>
                <w:rFonts w:ascii="Arial" w:hAnsi="Arial" w:cs="Arial"/>
                <w:i/>
                <w:sz w:val="16"/>
                <w:szCs w:val="16"/>
              </w:rPr>
            </w:pPr>
            <w:r w:rsidRPr="00685C15">
              <w:rPr>
                <w:rFonts w:ascii="Arial" w:hAnsi="Arial" w:cs="Arial"/>
                <w:i/>
                <w:sz w:val="16"/>
                <w:szCs w:val="16"/>
              </w:rPr>
              <w:t xml:space="preserve">Emigrantes </w:t>
            </w:r>
            <w:r>
              <w:rPr>
                <w:rFonts w:ascii="Arial" w:hAnsi="Arial" w:cs="Arial"/>
                <w:i/>
                <w:sz w:val="16"/>
                <w:szCs w:val="16"/>
              </w:rPr>
              <w:t>manabitas</w:t>
            </w:r>
            <w:r w:rsidRPr="00685C15">
              <w:rPr>
                <w:rFonts w:ascii="Arial" w:hAnsi="Arial" w:cs="Arial"/>
                <w:i/>
                <w:sz w:val="16"/>
                <w:szCs w:val="16"/>
              </w:rPr>
              <w:t xml:space="preserve"> dad</w:t>
            </w:r>
            <w:r>
              <w:rPr>
                <w:rFonts w:ascii="Arial" w:hAnsi="Arial" w:cs="Arial"/>
                <w:i/>
                <w:sz w:val="16"/>
                <w:szCs w:val="16"/>
              </w:rPr>
              <w:t>o que se conoce</w:t>
            </w:r>
            <w:r w:rsidRPr="00685C15">
              <w:rPr>
                <w:rFonts w:ascii="Arial" w:hAnsi="Arial" w:cs="Arial"/>
                <w:i/>
                <w:sz w:val="16"/>
                <w:szCs w:val="16"/>
              </w:rPr>
              <w:t xml:space="preserve"> la provincia de Residencia habitual</w:t>
            </w:r>
          </w:p>
          <w:p w:rsidR="00A722F8" w:rsidRDefault="00A722F8" w:rsidP="003F1262">
            <w:pPr>
              <w:rPr>
                <w:rFonts w:ascii="Arial" w:hAnsi="Arial" w:cs="Arial"/>
                <w:b/>
                <w:sz w:val="16"/>
                <w:szCs w:val="16"/>
              </w:rPr>
            </w:pPr>
          </w:p>
          <w:tbl>
            <w:tblPr>
              <w:tblW w:w="6660" w:type="dxa"/>
              <w:jc w:val="center"/>
              <w:tblCellMar>
                <w:left w:w="70" w:type="dxa"/>
                <w:right w:w="70" w:type="dxa"/>
              </w:tblCellMar>
              <w:tblLook w:val="04A0" w:firstRow="1" w:lastRow="0" w:firstColumn="1" w:lastColumn="0" w:noHBand="0" w:noVBand="1"/>
            </w:tblPr>
            <w:tblGrid>
              <w:gridCol w:w="1880"/>
              <w:gridCol w:w="1620"/>
              <w:gridCol w:w="1620"/>
              <w:gridCol w:w="1540"/>
            </w:tblGrid>
            <w:tr w:rsidR="00A722F8" w:rsidRPr="00CE30DB" w:rsidTr="002731BB">
              <w:trPr>
                <w:trHeight w:val="567"/>
                <w:jc w:val="center"/>
              </w:trPr>
              <w:tc>
                <w:tcPr>
                  <w:tcW w:w="1880" w:type="dxa"/>
                  <w:tcBorders>
                    <w:top w:val="single" w:sz="4" w:space="0" w:color="auto"/>
                    <w:left w:val="nil"/>
                    <w:bottom w:val="single" w:sz="4" w:space="0" w:color="auto"/>
                    <w:right w:val="nil"/>
                  </w:tcBorders>
                  <w:shd w:val="clear" w:color="auto" w:fill="auto"/>
                  <w:vAlign w:val="center"/>
                  <w:hideMark/>
                </w:tcPr>
                <w:p w:rsidR="00A722F8" w:rsidRPr="00CE30DB" w:rsidRDefault="00A722F8" w:rsidP="003F1262">
                  <w:pPr>
                    <w:rPr>
                      <w:rFonts w:ascii="Arial" w:eastAsia="Times New Roman" w:hAnsi="Arial" w:cs="Arial"/>
                      <w:b/>
                      <w:bCs/>
                      <w:sz w:val="16"/>
                      <w:szCs w:val="16"/>
                      <w:lang w:eastAsia="es-EC"/>
                    </w:rPr>
                  </w:pPr>
                  <w:r w:rsidRPr="00CE30DB">
                    <w:rPr>
                      <w:rFonts w:ascii="Arial" w:eastAsia="Times New Roman" w:hAnsi="Arial" w:cs="Arial"/>
                      <w:b/>
                      <w:bCs/>
                      <w:sz w:val="16"/>
                      <w:szCs w:val="16"/>
                      <w:lang w:eastAsia="es-EC"/>
                    </w:rPr>
                    <w:t>Provincia de Residencia</w:t>
                  </w:r>
                </w:p>
              </w:tc>
              <w:tc>
                <w:tcPr>
                  <w:tcW w:w="1620" w:type="dxa"/>
                  <w:tcBorders>
                    <w:top w:val="single" w:sz="4" w:space="0" w:color="auto"/>
                    <w:left w:val="nil"/>
                    <w:bottom w:val="single" w:sz="4" w:space="0" w:color="auto"/>
                    <w:right w:val="nil"/>
                  </w:tcBorders>
                  <w:shd w:val="clear" w:color="auto" w:fill="auto"/>
                  <w:vAlign w:val="center"/>
                  <w:hideMark/>
                </w:tcPr>
                <w:p w:rsidR="00A722F8" w:rsidRPr="00CE30DB" w:rsidRDefault="00A722F8" w:rsidP="003F1262">
                  <w:pPr>
                    <w:rPr>
                      <w:rFonts w:ascii="Arial" w:eastAsia="Times New Roman" w:hAnsi="Arial" w:cs="Arial"/>
                      <w:b/>
                      <w:bCs/>
                      <w:color w:val="000000"/>
                      <w:sz w:val="16"/>
                      <w:szCs w:val="16"/>
                      <w:lang w:eastAsia="es-EC"/>
                    </w:rPr>
                  </w:pPr>
                  <w:r w:rsidRPr="00CE30DB">
                    <w:rPr>
                      <w:rFonts w:ascii="Arial" w:eastAsia="Times New Roman" w:hAnsi="Arial" w:cs="Arial"/>
                      <w:b/>
                      <w:bCs/>
                      <w:color w:val="000000"/>
                      <w:sz w:val="16"/>
                      <w:szCs w:val="16"/>
                      <w:lang w:eastAsia="es-EC"/>
                    </w:rPr>
                    <w:t>Disponibilidad de Teléfono fijo</w:t>
                  </w:r>
                </w:p>
              </w:tc>
              <w:tc>
                <w:tcPr>
                  <w:tcW w:w="1620" w:type="dxa"/>
                  <w:tcBorders>
                    <w:top w:val="single" w:sz="4" w:space="0" w:color="auto"/>
                    <w:left w:val="nil"/>
                    <w:bottom w:val="single" w:sz="4" w:space="0" w:color="auto"/>
                    <w:right w:val="nil"/>
                  </w:tcBorders>
                  <w:shd w:val="clear" w:color="auto" w:fill="auto"/>
                  <w:vAlign w:val="center"/>
                  <w:hideMark/>
                </w:tcPr>
                <w:p w:rsidR="00A722F8" w:rsidRPr="00CE30DB" w:rsidRDefault="00A722F8" w:rsidP="003F1262">
                  <w:pPr>
                    <w:rPr>
                      <w:rFonts w:ascii="Arial" w:eastAsia="Times New Roman" w:hAnsi="Arial" w:cs="Arial"/>
                      <w:b/>
                      <w:bCs/>
                      <w:color w:val="000000"/>
                      <w:sz w:val="16"/>
                      <w:szCs w:val="16"/>
                      <w:lang w:eastAsia="es-EC"/>
                    </w:rPr>
                  </w:pPr>
                  <w:r w:rsidRPr="00CE30DB">
                    <w:rPr>
                      <w:rFonts w:ascii="Arial" w:eastAsia="Times New Roman" w:hAnsi="Arial" w:cs="Arial"/>
                      <w:b/>
                      <w:bCs/>
                      <w:color w:val="000000"/>
                      <w:sz w:val="16"/>
                      <w:szCs w:val="16"/>
                      <w:lang w:eastAsia="es-EC"/>
                    </w:rPr>
                    <w:t>Disponibilidad de Computadora</w:t>
                  </w:r>
                </w:p>
              </w:tc>
              <w:tc>
                <w:tcPr>
                  <w:tcW w:w="1540" w:type="dxa"/>
                  <w:tcBorders>
                    <w:top w:val="single" w:sz="4" w:space="0" w:color="auto"/>
                    <w:left w:val="nil"/>
                    <w:bottom w:val="single" w:sz="4" w:space="0" w:color="auto"/>
                    <w:right w:val="nil"/>
                  </w:tcBorders>
                  <w:shd w:val="clear" w:color="auto" w:fill="auto"/>
                  <w:vAlign w:val="center"/>
                  <w:hideMark/>
                </w:tcPr>
                <w:p w:rsidR="00A722F8" w:rsidRDefault="00A722F8" w:rsidP="003F1262">
                  <w:pPr>
                    <w:rPr>
                      <w:rFonts w:ascii="Arial" w:eastAsia="Times New Roman" w:hAnsi="Arial" w:cs="Arial"/>
                      <w:b/>
                      <w:bCs/>
                      <w:color w:val="000000"/>
                      <w:sz w:val="16"/>
                      <w:szCs w:val="16"/>
                      <w:lang w:eastAsia="es-EC"/>
                    </w:rPr>
                  </w:pPr>
                  <w:r w:rsidRPr="00CE30DB">
                    <w:rPr>
                      <w:rFonts w:ascii="Arial" w:eastAsia="Times New Roman" w:hAnsi="Arial" w:cs="Arial"/>
                      <w:b/>
                      <w:bCs/>
                      <w:color w:val="000000"/>
                      <w:sz w:val="16"/>
                      <w:szCs w:val="16"/>
                      <w:lang w:eastAsia="es-EC"/>
                    </w:rPr>
                    <w:t>Acceso a</w:t>
                  </w:r>
                </w:p>
                <w:p w:rsidR="00A722F8" w:rsidRPr="00CE30DB" w:rsidRDefault="00A722F8" w:rsidP="003F1262">
                  <w:pPr>
                    <w:rPr>
                      <w:rFonts w:ascii="Arial" w:eastAsia="Times New Roman" w:hAnsi="Arial" w:cs="Arial"/>
                      <w:b/>
                      <w:bCs/>
                      <w:color w:val="000000"/>
                      <w:sz w:val="16"/>
                      <w:szCs w:val="16"/>
                      <w:lang w:eastAsia="es-EC"/>
                    </w:rPr>
                  </w:pPr>
                  <w:r w:rsidRPr="00CE30DB">
                    <w:rPr>
                      <w:rFonts w:ascii="Arial" w:eastAsia="Times New Roman" w:hAnsi="Arial" w:cs="Arial"/>
                      <w:b/>
                      <w:bCs/>
                      <w:color w:val="000000"/>
                      <w:sz w:val="16"/>
                      <w:szCs w:val="16"/>
                      <w:lang w:eastAsia="es-EC"/>
                    </w:rPr>
                    <w:t>Internet</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Azuay</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0.218</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0.270</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0.085</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Bolívar</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0.186</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0.100</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0.018</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Cañar</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0.109</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0.061</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0.028</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Carchi</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0.327</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0.238</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0.075</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Cotopaxi</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0.162</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0.079</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0.027</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Chimborazo</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0.340</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0.359</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0.103</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El Oro</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0.116</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0.122</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0.065</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Esmeraldas</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0.164</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0.090</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0.053</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Guayas</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0.258</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0.172</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0.093</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Imbabura</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0.297</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0.327</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0.125</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Loja</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0.260</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0.335</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0.094</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Los Ríos</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0.120</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0.085</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0.040</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Morona Santiago</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0.311</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0.291</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0.107</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Napo</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0.273</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0.225</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0.125</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Pastaza</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0.258</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0.281</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0.109</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Pichincha</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0.359</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0.295</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0.139</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Tungurahua</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0.286</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0.271</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0.109</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Zamora Chinchipe</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0.227</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0.173</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0.120</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Galápagos</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0.729</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0.457</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0.172</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Sucumbíos</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0.161</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0.139</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0.052</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Orellana</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0.152</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0.180</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0.079</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Santo Domingo</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0.224</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0.136</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0.055</w:t>
                  </w:r>
                </w:p>
              </w:tc>
            </w:tr>
            <w:tr w:rsidR="00A722F8" w:rsidRPr="00CE30DB" w:rsidTr="003F1262">
              <w:trPr>
                <w:trHeight w:val="20"/>
                <w:jc w:val="center"/>
              </w:trPr>
              <w:tc>
                <w:tcPr>
                  <w:tcW w:w="1880" w:type="dxa"/>
                  <w:tcBorders>
                    <w:top w:val="nil"/>
                    <w:left w:val="nil"/>
                    <w:bottom w:val="nil"/>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Santa Elena</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0.141</w:t>
                  </w:r>
                </w:p>
              </w:tc>
              <w:tc>
                <w:tcPr>
                  <w:tcW w:w="162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0.093</w:t>
                  </w:r>
                </w:p>
              </w:tc>
              <w:tc>
                <w:tcPr>
                  <w:tcW w:w="1540" w:type="dxa"/>
                  <w:tcBorders>
                    <w:top w:val="nil"/>
                    <w:left w:val="nil"/>
                    <w:bottom w:val="nil"/>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0.053</w:t>
                  </w:r>
                </w:p>
              </w:tc>
            </w:tr>
            <w:tr w:rsidR="00A722F8" w:rsidRPr="00CE30DB" w:rsidTr="003F1262">
              <w:trPr>
                <w:trHeight w:val="20"/>
                <w:jc w:val="center"/>
              </w:trPr>
              <w:tc>
                <w:tcPr>
                  <w:tcW w:w="1880" w:type="dxa"/>
                  <w:tcBorders>
                    <w:top w:val="nil"/>
                    <w:left w:val="nil"/>
                    <w:bottom w:val="single" w:sz="4" w:space="0" w:color="auto"/>
                    <w:right w:val="nil"/>
                  </w:tcBorders>
                  <w:shd w:val="clear" w:color="auto" w:fill="auto"/>
                  <w:vAlign w:val="center"/>
                  <w:hideMark/>
                </w:tcPr>
                <w:p w:rsidR="00A722F8" w:rsidRPr="00CE30DB" w:rsidRDefault="00A722F8" w:rsidP="001936DC">
                  <w:pPr>
                    <w:jc w:val="left"/>
                    <w:rPr>
                      <w:rFonts w:ascii="Arial" w:eastAsia="Times New Roman" w:hAnsi="Arial" w:cs="Arial"/>
                      <w:color w:val="000000"/>
                      <w:sz w:val="16"/>
                      <w:szCs w:val="16"/>
                      <w:lang w:eastAsia="es-EC"/>
                    </w:rPr>
                  </w:pPr>
                  <w:r w:rsidRPr="00CE30DB">
                    <w:rPr>
                      <w:rFonts w:ascii="Arial" w:eastAsia="Times New Roman" w:hAnsi="Arial" w:cs="Arial"/>
                      <w:color w:val="000000"/>
                      <w:sz w:val="16"/>
                      <w:szCs w:val="16"/>
                      <w:lang w:eastAsia="es-EC"/>
                    </w:rPr>
                    <w:t>Zonas No Delimitadas</w:t>
                  </w:r>
                </w:p>
              </w:tc>
              <w:tc>
                <w:tcPr>
                  <w:tcW w:w="1620" w:type="dxa"/>
                  <w:tcBorders>
                    <w:top w:val="nil"/>
                    <w:left w:val="nil"/>
                    <w:bottom w:val="single" w:sz="4" w:space="0" w:color="auto"/>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0.048</w:t>
                  </w:r>
                </w:p>
              </w:tc>
              <w:tc>
                <w:tcPr>
                  <w:tcW w:w="1620" w:type="dxa"/>
                  <w:tcBorders>
                    <w:top w:val="nil"/>
                    <w:left w:val="nil"/>
                    <w:bottom w:val="single" w:sz="4" w:space="0" w:color="auto"/>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0.053</w:t>
                  </w:r>
                </w:p>
              </w:tc>
              <w:tc>
                <w:tcPr>
                  <w:tcW w:w="1540" w:type="dxa"/>
                  <w:tcBorders>
                    <w:top w:val="nil"/>
                    <w:left w:val="nil"/>
                    <w:bottom w:val="single" w:sz="4" w:space="0" w:color="auto"/>
                    <w:right w:val="nil"/>
                  </w:tcBorders>
                  <w:shd w:val="clear" w:color="auto" w:fill="auto"/>
                  <w:noWrap/>
                  <w:vAlign w:val="center"/>
                  <w:hideMark/>
                </w:tcPr>
                <w:p w:rsidR="00A722F8" w:rsidRPr="00CE30DB" w:rsidRDefault="00A722F8" w:rsidP="003F1262">
                  <w:pPr>
                    <w:rPr>
                      <w:rFonts w:ascii="Arial" w:eastAsia="Times New Roman" w:hAnsi="Arial" w:cs="Arial"/>
                      <w:sz w:val="16"/>
                      <w:szCs w:val="16"/>
                      <w:lang w:eastAsia="es-EC"/>
                    </w:rPr>
                  </w:pPr>
                  <w:r w:rsidRPr="00CE30DB">
                    <w:rPr>
                      <w:rFonts w:ascii="Arial" w:eastAsia="Times New Roman" w:hAnsi="Arial" w:cs="Arial"/>
                      <w:sz w:val="16"/>
                      <w:szCs w:val="16"/>
                      <w:lang w:eastAsia="es-EC"/>
                    </w:rPr>
                    <w:t>0.022</w:t>
                  </w:r>
                </w:p>
              </w:tc>
            </w:tr>
          </w:tbl>
          <w:p w:rsidR="00A722F8" w:rsidRPr="00840530" w:rsidRDefault="00A722F8" w:rsidP="003F1262">
            <w:pPr>
              <w:jc w:val="both"/>
              <w:rPr>
                <w:rFonts w:ascii="Arial" w:hAnsi="Arial" w:cs="Arial"/>
                <w:sz w:val="24"/>
                <w:szCs w:val="24"/>
              </w:rPr>
            </w:pPr>
          </w:p>
        </w:tc>
      </w:tr>
    </w:tbl>
    <w:p w:rsidR="00A722F8" w:rsidRPr="003429FB" w:rsidRDefault="00A722F8" w:rsidP="002731BB">
      <w:pPr>
        <w:pStyle w:val="Prrafodelista"/>
        <w:spacing w:line="276" w:lineRule="auto"/>
        <w:ind w:left="851"/>
        <w:jc w:val="both"/>
        <w:rPr>
          <w:rFonts w:ascii="Arial" w:hAnsi="Arial" w:cs="Arial"/>
          <w:sz w:val="18"/>
          <w:szCs w:val="18"/>
        </w:rPr>
      </w:pPr>
    </w:p>
    <w:p w:rsidR="00A722F8" w:rsidRPr="003429FB" w:rsidRDefault="00A722F8" w:rsidP="002731BB">
      <w:pPr>
        <w:pStyle w:val="Prrafodelista"/>
        <w:spacing w:line="276" w:lineRule="auto"/>
        <w:ind w:left="851"/>
        <w:jc w:val="both"/>
        <w:rPr>
          <w:rFonts w:ascii="Arial" w:hAnsi="Arial" w:cs="Arial"/>
          <w:sz w:val="18"/>
          <w:szCs w:val="18"/>
        </w:rPr>
      </w:pPr>
      <w:r w:rsidRPr="003429FB">
        <w:rPr>
          <w:rFonts w:ascii="Arial" w:hAnsi="Arial" w:cs="Arial"/>
          <w:b/>
          <w:i/>
          <w:sz w:val="18"/>
          <w:szCs w:val="18"/>
        </w:rPr>
        <w:t>Fuente:</w:t>
      </w:r>
      <w:r w:rsidRPr="003429FB">
        <w:rPr>
          <w:rFonts w:ascii="Arial" w:hAnsi="Arial" w:cs="Arial"/>
          <w:sz w:val="18"/>
          <w:szCs w:val="18"/>
        </w:rPr>
        <w:t xml:space="preserve"> </w:t>
      </w:r>
      <w:r w:rsidRPr="003429FB">
        <w:rPr>
          <w:rFonts w:ascii="Arial" w:hAnsi="Arial" w:cs="Arial"/>
          <w:b/>
          <w:sz w:val="18"/>
          <w:szCs w:val="18"/>
        </w:rPr>
        <w:t xml:space="preserve">INEC </w:t>
      </w:r>
      <w:r w:rsidRPr="003429FB">
        <w:rPr>
          <w:rFonts w:ascii="Arial" w:hAnsi="Arial" w:cs="Arial"/>
          <w:sz w:val="18"/>
          <w:szCs w:val="18"/>
        </w:rPr>
        <w:t>(2010), Base de Datos del VII Censo de Población y VI de Vivienda.</w:t>
      </w:r>
    </w:p>
    <w:p w:rsidR="00A722F8" w:rsidRDefault="00A722F8" w:rsidP="002731BB">
      <w:pPr>
        <w:pStyle w:val="Prrafodelista"/>
        <w:spacing w:line="276" w:lineRule="auto"/>
        <w:ind w:left="851"/>
        <w:jc w:val="both"/>
        <w:rPr>
          <w:rFonts w:ascii="Arial" w:hAnsi="Arial" w:cs="Arial"/>
          <w:sz w:val="18"/>
          <w:szCs w:val="18"/>
        </w:rPr>
      </w:pPr>
      <w:r w:rsidRPr="003429FB">
        <w:rPr>
          <w:rFonts w:ascii="Arial" w:hAnsi="Arial" w:cs="Arial"/>
          <w:b/>
          <w:i/>
          <w:sz w:val="18"/>
          <w:szCs w:val="18"/>
        </w:rPr>
        <w:t>Elaborado por:</w:t>
      </w:r>
      <w:r w:rsidRPr="003429FB">
        <w:rPr>
          <w:rFonts w:ascii="Arial" w:hAnsi="Arial" w:cs="Arial"/>
          <w:sz w:val="18"/>
          <w:szCs w:val="18"/>
        </w:rPr>
        <w:t xml:space="preserve"> Katherine Loor Valeriano</w:t>
      </w:r>
    </w:p>
    <w:p w:rsidR="002731BB" w:rsidRDefault="002731BB" w:rsidP="002731BB">
      <w:pPr>
        <w:pStyle w:val="Prrafodelista"/>
        <w:spacing w:line="480" w:lineRule="auto"/>
        <w:ind w:left="851"/>
        <w:jc w:val="both"/>
        <w:rPr>
          <w:rFonts w:ascii="Arial" w:hAnsi="Arial" w:cs="Arial"/>
        </w:rPr>
      </w:pPr>
    </w:p>
    <w:p w:rsidR="002731BB" w:rsidRPr="002731BB" w:rsidRDefault="002731BB" w:rsidP="002731BB">
      <w:pPr>
        <w:pStyle w:val="Prrafodelista"/>
        <w:spacing w:line="480" w:lineRule="auto"/>
        <w:ind w:left="851"/>
        <w:jc w:val="both"/>
        <w:rPr>
          <w:rFonts w:ascii="Arial" w:hAnsi="Arial" w:cs="Arial"/>
        </w:rPr>
      </w:pPr>
    </w:p>
    <w:p w:rsidR="00A722F8" w:rsidRPr="00BE0F27" w:rsidRDefault="00A722F8" w:rsidP="0041640C">
      <w:pPr>
        <w:pStyle w:val="TesisTitulo10"/>
        <w:numPr>
          <w:ilvl w:val="1"/>
          <w:numId w:val="9"/>
        </w:numPr>
        <w:ind w:left="993" w:hanging="709"/>
      </w:pPr>
      <w:bookmarkStart w:id="314" w:name="_Toc339212699"/>
      <w:bookmarkStart w:id="315" w:name="_Toc341040627"/>
      <w:r w:rsidRPr="00BE0F27">
        <w:lastRenderedPageBreak/>
        <w:t>Perfil de los inmigrantes que residen en Guayaquil</w:t>
      </w:r>
      <w:bookmarkEnd w:id="314"/>
      <w:bookmarkEnd w:id="315"/>
    </w:p>
    <w:p w:rsidR="00A722F8" w:rsidRPr="00BE0F27" w:rsidRDefault="00A722F8" w:rsidP="002731BB">
      <w:pPr>
        <w:pStyle w:val="Prrafodelista"/>
        <w:spacing w:line="480" w:lineRule="auto"/>
        <w:ind w:left="851"/>
        <w:jc w:val="both"/>
        <w:rPr>
          <w:rFonts w:ascii="Arial" w:hAnsi="Arial" w:cs="Arial"/>
        </w:rPr>
      </w:pPr>
      <w:r w:rsidRPr="00BE0F27">
        <w:rPr>
          <w:rFonts w:ascii="Arial" w:hAnsi="Arial" w:cs="Arial"/>
        </w:rPr>
        <w:t xml:space="preserve">Siendo Guayaquil uno de los grandes centros económicos del Ecuador, es de importancia estudiar las características de las personas nacidas en otros cantones del país que viven en calidad de inmigrantes en la Perla del Pacífico. </w:t>
      </w:r>
    </w:p>
    <w:p w:rsidR="00A722F8" w:rsidRPr="00BE0F27" w:rsidRDefault="00A722F8" w:rsidP="002731BB">
      <w:pPr>
        <w:pStyle w:val="Prrafodelista"/>
        <w:spacing w:line="480" w:lineRule="auto"/>
        <w:ind w:left="851"/>
        <w:jc w:val="both"/>
        <w:rPr>
          <w:rFonts w:ascii="Arial" w:hAnsi="Arial" w:cs="Arial"/>
        </w:rPr>
      </w:pPr>
    </w:p>
    <w:p w:rsidR="00A722F8" w:rsidRPr="00BE0F27" w:rsidRDefault="00A722F8" w:rsidP="0041640C">
      <w:pPr>
        <w:pStyle w:val="TesisTitulo20"/>
        <w:numPr>
          <w:ilvl w:val="2"/>
          <w:numId w:val="9"/>
        </w:numPr>
        <w:ind w:left="851" w:firstLine="0"/>
      </w:pPr>
      <w:bookmarkStart w:id="316" w:name="_Toc339212700"/>
      <w:bookmarkStart w:id="317" w:name="_Toc341040628"/>
      <w:r w:rsidRPr="00BE0F27">
        <w:t>Provincia de nacimiento de los inmigrantes residentes en Guayaquil</w:t>
      </w:r>
      <w:bookmarkEnd w:id="316"/>
      <w:bookmarkEnd w:id="317"/>
    </w:p>
    <w:p w:rsidR="00A722F8" w:rsidRPr="00BE0F27" w:rsidRDefault="00A722F8" w:rsidP="002731BB">
      <w:pPr>
        <w:pStyle w:val="Prrafodelista"/>
        <w:spacing w:line="480" w:lineRule="auto"/>
        <w:ind w:left="851"/>
        <w:jc w:val="both"/>
        <w:rPr>
          <w:rFonts w:ascii="Arial" w:hAnsi="Arial" w:cs="Arial"/>
        </w:rPr>
      </w:pPr>
      <w:r w:rsidRPr="00BE0F27">
        <w:rPr>
          <w:rFonts w:ascii="Arial" w:hAnsi="Arial" w:cs="Arial"/>
        </w:rPr>
        <w:t>Según resultados obtenidos a partir de las bases de datos del VII Censo de Población y VI de Vivienda, Ecuador 2010, la población residente en Guayaquil está constituida en un 26.07% por emigrantes provenientes de otras provincias del país, que en términos absolutos equivale a 612726 personas.</w:t>
      </w:r>
    </w:p>
    <w:p w:rsidR="00A722F8" w:rsidRPr="00BE0F27" w:rsidRDefault="00A722F8" w:rsidP="002731BB">
      <w:pPr>
        <w:pStyle w:val="Prrafodelista"/>
        <w:spacing w:line="480" w:lineRule="auto"/>
        <w:ind w:left="851"/>
        <w:jc w:val="both"/>
        <w:rPr>
          <w:rFonts w:ascii="Arial" w:hAnsi="Arial" w:cs="Arial"/>
        </w:rPr>
      </w:pPr>
    </w:p>
    <w:p w:rsidR="00A722F8" w:rsidRDefault="00A722F8" w:rsidP="002731BB">
      <w:pPr>
        <w:pStyle w:val="Prrafodelista"/>
        <w:spacing w:line="480" w:lineRule="auto"/>
        <w:ind w:left="851"/>
        <w:jc w:val="both"/>
        <w:rPr>
          <w:rFonts w:ascii="Arial" w:hAnsi="Arial" w:cs="Arial"/>
        </w:rPr>
      </w:pPr>
      <w:r w:rsidRPr="00BE0F27">
        <w:rPr>
          <w:rFonts w:ascii="Arial" w:hAnsi="Arial" w:cs="Arial"/>
        </w:rPr>
        <w:t xml:space="preserve">En Guayaquil se pueden encontrar personas nativas de cualquier provincia del país, es así que la comunidad de inmigrantes residentes en Guayaquil más grande es proveniente de la provincia de Manabí, pudiéndose encontrar 87.67 manabitas por cada 1000 residentes de Guayaquil. Por otra parte como Ravenstein postula en sus leyes, la mayor parte de las migraciones son de corta distancia, vemos que aquí también se ve reflejado eso, pues el 4.19% de la población residente es proveniente de otros cantones del Guayas, o lo que sería equivalente decir que hay 41.90 inmigrantes de otras provincias del Guayas por cada 1000 personas que residen habitualmente en Guayaquil. Además, la mayor parte de los </w:t>
      </w:r>
      <w:r w:rsidRPr="00BE0F27">
        <w:rPr>
          <w:rFonts w:ascii="Arial" w:hAnsi="Arial" w:cs="Arial"/>
        </w:rPr>
        <w:lastRenderedPageBreak/>
        <w:t>inmigrantes residentes en esta ciudad son oriundos de provincias cercanas como Los Ríos (40.75 por cada 1000 residentes), Esmeraldas (20.74 por cada 1000 residentes), a parte de las ya mencionadas en líneas precedentes</w:t>
      </w:r>
      <w:r w:rsidR="00F91C02">
        <w:rPr>
          <w:rFonts w:ascii="Arial" w:hAnsi="Arial" w:cs="Arial"/>
        </w:rPr>
        <w:t>;</w:t>
      </w:r>
      <w:r w:rsidRPr="00BE0F27">
        <w:rPr>
          <w:rFonts w:ascii="Arial" w:hAnsi="Arial" w:cs="Arial"/>
        </w:rPr>
        <w:t xml:space="preserve"> </w:t>
      </w:r>
      <w:r w:rsidR="00F91C02">
        <w:rPr>
          <w:rFonts w:ascii="Arial" w:hAnsi="Arial" w:cs="Arial"/>
        </w:rPr>
        <w:t>m</w:t>
      </w:r>
      <w:r w:rsidRPr="00BE0F27">
        <w:rPr>
          <w:rFonts w:ascii="Arial" w:hAnsi="Arial" w:cs="Arial"/>
        </w:rPr>
        <w:t xml:space="preserve">ientras que si analizamos los emigrantes provenientes de otras regiones, vemos que la tasa es baja. </w:t>
      </w:r>
      <w:r w:rsidRPr="004C1EC0">
        <w:rPr>
          <w:rFonts w:ascii="Arial" w:hAnsi="Arial" w:cs="Arial"/>
          <w:i/>
        </w:rPr>
        <w:t>Véase Tabla 2.1</w:t>
      </w:r>
      <w:r w:rsidR="002731BB">
        <w:rPr>
          <w:rFonts w:ascii="Arial" w:hAnsi="Arial" w:cs="Arial"/>
          <w:i/>
        </w:rPr>
        <w:t>5</w:t>
      </w:r>
      <w:r w:rsidRPr="00BE0F27">
        <w:rPr>
          <w:rFonts w:ascii="Arial" w:hAnsi="Arial" w:cs="Arial"/>
        </w:rPr>
        <w:t>.</w:t>
      </w:r>
    </w:p>
    <w:tbl>
      <w:tblPr>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A722F8" w:rsidRPr="00840530" w:rsidTr="00805996">
        <w:trPr>
          <w:trHeight w:val="4099"/>
          <w:jc w:val="right"/>
        </w:trPr>
        <w:tc>
          <w:tcPr>
            <w:tcW w:w="7535" w:type="dxa"/>
          </w:tcPr>
          <w:p w:rsidR="00A722F8" w:rsidRDefault="00A722F8" w:rsidP="003F1262">
            <w:pPr>
              <w:rPr>
                <w:rFonts w:ascii="Arial" w:hAnsi="Arial" w:cs="Arial"/>
                <w:b/>
                <w:sz w:val="16"/>
                <w:szCs w:val="16"/>
              </w:rPr>
            </w:pPr>
          </w:p>
          <w:p w:rsidR="00452121" w:rsidRPr="00452121" w:rsidRDefault="00452121" w:rsidP="00452121">
            <w:pPr>
              <w:keepNext/>
              <w:rPr>
                <w:rFonts w:ascii="Arial" w:hAnsi="Arial" w:cs="Arial"/>
                <w:b/>
                <w:sz w:val="16"/>
                <w:szCs w:val="16"/>
              </w:rPr>
            </w:pPr>
            <w:bookmarkStart w:id="318" w:name="_Toc341041590"/>
            <w:r w:rsidRPr="00452121">
              <w:rPr>
                <w:rFonts w:ascii="Arial" w:hAnsi="Arial" w:cs="Arial"/>
                <w:b/>
                <w:sz w:val="16"/>
                <w:szCs w:val="16"/>
              </w:rPr>
              <w:t>Tabla</w:t>
            </w:r>
            <w:r>
              <w:rPr>
                <w:rFonts w:ascii="Arial" w:hAnsi="Arial" w:cs="Arial"/>
                <w:b/>
                <w:sz w:val="16"/>
                <w:szCs w:val="16"/>
              </w:rPr>
              <w:t xml:space="preserve"> </w:t>
            </w:r>
            <w:r w:rsidRPr="00452121">
              <w:rPr>
                <w:rFonts w:ascii="Arial" w:hAnsi="Arial" w:cs="Arial"/>
                <w:b/>
                <w:sz w:val="16"/>
                <w:szCs w:val="16"/>
              </w:rPr>
              <w:t>2.</w:t>
            </w:r>
            <w:r w:rsidR="00990535" w:rsidRPr="00452121">
              <w:rPr>
                <w:rFonts w:ascii="Arial" w:hAnsi="Arial" w:cs="Arial"/>
                <w:b/>
                <w:sz w:val="16"/>
                <w:szCs w:val="16"/>
              </w:rPr>
              <w:fldChar w:fldCharType="begin"/>
            </w:r>
            <w:r w:rsidRPr="00452121">
              <w:rPr>
                <w:rFonts w:ascii="Arial" w:hAnsi="Arial" w:cs="Arial"/>
                <w:b/>
                <w:sz w:val="16"/>
                <w:szCs w:val="16"/>
              </w:rPr>
              <w:instrText xml:space="preserve"> SEQ Tabla2. \* ARABIC </w:instrText>
            </w:r>
            <w:r w:rsidR="00990535" w:rsidRPr="00452121">
              <w:rPr>
                <w:rFonts w:ascii="Arial" w:hAnsi="Arial" w:cs="Arial"/>
                <w:b/>
                <w:sz w:val="16"/>
                <w:szCs w:val="16"/>
              </w:rPr>
              <w:fldChar w:fldCharType="separate"/>
            </w:r>
            <w:r w:rsidR="00A242E0">
              <w:rPr>
                <w:rFonts w:ascii="Arial" w:hAnsi="Arial" w:cs="Arial"/>
                <w:b/>
                <w:noProof/>
                <w:sz w:val="16"/>
                <w:szCs w:val="16"/>
              </w:rPr>
              <w:t>15</w:t>
            </w:r>
            <w:bookmarkEnd w:id="318"/>
            <w:r w:rsidR="00990535" w:rsidRPr="00452121">
              <w:rPr>
                <w:rFonts w:ascii="Arial" w:hAnsi="Arial" w:cs="Arial"/>
                <w:b/>
                <w:sz w:val="16"/>
                <w:szCs w:val="16"/>
              </w:rPr>
              <w:fldChar w:fldCharType="end"/>
            </w:r>
          </w:p>
          <w:p w:rsidR="00A722F8" w:rsidRPr="004C1EC0" w:rsidRDefault="002731BB" w:rsidP="003F1262">
            <w:pPr>
              <w:rPr>
                <w:rFonts w:ascii="Arial" w:hAnsi="Arial" w:cs="Arial"/>
                <w:i/>
                <w:sz w:val="16"/>
                <w:szCs w:val="16"/>
              </w:rPr>
            </w:pPr>
            <w:r>
              <w:rPr>
                <w:rFonts w:ascii="Arial" w:hAnsi="Arial" w:cs="Arial"/>
                <w:b/>
                <w:i/>
                <w:sz w:val="16"/>
                <w:szCs w:val="16"/>
              </w:rPr>
              <w:t xml:space="preserve">Guayaquil 2010: </w:t>
            </w:r>
            <w:r w:rsidR="00A722F8" w:rsidRPr="004C1EC0">
              <w:rPr>
                <w:rFonts w:ascii="Arial" w:hAnsi="Arial" w:cs="Arial"/>
                <w:i/>
                <w:sz w:val="16"/>
                <w:szCs w:val="16"/>
              </w:rPr>
              <w:t>Tasa de Inmigración po</w:t>
            </w:r>
            <w:r w:rsidR="00A722F8">
              <w:rPr>
                <w:rFonts w:ascii="Arial" w:hAnsi="Arial" w:cs="Arial"/>
                <w:i/>
                <w:sz w:val="16"/>
                <w:szCs w:val="16"/>
              </w:rPr>
              <w:t xml:space="preserve">r cada 1000 </w:t>
            </w:r>
            <w:r>
              <w:rPr>
                <w:rFonts w:ascii="Arial" w:hAnsi="Arial" w:cs="Arial"/>
                <w:i/>
                <w:sz w:val="16"/>
                <w:szCs w:val="16"/>
              </w:rPr>
              <w:t>habitantes</w:t>
            </w:r>
            <w:r w:rsidR="00A722F8">
              <w:rPr>
                <w:rFonts w:ascii="Arial" w:hAnsi="Arial" w:cs="Arial"/>
                <w:i/>
                <w:sz w:val="16"/>
                <w:szCs w:val="16"/>
              </w:rPr>
              <w:t xml:space="preserve"> </w:t>
            </w:r>
          </w:p>
          <w:p w:rsidR="00A722F8" w:rsidRPr="00805996" w:rsidRDefault="00A722F8" w:rsidP="003F1262">
            <w:pPr>
              <w:rPr>
                <w:rFonts w:ascii="Arial" w:hAnsi="Arial" w:cs="Arial"/>
                <w:b/>
                <w:sz w:val="12"/>
                <w:szCs w:val="12"/>
              </w:rPr>
            </w:pPr>
          </w:p>
          <w:tbl>
            <w:tblPr>
              <w:tblW w:w="6124" w:type="dxa"/>
              <w:jc w:val="center"/>
              <w:tblCellMar>
                <w:left w:w="70" w:type="dxa"/>
                <w:right w:w="70" w:type="dxa"/>
              </w:tblCellMar>
              <w:tblLook w:val="04A0" w:firstRow="1" w:lastRow="0" w:firstColumn="1" w:lastColumn="0" w:noHBand="0" w:noVBand="1"/>
            </w:tblPr>
            <w:tblGrid>
              <w:gridCol w:w="1701"/>
              <w:gridCol w:w="1361"/>
              <w:gridCol w:w="1701"/>
              <w:gridCol w:w="1361"/>
            </w:tblGrid>
            <w:tr w:rsidR="00A722F8" w:rsidRPr="00662E73" w:rsidTr="00805996">
              <w:trPr>
                <w:trHeight w:val="454"/>
                <w:jc w:val="center"/>
              </w:trPr>
              <w:tc>
                <w:tcPr>
                  <w:tcW w:w="1701" w:type="dxa"/>
                  <w:tcBorders>
                    <w:top w:val="single" w:sz="4" w:space="0" w:color="auto"/>
                    <w:left w:val="nil"/>
                    <w:bottom w:val="single" w:sz="4" w:space="0" w:color="auto"/>
                    <w:right w:val="nil"/>
                  </w:tcBorders>
                  <w:shd w:val="clear" w:color="auto" w:fill="auto"/>
                  <w:noWrap/>
                  <w:vAlign w:val="center"/>
                  <w:hideMark/>
                </w:tcPr>
                <w:p w:rsidR="00A722F8" w:rsidRPr="00662E73" w:rsidRDefault="00A722F8" w:rsidP="003F1262">
                  <w:pPr>
                    <w:rPr>
                      <w:rFonts w:ascii="Arial" w:eastAsia="Times New Roman" w:hAnsi="Arial" w:cs="Arial"/>
                      <w:b/>
                      <w:bCs/>
                      <w:sz w:val="16"/>
                      <w:szCs w:val="16"/>
                      <w:lang w:eastAsia="es-EC"/>
                    </w:rPr>
                  </w:pPr>
                  <w:r w:rsidRPr="00662E73">
                    <w:rPr>
                      <w:rFonts w:ascii="Arial" w:eastAsia="Times New Roman" w:hAnsi="Arial" w:cs="Arial"/>
                      <w:b/>
                      <w:bCs/>
                      <w:sz w:val="16"/>
                      <w:szCs w:val="16"/>
                      <w:lang w:eastAsia="es-EC"/>
                    </w:rPr>
                    <w:t>Provincia de nacimiento</w:t>
                  </w:r>
                </w:p>
              </w:tc>
              <w:tc>
                <w:tcPr>
                  <w:tcW w:w="1361" w:type="dxa"/>
                  <w:tcBorders>
                    <w:top w:val="single" w:sz="4" w:space="0" w:color="auto"/>
                    <w:left w:val="nil"/>
                    <w:bottom w:val="single" w:sz="4" w:space="0" w:color="auto"/>
                    <w:right w:val="nil"/>
                  </w:tcBorders>
                  <w:shd w:val="clear" w:color="auto" w:fill="auto"/>
                  <w:noWrap/>
                  <w:vAlign w:val="center"/>
                  <w:hideMark/>
                </w:tcPr>
                <w:p w:rsidR="00A722F8" w:rsidRPr="00662E73" w:rsidRDefault="00A722F8" w:rsidP="003F1262">
                  <w:pPr>
                    <w:rPr>
                      <w:rFonts w:ascii="Arial" w:eastAsia="Times New Roman" w:hAnsi="Arial" w:cs="Arial"/>
                      <w:b/>
                      <w:bCs/>
                      <w:sz w:val="16"/>
                      <w:szCs w:val="16"/>
                      <w:lang w:eastAsia="es-EC"/>
                    </w:rPr>
                  </w:pPr>
                  <w:r w:rsidRPr="00662E73">
                    <w:rPr>
                      <w:rFonts w:ascii="Arial" w:eastAsia="Times New Roman" w:hAnsi="Arial" w:cs="Arial"/>
                      <w:b/>
                      <w:bCs/>
                      <w:sz w:val="16"/>
                      <w:szCs w:val="16"/>
                      <w:lang w:eastAsia="es-EC"/>
                    </w:rPr>
                    <w:t>Tasa de Inmigración</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A722F8" w:rsidRPr="00662E73" w:rsidRDefault="00A722F8" w:rsidP="003F1262">
                  <w:pPr>
                    <w:rPr>
                      <w:rFonts w:ascii="Arial" w:eastAsia="Times New Roman" w:hAnsi="Arial" w:cs="Arial"/>
                      <w:b/>
                      <w:bCs/>
                      <w:sz w:val="16"/>
                      <w:szCs w:val="16"/>
                      <w:lang w:eastAsia="es-EC"/>
                    </w:rPr>
                  </w:pPr>
                  <w:r w:rsidRPr="00662E73">
                    <w:rPr>
                      <w:rFonts w:ascii="Arial" w:eastAsia="Times New Roman" w:hAnsi="Arial" w:cs="Arial"/>
                      <w:b/>
                      <w:bCs/>
                      <w:sz w:val="16"/>
                      <w:szCs w:val="16"/>
                      <w:lang w:eastAsia="es-EC"/>
                    </w:rPr>
                    <w:t>Provincia de nacimiento</w:t>
                  </w:r>
                </w:p>
              </w:tc>
              <w:tc>
                <w:tcPr>
                  <w:tcW w:w="1361" w:type="dxa"/>
                  <w:tcBorders>
                    <w:top w:val="single" w:sz="4" w:space="0" w:color="auto"/>
                    <w:left w:val="nil"/>
                    <w:bottom w:val="single" w:sz="4" w:space="0" w:color="auto"/>
                    <w:right w:val="nil"/>
                  </w:tcBorders>
                  <w:shd w:val="clear" w:color="auto" w:fill="auto"/>
                  <w:noWrap/>
                  <w:vAlign w:val="center"/>
                  <w:hideMark/>
                </w:tcPr>
                <w:p w:rsidR="00A722F8" w:rsidRPr="00662E73" w:rsidRDefault="00A722F8" w:rsidP="003F1262">
                  <w:pPr>
                    <w:rPr>
                      <w:rFonts w:ascii="Arial" w:eastAsia="Times New Roman" w:hAnsi="Arial" w:cs="Arial"/>
                      <w:b/>
                      <w:bCs/>
                      <w:sz w:val="16"/>
                      <w:szCs w:val="16"/>
                      <w:lang w:eastAsia="es-EC"/>
                    </w:rPr>
                  </w:pPr>
                  <w:r w:rsidRPr="00662E73">
                    <w:rPr>
                      <w:rFonts w:ascii="Arial" w:eastAsia="Times New Roman" w:hAnsi="Arial" w:cs="Arial"/>
                      <w:b/>
                      <w:bCs/>
                      <w:sz w:val="16"/>
                      <w:szCs w:val="16"/>
                      <w:lang w:eastAsia="es-EC"/>
                    </w:rPr>
                    <w:t>Tasa de Inmigración</w:t>
                  </w:r>
                </w:p>
              </w:tc>
            </w:tr>
            <w:tr w:rsidR="00A722F8" w:rsidRPr="00662E73" w:rsidTr="00805996">
              <w:trPr>
                <w:trHeight w:val="20"/>
                <w:jc w:val="center"/>
              </w:trPr>
              <w:tc>
                <w:tcPr>
                  <w:tcW w:w="1701" w:type="dxa"/>
                  <w:tcBorders>
                    <w:top w:val="nil"/>
                    <w:left w:val="nil"/>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Azuay</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7.94</w:t>
                  </w:r>
                </w:p>
              </w:tc>
              <w:tc>
                <w:tcPr>
                  <w:tcW w:w="1701" w:type="dxa"/>
                  <w:tcBorders>
                    <w:top w:val="nil"/>
                    <w:left w:val="single" w:sz="4" w:space="0" w:color="auto"/>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Morona Santiago</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0.29</w:t>
                  </w:r>
                </w:p>
              </w:tc>
            </w:tr>
            <w:tr w:rsidR="00A722F8" w:rsidRPr="00662E73" w:rsidTr="00805996">
              <w:trPr>
                <w:trHeight w:val="20"/>
                <w:jc w:val="center"/>
              </w:trPr>
              <w:tc>
                <w:tcPr>
                  <w:tcW w:w="1701" w:type="dxa"/>
                  <w:tcBorders>
                    <w:top w:val="nil"/>
                    <w:left w:val="nil"/>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Bolívar</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4.37</w:t>
                  </w:r>
                </w:p>
              </w:tc>
              <w:tc>
                <w:tcPr>
                  <w:tcW w:w="1701" w:type="dxa"/>
                  <w:tcBorders>
                    <w:top w:val="nil"/>
                    <w:left w:val="single" w:sz="4" w:space="0" w:color="auto"/>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Napo</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0.17</w:t>
                  </w:r>
                </w:p>
              </w:tc>
            </w:tr>
            <w:tr w:rsidR="00A722F8" w:rsidRPr="00662E73" w:rsidTr="00805996">
              <w:trPr>
                <w:trHeight w:val="20"/>
                <w:jc w:val="center"/>
              </w:trPr>
              <w:tc>
                <w:tcPr>
                  <w:tcW w:w="1701" w:type="dxa"/>
                  <w:tcBorders>
                    <w:top w:val="nil"/>
                    <w:left w:val="nil"/>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Cañar</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3.73</w:t>
                  </w:r>
                </w:p>
              </w:tc>
              <w:tc>
                <w:tcPr>
                  <w:tcW w:w="1701" w:type="dxa"/>
                  <w:tcBorders>
                    <w:top w:val="nil"/>
                    <w:left w:val="single" w:sz="4" w:space="0" w:color="auto"/>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Pastaza</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0.21</w:t>
                  </w:r>
                </w:p>
              </w:tc>
            </w:tr>
            <w:tr w:rsidR="00A722F8" w:rsidRPr="00662E73" w:rsidTr="00805996">
              <w:trPr>
                <w:trHeight w:val="20"/>
                <w:jc w:val="center"/>
              </w:trPr>
              <w:tc>
                <w:tcPr>
                  <w:tcW w:w="1701" w:type="dxa"/>
                  <w:tcBorders>
                    <w:top w:val="nil"/>
                    <w:left w:val="nil"/>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Carchi</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0.80</w:t>
                  </w:r>
                </w:p>
              </w:tc>
              <w:tc>
                <w:tcPr>
                  <w:tcW w:w="1701" w:type="dxa"/>
                  <w:tcBorders>
                    <w:top w:val="nil"/>
                    <w:left w:val="single" w:sz="4" w:space="0" w:color="auto"/>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Pichincha</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6.88</w:t>
                  </w:r>
                </w:p>
              </w:tc>
            </w:tr>
            <w:tr w:rsidR="00A722F8" w:rsidRPr="00662E73" w:rsidTr="00805996">
              <w:trPr>
                <w:trHeight w:val="20"/>
                <w:jc w:val="center"/>
              </w:trPr>
              <w:tc>
                <w:tcPr>
                  <w:tcW w:w="1701" w:type="dxa"/>
                  <w:tcBorders>
                    <w:top w:val="nil"/>
                    <w:left w:val="nil"/>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Cotopaxi</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1.46</w:t>
                  </w:r>
                </w:p>
              </w:tc>
              <w:tc>
                <w:tcPr>
                  <w:tcW w:w="1701" w:type="dxa"/>
                  <w:tcBorders>
                    <w:top w:val="nil"/>
                    <w:left w:val="single" w:sz="4" w:space="0" w:color="auto"/>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Tungurahua</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4.29</w:t>
                  </w:r>
                </w:p>
              </w:tc>
            </w:tr>
            <w:tr w:rsidR="00A722F8" w:rsidRPr="00662E73" w:rsidTr="00805996">
              <w:trPr>
                <w:trHeight w:val="20"/>
                <w:jc w:val="center"/>
              </w:trPr>
              <w:tc>
                <w:tcPr>
                  <w:tcW w:w="1701" w:type="dxa"/>
                  <w:tcBorders>
                    <w:top w:val="nil"/>
                    <w:left w:val="nil"/>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Chimborazo</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14.52</w:t>
                  </w:r>
                </w:p>
              </w:tc>
              <w:tc>
                <w:tcPr>
                  <w:tcW w:w="1701" w:type="dxa"/>
                  <w:tcBorders>
                    <w:top w:val="nil"/>
                    <w:left w:val="single" w:sz="4" w:space="0" w:color="auto"/>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Zamora Chinchipe</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0.25</w:t>
                  </w:r>
                </w:p>
              </w:tc>
            </w:tr>
            <w:tr w:rsidR="00A722F8" w:rsidRPr="00662E73" w:rsidTr="00805996">
              <w:trPr>
                <w:trHeight w:val="20"/>
                <w:jc w:val="center"/>
              </w:trPr>
              <w:tc>
                <w:tcPr>
                  <w:tcW w:w="1701" w:type="dxa"/>
                  <w:tcBorders>
                    <w:top w:val="nil"/>
                    <w:left w:val="nil"/>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El Oro</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9.37</w:t>
                  </w:r>
                </w:p>
              </w:tc>
              <w:tc>
                <w:tcPr>
                  <w:tcW w:w="1701" w:type="dxa"/>
                  <w:tcBorders>
                    <w:top w:val="nil"/>
                    <w:left w:val="single" w:sz="4" w:space="0" w:color="auto"/>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Galápagos</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0.35</w:t>
                  </w:r>
                </w:p>
              </w:tc>
            </w:tr>
            <w:tr w:rsidR="00A722F8" w:rsidRPr="00662E73" w:rsidTr="00805996">
              <w:trPr>
                <w:trHeight w:val="20"/>
                <w:jc w:val="center"/>
              </w:trPr>
              <w:tc>
                <w:tcPr>
                  <w:tcW w:w="1701" w:type="dxa"/>
                  <w:tcBorders>
                    <w:top w:val="nil"/>
                    <w:left w:val="nil"/>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Esmeraldas</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20.74</w:t>
                  </w:r>
                </w:p>
              </w:tc>
              <w:tc>
                <w:tcPr>
                  <w:tcW w:w="1701" w:type="dxa"/>
                  <w:tcBorders>
                    <w:top w:val="nil"/>
                    <w:left w:val="single" w:sz="4" w:space="0" w:color="auto"/>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Sucumbíos</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0.28</w:t>
                  </w:r>
                </w:p>
              </w:tc>
            </w:tr>
            <w:tr w:rsidR="00A722F8" w:rsidRPr="00662E73" w:rsidTr="00805996">
              <w:trPr>
                <w:trHeight w:val="20"/>
                <w:jc w:val="center"/>
              </w:trPr>
              <w:tc>
                <w:tcPr>
                  <w:tcW w:w="1701" w:type="dxa"/>
                  <w:tcBorders>
                    <w:top w:val="nil"/>
                    <w:left w:val="nil"/>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Otros cantones del Guayas</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41.86</w:t>
                  </w:r>
                </w:p>
              </w:tc>
              <w:tc>
                <w:tcPr>
                  <w:tcW w:w="1701" w:type="dxa"/>
                  <w:tcBorders>
                    <w:top w:val="nil"/>
                    <w:left w:val="single" w:sz="4" w:space="0" w:color="auto"/>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Orellana</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0.15</w:t>
                  </w:r>
                </w:p>
              </w:tc>
            </w:tr>
            <w:tr w:rsidR="00A722F8" w:rsidRPr="00662E73" w:rsidTr="00805996">
              <w:trPr>
                <w:trHeight w:val="20"/>
                <w:jc w:val="center"/>
              </w:trPr>
              <w:tc>
                <w:tcPr>
                  <w:tcW w:w="1701" w:type="dxa"/>
                  <w:tcBorders>
                    <w:top w:val="nil"/>
                    <w:left w:val="nil"/>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Imbabura</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1.05</w:t>
                  </w:r>
                </w:p>
              </w:tc>
              <w:tc>
                <w:tcPr>
                  <w:tcW w:w="1701" w:type="dxa"/>
                  <w:tcBorders>
                    <w:top w:val="nil"/>
                    <w:left w:val="single" w:sz="4" w:space="0" w:color="auto"/>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Santo Domingo</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2.04</w:t>
                  </w:r>
                </w:p>
              </w:tc>
            </w:tr>
            <w:tr w:rsidR="00A722F8" w:rsidRPr="00662E73" w:rsidTr="00805996">
              <w:trPr>
                <w:trHeight w:val="20"/>
                <w:jc w:val="center"/>
              </w:trPr>
              <w:tc>
                <w:tcPr>
                  <w:tcW w:w="1701" w:type="dxa"/>
                  <w:tcBorders>
                    <w:top w:val="nil"/>
                    <w:left w:val="nil"/>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Loja</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5.92</w:t>
                  </w:r>
                </w:p>
              </w:tc>
              <w:tc>
                <w:tcPr>
                  <w:tcW w:w="1701" w:type="dxa"/>
                  <w:tcBorders>
                    <w:top w:val="nil"/>
                    <w:left w:val="single" w:sz="4" w:space="0" w:color="auto"/>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Santa Elena</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8.09</w:t>
                  </w:r>
                </w:p>
              </w:tc>
            </w:tr>
            <w:tr w:rsidR="00A722F8" w:rsidRPr="00662E73" w:rsidTr="00805996">
              <w:trPr>
                <w:trHeight w:val="20"/>
                <w:jc w:val="center"/>
              </w:trPr>
              <w:tc>
                <w:tcPr>
                  <w:tcW w:w="1701" w:type="dxa"/>
                  <w:tcBorders>
                    <w:top w:val="nil"/>
                    <w:left w:val="nil"/>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Los Ríos</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40.75</w:t>
                  </w:r>
                </w:p>
              </w:tc>
              <w:tc>
                <w:tcPr>
                  <w:tcW w:w="1701" w:type="dxa"/>
                  <w:tcBorders>
                    <w:top w:val="nil"/>
                    <w:left w:val="single" w:sz="4" w:space="0" w:color="auto"/>
                    <w:bottom w:val="nil"/>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Zonas No Delimitadas</w:t>
                  </w:r>
                </w:p>
              </w:tc>
              <w:tc>
                <w:tcPr>
                  <w:tcW w:w="1361" w:type="dxa"/>
                  <w:tcBorders>
                    <w:top w:val="nil"/>
                    <w:left w:val="nil"/>
                    <w:bottom w:val="nil"/>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0.01</w:t>
                  </w:r>
                </w:p>
              </w:tc>
            </w:tr>
            <w:tr w:rsidR="00A722F8" w:rsidRPr="00662E73" w:rsidTr="00805996">
              <w:trPr>
                <w:trHeight w:val="20"/>
                <w:jc w:val="center"/>
              </w:trPr>
              <w:tc>
                <w:tcPr>
                  <w:tcW w:w="1701" w:type="dxa"/>
                  <w:tcBorders>
                    <w:top w:val="nil"/>
                    <w:left w:val="nil"/>
                    <w:bottom w:val="single" w:sz="4" w:space="0" w:color="auto"/>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r w:rsidRPr="00662E73">
                    <w:rPr>
                      <w:rFonts w:ascii="Arial" w:eastAsia="Times New Roman" w:hAnsi="Arial" w:cs="Arial"/>
                      <w:sz w:val="16"/>
                      <w:szCs w:val="16"/>
                      <w:lang w:eastAsia="es-EC"/>
                    </w:rPr>
                    <w:t>Manabí</w:t>
                  </w:r>
                </w:p>
              </w:tc>
              <w:tc>
                <w:tcPr>
                  <w:tcW w:w="1361" w:type="dxa"/>
                  <w:tcBorders>
                    <w:top w:val="nil"/>
                    <w:left w:val="nil"/>
                    <w:bottom w:val="single" w:sz="4" w:space="0" w:color="auto"/>
                    <w:right w:val="nil"/>
                  </w:tcBorders>
                  <w:shd w:val="clear" w:color="auto" w:fill="auto"/>
                  <w:noWrap/>
                  <w:vAlign w:val="center"/>
                  <w:hideMark/>
                </w:tcPr>
                <w:p w:rsidR="00A722F8" w:rsidRPr="00B366BD" w:rsidRDefault="00A722F8" w:rsidP="003F1262">
                  <w:pPr>
                    <w:rPr>
                      <w:rFonts w:ascii="Arial" w:hAnsi="Arial" w:cs="Arial"/>
                      <w:sz w:val="16"/>
                      <w:szCs w:val="16"/>
                    </w:rPr>
                  </w:pPr>
                  <w:r w:rsidRPr="00B366BD">
                    <w:rPr>
                      <w:rFonts w:ascii="Arial" w:hAnsi="Arial" w:cs="Arial"/>
                      <w:sz w:val="16"/>
                      <w:szCs w:val="16"/>
                    </w:rPr>
                    <w:t>87.63</w:t>
                  </w:r>
                </w:p>
              </w:tc>
              <w:tc>
                <w:tcPr>
                  <w:tcW w:w="1701" w:type="dxa"/>
                  <w:tcBorders>
                    <w:top w:val="nil"/>
                    <w:left w:val="single" w:sz="4" w:space="0" w:color="auto"/>
                    <w:bottom w:val="single" w:sz="4" w:space="0" w:color="auto"/>
                    <w:right w:val="nil"/>
                  </w:tcBorders>
                  <w:shd w:val="clear" w:color="auto" w:fill="auto"/>
                  <w:noWrap/>
                  <w:vAlign w:val="center"/>
                  <w:hideMark/>
                </w:tcPr>
                <w:p w:rsidR="00A722F8" w:rsidRPr="00662E73" w:rsidRDefault="00A722F8" w:rsidP="001936DC">
                  <w:pPr>
                    <w:jc w:val="left"/>
                    <w:rPr>
                      <w:rFonts w:ascii="Arial" w:eastAsia="Times New Roman" w:hAnsi="Arial" w:cs="Arial"/>
                      <w:sz w:val="16"/>
                      <w:szCs w:val="16"/>
                      <w:lang w:eastAsia="es-EC"/>
                    </w:rPr>
                  </w:pPr>
                </w:p>
              </w:tc>
              <w:tc>
                <w:tcPr>
                  <w:tcW w:w="1361" w:type="dxa"/>
                  <w:tcBorders>
                    <w:top w:val="nil"/>
                    <w:left w:val="nil"/>
                    <w:bottom w:val="single" w:sz="4" w:space="0" w:color="auto"/>
                    <w:right w:val="nil"/>
                  </w:tcBorders>
                  <w:shd w:val="clear" w:color="auto" w:fill="auto"/>
                  <w:noWrap/>
                  <w:vAlign w:val="center"/>
                  <w:hideMark/>
                </w:tcPr>
                <w:p w:rsidR="00A722F8" w:rsidRPr="00662E73" w:rsidRDefault="00A722F8" w:rsidP="003F1262">
                  <w:pPr>
                    <w:rPr>
                      <w:rFonts w:ascii="Arial" w:eastAsia="Times New Roman" w:hAnsi="Arial" w:cs="Arial"/>
                      <w:sz w:val="16"/>
                      <w:szCs w:val="16"/>
                      <w:lang w:eastAsia="es-EC"/>
                    </w:rPr>
                  </w:pPr>
                </w:p>
              </w:tc>
            </w:tr>
          </w:tbl>
          <w:p w:rsidR="00A722F8" w:rsidRPr="00840530" w:rsidRDefault="00A722F8" w:rsidP="003F1262">
            <w:pPr>
              <w:jc w:val="both"/>
              <w:rPr>
                <w:rFonts w:ascii="Arial" w:hAnsi="Arial" w:cs="Arial"/>
                <w:sz w:val="24"/>
                <w:szCs w:val="24"/>
              </w:rPr>
            </w:pPr>
          </w:p>
        </w:tc>
      </w:tr>
    </w:tbl>
    <w:p w:rsidR="00A722F8" w:rsidRPr="002731BB" w:rsidRDefault="00A722F8" w:rsidP="002731BB">
      <w:pPr>
        <w:pStyle w:val="Prrafodelista"/>
        <w:spacing w:line="276" w:lineRule="auto"/>
        <w:ind w:left="851"/>
        <w:jc w:val="both"/>
        <w:rPr>
          <w:rFonts w:ascii="Arial" w:hAnsi="Arial" w:cs="Arial"/>
          <w:sz w:val="17"/>
          <w:szCs w:val="17"/>
        </w:rPr>
      </w:pPr>
    </w:p>
    <w:p w:rsidR="00A722F8" w:rsidRPr="002731BB" w:rsidRDefault="00A722F8" w:rsidP="002731BB">
      <w:pPr>
        <w:pStyle w:val="Prrafodelista"/>
        <w:spacing w:line="276" w:lineRule="auto"/>
        <w:ind w:left="851"/>
        <w:jc w:val="both"/>
        <w:rPr>
          <w:rFonts w:ascii="Arial" w:hAnsi="Arial" w:cs="Arial"/>
          <w:sz w:val="17"/>
          <w:szCs w:val="17"/>
        </w:rPr>
      </w:pPr>
      <w:r w:rsidRPr="002731BB">
        <w:rPr>
          <w:rFonts w:ascii="Arial" w:hAnsi="Arial" w:cs="Arial"/>
          <w:b/>
          <w:i/>
          <w:sz w:val="17"/>
          <w:szCs w:val="17"/>
        </w:rPr>
        <w:t>Fuente:</w:t>
      </w:r>
      <w:r w:rsidRPr="002731BB">
        <w:rPr>
          <w:rFonts w:ascii="Arial" w:hAnsi="Arial" w:cs="Arial"/>
          <w:sz w:val="17"/>
          <w:szCs w:val="17"/>
        </w:rPr>
        <w:t xml:space="preserve"> </w:t>
      </w:r>
      <w:r w:rsidRPr="002731BB">
        <w:rPr>
          <w:rFonts w:ascii="Arial" w:hAnsi="Arial" w:cs="Arial"/>
          <w:b/>
          <w:sz w:val="17"/>
          <w:szCs w:val="17"/>
        </w:rPr>
        <w:t xml:space="preserve">INEC </w:t>
      </w:r>
      <w:r w:rsidRPr="002731BB">
        <w:rPr>
          <w:rFonts w:ascii="Arial" w:hAnsi="Arial" w:cs="Arial"/>
          <w:sz w:val="17"/>
          <w:szCs w:val="17"/>
        </w:rPr>
        <w:t>(2010), Base de Datos del VII Censo de Población y VI de Vivienda.</w:t>
      </w:r>
    </w:p>
    <w:p w:rsidR="00A722F8" w:rsidRPr="002731BB" w:rsidRDefault="00A722F8" w:rsidP="002731BB">
      <w:pPr>
        <w:pStyle w:val="Prrafodelista"/>
        <w:spacing w:line="276" w:lineRule="auto"/>
        <w:ind w:left="851"/>
        <w:jc w:val="both"/>
        <w:rPr>
          <w:rFonts w:ascii="Arial" w:hAnsi="Arial" w:cs="Arial"/>
          <w:sz w:val="17"/>
          <w:szCs w:val="17"/>
        </w:rPr>
      </w:pPr>
      <w:r w:rsidRPr="002731BB">
        <w:rPr>
          <w:rFonts w:ascii="Arial" w:hAnsi="Arial" w:cs="Arial"/>
          <w:b/>
          <w:i/>
          <w:sz w:val="17"/>
          <w:szCs w:val="17"/>
        </w:rPr>
        <w:t>Elaborado por:</w:t>
      </w:r>
      <w:r w:rsidRPr="002731BB">
        <w:rPr>
          <w:rFonts w:ascii="Arial" w:hAnsi="Arial" w:cs="Arial"/>
          <w:sz w:val="17"/>
          <w:szCs w:val="17"/>
        </w:rPr>
        <w:t xml:space="preserve"> Katherine Loor Valeriano</w:t>
      </w:r>
    </w:p>
    <w:p w:rsidR="00A722F8" w:rsidRDefault="00A722F8" w:rsidP="00A722F8">
      <w:pPr>
        <w:pStyle w:val="Prrafodelista"/>
        <w:spacing w:line="480" w:lineRule="auto"/>
        <w:ind w:left="567"/>
        <w:jc w:val="both"/>
        <w:rPr>
          <w:rFonts w:ascii="Arial" w:hAnsi="Arial" w:cs="Arial"/>
        </w:rPr>
      </w:pPr>
    </w:p>
    <w:p w:rsidR="00A722F8" w:rsidRPr="0096281F" w:rsidRDefault="00A722F8" w:rsidP="0041640C">
      <w:pPr>
        <w:pStyle w:val="TesisTitulo20"/>
        <w:numPr>
          <w:ilvl w:val="2"/>
          <w:numId w:val="9"/>
        </w:numPr>
        <w:ind w:left="1701" w:hanging="850"/>
      </w:pPr>
      <w:bookmarkStart w:id="319" w:name="_Toc339212701"/>
      <w:bookmarkStart w:id="320" w:name="_Toc341040629"/>
      <w:r w:rsidRPr="0096281F">
        <w:t>Género y Edad</w:t>
      </w:r>
      <w:bookmarkEnd w:id="319"/>
      <w:bookmarkEnd w:id="320"/>
    </w:p>
    <w:p w:rsidR="00A722F8" w:rsidRDefault="00A722F8" w:rsidP="002731BB">
      <w:pPr>
        <w:pStyle w:val="Prrafodelista"/>
        <w:spacing w:line="480" w:lineRule="auto"/>
        <w:ind w:left="851"/>
        <w:jc w:val="both"/>
        <w:rPr>
          <w:rFonts w:ascii="Arial" w:hAnsi="Arial" w:cs="Arial"/>
        </w:rPr>
      </w:pPr>
      <w:r w:rsidRPr="0096281F">
        <w:rPr>
          <w:rFonts w:ascii="Arial" w:hAnsi="Arial" w:cs="Arial"/>
        </w:rPr>
        <w:t xml:space="preserve">La población inmigrante que reside en Guayaquil es mayoritariamente de Género femenino, pues el 52.62% de los inmigrantes son mujeres y por tanto el 47.38% son de género masculino, al determinar el índice de feminidad obtenemos que es igual a 111.07, es decir, hay 111.07 mujeres residentes en calidad inmigrante en Guayaquil por cada 100 hombres que viven como inmigrantes en la misma ciudad. </w:t>
      </w:r>
    </w:p>
    <w:p w:rsidR="00A722F8" w:rsidRPr="0096281F" w:rsidRDefault="00A722F8" w:rsidP="002731BB">
      <w:pPr>
        <w:pStyle w:val="Prrafodelista"/>
        <w:spacing w:line="480" w:lineRule="auto"/>
        <w:ind w:left="851"/>
        <w:jc w:val="both"/>
        <w:rPr>
          <w:rFonts w:ascii="Arial" w:hAnsi="Arial" w:cs="Arial"/>
        </w:rPr>
      </w:pPr>
    </w:p>
    <w:p w:rsidR="00A722F8" w:rsidRPr="0096281F" w:rsidRDefault="00A722F8" w:rsidP="002731BB">
      <w:pPr>
        <w:pStyle w:val="Prrafodelista"/>
        <w:spacing w:line="480" w:lineRule="auto"/>
        <w:ind w:left="851"/>
        <w:jc w:val="both"/>
        <w:rPr>
          <w:rFonts w:ascii="Arial" w:hAnsi="Arial" w:cs="Arial"/>
        </w:rPr>
      </w:pPr>
      <w:r w:rsidRPr="0096281F">
        <w:rPr>
          <w:rFonts w:ascii="Arial" w:hAnsi="Arial" w:cs="Arial"/>
        </w:rPr>
        <w:lastRenderedPageBreak/>
        <w:t>En lo que respecta a la edad de los inmigrantes residentes en Guayaquil, se tiene que el 7.52% de la población inmigrante tiene edades inferiores a 15 años, el 81.29% posee edades comprendidas entre los 15 y 65 años; mientras que, existe un 11.18% de personas mayores de 65 años cumplidos. Como hemos notado en casos anteriores, las personas que deciden migrar generalmente son quienes están en edades comprendidas entre 15 y 65 años, es decir, en edad económicamente activa.</w:t>
      </w:r>
      <w:r>
        <w:rPr>
          <w:rFonts w:ascii="Arial" w:hAnsi="Arial" w:cs="Arial"/>
        </w:rPr>
        <w:t xml:space="preserve"> </w:t>
      </w:r>
    </w:p>
    <w:p w:rsidR="00A722F8" w:rsidRPr="0096281F" w:rsidRDefault="00A722F8" w:rsidP="002731BB">
      <w:pPr>
        <w:pStyle w:val="Prrafodelista"/>
        <w:spacing w:line="480" w:lineRule="auto"/>
        <w:ind w:left="851"/>
        <w:jc w:val="both"/>
        <w:rPr>
          <w:rFonts w:ascii="Arial" w:hAnsi="Arial" w:cs="Arial"/>
        </w:rPr>
      </w:pPr>
    </w:p>
    <w:p w:rsidR="00A722F8" w:rsidRDefault="00A722F8" w:rsidP="002731BB">
      <w:pPr>
        <w:pStyle w:val="Prrafodelista"/>
        <w:spacing w:line="480" w:lineRule="auto"/>
        <w:ind w:left="851"/>
        <w:jc w:val="both"/>
        <w:rPr>
          <w:rFonts w:ascii="Arial" w:hAnsi="Arial" w:cs="Arial"/>
        </w:rPr>
      </w:pPr>
      <w:r w:rsidRPr="0096281F">
        <w:rPr>
          <w:rFonts w:ascii="Arial" w:hAnsi="Arial" w:cs="Arial"/>
        </w:rPr>
        <w:t xml:space="preserve">En la </w:t>
      </w:r>
      <w:r w:rsidRPr="004C1EC0">
        <w:rPr>
          <w:rFonts w:ascii="Arial" w:hAnsi="Arial" w:cs="Arial"/>
          <w:i/>
        </w:rPr>
        <w:t>Figura 2.</w:t>
      </w:r>
      <w:r>
        <w:rPr>
          <w:rFonts w:ascii="Arial" w:hAnsi="Arial" w:cs="Arial"/>
          <w:i/>
        </w:rPr>
        <w:t>14</w:t>
      </w:r>
      <w:r w:rsidRPr="0096281F">
        <w:rPr>
          <w:rFonts w:ascii="Arial" w:hAnsi="Arial" w:cs="Arial"/>
        </w:rPr>
        <w:t xml:space="preserve">, se muestran las Pirámides Poblacionales tanto de quienes viven en calidad de inmigrantes en Guayaquil y de los residentes que nacieron  y viven habitualmente en dicha ciudad; para el primer caso, como se había mencionado en capítulo previo, una de las leyes de Ravenstein enuncia que la mayoría de los migrantes son adultos, por tanto esto se ve reflejado en la forma de la pirámide poblacional de los inmigrantes ya que esta presenta barras más largas entre las edades de 25 a 45 años y para los menores de 5 años son muy delgadas, lo mismo sucede para las personas mayores de 75 años. </w:t>
      </w:r>
    </w:p>
    <w:p w:rsidR="00A722F8" w:rsidRDefault="00A722F8" w:rsidP="002731BB">
      <w:pPr>
        <w:pStyle w:val="Prrafodelista"/>
        <w:spacing w:line="480" w:lineRule="auto"/>
        <w:ind w:left="851"/>
        <w:jc w:val="both"/>
        <w:rPr>
          <w:rFonts w:ascii="Arial" w:hAnsi="Arial" w:cs="Arial"/>
        </w:rPr>
      </w:pPr>
    </w:p>
    <w:p w:rsidR="00A722F8" w:rsidRDefault="00A722F8" w:rsidP="002731BB">
      <w:pPr>
        <w:pStyle w:val="Prrafodelista"/>
        <w:spacing w:line="480" w:lineRule="auto"/>
        <w:ind w:left="851"/>
        <w:jc w:val="both"/>
        <w:rPr>
          <w:rFonts w:ascii="Arial" w:hAnsi="Arial" w:cs="Arial"/>
        </w:rPr>
      </w:pPr>
      <w:r w:rsidRPr="0096281F">
        <w:rPr>
          <w:rFonts w:ascii="Arial" w:hAnsi="Arial" w:cs="Arial"/>
        </w:rPr>
        <w:t xml:space="preserve">Mientras que, si observamos la pirámide poblacional para los nativos que residen en Guayaquil, su forma se asemeja más a la de una pirámide, exceptuando la primera barra puesto que existe un número muy reducido de niños menores de un año (2.20%) que hayan nacido y residan en ésta ciudad; además tenemos que más del 50% de la esta población tiene edades comprendidas entre 1 y 25 años, y en la pirámide a medida que va </w:t>
      </w:r>
      <w:r w:rsidRPr="0096281F">
        <w:rPr>
          <w:rFonts w:ascii="Arial" w:hAnsi="Arial" w:cs="Arial"/>
        </w:rPr>
        <w:lastRenderedPageBreak/>
        <w:t>aumentando la edad empieza a disminuir el porcentaje de personas que tengan dichas edades, es así que sólo el 3.79% de los guayaquileños</w:t>
      </w:r>
      <w:r>
        <w:rPr>
          <w:rFonts w:ascii="Arial" w:hAnsi="Arial" w:cs="Arial"/>
        </w:rPr>
        <w:t xml:space="preserve"> </w:t>
      </w:r>
      <w:r w:rsidRPr="0096281F">
        <w:rPr>
          <w:rFonts w:ascii="Arial" w:hAnsi="Arial" w:cs="Arial"/>
        </w:rPr>
        <w:t>residentes son mayores de 65 años. Para más detalles sobre e</w:t>
      </w:r>
      <w:r>
        <w:rPr>
          <w:rFonts w:ascii="Arial" w:hAnsi="Arial" w:cs="Arial"/>
        </w:rPr>
        <w:t xml:space="preserve">l presente tema </w:t>
      </w:r>
      <w:r w:rsidRPr="000158A3">
        <w:rPr>
          <w:rFonts w:ascii="Arial" w:hAnsi="Arial" w:cs="Arial"/>
          <w:i/>
        </w:rPr>
        <w:t>véase Figura 2.</w:t>
      </w:r>
      <w:r>
        <w:rPr>
          <w:rFonts w:ascii="Arial" w:hAnsi="Arial" w:cs="Arial"/>
          <w:i/>
        </w:rPr>
        <w:t>14</w:t>
      </w:r>
      <w:r w:rsidRPr="0096281F">
        <w:rPr>
          <w:rFonts w:ascii="Arial" w:hAnsi="Arial" w:cs="Arial"/>
        </w:rPr>
        <w:t>.</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2731BB">
        <w:trPr>
          <w:trHeight w:val="8561"/>
          <w:jc w:val="right"/>
        </w:trPr>
        <w:tc>
          <w:tcPr>
            <w:tcW w:w="7497" w:type="dxa"/>
          </w:tcPr>
          <w:p w:rsidR="00A722F8" w:rsidRDefault="00A722F8" w:rsidP="003F1262">
            <w:pPr>
              <w:rPr>
                <w:rFonts w:ascii="Arial" w:hAnsi="Arial" w:cs="Arial"/>
                <w:b/>
                <w:sz w:val="16"/>
                <w:szCs w:val="16"/>
              </w:rPr>
            </w:pPr>
          </w:p>
          <w:p w:rsidR="006E6031" w:rsidRPr="006E6031" w:rsidRDefault="006E6031" w:rsidP="006E6031">
            <w:pPr>
              <w:keepNext/>
              <w:rPr>
                <w:rFonts w:ascii="Arial" w:hAnsi="Arial" w:cs="Arial"/>
                <w:b/>
                <w:sz w:val="16"/>
                <w:szCs w:val="16"/>
              </w:rPr>
            </w:pPr>
            <w:bookmarkStart w:id="321" w:name="_Toc341043004"/>
            <w:r w:rsidRPr="006E6031">
              <w:rPr>
                <w:rFonts w:ascii="Arial" w:hAnsi="Arial" w:cs="Arial"/>
                <w:b/>
                <w:sz w:val="16"/>
                <w:szCs w:val="16"/>
              </w:rPr>
              <w:t>Figura 2.</w:t>
            </w:r>
            <w:r w:rsidR="00990535" w:rsidRPr="006E6031">
              <w:rPr>
                <w:rFonts w:ascii="Arial" w:hAnsi="Arial" w:cs="Arial"/>
                <w:b/>
                <w:sz w:val="16"/>
                <w:szCs w:val="16"/>
              </w:rPr>
              <w:fldChar w:fldCharType="begin"/>
            </w:r>
            <w:r w:rsidRPr="006E6031">
              <w:rPr>
                <w:rFonts w:ascii="Arial" w:hAnsi="Arial" w:cs="Arial"/>
                <w:b/>
                <w:sz w:val="16"/>
                <w:szCs w:val="16"/>
              </w:rPr>
              <w:instrText xml:space="preserve"> SEQ Figura_2. \* ARABIC </w:instrText>
            </w:r>
            <w:r w:rsidR="00990535" w:rsidRPr="006E6031">
              <w:rPr>
                <w:rFonts w:ascii="Arial" w:hAnsi="Arial" w:cs="Arial"/>
                <w:b/>
                <w:sz w:val="16"/>
                <w:szCs w:val="16"/>
              </w:rPr>
              <w:fldChar w:fldCharType="separate"/>
            </w:r>
            <w:r w:rsidR="00A242E0">
              <w:rPr>
                <w:rFonts w:ascii="Arial" w:hAnsi="Arial" w:cs="Arial"/>
                <w:b/>
                <w:noProof/>
                <w:sz w:val="16"/>
                <w:szCs w:val="16"/>
              </w:rPr>
              <w:t>14</w:t>
            </w:r>
            <w:bookmarkEnd w:id="321"/>
            <w:r w:rsidR="00990535" w:rsidRPr="006E6031">
              <w:rPr>
                <w:rFonts w:ascii="Arial" w:hAnsi="Arial" w:cs="Arial"/>
                <w:b/>
                <w:sz w:val="16"/>
                <w:szCs w:val="16"/>
              </w:rPr>
              <w:fldChar w:fldCharType="end"/>
            </w:r>
          </w:p>
          <w:p w:rsidR="00A722F8" w:rsidRPr="004C1EC0" w:rsidRDefault="002731BB" w:rsidP="003F1262">
            <w:pPr>
              <w:rPr>
                <w:rFonts w:ascii="Arial" w:hAnsi="Arial" w:cs="Arial"/>
                <w:i/>
                <w:sz w:val="16"/>
                <w:szCs w:val="16"/>
              </w:rPr>
            </w:pPr>
            <w:r>
              <w:rPr>
                <w:rFonts w:ascii="Arial" w:hAnsi="Arial" w:cs="Arial"/>
                <w:b/>
                <w:i/>
                <w:sz w:val="16"/>
                <w:szCs w:val="16"/>
              </w:rPr>
              <w:t xml:space="preserve">Guayaquil 2010: </w:t>
            </w:r>
            <w:r>
              <w:rPr>
                <w:rFonts w:ascii="Arial" w:hAnsi="Arial" w:cs="Arial"/>
                <w:i/>
                <w:sz w:val="16"/>
                <w:szCs w:val="16"/>
              </w:rPr>
              <w:t>Distribución Género - Edad</w:t>
            </w:r>
            <w:r w:rsidR="00A722F8" w:rsidRPr="004C1EC0">
              <w:rPr>
                <w:rFonts w:ascii="Arial" w:hAnsi="Arial" w:cs="Arial"/>
                <w:i/>
                <w:sz w:val="16"/>
                <w:szCs w:val="16"/>
              </w:rPr>
              <w:t xml:space="preserve"> de los Inmigrantes residentes en Guayaquil</w:t>
            </w:r>
          </w:p>
          <w:p w:rsidR="00A722F8" w:rsidRDefault="00436907" w:rsidP="003F1262">
            <w:pPr>
              <w:rPr>
                <w:rFonts w:ascii="Arial" w:hAnsi="Arial" w:cs="Arial"/>
                <w:b/>
                <w:sz w:val="16"/>
                <w:szCs w:val="16"/>
              </w:rPr>
            </w:pPr>
            <w:r>
              <w:rPr>
                <w:rFonts w:ascii="Arial" w:hAnsi="Arial" w:cs="Arial"/>
                <w:b/>
                <w:noProof/>
                <w:sz w:val="16"/>
                <w:szCs w:val="16"/>
                <w:lang w:eastAsia="es-EC"/>
              </w:rPr>
              <w:pict>
                <v:shape id="_x0000_s1197" type="#_x0000_t202" style="position:absolute;left:0;text-align:left;margin-left:211.8pt;margin-top:11.25pt;width:137.25pt;height:19.5pt;z-index:251425280" filled="f" stroked="f">
                  <v:textbox>
                    <w:txbxContent>
                      <w:p w:rsidR="006933DF" w:rsidRPr="00796234" w:rsidRDefault="006933DF" w:rsidP="00A722F8">
                        <w:pPr>
                          <w:rPr>
                            <w:rFonts w:ascii="Arial" w:hAnsi="Arial" w:cs="Arial"/>
                            <w:sz w:val="16"/>
                            <w:szCs w:val="16"/>
                          </w:rPr>
                        </w:pPr>
                        <w:r w:rsidRPr="00796234">
                          <w:rPr>
                            <w:rFonts w:ascii="Arial" w:hAnsi="Arial" w:cs="Arial"/>
                            <w:sz w:val="16"/>
                            <w:szCs w:val="16"/>
                          </w:rPr>
                          <w:t>Femenino</w:t>
                        </w:r>
                      </w:p>
                    </w:txbxContent>
                  </v:textbox>
                </v:shape>
              </w:pict>
            </w:r>
            <w:r>
              <w:rPr>
                <w:noProof/>
                <w:lang w:eastAsia="es-EC"/>
              </w:rPr>
              <w:pict>
                <v:shape id="_x0000_s1196" type="#_x0000_t202" style="position:absolute;left:0;text-align:left;margin-left:70.8pt;margin-top:11.25pt;width:137.25pt;height:19.5pt;z-index:251424256" filled="f" stroked="f">
                  <v:textbox>
                    <w:txbxContent>
                      <w:p w:rsidR="006933DF" w:rsidRPr="00796234" w:rsidRDefault="006933DF" w:rsidP="00A722F8">
                        <w:pPr>
                          <w:rPr>
                            <w:rFonts w:ascii="Arial" w:hAnsi="Arial" w:cs="Arial"/>
                            <w:sz w:val="16"/>
                            <w:szCs w:val="16"/>
                          </w:rPr>
                        </w:pPr>
                        <w:r>
                          <w:rPr>
                            <w:rFonts w:ascii="Arial" w:hAnsi="Arial" w:cs="Arial"/>
                            <w:sz w:val="16"/>
                            <w:szCs w:val="16"/>
                          </w:rPr>
                          <w:t>Masculino</w:t>
                        </w:r>
                      </w:p>
                    </w:txbxContent>
                  </v:textbox>
                </v:shape>
              </w:pict>
            </w:r>
            <w:r w:rsidR="00A722F8">
              <w:rPr>
                <w:noProof/>
                <w:lang w:eastAsia="es-EC"/>
              </w:rPr>
              <w:t xml:space="preserve"> </w:t>
            </w:r>
            <w:r w:rsidR="00A722F8">
              <w:rPr>
                <w:noProof/>
                <w:lang w:eastAsia="es-EC"/>
              </w:rPr>
              <w:drawing>
                <wp:inline distT="0" distB="0" distL="0" distR="0">
                  <wp:extent cx="4238625" cy="27720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722F8" w:rsidRPr="004C1EC0" w:rsidRDefault="002731BB" w:rsidP="003F1262">
            <w:pPr>
              <w:rPr>
                <w:rFonts w:ascii="Arial" w:hAnsi="Arial" w:cs="Arial"/>
                <w:i/>
                <w:sz w:val="16"/>
                <w:szCs w:val="16"/>
              </w:rPr>
            </w:pPr>
            <w:r>
              <w:rPr>
                <w:rFonts w:ascii="Arial" w:hAnsi="Arial" w:cs="Arial"/>
                <w:b/>
                <w:i/>
                <w:sz w:val="16"/>
                <w:szCs w:val="16"/>
              </w:rPr>
              <w:t xml:space="preserve">Guayaquil 2010: </w:t>
            </w:r>
            <w:r>
              <w:rPr>
                <w:rFonts w:ascii="Arial" w:hAnsi="Arial" w:cs="Arial"/>
                <w:i/>
                <w:sz w:val="16"/>
                <w:szCs w:val="16"/>
              </w:rPr>
              <w:t>Distribución Género - Edad</w:t>
            </w:r>
            <w:r w:rsidR="00A722F8" w:rsidRPr="004C1EC0">
              <w:rPr>
                <w:rFonts w:ascii="Arial" w:hAnsi="Arial" w:cs="Arial"/>
                <w:i/>
                <w:sz w:val="16"/>
                <w:szCs w:val="16"/>
              </w:rPr>
              <w:t xml:space="preserve"> de los nativos residentes en Guayaquil</w:t>
            </w:r>
          </w:p>
          <w:p w:rsidR="00A722F8" w:rsidRPr="00516A71" w:rsidRDefault="00436907" w:rsidP="003F1262">
            <w:pPr>
              <w:rPr>
                <w:rFonts w:ascii="Arial" w:hAnsi="Arial" w:cs="Arial"/>
                <w:b/>
                <w:sz w:val="16"/>
                <w:szCs w:val="16"/>
              </w:rPr>
            </w:pPr>
            <w:r>
              <w:rPr>
                <w:rFonts w:ascii="Arial" w:hAnsi="Arial" w:cs="Arial"/>
                <w:b/>
                <w:noProof/>
                <w:sz w:val="16"/>
                <w:szCs w:val="16"/>
                <w:lang w:eastAsia="es-EC"/>
              </w:rPr>
              <w:pict>
                <v:shape id="_x0000_s1199" type="#_x0000_t202" style="position:absolute;left:0;text-align:left;margin-left:211.8pt;margin-top:12.35pt;width:137.25pt;height:19.5pt;z-index:251427328" filled="f" stroked="f">
                  <v:textbox>
                    <w:txbxContent>
                      <w:p w:rsidR="006933DF" w:rsidRPr="00796234" w:rsidRDefault="006933DF" w:rsidP="00A722F8">
                        <w:pPr>
                          <w:rPr>
                            <w:rFonts w:ascii="Arial" w:hAnsi="Arial" w:cs="Arial"/>
                            <w:sz w:val="16"/>
                            <w:szCs w:val="16"/>
                          </w:rPr>
                        </w:pPr>
                        <w:r w:rsidRPr="00796234">
                          <w:rPr>
                            <w:rFonts w:ascii="Arial" w:hAnsi="Arial" w:cs="Arial"/>
                            <w:sz w:val="16"/>
                            <w:szCs w:val="16"/>
                          </w:rPr>
                          <w:t>Femenino</w:t>
                        </w:r>
                      </w:p>
                    </w:txbxContent>
                  </v:textbox>
                </v:shape>
              </w:pict>
            </w:r>
            <w:r>
              <w:rPr>
                <w:rFonts w:ascii="Arial" w:hAnsi="Arial" w:cs="Arial"/>
                <w:b/>
                <w:noProof/>
                <w:sz w:val="16"/>
                <w:szCs w:val="16"/>
                <w:lang w:eastAsia="es-EC"/>
              </w:rPr>
              <w:pict>
                <v:shape id="_x0000_s1198" type="#_x0000_t202" style="position:absolute;left:0;text-align:left;margin-left:70.8pt;margin-top:12.35pt;width:137.25pt;height:19.5pt;z-index:251426304" filled="f" stroked="f">
                  <v:textbox>
                    <w:txbxContent>
                      <w:p w:rsidR="006933DF" w:rsidRPr="00796234" w:rsidRDefault="006933DF" w:rsidP="00A722F8">
                        <w:pPr>
                          <w:rPr>
                            <w:rFonts w:ascii="Arial" w:hAnsi="Arial" w:cs="Arial"/>
                            <w:sz w:val="16"/>
                            <w:szCs w:val="16"/>
                          </w:rPr>
                        </w:pPr>
                        <w:r>
                          <w:rPr>
                            <w:rFonts w:ascii="Arial" w:hAnsi="Arial" w:cs="Arial"/>
                            <w:sz w:val="16"/>
                            <w:szCs w:val="16"/>
                          </w:rPr>
                          <w:t>Masculino</w:t>
                        </w:r>
                      </w:p>
                    </w:txbxContent>
                  </v:textbox>
                </v:shape>
              </w:pict>
            </w:r>
            <w:r w:rsidR="00A722F8">
              <w:rPr>
                <w:noProof/>
                <w:lang w:eastAsia="es-EC"/>
              </w:rPr>
              <w:t xml:space="preserve"> </w:t>
            </w:r>
            <w:r w:rsidR="00A722F8">
              <w:rPr>
                <w:noProof/>
                <w:lang w:eastAsia="es-EC"/>
              </w:rPr>
              <w:drawing>
                <wp:inline distT="0" distB="0" distL="0" distR="0">
                  <wp:extent cx="4237200" cy="28080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A722F8" w:rsidRPr="002731BB" w:rsidRDefault="00A722F8" w:rsidP="002731BB">
      <w:pPr>
        <w:pStyle w:val="Prrafodelista"/>
        <w:spacing w:line="276" w:lineRule="auto"/>
        <w:ind w:left="851"/>
        <w:jc w:val="both"/>
        <w:rPr>
          <w:rFonts w:ascii="Arial" w:hAnsi="Arial" w:cs="Arial"/>
          <w:sz w:val="17"/>
          <w:szCs w:val="17"/>
        </w:rPr>
      </w:pPr>
    </w:p>
    <w:p w:rsidR="00A722F8" w:rsidRPr="002731BB" w:rsidRDefault="00A722F8" w:rsidP="002731BB">
      <w:pPr>
        <w:pStyle w:val="Prrafodelista"/>
        <w:spacing w:line="276" w:lineRule="auto"/>
        <w:ind w:left="851"/>
        <w:jc w:val="both"/>
        <w:rPr>
          <w:rFonts w:ascii="Arial" w:hAnsi="Arial" w:cs="Arial"/>
          <w:sz w:val="17"/>
          <w:szCs w:val="17"/>
        </w:rPr>
      </w:pPr>
      <w:r w:rsidRPr="002731BB">
        <w:rPr>
          <w:rFonts w:ascii="Arial" w:hAnsi="Arial" w:cs="Arial"/>
          <w:b/>
          <w:i/>
          <w:sz w:val="17"/>
          <w:szCs w:val="17"/>
        </w:rPr>
        <w:t>Fuente:</w:t>
      </w:r>
      <w:r w:rsidRPr="002731BB">
        <w:rPr>
          <w:rFonts w:ascii="Arial" w:hAnsi="Arial" w:cs="Arial"/>
          <w:sz w:val="17"/>
          <w:szCs w:val="17"/>
        </w:rPr>
        <w:t xml:space="preserve"> </w:t>
      </w:r>
      <w:r w:rsidRPr="002731BB">
        <w:rPr>
          <w:rFonts w:ascii="Arial" w:hAnsi="Arial" w:cs="Arial"/>
          <w:b/>
          <w:sz w:val="17"/>
          <w:szCs w:val="17"/>
        </w:rPr>
        <w:t xml:space="preserve">INEC </w:t>
      </w:r>
      <w:r w:rsidRPr="002731BB">
        <w:rPr>
          <w:rFonts w:ascii="Arial" w:hAnsi="Arial" w:cs="Arial"/>
          <w:sz w:val="17"/>
          <w:szCs w:val="17"/>
        </w:rPr>
        <w:t>(2010), Base de Datos del VII Censo de Población y VI de Vivienda.</w:t>
      </w:r>
    </w:p>
    <w:p w:rsidR="00A722F8" w:rsidRPr="002731BB" w:rsidRDefault="00A722F8" w:rsidP="002731BB">
      <w:pPr>
        <w:pStyle w:val="Prrafodelista"/>
        <w:spacing w:line="276" w:lineRule="auto"/>
        <w:ind w:left="851"/>
        <w:jc w:val="both"/>
        <w:rPr>
          <w:rFonts w:ascii="Arial" w:hAnsi="Arial" w:cs="Arial"/>
          <w:sz w:val="17"/>
          <w:szCs w:val="17"/>
        </w:rPr>
      </w:pPr>
      <w:r w:rsidRPr="002731BB">
        <w:rPr>
          <w:rFonts w:ascii="Arial" w:hAnsi="Arial" w:cs="Arial"/>
          <w:b/>
          <w:i/>
          <w:sz w:val="17"/>
          <w:szCs w:val="17"/>
        </w:rPr>
        <w:t>Elaborado por:</w:t>
      </w:r>
      <w:r w:rsidRPr="002731BB">
        <w:rPr>
          <w:rFonts w:ascii="Arial" w:hAnsi="Arial" w:cs="Arial"/>
          <w:sz w:val="17"/>
          <w:szCs w:val="17"/>
        </w:rPr>
        <w:t xml:space="preserve"> Katherine Loor Valeriano</w:t>
      </w:r>
    </w:p>
    <w:p w:rsidR="00A722F8" w:rsidRPr="00651902" w:rsidRDefault="00A722F8" w:rsidP="0041640C">
      <w:pPr>
        <w:pStyle w:val="TesisTitulo20"/>
        <w:numPr>
          <w:ilvl w:val="2"/>
          <w:numId w:val="9"/>
        </w:numPr>
        <w:ind w:left="851" w:firstLine="0"/>
      </w:pPr>
      <w:bookmarkStart w:id="322" w:name="_Toc339212702"/>
      <w:bookmarkStart w:id="323" w:name="_Toc341040630"/>
      <w:r w:rsidRPr="00651902">
        <w:lastRenderedPageBreak/>
        <w:t xml:space="preserve">Tasa de Analfabetismo para </w:t>
      </w:r>
      <w:r>
        <w:t>grupo de e</w:t>
      </w:r>
      <w:r w:rsidRPr="00651902">
        <w:t xml:space="preserve">dades específicas y </w:t>
      </w:r>
      <w:r>
        <w:t>g</w:t>
      </w:r>
      <w:r w:rsidRPr="00651902">
        <w:t xml:space="preserve">énero </w:t>
      </w:r>
      <w:r>
        <w:t>por cada 1000</w:t>
      </w:r>
      <w:r w:rsidRPr="00651902">
        <w:t xml:space="preserve"> </w:t>
      </w:r>
      <w:r w:rsidR="008F1FF2">
        <w:t>i</w:t>
      </w:r>
      <w:r w:rsidRPr="00651902">
        <w:t>nmigrantes residentes en Guayaquil</w:t>
      </w:r>
      <w:bookmarkEnd w:id="322"/>
      <w:bookmarkEnd w:id="323"/>
    </w:p>
    <w:p w:rsidR="00A722F8" w:rsidRDefault="00A722F8" w:rsidP="002731BB">
      <w:pPr>
        <w:pStyle w:val="Prrafodelista"/>
        <w:spacing w:line="480" w:lineRule="auto"/>
        <w:ind w:left="851"/>
        <w:jc w:val="both"/>
        <w:rPr>
          <w:rFonts w:ascii="Arial" w:hAnsi="Arial" w:cs="Arial"/>
        </w:rPr>
      </w:pPr>
      <w:r>
        <w:rPr>
          <w:rFonts w:ascii="Arial" w:hAnsi="Arial" w:cs="Arial"/>
        </w:rPr>
        <w:t>En la subsección anterior hablamos acerca de la distribución de género y edad de los inmigrantes (nacidos en otras provincias del Ecuador) residentes en Guayaquil. Ahora, vamos a determinar la tasa de analfabetismo de ésta misma población pero por grupo de edades específicas y para cada género. Por otra parte, cabe mencionar que se considera solamente la población mayor de 15 años, puesto que a los menores de 15 años aunque no supieran leer ni escribir no se los considera analfabetos.</w:t>
      </w:r>
    </w:p>
    <w:p w:rsidR="00A722F8" w:rsidRDefault="00A722F8" w:rsidP="002731BB">
      <w:pPr>
        <w:pStyle w:val="Prrafodelista"/>
        <w:spacing w:line="480" w:lineRule="auto"/>
        <w:ind w:left="851"/>
        <w:jc w:val="both"/>
        <w:rPr>
          <w:rFonts w:ascii="Arial" w:hAnsi="Arial" w:cs="Arial"/>
        </w:rPr>
      </w:pPr>
    </w:p>
    <w:p w:rsidR="00A722F8" w:rsidRDefault="00A722F8" w:rsidP="002731BB">
      <w:pPr>
        <w:pStyle w:val="Prrafodelista"/>
        <w:spacing w:line="480" w:lineRule="auto"/>
        <w:ind w:left="851"/>
        <w:jc w:val="both"/>
        <w:rPr>
          <w:rFonts w:ascii="Arial" w:hAnsi="Arial" w:cs="Arial"/>
        </w:rPr>
      </w:pPr>
      <w:r>
        <w:rPr>
          <w:rFonts w:ascii="Arial" w:hAnsi="Arial" w:cs="Arial"/>
        </w:rPr>
        <w:t xml:space="preserve">En la </w:t>
      </w:r>
      <w:r>
        <w:rPr>
          <w:rFonts w:ascii="Arial" w:hAnsi="Arial" w:cs="Arial"/>
          <w:i/>
        </w:rPr>
        <w:t>Figura 2.15</w:t>
      </w:r>
      <w:r>
        <w:rPr>
          <w:rFonts w:ascii="Arial" w:hAnsi="Arial" w:cs="Arial"/>
        </w:rPr>
        <w:t xml:space="preserve">, podemos notar que las tasas de analfabetismo más alta se tienen para las edades mayores, es decir, entre la población en edad adulta (mayores de 65 años). Además, podemos notar que en la población con edades entre 15 y 35 años es mayor la tasa de analfabetismo en los hombres que en las mujeres, y a partir de los 35 años existe un cambio que pone a la tasa de analfabetismo de las mujeres sobre la de los hombres, siendo más notoria esta situación en la población mayor de 80 años. </w:t>
      </w:r>
    </w:p>
    <w:p w:rsidR="00A722F8" w:rsidRDefault="00A722F8" w:rsidP="002731BB">
      <w:pPr>
        <w:pStyle w:val="Prrafodelista"/>
        <w:spacing w:line="480" w:lineRule="auto"/>
        <w:ind w:left="851"/>
        <w:jc w:val="both"/>
        <w:rPr>
          <w:rFonts w:ascii="Arial" w:hAnsi="Arial" w:cs="Arial"/>
        </w:rPr>
      </w:pPr>
    </w:p>
    <w:p w:rsidR="00A722F8" w:rsidRPr="009242AD" w:rsidRDefault="00A722F8" w:rsidP="002731BB">
      <w:pPr>
        <w:pStyle w:val="Prrafodelista"/>
        <w:spacing w:line="480" w:lineRule="auto"/>
        <w:ind w:left="851"/>
        <w:jc w:val="both"/>
        <w:rPr>
          <w:rFonts w:ascii="Arial" w:hAnsi="Arial" w:cs="Arial"/>
        </w:rPr>
      </w:pPr>
      <w:r>
        <w:rPr>
          <w:rFonts w:ascii="Arial" w:hAnsi="Arial" w:cs="Arial"/>
        </w:rPr>
        <w:t xml:space="preserve">Analizando las tasas para algunos grupos de edades, tenemos que existen 15.56 por cada 1000 inmigrantes de género masculino con edades entre 15 y 20 años que son analfabetos, mientras que en las mujeres esta tasa es de 11.48 por cada 1000 inmigrantes del género femenino. De los </w:t>
      </w:r>
      <w:r>
        <w:rPr>
          <w:rFonts w:ascii="Arial" w:hAnsi="Arial" w:cs="Arial"/>
        </w:rPr>
        <w:lastRenderedPageBreak/>
        <w:t xml:space="preserve">inmigrantes con edades entre 35 y 40 años, hay 26.44 hombres analfabetos por cada 1000 hombres inmigrantes y 26.84 analfabetas por cada 1000 mujeres inmigrantes; como mencionamos anteriormente de aquí en adelante es mayor la tasa de analfabetismo en las mujeres. Por último, analizaremos las tasas para la población inmigrante con edades entre 80 y 85 años, en donde tenemos que las tasas de analfabetismo tanto para hombres como mujeres son 160.39 y 230.53 por cada 1000 hombres y por cada 1000 mujeres respectivamente. </w:t>
      </w:r>
      <w:r>
        <w:rPr>
          <w:rFonts w:ascii="Arial" w:hAnsi="Arial" w:cs="Arial"/>
          <w:i/>
        </w:rPr>
        <w:t>Véase Figura 2.15.</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EC0382">
        <w:trPr>
          <w:trHeight w:val="7267"/>
          <w:jc w:val="right"/>
        </w:trPr>
        <w:tc>
          <w:tcPr>
            <w:tcW w:w="7497" w:type="dxa"/>
          </w:tcPr>
          <w:p w:rsidR="00A722F8" w:rsidRDefault="00A722F8" w:rsidP="003F1262">
            <w:pPr>
              <w:rPr>
                <w:rFonts w:ascii="Arial" w:hAnsi="Arial" w:cs="Arial"/>
                <w:b/>
                <w:sz w:val="16"/>
                <w:szCs w:val="16"/>
              </w:rPr>
            </w:pPr>
          </w:p>
          <w:p w:rsidR="006E6031" w:rsidRPr="006E6031" w:rsidRDefault="006E6031" w:rsidP="006E6031">
            <w:pPr>
              <w:pStyle w:val="Epgrafe"/>
              <w:rPr>
                <w:rFonts w:ascii="Arial" w:hAnsi="Arial" w:cs="Arial"/>
                <w:bCs w:val="0"/>
                <w:color w:val="auto"/>
                <w:sz w:val="16"/>
                <w:szCs w:val="16"/>
              </w:rPr>
            </w:pPr>
            <w:bookmarkStart w:id="324" w:name="_Toc341043005"/>
            <w:r>
              <w:rPr>
                <w:rFonts w:ascii="Arial" w:hAnsi="Arial" w:cs="Arial"/>
                <w:bCs w:val="0"/>
                <w:color w:val="auto"/>
                <w:sz w:val="16"/>
                <w:szCs w:val="16"/>
              </w:rPr>
              <w:t>Figura 2.</w:t>
            </w:r>
            <w:r w:rsidR="00990535" w:rsidRPr="006E6031">
              <w:rPr>
                <w:rFonts w:ascii="Arial" w:hAnsi="Arial" w:cs="Arial"/>
                <w:bCs w:val="0"/>
                <w:color w:val="auto"/>
                <w:sz w:val="16"/>
                <w:szCs w:val="16"/>
              </w:rPr>
              <w:fldChar w:fldCharType="begin"/>
            </w:r>
            <w:r w:rsidRPr="006E6031">
              <w:rPr>
                <w:rFonts w:ascii="Arial" w:hAnsi="Arial" w:cs="Arial"/>
                <w:bCs w:val="0"/>
                <w:color w:val="auto"/>
                <w:sz w:val="16"/>
                <w:szCs w:val="16"/>
              </w:rPr>
              <w:instrText xml:space="preserve"> SEQ Figura_2. \* ARABIC </w:instrText>
            </w:r>
            <w:r w:rsidR="00990535" w:rsidRPr="006E6031">
              <w:rPr>
                <w:rFonts w:ascii="Arial" w:hAnsi="Arial" w:cs="Arial"/>
                <w:bCs w:val="0"/>
                <w:color w:val="auto"/>
                <w:sz w:val="16"/>
                <w:szCs w:val="16"/>
              </w:rPr>
              <w:fldChar w:fldCharType="separate"/>
            </w:r>
            <w:r w:rsidR="00A242E0">
              <w:rPr>
                <w:rFonts w:ascii="Arial" w:hAnsi="Arial" w:cs="Arial"/>
                <w:bCs w:val="0"/>
                <w:noProof/>
                <w:color w:val="auto"/>
                <w:sz w:val="16"/>
                <w:szCs w:val="16"/>
              </w:rPr>
              <w:t>15</w:t>
            </w:r>
            <w:bookmarkEnd w:id="324"/>
            <w:r w:rsidR="00990535" w:rsidRPr="006E6031">
              <w:rPr>
                <w:rFonts w:ascii="Arial" w:hAnsi="Arial" w:cs="Arial"/>
                <w:bCs w:val="0"/>
                <w:color w:val="auto"/>
                <w:sz w:val="16"/>
                <w:szCs w:val="16"/>
              </w:rPr>
              <w:fldChar w:fldCharType="end"/>
            </w:r>
          </w:p>
          <w:p w:rsidR="00A722F8" w:rsidRPr="00F44C12" w:rsidRDefault="00EC0382" w:rsidP="003F1262">
            <w:pPr>
              <w:rPr>
                <w:rFonts w:ascii="Arial" w:hAnsi="Arial" w:cs="Arial"/>
                <w:i/>
                <w:sz w:val="16"/>
                <w:szCs w:val="16"/>
              </w:rPr>
            </w:pPr>
            <w:r>
              <w:rPr>
                <w:rFonts w:ascii="Arial" w:hAnsi="Arial" w:cs="Arial"/>
                <w:b/>
                <w:i/>
                <w:sz w:val="16"/>
                <w:szCs w:val="16"/>
              </w:rPr>
              <w:t xml:space="preserve">Guayaquil 2010: </w:t>
            </w:r>
            <w:r w:rsidR="00A722F8" w:rsidRPr="00F44C12">
              <w:rPr>
                <w:rFonts w:ascii="Arial" w:hAnsi="Arial" w:cs="Arial"/>
                <w:i/>
                <w:sz w:val="16"/>
                <w:szCs w:val="16"/>
              </w:rPr>
              <w:t xml:space="preserve">Tasa de Analfabetismo </w:t>
            </w:r>
            <w:r w:rsidR="00A722F8">
              <w:rPr>
                <w:rFonts w:ascii="Arial" w:hAnsi="Arial" w:cs="Arial"/>
                <w:i/>
                <w:sz w:val="16"/>
                <w:szCs w:val="16"/>
              </w:rPr>
              <w:t>para</w:t>
            </w:r>
            <w:r w:rsidR="00A722F8" w:rsidRPr="00F44C12">
              <w:rPr>
                <w:rFonts w:ascii="Arial" w:hAnsi="Arial" w:cs="Arial"/>
                <w:i/>
                <w:sz w:val="16"/>
                <w:szCs w:val="16"/>
              </w:rPr>
              <w:t xml:space="preserve"> </w:t>
            </w:r>
            <w:r w:rsidR="00A722F8">
              <w:rPr>
                <w:rFonts w:ascii="Arial" w:hAnsi="Arial" w:cs="Arial"/>
                <w:i/>
                <w:sz w:val="16"/>
                <w:szCs w:val="16"/>
              </w:rPr>
              <w:t>grupo de e</w:t>
            </w:r>
            <w:r w:rsidR="00A722F8" w:rsidRPr="00F44C12">
              <w:rPr>
                <w:rFonts w:ascii="Arial" w:hAnsi="Arial" w:cs="Arial"/>
                <w:i/>
                <w:sz w:val="16"/>
                <w:szCs w:val="16"/>
              </w:rPr>
              <w:t xml:space="preserve">dades específicas y </w:t>
            </w:r>
            <w:r w:rsidR="00A722F8">
              <w:rPr>
                <w:rFonts w:ascii="Arial" w:hAnsi="Arial" w:cs="Arial"/>
                <w:i/>
                <w:sz w:val="16"/>
                <w:szCs w:val="16"/>
              </w:rPr>
              <w:t>g</w:t>
            </w:r>
            <w:r w:rsidR="00A722F8" w:rsidRPr="00F44C12">
              <w:rPr>
                <w:rFonts w:ascii="Arial" w:hAnsi="Arial" w:cs="Arial"/>
                <w:i/>
                <w:sz w:val="16"/>
                <w:szCs w:val="16"/>
              </w:rPr>
              <w:t>énero</w:t>
            </w:r>
          </w:p>
          <w:p w:rsidR="00A722F8" w:rsidRDefault="00A722F8" w:rsidP="003F1262">
            <w:pPr>
              <w:rPr>
                <w:rFonts w:ascii="Arial" w:hAnsi="Arial" w:cs="Arial"/>
                <w:i/>
                <w:sz w:val="16"/>
                <w:szCs w:val="16"/>
              </w:rPr>
            </w:pPr>
            <w:r w:rsidRPr="00F44C12">
              <w:rPr>
                <w:rFonts w:ascii="Arial" w:hAnsi="Arial" w:cs="Arial"/>
                <w:i/>
                <w:sz w:val="16"/>
                <w:szCs w:val="16"/>
              </w:rPr>
              <w:t xml:space="preserve">por cada 1000 Inmigrantes </w:t>
            </w:r>
          </w:p>
          <w:p w:rsidR="00A722F8" w:rsidRDefault="00436907" w:rsidP="003F1262">
            <w:pPr>
              <w:rPr>
                <w:rFonts w:ascii="Arial" w:hAnsi="Arial" w:cs="Arial"/>
                <w:b/>
                <w:sz w:val="16"/>
                <w:szCs w:val="16"/>
              </w:rPr>
            </w:pPr>
            <w:r>
              <w:rPr>
                <w:rFonts w:ascii="Arial" w:hAnsi="Arial" w:cs="Arial"/>
                <w:b/>
                <w:noProof/>
                <w:sz w:val="16"/>
                <w:szCs w:val="16"/>
                <w:lang w:eastAsia="es-EC"/>
              </w:rPr>
              <w:pict>
                <v:shape id="_x0000_s1220" type="#_x0000_t202" style="position:absolute;left:0;text-align:left;margin-left:135.85pt;margin-top:27.3pt;width:89.8pt;height:15.8pt;z-index:2514488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20;mso-fit-shape-to-text:t">
                    <w:txbxContent>
                      <w:p w:rsidR="006933DF" w:rsidRPr="009C2ABD" w:rsidRDefault="006933DF" w:rsidP="00A722F8">
                        <w:pPr>
                          <w:rPr>
                            <w:rFonts w:ascii="Arial" w:hAnsi="Arial" w:cs="Arial"/>
                            <w:color w:val="0070C0"/>
                            <w:sz w:val="15"/>
                            <w:szCs w:val="15"/>
                          </w:rPr>
                        </w:pPr>
                        <w:r w:rsidRPr="009C2ABD">
                          <w:rPr>
                            <w:rFonts w:ascii="Arial" w:hAnsi="Arial" w:cs="Arial"/>
                            <w:color w:val="0070C0"/>
                            <w:sz w:val="15"/>
                            <w:szCs w:val="15"/>
                          </w:rPr>
                          <w:t>Alfabeto</w:t>
                        </w:r>
                      </w:p>
                    </w:txbxContent>
                  </v:textbox>
                </v:shape>
              </w:pict>
            </w:r>
            <w:r>
              <w:rPr>
                <w:rFonts w:ascii="Arial" w:hAnsi="Arial" w:cs="Arial"/>
                <w:b/>
                <w:noProof/>
                <w:sz w:val="16"/>
                <w:szCs w:val="16"/>
                <w:lang w:eastAsia="es-EC"/>
              </w:rPr>
              <w:pict>
                <v:shape id="_x0000_s1221" type="#_x0000_t202" style="position:absolute;left:0;text-align:left;margin-left:144.25pt;margin-top:85.95pt;width:89.8pt;height:15.8pt;z-index:2514498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21;mso-fit-shape-to-text:t">
                    <w:txbxContent>
                      <w:p w:rsidR="006933DF" w:rsidRPr="009C2ABD" w:rsidRDefault="006933DF" w:rsidP="00A722F8">
                        <w:pPr>
                          <w:rPr>
                            <w:rFonts w:ascii="Arial" w:hAnsi="Arial" w:cs="Arial"/>
                            <w:color w:val="E36C0A" w:themeColor="accent6" w:themeShade="BF"/>
                            <w:sz w:val="15"/>
                            <w:szCs w:val="15"/>
                          </w:rPr>
                        </w:pPr>
                        <w:r w:rsidRPr="009C2ABD">
                          <w:rPr>
                            <w:rFonts w:ascii="Arial" w:hAnsi="Arial" w:cs="Arial"/>
                            <w:color w:val="E36C0A" w:themeColor="accent6" w:themeShade="BF"/>
                            <w:sz w:val="15"/>
                            <w:szCs w:val="15"/>
                          </w:rPr>
                          <w:t>Analfabeto</w:t>
                        </w:r>
                      </w:p>
                    </w:txbxContent>
                  </v:textbox>
                </v:shape>
              </w:pict>
            </w:r>
            <w:r>
              <w:rPr>
                <w:rFonts w:ascii="Arial" w:hAnsi="Arial" w:cs="Arial"/>
                <w:b/>
                <w:noProof/>
                <w:sz w:val="16"/>
                <w:szCs w:val="16"/>
                <w:lang w:eastAsia="es-EC"/>
              </w:rPr>
              <w:pict>
                <v:shape id="_x0000_s2003" type="#_x0000_t32" style="position:absolute;left:0;text-align:left;margin-left:191.55pt;margin-top:97.95pt;width:13.5pt;height:14.3pt;z-index:251828736" o:connectortype="straight" strokecolor="#e36c0a [2409]">
                  <v:stroke endarrow="block"/>
                </v:shape>
              </w:pict>
            </w:r>
            <w:r>
              <w:rPr>
                <w:rFonts w:ascii="Arial" w:hAnsi="Arial" w:cs="Arial"/>
                <w:b/>
                <w:noProof/>
                <w:sz w:val="16"/>
                <w:szCs w:val="16"/>
                <w:lang w:eastAsia="es-EC"/>
              </w:rPr>
              <w:pict>
                <v:shape id="_x0000_s2002" type="#_x0000_t32" style="position:absolute;left:0;text-align:left;margin-left:184.8pt;margin-top:19.6pt;width:11.25pt;height:10.75pt;flip:y;z-index:251827712" o:connectortype="straight" strokecolor="#0070c0">
                  <v:stroke endarrow="block"/>
                </v:shape>
              </w:pict>
            </w:r>
            <w:r>
              <w:rPr>
                <w:rFonts w:ascii="Arial" w:hAnsi="Arial" w:cs="Arial"/>
                <w:noProof/>
                <w:lang w:eastAsia="es-EC"/>
              </w:rPr>
              <w:pict>
                <v:shape id="_x0000_s1193" type="#_x0000_t202" style="position:absolute;left:0;text-align:left;margin-left:249.25pt;margin-top:12.45pt;width:99pt;height:17.9pt;z-index:25142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w:txbxContent>
                      <w:p w:rsidR="006933DF" w:rsidRPr="00C800F3" w:rsidRDefault="006933DF" w:rsidP="00A722F8">
                        <w:pPr>
                          <w:rPr>
                            <w:rFonts w:ascii="Arial" w:hAnsi="Arial" w:cs="Arial"/>
                            <w:b/>
                            <w:sz w:val="15"/>
                            <w:szCs w:val="15"/>
                          </w:rPr>
                        </w:pPr>
                        <w:r>
                          <w:rPr>
                            <w:rFonts w:ascii="Arial" w:hAnsi="Arial" w:cs="Arial"/>
                            <w:b/>
                            <w:sz w:val="15"/>
                            <w:szCs w:val="15"/>
                          </w:rPr>
                          <w:t>Hombre</w:t>
                        </w:r>
                      </w:p>
                    </w:txbxContent>
                  </v:textbox>
                </v:shape>
              </w:pict>
            </w:r>
            <w:r w:rsidR="00A722F8">
              <w:rPr>
                <w:noProof/>
                <w:lang w:eastAsia="es-EC"/>
              </w:rPr>
              <w:drawing>
                <wp:inline distT="0" distB="0" distL="0" distR="0">
                  <wp:extent cx="4211955" cy="20880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722F8" w:rsidRDefault="00436907" w:rsidP="003F1262">
            <w:pPr>
              <w:rPr>
                <w:rFonts w:ascii="Arial" w:hAnsi="Arial" w:cs="Arial"/>
                <w:b/>
                <w:sz w:val="16"/>
                <w:szCs w:val="16"/>
              </w:rPr>
            </w:pPr>
            <w:r>
              <w:rPr>
                <w:rFonts w:ascii="Arial" w:hAnsi="Arial" w:cs="Arial"/>
                <w:noProof/>
                <w:lang w:eastAsia="es-EC"/>
              </w:rPr>
              <w:pict>
                <v:shape id="_x0000_s1195" type="#_x0000_t202" style="position:absolute;left:0;text-align:left;margin-left:140.95pt;margin-top:85.35pt;width:89.8pt;height:15.8pt;z-index:2514232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195;mso-fit-shape-to-text:t">
                    <w:txbxContent>
                      <w:p w:rsidR="006933DF" w:rsidRPr="009C2ABD" w:rsidRDefault="006933DF" w:rsidP="00A722F8">
                        <w:pPr>
                          <w:rPr>
                            <w:rFonts w:ascii="Arial" w:hAnsi="Arial" w:cs="Arial"/>
                            <w:color w:val="E36C0A" w:themeColor="accent6" w:themeShade="BF"/>
                            <w:sz w:val="15"/>
                            <w:szCs w:val="15"/>
                          </w:rPr>
                        </w:pPr>
                        <w:r w:rsidRPr="009C2ABD">
                          <w:rPr>
                            <w:rFonts w:ascii="Arial" w:hAnsi="Arial" w:cs="Arial"/>
                            <w:color w:val="E36C0A" w:themeColor="accent6" w:themeShade="BF"/>
                            <w:sz w:val="15"/>
                            <w:szCs w:val="15"/>
                          </w:rPr>
                          <w:t>Analfabeto</w:t>
                        </w:r>
                      </w:p>
                    </w:txbxContent>
                  </v:textbox>
                </v:shape>
              </w:pict>
            </w:r>
            <w:r>
              <w:rPr>
                <w:rFonts w:ascii="Arial" w:hAnsi="Arial" w:cs="Arial"/>
                <w:b/>
                <w:i/>
                <w:noProof/>
                <w:sz w:val="18"/>
                <w:szCs w:val="18"/>
                <w:lang w:eastAsia="es-EC"/>
              </w:rPr>
              <w:pict>
                <v:shape id="_x0000_s1192" type="#_x0000_t202" style="position:absolute;left:0;text-align:left;margin-left:134.2pt;margin-top:33.4pt;width:89.8pt;height:15.8pt;z-index:2514201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192;mso-fit-shape-to-text:t">
                    <w:txbxContent>
                      <w:p w:rsidR="006933DF" w:rsidRPr="009C2ABD" w:rsidRDefault="006933DF" w:rsidP="00A722F8">
                        <w:pPr>
                          <w:rPr>
                            <w:rFonts w:ascii="Arial" w:hAnsi="Arial" w:cs="Arial"/>
                            <w:color w:val="0070C0"/>
                            <w:sz w:val="15"/>
                            <w:szCs w:val="15"/>
                          </w:rPr>
                        </w:pPr>
                        <w:r w:rsidRPr="009C2ABD">
                          <w:rPr>
                            <w:rFonts w:ascii="Arial" w:hAnsi="Arial" w:cs="Arial"/>
                            <w:color w:val="0070C0"/>
                            <w:sz w:val="15"/>
                            <w:szCs w:val="15"/>
                          </w:rPr>
                          <w:t>Alfabeto</w:t>
                        </w:r>
                      </w:p>
                    </w:txbxContent>
                  </v:textbox>
                </v:shape>
              </w:pict>
            </w:r>
            <w:r>
              <w:rPr>
                <w:rFonts w:ascii="Arial" w:hAnsi="Arial" w:cs="Arial"/>
                <w:noProof/>
                <w:lang w:eastAsia="es-EC"/>
              </w:rPr>
              <w:pict>
                <v:shape id="_x0000_s2004" type="#_x0000_t32" style="position:absolute;left:0;text-align:left;margin-left:178.8pt;margin-top:23pt;width:12.75pt;height:13.5pt;flip:y;z-index:251829760" o:connectortype="straight" strokecolor="#0070c0">
                  <v:stroke endarrow="block"/>
                </v:shape>
              </w:pict>
            </w:r>
            <w:r>
              <w:rPr>
                <w:rFonts w:ascii="Arial" w:hAnsi="Arial" w:cs="Arial"/>
                <w:noProof/>
                <w:lang w:eastAsia="es-EC"/>
              </w:rPr>
              <w:pict>
                <v:shape id="_x0000_s2005" type="#_x0000_t32" style="position:absolute;left:0;text-align:left;margin-left:184.8pt;margin-top:97.25pt;width:11.25pt;height:12.75pt;z-index:251830784" o:connectortype="straight" strokecolor="#e36c0a [2409]">
                  <v:stroke endarrow="block"/>
                </v:shape>
              </w:pict>
            </w:r>
            <w:r>
              <w:rPr>
                <w:rFonts w:ascii="Arial" w:hAnsi="Arial" w:cs="Arial"/>
                <w:noProof/>
                <w:lang w:eastAsia="es-EC"/>
              </w:rPr>
              <w:pict>
                <v:shape id="_x0000_s1194" type="#_x0000_t202" style="position:absolute;left:0;text-align:left;margin-left:249.25pt;margin-top:13.1pt;width:99pt;height:17.9pt;z-index:25142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w:txbxContent>
                      <w:p w:rsidR="006933DF" w:rsidRPr="00C800F3" w:rsidRDefault="006933DF" w:rsidP="00A722F8">
                        <w:pPr>
                          <w:rPr>
                            <w:rFonts w:ascii="Arial" w:hAnsi="Arial" w:cs="Arial"/>
                            <w:b/>
                            <w:sz w:val="15"/>
                            <w:szCs w:val="15"/>
                          </w:rPr>
                        </w:pPr>
                        <w:r>
                          <w:rPr>
                            <w:rFonts w:ascii="Arial" w:hAnsi="Arial" w:cs="Arial"/>
                            <w:b/>
                            <w:sz w:val="15"/>
                            <w:szCs w:val="15"/>
                          </w:rPr>
                          <w:t>Mujer</w:t>
                        </w:r>
                      </w:p>
                    </w:txbxContent>
                  </v:textbox>
                </v:shape>
              </w:pict>
            </w:r>
            <w:r w:rsidR="00A722F8">
              <w:rPr>
                <w:noProof/>
                <w:lang w:eastAsia="es-EC"/>
              </w:rPr>
              <w:drawing>
                <wp:inline distT="0" distB="0" distL="0" distR="0">
                  <wp:extent cx="4211955" cy="20880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722F8" w:rsidRPr="00167907" w:rsidRDefault="00A722F8" w:rsidP="003F1262">
            <w:pPr>
              <w:rPr>
                <w:rFonts w:ascii="Arial" w:hAnsi="Arial" w:cs="Arial"/>
                <w:b/>
                <w:sz w:val="16"/>
                <w:szCs w:val="16"/>
              </w:rPr>
            </w:pPr>
          </w:p>
        </w:tc>
      </w:tr>
    </w:tbl>
    <w:p w:rsidR="00A722F8" w:rsidRPr="00EC0382" w:rsidRDefault="00A722F8" w:rsidP="00EC0382">
      <w:pPr>
        <w:pStyle w:val="Prrafodelista"/>
        <w:spacing w:line="276" w:lineRule="auto"/>
        <w:ind w:left="851"/>
        <w:jc w:val="both"/>
        <w:rPr>
          <w:rFonts w:ascii="Arial" w:hAnsi="Arial" w:cs="Arial"/>
          <w:sz w:val="17"/>
          <w:szCs w:val="17"/>
        </w:rPr>
      </w:pPr>
    </w:p>
    <w:p w:rsidR="00A722F8" w:rsidRPr="00EC0382" w:rsidRDefault="00A722F8" w:rsidP="00EC0382">
      <w:pPr>
        <w:pStyle w:val="Prrafodelista"/>
        <w:spacing w:line="276" w:lineRule="auto"/>
        <w:ind w:left="851"/>
        <w:jc w:val="both"/>
        <w:rPr>
          <w:rFonts w:ascii="Arial" w:hAnsi="Arial" w:cs="Arial"/>
          <w:sz w:val="17"/>
          <w:szCs w:val="17"/>
        </w:rPr>
      </w:pPr>
      <w:r w:rsidRPr="00EC0382">
        <w:rPr>
          <w:rFonts w:ascii="Arial" w:hAnsi="Arial" w:cs="Arial"/>
          <w:b/>
          <w:i/>
          <w:sz w:val="17"/>
          <w:szCs w:val="17"/>
        </w:rPr>
        <w:t>Fuente:</w:t>
      </w:r>
      <w:r w:rsidRPr="00EC0382">
        <w:rPr>
          <w:rFonts w:ascii="Arial" w:hAnsi="Arial" w:cs="Arial"/>
          <w:sz w:val="17"/>
          <w:szCs w:val="17"/>
        </w:rPr>
        <w:t xml:space="preserve"> </w:t>
      </w:r>
      <w:r w:rsidRPr="00EC0382">
        <w:rPr>
          <w:rFonts w:ascii="Arial" w:hAnsi="Arial" w:cs="Arial"/>
          <w:b/>
          <w:sz w:val="17"/>
          <w:szCs w:val="17"/>
        </w:rPr>
        <w:t xml:space="preserve">INEC </w:t>
      </w:r>
      <w:r w:rsidRPr="00EC0382">
        <w:rPr>
          <w:rFonts w:ascii="Arial" w:hAnsi="Arial" w:cs="Arial"/>
          <w:sz w:val="17"/>
          <w:szCs w:val="17"/>
        </w:rPr>
        <w:t>(2010), Base de Datos del VII Censo de Población y VI de Vivienda.</w:t>
      </w:r>
    </w:p>
    <w:p w:rsidR="00A722F8" w:rsidRPr="00EC0382" w:rsidRDefault="00A722F8" w:rsidP="00EC0382">
      <w:pPr>
        <w:pStyle w:val="Prrafodelista"/>
        <w:spacing w:line="276" w:lineRule="auto"/>
        <w:ind w:left="851"/>
        <w:jc w:val="both"/>
        <w:rPr>
          <w:rFonts w:ascii="Arial" w:hAnsi="Arial" w:cs="Arial"/>
          <w:sz w:val="17"/>
          <w:szCs w:val="17"/>
        </w:rPr>
      </w:pPr>
      <w:r w:rsidRPr="00EC0382">
        <w:rPr>
          <w:rFonts w:ascii="Arial" w:hAnsi="Arial" w:cs="Arial"/>
          <w:b/>
          <w:i/>
          <w:sz w:val="17"/>
          <w:szCs w:val="17"/>
        </w:rPr>
        <w:t>Elaborado por:</w:t>
      </w:r>
      <w:r w:rsidRPr="00EC0382">
        <w:rPr>
          <w:rFonts w:ascii="Arial" w:hAnsi="Arial" w:cs="Arial"/>
          <w:sz w:val="17"/>
          <w:szCs w:val="17"/>
        </w:rPr>
        <w:t xml:space="preserve"> Katherine Loor Valeriano</w:t>
      </w:r>
    </w:p>
    <w:p w:rsidR="00A722F8" w:rsidRPr="00F83126" w:rsidRDefault="00A722F8" w:rsidP="0041640C">
      <w:pPr>
        <w:pStyle w:val="TesisTitulo20"/>
        <w:numPr>
          <w:ilvl w:val="2"/>
          <w:numId w:val="9"/>
        </w:numPr>
        <w:ind w:left="1701" w:hanging="850"/>
      </w:pPr>
      <w:bookmarkStart w:id="325" w:name="_Toc339212703"/>
      <w:bookmarkStart w:id="326" w:name="_Toc341040631"/>
      <w:r w:rsidRPr="00F83126">
        <w:lastRenderedPageBreak/>
        <w:t>Nivel de Instrucción</w:t>
      </w:r>
      <w:bookmarkEnd w:id="325"/>
      <w:bookmarkEnd w:id="326"/>
    </w:p>
    <w:p w:rsidR="00A722F8" w:rsidRDefault="00A722F8" w:rsidP="00EC0382">
      <w:pPr>
        <w:pStyle w:val="Prrafodelista"/>
        <w:spacing w:line="480" w:lineRule="auto"/>
        <w:ind w:left="851"/>
        <w:jc w:val="both"/>
        <w:rPr>
          <w:rFonts w:ascii="Arial" w:hAnsi="Arial" w:cs="Arial"/>
        </w:rPr>
      </w:pPr>
      <w:r w:rsidRPr="00F83126">
        <w:rPr>
          <w:rFonts w:ascii="Arial" w:hAnsi="Arial" w:cs="Arial"/>
        </w:rPr>
        <w:t xml:space="preserve">Otra variable a considerar es el Nivel de Instrucción de los inmigrantes, puesto que es de vital importancia conocer cuanto aportan ellos a la ciudad donde actualmente residen. De los inmigrantes ecuatorianos que residen en Guayaquil, tenemos que alrededor del </w:t>
      </w:r>
      <w:r>
        <w:rPr>
          <w:rFonts w:ascii="Arial" w:hAnsi="Arial" w:cs="Arial"/>
        </w:rPr>
        <w:t>93.12</w:t>
      </w:r>
      <w:r w:rsidRPr="00F83126">
        <w:rPr>
          <w:rFonts w:ascii="Arial" w:hAnsi="Arial" w:cs="Arial"/>
        </w:rPr>
        <w:t xml:space="preserve">% tienen </w:t>
      </w:r>
      <w:r w:rsidR="00597554">
        <w:rPr>
          <w:rFonts w:ascii="Arial" w:hAnsi="Arial" w:cs="Arial"/>
        </w:rPr>
        <w:t xml:space="preserve">algún </w:t>
      </w:r>
      <w:r w:rsidRPr="00F83126">
        <w:rPr>
          <w:rFonts w:ascii="Arial" w:hAnsi="Arial" w:cs="Arial"/>
        </w:rPr>
        <w:t xml:space="preserve">nivel de instrucción </w:t>
      </w:r>
      <w:r>
        <w:rPr>
          <w:rFonts w:ascii="Arial" w:hAnsi="Arial" w:cs="Arial"/>
        </w:rPr>
        <w:t xml:space="preserve">ya sea </w:t>
      </w:r>
      <w:r w:rsidRPr="00F83126">
        <w:rPr>
          <w:rFonts w:ascii="Arial" w:hAnsi="Arial" w:cs="Arial"/>
        </w:rPr>
        <w:t>primario (</w:t>
      </w:r>
      <w:r>
        <w:rPr>
          <w:rFonts w:ascii="Arial" w:hAnsi="Arial" w:cs="Arial"/>
        </w:rPr>
        <w:t>40.33</w:t>
      </w:r>
      <w:r w:rsidRPr="00F83126">
        <w:rPr>
          <w:rFonts w:ascii="Arial" w:hAnsi="Arial" w:cs="Arial"/>
        </w:rPr>
        <w:t>%), secundario (38.1</w:t>
      </w:r>
      <w:r>
        <w:rPr>
          <w:rFonts w:ascii="Arial" w:hAnsi="Arial" w:cs="Arial"/>
        </w:rPr>
        <w:t>0</w:t>
      </w:r>
      <w:r w:rsidRPr="00F83126">
        <w:rPr>
          <w:rFonts w:ascii="Arial" w:hAnsi="Arial" w:cs="Arial"/>
        </w:rPr>
        <w:t>%) o superior (14.</w:t>
      </w:r>
      <w:r>
        <w:rPr>
          <w:rFonts w:ascii="Arial" w:hAnsi="Arial" w:cs="Arial"/>
        </w:rPr>
        <w:t>69</w:t>
      </w:r>
      <w:r w:rsidRPr="00F83126">
        <w:rPr>
          <w:rFonts w:ascii="Arial" w:hAnsi="Arial" w:cs="Arial"/>
        </w:rPr>
        <w:t>%), el 4.</w:t>
      </w:r>
      <w:r>
        <w:rPr>
          <w:rFonts w:ascii="Arial" w:hAnsi="Arial" w:cs="Arial"/>
        </w:rPr>
        <w:t>42</w:t>
      </w:r>
      <w:r w:rsidRPr="00F83126">
        <w:rPr>
          <w:rFonts w:ascii="Arial" w:hAnsi="Arial" w:cs="Arial"/>
        </w:rPr>
        <w:t>0% no tie</w:t>
      </w:r>
      <w:r>
        <w:rPr>
          <w:rFonts w:ascii="Arial" w:hAnsi="Arial" w:cs="Arial"/>
        </w:rPr>
        <w:t xml:space="preserve">ne algún nivel de instrucción, </w:t>
      </w:r>
      <w:r w:rsidRPr="00F83126">
        <w:rPr>
          <w:rFonts w:ascii="Arial" w:hAnsi="Arial" w:cs="Arial"/>
        </w:rPr>
        <w:t>el 0.6</w:t>
      </w:r>
      <w:r>
        <w:rPr>
          <w:rFonts w:ascii="Arial" w:hAnsi="Arial" w:cs="Arial"/>
        </w:rPr>
        <w:t>3</w:t>
      </w:r>
      <w:r w:rsidRPr="00F83126">
        <w:rPr>
          <w:rFonts w:ascii="Arial" w:hAnsi="Arial" w:cs="Arial"/>
        </w:rPr>
        <w:t>% asist</w:t>
      </w:r>
      <w:r>
        <w:rPr>
          <w:rFonts w:ascii="Arial" w:hAnsi="Arial" w:cs="Arial"/>
        </w:rPr>
        <w:t xml:space="preserve">e a un centro de Alfabetización; y el 1.84% de los datos se ignoran. </w:t>
      </w:r>
    </w:p>
    <w:p w:rsidR="00A722F8" w:rsidRPr="00F83126" w:rsidRDefault="00A722F8" w:rsidP="00EC0382">
      <w:pPr>
        <w:pStyle w:val="Prrafodelista"/>
        <w:spacing w:line="480" w:lineRule="auto"/>
        <w:ind w:left="851"/>
        <w:jc w:val="both"/>
        <w:rPr>
          <w:rFonts w:ascii="Arial" w:hAnsi="Arial" w:cs="Arial"/>
        </w:rPr>
      </w:pPr>
    </w:p>
    <w:p w:rsidR="00A722F8" w:rsidRPr="00F83126" w:rsidRDefault="00A722F8" w:rsidP="00EC0382">
      <w:pPr>
        <w:pStyle w:val="Prrafodelista"/>
        <w:spacing w:line="480" w:lineRule="auto"/>
        <w:ind w:left="851"/>
        <w:jc w:val="both"/>
        <w:rPr>
          <w:rFonts w:ascii="Arial" w:hAnsi="Arial" w:cs="Arial"/>
        </w:rPr>
      </w:pPr>
      <w:r w:rsidRPr="00F83126">
        <w:rPr>
          <w:rFonts w:ascii="Arial" w:hAnsi="Arial" w:cs="Arial"/>
        </w:rPr>
        <w:t>Además, si analizamos el nivel de instrucción de los inmigrantes dada la provincia de nacimiento, tenemos que la provincia que mayor porcentaje de personas sin algún nivel de instrucción expulsa hacia Guayaquil es Chimborazo (8.</w:t>
      </w:r>
      <w:r>
        <w:rPr>
          <w:rFonts w:ascii="Arial" w:hAnsi="Arial" w:cs="Arial"/>
        </w:rPr>
        <w:t>1</w:t>
      </w:r>
      <w:r w:rsidRPr="00F83126">
        <w:rPr>
          <w:rFonts w:ascii="Arial" w:hAnsi="Arial" w:cs="Arial"/>
        </w:rPr>
        <w:t>0%), aunque de esta misma p</w:t>
      </w:r>
      <w:r>
        <w:rPr>
          <w:rFonts w:ascii="Arial" w:hAnsi="Arial" w:cs="Arial"/>
        </w:rPr>
        <w:t>rovincia existe alrededor del 46</w:t>
      </w:r>
      <w:r w:rsidRPr="00F83126">
        <w:rPr>
          <w:rFonts w:ascii="Arial" w:hAnsi="Arial" w:cs="Arial"/>
        </w:rPr>
        <w:t>.90% de inmigrantes con nivel de instrucción primario, un 28.</w:t>
      </w:r>
      <w:r>
        <w:rPr>
          <w:rFonts w:ascii="Arial" w:hAnsi="Arial" w:cs="Arial"/>
        </w:rPr>
        <w:t>2</w:t>
      </w:r>
      <w:r w:rsidRPr="00F83126">
        <w:rPr>
          <w:rFonts w:ascii="Arial" w:hAnsi="Arial" w:cs="Arial"/>
        </w:rPr>
        <w:t>0% con nivel de instrucción secundario y el 13.</w:t>
      </w:r>
      <w:r>
        <w:rPr>
          <w:rFonts w:ascii="Arial" w:hAnsi="Arial" w:cs="Arial"/>
        </w:rPr>
        <w:t>4</w:t>
      </w:r>
      <w:r w:rsidRPr="00F83126">
        <w:rPr>
          <w:rFonts w:ascii="Arial" w:hAnsi="Arial" w:cs="Arial"/>
        </w:rPr>
        <w:t>0% tiene nivel superior, lo cual incluye pregrado o postgrado. Por otra parte, los que provienen de Pichincha presentan mayor nivel de instrucción ya que el 35.</w:t>
      </w:r>
      <w:r>
        <w:rPr>
          <w:rFonts w:ascii="Arial" w:hAnsi="Arial" w:cs="Arial"/>
        </w:rPr>
        <w:t>2</w:t>
      </w:r>
      <w:r w:rsidRPr="00F83126">
        <w:rPr>
          <w:rFonts w:ascii="Arial" w:hAnsi="Arial" w:cs="Arial"/>
        </w:rPr>
        <w:t>0% de los inmigrantes provenientes desde esta provincia tienen hasta instrucción superior, el 36.</w:t>
      </w:r>
      <w:r>
        <w:rPr>
          <w:rFonts w:ascii="Arial" w:hAnsi="Arial" w:cs="Arial"/>
        </w:rPr>
        <w:t>3</w:t>
      </w:r>
      <w:r w:rsidRPr="00F83126">
        <w:rPr>
          <w:rFonts w:ascii="Arial" w:hAnsi="Arial" w:cs="Arial"/>
        </w:rPr>
        <w:t>0% tiene hasta instrucción secundaria y el 25.</w:t>
      </w:r>
      <w:r>
        <w:rPr>
          <w:rFonts w:ascii="Arial" w:hAnsi="Arial" w:cs="Arial"/>
        </w:rPr>
        <w:t>5</w:t>
      </w:r>
      <w:r w:rsidRPr="00F83126">
        <w:rPr>
          <w:rFonts w:ascii="Arial" w:hAnsi="Arial" w:cs="Arial"/>
        </w:rPr>
        <w:t>0% instrucción primaria, lo c</w:t>
      </w:r>
      <w:r>
        <w:rPr>
          <w:rFonts w:ascii="Arial" w:hAnsi="Arial" w:cs="Arial"/>
        </w:rPr>
        <w:t>ual implica que alrededor del 97</w:t>
      </w:r>
      <w:r w:rsidRPr="00F83126">
        <w:rPr>
          <w:rFonts w:ascii="Arial" w:hAnsi="Arial" w:cs="Arial"/>
        </w:rPr>
        <w:t>% de los inmigrantes provenientes desde esta provincia tienen algún nivel de instrucción, predominando los que poseen n</w:t>
      </w:r>
      <w:r>
        <w:rPr>
          <w:rFonts w:ascii="Arial" w:hAnsi="Arial" w:cs="Arial"/>
        </w:rPr>
        <w:t>ivel superior sea pregrado (31.</w:t>
      </w:r>
      <w:r w:rsidRPr="00F83126">
        <w:rPr>
          <w:rFonts w:ascii="Arial" w:hAnsi="Arial" w:cs="Arial"/>
        </w:rPr>
        <w:t>3</w:t>
      </w:r>
      <w:r>
        <w:rPr>
          <w:rFonts w:ascii="Arial" w:hAnsi="Arial" w:cs="Arial"/>
        </w:rPr>
        <w:t>2</w:t>
      </w:r>
      <w:r w:rsidRPr="00F83126">
        <w:rPr>
          <w:rFonts w:ascii="Arial" w:hAnsi="Arial" w:cs="Arial"/>
        </w:rPr>
        <w:t>%) o postgrado (3.9</w:t>
      </w:r>
      <w:r>
        <w:rPr>
          <w:rFonts w:ascii="Arial" w:hAnsi="Arial" w:cs="Arial"/>
        </w:rPr>
        <w:t>2</w:t>
      </w:r>
      <w:r w:rsidR="00EC0382">
        <w:rPr>
          <w:rFonts w:ascii="Arial" w:hAnsi="Arial" w:cs="Arial"/>
        </w:rPr>
        <w:t>%); m</w:t>
      </w:r>
      <w:r w:rsidRPr="00F83126">
        <w:rPr>
          <w:rFonts w:ascii="Arial" w:hAnsi="Arial" w:cs="Arial"/>
        </w:rPr>
        <w:t xml:space="preserve">ientras que, los inmigrantes que proceden desde Galápagos presentan un escenario parecido a Pichincha, se tiene </w:t>
      </w:r>
      <w:r w:rsidRPr="00F83126">
        <w:rPr>
          <w:rFonts w:ascii="Arial" w:hAnsi="Arial" w:cs="Arial"/>
        </w:rPr>
        <w:lastRenderedPageBreak/>
        <w:t xml:space="preserve">así que el </w:t>
      </w:r>
      <w:r>
        <w:rPr>
          <w:rFonts w:ascii="Arial" w:hAnsi="Arial" w:cs="Arial"/>
        </w:rPr>
        <w:t>34.6</w:t>
      </w:r>
      <w:r w:rsidRPr="00F83126">
        <w:rPr>
          <w:rFonts w:ascii="Arial" w:hAnsi="Arial" w:cs="Arial"/>
        </w:rPr>
        <w:t>0% tienen hasta instrucción superior siendo predominante los de pregrado, el 38.</w:t>
      </w:r>
      <w:r>
        <w:rPr>
          <w:rFonts w:ascii="Arial" w:hAnsi="Arial" w:cs="Arial"/>
        </w:rPr>
        <w:t>3</w:t>
      </w:r>
      <w:r w:rsidRPr="00F83126">
        <w:rPr>
          <w:rFonts w:ascii="Arial" w:hAnsi="Arial" w:cs="Arial"/>
        </w:rPr>
        <w:t>0% poseen nivel de instrucción secundaria, el 2</w:t>
      </w:r>
      <w:r>
        <w:rPr>
          <w:rFonts w:ascii="Arial" w:hAnsi="Arial" w:cs="Arial"/>
        </w:rPr>
        <w:t>4.60</w:t>
      </w:r>
      <w:r w:rsidRPr="00F83126">
        <w:rPr>
          <w:rFonts w:ascii="Arial" w:hAnsi="Arial" w:cs="Arial"/>
        </w:rPr>
        <w:t>% hasta instrucción primario, no hay personas que hayan nacido en Galápagos y que viven en Guayaquil que asistan a algún centro de Alfabetización y tan sólo el 1.20% no poseen algún nivel de instrucción.</w:t>
      </w:r>
    </w:p>
    <w:p w:rsidR="00A722F8" w:rsidRPr="00F83126" w:rsidRDefault="00A722F8" w:rsidP="00EC0382">
      <w:pPr>
        <w:pStyle w:val="Prrafodelista"/>
        <w:spacing w:line="480" w:lineRule="auto"/>
        <w:ind w:left="851"/>
        <w:jc w:val="both"/>
        <w:rPr>
          <w:rFonts w:ascii="Arial" w:hAnsi="Arial" w:cs="Arial"/>
        </w:rPr>
      </w:pPr>
    </w:p>
    <w:p w:rsidR="00A722F8" w:rsidRDefault="00A722F8" w:rsidP="00EC0382">
      <w:pPr>
        <w:pStyle w:val="Prrafodelista"/>
        <w:spacing w:line="480" w:lineRule="auto"/>
        <w:ind w:left="851"/>
        <w:jc w:val="both"/>
        <w:rPr>
          <w:rFonts w:ascii="Arial" w:hAnsi="Arial" w:cs="Arial"/>
        </w:rPr>
      </w:pPr>
      <w:r w:rsidRPr="00F83126">
        <w:rPr>
          <w:rFonts w:ascii="Arial" w:hAnsi="Arial" w:cs="Arial"/>
        </w:rPr>
        <w:t>De los inmigrantes provenientes del Oriente, Orellana es la provincia que expulsa a la menor cantidad de personas sin algún nivel de instrucción, pues sólo el 0.3</w:t>
      </w:r>
      <w:r>
        <w:rPr>
          <w:rFonts w:ascii="Arial" w:hAnsi="Arial" w:cs="Arial"/>
        </w:rPr>
        <w:t>0</w:t>
      </w:r>
      <w:r w:rsidRPr="00F83126">
        <w:rPr>
          <w:rFonts w:ascii="Arial" w:hAnsi="Arial" w:cs="Arial"/>
        </w:rPr>
        <w:t xml:space="preserve">% de los inmigrantes provenientes desde esta provincia </w:t>
      </w:r>
      <w:r>
        <w:rPr>
          <w:rFonts w:ascii="Arial" w:hAnsi="Arial" w:cs="Arial"/>
        </w:rPr>
        <w:t>no tienen nivel alguno de instrucción, además el 34.5</w:t>
      </w:r>
      <w:r w:rsidRPr="00F83126">
        <w:rPr>
          <w:rFonts w:ascii="Arial" w:hAnsi="Arial" w:cs="Arial"/>
        </w:rPr>
        <w:t>0% poseen h</w:t>
      </w:r>
      <w:r>
        <w:rPr>
          <w:rFonts w:ascii="Arial" w:hAnsi="Arial" w:cs="Arial"/>
        </w:rPr>
        <w:t>asta instrucción primaria, el 55</w:t>
      </w:r>
      <w:r w:rsidRPr="00F83126">
        <w:rPr>
          <w:rFonts w:ascii="Arial" w:hAnsi="Arial" w:cs="Arial"/>
        </w:rPr>
        <w:t>.20% secundaria y el 8.</w:t>
      </w:r>
      <w:r>
        <w:rPr>
          <w:rFonts w:ascii="Arial" w:hAnsi="Arial" w:cs="Arial"/>
        </w:rPr>
        <w:t>2</w:t>
      </w:r>
      <w:r w:rsidRPr="00F83126">
        <w:rPr>
          <w:rFonts w:ascii="Arial" w:hAnsi="Arial" w:cs="Arial"/>
        </w:rPr>
        <w:t>0% hasta instrucción superior; otro caso es el de Sucumbíos, el cual de la población que ha</w:t>
      </w:r>
      <w:r>
        <w:rPr>
          <w:rFonts w:ascii="Arial" w:hAnsi="Arial" w:cs="Arial"/>
        </w:rPr>
        <w:t xml:space="preserve"> expulsado hacia Guayaquil el 42</w:t>
      </w:r>
      <w:r w:rsidRPr="00F83126">
        <w:rPr>
          <w:rFonts w:ascii="Arial" w:hAnsi="Arial" w:cs="Arial"/>
        </w:rPr>
        <w:t xml:space="preserve">% tiene instrucción primaria, </w:t>
      </w:r>
      <w:r>
        <w:rPr>
          <w:rFonts w:ascii="Arial" w:hAnsi="Arial" w:cs="Arial"/>
        </w:rPr>
        <w:t>45.10</w:t>
      </w:r>
      <w:r w:rsidRPr="00F83126">
        <w:rPr>
          <w:rFonts w:ascii="Arial" w:hAnsi="Arial" w:cs="Arial"/>
        </w:rPr>
        <w:t>% secundaria y el 9.</w:t>
      </w:r>
      <w:r>
        <w:rPr>
          <w:rFonts w:ascii="Arial" w:hAnsi="Arial" w:cs="Arial"/>
        </w:rPr>
        <w:t>7</w:t>
      </w:r>
      <w:r w:rsidRPr="00F83126">
        <w:rPr>
          <w:rFonts w:ascii="Arial" w:hAnsi="Arial" w:cs="Arial"/>
        </w:rPr>
        <w:t>0% instrucción superior siendo en todos los casos predominantes los de nivel de instrucción pregrado sobre los de postgrado.</w:t>
      </w:r>
      <w:r>
        <w:rPr>
          <w:rFonts w:ascii="Arial" w:hAnsi="Arial" w:cs="Arial"/>
        </w:rPr>
        <w:t xml:space="preserve"> </w:t>
      </w:r>
      <w:r w:rsidRPr="00F83126">
        <w:rPr>
          <w:rFonts w:ascii="Arial" w:hAnsi="Arial" w:cs="Arial"/>
        </w:rPr>
        <w:t>Los inmigrantes provenientes de otros cantones del Guayas, es decir, los inmigrantes de corta distancia que residen en Guayaquil; se tiene que el 41</w:t>
      </w:r>
      <w:r>
        <w:rPr>
          <w:rFonts w:ascii="Arial" w:hAnsi="Arial" w:cs="Arial"/>
        </w:rPr>
        <w:t>.10</w:t>
      </w:r>
      <w:r w:rsidRPr="00F83126">
        <w:rPr>
          <w:rFonts w:ascii="Arial" w:hAnsi="Arial" w:cs="Arial"/>
        </w:rPr>
        <w:t xml:space="preserve">% posee nivel de instrucción primaria, el </w:t>
      </w:r>
      <w:r>
        <w:rPr>
          <w:rFonts w:ascii="Arial" w:hAnsi="Arial" w:cs="Arial"/>
        </w:rPr>
        <w:t>39.20</w:t>
      </w:r>
      <w:r w:rsidRPr="00F83126">
        <w:rPr>
          <w:rFonts w:ascii="Arial" w:hAnsi="Arial" w:cs="Arial"/>
        </w:rPr>
        <w:t>% secundaria y el 12.</w:t>
      </w:r>
      <w:r>
        <w:rPr>
          <w:rFonts w:ascii="Arial" w:hAnsi="Arial" w:cs="Arial"/>
        </w:rPr>
        <w:t>5</w:t>
      </w:r>
      <w:r w:rsidRPr="00F83126">
        <w:rPr>
          <w:rFonts w:ascii="Arial" w:hAnsi="Arial" w:cs="Arial"/>
        </w:rPr>
        <w:t xml:space="preserve">0% instrucción superior. Es decir, que desde los cantones vecinos se recibe mayor cantidad de personas con instrucción primaria o secundaria. Recordemos además que de las provincias de la Costa, Manabí es la que </w:t>
      </w:r>
      <w:r>
        <w:rPr>
          <w:rFonts w:ascii="Arial" w:hAnsi="Arial" w:cs="Arial"/>
        </w:rPr>
        <w:t>expulsa</w:t>
      </w:r>
      <w:r w:rsidRPr="00F83126">
        <w:rPr>
          <w:rFonts w:ascii="Arial" w:hAnsi="Arial" w:cs="Arial"/>
        </w:rPr>
        <w:t xml:space="preserve"> mayor cantidad de </w:t>
      </w:r>
      <w:r>
        <w:rPr>
          <w:rFonts w:ascii="Arial" w:hAnsi="Arial" w:cs="Arial"/>
        </w:rPr>
        <w:t>personas hacia</w:t>
      </w:r>
      <w:r w:rsidRPr="00F83126">
        <w:rPr>
          <w:rFonts w:ascii="Arial" w:hAnsi="Arial" w:cs="Arial"/>
        </w:rPr>
        <w:t xml:space="preserve"> Guayaquil, de éstos el </w:t>
      </w:r>
      <w:r>
        <w:rPr>
          <w:rFonts w:ascii="Arial" w:hAnsi="Arial" w:cs="Arial"/>
        </w:rPr>
        <w:t>5.40</w:t>
      </w:r>
      <w:r w:rsidRPr="00F83126">
        <w:rPr>
          <w:rFonts w:ascii="Arial" w:hAnsi="Arial" w:cs="Arial"/>
        </w:rPr>
        <w:t xml:space="preserve">% son personas mayores de 15 años sin algún nivel de instrucción, el 0.80% </w:t>
      </w:r>
      <w:r w:rsidRPr="00F83126">
        <w:rPr>
          <w:rFonts w:ascii="Arial" w:hAnsi="Arial" w:cs="Arial"/>
        </w:rPr>
        <w:lastRenderedPageBreak/>
        <w:t xml:space="preserve">asiste a algún centro de Alfabetización, el </w:t>
      </w:r>
      <w:r>
        <w:rPr>
          <w:rFonts w:ascii="Arial" w:hAnsi="Arial" w:cs="Arial"/>
        </w:rPr>
        <w:t>44.80</w:t>
      </w:r>
      <w:r w:rsidRPr="00F83126">
        <w:rPr>
          <w:rFonts w:ascii="Arial" w:hAnsi="Arial" w:cs="Arial"/>
        </w:rPr>
        <w:t>% p</w:t>
      </w:r>
      <w:r>
        <w:rPr>
          <w:rFonts w:ascii="Arial" w:hAnsi="Arial" w:cs="Arial"/>
        </w:rPr>
        <w:t>osee instrucción primaria, el 36.8</w:t>
      </w:r>
      <w:r w:rsidRPr="00F83126">
        <w:rPr>
          <w:rFonts w:ascii="Arial" w:hAnsi="Arial" w:cs="Arial"/>
        </w:rPr>
        <w:t>0% superior y el 10.</w:t>
      </w:r>
      <w:r>
        <w:rPr>
          <w:rFonts w:ascii="Arial" w:hAnsi="Arial" w:cs="Arial"/>
        </w:rPr>
        <w:t>5</w:t>
      </w:r>
      <w:r w:rsidRPr="00F83126">
        <w:rPr>
          <w:rFonts w:ascii="Arial" w:hAnsi="Arial" w:cs="Arial"/>
        </w:rPr>
        <w:t xml:space="preserve">0% hasta instrucción superior. </w:t>
      </w:r>
    </w:p>
    <w:p w:rsidR="007B4CE0" w:rsidRDefault="007B4CE0" w:rsidP="00EC0382">
      <w:pPr>
        <w:pStyle w:val="Prrafodelista"/>
        <w:spacing w:line="480" w:lineRule="auto"/>
        <w:ind w:left="851"/>
        <w:jc w:val="both"/>
        <w:rPr>
          <w:rFonts w:ascii="Arial" w:hAnsi="Arial" w:cs="Arial"/>
        </w:rPr>
      </w:pPr>
    </w:p>
    <w:p w:rsidR="00A722F8" w:rsidRDefault="00A722F8" w:rsidP="00EC0382">
      <w:pPr>
        <w:pStyle w:val="Prrafodelista"/>
        <w:spacing w:line="480" w:lineRule="auto"/>
        <w:ind w:left="851"/>
        <w:jc w:val="both"/>
        <w:rPr>
          <w:rFonts w:ascii="Arial" w:hAnsi="Arial" w:cs="Arial"/>
        </w:rPr>
      </w:pPr>
      <w:r w:rsidRPr="00F83126">
        <w:rPr>
          <w:rFonts w:ascii="Arial" w:hAnsi="Arial" w:cs="Arial"/>
        </w:rPr>
        <w:t>Algo curioso de denotar, es que de las dos zonas denominadas como Zonas no Delimitadas, las personas que desde allí emigran hacia Guayaquil el 68% tiene instrucción primaria y el 32% secundaria, notándose además que ninguno de los inmigrantes desde estas zonas que residen en Guayaquil tienen ninguna instrucción, asisten a ce</w:t>
      </w:r>
      <w:r>
        <w:rPr>
          <w:rFonts w:ascii="Arial" w:hAnsi="Arial" w:cs="Arial"/>
        </w:rPr>
        <w:t xml:space="preserve">ntro de Alfabetización o tienen </w:t>
      </w:r>
      <w:r w:rsidRPr="00F83126">
        <w:rPr>
          <w:rFonts w:ascii="Arial" w:hAnsi="Arial" w:cs="Arial"/>
        </w:rPr>
        <w:t xml:space="preserve">instrucción superior. Para más detalles </w:t>
      </w:r>
      <w:r w:rsidRPr="00971167">
        <w:rPr>
          <w:rFonts w:ascii="Arial" w:hAnsi="Arial" w:cs="Arial"/>
          <w:i/>
        </w:rPr>
        <w:t>véase Tabla 2.1</w:t>
      </w:r>
      <w:r w:rsidR="00EC0382">
        <w:rPr>
          <w:rFonts w:ascii="Arial" w:hAnsi="Arial" w:cs="Arial"/>
          <w:i/>
        </w:rPr>
        <w:t>6</w:t>
      </w:r>
      <w:r w:rsidRPr="00F83126">
        <w:rPr>
          <w:rFonts w:ascii="Arial" w:hAnsi="Arial" w:cs="Arial"/>
        </w:rPr>
        <w:t>.</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7B4CE0">
        <w:trPr>
          <w:trHeight w:val="6892"/>
          <w:jc w:val="right"/>
        </w:trPr>
        <w:tc>
          <w:tcPr>
            <w:tcW w:w="7497" w:type="dxa"/>
          </w:tcPr>
          <w:p w:rsidR="00A722F8" w:rsidRDefault="00A722F8" w:rsidP="003F1262">
            <w:pPr>
              <w:rPr>
                <w:rFonts w:ascii="Arial" w:hAnsi="Arial" w:cs="Arial"/>
                <w:b/>
                <w:sz w:val="16"/>
                <w:szCs w:val="16"/>
              </w:rPr>
            </w:pPr>
          </w:p>
          <w:p w:rsidR="006E5961" w:rsidRPr="006E5961" w:rsidRDefault="006E5961" w:rsidP="006E5961">
            <w:pPr>
              <w:keepNext/>
              <w:rPr>
                <w:rFonts w:ascii="Arial" w:hAnsi="Arial" w:cs="Arial"/>
                <w:b/>
                <w:sz w:val="16"/>
                <w:szCs w:val="16"/>
              </w:rPr>
            </w:pPr>
            <w:bookmarkStart w:id="327" w:name="_Toc341041591"/>
            <w:r w:rsidRPr="006E5961">
              <w:rPr>
                <w:rFonts w:ascii="Arial" w:hAnsi="Arial" w:cs="Arial"/>
                <w:b/>
                <w:sz w:val="16"/>
                <w:szCs w:val="16"/>
              </w:rPr>
              <w:t>Tabla</w:t>
            </w:r>
            <w:r>
              <w:rPr>
                <w:rFonts w:ascii="Arial" w:hAnsi="Arial" w:cs="Arial"/>
                <w:b/>
                <w:sz w:val="16"/>
                <w:szCs w:val="16"/>
              </w:rPr>
              <w:t xml:space="preserve"> </w:t>
            </w:r>
            <w:r w:rsidRPr="006E5961">
              <w:rPr>
                <w:rFonts w:ascii="Arial" w:hAnsi="Arial" w:cs="Arial"/>
                <w:b/>
                <w:sz w:val="16"/>
                <w:szCs w:val="16"/>
              </w:rPr>
              <w:t>2.</w:t>
            </w:r>
            <w:r w:rsidR="00990535" w:rsidRPr="006E5961">
              <w:rPr>
                <w:rFonts w:ascii="Arial" w:hAnsi="Arial" w:cs="Arial"/>
                <w:b/>
                <w:sz w:val="16"/>
                <w:szCs w:val="16"/>
              </w:rPr>
              <w:fldChar w:fldCharType="begin"/>
            </w:r>
            <w:r w:rsidRPr="006E5961">
              <w:rPr>
                <w:rFonts w:ascii="Arial" w:hAnsi="Arial" w:cs="Arial"/>
                <w:b/>
                <w:sz w:val="16"/>
                <w:szCs w:val="16"/>
              </w:rPr>
              <w:instrText xml:space="preserve"> SEQ Tabla2. \* ARABIC </w:instrText>
            </w:r>
            <w:r w:rsidR="00990535" w:rsidRPr="006E5961">
              <w:rPr>
                <w:rFonts w:ascii="Arial" w:hAnsi="Arial" w:cs="Arial"/>
                <w:b/>
                <w:sz w:val="16"/>
                <w:szCs w:val="16"/>
              </w:rPr>
              <w:fldChar w:fldCharType="separate"/>
            </w:r>
            <w:r w:rsidR="00A242E0">
              <w:rPr>
                <w:rFonts w:ascii="Arial" w:hAnsi="Arial" w:cs="Arial"/>
                <w:b/>
                <w:noProof/>
                <w:sz w:val="16"/>
                <w:szCs w:val="16"/>
              </w:rPr>
              <w:t>16</w:t>
            </w:r>
            <w:bookmarkEnd w:id="327"/>
            <w:r w:rsidR="00990535" w:rsidRPr="006E5961">
              <w:rPr>
                <w:rFonts w:ascii="Arial" w:hAnsi="Arial" w:cs="Arial"/>
                <w:b/>
                <w:sz w:val="16"/>
                <w:szCs w:val="16"/>
              </w:rPr>
              <w:fldChar w:fldCharType="end"/>
            </w:r>
          </w:p>
          <w:p w:rsidR="00EC0382" w:rsidRDefault="00EC0382" w:rsidP="003F1262">
            <w:pPr>
              <w:rPr>
                <w:rFonts w:ascii="Arial" w:hAnsi="Arial" w:cs="Arial"/>
                <w:i/>
                <w:sz w:val="16"/>
                <w:szCs w:val="16"/>
              </w:rPr>
            </w:pPr>
            <w:r>
              <w:rPr>
                <w:rFonts w:ascii="Arial" w:hAnsi="Arial" w:cs="Arial"/>
                <w:b/>
                <w:i/>
                <w:sz w:val="16"/>
                <w:szCs w:val="16"/>
              </w:rPr>
              <w:t xml:space="preserve">Guayaquil 2010: </w:t>
            </w:r>
            <w:r w:rsidR="00A722F8" w:rsidRPr="004C1EC0">
              <w:rPr>
                <w:rFonts w:ascii="Arial" w:hAnsi="Arial" w:cs="Arial"/>
                <w:i/>
                <w:sz w:val="16"/>
                <w:szCs w:val="16"/>
              </w:rPr>
              <w:t>Nivel de instrucción de los Inmigrant</w:t>
            </w:r>
            <w:r w:rsidR="00A722F8">
              <w:rPr>
                <w:rFonts w:ascii="Arial" w:hAnsi="Arial" w:cs="Arial"/>
                <w:i/>
                <w:sz w:val="16"/>
                <w:szCs w:val="16"/>
              </w:rPr>
              <w:t>es dado que se conoce</w:t>
            </w:r>
          </w:p>
          <w:p w:rsidR="00A722F8" w:rsidRPr="004C1EC0" w:rsidRDefault="00A722F8" w:rsidP="003F1262">
            <w:pPr>
              <w:rPr>
                <w:rFonts w:ascii="Arial" w:hAnsi="Arial" w:cs="Arial"/>
                <w:i/>
                <w:sz w:val="16"/>
                <w:szCs w:val="16"/>
              </w:rPr>
            </w:pPr>
            <w:r w:rsidRPr="004C1EC0">
              <w:rPr>
                <w:rFonts w:ascii="Arial" w:hAnsi="Arial" w:cs="Arial"/>
                <w:i/>
                <w:sz w:val="16"/>
                <w:szCs w:val="16"/>
              </w:rPr>
              <w:t xml:space="preserve"> </w:t>
            </w:r>
            <w:r w:rsidR="007B4CE0">
              <w:rPr>
                <w:rFonts w:ascii="Arial" w:hAnsi="Arial" w:cs="Arial"/>
                <w:i/>
                <w:sz w:val="16"/>
                <w:szCs w:val="16"/>
              </w:rPr>
              <w:t>el lugar</w:t>
            </w:r>
            <w:r w:rsidRPr="004C1EC0">
              <w:rPr>
                <w:rFonts w:ascii="Arial" w:hAnsi="Arial" w:cs="Arial"/>
                <w:i/>
                <w:sz w:val="16"/>
                <w:szCs w:val="16"/>
              </w:rPr>
              <w:t xml:space="preserve"> de nacimiento</w:t>
            </w:r>
          </w:p>
          <w:p w:rsidR="00A722F8" w:rsidRPr="00ED0337" w:rsidRDefault="00A722F8" w:rsidP="003F1262">
            <w:pPr>
              <w:rPr>
                <w:noProof/>
                <w:sz w:val="16"/>
                <w:szCs w:val="16"/>
                <w:lang w:eastAsia="es-EC"/>
              </w:rPr>
            </w:pPr>
            <w:r w:rsidRPr="00ED0337">
              <w:rPr>
                <w:noProof/>
                <w:sz w:val="16"/>
                <w:szCs w:val="16"/>
                <w:lang w:eastAsia="es-EC"/>
              </w:rPr>
              <w:t xml:space="preserve"> </w:t>
            </w:r>
          </w:p>
          <w:tbl>
            <w:tblPr>
              <w:tblW w:w="6860" w:type="dxa"/>
              <w:jc w:val="center"/>
              <w:tblCellMar>
                <w:left w:w="0" w:type="dxa"/>
                <w:right w:w="0" w:type="dxa"/>
              </w:tblCellMar>
              <w:tblLook w:val="04A0" w:firstRow="1" w:lastRow="0" w:firstColumn="1" w:lastColumn="0" w:noHBand="0" w:noVBand="1"/>
            </w:tblPr>
            <w:tblGrid>
              <w:gridCol w:w="1361"/>
              <w:gridCol w:w="1014"/>
              <w:gridCol w:w="1310"/>
              <w:gridCol w:w="737"/>
              <w:gridCol w:w="907"/>
              <w:gridCol w:w="737"/>
              <w:gridCol w:w="794"/>
            </w:tblGrid>
            <w:tr w:rsidR="00A722F8" w:rsidRPr="004C1EC0" w:rsidTr="003F1262">
              <w:trPr>
                <w:trHeight w:val="20"/>
                <w:jc w:val="center"/>
              </w:trPr>
              <w:tc>
                <w:tcPr>
                  <w:tcW w:w="1361" w:type="dxa"/>
                  <w:vMerge w:val="restart"/>
                  <w:tcBorders>
                    <w:top w:val="single" w:sz="4" w:space="0" w:color="auto"/>
                    <w:left w:val="nil"/>
                    <w:bottom w:val="single" w:sz="4" w:space="0" w:color="000000"/>
                    <w:right w:val="nil"/>
                  </w:tcBorders>
                  <w:shd w:val="clear" w:color="auto" w:fill="auto"/>
                  <w:vAlign w:val="center"/>
                  <w:hideMark/>
                </w:tcPr>
                <w:p w:rsidR="00A722F8" w:rsidRPr="004C1EC0" w:rsidRDefault="00A722F8" w:rsidP="003F1262">
                  <w:pPr>
                    <w:rPr>
                      <w:rFonts w:ascii="Arial" w:eastAsia="Times New Roman" w:hAnsi="Arial" w:cs="Arial"/>
                      <w:b/>
                      <w:bCs/>
                      <w:sz w:val="16"/>
                      <w:szCs w:val="16"/>
                      <w:lang w:eastAsia="es-EC"/>
                    </w:rPr>
                  </w:pPr>
                  <w:r w:rsidRPr="004C1EC0">
                    <w:rPr>
                      <w:rFonts w:ascii="Arial" w:eastAsia="Times New Roman" w:hAnsi="Arial" w:cs="Arial"/>
                      <w:b/>
                      <w:bCs/>
                      <w:sz w:val="16"/>
                      <w:szCs w:val="16"/>
                      <w:lang w:eastAsia="es-EC"/>
                    </w:rPr>
                    <w:t>Provincia de Nacimiento</w:t>
                  </w:r>
                </w:p>
              </w:tc>
              <w:tc>
                <w:tcPr>
                  <w:tcW w:w="5499" w:type="dxa"/>
                  <w:gridSpan w:val="6"/>
                  <w:tcBorders>
                    <w:top w:val="single" w:sz="4" w:space="0" w:color="auto"/>
                    <w:left w:val="nil"/>
                    <w:bottom w:val="single" w:sz="4" w:space="0" w:color="auto"/>
                    <w:right w:val="nil"/>
                  </w:tcBorders>
                  <w:shd w:val="clear" w:color="auto" w:fill="auto"/>
                  <w:noWrap/>
                  <w:vAlign w:val="bottom"/>
                  <w:hideMark/>
                </w:tcPr>
                <w:p w:rsidR="00A722F8" w:rsidRPr="004C1EC0" w:rsidRDefault="00A722F8" w:rsidP="003F1262">
                  <w:pPr>
                    <w:rPr>
                      <w:rFonts w:ascii="Arial" w:eastAsia="Times New Roman" w:hAnsi="Arial" w:cs="Arial"/>
                      <w:b/>
                      <w:bCs/>
                      <w:sz w:val="16"/>
                      <w:szCs w:val="16"/>
                      <w:lang w:eastAsia="es-EC"/>
                    </w:rPr>
                  </w:pPr>
                  <w:r w:rsidRPr="004C1EC0">
                    <w:rPr>
                      <w:rFonts w:ascii="Arial" w:eastAsia="Times New Roman" w:hAnsi="Arial" w:cs="Arial"/>
                      <w:b/>
                      <w:bCs/>
                      <w:sz w:val="16"/>
                      <w:szCs w:val="16"/>
                      <w:lang w:eastAsia="es-EC"/>
                    </w:rPr>
                    <w:t>Nivel más alto de Instrucción</w:t>
                  </w:r>
                </w:p>
              </w:tc>
            </w:tr>
            <w:tr w:rsidR="00A722F8" w:rsidRPr="004C1EC0" w:rsidTr="003F1262">
              <w:trPr>
                <w:trHeight w:val="20"/>
                <w:jc w:val="center"/>
              </w:trPr>
              <w:tc>
                <w:tcPr>
                  <w:tcW w:w="1361" w:type="dxa"/>
                  <w:vMerge/>
                  <w:tcBorders>
                    <w:top w:val="single" w:sz="4" w:space="0" w:color="auto"/>
                    <w:left w:val="nil"/>
                    <w:bottom w:val="single" w:sz="4" w:space="0" w:color="000000"/>
                    <w:right w:val="nil"/>
                  </w:tcBorders>
                  <w:vAlign w:val="center"/>
                  <w:hideMark/>
                </w:tcPr>
                <w:p w:rsidR="00A722F8" w:rsidRPr="004C1EC0" w:rsidRDefault="00A722F8" w:rsidP="003F1262">
                  <w:pPr>
                    <w:rPr>
                      <w:rFonts w:ascii="Arial" w:eastAsia="Times New Roman" w:hAnsi="Arial" w:cs="Arial"/>
                      <w:b/>
                      <w:bCs/>
                      <w:sz w:val="16"/>
                      <w:szCs w:val="16"/>
                      <w:lang w:eastAsia="es-EC"/>
                    </w:rPr>
                  </w:pPr>
                </w:p>
              </w:tc>
              <w:tc>
                <w:tcPr>
                  <w:tcW w:w="1014" w:type="dxa"/>
                  <w:tcBorders>
                    <w:top w:val="nil"/>
                    <w:left w:val="nil"/>
                    <w:bottom w:val="single" w:sz="4" w:space="0" w:color="auto"/>
                    <w:right w:val="nil"/>
                  </w:tcBorders>
                  <w:shd w:val="clear" w:color="auto" w:fill="auto"/>
                  <w:vAlign w:val="center"/>
                  <w:hideMark/>
                </w:tcPr>
                <w:p w:rsidR="00A722F8" w:rsidRPr="004C1EC0" w:rsidRDefault="00A722F8" w:rsidP="003F1262">
                  <w:pPr>
                    <w:rPr>
                      <w:rFonts w:ascii="Arial" w:eastAsia="Times New Roman" w:hAnsi="Arial" w:cs="Arial"/>
                      <w:b/>
                      <w:bCs/>
                      <w:color w:val="000000"/>
                      <w:sz w:val="16"/>
                      <w:szCs w:val="16"/>
                      <w:lang w:eastAsia="es-EC"/>
                    </w:rPr>
                  </w:pPr>
                  <w:r w:rsidRPr="004C1EC0">
                    <w:rPr>
                      <w:rFonts w:ascii="Arial" w:eastAsia="Times New Roman" w:hAnsi="Arial" w:cs="Arial"/>
                      <w:b/>
                      <w:bCs/>
                      <w:color w:val="000000"/>
                      <w:sz w:val="16"/>
                      <w:szCs w:val="16"/>
                      <w:lang w:eastAsia="es-EC"/>
                    </w:rPr>
                    <w:t>Ninguno</w:t>
                  </w:r>
                </w:p>
              </w:tc>
              <w:tc>
                <w:tcPr>
                  <w:tcW w:w="1310" w:type="dxa"/>
                  <w:tcBorders>
                    <w:top w:val="nil"/>
                    <w:left w:val="nil"/>
                    <w:bottom w:val="single" w:sz="4" w:space="0" w:color="auto"/>
                    <w:right w:val="nil"/>
                  </w:tcBorders>
                  <w:shd w:val="clear" w:color="auto" w:fill="auto"/>
                  <w:vAlign w:val="center"/>
                  <w:hideMark/>
                </w:tcPr>
                <w:p w:rsidR="00A722F8" w:rsidRPr="004C1EC0" w:rsidRDefault="00A722F8" w:rsidP="003F1262">
                  <w:pP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Centro de Alfabetización</w:t>
                  </w:r>
                </w:p>
              </w:tc>
              <w:tc>
                <w:tcPr>
                  <w:tcW w:w="737" w:type="dxa"/>
                  <w:tcBorders>
                    <w:top w:val="nil"/>
                    <w:left w:val="nil"/>
                    <w:bottom w:val="single" w:sz="4" w:space="0" w:color="auto"/>
                    <w:right w:val="nil"/>
                  </w:tcBorders>
                  <w:shd w:val="clear" w:color="auto" w:fill="auto"/>
                  <w:vAlign w:val="center"/>
                  <w:hideMark/>
                </w:tcPr>
                <w:p w:rsidR="00A722F8" w:rsidRPr="004C1EC0" w:rsidRDefault="00A722F8" w:rsidP="003F1262">
                  <w:pPr>
                    <w:rPr>
                      <w:rFonts w:ascii="Arial" w:eastAsia="Times New Roman" w:hAnsi="Arial" w:cs="Arial"/>
                      <w:b/>
                      <w:bCs/>
                      <w:color w:val="000000"/>
                      <w:sz w:val="16"/>
                      <w:szCs w:val="16"/>
                      <w:lang w:eastAsia="es-EC"/>
                    </w:rPr>
                  </w:pPr>
                  <w:r w:rsidRPr="004C1EC0">
                    <w:rPr>
                      <w:rFonts w:ascii="Arial" w:eastAsia="Times New Roman" w:hAnsi="Arial" w:cs="Arial"/>
                      <w:b/>
                      <w:bCs/>
                      <w:color w:val="000000"/>
                      <w:sz w:val="16"/>
                      <w:szCs w:val="16"/>
                      <w:lang w:eastAsia="es-EC"/>
                    </w:rPr>
                    <w:t>Primaria</w:t>
                  </w:r>
                </w:p>
              </w:tc>
              <w:tc>
                <w:tcPr>
                  <w:tcW w:w="907" w:type="dxa"/>
                  <w:tcBorders>
                    <w:top w:val="nil"/>
                    <w:left w:val="nil"/>
                    <w:bottom w:val="single" w:sz="4" w:space="0" w:color="auto"/>
                    <w:right w:val="nil"/>
                  </w:tcBorders>
                  <w:shd w:val="clear" w:color="auto" w:fill="auto"/>
                  <w:vAlign w:val="center"/>
                  <w:hideMark/>
                </w:tcPr>
                <w:p w:rsidR="00A722F8" w:rsidRPr="004C1EC0" w:rsidRDefault="00A722F8" w:rsidP="003F1262">
                  <w:pPr>
                    <w:rPr>
                      <w:rFonts w:ascii="Arial" w:eastAsia="Times New Roman" w:hAnsi="Arial" w:cs="Arial"/>
                      <w:b/>
                      <w:bCs/>
                      <w:color w:val="000000"/>
                      <w:sz w:val="16"/>
                      <w:szCs w:val="16"/>
                      <w:lang w:eastAsia="es-EC"/>
                    </w:rPr>
                  </w:pPr>
                  <w:r w:rsidRPr="004C1EC0">
                    <w:rPr>
                      <w:rFonts w:ascii="Arial" w:eastAsia="Times New Roman" w:hAnsi="Arial" w:cs="Arial"/>
                      <w:b/>
                      <w:bCs/>
                      <w:color w:val="000000"/>
                      <w:sz w:val="16"/>
                      <w:szCs w:val="16"/>
                      <w:lang w:eastAsia="es-EC"/>
                    </w:rPr>
                    <w:t>Secundaria</w:t>
                  </w:r>
                </w:p>
              </w:tc>
              <w:tc>
                <w:tcPr>
                  <w:tcW w:w="737" w:type="dxa"/>
                  <w:tcBorders>
                    <w:top w:val="nil"/>
                    <w:left w:val="nil"/>
                    <w:bottom w:val="single" w:sz="4" w:space="0" w:color="auto"/>
                    <w:right w:val="nil"/>
                  </w:tcBorders>
                  <w:shd w:val="clear" w:color="auto" w:fill="auto"/>
                  <w:vAlign w:val="center"/>
                  <w:hideMark/>
                </w:tcPr>
                <w:p w:rsidR="00A722F8" w:rsidRPr="004C1EC0" w:rsidRDefault="00A722F8" w:rsidP="003F1262">
                  <w:pPr>
                    <w:rPr>
                      <w:rFonts w:ascii="Arial" w:eastAsia="Times New Roman" w:hAnsi="Arial" w:cs="Arial"/>
                      <w:b/>
                      <w:bCs/>
                      <w:color w:val="000000"/>
                      <w:sz w:val="16"/>
                      <w:szCs w:val="16"/>
                      <w:lang w:eastAsia="es-EC"/>
                    </w:rPr>
                  </w:pPr>
                  <w:r w:rsidRPr="004C1EC0">
                    <w:rPr>
                      <w:rFonts w:ascii="Arial" w:eastAsia="Times New Roman" w:hAnsi="Arial" w:cs="Arial"/>
                      <w:b/>
                      <w:bCs/>
                      <w:color w:val="000000"/>
                      <w:sz w:val="16"/>
                      <w:szCs w:val="16"/>
                      <w:lang w:eastAsia="es-EC"/>
                    </w:rPr>
                    <w:t>Superior</w:t>
                  </w:r>
                </w:p>
              </w:tc>
              <w:tc>
                <w:tcPr>
                  <w:tcW w:w="794" w:type="dxa"/>
                  <w:tcBorders>
                    <w:top w:val="nil"/>
                    <w:left w:val="nil"/>
                    <w:bottom w:val="single" w:sz="4" w:space="0" w:color="auto"/>
                    <w:right w:val="nil"/>
                  </w:tcBorders>
                  <w:shd w:val="clear" w:color="auto" w:fill="auto"/>
                  <w:vAlign w:val="center"/>
                  <w:hideMark/>
                </w:tcPr>
                <w:p w:rsidR="00A722F8" w:rsidRPr="004C1EC0" w:rsidRDefault="00A722F8" w:rsidP="003F1262">
                  <w:pPr>
                    <w:rPr>
                      <w:rFonts w:ascii="Arial" w:eastAsia="Times New Roman" w:hAnsi="Arial" w:cs="Arial"/>
                      <w:b/>
                      <w:bCs/>
                      <w:color w:val="000000"/>
                      <w:sz w:val="16"/>
                      <w:szCs w:val="16"/>
                      <w:lang w:eastAsia="es-EC"/>
                    </w:rPr>
                  </w:pPr>
                  <w:r w:rsidRPr="004C1EC0">
                    <w:rPr>
                      <w:rFonts w:ascii="Arial" w:eastAsia="Times New Roman" w:hAnsi="Arial" w:cs="Arial"/>
                      <w:b/>
                      <w:bCs/>
                      <w:color w:val="000000"/>
                      <w:sz w:val="16"/>
                      <w:szCs w:val="16"/>
                      <w:lang w:eastAsia="es-EC"/>
                    </w:rPr>
                    <w:t>Se ignora</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Azuay</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0.048</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0.007</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0.490</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0.287</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0.146</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0.022</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Bolívar</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0.028</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0.003</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0.310</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0.381</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0.266</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0.012</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Cañar</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0.050</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0.008</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0.489</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0.302</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0.129</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0.023</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Carchi</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0.028</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0.002</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0.347</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0.366</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0.236</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0.021</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Cotopaxi</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0.026</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0.004</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0.348</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0.361</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0.244</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0.016</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Chimborazo</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0.081</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0.012</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0.469</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0.282</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0.134</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0.021</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El Oro</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0.014</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0.002</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0.266</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0.382</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0.319</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0.018</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Esmeraldas</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0.041</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0.007</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0.385</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0.437</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0.107</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0.023</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Otros cantones del Guayas</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0.047</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0.006</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0.411</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0.392</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0.125</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0.019</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Imbabura</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0.027</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0.006</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0.360</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0.330</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0.262</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0.015</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Loja</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0.022</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0.003</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0.338</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0.390</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0.228</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0.018</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Los Ríos</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0.033</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0.004</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0.354</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0.433</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0.158</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0.018</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Morona Santiago</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0.011</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0.002</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0.308</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0.475</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0.197</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0.008</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Napo</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0.038</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0.005</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0.316</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0.429</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0.191</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0.020</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Pastaza</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0.022</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0.007</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0.282</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0.400</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0.273</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0.017</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Pichincha</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0.012</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0.002</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0.255</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0.363</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0.352</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0.016</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Tungurahua</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0.030</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0.005</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0.375</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0.341</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0.233</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0.016</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Zamora Chinchipe</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0.018</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0.004</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0.305</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0.458</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0.199</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0.018</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Galápagos</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0.012</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0.000</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0.246</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0.383</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0.346</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0.013</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Sucumbíos</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0.005</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0.003</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0.420</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0.451</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0.097</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0.024</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Orellana</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0.003</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0.000</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0.345</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0.552</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0.082</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0.019</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Santo Domingo</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0.017</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0.002</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0.331</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0.464</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0.166</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0.019</w:t>
                  </w:r>
                </w:p>
              </w:tc>
            </w:tr>
            <w:tr w:rsidR="00A722F8" w:rsidRPr="004C1EC0" w:rsidTr="007B4CE0">
              <w:trPr>
                <w:trHeight w:val="198"/>
                <w:jc w:val="center"/>
              </w:trPr>
              <w:tc>
                <w:tcPr>
                  <w:tcW w:w="1361" w:type="dxa"/>
                  <w:tcBorders>
                    <w:top w:val="nil"/>
                    <w:left w:val="nil"/>
                    <w:bottom w:val="nil"/>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Santa Elena</w:t>
                  </w:r>
                </w:p>
              </w:tc>
              <w:tc>
                <w:tcPr>
                  <w:tcW w:w="101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0.022</w:t>
                  </w:r>
                </w:p>
              </w:tc>
              <w:tc>
                <w:tcPr>
                  <w:tcW w:w="1310"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0.004</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0.376</w:t>
                  </w:r>
                </w:p>
              </w:tc>
              <w:tc>
                <w:tcPr>
                  <w:tcW w:w="90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0.369</w:t>
                  </w:r>
                </w:p>
              </w:tc>
              <w:tc>
                <w:tcPr>
                  <w:tcW w:w="737"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0.214</w:t>
                  </w:r>
                </w:p>
              </w:tc>
              <w:tc>
                <w:tcPr>
                  <w:tcW w:w="794" w:type="dxa"/>
                  <w:tcBorders>
                    <w:top w:val="nil"/>
                    <w:left w:val="nil"/>
                    <w:bottom w:val="nil"/>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0.014</w:t>
                  </w:r>
                </w:p>
              </w:tc>
            </w:tr>
            <w:tr w:rsidR="00A722F8" w:rsidRPr="004C1EC0" w:rsidTr="007B4CE0">
              <w:trPr>
                <w:trHeight w:val="198"/>
                <w:jc w:val="center"/>
              </w:trPr>
              <w:tc>
                <w:tcPr>
                  <w:tcW w:w="1361" w:type="dxa"/>
                  <w:tcBorders>
                    <w:top w:val="nil"/>
                    <w:left w:val="nil"/>
                    <w:bottom w:val="single" w:sz="4" w:space="0" w:color="auto"/>
                    <w:right w:val="nil"/>
                  </w:tcBorders>
                  <w:shd w:val="clear" w:color="auto" w:fill="auto"/>
                  <w:vAlign w:val="center"/>
                  <w:hideMark/>
                </w:tcPr>
                <w:p w:rsidR="00A722F8" w:rsidRPr="004C1EC0" w:rsidRDefault="00A722F8" w:rsidP="00E95B58">
                  <w:pPr>
                    <w:jc w:val="left"/>
                    <w:rPr>
                      <w:rFonts w:ascii="Arial" w:eastAsia="Times New Roman" w:hAnsi="Arial" w:cs="Arial"/>
                      <w:color w:val="000000"/>
                      <w:sz w:val="16"/>
                      <w:szCs w:val="16"/>
                      <w:lang w:eastAsia="es-EC"/>
                    </w:rPr>
                  </w:pPr>
                  <w:r w:rsidRPr="004C1EC0">
                    <w:rPr>
                      <w:rFonts w:ascii="Arial" w:eastAsia="Times New Roman" w:hAnsi="Arial" w:cs="Arial"/>
                      <w:color w:val="000000"/>
                      <w:sz w:val="16"/>
                      <w:szCs w:val="16"/>
                      <w:lang w:eastAsia="es-EC"/>
                    </w:rPr>
                    <w:t>Zonas No Delimitadas</w:t>
                  </w:r>
                </w:p>
              </w:tc>
              <w:tc>
                <w:tcPr>
                  <w:tcW w:w="1014" w:type="dxa"/>
                  <w:tcBorders>
                    <w:top w:val="nil"/>
                    <w:left w:val="nil"/>
                    <w:bottom w:val="single" w:sz="4" w:space="0" w:color="auto"/>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0.000</w:t>
                  </w:r>
                </w:p>
              </w:tc>
              <w:tc>
                <w:tcPr>
                  <w:tcW w:w="1310" w:type="dxa"/>
                  <w:tcBorders>
                    <w:top w:val="nil"/>
                    <w:left w:val="nil"/>
                    <w:bottom w:val="single" w:sz="4" w:space="0" w:color="auto"/>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0.000</w:t>
                  </w:r>
                </w:p>
              </w:tc>
              <w:tc>
                <w:tcPr>
                  <w:tcW w:w="737" w:type="dxa"/>
                  <w:tcBorders>
                    <w:top w:val="nil"/>
                    <w:left w:val="nil"/>
                    <w:bottom w:val="single" w:sz="4" w:space="0" w:color="auto"/>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0.680</w:t>
                  </w:r>
                </w:p>
              </w:tc>
              <w:tc>
                <w:tcPr>
                  <w:tcW w:w="907" w:type="dxa"/>
                  <w:tcBorders>
                    <w:top w:val="nil"/>
                    <w:left w:val="nil"/>
                    <w:bottom w:val="single" w:sz="4" w:space="0" w:color="auto"/>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0.320</w:t>
                  </w:r>
                </w:p>
              </w:tc>
              <w:tc>
                <w:tcPr>
                  <w:tcW w:w="737" w:type="dxa"/>
                  <w:tcBorders>
                    <w:top w:val="nil"/>
                    <w:left w:val="nil"/>
                    <w:bottom w:val="single" w:sz="4" w:space="0" w:color="auto"/>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0.000</w:t>
                  </w:r>
                </w:p>
              </w:tc>
              <w:tc>
                <w:tcPr>
                  <w:tcW w:w="794" w:type="dxa"/>
                  <w:tcBorders>
                    <w:top w:val="nil"/>
                    <w:left w:val="nil"/>
                    <w:bottom w:val="single" w:sz="4" w:space="0" w:color="auto"/>
                    <w:right w:val="nil"/>
                  </w:tcBorders>
                  <w:shd w:val="clear" w:color="auto" w:fill="auto"/>
                  <w:noWrap/>
                  <w:vAlign w:val="center"/>
                  <w:hideMark/>
                </w:tcPr>
                <w:p w:rsidR="00A722F8" w:rsidRPr="004C1EC0" w:rsidRDefault="00A722F8" w:rsidP="003F1262">
                  <w:pPr>
                    <w:rPr>
                      <w:rFonts w:ascii="Arial" w:eastAsia="Times New Roman" w:hAnsi="Arial" w:cs="Arial"/>
                      <w:sz w:val="16"/>
                      <w:szCs w:val="16"/>
                      <w:lang w:eastAsia="es-EC"/>
                    </w:rPr>
                  </w:pPr>
                  <w:r w:rsidRPr="004C1EC0">
                    <w:rPr>
                      <w:rFonts w:ascii="Arial" w:eastAsia="Times New Roman" w:hAnsi="Arial" w:cs="Arial"/>
                      <w:sz w:val="16"/>
                      <w:szCs w:val="16"/>
                      <w:lang w:eastAsia="es-EC"/>
                    </w:rPr>
                    <w:t>0.000</w:t>
                  </w:r>
                </w:p>
              </w:tc>
            </w:tr>
          </w:tbl>
          <w:p w:rsidR="00A722F8" w:rsidRPr="00516A71" w:rsidRDefault="00A722F8" w:rsidP="003F1262">
            <w:pPr>
              <w:rPr>
                <w:rFonts w:ascii="Arial" w:hAnsi="Arial" w:cs="Arial"/>
                <w:b/>
                <w:sz w:val="16"/>
                <w:szCs w:val="16"/>
              </w:rPr>
            </w:pPr>
          </w:p>
        </w:tc>
      </w:tr>
    </w:tbl>
    <w:p w:rsidR="00A722F8" w:rsidRPr="00EC0382" w:rsidRDefault="00A722F8" w:rsidP="00EC0382">
      <w:pPr>
        <w:pStyle w:val="Prrafodelista"/>
        <w:spacing w:line="276" w:lineRule="auto"/>
        <w:ind w:left="851"/>
        <w:jc w:val="both"/>
        <w:rPr>
          <w:rFonts w:ascii="Arial" w:hAnsi="Arial" w:cs="Arial"/>
          <w:sz w:val="17"/>
          <w:szCs w:val="17"/>
        </w:rPr>
      </w:pPr>
    </w:p>
    <w:p w:rsidR="00A722F8" w:rsidRPr="00EC0382" w:rsidRDefault="00A722F8" w:rsidP="00EC0382">
      <w:pPr>
        <w:pStyle w:val="Prrafodelista"/>
        <w:spacing w:line="276" w:lineRule="auto"/>
        <w:ind w:left="851"/>
        <w:jc w:val="both"/>
        <w:rPr>
          <w:rFonts w:ascii="Arial" w:hAnsi="Arial" w:cs="Arial"/>
          <w:sz w:val="17"/>
          <w:szCs w:val="17"/>
        </w:rPr>
      </w:pPr>
      <w:r w:rsidRPr="00EC0382">
        <w:rPr>
          <w:rFonts w:ascii="Arial" w:hAnsi="Arial" w:cs="Arial"/>
          <w:b/>
          <w:i/>
          <w:sz w:val="17"/>
          <w:szCs w:val="17"/>
        </w:rPr>
        <w:t>Fuente:</w:t>
      </w:r>
      <w:r w:rsidRPr="00EC0382">
        <w:rPr>
          <w:rFonts w:ascii="Arial" w:hAnsi="Arial" w:cs="Arial"/>
          <w:sz w:val="17"/>
          <w:szCs w:val="17"/>
        </w:rPr>
        <w:t xml:space="preserve"> </w:t>
      </w:r>
      <w:r w:rsidRPr="00EC0382">
        <w:rPr>
          <w:rFonts w:ascii="Arial" w:hAnsi="Arial" w:cs="Arial"/>
          <w:b/>
          <w:sz w:val="17"/>
          <w:szCs w:val="17"/>
        </w:rPr>
        <w:t xml:space="preserve">INEC </w:t>
      </w:r>
      <w:r w:rsidRPr="00EC0382">
        <w:rPr>
          <w:rFonts w:ascii="Arial" w:hAnsi="Arial" w:cs="Arial"/>
          <w:sz w:val="17"/>
          <w:szCs w:val="17"/>
        </w:rPr>
        <w:t>(2010), Base de Datos del VII Censo de Población y VI de Vivienda.</w:t>
      </w:r>
    </w:p>
    <w:p w:rsidR="00A722F8" w:rsidRPr="00EC0382" w:rsidRDefault="00A722F8" w:rsidP="00EC0382">
      <w:pPr>
        <w:pStyle w:val="Prrafodelista"/>
        <w:spacing w:line="276" w:lineRule="auto"/>
        <w:ind w:left="851"/>
        <w:jc w:val="both"/>
        <w:rPr>
          <w:rFonts w:ascii="Arial" w:hAnsi="Arial" w:cs="Arial"/>
          <w:sz w:val="17"/>
          <w:szCs w:val="17"/>
        </w:rPr>
      </w:pPr>
      <w:r w:rsidRPr="00EC0382">
        <w:rPr>
          <w:rFonts w:ascii="Arial" w:hAnsi="Arial" w:cs="Arial"/>
          <w:b/>
          <w:i/>
          <w:sz w:val="17"/>
          <w:szCs w:val="17"/>
        </w:rPr>
        <w:t>Elaborado por:</w:t>
      </w:r>
      <w:r w:rsidRPr="00EC0382">
        <w:rPr>
          <w:rFonts w:ascii="Arial" w:hAnsi="Arial" w:cs="Arial"/>
          <w:sz w:val="17"/>
          <w:szCs w:val="17"/>
        </w:rPr>
        <w:t xml:space="preserve"> Katherine Loor Valeriano</w:t>
      </w:r>
    </w:p>
    <w:p w:rsidR="00A722F8" w:rsidRDefault="00A722F8" w:rsidP="0041640C">
      <w:pPr>
        <w:pStyle w:val="TesisTitulo20"/>
        <w:numPr>
          <w:ilvl w:val="2"/>
          <w:numId w:val="9"/>
        </w:numPr>
        <w:ind w:left="851" w:firstLine="0"/>
      </w:pPr>
      <w:bookmarkStart w:id="328" w:name="_Toc339212704"/>
      <w:bookmarkStart w:id="329" w:name="_Toc341040632"/>
      <w:r w:rsidRPr="005A6DE1">
        <w:lastRenderedPageBreak/>
        <w:t xml:space="preserve">Tasa </w:t>
      </w:r>
      <w:r>
        <w:t>de</w:t>
      </w:r>
      <w:r w:rsidRPr="005A6DE1">
        <w:t xml:space="preserve"> </w:t>
      </w:r>
      <w:r>
        <w:t>área</w:t>
      </w:r>
      <w:r w:rsidRPr="005A6DE1">
        <w:t xml:space="preserve"> de </w:t>
      </w:r>
      <w:r>
        <w:t>r</w:t>
      </w:r>
      <w:r w:rsidRPr="005A6DE1">
        <w:t xml:space="preserve">esidencia para </w:t>
      </w:r>
      <w:r>
        <w:t>grupo de e</w:t>
      </w:r>
      <w:r w:rsidRPr="005A6DE1">
        <w:t xml:space="preserve">dades específicas y </w:t>
      </w:r>
      <w:r>
        <w:t>g</w:t>
      </w:r>
      <w:r w:rsidRPr="005A6DE1">
        <w:t xml:space="preserve">énero </w:t>
      </w:r>
      <w:r>
        <w:t>por cada 1000</w:t>
      </w:r>
      <w:r w:rsidRPr="005A6DE1">
        <w:t xml:space="preserve"> Inmigrantes residentes en Guayaquil</w:t>
      </w:r>
      <w:bookmarkEnd w:id="328"/>
      <w:bookmarkEnd w:id="329"/>
    </w:p>
    <w:p w:rsidR="00A722F8" w:rsidRDefault="00A722F8" w:rsidP="007B4CE0">
      <w:pPr>
        <w:spacing w:line="480" w:lineRule="auto"/>
        <w:ind w:left="851"/>
        <w:jc w:val="both"/>
        <w:rPr>
          <w:rFonts w:ascii="Arial" w:hAnsi="Arial" w:cs="Arial"/>
        </w:rPr>
      </w:pPr>
      <w:r>
        <w:rPr>
          <w:rFonts w:ascii="Arial" w:hAnsi="Arial" w:cs="Arial"/>
        </w:rPr>
        <w:t xml:space="preserve">En la </w:t>
      </w:r>
      <w:r>
        <w:rPr>
          <w:rFonts w:ascii="Arial" w:hAnsi="Arial" w:cs="Arial"/>
          <w:i/>
        </w:rPr>
        <w:t>Figura 2.16,</w:t>
      </w:r>
      <w:r>
        <w:rPr>
          <w:rFonts w:ascii="Arial" w:hAnsi="Arial" w:cs="Arial"/>
        </w:rPr>
        <w:t xml:space="preserve"> se presentan las tasas de área de residencia para grupo de edades específicas y género por cada 1000 inmigrantes residentes en Guayaquil; en las cuales podemos notar que para edades menores de 15 años se tienen las mayores tasas de residencia en áreas rurales, tasa que empieza a disminuir a partir de esa edad en ambos géneros, pero que en los últimos grupos de edad vuelve a aumentar para los hombres. </w:t>
      </w:r>
    </w:p>
    <w:p w:rsidR="00A722F8" w:rsidRDefault="00A722F8" w:rsidP="007B4CE0">
      <w:pPr>
        <w:spacing w:line="480" w:lineRule="auto"/>
        <w:ind w:left="851"/>
        <w:jc w:val="both"/>
        <w:rPr>
          <w:rFonts w:ascii="Arial" w:hAnsi="Arial" w:cs="Arial"/>
        </w:rPr>
      </w:pPr>
    </w:p>
    <w:p w:rsidR="00A722F8" w:rsidRDefault="00A722F8" w:rsidP="007B4CE0">
      <w:pPr>
        <w:spacing w:line="480" w:lineRule="auto"/>
        <w:ind w:left="851"/>
        <w:jc w:val="both"/>
        <w:rPr>
          <w:rFonts w:ascii="Arial" w:hAnsi="Arial" w:cs="Arial"/>
        </w:rPr>
      </w:pPr>
      <w:r>
        <w:rPr>
          <w:rFonts w:ascii="Arial" w:hAnsi="Arial" w:cs="Arial"/>
        </w:rPr>
        <w:t>En la mayoría de los grupos de edad, la tasa de residentes en áreas rurales es mayor para los hombres que para las mujeres; pero la población en uno de  los grupos de edad muestra un resultado distinto, es decir, en la cual la tasa de residencia en el área rural es mayor para las mujeres respecto a la de los hombres, pues en las edades entre 10 y 15 años existen 89.83 mujeres por cada 1000 que residen en una área rural, mientras que existen 86.89 hombres por cada 1000 que residen en un área rural.</w:t>
      </w:r>
    </w:p>
    <w:p w:rsidR="00A722F8" w:rsidRDefault="00A722F8" w:rsidP="007B4CE0">
      <w:pPr>
        <w:spacing w:line="480" w:lineRule="auto"/>
        <w:ind w:left="851"/>
        <w:jc w:val="both"/>
        <w:rPr>
          <w:rFonts w:ascii="Arial" w:hAnsi="Arial" w:cs="Arial"/>
        </w:rPr>
      </w:pPr>
    </w:p>
    <w:p w:rsidR="00A722F8" w:rsidRPr="0010373A" w:rsidRDefault="00A722F8" w:rsidP="007B4CE0">
      <w:pPr>
        <w:spacing w:line="480" w:lineRule="auto"/>
        <w:ind w:left="851"/>
        <w:jc w:val="both"/>
        <w:rPr>
          <w:rFonts w:ascii="Arial" w:hAnsi="Arial" w:cs="Arial"/>
        </w:rPr>
      </w:pPr>
      <w:r>
        <w:rPr>
          <w:rFonts w:ascii="Arial" w:hAnsi="Arial" w:cs="Arial"/>
        </w:rPr>
        <w:t xml:space="preserve">Podemos notar además, que de los hombres con edades entre 20 y 25 años 940.55 por cada 1000 residen en el área urbana y la diferencia entre 1000 y ese valor (59.45) es la tasa de los que residen en el área rural; para el caso de las mujeres en ese mismo grupo de edad, se tiene 957.15 por cada 1000 mujeres inmigrantes en Guayaquil viven en el área urbana y 42.85 por cada 1000 en el área rural. </w:t>
      </w:r>
      <w:r w:rsidR="00F91C02">
        <w:rPr>
          <w:rFonts w:ascii="Arial" w:hAnsi="Arial" w:cs="Arial"/>
        </w:rPr>
        <w:t>P</w:t>
      </w:r>
      <w:r>
        <w:rPr>
          <w:rFonts w:ascii="Arial" w:hAnsi="Arial" w:cs="Arial"/>
        </w:rPr>
        <w:t xml:space="preserve">ara las edades entre 45 y 50 años, </w:t>
      </w:r>
      <w:r>
        <w:rPr>
          <w:rFonts w:ascii="Arial" w:hAnsi="Arial" w:cs="Arial"/>
        </w:rPr>
        <w:lastRenderedPageBreak/>
        <w:t xml:space="preserve">existen 970.31 hombres que residen en el área urbana por cada 1000 hombres y 29.69 hombres residentes en el área rural por cada 1000 hombres inmigrantes con edades entre 45 y 50 años; en las mujeres en cambio, se tiene que 982.23 mujeres residen en el área urbana por cada 1000 mujeres inmigrantes con edades entre 45 y 50 años y 17.77 mujeres que residen en el área rural por cada 1000. Para más detalles sobre otros grupos de edad, </w:t>
      </w:r>
      <w:r>
        <w:rPr>
          <w:rFonts w:ascii="Arial" w:hAnsi="Arial" w:cs="Arial"/>
          <w:i/>
        </w:rPr>
        <w:t>véase Figura 2.16.</w:t>
      </w:r>
      <w:r>
        <w:rPr>
          <w:rFonts w:ascii="Arial" w:hAnsi="Arial" w:cs="Arial"/>
        </w:rPr>
        <w:t xml:space="preserve"> </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7B4CE0">
        <w:trPr>
          <w:trHeight w:val="3524"/>
          <w:jc w:val="right"/>
        </w:trPr>
        <w:tc>
          <w:tcPr>
            <w:tcW w:w="7497" w:type="dxa"/>
          </w:tcPr>
          <w:p w:rsidR="00A722F8" w:rsidRDefault="00A722F8" w:rsidP="003F1262">
            <w:pPr>
              <w:rPr>
                <w:rFonts w:ascii="Arial" w:hAnsi="Arial" w:cs="Arial"/>
                <w:b/>
                <w:sz w:val="16"/>
                <w:szCs w:val="16"/>
              </w:rPr>
            </w:pPr>
          </w:p>
          <w:p w:rsidR="00A77BDB" w:rsidRPr="00A77BDB" w:rsidRDefault="00A77BDB" w:rsidP="00A77BDB">
            <w:pPr>
              <w:keepNext/>
              <w:rPr>
                <w:rFonts w:ascii="Arial" w:hAnsi="Arial" w:cs="Arial"/>
                <w:b/>
                <w:sz w:val="16"/>
                <w:szCs w:val="16"/>
              </w:rPr>
            </w:pPr>
            <w:bookmarkStart w:id="330" w:name="_Toc341043006"/>
            <w:r w:rsidRPr="00A77BDB">
              <w:rPr>
                <w:rFonts w:ascii="Arial" w:hAnsi="Arial" w:cs="Arial"/>
                <w:b/>
                <w:sz w:val="16"/>
                <w:szCs w:val="16"/>
              </w:rPr>
              <w:t>Figura 2.</w:t>
            </w:r>
            <w:r w:rsidR="00990535" w:rsidRPr="00A77BDB">
              <w:rPr>
                <w:rFonts w:ascii="Arial" w:hAnsi="Arial" w:cs="Arial"/>
                <w:b/>
                <w:sz w:val="16"/>
                <w:szCs w:val="16"/>
              </w:rPr>
              <w:fldChar w:fldCharType="begin"/>
            </w:r>
            <w:r w:rsidRPr="00A77BDB">
              <w:rPr>
                <w:rFonts w:ascii="Arial" w:hAnsi="Arial" w:cs="Arial"/>
                <w:b/>
                <w:sz w:val="16"/>
                <w:szCs w:val="16"/>
              </w:rPr>
              <w:instrText xml:space="preserve"> SEQ Figura_2. \* ARABIC </w:instrText>
            </w:r>
            <w:r w:rsidR="00990535" w:rsidRPr="00A77BDB">
              <w:rPr>
                <w:rFonts w:ascii="Arial" w:hAnsi="Arial" w:cs="Arial"/>
                <w:b/>
                <w:sz w:val="16"/>
                <w:szCs w:val="16"/>
              </w:rPr>
              <w:fldChar w:fldCharType="separate"/>
            </w:r>
            <w:r w:rsidR="00A242E0">
              <w:rPr>
                <w:rFonts w:ascii="Arial" w:hAnsi="Arial" w:cs="Arial"/>
                <w:b/>
                <w:noProof/>
                <w:sz w:val="16"/>
                <w:szCs w:val="16"/>
              </w:rPr>
              <w:t>16</w:t>
            </w:r>
            <w:bookmarkEnd w:id="330"/>
            <w:r w:rsidR="00990535" w:rsidRPr="00A77BDB">
              <w:rPr>
                <w:rFonts w:ascii="Arial" w:hAnsi="Arial" w:cs="Arial"/>
                <w:b/>
                <w:sz w:val="16"/>
                <w:szCs w:val="16"/>
              </w:rPr>
              <w:fldChar w:fldCharType="end"/>
            </w:r>
          </w:p>
          <w:p w:rsidR="00A722F8" w:rsidRPr="00F44C12" w:rsidRDefault="007B4CE0" w:rsidP="003F1262">
            <w:pPr>
              <w:rPr>
                <w:rFonts w:ascii="Arial" w:hAnsi="Arial" w:cs="Arial"/>
                <w:i/>
                <w:sz w:val="16"/>
                <w:szCs w:val="16"/>
              </w:rPr>
            </w:pPr>
            <w:r>
              <w:rPr>
                <w:rFonts w:ascii="Arial" w:hAnsi="Arial" w:cs="Arial"/>
                <w:b/>
                <w:i/>
                <w:sz w:val="16"/>
                <w:szCs w:val="16"/>
              </w:rPr>
              <w:t xml:space="preserve">Guayaquil 2010: </w:t>
            </w:r>
            <w:r w:rsidR="00A722F8" w:rsidRPr="00F44C12">
              <w:rPr>
                <w:rFonts w:ascii="Arial" w:hAnsi="Arial" w:cs="Arial"/>
                <w:i/>
                <w:sz w:val="16"/>
                <w:szCs w:val="16"/>
              </w:rPr>
              <w:t xml:space="preserve">Tasa </w:t>
            </w:r>
            <w:r w:rsidR="00A722F8">
              <w:rPr>
                <w:rFonts w:ascii="Arial" w:hAnsi="Arial" w:cs="Arial"/>
                <w:i/>
                <w:sz w:val="16"/>
                <w:szCs w:val="16"/>
              </w:rPr>
              <w:t>de área de residencia</w:t>
            </w:r>
            <w:r w:rsidR="00A722F8" w:rsidRPr="00F44C12">
              <w:rPr>
                <w:rFonts w:ascii="Arial" w:hAnsi="Arial" w:cs="Arial"/>
                <w:i/>
                <w:sz w:val="16"/>
                <w:szCs w:val="16"/>
              </w:rPr>
              <w:t xml:space="preserve"> </w:t>
            </w:r>
            <w:r w:rsidR="00A722F8">
              <w:rPr>
                <w:rFonts w:ascii="Arial" w:hAnsi="Arial" w:cs="Arial"/>
                <w:i/>
                <w:sz w:val="16"/>
                <w:szCs w:val="16"/>
              </w:rPr>
              <w:t>para</w:t>
            </w:r>
            <w:r w:rsidR="00A722F8" w:rsidRPr="00F44C12">
              <w:rPr>
                <w:rFonts w:ascii="Arial" w:hAnsi="Arial" w:cs="Arial"/>
                <w:i/>
                <w:sz w:val="16"/>
                <w:szCs w:val="16"/>
              </w:rPr>
              <w:t xml:space="preserve"> </w:t>
            </w:r>
            <w:r w:rsidR="00A722F8">
              <w:rPr>
                <w:rFonts w:ascii="Arial" w:hAnsi="Arial" w:cs="Arial"/>
                <w:i/>
                <w:sz w:val="16"/>
                <w:szCs w:val="16"/>
              </w:rPr>
              <w:t>grupo de e</w:t>
            </w:r>
            <w:r w:rsidR="00A722F8" w:rsidRPr="00F44C12">
              <w:rPr>
                <w:rFonts w:ascii="Arial" w:hAnsi="Arial" w:cs="Arial"/>
                <w:i/>
                <w:sz w:val="16"/>
                <w:szCs w:val="16"/>
              </w:rPr>
              <w:t xml:space="preserve">dades específicas y </w:t>
            </w:r>
            <w:r w:rsidR="00A722F8">
              <w:rPr>
                <w:rFonts w:ascii="Arial" w:hAnsi="Arial" w:cs="Arial"/>
                <w:i/>
                <w:sz w:val="16"/>
                <w:szCs w:val="16"/>
              </w:rPr>
              <w:t>g</w:t>
            </w:r>
            <w:r w:rsidR="00A722F8" w:rsidRPr="00F44C12">
              <w:rPr>
                <w:rFonts w:ascii="Arial" w:hAnsi="Arial" w:cs="Arial"/>
                <w:i/>
                <w:sz w:val="16"/>
                <w:szCs w:val="16"/>
              </w:rPr>
              <w:t>énero</w:t>
            </w:r>
          </w:p>
          <w:p w:rsidR="00A722F8" w:rsidRDefault="00A722F8" w:rsidP="003F1262">
            <w:pPr>
              <w:rPr>
                <w:rFonts w:ascii="Arial" w:hAnsi="Arial" w:cs="Arial"/>
                <w:b/>
                <w:sz w:val="16"/>
                <w:szCs w:val="16"/>
              </w:rPr>
            </w:pPr>
            <w:r w:rsidRPr="00F44C12">
              <w:rPr>
                <w:rFonts w:ascii="Arial" w:hAnsi="Arial" w:cs="Arial"/>
                <w:i/>
                <w:sz w:val="16"/>
                <w:szCs w:val="16"/>
              </w:rPr>
              <w:t xml:space="preserve">por cada 1000 Inmigrantes </w:t>
            </w:r>
          </w:p>
          <w:p w:rsidR="00A722F8" w:rsidRDefault="00436907" w:rsidP="003F1262">
            <w:pPr>
              <w:rPr>
                <w:rFonts w:ascii="Arial" w:hAnsi="Arial" w:cs="Arial"/>
                <w:b/>
                <w:sz w:val="16"/>
                <w:szCs w:val="16"/>
              </w:rPr>
            </w:pPr>
            <w:r>
              <w:rPr>
                <w:rFonts w:ascii="Arial" w:hAnsi="Arial" w:cs="Arial"/>
                <w:b/>
                <w:noProof/>
                <w:sz w:val="16"/>
                <w:szCs w:val="16"/>
                <w:lang w:eastAsia="es-EC"/>
              </w:rPr>
              <w:pict>
                <v:shape id="_x0000_s1222" type="#_x0000_t202" style="position:absolute;left:0;text-align:left;margin-left:167.2pt;margin-top:27.25pt;width:89.8pt;height:15.8pt;z-index:2514508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22;mso-fit-shape-to-text:t">
                    <w:txbxContent>
                      <w:p w:rsidR="006933DF" w:rsidRPr="009C2ABD" w:rsidRDefault="006933DF" w:rsidP="00A722F8">
                        <w:pPr>
                          <w:rPr>
                            <w:rFonts w:ascii="Arial" w:hAnsi="Arial" w:cs="Arial"/>
                            <w:color w:val="0070C0"/>
                            <w:sz w:val="15"/>
                            <w:szCs w:val="15"/>
                          </w:rPr>
                        </w:pPr>
                        <w:r>
                          <w:rPr>
                            <w:rFonts w:ascii="Arial" w:hAnsi="Arial" w:cs="Arial"/>
                            <w:color w:val="0070C0"/>
                            <w:sz w:val="15"/>
                            <w:szCs w:val="15"/>
                          </w:rPr>
                          <w:t>Urbana</w:t>
                        </w:r>
                      </w:p>
                    </w:txbxContent>
                  </v:textbox>
                </v:shape>
              </w:pict>
            </w:r>
            <w:r>
              <w:rPr>
                <w:rFonts w:ascii="Arial" w:hAnsi="Arial" w:cs="Arial"/>
                <w:b/>
                <w:noProof/>
                <w:sz w:val="16"/>
                <w:szCs w:val="16"/>
                <w:lang w:eastAsia="es-EC"/>
              </w:rPr>
              <w:pict>
                <v:shape id="_x0000_s2007" type="#_x0000_t32" style="position:absolute;left:0;text-align:left;margin-left:193.05pt;margin-top:98.7pt;width:12pt;height:20.25pt;flip:x;z-index:251832832" o:connectortype="straight" strokecolor="#e36c0a [2409]">
                  <v:stroke endarrow="block"/>
                </v:shape>
              </w:pict>
            </w:r>
            <w:r>
              <w:rPr>
                <w:rFonts w:ascii="Arial" w:hAnsi="Arial" w:cs="Arial"/>
                <w:b/>
                <w:noProof/>
                <w:sz w:val="16"/>
                <w:szCs w:val="16"/>
                <w:lang w:eastAsia="es-EC"/>
              </w:rPr>
              <w:pict>
                <v:shape id="_x0000_s2006" type="#_x0000_t32" style="position:absolute;left:0;text-align:left;margin-left:187.05pt;margin-top:16.75pt;width:11.25pt;height:17.9pt;flip:x y;z-index:251831808" o:connectortype="straight" strokecolor="#0070c0">
                  <v:stroke endarrow="block"/>
                </v:shape>
              </w:pict>
            </w:r>
            <w:r>
              <w:rPr>
                <w:rFonts w:ascii="Arial" w:hAnsi="Arial" w:cs="Arial"/>
                <w:b/>
                <w:noProof/>
                <w:sz w:val="16"/>
                <w:szCs w:val="16"/>
                <w:lang w:eastAsia="es-EC"/>
              </w:rPr>
              <w:pict>
                <v:shape id="_x0000_s1223" type="#_x0000_t202" style="position:absolute;left:0;text-align:left;margin-left:170.2pt;margin-top:92.55pt;width:89.8pt;height:15.8pt;z-index:2514519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23;mso-fit-shape-to-text:t">
                    <w:txbxContent>
                      <w:p w:rsidR="006933DF" w:rsidRPr="009C2ABD" w:rsidRDefault="006933DF" w:rsidP="00A722F8">
                        <w:pPr>
                          <w:rPr>
                            <w:rFonts w:ascii="Arial" w:hAnsi="Arial" w:cs="Arial"/>
                            <w:color w:val="E36C0A" w:themeColor="accent6" w:themeShade="BF"/>
                            <w:sz w:val="15"/>
                            <w:szCs w:val="15"/>
                          </w:rPr>
                        </w:pPr>
                        <w:r>
                          <w:rPr>
                            <w:rFonts w:ascii="Arial" w:hAnsi="Arial" w:cs="Arial"/>
                            <w:color w:val="E36C0A" w:themeColor="accent6" w:themeShade="BF"/>
                            <w:sz w:val="15"/>
                            <w:szCs w:val="15"/>
                          </w:rPr>
                          <w:t>Rural</w:t>
                        </w:r>
                      </w:p>
                    </w:txbxContent>
                  </v:textbox>
                </v:shape>
              </w:pict>
            </w:r>
            <w:r>
              <w:rPr>
                <w:rFonts w:ascii="Arial" w:hAnsi="Arial" w:cs="Arial"/>
                <w:noProof/>
                <w:lang w:eastAsia="es-EC"/>
              </w:rPr>
              <w:pict>
                <v:shape id="_x0000_s1200" type="#_x0000_t202" style="position:absolute;left:0;text-align:left;margin-left:241.75pt;margin-top:13.75pt;width:107.25pt;height:17.9pt;z-index:25142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w:txbxContent>
                      <w:p w:rsidR="006933DF" w:rsidRPr="00C800F3" w:rsidRDefault="006933DF" w:rsidP="00A722F8">
                        <w:pPr>
                          <w:rPr>
                            <w:rFonts w:ascii="Arial" w:hAnsi="Arial" w:cs="Arial"/>
                            <w:b/>
                            <w:sz w:val="15"/>
                            <w:szCs w:val="15"/>
                          </w:rPr>
                        </w:pPr>
                        <w:r>
                          <w:rPr>
                            <w:rFonts w:ascii="Arial" w:hAnsi="Arial" w:cs="Arial"/>
                            <w:b/>
                            <w:sz w:val="15"/>
                            <w:szCs w:val="15"/>
                          </w:rPr>
                          <w:t>Hombre</w:t>
                        </w:r>
                      </w:p>
                    </w:txbxContent>
                  </v:textbox>
                </v:shape>
              </w:pict>
            </w:r>
            <w:r w:rsidR="00A722F8">
              <w:rPr>
                <w:noProof/>
                <w:lang w:eastAsia="es-EC"/>
              </w:rPr>
              <w:drawing>
                <wp:inline distT="0" distB="0" distL="0" distR="0">
                  <wp:extent cx="4211955" cy="211582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722F8" w:rsidRPr="00167907" w:rsidRDefault="00436907" w:rsidP="003F1262">
            <w:pPr>
              <w:rPr>
                <w:rFonts w:ascii="Arial" w:hAnsi="Arial" w:cs="Arial"/>
                <w:b/>
                <w:sz w:val="16"/>
                <w:szCs w:val="16"/>
              </w:rPr>
            </w:pPr>
            <w:r>
              <w:rPr>
                <w:rFonts w:ascii="Arial" w:hAnsi="Arial" w:cs="Arial"/>
                <w:b/>
                <w:i/>
                <w:noProof/>
                <w:sz w:val="18"/>
                <w:szCs w:val="18"/>
                <w:lang w:eastAsia="es-EC"/>
              </w:rPr>
              <w:pict>
                <v:shape id="_x0000_s1202" type="#_x0000_t202" style="position:absolute;left:0;text-align:left;margin-left:161.2pt;margin-top:27.75pt;width:89.8pt;height:15.8pt;z-index:2514304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02;mso-fit-shape-to-text:t">
                    <w:txbxContent>
                      <w:p w:rsidR="006933DF" w:rsidRPr="009C2ABD" w:rsidRDefault="006933DF" w:rsidP="00A722F8">
                        <w:pPr>
                          <w:rPr>
                            <w:rFonts w:ascii="Arial" w:hAnsi="Arial" w:cs="Arial"/>
                            <w:color w:val="0070C0"/>
                            <w:sz w:val="15"/>
                            <w:szCs w:val="15"/>
                          </w:rPr>
                        </w:pPr>
                        <w:r>
                          <w:rPr>
                            <w:rFonts w:ascii="Arial" w:hAnsi="Arial" w:cs="Arial"/>
                            <w:color w:val="0070C0"/>
                            <w:sz w:val="15"/>
                            <w:szCs w:val="15"/>
                          </w:rPr>
                          <w:t>Urbana</w:t>
                        </w:r>
                      </w:p>
                    </w:txbxContent>
                  </v:textbox>
                </v:shape>
              </w:pict>
            </w:r>
            <w:r>
              <w:rPr>
                <w:rFonts w:ascii="Arial" w:hAnsi="Arial" w:cs="Arial"/>
                <w:noProof/>
                <w:lang w:eastAsia="es-EC"/>
              </w:rPr>
              <w:pict>
                <v:shape id="_x0000_s2009" type="#_x0000_t32" style="position:absolute;left:0;text-align:left;margin-left:177.3pt;margin-top:16.9pt;width:15.75pt;height:17.9pt;flip:x y;z-index:251834880" o:connectortype="straight" strokecolor="#0070c0">
                  <v:stroke endarrow="block"/>
                </v:shape>
              </w:pict>
            </w:r>
            <w:r>
              <w:rPr>
                <w:rFonts w:ascii="Arial" w:hAnsi="Arial" w:cs="Arial"/>
                <w:noProof/>
                <w:lang w:eastAsia="es-EC"/>
              </w:rPr>
              <w:pict>
                <v:shape id="_x0000_s2008" type="#_x0000_t32" style="position:absolute;left:0;text-align:left;margin-left:181.05pt;margin-top:103.1pt;width:12pt;height:16.5pt;flip:x;z-index:251833856" o:connectortype="straight" strokecolor="#e36c0a [2409]">
                  <v:stroke endarrow="block"/>
                </v:shape>
              </w:pict>
            </w:r>
            <w:r>
              <w:rPr>
                <w:rFonts w:ascii="Arial" w:hAnsi="Arial" w:cs="Arial"/>
                <w:noProof/>
                <w:lang w:eastAsia="es-EC"/>
              </w:rPr>
              <w:pict>
                <v:shape id="_x0000_s1203" type="#_x0000_t202" style="position:absolute;left:0;text-align:left;margin-left:158.2pt;margin-top:96.15pt;width:89.8pt;height:15.8pt;z-index:2514314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03;mso-fit-shape-to-text:t">
                    <w:txbxContent>
                      <w:p w:rsidR="006933DF" w:rsidRPr="009C2ABD" w:rsidRDefault="006933DF" w:rsidP="00A722F8">
                        <w:pPr>
                          <w:rPr>
                            <w:rFonts w:ascii="Arial" w:hAnsi="Arial" w:cs="Arial"/>
                            <w:color w:val="E36C0A" w:themeColor="accent6" w:themeShade="BF"/>
                            <w:sz w:val="15"/>
                            <w:szCs w:val="15"/>
                          </w:rPr>
                        </w:pPr>
                        <w:r>
                          <w:rPr>
                            <w:rFonts w:ascii="Arial" w:hAnsi="Arial" w:cs="Arial"/>
                            <w:color w:val="E36C0A" w:themeColor="accent6" w:themeShade="BF"/>
                            <w:sz w:val="15"/>
                            <w:szCs w:val="15"/>
                          </w:rPr>
                          <w:t>Rural</w:t>
                        </w:r>
                      </w:p>
                    </w:txbxContent>
                  </v:textbox>
                </v:shape>
              </w:pict>
            </w:r>
            <w:r>
              <w:rPr>
                <w:rFonts w:ascii="Arial" w:hAnsi="Arial" w:cs="Arial"/>
                <w:noProof/>
                <w:lang w:eastAsia="es-EC"/>
              </w:rPr>
              <w:pict>
                <v:shape id="_x0000_s1201" type="#_x0000_t202" style="position:absolute;left:0;text-align:left;margin-left:254.5pt;margin-top:12.4pt;width:94.5pt;height:17.9pt;z-index:25142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w:txbxContent>
                      <w:p w:rsidR="006933DF" w:rsidRPr="00C800F3" w:rsidRDefault="006933DF" w:rsidP="00A722F8">
                        <w:pPr>
                          <w:rPr>
                            <w:rFonts w:ascii="Arial" w:hAnsi="Arial" w:cs="Arial"/>
                            <w:b/>
                            <w:sz w:val="15"/>
                            <w:szCs w:val="15"/>
                          </w:rPr>
                        </w:pPr>
                        <w:r>
                          <w:rPr>
                            <w:rFonts w:ascii="Arial" w:hAnsi="Arial" w:cs="Arial"/>
                            <w:b/>
                            <w:sz w:val="15"/>
                            <w:szCs w:val="15"/>
                          </w:rPr>
                          <w:t>Mujer</w:t>
                        </w:r>
                      </w:p>
                    </w:txbxContent>
                  </v:textbox>
                </v:shape>
              </w:pict>
            </w:r>
            <w:r w:rsidR="00A722F8">
              <w:rPr>
                <w:noProof/>
                <w:lang w:eastAsia="es-EC"/>
              </w:rPr>
              <w:drawing>
                <wp:inline distT="0" distB="0" distL="0" distR="0">
                  <wp:extent cx="4211955" cy="2115820"/>
                  <wp:effectExtent l="0" t="0" r="0" b="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A722F8">
              <w:rPr>
                <w:noProof/>
                <w:lang w:eastAsia="es-EC"/>
              </w:rPr>
              <w:t xml:space="preserve">  </w:t>
            </w:r>
          </w:p>
        </w:tc>
      </w:tr>
    </w:tbl>
    <w:p w:rsidR="00A722F8" w:rsidRPr="007B4CE0" w:rsidRDefault="00A722F8" w:rsidP="007B4CE0">
      <w:pPr>
        <w:pStyle w:val="Prrafodelista"/>
        <w:spacing w:line="276" w:lineRule="auto"/>
        <w:ind w:left="851"/>
        <w:jc w:val="both"/>
        <w:rPr>
          <w:rFonts w:ascii="Arial" w:hAnsi="Arial" w:cs="Arial"/>
          <w:sz w:val="17"/>
          <w:szCs w:val="17"/>
        </w:rPr>
      </w:pPr>
    </w:p>
    <w:p w:rsidR="00A722F8" w:rsidRPr="007B4CE0" w:rsidRDefault="00A722F8" w:rsidP="007B4CE0">
      <w:pPr>
        <w:pStyle w:val="Prrafodelista"/>
        <w:spacing w:line="276" w:lineRule="auto"/>
        <w:ind w:left="851"/>
        <w:jc w:val="both"/>
        <w:rPr>
          <w:rFonts w:ascii="Arial" w:hAnsi="Arial" w:cs="Arial"/>
          <w:sz w:val="17"/>
          <w:szCs w:val="17"/>
        </w:rPr>
      </w:pPr>
      <w:r w:rsidRPr="007B4CE0">
        <w:rPr>
          <w:rFonts w:ascii="Arial" w:hAnsi="Arial" w:cs="Arial"/>
          <w:b/>
          <w:i/>
          <w:sz w:val="17"/>
          <w:szCs w:val="17"/>
        </w:rPr>
        <w:t>Fuente:</w:t>
      </w:r>
      <w:r w:rsidRPr="007B4CE0">
        <w:rPr>
          <w:rFonts w:ascii="Arial" w:hAnsi="Arial" w:cs="Arial"/>
          <w:sz w:val="17"/>
          <w:szCs w:val="17"/>
        </w:rPr>
        <w:t xml:space="preserve"> </w:t>
      </w:r>
      <w:r w:rsidRPr="007B4CE0">
        <w:rPr>
          <w:rFonts w:ascii="Arial" w:hAnsi="Arial" w:cs="Arial"/>
          <w:b/>
          <w:sz w:val="17"/>
          <w:szCs w:val="17"/>
        </w:rPr>
        <w:t xml:space="preserve">INEC </w:t>
      </w:r>
      <w:r w:rsidRPr="007B4CE0">
        <w:rPr>
          <w:rFonts w:ascii="Arial" w:hAnsi="Arial" w:cs="Arial"/>
          <w:sz w:val="17"/>
          <w:szCs w:val="17"/>
        </w:rPr>
        <w:t>(2010), Base de Datos del VII Censo de Población y VI de Vivienda.</w:t>
      </w:r>
    </w:p>
    <w:p w:rsidR="00A722F8" w:rsidRPr="007B4CE0" w:rsidRDefault="00A722F8" w:rsidP="007B4CE0">
      <w:pPr>
        <w:pStyle w:val="Prrafodelista"/>
        <w:spacing w:line="276" w:lineRule="auto"/>
        <w:ind w:left="851"/>
        <w:jc w:val="both"/>
        <w:rPr>
          <w:rFonts w:ascii="Arial" w:hAnsi="Arial" w:cs="Arial"/>
          <w:sz w:val="17"/>
          <w:szCs w:val="17"/>
        </w:rPr>
      </w:pPr>
      <w:r w:rsidRPr="007B4CE0">
        <w:rPr>
          <w:rFonts w:ascii="Arial" w:hAnsi="Arial" w:cs="Arial"/>
          <w:b/>
          <w:i/>
          <w:sz w:val="17"/>
          <w:szCs w:val="17"/>
        </w:rPr>
        <w:t>Elaborado por:</w:t>
      </w:r>
      <w:r w:rsidRPr="007B4CE0">
        <w:rPr>
          <w:rFonts w:ascii="Arial" w:hAnsi="Arial" w:cs="Arial"/>
          <w:sz w:val="17"/>
          <w:szCs w:val="17"/>
        </w:rPr>
        <w:t xml:space="preserve"> Katherine Loor Valeriano</w:t>
      </w:r>
    </w:p>
    <w:p w:rsidR="00A722F8" w:rsidRDefault="00A722F8" w:rsidP="00A722F8">
      <w:pPr>
        <w:pStyle w:val="Prrafodelista"/>
        <w:spacing w:line="480" w:lineRule="auto"/>
        <w:ind w:left="567"/>
        <w:jc w:val="both"/>
        <w:rPr>
          <w:rFonts w:ascii="Arial" w:hAnsi="Arial" w:cs="Arial"/>
        </w:rPr>
      </w:pPr>
    </w:p>
    <w:p w:rsidR="00A722F8" w:rsidRPr="00886D6C" w:rsidRDefault="00A722F8" w:rsidP="0041640C">
      <w:pPr>
        <w:pStyle w:val="TesisTitulo20"/>
        <w:numPr>
          <w:ilvl w:val="2"/>
          <w:numId w:val="9"/>
        </w:numPr>
        <w:ind w:left="851" w:firstLine="0"/>
      </w:pPr>
      <w:bookmarkStart w:id="331" w:name="_Toc339212705"/>
      <w:bookmarkStart w:id="332" w:name="_Toc341040633"/>
      <w:r w:rsidRPr="00886D6C">
        <w:lastRenderedPageBreak/>
        <w:t xml:space="preserve">Tasa </w:t>
      </w:r>
      <w:r>
        <w:t>de</w:t>
      </w:r>
      <w:r w:rsidRPr="00886D6C">
        <w:t xml:space="preserve"> </w:t>
      </w:r>
      <w:r>
        <w:t>e</w:t>
      </w:r>
      <w:r w:rsidRPr="00886D6C">
        <w:t xml:space="preserve">stado </w:t>
      </w:r>
      <w:r>
        <w:t>c</w:t>
      </w:r>
      <w:r w:rsidRPr="00886D6C">
        <w:t xml:space="preserve">onyugal para </w:t>
      </w:r>
      <w:r>
        <w:t>grupo de e</w:t>
      </w:r>
      <w:r w:rsidRPr="00886D6C">
        <w:t>dades espec</w:t>
      </w:r>
      <w:r>
        <w:t>í</w:t>
      </w:r>
      <w:r w:rsidRPr="00886D6C">
        <w:t xml:space="preserve">ficas y </w:t>
      </w:r>
      <w:r>
        <w:t>g</w:t>
      </w:r>
      <w:r w:rsidRPr="00886D6C">
        <w:t xml:space="preserve">énero </w:t>
      </w:r>
      <w:r>
        <w:t>por cada 1000</w:t>
      </w:r>
      <w:r w:rsidRPr="00886D6C">
        <w:t xml:space="preserve"> </w:t>
      </w:r>
      <w:r w:rsidR="008F1FF2">
        <w:t>i</w:t>
      </w:r>
      <w:r w:rsidRPr="00886D6C">
        <w:t>nmigrantes residentes en Guayaquil</w:t>
      </w:r>
      <w:bookmarkEnd w:id="331"/>
      <w:bookmarkEnd w:id="332"/>
    </w:p>
    <w:p w:rsidR="00A722F8" w:rsidRDefault="00A722F8" w:rsidP="007B4CE0">
      <w:pPr>
        <w:spacing w:line="480" w:lineRule="auto"/>
        <w:ind w:left="851"/>
        <w:jc w:val="both"/>
        <w:rPr>
          <w:rFonts w:ascii="Arial" w:hAnsi="Arial" w:cs="Arial"/>
        </w:rPr>
      </w:pPr>
      <w:r>
        <w:rPr>
          <w:rFonts w:ascii="Arial" w:hAnsi="Arial" w:cs="Arial"/>
        </w:rPr>
        <w:t>La variable a considerar ahora es el estado conyugal de los inmigrantes residentes en Guayaquil por grupo de edades y género; los estados conyugales fueron agrupados en “casados o unidos”, “solteros”, y “viudos, divorciados o separados” que se representan con las líneas de color anaranjado, azul y fucsia respectivamente; y, se consideran solamente a las personas mayores de 12 años.</w:t>
      </w:r>
    </w:p>
    <w:p w:rsidR="00A722F8" w:rsidRDefault="00A722F8" w:rsidP="007B4CE0">
      <w:pPr>
        <w:spacing w:line="480" w:lineRule="auto"/>
        <w:ind w:left="851"/>
        <w:jc w:val="both"/>
        <w:rPr>
          <w:rFonts w:ascii="Arial" w:hAnsi="Arial" w:cs="Arial"/>
        </w:rPr>
      </w:pPr>
    </w:p>
    <w:p w:rsidR="00A722F8" w:rsidRDefault="00A722F8" w:rsidP="007B4CE0">
      <w:pPr>
        <w:spacing w:line="480" w:lineRule="auto"/>
        <w:ind w:left="851"/>
        <w:jc w:val="both"/>
        <w:rPr>
          <w:rFonts w:ascii="Arial" w:hAnsi="Arial" w:cs="Arial"/>
        </w:rPr>
      </w:pPr>
      <w:r>
        <w:rPr>
          <w:rFonts w:ascii="Arial" w:hAnsi="Arial" w:cs="Arial"/>
        </w:rPr>
        <w:t>Para la serie de casados o unidos, tenemos que para edades inferiores de 30 años es mayor la tasa de mujeres casadas respecto a la de hombres; y a partir de estas edades en cambio la tasa para los hombres es mayor que la de mujeres. Considerando el rango de edades comprendidos entre 20 y 25 años tenemos una tasa de 389.78 hombres casados por cada 1000 hombres inmigrantes y 547.33 mujeres por cada 1000 mujeres inmigrantes</w:t>
      </w:r>
      <w:r w:rsidR="00F91C02">
        <w:rPr>
          <w:rFonts w:ascii="Arial" w:hAnsi="Arial" w:cs="Arial"/>
        </w:rPr>
        <w:t>;</w:t>
      </w:r>
      <w:r>
        <w:rPr>
          <w:rFonts w:ascii="Arial" w:hAnsi="Arial" w:cs="Arial"/>
        </w:rPr>
        <w:t xml:space="preserve"> </w:t>
      </w:r>
      <w:r w:rsidR="00F91C02">
        <w:rPr>
          <w:rFonts w:ascii="Arial" w:hAnsi="Arial" w:cs="Arial"/>
        </w:rPr>
        <w:t>m</w:t>
      </w:r>
      <w:r>
        <w:rPr>
          <w:rFonts w:ascii="Arial" w:hAnsi="Arial" w:cs="Arial"/>
        </w:rPr>
        <w:t>ientras que, para edades entre 40 y 45 años la tasa de hombres casados es de 786.61 por cada 1000; y, para las mujeres con edades en el mismo intervalo es de 669.10 por cada 1000</w:t>
      </w:r>
      <w:r>
        <w:rPr>
          <w:rFonts w:ascii="Arial" w:hAnsi="Arial" w:cs="Arial"/>
        </w:rPr>
        <w:tab/>
        <w:t xml:space="preserve">mujeres inmigrantes que residen en Guayaquil. </w:t>
      </w:r>
    </w:p>
    <w:p w:rsidR="00A722F8" w:rsidRDefault="00A722F8" w:rsidP="007B4CE0">
      <w:pPr>
        <w:spacing w:line="480" w:lineRule="auto"/>
        <w:ind w:left="851"/>
        <w:jc w:val="both"/>
        <w:rPr>
          <w:rFonts w:ascii="Arial" w:hAnsi="Arial" w:cs="Arial"/>
        </w:rPr>
      </w:pPr>
    </w:p>
    <w:p w:rsidR="00A722F8" w:rsidRPr="00433344" w:rsidRDefault="00A722F8" w:rsidP="007B4CE0">
      <w:pPr>
        <w:spacing w:line="480" w:lineRule="auto"/>
        <w:ind w:left="851"/>
        <w:jc w:val="both"/>
        <w:rPr>
          <w:rFonts w:ascii="Arial" w:hAnsi="Arial" w:cs="Arial"/>
          <w:i/>
        </w:rPr>
      </w:pPr>
      <w:r>
        <w:rPr>
          <w:rFonts w:ascii="Arial" w:hAnsi="Arial" w:cs="Arial"/>
        </w:rPr>
        <w:t xml:space="preserve">En lo que se refiere a la tasa de inmigrantes solteros, se tiene que para los grupos de edades inferiores a los 40 años, esta tasa toma valores mayores para los hombres, mientras que en edades superiores a los 40 años el </w:t>
      </w:r>
      <w:r>
        <w:rPr>
          <w:rFonts w:ascii="Arial" w:hAnsi="Arial" w:cs="Arial"/>
        </w:rPr>
        <w:lastRenderedPageBreak/>
        <w:t xml:space="preserve">escenario es distinto pues esta tasa toma valores mayores en las mujeres. Es así que, para los inmigrantes con edades entre 15 y 20 años la tasa de los hombres solteros es 907.36 por cada 1000 hombres inmigrantes que residen en Guayaquil, mientras que en las mujeres la tasa es de 692.56 mujeres solteras por cada 1000 mujeres inmigrantes. </w:t>
      </w:r>
      <w:r>
        <w:rPr>
          <w:rFonts w:ascii="Arial" w:hAnsi="Arial" w:cs="Arial"/>
          <w:i/>
        </w:rPr>
        <w:t>Véase Figura 2.17.</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AE42A4">
        <w:trPr>
          <w:trHeight w:val="3768"/>
          <w:jc w:val="right"/>
        </w:trPr>
        <w:tc>
          <w:tcPr>
            <w:tcW w:w="7497" w:type="dxa"/>
          </w:tcPr>
          <w:p w:rsidR="00A722F8" w:rsidRDefault="00A722F8" w:rsidP="003F1262">
            <w:pPr>
              <w:rPr>
                <w:rFonts w:ascii="Arial" w:hAnsi="Arial" w:cs="Arial"/>
                <w:b/>
                <w:sz w:val="16"/>
                <w:szCs w:val="16"/>
              </w:rPr>
            </w:pPr>
          </w:p>
          <w:p w:rsidR="00A77BDB" w:rsidRPr="00A77BDB" w:rsidRDefault="00A77BDB" w:rsidP="00A77BDB">
            <w:pPr>
              <w:keepNext/>
              <w:rPr>
                <w:rFonts w:ascii="Arial" w:hAnsi="Arial" w:cs="Arial"/>
                <w:b/>
                <w:sz w:val="16"/>
                <w:szCs w:val="16"/>
              </w:rPr>
            </w:pPr>
            <w:bookmarkStart w:id="333" w:name="_Toc341043007"/>
            <w:r>
              <w:rPr>
                <w:rFonts w:ascii="Arial" w:hAnsi="Arial" w:cs="Arial"/>
                <w:b/>
                <w:sz w:val="16"/>
                <w:szCs w:val="16"/>
              </w:rPr>
              <w:t>Figura 2.</w:t>
            </w:r>
            <w:r w:rsidR="00990535" w:rsidRPr="00A77BDB">
              <w:rPr>
                <w:rFonts w:ascii="Arial" w:hAnsi="Arial" w:cs="Arial"/>
                <w:b/>
                <w:sz w:val="16"/>
                <w:szCs w:val="16"/>
              </w:rPr>
              <w:fldChar w:fldCharType="begin"/>
            </w:r>
            <w:r w:rsidRPr="00A77BDB">
              <w:rPr>
                <w:rFonts w:ascii="Arial" w:hAnsi="Arial" w:cs="Arial"/>
                <w:b/>
                <w:sz w:val="16"/>
                <w:szCs w:val="16"/>
              </w:rPr>
              <w:instrText xml:space="preserve"> SEQ Figura_2. \* ARABIC </w:instrText>
            </w:r>
            <w:r w:rsidR="00990535" w:rsidRPr="00A77BDB">
              <w:rPr>
                <w:rFonts w:ascii="Arial" w:hAnsi="Arial" w:cs="Arial"/>
                <w:b/>
                <w:sz w:val="16"/>
                <w:szCs w:val="16"/>
              </w:rPr>
              <w:fldChar w:fldCharType="separate"/>
            </w:r>
            <w:r w:rsidR="00A242E0">
              <w:rPr>
                <w:rFonts w:ascii="Arial" w:hAnsi="Arial" w:cs="Arial"/>
                <w:b/>
                <w:noProof/>
                <w:sz w:val="16"/>
                <w:szCs w:val="16"/>
              </w:rPr>
              <w:t>17</w:t>
            </w:r>
            <w:bookmarkEnd w:id="333"/>
            <w:r w:rsidR="00990535" w:rsidRPr="00A77BDB">
              <w:rPr>
                <w:rFonts w:ascii="Arial" w:hAnsi="Arial" w:cs="Arial"/>
                <w:b/>
                <w:sz w:val="16"/>
                <w:szCs w:val="16"/>
              </w:rPr>
              <w:fldChar w:fldCharType="end"/>
            </w:r>
          </w:p>
          <w:p w:rsidR="00A722F8" w:rsidRPr="00F44C12" w:rsidRDefault="00AE42A4" w:rsidP="003F1262">
            <w:pPr>
              <w:rPr>
                <w:rFonts w:ascii="Arial" w:hAnsi="Arial" w:cs="Arial"/>
                <w:i/>
                <w:sz w:val="16"/>
                <w:szCs w:val="16"/>
              </w:rPr>
            </w:pPr>
            <w:r>
              <w:rPr>
                <w:rFonts w:ascii="Arial" w:hAnsi="Arial" w:cs="Arial"/>
                <w:b/>
                <w:i/>
                <w:sz w:val="16"/>
                <w:szCs w:val="16"/>
              </w:rPr>
              <w:t xml:space="preserve">Guayaquil 2010: </w:t>
            </w:r>
            <w:r w:rsidR="00A722F8" w:rsidRPr="00F44C12">
              <w:rPr>
                <w:rFonts w:ascii="Arial" w:hAnsi="Arial" w:cs="Arial"/>
                <w:i/>
                <w:sz w:val="16"/>
                <w:szCs w:val="16"/>
              </w:rPr>
              <w:t xml:space="preserve">Tasa </w:t>
            </w:r>
            <w:r w:rsidR="00A722F8">
              <w:rPr>
                <w:rFonts w:ascii="Arial" w:hAnsi="Arial" w:cs="Arial"/>
                <w:i/>
                <w:sz w:val="16"/>
                <w:szCs w:val="16"/>
              </w:rPr>
              <w:t>de estado conyugal para</w:t>
            </w:r>
            <w:r w:rsidR="00A722F8" w:rsidRPr="00F44C12">
              <w:rPr>
                <w:rFonts w:ascii="Arial" w:hAnsi="Arial" w:cs="Arial"/>
                <w:i/>
                <w:sz w:val="16"/>
                <w:szCs w:val="16"/>
              </w:rPr>
              <w:t xml:space="preserve"> </w:t>
            </w:r>
            <w:r w:rsidR="00A722F8">
              <w:rPr>
                <w:rFonts w:ascii="Arial" w:hAnsi="Arial" w:cs="Arial"/>
                <w:i/>
                <w:sz w:val="16"/>
                <w:szCs w:val="16"/>
              </w:rPr>
              <w:t>grupo de e</w:t>
            </w:r>
            <w:r w:rsidR="00A722F8" w:rsidRPr="00F44C12">
              <w:rPr>
                <w:rFonts w:ascii="Arial" w:hAnsi="Arial" w:cs="Arial"/>
                <w:i/>
                <w:sz w:val="16"/>
                <w:szCs w:val="16"/>
              </w:rPr>
              <w:t xml:space="preserve">dades específicas y </w:t>
            </w:r>
            <w:r w:rsidR="00A722F8">
              <w:rPr>
                <w:rFonts w:ascii="Arial" w:hAnsi="Arial" w:cs="Arial"/>
                <w:i/>
                <w:sz w:val="16"/>
                <w:szCs w:val="16"/>
              </w:rPr>
              <w:t>g</w:t>
            </w:r>
            <w:r w:rsidR="00A722F8" w:rsidRPr="00F44C12">
              <w:rPr>
                <w:rFonts w:ascii="Arial" w:hAnsi="Arial" w:cs="Arial"/>
                <w:i/>
                <w:sz w:val="16"/>
                <w:szCs w:val="16"/>
              </w:rPr>
              <w:t>énero</w:t>
            </w:r>
          </w:p>
          <w:p w:rsidR="00A722F8" w:rsidRDefault="00A722F8" w:rsidP="003F1262">
            <w:pPr>
              <w:rPr>
                <w:rFonts w:ascii="Arial" w:hAnsi="Arial" w:cs="Arial"/>
                <w:b/>
                <w:sz w:val="16"/>
                <w:szCs w:val="16"/>
              </w:rPr>
            </w:pPr>
            <w:r w:rsidRPr="00F44C12">
              <w:rPr>
                <w:rFonts w:ascii="Arial" w:hAnsi="Arial" w:cs="Arial"/>
                <w:i/>
                <w:sz w:val="16"/>
                <w:szCs w:val="16"/>
              </w:rPr>
              <w:t>por cada 1000 Inmigrantes residentes en Guayaquil</w:t>
            </w:r>
          </w:p>
          <w:p w:rsidR="00A722F8" w:rsidRDefault="00436907" w:rsidP="003F1262">
            <w:pPr>
              <w:rPr>
                <w:rFonts w:ascii="Arial" w:hAnsi="Arial" w:cs="Arial"/>
                <w:b/>
                <w:sz w:val="16"/>
                <w:szCs w:val="16"/>
              </w:rPr>
            </w:pPr>
            <w:r>
              <w:rPr>
                <w:rFonts w:ascii="Arial" w:hAnsi="Arial" w:cs="Arial"/>
                <w:b/>
                <w:noProof/>
                <w:sz w:val="20"/>
                <w:szCs w:val="20"/>
                <w:lang w:eastAsia="es-EC"/>
              </w:rPr>
              <w:pict>
                <v:shape id="_x0000_s1992" type="#_x0000_t32" style="position:absolute;left:0;text-align:left;margin-left:123.3pt;margin-top:89.95pt;width:14.25pt;height:12.1pt;flip:x;z-index:251818496" o:connectortype="straight" strokecolor="#0070c0">
                  <v:stroke endarrow="block"/>
                </v:shape>
              </w:pict>
            </w:r>
            <w:r>
              <w:rPr>
                <w:rFonts w:ascii="Arial" w:hAnsi="Arial" w:cs="Arial"/>
                <w:b/>
                <w:i/>
                <w:noProof/>
                <w:sz w:val="18"/>
                <w:szCs w:val="18"/>
                <w:lang w:eastAsia="es-EC"/>
              </w:rPr>
              <w:pict>
                <v:shape id="_x0000_s1206" type="#_x0000_t202" style="position:absolute;left:0;text-align:left;margin-left:109.45pt;margin-top:80.6pt;width:89.8pt;height:15.8pt;z-index:2514344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06;mso-fit-shape-to-text:t">
                    <w:txbxContent>
                      <w:p w:rsidR="006933DF" w:rsidRPr="004F50B3" w:rsidRDefault="006933DF" w:rsidP="00A722F8">
                        <w:pPr>
                          <w:rPr>
                            <w:rFonts w:ascii="Arial" w:hAnsi="Arial" w:cs="Arial"/>
                            <w:color w:val="0070C0"/>
                            <w:sz w:val="15"/>
                            <w:szCs w:val="15"/>
                          </w:rPr>
                        </w:pPr>
                        <w:r w:rsidRPr="004F50B3">
                          <w:rPr>
                            <w:rFonts w:ascii="Arial" w:hAnsi="Arial" w:cs="Arial"/>
                            <w:color w:val="0070C0"/>
                            <w:sz w:val="15"/>
                            <w:szCs w:val="15"/>
                          </w:rPr>
                          <w:t>Solteros</w:t>
                        </w:r>
                      </w:p>
                    </w:txbxContent>
                  </v:textbox>
                </v:shape>
              </w:pict>
            </w:r>
            <w:r>
              <w:rPr>
                <w:rFonts w:ascii="Arial" w:hAnsi="Arial" w:cs="Arial"/>
                <w:b/>
                <w:noProof/>
                <w:sz w:val="20"/>
                <w:szCs w:val="20"/>
                <w:lang w:eastAsia="es-EC"/>
              </w:rPr>
              <w:pict>
                <v:shape id="_x0000_s1991" type="#_x0000_t32" style="position:absolute;left:0;text-align:left;margin-left:152.55pt;margin-top:24.8pt;width:6pt;height:11.8pt;z-index:251817472" o:connectortype="straight" strokecolor="#e36c0a [2409]">
                  <v:stroke endarrow="block"/>
                </v:shape>
              </w:pict>
            </w:r>
            <w:r>
              <w:rPr>
                <w:rFonts w:ascii="Arial" w:hAnsi="Arial" w:cs="Arial"/>
                <w:b/>
                <w:noProof/>
                <w:sz w:val="20"/>
                <w:szCs w:val="20"/>
                <w:lang w:eastAsia="es-EC"/>
              </w:rPr>
              <w:pict>
                <v:shape id="_x0000_s1207" type="#_x0000_t202" style="position:absolute;left:0;text-align:left;margin-left:112.75pt;margin-top:13.5pt;width:89.8pt;height:15.8pt;z-index:2514355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07;mso-fit-shape-to-text:t">
                    <w:txbxContent>
                      <w:p w:rsidR="006933DF" w:rsidRPr="004F50B3" w:rsidRDefault="006933DF" w:rsidP="00A722F8">
                        <w:pPr>
                          <w:rPr>
                            <w:rFonts w:ascii="Arial" w:hAnsi="Arial" w:cs="Arial"/>
                            <w:color w:val="E36C0A" w:themeColor="accent6" w:themeShade="BF"/>
                            <w:sz w:val="15"/>
                            <w:szCs w:val="15"/>
                          </w:rPr>
                        </w:pPr>
                        <w:r w:rsidRPr="004F50B3">
                          <w:rPr>
                            <w:rFonts w:ascii="Arial" w:hAnsi="Arial" w:cs="Arial"/>
                            <w:color w:val="E36C0A" w:themeColor="accent6" w:themeShade="BF"/>
                            <w:sz w:val="15"/>
                            <w:szCs w:val="15"/>
                          </w:rPr>
                          <w:t>Casados o Unidos</w:t>
                        </w:r>
                      </w:p>
                    </w:txbxContent>
                  </v:textbox>
                </v:shape>
              </w:pict>
            </w:r>
            <w:r>
              <w:rPr>
                <w:rFonts w:ascii="Arial" w:hAnsi="Arial" w:cs="Arial"/>
                <w:b/>
                <w:noProof/>
                <w:sz w:val="20"/>
                <w:szCs w:val="20"/>
                <w:lang w:eastAsia="es-EC"/>
              </w:rPr>
              <w:pict>
                <v:shape id="_x0000_s1993" type="#_x0000_t32" style="position:absolute;left:0;text-align:left;margin-left:221.55pt;margin-top:83.3pt;width:5.2pt;height:20.25pt;flip:x;z-index:251819520" o:connectortype="straight" strokecolor="#d60093">
                  <v:stroke endarrow="block"/>
                </v:shape>
              </w:pict>
            </w:r>
            <w:r>
              <w:rPr>
                <w:rFonts w:ascii="Arial" w:hAnsi="Arial" w:cs="Arial"/>
                <w:b/>
                <w:noProof/>
                <w:sz w:val="20"/>
                <w:szCs w:val="20"/>
                <w:lang w:eastAsia="es-EC"/>
              </w:rPr>
              <w:pict>
                <v:shape id="_x0000_s1208" type="#_x0000_t202" style="position:absolute;left:0;text-align:left;margin-left:202.75pt;margin-top:68.85pt;width:89.8pt;height:24.45pt;z-index:2514365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08;mso-fit-shape-to-text:t">
                    <w:txbxContent>
                      <w:p w:rsidR="006933DF" w:rsidRPr="004F50B3" w:rsidRDefault="006933DF" w:rsidP="00A722F8">
                        <w:pPr>
                          <w:rPr>
                            <w:rFonts w:ascii="Arial" w:hAnsi="Arial" w:cs="Arial"/>
                            <w:color w:val="D60093"/>
                            <w:sz w:val="15"/>
                            <w:szCs w:val="15"/>
                          </w:rPr>
                        </w:pPr>
                        <w:r w:rsidRPr="004F50B3">
                          <w:rPr>
                            <w:rFonts w:ascii="Arial" w:hAnsi="Arial" w:cs="Arial"/>
                            <w:color w:val="D60093"/>
                            <w:sz w:val="15"/>
                            <w:szCs w:val="15"/>
                          </w:rPr>
                          <w:t>Viudos, Divorciados o Separados</w:t>
                        </w:r>
                      </w:p>
                    </w:txbxContent>
                  </v:textbox>
                </v:shape>
              </w:pict>
            </w:r>
            <w:r>
              <w:rPr>
                <w:rFonts w:ascii="Arial" w:hAnsi="Arial" w:cs="Arial"/>
                <w:noProof/>
                <w:lang w:eastAsia="es-EC"/>
              </w:rPr>
              <w:pict>
                <v:shape id="_x0000_s1204" type="#_x0000_t202" style="position:absolute;left:0;text-align:left;margin-left:226.75pt;margin-top:13.3pt;width:120.45pt;height:17.9pt;z-index:25143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204">
                    <w:txbxContent>
                      <w:p w:rsidR="006933DF" w:rsidRPr="00C800F3" w:rsidRDefault="006933DF" w:rsidP="00A722F8">
                        <w:pPr>
                          <w:rPr>
                            <w:rFonts w:ascii="Arial" w:hAnsi="Arial" w:cs="Arial"/>
                            <w:b/>
                            <w:sz w:val="15"/>
                            <w:szCs w:val="15"/>
                          </w:rPr>
                        </w:pPr>
                        <w:r>
                          <w:rPr>
                            <w:rFonts w:ascii="Arial" w:hAnsi="Arial" w:cs="Arial"/>
                            <w:b/>
                            <w:sz w:val="15"/>
                            <w:szCs w:val="15"/>
                          </w:rPr>
                          <w:t>Hombre</w:t>
                        </w:r>
                      </w:p>
                    </w:txbxContent>
                  </v:textbox>
                </v:shape>
              </w:pict>
            </w:r>
            <w:r w:rsidR="00A722F8">
              <w:rPr>
                <w:noProof/>
                <w:lang w:eastAsia="es-EC"/>
              </w:rPr>
              <w:drawing>
                <wp:inline distT="0" distB="0" distL="0" distR="0">
                  <wp:extent cx="4211955" cy="2115820"/>
                  <wp:effectExtent l="0" t="0" r="0" b="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722F8" w:rsidRPr="00433344" w:rsidRDefault="00436907" w:rsidP="003F1262">
            <w:pPr>
              <w:rPr>
                <w:rFonts w:ascii="Arial" w:hAnsi="Arial" w:cs="Arial"/>
                <w:b/>
                <w:sz w:val="16"/>
                <w:szCs w:val="16"/>
              </w:rPr>
            </w:pPr>
            <w:r>
              <w:rPr>
                <w:rFonts w:ascii="Arial" w:hAnsi="Arial" w:cs="Arial"/>
                <w:b/>
                <w:noProof/>
                <w:sz w:val="16"/>
                <w:szCs w:val="16"/>
                <w:lang w:eastAsia="es-EC"/>
              </w:rPr>
              <w:pict>
                <v:shape id="_x0000_s1996" type="#_x0000_t32" style="position:absolute;left:0;text-align:left;margin-left:296.55pt;margin-top:40.45pt;width:14.25pt;height:14.2pt;flip:x y;z-index:251822592" o:connectortype="straight" strokecolor="#d60093">
                  <v:stroke endarrow="block"/>
                </v:shape>
              </w:pict>
            </w:r>
            <w:r>
              <w:rPr>
                <w:rFonts w:ascii="Arial" w:hAnsi="Arial" w:cs="Arial"/>
                <w:b/>
                <w:noProof/>
                <w:sz w:val="16"/>
                <w:szCs w:val="16"/>
                <w:lang w:eastAsia="es-EC"/>
              </w:rPr>
              <w:pict>
                <v:shape id="_x0000_s1995" type="#_x0000_t32" style="position:absolute;left:0;text-align:left;margin-left:112.75pt;margin-top:88.45pt;width:18.05pt;height:14.25pt;flip:x;z-index:251821568" o:connectortype="straight" strokecolor="#0070c0">
                  <v:stroke endarrow="block"/>
                </v:shape>
              </w:pict>
            </w:r>
            <w:r>
              <w:rPr>
                <w:rFonts w:ascii="Arial" w:hAnsi="Arial" w:cs="Arial"/>
                <w:b/>
                <w:noProof/>
                <w:sz w:val="16"/>
                <w:szCs w:val="16"/>
                <w:lang w:eastAsia="es-EC"/>
              </w:rPr>
              <w:pict>
                <v:shape id="_x0000_s1225" type="#_x0000_t202" style="position:absolute;left:0;text-align:left;margin-left:118.4pt;margin-top:20.7pt;width:89.8pt;height:15.8pt;z-index:2514539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25;mso-fit-shape-to-text:t">
                    <w:txbxContent>
                      <w:p w:rsidR="006933DF" w:rsidRPr="004F50B3" w:rsidRDefault="006933DF" w:rsidP="00A722F8">
                        <w:pPr>
                          <w:rPr>
                            <w:rFonts w:ascii="Arial" w:hAnsi="Arial" w:cs="Arial"/>
                            <w:color w:val="E36C0A" w:themeColor="accent6" w:themeShade="BF"/>
                            <w:sz w:val="15"/>
                            <w:szCs w:val="15"/>
                          </w:rPr>
                        </w:pPr>
                        <w:r w:rsidRPr="004F50B3">
                          <w:rPr>
                            <w:rFonts w:ascii="Arial" w:hAnsi="Arial" w:cs="Arial"/>
                            <w:color w:val="E36C0A" w:themeColor="accent6" w:themeShade="BF"/>
                            <w:sz w:val="15"/>
                            <w:szCs w:val="15"/>
                          </w:rPr>
                          <w:t>Casados o Unidos</w:t>
                        </w:r>
                      </w:p>
                    </w:txbxContent>
                  </v:textbox>
                </v:shape>
              </w:pict>
            </w:r>
            <w:r>
              <w:rPr>
                <w:rFonts w:ascii="Arial" w:hAnsi="Arial" w:cs="Arial"/>
                <w:b/>
                <w:noProof/>
                <w:sz w:val="16"/>
                <w:szCs w:val="16"/>
                <w:lang w:eastAsia="es-EC"/>
              </w:rPr>
              <w:pict>
                <v:shape id="_x0000_s1994" type="#_x0000_t32" style="position:absolute;left:0;text-align:left;margin-left:158.55pt;margin-top:31.85pt;width:6pt;height:13.65pt;flip:x;z-index:251820544" o:connectortype="straight" strokecolor="#e36c0a [2409]">
                  <v:stroke endarrow="block"/>
                </v:shape>
              </w:pict>
            </w:r>
            <w:r>
              <w:rPr>
                <w:rFonts w:ascii="Arial" w:hAnsi="Arial" w:cs="Arial"/>
                <w:b/>
                <w:noProof/>
                <w:sz w:val="16"/>
                <w:szCs w:val="16"/>
                <w:lang w:eastAsia="es-EC"/>
              </w:rPr>
              <w:pict>
                <v:shape id="_x0000_s1226" type="#_x0000_t202" style="position:absolute;left:0;text-align:left;margin-left:257.4pt;margin-top:54.65pt;width:89.8pt;height:24.45pt;z-index:2514549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26;mso-fit-shape-to-text:t">
                    <w:txbxContent>
                      <w:p w:rsidR="006933DF" w:rsidRPr="004F50B3" w:rsidRDefault="006933DF" w:rsidP="00A722F8">
                        <w:pPr>
                          <w:rPr>
                            <w:rFonts w:ascii="Arial" w:hAnsi="Arial" w:cs="Arial"/>
                            <w:color w:val="D60093"/>
                            <w:sz w:val="15"/>
                            <w:szCs w:val="15"/>
                          </w:rPr>
                        </w:pPr>
                        <w:r w:rsidRPr="004F50B3">
                          <w:rPr>
                            <w:rFonts w:ascii="Arial" w:hAnsi="Arial" w:cs="Arial"/>
                            <w:color w:val="D60093"/>
                            <w:sz w:val="15"/>
                            <w:szCs w:val="15"/>
                          </w:rPr>
                          <w:t>Viudos, Divorciados o Separados</w:t>
                        </w:r>
                      </w:p>
                    </w:txbxContent>
                  </v:textbox>
                </v:shape>
              </w:pict>
            </w:r>
            <w:r>
              <w:rPr>
                <w:rFonts w:ascii="Arial" w:hAnsi="Arial" w:cs="Arial"/>
                <w:b/>
                <w:noProof/>
                <w:sz w:val="16"/>
                <w:szCs w:val="16"/>
                <w:lang w:eastAsia="es-EC"/>
              </w:rPr>
              <w:pict>
                <v:shape id="_x0000_s1224" type="#_x0000_t202" style="position:absolute;left:0;text-align:left;margin-left:102.75pt;margin-top:82.25pt;width:89.8pt;height:27.1pt;z-index:2514529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24;mso-fit-shape-to-text:t">
                    <w:txbxContent>
                      <w:p w:rsidR="006933DF" w:rsidRPr="004F50B3" w:rsidRDefault="006933DF" w:rsidP="00A722F8">
                        <w:pPr>
                          <w:rPr>
                            <w:rFonts w:ascii="Arial" w:hAnsi="Arial" w:cs="Arial"/>
                            <w:color w:val="0070C0"/>
                            <w:sz w:val="15"/>
                            <w:szCs w:val="15"/>
                          </w:rPr>
                        </w:pPr>
                        <w:r w:rsidRPr="004F50B3">
                          <w:rPr>
                            <w:rFonts w:ascii="Arial" w:hAnsi="Arial" w:cs="Arial"/>
                            <w:color w:val="0070C0"/>
                            <w:sz w:val="15"/>
                            <w:szCs w:val="15"/>
                          </w:rPr>
                          <w:t>Solteros</w:t>
                        </w:r>
                      </w:p>
                    </w:txbxContent>
                  </v:textbox>
                </v:shape>
              </w:pict>
            </w:r>
            <w:r>
              <w:rPr>
                <w:rFonts w:ascii="Arial" w:hAnsi="Arial" w:cs="Arial"/>
                <w:noProof/>
                <w:lang w:eastAsia="es-EC"/>
              </w:rPr>
              <w:pict>
                <v:shape id="_x0000_s1205" type="#_x0000_t202" style="position:absolute;left:0;text-align:left;margin-left:226.75pt;margin-top:13.95pt;width:120.45pt;height:17.9pt;z-index:25143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205">
                    <w:txbxContent>
                      <w:p w:rsidR="006933DF" w:rsidRPr="00C800F3" w:rsidRDefault="006933DF" w:rsidP="00A722F8">
                        <w:pPr>
                          <w:rPr>
                            <w:rFonts w:ascii="Arial" w:hAnsi="Arial" w:cs="Arial"/>
                            <w:b/>
                            <w:sz w:val="15"/>
                            <w:szCs w:val="15"/>
                          </w:rPr>
                        </w:pPr>
                        <w:r>
                          <w:rPr>
                            <w:rFonts w:ascii="Arial" w:hAnsi="Arial" w:cs="Arial"/>
                            <w:b/>
                            <w:sz w:val="15"/>
                            <w:szCs w:val="15"/>
                          </w:rPr>
                          <w:t>Mujer</w:t>
                        </w:r>
                      </w:p>
                    </w:txbxContent>
                  </v:textbox>
                </v:shape>
              </w:pict>
            </w:r>
            <w:r w:rsidR="00A722F8">
              <w:rPr>
                <w:noProof/>
                <w:lang w:eastAsia="es-EC"/>
              </w:rPr>
              <w:drawing>
                <wp:inline distT="0" distB="0" distL="0" distR="0">
                  <wp:extent cx="4211955" cy="2115820"/>
                  <wp:effectExtent l="0" t="0" r="0" b="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A722F8" w:rsidRPr="00AE42A4" w:rsidRDefault="00A722F8" w:rsidP="00AE42A4">
      <w:pPr>
        <w:pStyle w:val="Prrafodelista"/>
        <w:spacing w:line="276" w:lineRule="auto"/>
        <w:ind w:left="851"/>
        <w:jc w:val="both"/>
        <w:rPr>
          <w:rFonts w:ascii="Arial" w:hAnsi="Arial" w:cs="Arial"/>
          <w:sz w:val="17"/>
          <w:szCs w:val="17"/>
        </w:rPr>
      </w:pPr>
    </w:p>
    <w:p w:rsidR="00A722F8" w:rsidRPr="00AE42A4" w:rsidRDefault="00A722F8" w:rsidP="00AE42A4">
      <w:pPr>
        <w:pStyle w:val="Prrafodelista"/>
        <w:spacing w:line="276" w:lineRule="auto"/>
        <w:ind w:left="851"/>
        <w:jc w:val="both"/>
        <w:rPr>
          <w:rFonts w:ascii="Arial" w:hAnsi="Arial" w:cs="Arial"/>
          <w:sz w:val="17"/>
          <w:szCs w:val="17"/>
        </w:rPr>
      </w:pPr>
      <w:r w:rsidRPr="00AE42A4">
        <w:rPr>
          <w:rFonts w:ascii="Arial" w:hAnsi="Arial" w:cs="Arial"/>
          <w:b/>
          <w:i/>
          <w:sz w:val="17"/>
          <w:szCs w:val="17"/>
        </w:rPr>
        <w:t>Fuente:</w:t>
      </w:r>
      <w:r w:rsidRPr="00AE42A4">
        <w:rPr>
          <w:rFonts w:ascii="Arial" w:hAnsi="Arial" w:cs="Arial"/>
          <w:sz w:val="17"/>
          <w:szCs w:val="17"/>
        </w:rPr>
        <w:t xml:space="preserve"> </w:t>
      </w:r>
      <w:r w:rsidRPr="00AE42A4">
        <w:rPr>
          <w:rFonts w:ascii="Arial" w:hAnsi="Arial" w:cs="Arial"/>
          <w:b/>
          <w:sz w:val="17"/>
          <w:szCs w:val="17"/>
        </w:rPr>
        <w:t xml:space="preserve">INEC </w:t>
      </w:r>
      <w:r w:rsidRPr="00AE42A4">
        <w:rPr>
          <w:rFonts w:ascii="Arial" w:hAnsi="Arial" w:cs="Arial"/>
          <w:sz w:val="17"/>
          <w:szCs w:val="17"/>
        </w:rPr>
        <w:t>(2010), Base de Datos del VII Censo de Población y VI de Vivienda.</w:t>
      </w:r>
    </w:p>
    <w:p w:rsidR="00A722F8" w:rsidRPr="00AE42A4" w:rsidRDefault="00A722F8" w:rsidP="00AE42A4">
      <w:pPr>
        <w:pStyle w:val="Prrafodelista"/>
        <w:spacing w:line="276" w:lineRule="auto"/>
        <w:ind w:left="851"/>
        <w:jc w:val="both"/>
        <w:rPr>
          <w:rFonts w:ascii="Arial" w:hAnsi="Arial" w:cs="Arial"/>
          <w:sz w:val="17"/>
          <w:szCs w:val="17"/>
        </w:rPr>
      </w:pPr>
      <w:r w:rsidRPr="00AE42A4">
        <w:rPr>
          <w:rFonts w:ascii="Arial" w:hAnsi="Arial" w:cs="Arial"/>
          <w:b/>
          <w:i/>
          <w:sz w:val="17"/>
          <w:szCs w:val="17"/>
        </w:rPr>
        <w:t>Elaborado por:</w:t>
      </w:r>
      <w:r w:rsidRPr="00AE42A4">
        <w:rPr>
          <w:rFonts w:ascii="Arial" w:hAnsi="Arial" w:cs="Arial"/>
          <w:sz w:val="17"/>
          <w:szCs w:val="17"/>
        </w:rPr>
        <w:t xml:space="preserve"> Katherine Loor Valeriano</w:t>
      </w:r>
    </w:p>
    <w:p w:rsidR="00A722F8" w:rsidRDefault="00A722F8" w:rsidP="00844C52">
      <w:pPr>
        <w:pStyle w:val="Prrafodelista"/>
        <w:spacing w:line="480" w:lineRule="auto"/>
        <w:ind w:left="851"/>
        <w:jc w:val="both"/>
        <w:rPr>
          <w:rFonts w:ascii="Arial" w:hAnsi="Arial" w:cs="Arial"/>
        </w:rPr>
      </w:pPr>
    </w:p>
    <w:p w:rsidR="00A722F8" w:rsidRDefault="00A722F8" w:rsidP="00844C52">
      <w:pPr>
        <w:pStyle w:val="Prrafodelista"/>
        <w:spacing w:line="480" w:lineRule="auto"/>
        <w:ind w:left="851"/>
        <w:jc w:val="both"/>
        <w:rPr>
          <w:rFonts w:ascii="Arial" w:hAnsi="Arial" w:cs="Arial"/>
          <w:i/>
        </w:rPr>
      </w:pPr>
      <w:r>
        <w:rPr>
          <w:rFonts w:ascii="Arial" w:hAnsi="Arial" w:cs="Arial"/>
        </w:rPr>
        <w:t xml:space="preserve">Por último, el tercer grupo mostrado en el gráfico esta relacionado con los inmigrantes cuyo estado conyugal incluye a los divorciados, separados o </w:t>
      </w:r>
      <w:r>
        <w:rPr>
          <w:rFonts w:ascii="Arial" w:hAnsi="Arial" w:cs="Arial"/>
        </w:rPr>
        <w:lastRenderedPageBreak/>
        <w:t xml:space="preserve">viudos. Para este caso, siempre se tienen valores mayores para esta tasa en las mujeres que en los hombres; y además se puede observar que esta tasa va creciendo a medida que aumenta la edad. Para el caso de los inmigrantes con edades comprendidas entre 12 y 15 años, tenemos que hay 2.01 hombres viudos, divorciados o separados por cada 1000 hombres inmigrantes en Guayaquil y para la mujeres en cambio tenemos 7.66 con este estado conyugal por cada 1000 mujeres inmigrantes con edades entre 12 y 15 años; mientras que para los mayores de 100 años se observa que 750 por cada 1000 inmigrantes hombres son viudos, divorciados o separados y para las mujeres es de 873.95 por cada 1000. Para más detalles </w:t>
      </w:r>
      <w:r>
        <w:rPr>
          <w:rFonts w:ascii="Arial" w:hAnsi="Arial" w:cs="Arial"/>
          <w:i/>
        </w:rPr>
        <w:t>véase Figura 2.17.</w:t>
      </w:r>
    </w:p>
    <w:p w:rsidR="00A722F8" w:rsidRDefault="00A722F8" w:rsidP="00844C52">
      <w:pPr>
        <w:pStyle w:val="Prrafodelista"/>
        <w:spacing w:line="480" w:lineRule="auto"/>
        <w:ind w:left="851"/>
        <w:jc w:val="both"/>
        <w:rPr>
          <w:rFonts w:ascii="Arial" w:hAnsi="Arial" w:cs="Arial"/>
        </w:rPr>
      </w:pPr>
    </w:p>
    <w:p w:rsidR="00A722F8" w:rsidRDefault="00A722F8" w:rsidP="0041640C">
      <w:pPr>
        <w:pStyle w:val="TesisTitulo20"/>
        <w:numPr>
          <w:ilvl w:val="2"/>
          <w:numId w:val="9"/>
        </w:numPr>
        <w:ind w:left="851" w:firstLine="0"/>
      </w:pPr>
      <w:bookmarkStart w:id="334" w:name="_Toc339212706"/>
      <w:bookmarkStart w:id="335" w:name="_Toc341040634"/>
      <w:r w:rsidRPr="00714004">
        <w:t xml:space="preserve">Tasa </w:t>
      </w:r>
      <w:r>
        <w:t>de</w:t>
      </w:r>
      <w:r w:rsidRPr="00714004">
        <w:t xml:space="preserve"> </w:t>
      </w:r>
      <w:r>
        <w:t>e</w:t>
      </w:r>
      <w:r w:rsidRPr="00714004">
        <w:t xml:space="preserve">stado </w:t>
      </w:r>
      <w:r>
        <w:t>o</w:t>
      </w:r>
      <w:r w:rsidRPr="00714004">
        <w:t xml:space="preserve">cupacional para </w:t>
      </w:r>
      <w:r>
        <w:t>e</w:t>
      </w:r>
      <w:r w:rsidRPr="00714004">
        <w:t>dades espec</w:t>
      </w:r>
      <w:r>
        <w:t>í</w:t>
      </w:r>
      <w:r w:rsidRPr="00714004">
        <w:t xml:space="preserve">ficas y </w:t>
      </w:r>
      <w:r>
        <w:t>g</w:t>
      </w:r>
      <w:r w:rsidRPr="00714004">
        <w:t xml:space="preserve">énero </w:t>
      </w:r>
      <w:r>
        <w:t>por cada 1000</w:t>
      </w:r>
      <w:r w:rsidRPr="00714004">
        <w:t xml:space="preserve"> </w:t>
      </w:r>
      <w:r w:rsidR="008F1FF2">
        <w:t>i</w:t>
      </w:r>
      <w:r w:rsidRPr="00714004">
        <w:t>nmigrantes residentes en Guayaquil</w:t>
      </w:r>
      <w:bookmarkEnd w:id="334"/>
      <w:bookmarkEnd w:id="335"/>
    </w:p>
    <w:p w:rsidR="00A722F8" w:rsidRDefault="00A722F8" w:rsidP="00844C52">
      <w:pPr>
        <w:pStyle w:val="Prrafodelista"/>
        <w:spacing w:line="480" w:lineRule="auto"/>
        <w:ind w:left="851"/>
        <w:jc w:val="both"/>
        <w:rPr>
          <w:rFonts w:ascii="Arial" w:hAnsi="Arial" w:cs="Arial"/>
        </w:rPr>
      </w:pPr>
      <w:r>
        <w:rPr>
          <w:rFonts w:ascii="Arial" w:hAnsi="Arial" w:cs="Arial"/>
        </w:rPr>
        <w:t xml:space="preserve">La </w:t>
      </w:r>
      <w:r>
        <w:rPr>
          <w:rFonts w:ascii="Arial" w:hAnsi="Arial" w:cs="Arial"/>
          <w:i/>
        </w:rPr>
        <w:t>Figura 2.18</w:t>
      </w:r>
      <w:r>
        <w:rPr>
          <w:rFonts w:ascii="Arial" w:hAnsi="Arial" w:cs="Arial"/>
        </w:rPr>
        <w:t xml:space="preserve">, se presenta el estado ocupacional de los inmigrantes residentes en Guayaquil para edades específicas y género; dicho estado ocupacional se lo obtuvo desde las preguntas ¿Qué hizo la semana pasado?, y ¿SI NO ha trabajado..?, que ha sido clasificada a su vez como trabaja, no trabajo, y busca trabajo representado con las líneas de color azul, fucsia y anaranjado respectivamente; estas preguntas solamente la responden las personas mayores de 5 años. Observado la línea que representa a los inmigrantes que trabajan (línea azul), podemos observar que siempre esta tasa toma valores mayores en los hombres y además </w:t>
      </w:r>
      <w:r>
        <w:rPr>
          <w:rFonts w:ascii="Arial" w:hAnsi="Arial" w:cs="Arial"/>
        </w:rPr>
        <w:lastRenderedPageBreak/>
        <w:t xml:space="preserve">esto es más notorio en las personas con edades comprendidas entre 20 y 65 años. Teniendo para los inmigrantes con edades entre 20 y 25 años que 768.01 por cada 1000 trabajan y para el caso de las mujeres 388.61 por cada 1000 trabajan. Como se observa en la </w:t>
      </w:r>
      <w:r>
        <w:rPr>
          <w:rFonts w:ascii="Arial" w:hAnsi="Arial" w:cs="Arial"/>
          <w:i/>
        </w:rPr>
        <w:t>Figura 2.18</w:t>
      </w:r>
      <w:r>
        <w:rPr>
          <w:rFonts w:ascii="Arial" w:hAnsi="Arial" w:cs="Arial"/>
        </w:rPr>
        <w:t xml:space="preserve">, estas tasas empiezan a disminuir para las edades mayores (65 años y más). </w:t>
      </w:r>
    </w:p>
    <w:p w:rsidR="00A722F8" w:rsidRDefault="00A722F8" w:rsidP="00844C52">
      <w:pPr>
        <w:pStyle w:val="Prrafodelista"/>
        <w:spacing w:line="480" w:lineRule="auto"/>
        <w:ind w:left="851"/>
        <w:jc w:val="both"/>
        <w:rPr>
          <w:rFonts w:ascii="Arial" w:hAnsi="Arial" w:cs="Arial"/>
        </w:rPr>
      </w:pPr>
    </w:p>
    <w:p w:rsidR="00A722F8" w:rsidRPr="007101C8" w:rsidRDefault="00844C52" w:rsidP="00844C52">
      <w:pPr>
        <w:pStyle w:val="Prrafodelista"/>
        <w:spacing w:line="480" w:lineRule="auto"/>
        <w:ind w:left="851"/>
        <w:jc w:val="both"/>
        <w:rPr>
          <w:rFonts w:ascii="Arial" w:hAnsi="Arial" w:cs="Arial"/>
          <w:i/>
        </w:rPr>
      </w:pPr>
      <w:r>
        <w:rPr>
          <w:rFonts w:ascii="Arial" w:hAnsi="Arial" w:cs="Arial"/>
        </w:rPr>
        <w:t>P</w:t>
      </w:r>
      <w:r w:rsidR="00A722F8">
        <w:rPr>
          <w:rFonts w:ascii="Arial" w:hAnsi="Arial" w:cs="Arial"/>
        </w:rPr>
        <w:t xml:space="preserve">ara los inmigrantes que buscan trabajo el escenario es similar al anterior, pues la tasa para </w:t>
      </w:r>
      <w:r>
        <w:rPr>
          <w:rFonts w:ascii="Arial" w:hAnsi="Arial" w:cs="Arial"/>
        </w:rPr>
        <w:t>tal</w:t>
      </w:r>
      <w:r w:rsidR="00A722F8">
        <w:rPr>
          <w:rFonts w:ascii="Arial" w:hAnsi="Arial" w:cs="Arial"/>
        </w:rPr>
        <w:t xml:space="preserve"> categoría toma valores más altos para los hombres respecto a las mujeres; y, además toma valores cercanos a cero para los mayores a 75 años. Se tiene para los inmigrantes de género masculino con edades entre 15 y 20 años que 58.85 por cada 1000 inmigrantes buscan trabajo; y, para las mujeres se </w:t>
      </w:r>
      <w:r w:rsidR="00506BFD">
        <w:rPr>
          <w:rFonts w:ascii="Arial" w:hAnsi="Arial" w:cs="Arial"/>
        </w:rPr>
        <w:t>obtuvo</w:t>
      </w:r>
      <w:r w:rsidR="00A722F8">
        <w:rPr>
          <w:rFonts w:ascii="Arial" w:hAnsi="Arial" w:cs="Arial"/>
        </w:rPr>
        <w:t xml:space="preserve"> que 45.35 por cada 1000 mujeres inmigrantes con edades comprendidas entre 15 y 20 años están buscando empleo. Para la categoría de no trabaja como era de esperarse es mayor el valor de la tasa para las mujeres, pues la gráfica muestra esto claramente para las edades entre 20 y 65 años. Teniéndose para los inmigrantes con edades entre 25 y 30 años que 63.96 por cada 1000 hombres inmigrantes no tienen trabajo, mientras que para las mujeres esta tasa asciende a 491.58 por cada 1000 mujeres inmigrantes, corroborando con estos valores lo que el gráfico nos presenta. Si analizamos qué sucede con los inmigrantes cuyas edades oscilan entre 55 y 60 años, podemos notar que 142.40 por cada 1000 inmigrantes del género masculino no tienen trabajo, y para las mujeres esta tasa es de 561.25 por cada 1000 mujeres inmigrantes. Pudiendo concluir que es mayor la participación que los </w:t>
      </w:r>
      <w:r w:rsidR="00A722F8">
        <w:rPr>
          <w:rFonts w:ascii="Arial" w:hAnsi="Arial" w:cs="Arial"/>
        </w:rPr>
        <w:lastRenderedPageBreak/>
        <w:t xml:space="preserve">hombres tendrán en el mercado laboral, respecto a lo que las mujeres podrían estar aportando económicamente. </w:t>
      </w:r>
      <w:r>
        <w:rPr>
          <w:rFonts w:ascii="Arial" w:hAnsi="Arial" w:cs="Arial"/>
          <w:i/>
        </w:rPr>
        <w:t>V</w:t>
      </w:r>
      <w:r w:rsidR="00A722F8">
        <w:rPr>
          <w:rFonts w:ascii="Arial" w:hAnsi="Arial" w:cs="Arial"/>
          <w:i/>
        </w:rPr>
        <w:t xml:space="preserve">éase </w:t>
      </w:r>
      <w:r>
        <w:rPr>
          <w:rFonts w:ascii="Arial" w:hAnsi="Arial" w:cs="Arial"/>
          <w:i/>
        </w:rPr>
        <w:t xml:space="preserve">   </w:t>
      </w:r>
      <w:r w:rsidR="00A722F8">
        <w:rPr>
          <w:rFonts w:ascii="Arial" w:hAnsi="Arial" w:cs="Arial"/>
          <w:i/>
        </w:rPr>
        <w:t>Figura 2.18.</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844C52">
        <w:trPr>
          <w:trHeight w:val="7607"/>
          <w:jc w:val="right"/>
        </w:trPr>
        <w:tc>
          <w:tcPr>
            <w:tcW w:w="7497" w:type="dxa"/>
          </w:tcPr>
          <w:p w:rsidR="00A722F8" w:rsidRDefault="00A722F8" w:rsidP="003F1262">
            <w:pPr>
              <w:rPr>
                <w:rFonts w:ascii="Arial" w:hAnsi="Arial" w:cs="Arial"/>
                <w:b/>
                <w:sz w:val="16"/>
                <w:szCs w:val="16"/>
              </w:rPr>
            </w:pPr>
          </w:p>
          <w:p w:rsidR="00A77BDB" w:rsidRPr="00A77BDB" w:rsidRDefault="00A77BDB" w:rsidP="00A77BDB">
            <w:pPr>
              <w:keepNext/>
              <w:rPr>
                <w:rFonts w:ascii="Arial" w:hAnsi="Arial" w:cs="Arial"/>
                <w:b/>
                <w:sz w:val="16"/>
                <w:szCs w:val="16"/>
              </w:rPr>
            </w:pPr>
            <w:bookmarkStart w:id="336" w:name="_Toc341043008"/>
            <w:r>
              <w:rPr>
                <w:rFonts w:ascii="Arial" w:hAnsi="Arial" w:cs="Arial"/>
                <w:b/>
                <w:sz w:val="16"/>
                <w:szCs w:val="16"/>
              </w:rPr>
              <w:t>Figura 2.</w:t>
            </w:r>
            <w:r w:rsidR="00990535" w:rsidRPr="00A77BDB">
              <w:rPr>
                <w:rFonts w:ascii="Arial" w:hAnsi="Arial" w:cs="Arial"/>
                <w:b/>
                <w:sz w:val="16"/>
                <w:szCs w:val="16"/>
              </w:rPr>
              <w:fldChar w:fldCharType="begin"/>
            </w:r>
            <w:r w:rsidRPr="00A77BDB">
              <w:rPr>
                <w:rFonts w:ascii="Arial" w:hAnsi="Arial" w:cs="Arial"/>
                <w:b/>
                <w:sz w:val="16"/>
                <w:szCs w:val="16"/>
              </w:rPr>
              <w:instrText xml:space="preserve"> SEQ Figura_2. \* ARABIC </w:instrText>
            </w:r>
            <w:r w:rsidR="00990535" w:rsidRPr="00A77BDB">
              <w:rPr>
                <w:rFonts w:ascii="Arial" w:hAnsi="Arial" w:cs="Arial"/>
                <w:b/>
                <w:sz w:val="16"/>
                <w:szCs w:val="16"/>
              </w:rPr>
              <w:fldChar w:fldCharType="separate"/>
            </w:r>
            <w:r w:rsidR="00A242E0">
              <w:rPr>
                <w:rFonts w:ascii="Arial" w:hAnsi="Arial" w:cs="Arial"/>
                <w:b/>
                <w:noProof/>
                <w:sz w:val="16"/>
                <w:szCs w:val="16"/>
              </w:rPr>
              <w:t>18</w:t>
            </w:r>
            <w:bookmarkEnd w:id="336"/>
            <w:r w:rsidR="00990535" w:rsidRPr="00A77BDB">
              <w:rPr>
                <w:rFonts w:ascii="Arial" w:hAnsi="Arial" w:cs="Arial"/>
                <w:b/>
                <w:sz w:val="16"/>
                <w:szCs w:val="16"/>
              </w:rPr>
              <w:fldChar w:fldCharType="end"/>
            </w:r>
          </w:p>
          <w:p w:rsidR="00A722F8" w:rsidRPr="00F44C12" w:rsidRDefault="00844C52" w:rsidP="003F1262">
            <w:pPr>
              <w:rPr>
                <w:rFonts w:ascii="Arial" w:hAnsi="Arial" w:cs="Arial"/>
                <w:i/>
                <w:sz w:val="16"/>
                <w:szCs w:val="16"/>
              </w:rPr>
            </w:pPr>
            <w:r>
              <w:rPr>
                <w:rFonts w:ascii="Arial" w:hAnsi="Arial" w:cs="Arial"/>
                <w:b/>
                <w:i/>
                <w:sz w:val="16"/>
                <w:szCs w:val="16"/>
              </w:rPr>
              <w:t xml:space="preserve">Guayaquil 2010: </w:t>
            </w:r>
            <w:r w:rsidR="00A722F8" w:rsidRPr="00F44C12">
              <w:rPr>
                <w:rFonts w:ascii="Arial" w:hAnsi="Arial" w:cs="Arial"/>
                <w:i/>
                <w:sz w:val="16"/>
                <w:szCs w:val="16"/>
              </w:rPr>
              <w:t xml:space="preserve">Tasa </w:t>
            </w:r>
            <w:r w:rsidR="00A722F8">
              <w:rPr>
                <w:rFonts w:ascii="Arial" w:hAnsi="Arial" w:cs="Arial"/>
                <w:i/>
                <w:sz w:val="16"/>
                <w:szCs w:val="16"/>
              </w:rPr>
              <w:t>por Estado Ocupacional para</w:t>
            </w:r>
            <w:r w:rsidR="00A722F8" w:rsidRPr="00F44C12">
              <w:rPr>
                <w:rFonts w:ascii="Arial" w:hAnsi="Arial" w:cs="Arial"/>
                <w:i/>
                <w:sz w:val="16"/>
                <w:szCs w:val="16"/>
              </w:rPr>
              <w:t xml:space="preserve"> Edades específicas y Género</w:t>
            </w:r>
          </w:p>
          <w:p w:rsidR="00A722F8" w:rsidRDefault="00A722F8" w:rsidP="003F1262">
            <w:pPr>
              <w:rPr>
                <w:rFonts w:ascii="Arial" w:hAnsi="Arial" w:cs="Arial"/>
                <w:b/>
                <w:sz w:val="16"/>
                <w:szCs w:val="16"/>
              </w:rPr>
            </w:pPr>
            <w:r w:rsidRPr="00F44C12">
              <w:rPr>
                <w:rFonts w:ascii="Arial" w:hAnsi="Arial" w:cs="Arial"/>
                <w:i/>
                <w:sz w:val="16"/>
                <w:szCs w:val="16"/>
              </w:rPr>
              <w:t>por cada 1000 Inmigrantes residentes en Guayaquil</w:t>
            </w:r>
          </w:p>
          <w:p w:rsidR="00A722F8" w:rsidRDefault="00436907" w:rsidP="003F1262">
            <w:pPr>
              <w:rPr>
                <w:rFonts w:ascii="Arial" w:hAnsi="Arial" w:cs="Arial"/>
                <w:b/>
                <w:sz w:val="16"/>
                <w:szCs w:val="16"/>
              </w:rPr>
            </w:pPr>
            <w:r>
              <w:rPr>
                <w:rFonts w:ascii="Arial" w:hAnsi="Arial" w:cs="Arial"/>
                <w:b/>
                <w:noProof/>
                <w:sz w:val="20"/>
                <w:szCs w:val="20"/>
                <w:lang w:eastAsia="es-EC"/>
              </w:rPr>
              <w:pict>
                <v:shape id="_x0000_s1212" type="#_x0000_t202" style="position:absolute;left:0;text-align:left;margin-left:198.5pt;margin-top:93.15pt;width:89.8pt;height:15.8pt;z-index:2514406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12;mso-fit-shape-to-text:t">
                    <w:txbxContent>
                      <w:p w:rsidR="006933DF" w:rsidRPr="004F50B3" w:rsidRDefault="006933DF" w:rsidP="00A722F8">
                        <w:pPr>
                          <w:rPr>
                            <w:rFonts w:ascii="Arial" w:hAnsi="Arial" w:cs="Arial"/>
                            <w:color w:val="E36C0A" w:themeColor="accent6" w:themeShade="BF"/>
                            <w:sz w:val="15"/>
                            <w:szCs w:val="15"/>
                          </w:rPr>
                        </w:pPr>
                        <w:r>
                          <w:rPr>
                            <w:rFonts w:ascii="Arial" w:hAnsi="Arial" w:cs="Arial"/>
                            <w:color w:val="E36C0A" w:themeColor="accent6" w:themeShade="BF"/>
                            <w:sz w:val="15"/>
                            <w:szCs w:val="15"/>
                          </w:rPr>
                          <w:t>Busca trabajo</w:t>
                        </w:r>
                      </w:p>
                    </w:txbxContent>
                  </v:textbox>
                </v:shape>
              </w:pict>
            </w:r>
            <w:r>
              <w:rPr>
                <w:rFonts w:ascii="Arial" w:hAnsi="Arial" w:cs="Arial"/>
                <w:b/>
                <w:noProof/>
                <w:sz w:val="20"/>
                <w:szCs w:val="20"/>
                <w:lang w:eastAsia="es-EC"/>
              </w:rPr>
              <w:pict>
                <v:shape id="_x0000_s2014" type="#_x0000_t32" style="position:absolute;left:0;text-align:left;margin-left:221.15pt;margin-top:104.55pt;width:10.9pt;height:15.8pt;flip:x;z-index:251840000" o:connectortype="straight" strokecolor="#e36c0a [2409]">
                  <v:stroke endarrow="block"/>
                </v:shape>
              </w:pict>
            </w:r>
            <w:r>
              <w:rPr>
                <w:rFonts w:ascii="Arial" w:hAnsi="Arial" w:cs="Arial"/>
                <w:b/>
                <w:noProof/>
                <w:sz w:val="20"/>
                <w:szCs w:val="20"/>
                <w:lang w:eastAsia="es-EC"/>
              </w:rPr>
              <w:pict>
                <v:shape id="_x0000_s1213" type="#_x0000_t202" style="position:absolute;left:0;text-align:left;margin-left:93pt;margin-top:90.25pt;width:89.8pt;height:15.8pt;z-index:2514416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13;mso-fit-shape-to-text:t">
                    <w:txbxContent>
                      <w:p w:rsidR="006933DF" w:rsidRPr="004F50B3" w:rsidRDefault="006933DF" w:rsidP="00A722F8">
                        <w:pPr>
                          <w:rPr>
                            <w:rFonts w:ascii="Arial" w:hAnsi="Arial" w:cs="Arial"/>
                            <w:color w:val="D60093"/>
                            <w:sz w:val="15"/>
                            <w:szCs w:val="15"/>
                          </w:rPr>
                        </w:pPr>
                        <w:r>
                          <w:rPr>
                            <w:rFonts w:ascii="Arial" w:hAnsi="Arial" w:cs="Arial"/>
                            <w:color w:val="D60093"/>
                            <w:sz w:val="15"/>
                            <w:szCs w:val="15"/>
                          </w:rPr>
                          <w:t>No trabaja</w:t>
                        </w:r>
                      </w:p>
                    </w:txbxContent>
                  </v:textbox>
                </v:shape>
              </w:pict>
            </w:r>
            <w:r>
              <w:rPr>
                <w:rFonts w:ascii="Arial" w:hAnsi="Arial" w:cs="Arial"/>
                <w:b/>
                <w:i/>
                <w:noProof/>
                <w:sz w:val="18"/>
                <w:szCs w:val="18"/>
                <w:lang w:eastAsia="es-EC"/>
              </w:rPr>
              <w:pict>
                <v:shape id="_x0000_s2012" type="#_x0000_t32" style="position:absolute;left:0;text-align:left;margin-left:117pt;margin-top:102.3pt;width:18.3pt;height:10.4pt;flip:x;z-index:251837952" o:connectortype="straight" strokecolor="#d60093">
                  <v:stroke endarrow="block"/>
                </v:shape>
              </w:pict>
            </w:r>
            <w:r>
              <w:rPr>
                <w:rFonts w:ascii="Arial" w:hAnsi="Arial" w:cs="Arial"/>
                <w:b/>
                <w:i/>
                <w:noProof/>
                <w:sz w:val="18"/>
                <w:szCs w:val="18"/>
                <w:lang w:eastAsia="es-EC"/>
              </w:rPr>
              <w:pict>
                <v:shape id="_x0000_s1211" type="#_x0000_t202" style="position:absolute;left:0;text-align:left;margin-left:103.5pt;margin-top:32.4pt;width:89.8pt;height:15.8pt;z-index:2514396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11;mso-fit-shape-to-text:t">
                    <w:txbxContent>
                      <w:p w:rsidR="006933DF" w:rsidRPr="004F50B3" w:rsidRDefault="006933DF" w:rsidP="00A722F8">
                        <w:pPr>
                          <w:rPr>
                            <w:rFonts w:ascii="Arial" w:hAnsi="Arial" w:cs="Arial"/>
                            <w:color w:val="0070C0"/>
                            <w:sz w:val="15"/>
                            <w:szCs w:val="15"/>
                          </w:rPr>
                        </w:pPr>
                        <w:r>
                          <w:rPr>
                            <w:rFonts w:ascii="Arial" w:hAnsi="Arial" w:cs="Arial"/>
                            <w:color w:val="0070C0"/>
                            <w:sz w:val="15"/>
                            <w:szCs w:val="15"/>
                          </w:rPr>
                          <w:t>Trabaja</w:t>
                        </w:r>
                      </w:p>
                    </w:txbxContent>
                  </v:textbox>
                </v:shape>
              </w:pict>
            </w:r>
            <w:r>
              <w:rPr>
                <w:rFonts w:ascii="Arial" w:hAnsi="Arial" w:cs="Arial"/>
                <w:b/>
                <w:i/>
                <w:noProof/>
                <w:sz w:val="18"/>
                <w:szCs w:val="18"/>
                <w:lang w:eastAsia="es-EC"/>
              </w:rPr>
              <w:pict>
                <v:shape id="_x0000_s2010" type="#_x0000_t32" style="position:absolute;left:0;text-align:left;margin-left:135.3pt;margin-top:22.7pt;width:8.9pt;height:12.75pt;flip:x y;z-index:251835904" o:connectortype="straight" strokecolor="#0070c0">
                  <v:stroke endarrow="block"/>
                </v:shape>
              </w:pict>
            </w:r>
            <w:r>
              <w:rPr>
                <w:rFonts w:ascii="Arial" w:hAnsi="Arial" w:cs="Arial"/>
                <w:noProof/>
                <w:lang w:eastAsia="es-EC"/>
              </w:rPr>
              <w:pict>
                <v:shape id="_x0000_s1209" type="#_x0000_t202" style="position:absolute;left:0;text-align:left;margin-left:144.2pt;margin-top:12.55pt;width:159.1pt;height:17.9pt;z-index:25143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w:txbxContent>
                      <w:p w:rsidR="006933DF" w:rsidRPr="00C800F3" w:rsidRDefault="006933DF" w:rsidP="00A722F8">
                        <w:pPr>
                          <w:rPr>
                            <w:rFonts w:ascii="Arial" w:hAnsi="Arial" w:cs="Arial"/>
                            <w:b/>
                            <w:sz w:val="15"/>
                            <w:szCs w:val="15"/>
                          </w:rPr>
                        </w:pPr>
                        <w:r>
                          <w:rPr>
                            <w:rFonts w:ascii="Arial" w:hAnsi="Arial" w:cs="Arial"/>
                            <w:b/>
                            <w:sz w:val="15"/>
                            <w:szCs w:val="15"/>
                          </w:rPr>
                          <w:t>Hombre</w:t>
                        </w:r>
                      </w:p>
                    </w:txbxContent>
                  </v:textbox>
                </v:shape>
              </w:pict>
            </w:r>
            <w:r w:rsidR="00A722F8">
              <w:rPr>
                <w:noProof/>
                <w:lang w:eastAsia="es-EC"/>
              </w:rPr>
              <w:drawing>
                <wp:inline distT="0" distB="0" distL="0" distR="0">
                  <wp:extent cx="4211955" cy="2115820"/>
                  <wp:effectExtent l="0" t="0" r="0" b="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722F8" w:rsidRDefault="00A722F8" w:rsidP="003F1262">
            <w:pPr>
              <w:rPr>
                <w:rFonts w:ascii="Arial" w:hAnsi="Arial" w:cs="Arial"/>
                <w:b/>
                <w:sz w:val="16"/>
                <w:szCs w:val="16"/>
              </w:rPr>
            </w:pPr>
          </w:p>
          <w:p w:rsidR="00A722F8" w:rsidRPr="0087184F" w:rsidRDefault="00436907" w:rsidP="003F1262">
            <w:pPr>
              <w:rPr>
                <w:rFonts w:ascii="Arial" w:hAnsi="Arial" w:cs="Arial"/>
                <w:b/>
                <w:sz w:val="16"/>
                <w:szCs w:val="16"/>
              </w:rPr>
            </w:pPr>
            <w:r>
              <w:rPr>
                <w:rFonts w:ascii="Arial" w:hAnsi="Arial" w:cs="Arial"/>
                <w:b/>
                <w:noProof/>
                <w:sz w:val="16"/>
                <w:szCs w:val="16"/>
                <w:lang w:eastAsia="es-EC"/>
              </w:rPr>
              <w:pict>
                <v:shape id="_x0000_s1228" type="#_x0000_t202" style="position:absolute;left:0;text-align:left;margin-left:100.5pt;margin-top:89.1pt;width:89.8pt;height:15.8pt;z-index:2514570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28;mso-fit-shape-to-text:t">
                    <w:txbxContent>
                      <w:p w:rsidR="006933DF" w:rsidRPr="004F50B3" w:rsidRDefault="006933DF" w:rsidP="00A722F8">
                        <w:pPr>
                          <w:rPr>
                            <w:rFonts w:ascii="Arial" w:hAnsi="Arial" w:cs="Arial"/>
                            <w:color w:val="E36C0A" w:themeColor="accent6" w:themeShade="BF"/>
                            <w:sz w:val="15"/>
                            <w:szCs w:val="15"/>
                          </w:rPr>
                        </w:pPr>
                        <w:r>
                          <w:rPr>
                            <w:rFonts w:ascii="Arial" w:hAnsi="Arial" w:cs="Arial"/>
                            <w:color w:val="E36C0A" w:themeColor="accent6" w:themeShade="BF"/>
                            <w:sz w:val="15"/>
                            <w:szCs w:val="15"/>
                          </w:rPr>
                          <w:t>Busca trabajo</w:t>
                        </w:r>
                      </w:p>
                    </w:txbxContent>
                  </v:textbox>
                </v:shape>
              </w:pict>
            </w:r>
            <w:r>
              <w:rPr>
                <w:rFonts w:ascii="Arial" w:hAnsi="Arial" w:cs="Arial"/>
                <w:b/>
                <w:noProof/>
                <w:sz w:val="16"/>
                <w:szCs w:val="16"/>
                <w:lang w:eastAsia="es-EC"/>
              </w:rPr>
              <w:pict>
                <v:shape id="_x0000_s2015" type="#_x0000_t32" style="position:absolute;left:0;text-align:left;margin-left:130.6pt;margin-top:101.9pt;width:8.45pt;height:15.8pt;flip:x;z-index:251841024" o:connectortype="straight" strokecolor="#e36c0a [2409]">
                  <v:stroke endarrow="block"/>
                </v:shape>
              </w:pict>
            </w:r>
            <w:r>
              <w:rPr>
                <w:rFonts w:ascii="Arial" w:hAnsi="Arial" w:cs="Arial"/>
                <w:b/>
                <w:noProof/>
                <w:sz w:val="16"/>
                <w:szCs w:val="16"/>
                <w:lang w:eastAsia="es-EC"/>
              </w:rPr>
              <w:pict>
                <v:shape id="_x0000_s1229" type="#_x0000_t202" style="position:absolute;left:0;text-align:left;margin-left:248.3pt;margin-top:28.1pt;width:89.8pt;height:15.8pt;z-index:2514580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29;mso-fit-shape-to-text:t">
                    <w:txbxContent>
                      <w:p w:rsidR="006933DF" w:rsidRPr="004F50B3" w:rsidRDefault="006933DF" w:rsidP="00A722F8">
                        <w:pPr>
                          <w:rPr>
                            <w:rFonts w:ascii="Arial" w:hAnsi="Arial" w:cs="Arial"/>
                            <w:color w:val="D60093"/>
                            <w:sz w:val="15"/>
                            <w:szCs w:val="15"/>
                          </w:rPr>
                        </w:pPr>
                        <w:r>
                          <w:rPr>
                            <w:rFonts w:ascii="Arial" w:hAnsi="Arial" w:cs="Arial"/>
                            <w:color w:val="D60093"/>
                            <w:sz w:val="15"/>
                            <w:szCs w:val="15"/>
                          </w:rPr>
                          <w:t>No trabaja</w:t>
                        </w:r>
                      </w:p>
                    </w:txbxContent>
                  </v:textbox>
                </v:shape>
              </w:pict>
            </w:r>
            <w:r>
              <w:rPr>
                <w:rFonts w:ascii="Arial" w:hAnsi="Arial" w:cs="Arial"/>
                <w:b/>
                <w:noProof/>
                <w:sz w:val="16"/>
                <w:szCs w:val="16"/>
                <w:lang w:eastAsia="es-EC"/>
              </w:rPr>
              <w:pict>
                <v:shape id="_x0000_s2013" type="#_x0000_t32" style="position:absolute;left:0;text-align:left;margin-left:278.55pt;margin-top:19.4pt;width:11.25pt;height:12.45pt;flip:x y;z-index:251838976" o:connectortype="straight" strokecolor="#d60093">
                  <v:stroke endarrow="block"/>
                </v:shape>
              </w:pict>
            </w:r>
            <w:r>
              <w:rPr>
                <w:rFonts w:ascii="Arial" w:hAnsi="Arial" w:cs="Arial"/>
                <w:b/>
                <w:noProof/>
                <w:sz w:val="16"/>
                <w:szCs w:val="16"/>
                <w:lang w:eastAsia="es-EC"/>
              </w:rPr>
              <w:pict>
                <v:shape id="_x0000_s1227" type="#_x0000_t202" style="position:absolute;left:0;text-align:left;margin-left:117pt;margin-top:37.8pt;width:89.8pt;height:15.8pt;z-index:2514560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27;mso-fit-shape-to-text:t">
                    <w:txbxContent>
                      <w:p w:rsidR="006933DF" w:rsidRPr="004F50B3" w:rsidRDefault="006933DF" w:rsidP="00A722F8">
                        <w:pPr>
                          <w:rPr>
                            <w:rFonts w:ascii="Arial" w:hAnsi="Arial" w:cs="Arial"/>
                            <w:color w:val="0070C0"/>
                            <w:sz w:val="15"/>
                            <w:szCs w:val="15"/>
                          </w:rPr>
                        </w:pPr>
                        <w:r>
                          <w:rPr>
                            <w:rFonts w:ascii="Arial" w:hAnsi="Arial" w:cs="Arial"/>
                            <w:color w:val="0070C0"/>
                            <w:sz w:val="15"/>
                            <w:szCs w:val="15"/>
                          </w:rPr>
                          <w:t>Trabaja</w:t>
                        </w:r>
                      </w:p>
                    </w:txbxContent>
                  </v:textbox>
                </v:shape>
              </w:pict>
            </w:r>
            <w:r>
              <w:rPr>
                <w:rFonts w:ascii="Arial" w:hAnsi="Arial" w:cs="Arial"/>
                <w:b/>
                <w:noProof/>
                <w:sz w:val="16"/>
                <w:szCs w:val="16"/>
                <w:lang w:eastAsia="es-EC"/>
              </w:rPr>
              <w:pict>
                <v:shape id="_x0000_s2011" type="#_x0000_t32" style="position:absolute;left:0;text-align:left;margin-left:154.8pt;margin-top:50.55pt;width:5.25pt;height:15.8pt;flip:x;z-index:251836928" o:connectortype="straight" strokecolor="#0070c0">
                  <v:stroke endarrow="block"/>
                </v:shape>
              </w:pict>
            </w:r>
            <w:r>
              <w:rPr>
                <w:rFonts w:ascii="Arial" w:hAnsi="Arial" w:cs="Arial"/>
                <w:noProof/>
                <w:lang w:eastAsia="es-EC"/>
              </w:rPr>
              <w:pict>
                <v:shape id="_x0000_s1210" type="#_x0000_t202" style="position:absolute;left:0;text-align:left;margin-left:103.75pt;margin-top:13.95pt;width:166.5pt;height:17.9pt;z-index:25143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w:txbxContent>
                      <w:p w:rsidR="006933DF" w:rsidRPr="00C800F3" w:rsidRDefault="006933DF" w:rsidP="00A722F8">
                        <w:pPr>
                          <w:rPr>
                            <w:rFonts w:ascii="Arial" w:hAnsi="Arial" w:cs="Arial"/>
                            <w:b/>
                            <w:sz w:val="15"/>
                            <w:szCs w:val="15"/>
                          </w:rPr>
                        </w:pPr>
                        <w:r>
                          <w:rPr>
                            <w:rFonts w:ascii="Arial" w:hAnsi="Arial" w:cs="Arial"/>
                            <w:b/>
                            <w:sz w:val="15"/>
                            <w:szCs w:val="15"/>
                          </w:rPr>
                          <w:t>Mujer</w:t>
                        </w:r>
                      </w:p>
                    </w:txbxContent>
                  </v:textbox>
                </v:shape>
              </w:pict>
            </w:r>
            <w:r w:rsidR="00A722F8">
              <w:rPr>
                <w:noProof/>
                <w:lang w:eastAsia="es-EC"/>
              </w:rPr>
              <w:drawing>
                <wp:inline distT="0" distB="0" distL="0" distR="0">
                  <wp:extent cx="4211955" cy="2115820"/>
                  <wp:effectExtent l="0" t="0" r="0" b="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A722F8" w:rsidRPr="00844C52" w:rsidRDefault="00A722F8" w:rsidP="00844C52">
      <w:pPr>
        <w:pStyle w:val="Prrafodelista"/>
        <w:spacing w:line="276" w:lineRule="auto"/>
        <w:ind w:left="851"/>
        <w:jc w:val="both"/>
        <w:rPr>
          <w:rFonts w:ascii="Arial" w:hAnsi="Arial" w:cs="Arial"/>
          <w:sz w:val="17"/>
          <w:szCs w:val="17"/>
        </w:rPr>
      </w:pPr>
    </w:p>
    <w:p w:rsidR="00A722F8" w:rsidRPr="00844C52" w:rsidRDefault="00A722F8" w:rsidP="00844C52">
      <w:pPr>
        <w:pStyle w:val="Prrafodelista"/>
        <w:spacing w:line="276" w:lineRule="auto"/>
        <w:ind w:left="851"/>
        <w:jc w:val="both"/>
        <w:rPr>
          <w:rFonts w:ascii="Arial" w:hAnsi="Arial" w:cs="Arial"/>
          <w:sz w:val="17"/>
          <w:szCs w:val="17"/>
        </w:rPr>
      </w:pPr>
      <w:r w:rsidRPr="00844C52">
        <w:rPr>
          <w:rFonts w:ascii="Arial" w:hAnsi="Arial" w:cs="Arial"/>
          <w:b/>
          <w:i/>
          <w:sz w:val="17"/>
          <w:szCs w:val="17"/>
        </w:rPr>
        <w:t>Fuente:</w:t>
      </w:r>
      <w:r w:rsidRPr="00844C52">
        <w:rPr>
          <w:rFonts w:ascii="Arial" w:hAnsi="Arial" w:cs="Arial"/>
          <w:sz w:val="17"/>
          <w:szCs w:val="17"/>
        </w:rPr>
        <w:t xml:space="preserve"> </w:t>
      </w:r>
      <w:r w:rsidRPr="00844C52">
        <w:rPr>
          <w:rFonts w:ascii="Arial" w:hAnsi="Arial" w:cs="Arial"/>
          <w:b/>
          <w:sz w:val="17"/>
          <w:szCs w:val="17"/>
        </w:rPr>
        <w:t xml:space="preserve">INEC </w:t>
      </w:r>
      <w:r w:rsidRPr="00844C52">
        <w:rPr>
          <w:rFonts w:ascii="Arial" w:hAnsi="Arial" w:cs="Arial"/>
          <w:sz w:val="17"/>
          <w:szCs w:val="17"/>
        </w:rPr>
        <w:t>(2010), Base de Datos del VII Censo de Población y VI de Vivienda.</w:t>
      </w:r>
    </w:p>
    <w:p w:rsidR="00A722F8" w:rsidRPr="00844C52" w:rsidRDefault="00A722F8" w:rsidP="00844C52">
      <w:pPr>
        <w:pStyle w:val="Prrafodelista"/>
        <w:spacing w:line="276" w:lineRule="auto"/>
        <w:ind w:left="851"/>
        <w:jc w:val="both"/>
        <w:rPr>
          <w:rFonts w:ascii="Arial" w:hAnsi="Arial" w:cs="Arial"/>
          <w:sz w:val="17"/>
          <w:szCs w:val="17"/>
        </w:rPr>
      </w:pPr>
      <w:r w:rsidRPr="00844C52">
        <w:rPr>
          <w:rFonts w:ascii="Arial" w:hAnsi="Arial" w:cs="Arial"/>
          <w:b/>
          <w:i/>
          <w:sz w:val="17"/>
          <w:szCs w:val="17"/>
        </w:rPr>
        <w:t>Elaborado por:</w:t>
      </w:r>
      <w:r w:rsidRPr="00844C52">
        <w:rPr>
          <w:rFonts w:ascii="Arial" w:hAnsi="Arial" w:cs="Arial"/>
          <w:sz w:val="17"/>
          <w:szCs w:val="17"/>
        </w:rPr>
        <w:t xml:space="preserve"> Katherine Loor Valeriano</w:t>
      </w:r>
    </w:p>
    <w:p w:rsidR="00A722F8" w:rsidRDefault="00A722F8" w:rsidP="00A722F8">
      <w:pPr>
        <w:pStyle w:val="Prrafodelista"/>
        <w:spacing w:line="480" w:lineRule="auto"/>
        <w:ind w:left="567"/>
        <w:jc w:val="both"/>
        <w:rPr>
          <w:rFonts w:ascii="Arial" w:hAnsi="Arial" w:cs="Arial"/>
        </w:rPr>
      </w:pPr>
    </w:p>
    <w:p w:rsidR="00A722F8" w:rsidRPr="003024FB" w:rsidRDefault="00A722F8" w:rsidP="0041640C">
      <w:pPr>
        <w:pStyle w:val="TesisTitulo20"/>
        <w:numPr>
          <w:ilvl w:val="2"/>
          <w:numId w:val="9"/>
        </w:numPr>
        <w:ind w:left="851" w:firstLine="0"/>
      </w:pPr>
      <w:bookmarkStart w:id="337" w:name="_Toc339212707"/>
      <w:bookmarkStart w:id="338" w:name="_Toc341040635"/>
      <w:r w:rsidRPr="003024FB">
        <w:t>Tasa de participación económica de los inmigrantes residentes en Guayaquil.</w:t>
      </w:r>
      <w:bookmarkEnd w:id="337"/>
      <w:bookmarkEnd w:id="338"/>
    </w:p>
    <w:p w:rsidR="00A722F8" w:rsidRPr="003024FB" w:rsidRDefault="00A722F8" w:rsidP="009C7473">
      <w:pPr>
        <w:pStyle w:val="Prrafodelista"/>
        <w:spacing w:line="480" w:lineRule="auto"/>
        <w:ind w:left="851"/>
        <w:jc w:val="both"/>
        <w:rPr>
          <w:rFonts w:ascii="Arial" w:hAnsi="Arial" w:cs="Arial"/>
        </w:rPr>
      </w:pPr>
      <w:r w:rsidRPr="003024FB">
        <w:rPr>
          <w:rFonts w:ascii="Arial" w:hAnsi="Arial" w:cs="Arial"/>
        </w:rPr>
        <w:t xml:space="preserve">Como vimos en sección precedente, la tasa de participación económica se expresa como la razón entre el total de personas mayores de 15 años que </w:t>
      </w:r>
      <w:r w:rsidRPr="003024FB">
        <w:rPr>
          <w:rFonts w:ascii="Arial" w:hAnsi="Arial" w:cs="Arial"/>
        </w:rPr>
        <w:lastRenderedPageBreak/>
        <w:t>trabajan o buscan trabajo y el total de personas de 15 años y más que residen en la ciudad. Que para Guayaquil esta tasa es 60.40, es decir, que el 60.40% de la población mayor de 15 años residente en este cantón de la provincia del Guayas está involucrada en las actividades económicas; los mismos que se desglosan de la siguiente manera, el 38.70% de la participación es de los nativos (guayaquileños que residen habitualmente en Guayaquil), el 21% es de los inmigrantes desde otras provincias del país y el porcentaje restante es por parte de los extranjeros residentes en Guayaquil. Como dato adicional, se conoce que de todos los inmigrantes ecuatorianos residentes en Guayaquil y mayores de 15 años, el 62% trabajó la semana antes del censo o estaba buscando trabajo.</w:t>
      </w:r>
    </w:p>
    <w:p w:rsidR="00A722F8" w:rsidRPr="003024FB" w:rsidRDefault="00A722F8" w:rsidP="009C7473">
      <w:pPr>
        <w:pStyle w:val="Prrafodelista"/>
        <w:spacing w:line="480" w:lineRule="auto"/>
        <w:ind w:left="851"/>
        <w:jc w:val="both"/>
        <w:rPr>
          <w:rFonts w:ascii="Arial" w:hAnsi="Arial" w:cs="Arial"/>
        </w:rPr>
      </w:pPr>
    </w:p>
    <w:p w:rsidR="00A722F8" w:rsidRDefault="00A722F8" w:rsidP="009C7473">
      <w:pPr>
        <w:pStyle w:val="Prrafodelista"/>
        <w:spacing w:line="480" w:lineRule="auto"/>
        <w:ind w:left="851"/>
        <w:jc w:val="both"/>
        <w:rPr>
          <w:rFonts w:ascii="Arial" w:hAnsi="Arial" w:cs="Arial"/>
        </w:rPr>
      </w:pPr>
      <w:r w:rsidRPr="003024FB">
        <w:rPr>
          <w:rFonts w:ascii="Arial" w:hAnsi="Arial" w:cs="Arial"/>
        </w:rPr>
        <w:t xml:space="preserve">El 21% de la participación económica originada por los inmigrantes residentes en Guayaquil y que provienen desde otras provincias del país, se desglosa en la </w:t>
      </w:r>
      <w:r w:rsidRPr="000158A3">
        <w:rPr>
          <w:rFonts w:ascii="Arial" w:hAnsi="Arial" w:cs="Arial"/>
          <w:i/>
        </w:rPr>
        <w:t>Tabla 2.1</w:t>
      </w:r>
      <w:r w:rsidR="009C7473">
        <w:rPr>
          <w:rFonts w:ascii="Arial" w:hAnsi="Arial" w:cs="Arial"/>
          <w:i/>
        </w:rPr>
        <w:t>7</w:t>
      </w:r>
      <w:r w:rsidRPr="003024FB">
        <w:rPr>
          <w:rFonts w:ascii="Arial" w:hAnsi="Arial" w:cs="Arial"/>
        </w:rPr>
        <w:t>, donde podemos notar que el 7.</w:t>
      </w:r>
      <w:r w:rsidR="009C7473">
        <w:rPr>
          <w:rFonts w:ascii="Arial" w:hAnsi="Arial" w:cs="Arial"/>
        </w:rPr>
        <w:t>1</w:t>
      </w:r>
      <w:r w:rsidRPr="003024FB">
        <w:rPr>
          <w:rFonts w:ascii="Arial" w:hAnsi="Arial" w:cs="Arial"/>
        </w:rPr>
        <w:t xml:space="preserve">8% es la participación de los manabitas, siendo esta la mayor de todas, el 3.18% de los inmigrantes adultos que trabajan o buscan trabajo </w:t>
      </w:r>
      <w:r w:rsidR="009C7473">
        <w:rPr>
          <w:rFonts w:ascii="Arial" w:hAnsi="Arial" w:cs="Arial"/>
        </w:rPr>
        <w:t>son nativos</w:t>
      </w:r>
      <w:r w:rsidRPr="003024FB">
        <w:rPr>
          <w:rFonts w:ascii="Arial" w:hAnsi="Arial" w:cs="Arial"/>
        </w:rPr>
        <w:t xml:space="preserve"> de Los Ríos, el 3.12% es por parte de las personas nacidas en otros cantones del Guayas, el 1.67% </w:t>
      </w:r>
      <w:r w:rsidR="009C7473">
        <w:rPr>
          <w:rFonts w:ascii="Arial" w:hAnsi="Arial" w:cs="Arial"/>
        </w:rPr>
        <w:t xml:space="preserve">son </w:t>
      </w:r>
      <w:r w:rsidRPr="003024FB">
        <w:rPr>
          <w:rFonts w:ascii="Arial" w:hAnsi="Arial" w:cs="Arial"/>
        </w:rPr>
        <w:t xml:space="preserve">de los provenientes de Esmeraldas; </w:t>
      </w:r>
      <w:r w:rsidR="009C7473">
        <w:rPr>
          <w:rFonts w:ascii="Arial" w:hAnsi="Arial" w:cs="Arial"/>
        </w:rPr>
        <w:t>y, el</w:t>
      </w:r>
      <w:r w:rsidRPr="003024FB">
        <w:rPr>
          <w:rFonts w:ascii="Arial" w:hAnsi="Arial" w:cs="Arial"/>
        </w:rPr>
        <w:t xml:space="preserve"> 1.38% de </w:t>
      </w:r>
      <w:r w:rsidR="009C7473">
        <w:rPr>
          <w:rFonts w:ascii="Arial" w:hAnsi="Arial" w:cs="Arial"/>
        </w:rPr>
        <w:t>e</w:t>
      </w:r>
      <w:r w:rsidRPr="003024FB">
        <w:rPr>
          <w:rFonts w:ascii="Arial" w:hAnsi="Arial" w:cs="Arial"/>
        </w:rPr>
        <w:t>sta participación la producen los inmigrantes provenientes del Chimborazo. Las demás provincias presentan una tasa de participación en la econo</w:t>
      </w:r>
      <w:r w:rsidR="009C7473">
        <w:rPr>
          <w:rFonts w:ascii="Arial" w:hAnsi="Arial" w:cs="Arial"/>
        </w:rPr>
        <w:t>mía guayaquileña inferior al 1%; c</w:t>
      </w:r>
      <w:r w:rsidRPr="003024FB">
        <w:rPr>
          <w:rFonts w:ascii="Arial" w:hAnsi="Arial" w:cs="Arial"/>
        </w:rPr>
        <w:t xml:space="preserve">abe </w:t>
      </w:r>
      <w:r w:rsidR="009C7473">
        <w:rPr>
          <w:rFonts w:ascii="Arial" w:hAnsi="Arial" w:cs="Arial"/>
        </w:rPr>
        <w:t>resaltar</w:t>
      </w:r>
      <w:r w:rsidRPr="003024FB">
        <w:rPr>
          <w:rFonts w:ascii="Arial" w:hAnsi="Arial" w:cs="Arial"/>
        </w:rPr>
        <w:t xml:space="preserve"> que la participación</w:t>
      </w:r>
      <w:r w:rsidR="009C7473">
        <w:rPr>
          <w:rFonts w:ascii="Arial" w:hAnsi="Arial" w:cs="Arial"/>
        </w:rPr>
        <w:t xml:space="preserve"> económica</w:t>
      </w:r>
      <w:r w:rsidRPr="003024FB">
        <w:rPr>
          <w:rFonts w:ascii="Arial" w:hAnsi="Arial" w:cs="Arial"/>
        </w:rPr>
        <w:t xml:space="preserve"> de los inmigrantes provenientes de las Zonas no Delimitadas no es cero, pero con cuatro decimales de precisión es</w:t>
      </w:r>
      <w:r w:rsidR="009C7473">
        <w:rPr>
          <w:rFonts w:ascii="Arial" w:hAnsi="Arial" w:cs="Arial"/>
        </w:rPr>
        <w:t xml:space="preserve"> 0.0005.</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9C7473">
        <w:trPr>
          <w:trHeight w:val="3949"/>
          <w:jc w:val="right"/>
        </w:trPr>
        <w:tc>
          <w:tcPr>
            <w:tcW w:w="7497" w:type="dxa"/>
          </w:tcPr>
          <w:p w:rsidR="00A722F8" w:rsidRDefault="00A722F8" w:rsidP="003F1262">
            <w:pPr>
              <w:rPr>
                <w:rFonts w:ascii="Arial" w:hAnsi="Arial" w:cs="Arial"/>
                <w:b/>
                <w:sz w:val="16"/>
                <w:szCs w:val="16"/>
              </w:rPr>
            </w:pPr>
          </w:p>
          <w:p w:rsidR="008637C8" w:rsidRPr="008637C8" w:rsidRDefault="008637C8" w:rsidP="008637C8">
            <w:pPr>
              <w:pStyle w:val="Epgrafe"/>
              <w:rPr>
                <w:rFonts w:ascii="Arial" w:hAnsi="Arial" w:cs="Arial"/>
                <w:bCs w:val="0"/>
                <w:color w:val="auto"/>
                <w:sz w:val="16"/>
                <w:szCs w:val="16"/>
              </w:rPr>
            </w:pPr>
            <w:bookmarkStart w:id="339" w:name="_Toc341041592"/>
            <w:r>
              <w:rPr>
                <w:rFonts w:ascii="Arial" w:hAnsi="Arial" w:cs="Arial"/>
                <w:bCs w:val="0"/>
                <w:color w:val="auto"/>
                <w:sz w:val="16"/>
                <w:szCs w:val="16"/>
              </w:rPr>
              <w:t>Tabla 2.</w:t>
            </w:r>
            <w:r w:rsidR="00990535" w:rsidRPr="008637C8">
              <w:rPr>
                <w:rFonts w:ascii="Arial" w:hAnsi="Arial" w:cs="Arial"/>
                <w:bCs w:val="0"/>
                <w:color w:val="auto"/>
                <w:sz w:val="16"/>
                <w:szCs w:val="16"/>
              </w:rPr>
              <w:fldChar w:fldCharType="begin"/>
            </w:r>
            <w:r w:rsidRPr="008637C8">
              <w:rPr>
                <w:rFonts w:ascii="Arial" w:hAnsi="Arial" w:cs="Arial"/>
                <w:bCs w:val="0"/>
                <w:color w:val="auto"/>
                <w:sz w:val="16"/>
                <w:szCs w:val="16"/>
              </w:rPr>
              <w:instrText xml:space="preserve"> SEQ Tabla2. \* ARABIC </w:instrText>
            </w:r>
            <w:r w:rsidR="00990535" w:rsidRPr="008637C8">
              <w:rPr>
                <w:rFonts w:ascii="Arial" w:hAnsi="Arial" w:cs="Arial"/>
                <w:bCs w:val="0"/>
                <w:color w:val="auto"/>
                <w:sz w:val="16"/>
                <w:szCs w:val="16"/>
              </w:rPr>
              <w:fldChar w:fldCharType="separate"/>
            </w:r>
            <w:r w:rsidR="00A242E0">
              <w:rPr>
                <w:rFonts w:ascii="Arial" w:hAnsi="Arial" w:cs="Arial"/>
                <w:bCs w:val="0"/>
                <w:noProof/>
                <w:color w:val="auto"/>
                <w:sz w:val="16"/>
                <w:szCs w:val="16"/>
              </w:rPr>
              <w:t>17</w:t>
            </w:r>
            <w:bookmarkEnd w:id="339"/>
            <w:r w:rsidR="00990535" w:rsidRPr="008637C8">
              <w:rPr>
                <w:rFonts w:ascii="Arial" w:hAnsi="Arial" w:cs="Arial"/>
                <w:bCs w:val="0"/>
                <w:color w:val="auto"/>
                <w:sz w:val="16"/>
                <w:szCs w:val="16"/>
              </w:rPr>
              <w:fldChar w:fldCharType="end"/>
            </w:r>
          </w:p>
          <w:p w:rsidR="009C7473" w:rsidRDefault="009C7473" w:rsidP="003F1262">
            <w:pPr>
              <w:rPr>
                <w:rFonts w:ascii="Arial" w:hAnsi="Arial" w:cs="Arial"/>
                <w:i/>
                <w:sz w:val="16"/>
                <w:szCs w:val="16"/>
              </w:rPr>
            </w:pPr>
            <w:r>
              <w:rPr>
                <w:rFonts w:ascii="Arial" w:hAnsi="Arial" w:cs="Arial"/>
                <w:b/>
                <w:i/>
                <w:sz w:val="16"/>
                <w:szCs w:val="16"/>
              </w:rPr>
              <w:t xml:space="preserve">Guayaquil 2010: </w:t>
            </w:r>
            <w:r w:rsidR="00A722F8" w:rsidRPr="000158A3">
              <w:rPr>
                <w:rFonts w:ascii="Arial" w:hAnsi="Arial" w:cs="Arial"/>
                <w:i/>
                <w:sz w:val="16"/>
                <w:szCs w:val="16"/>
              </w:rPr>
              <w:t xml:space="preserve">Tasa de participación económica de los Inmigrantes </w:t>
            </w:r>
          </w:p>
          <w:p w:rsidR="00A722F8" w:rsidRPr="000158A3" w:rsidRDefault="009C7473" w:rsidP="003F1262">
            <w:pPr>
              <w:rPr>
                <w:rFonts w:ascii="Arial" w:hAnsi="Arial" w:cs="Arial"/>
                <w:i/>
                <w:sz w:val="16"/>
                <w:szCs w:val="16"/>
              </w:rPr>
            </w:pPr>
            <w:r>
              <w:rPr>
                <w:rFonts w:ascii="Arial" w:hAnsi="Arial" w:cs="Arial"/>
                <w:i/>
                <w:sz w:val="16"/>
                <w:szCs w:val="16"/>
              </w:rPr>
              <w:t>por cada 100 habitantes mayores de 15 años</w:t>
            </w:r>
          </w:p>
          <w:p w:rsidR="00A722F8" w:rsidRPr="00ED0337" w:rsidRDefault="00A722F8" w:rsidP="003F1262">
            <w:pPr>
              <w:rPr>
                <w:noProof/>
                <w:sz w:val="16"/>
                <w:szCs w:val="16"/>
                <w:lang w:eastAsia="es-EC"/>
              </w:rPr>
            </w:pPr>
            <w:r w:rsidRPr="00ED0337">
              <w:rPr>
                <w:noProof/>
                <w:sz w:val="16"/>
                <w:szCs w:val="16"/>
                <w:lang w:eastAsia="es-EC"/>
              </w:rPr>
              <w:t xml:space="preserve"> </w:t>
            </w:r>
          </w:p>
          <w:tbl>
            <w:tblPr>
              <w:tblW w:w="6519" w:type="dxa"/>
              <w:jc w:val="center"/>
              <w:tblCellMar>
                <w:left w:w="70" w:type="dxa"/>
                <w:right w:w="70" w:type="dxa"/>
              </w:tblCellMar>
              <w:tblLook w:val="04A0" w:firstRow="1" w:lastRow="0" w:firstColumn="1" w:lastColumn="0" w:noHBand="0" w:noVBand="1"/>
            </w:tblPr>
            <w:tblGrid>
              <w:gridCol w:w="1134"/>
              <w:gridCol w:w="1814"/>
              <w:gridCol w:w="1757"/>
              <w:gridCol w:w="1814"/>
            </w:tblGrid>
            <w:tr w:rsidR="00A722F8" w:rsidRPr="00914397" w:rsidTr="003F1262">
              <w:trPr>
                <w:trHeight w:val="20"/>
                <w:jc w:val="center"/>
              </w:trPr>
              <w:tc>
                <w:tcPr>
                  <w:tcW w:w="1134" w:type="dxa"/>
                  <w:tcBorders>
                    <w:top w:val="single" w:sz="4" w:space="0" w:color="auto"/>
                    <w:left w:val="nil"/>
                    <w:bottom w:val="single" w:sz="4" w:space="0" w:color="auto"/>
                    <w:right w:val="nil"/>
                  </w:tcBorders>
                  <w:shd w:val="clear" w:color="auto" w:fill="auto"/>
                  <w:vAlign w:val="center"/>
                  <w:hideMark/>
                </w:tcPr>
                <w:p w:rsidR="00A722F8" w:rsidRPr="00914397" w:rsidRDefault="00A722F8" w:rsidP="003F1262">
                  <w:pPr>
                    <w:rPr>
                      <w:rFonts w:ascii="Arial" w:eastAsia="Times New Roman" w:hAnsi="Arial" w:cs="Arial"/>
                      <w:b/>
                      <w:bCs/>
                      <w:sz w:val="16"/>
                      <w:szCs w:val="16"/>
                      <w:lang w:eastAsia="es-EC"/>
                    </w:rPr>
                  </w:pPr>
                  <w:r w:rsidRPr="00914397">
                    <w:rPr>
                      <w:rFonts w:ascii="Arial" w:eastAsia="Times New Roman" w:hAnsi="Arial" w:cs="Arial"/>
                      <w:b/>
                      <w:bCs/>
                      <w:sz w:val="16"/>
                      <w:szCs w:val="16"/>
                      <w:lang w:eastAsia="es-EC"/>
                    </w:rPr>
                    <w:t>Provincia de nacimiento</w:t>
                  </w:r>
                </w:p>
              </w:tc>
              <w:tc>
                <w:tcPr>
                  <w:tcW w:w="1814" w:type="dxa"/>
                  <w:tcBorders>
                    <w:top w:val="single" w:sz="4" w:space="0" w:color="auto"/>
                    <w:left w:val="nil"/>
                    <w:bottom w:val="single" w:sz="4" w:space="0" w:color="auto"/>
                    <w:right w:val="nil"/>
                  </w:tcBorders>
                  <w:shd w:val="clear" w:color="auto" w:fill="auto"/>
                  <w:vAlign w:val="center"/>
                  <w:hideMark/>
                </w:tcPr>
                <w:p w:rsidR="00A722F8" w:rsidRPr="00914397" w:rsidRDefault="00A722F8" w:rsidP="003F1262">
                  <w:pPr>
                    <w:rPr>
                      <w:rFonts w:ascii="Arial" w:eastAsia="Times New Roman" w:hAnsi="Arial" w:cs="Arial"/>
                      <w:b/>
                      <w:bCs/>
                      <w:sz w:val="16"/>
                      <w:szCs w:val="16"/>
                      <w:lang w:eastAsia="es-EC"/>
                    </w:rPr>
                  </w:pPr>
                  <w:r w:rsidRPr="00914397">
                    <w:rPr>
                      <w:rFonts w:ascii="Arial" w:eastAsia="Times New Roman" w:hAnsi="Arial" w:cs="Arial"/>
                      <w:b/>
                      <w:bCs/>
                      <w:sz w:val="16"/>
                      <w:szCs w:val="16"/>
                      <w:lang w:eastAsia="es-EC"/>
                    </w:rPr>
                    <w:t>Tasa de participación económica</w:t>
                  </w:r>
                </w:p>
              </w:tc>
              <w:tc>
                <w:tcPr>
                  <w:tcW w:w="1757" w:type="dxa"/>
                  <w:tcBorders>
                    <w:top w:val="single" w:sz="4" w:space="0" w:color="auto"/>
                    <w:left w:val="single" w:sz="4" w:space="0" w:color="auto"/>
                    <w:bottom w:val="single" w:sz="4" w:space="0" w:color="auto"/>
                    <w:right w:val="nil"/>
                  </w:tcBorders>
                  <w:shd w:val="clear" w:color="auto" w:fill="auto"/>
                  <w:vAlign w:val="center"/>
                  <w:hideMark/>
                </w:tcPr>
                <w:p w:rsidR="00A722F8" w:rsidRPr="00914397" w:rsidRDefault="00A722F8" w:rsidP="003F1262">
                  <w:pPr>
                    <w:rPr>
                      <w:rFonts w:ascii="Arial" w:eastAsia="Times New Roman" w:hAnsi="Arial" w:cs="Arial"/>
                      <w:b/>
                      <w:bCs/>
                      <w:sz w:val="16"/>
                      <w:szCs w:val="16"/>
                      <w:lang w:eastAsia="es-EC"/>
                    </w:rPr>
                  </w:pPr>
                  <w:r w:rsidRPr="00914397">
                    <w:rPr>
                      <w:rFonts w:ascii="Arial" w:eastAsia="Times New Roman" w:hAnsi="Arial" w:cs="Arial"/>
                      <w:b/>
                      <w:bCs/>
                      <w:sz w:val="16"/>
                      <w:szCs w:val="16"/>
                      <w:lang w:eastAsia="es-EC"/>
                    </w:rPr>
                    <w:t>Provincia de nacimiento</w:t>
                  </w:r>
                </w:p>
              </w:tc>
              <w:tc>
                <w:tcPr>
                  <w:tcW w:w="1814" w:type="dxa"/>
                  <w:tcBorders>
                    <w:top w:val="single" w:sz="4" w:space="0" w:color="auto"/>
                    <w:left w:val="nil"/>
                    <w:bottom w:val="single" w:sz="4" w:space="0" w:color="auto"/>
                    <w:right w:val="nil"/>
                  </w:tcBorders>
                  <w:shd w:val="clear" w:color="auto" w:fill="auto"/>
                  <w:vAlign w:val="center"/>
                  <w:hideMark/>
                </w:tcPr>
                <w:p w:rsidR="00A722F8" w:rsidRPr="00914397" w:rsidRDefault="00A722F8" w:rsidP="003F1262">
                  <w:pPr>
                    <w:rPr>
                      <w:rFonts w:ascii="Arial" w:eastAsia="Times New Roman" w:hAnsi="Arial" w:cs="Arial"/>
                      <w:b/>
                      <w:bCs/>
                      <w:sz w:val="16"/>
                      <w:szCs w:val="16"/>
                      <w:lang w:eastAsia="es-EC"/>
                    </w:rPr>
                  </w:pPr>
                  <w:r w:rsidRPr="00914397">
                    <w:rPr>
                      <w:rFonts w:ascii="Arial" w:eastAsia="Times New Roman" w:hAnsi="Arial" w:cs="Arial"/>
                      <w:b/>
                      <w:bCs/>
                      <w:sz w:val="16"/>
                      <w:szCs w:val="16"/>
                      <w:lang w:eastAsia="es-EC"/>
                    </w:rPr>
                    <w:t>Tasa de participación económica</w:t>
                  </w:r>
                </w:p>
              </w:tc>
            </w:tr>
            <w:tr w:rsidR="00A722F8" w:rsidRPr="00914397" w:rsidTr="003F1262">
              <w:trPr>
                <w:trHeight w:val="20"/>
                <w:jc w:val="center"/>
              </w:trPr>
              <w:tc>
                <w:tcPr>
                  <w:tcW w:w="1134" w:type="dxa"/>
                  <w:tcBorders>
                    <w:top w:val="nil"/>
                    <w:left w:val="nil"/>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Azuay</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0.65</w:t>
                  </w:r>
                </w:p>
              </w:tc>
              <w:tc>
                <w:tcPr>
                  <w:tcW w:w="1757" w:type="dxa"/>
                  <w:tcBorders>
                    <w:top w:val="nil"/>
                    <w:left w:val="single" w:sz="4" w:space="0" w:color="auto"/>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Morona Santiago</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0.02</w:t>
                  </w:r>
                </w:p>
              </w:tc>
            </w:tr>
            <w:tr w:rsidR="00A722F8" w:rsidRPr="00914397" w:rsidTr="003F1262">
              <w:trPr>
                <w:trHeight w:val="20"/>
                <w:jc w:val="center"/>
              </w:trPr>
              <w:tc>
                <w:tcPr>
                  <w:tcW w:w="1134" w:type="dxa"/>
                  <w:tcBorders>
                    <w:top w:val="nil"/>
                    <w:left w:val="nil"/>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Bolívar</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0.38</w:t>
                  </w:r>
                </w:p>
              </w:tc>
              <w:tc>
                <w:tcPr>
                  <w:tcW w:w="1757" w:type="dxa"/>
                  <w:tcBorders>
                    <w:top w:val="nil"/>
                    <w:left w:val="single" w:sz="4" w:space="0" w:color="auto"/>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Napo</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0.01</w:t>
                  </w:r>
                </w:p>
              </w:tc>
            </w:tr>
            <w:tr w:rsidR="00A722F8" w:rsidRPr="00914397" w:rsidTr="003F1262">
              <w:trPr>
                <w:trHeight w:val="20"/>
                <w:jc w:val="center"/>
              </w:trPr>
              <w:tc>
                <w:tcPr>
                  <w:tcW w:w="1134" w:type="dxa"/>
                  <w:tcBorders>
                    <w:top w:val="nil"/>
                    <w:left w:val="nil"/>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Cañar</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0.31</w:t>
                  </w:r>
                </w:p>
              </w:tc>
              <w:tc>
                <w:tcPr>
                  <w:tcW w:w="1757" w:type="dxa"/>
                  <w:tcBorders>
                    <w:top w:val="nil"/>
                    <w:left w:val="single" w:sz="4" w:space="0" w:color="auto"/>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Pastaza</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0.02</w:t>
                  </w:r>
                </w:p>
              </w:tc>
            </w:tr>
            <w:tr w:rsidR="00A722F8" w:rsidRPr="00914397" w:rsidTr="003F1262">
              <w:trPr>
                <w:trHeight w:val="20"/>
                <w:jc w:val="center"/>
              </w:trPr>
              <w:tc>
                <w:tcPr>
                  <w:tcW w:w="1134" w:type="dxa"/>
                  <w:tcBorders>
                    <w:top w:val="nil"/>
                    <w:left w:val="nil"/>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Carchi</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0.06</w:t>
                  </w:r>
                </w:p>
              </w:tc>
              <w:tc>
                <w:tcPr>
                  <w:tcW w:w="1757" w:type="dxa"/>
                  <w:tcBorders>
                    <w:top w:val="nil"/>
                    <w:left w:val="single" w:sz="4" w:space="0" w:color="auto"/>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Pichincha</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0.49</w:t>
                  </w:r>
                </w:p>
              </w:tc>
            </w:tr>
            <w:tr w:rsidR="00A722F8" w:rsidRPr="00914397" w:rsidTr="003F1262">
              <w:trPr>
                <w:trHeight w:val="20"/>
                <w:jc w:val="center"/>
              </w:trPr>
              <w:tc>
                <w:tcPr>
                  <w:tcW w:w="1134" w:type="dxa"/>
                  <w:tcBorders>
                    <w:top w:val="nil"/>
                    <w:left w:val="nil"/>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Cotopaxi</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0.12</w:t>
                  </w:r>
                </w:p>
              </w:tc>
              <w:tc>
                <w:tcPr>
                  <w:tcW w:w="1757" w:type="dxa"/>
                  <w:tcBorders>
                    <w:top w:val="nil"/>
                    <w:left w:val="single" w:sz="4" w:space="0" w:color="auto"/>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Tungurahua</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0.35</w:t>
                  </w:r>
                </w:p>
              </w:tc>
            </w:tr>
            <w:tr w:rsidR="00A722F8" w:rsidRPr="00914397" w:rsidTr="003F1262">
              <w:trPr>
                <w:trHeight w:val="20"/>
                <w:jc w:val="center"/>
              </w:trPr>
              <w:tc>
                <w:tcPr>
                  <w:tcW w:w="1134" w:type="dxa"/>
                  <w:tcBorders>
                    <w:top w:val="nil"/>
                    <w:left w:val="nil"/>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Chimborazo</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1.38</w:t>
                  </w:r>
                </w:p>
              </w:tc>
              <w:tc>
                <w:tcPr>
                  <w:tcW w:w="1757" w:type="dxa"/>
                  <w:tcBorders>
                    <w:top w:val="nil"/>
                    <w:left w:val="single" w:sz="4" w:space="0" w:color="auto"/>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Zamora Chinchipe</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0.02</w:t>
                  </w:r>
                </w:p>
              </w:tc>
            </w:tr>
            <w:tr w:rsidR="00A722F8" w:rsidRPr="00914397" w:rsidTr="003F1262">
              <w:trPr>
                <w:trHeight w:val="20"/>
                <w:jc w:val="center"/>
              </w:trPr>
              <w:tc>
                <w:tcPr>
                  <w:tcW w:w="1134" w:type="dxa"/>
                  <w:tcBorders>
                    <w:top w:val="nil"/>
                    <w:left w:val="nil"/>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El Oro</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0.65</w:t>
                  </w:r>
                </w:p>
              </w:tc>
              <w:tc>
                <w:tcPr>
                  <w:tcW w:w="1757" w:type="dxa"/>
                  <w:tcBorders>
                    <w:top w:val="nil"/>
                    <w:left w:val="single" w:sz="4" w:space="0" w:color="auto"/>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Galápagos</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0.02</w:t>
                  </w:r>
                </w:p>
              </w:tc>
            </w:tr>
            <w:tr w:rsidR="00A722F8" w:rsidRPr="00914397" w:rsidTr="003F1262">
              <w:trPr>
                <w:trHeight w:val="20"/>
                <w:jc w:val="center"/>
              </w:trPr>
              <w:tc>
                <w:tcPr>
                  <w:tcW w:w="1134" w:type="dxa"/>
                  <w:tcBorders>
                    <w:top w:val="nil"/>
                    <w:left w:val="nil"/>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Esmeraldas</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1.67</w:t>
                  </w:r>
                </w:p>
              </w:tc>
              <w:tc>
                <w:tcPr>
                  <w:tcW w:w="1757" w:type="dxa"/>
                  <w:tcBorders>
                    <w:top w:val="nil"/>
                    <w:left w:val="single" w:sz="4" w:space="0" w:color="auto"/>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Sucumbíos</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0.01</w:t>
                  </w:r>
                </w:p>
              </w:tc>
            </w:tr>
            <w:tr w:rsidR="00A722F8" w:rsidRPr="00914397" w:rsidTr="003F1262">
              <w:trPr>
                <w:trHeight w:val="20"/>
                <w:jc w:val="center"/>
              </w:trPr>
              <w:tc>
                <w:tcPr>
                  <w:tcW w:w="1134" w:type="dxa"/>
                  <w:tcBorders>
                    <w:top w:val="nil"/>
                    <w:left w:val="nil"/>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Guayas</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3.12</w:t>
                  </w:r>
                </w:p>
              </w:tc>
              <w:tc>
                <w:tcPr>
                  <w:tcW w:w="1757" w:type="dxa"/>
                  <w:tcBorders>
                    <w:top w:val="nil"/>
                    <w:left w:val="single" w:sz="4" w:space="0" w:color="auto"/>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Orellana</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0.01</w:t>
                  </w:r>
                </w:p>
              </w:tc>
            </w:tr>
            <w:tr w:rsidR="00A722F8" w:rsidRPr="00914397" w:rsidTr="003F1262">
              <w:trPr>
                <w:trHeight w:val="20"/>
                <w:jc w:val="center"/>
              </w:trPr>
              <w:tc>
                <w:tcPr>
                  <w:tcW w:w="1134" w:type="dxa"/>
                  <w:tcBorders>
                    <w:top w:val="nil"/>
                    <w:left w:val="nil"/>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Imbabura</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0.09</w:t>
                  </w:r>
                </w:p>
              </w:tc>
              <w:tc>
                <w:tcPr>
                  <w:tcW w:w="1757" w:type="dxa"/>
                  <w:tcBorders>
                    <w:top w:val="nil"/>
                    <w:left w:val="single" w:sz="4" w:space="0" w:color="auto"/>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Santo Domingo</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0.14</w:t>
                  </w:r>
                </w:p>
              </w:tc>
            </w:tr>
            <w:tr w:rsidR="00A722F8" w:rsidRPr="00914397" w:rsidTr="003F1262">
              <w:trPr>
                <w:trHeight w:val="20"/>
                <w:jc w:val="center"/>
              </w:trPr>
              <w:tc>
                <w:tcPr>
                  <w:tcW w:w="1134" w:type="dxa"/>
                  <w:tcBorders>
                    <w:top w:val="nil"/>
                    <w:left w:val="nil"/>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Loja</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0.51</w:t>
                  </w:r>
                </w:p>
              </w:tc>
              <w:tc>
                <w:tcPr>
                  <w:tcW w:w="1757" w:type="dxa"/>
                  <w:tcBorders>
                    <w:top w:val="nil"/>
                    <w:left w:val="single" w:sz="4" w:space="0" w:color="auto"/>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Santa Elena</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0.61</w:t>
                  </w:r>
                </w:p>
              </w:tc>
            </w:tr>
            <w:tr w:rsidR="00A722F8" w:rsidRPr="00914397" w:rsidTr="003F1262">
              <w:trPr>
                <w:trHeight w:val="20"/>
                <w:jc w:val="center"/>
              </w:trPr>
              <w:tc>
                <w:tcPr>
                  <w:tcW w:w="1134" w:type="dxa"/>
                  <w:tcBorders>
                    <w:top w:val="nil"/>
                    <w:left w:val="nil"/>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Los Ríos</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3.18</w:t>
                  </w:r>
                </w:p>
              </w:tc>
              <w:tc>
                <w:tcPr>
                  <w:tcW w:w="1757" w:type="dxa"/>
                  <w:tcBorders>
                    <w:top w:val="nil"/>
                    <w:left w:val="single" w:sz="4" w:space="0" w:color="auto"/>
                    <w:bottom w:val="nil"/>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Zonas No Delimitadas</w:t>
                  </w:r>
                </w:p>
              </w:tc>
              <w:tc>
                <w:tcPr>
                  <w:tcW w:w="1814" w:type="dxa"/>
                  <w:tcBorders>
                    <w:top w:val="nil"/>
                    <w:left w:val="nil"/>
                    <w:bottom w:val="nil"/>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0.00</w:t>
                  </w:r>
                </w:p>
              </w:tc>
            </w:tr>
            <w:tr w:rsidR="00A722F8" w:rsidRPr="00914397" w:rsidTr="003F1262">
              <w:trPr>
                <w:trHeight w:val="20"/>
                <w:jc w:val="center"/>
              </w:trPr>
              <w:tc>
                <w:tcPr>
                  <w:tcW w:w="1134" w:type="dxa"/>
                  <w:tcBorders>
                    <w:top w:val="nil"/>
                    <w:left w:val="nil"/>
                    <w:bottom w:val="single" w:sz="4" w:space="0" w:color="auto"/>
                    <w:right w:val="nil"/>
                  </w:tcBorders>
                  <w:shd w:val="clear" w:color="auto" w:fill="auto"/>
                  <w:noWrap/>
                  <w:vAlign w:val="center"/>
                  <w:hideMark/>
                </w:tcPr>
                <w:p w:rsidR="00A722F8" w:rsidRPr="00914397" w:rsidRDefault="00A722F8" w:rsidP="00E95B58">
                  <w:pPr>
                    <w:jc w:val="left"/>
                    <w:rPr>
                      <w:rFonts w:ascii="Arial" w:eastAsia="Times New Roman" w:hAnsi="Arial" w:cs="Arial"/>
                      <w:sz w:val="16"/>
                      <w:szCs w:val="16"/>
                      <w:lang w:eastAsia="es-EC"/>
                    </w:rPr>
                  </w:pPr>
                  <w:r w:rsidRPr="00914397">
                    <w:rPr>
                      <w:rFonts w:ascii="Arial" w:eastAsia="Times New Roman" w:hAnsi="Arial" w:cs="Arial"/>
                      <w:sz w:val="16"/>
                      <w:szCs w:val="16"/>
                      <w:lang w:eastAsia="es-EC"/>
                    </w:rPr>
                    <w:t>Manabí</w:t>
                  </w:r>
                </w:p>
              </w:tc>
              <w:tc>
                <w:tcPr>
                  <w:tcW w:w="1814" w:type="dxa"/>
                  <w:tcBorders>
                    <w:top w:val="nil"/>
                    <w:left w:val="nil"/>
                    <w:bottom w:val="single" w:sz="4" w:space="0" w:color="auto"/>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r w:rsidRPr="00914397">
                    <w:rPr>
                      <w:rFonts w:ascii="Arial" w:eastAsia="Times New Roman" w:hAnsi="Arial" w:cs="Arial"/>
                      <w:sz w:val="16"/>
                      <w:szCs w:val="16"/>
                      <w:lang w:eastAsia="es-EC"/>
                    </w:rPr>
                    <w:t>7.18</w:t>
                  </w:r>
                </w:p>
              </w:tc>
              <w:tc>
                <w:tcPr>
                  <w:tcW w:w="1757" w:type="dxa"/>
                  <w:tcBorders>
                    <w:top w:val="nil"/>
                    <w:left w:val="single" w:sz="4" w:space="0" w:color="auto"/>
                    <w:bottom w:val="single" w:sz="4" w:space="0" w:color="auto"/>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p>
              </w:tc>
              <w:tc>
                <w:tcPr>
                  <w:tcW w:w="1814" w:type="dxa"/>
                  <w:tcBorders>
                    <w:top w:val="nil"/>
                    <w:left w:val="nil"/>
                    <w:bottom w:val="single" w:sz="4" w:space="0" w:color="auto"/>
                    <w:right w:val="nil"/>
                  </w:tcBorders>
                  <w:shd w:val="clear" w:color="auto" w:fill="auto"/>
                  <w:noWrap/>
                  <w:vAlign w:val="center"/>
                  <w:hideMark/>
                </w:tcPr>
                <w:p w:rsidR="00A722F8" w:rsidRPr="00914397" w:rsidRDefault="00A722F8" w:rsidP="003F1262">
                  <w:pPr>
                    <w:rPr>
                      <w:rFonts w:ascii="Arial" w:eastAsia="Times New Roman" w:hAnsi="Arial" w:cs="Arial"/>
                      <w:sz w:val="16"/>
                      <w:szCs w:val="16"/>
                      <w:lang w:eastAsia="es-EC"/>
                    </w:rPr>
                  </w:pPr>
                </w:p>
              </w:tc>
            </w:tr>
          </w:tbl>
          <w:p w:rsidR="00A722F8" w:rsidRPr="00516A71" w:rsidRDefault="00A722F8" w:rsidP="003F1262">
            <w:pPr>
              <w:rPr>
                <w:rFonts w:ascii="Arial" w:hAnsi="Arial" w:cs="Arial"/>
                <w:b/>
                <w:sz w:val="16"/>
                <w:szCs w:val="16"/>
              </w:rPr>
            </w:pPr>
          </w:p>
        </w:tc>
      </w:tr>
    </w:tbl>
    <w:p w:rsidR="00A722F8" w:rsidRPr="009C7473" w:rsidRDefault="00A722F8" w:rsidP="009C7473">
      <w:pPr>
        <w:pStyle w:val="Prrafodelista"/>
        <w:spacing w:line="276" w:lineRule="auto"/>
        <w:ind w:left="851"/>
        <w:jc w:val="both"/>
        <w:rPr>
          <w:rFonts w:ascii="Arial" w:hAnsi="Arial" w:cs="Arial"/>
          <w:sz w:val="17"/>
          <w:szCs w:val="17"/>
        </w:rPr>
      </w:pPr>
    </w:p>
    <w:p w:rsidR="00A722F8" w:rsidRPr="009C7473" w:rsidRDefault="00A722F8" w:rsidP="009C7473">
      <w:pPr>
        <w:pStyle w:val="Prrafodelista"/>
        <w:spacing w:line="276" w:lineRule="auto"/>
        <w:ind w:left="851"/>
        <w:jc w:val="both"/>
        <w:rPr>
          <w:rFonts w:ascii="Arial" w:hAnsi="Arial" w:cs="Arial"/>
          <w:sz w:val="17"/>
          <w:szCs w:val="17"/>
        </w:rPr>
      </w:pPr>
      <w:r w:rsidRPr="009C7473">
        <w:rPr>
          <w:rFonts w:ascii="Arial" w:hAnsi="Arial" w:cs="Arial"/>
          <w:b/>
          <w:i/>
          <w:sz w:val="17"/>
          <w:szCs w:val="17"/>
        </w:rPr>
        <w:t>Fuente:</w:t>
      </w:r>
      <w:r w:rsidRPr="009C7473">
        <w:rPr>
          <w:rFonts w:ascii="Arial" w:hAnsi="Arial" w:cs="Arial"/>
          <w:sz w:val="17"/>
          <w:szCs w:val="17"/>
        </w:rPr>
        <w:t xml:space="preserve"> </w:t>
      </w:r>
      <w:r w:rsidRPr="009C7473">
        <w:rPr>
          <w:rFonts w:ascii="Arial" w:hAnsi="Arial" w:cs="Arial"/>
          <w:b/>
          <w:sz w:val="17"/>
          <w:szCs w:val="17"/>
        </w:rPr>
        <w:t xml:space="preserve">INEC </w:t>
      </w:r>
      <w:r w:rsidRPr="009C7473">
        <w:rPr>
          <w:rFonts w:ascii="Arial" w:hAnsi="Arial" w:cs="Arial"/>
          <w:sz w:val="17"/>
          <w:szCs w:val="17"/>
        </w:rPr>
        <w:t>(2010), Base de Datos del VII Censo de Población y VI de Vivienda.</w:t>
      </w:r>
    </w:p>
    <w:p w:rsidR="00A722F8" w:rsidRPr="009C7473" w:rsidRDefault="00A722F8" w:rsidP="009C7473">
      <w:pPr>
        <w:pStyle w:val="Prrafodelista"/>
        <w:spacing w:line="276" w:lineRule="auto"/>
        <w:ind w:left="851"/>
        <w:jc w:val="both"/>
        <w:rPr>
          <w:rFonts w:ascii="Arial" w:hAnsi="Arial" w:cs="Arial"/>
          <w:sz w:val="17"/>
          <w:szCs w:val="17"/>
        </w:rPr>
      </w:pPr>
      <w:r w:rsidRPr="009C7473">
        <w:rPr>
          <w:rFonts w:ascii="Arial" w:hAnsi="Arial" w:cs="Arial"/>
          <w:b/>
          <w:i/>
          <w:sz w:val="17"/>
          <w:szCs w:val="17"/>
        </w:rPr>
        <w:t>Elaborado por:</w:t>
      </w:r>
      <w:r w:rsidRPr="009C7473">
        <w:rPr>
          <w:rFonts w:ascii="Arial" w:hAnsi="Arial" w:cs="Arial"/>
          <w:sz w:val="17"/>
          <w:szCs w:val="17"/>
        </w:rPr>
        <w:t xml:space="preserve"> Katherine Loor Valeriano</w:t>
      </w:r>
    </w:p>
    <w:p w:rsidR="00A722F8" w:rsidRDefault="00A722F8" w:rsidP="009C7473">
      <w:pPr>
        <w:pStyle w:val="Prrafodelista"/>
        <w:spacing w:line="480" w:lineRule="auto"/>
        <w:ind w:left="851"/>
        <w:jc w:val="both"/>
        <w:rPr>
          <w:rFonts w:ascii="Arial" w:hAnsi="Arial" w:cs="Arial"/>
        </w:rPr>
      </w:pPr>
    </w:p>
    <w:p w:rsidR="00A722F8" w:rsidRPr="002163BD" w:rsidRDefault="00A722F8" w:rsidP="0041640C">
      <w:pPr>
        <w:pStyle w:val="TesisTitulo20"/>
        <w:numPr>
          <w:ilvl w:val="2"/>
          <w:numId w:val="9"/>
        </w:numPr>
        <w:ind w:left="1701" w:hanging="850"/>
      </w:pPr>
      <w:bookmarkStart w:id="340" w:name="_Toc339212708"/>
      <w:bookmarkStart w:id="341" w:name="_Toc341040636"/>
      <w:r w:rsidRPr="002163BD">
        <w:t>Actividad económica</w:t>
      </w:r>
      <w:bookmarkEnd w:id="340"/>
      <w:bookmarkEnd w:id="341"/>
    </w:p>
    <w:p w:rsidR="00A722F8" w:rsidRPr="002163BD" w:rsidRDefault="00A722F8" w:rsidP="009C7473">
      <w:pPr>
        <w:pStyle w:val="Prrafodelista"/>
        <w:spacing w:line="480" w:lineRule="auto"/>
        <w:ind w:left="851"/>
        <w:jc w:val="both"/>
        <w:rPr>
          <w:rFonts w:ascii="Arial" w:hAnsi="Arial" w:cs="Arial"/>
        </w:rPr>
      </w:pPr>
      <w:r w:rsidRPr="002163BD">
        <w:rPr>
          <w:rFonts w:ascii="Arial" w:hAnsi="Arial" w:cs="Arial"/>
        </w:rPr>
        <w:t xml:space="preserve">En esta subsección abordaremos la actividad económica que realiza el inmigrante residente en Guayaquil que trabaja o trabajó, el objetivo es conocer cuales son las actividades a las que se dedican si son empleados, son jornales, trabajan por cuenta propia o patrono, trabajan en sociedad con otras personas o si posee un trabajo no remunerado. A partir de aquí se tiene que el </w:t>
      </w:r>
      <w:r>
        <w:rPr>
          <w:rFonts w:ascii="Arial" w:hAnsi="Arial" w:cs="Arial"/>
        </w:rPr>
        <w:t>57.10</w:t>
      </w:r>
      <w:r w:rsidRPr="002163BD">
        <w:rPr>
          <w:rFonts w:ascii="Arial" w:hAnsi="Arial" w:cs="Arial"/>
        </w:rPr>
        <w:t xml:space="preserve">% de los inmigrantes ecuatorianos residentes en Guayaquil trabajan como empleados sea del sector público, privado o como empleados domésticos, el </w:t>
      </w:r>
      <w:r>
        <w:rPr>
          <w:rFonts w:ascii="Arial" w:hAnsi="Arial" w:cs="Arial"/>
        </w:rPr>
        <w:t>32.91</w:t>
      </w:r>
      <w:r w:rsidRPr="002163BD">
        <w:rPr>
          <w:rFonts w:ascii="Arial" w:hAnsi="Arial" w:cs="Arial"/>
        </w:rPr>
        <w:t xml:space="preserve">% poseen un negocio propio o son patronos, el </w:t>
      </w:r>
      <w:r>
        <w:rPr>
          <w:rFonts w:ascii="Arial" w:hAnsi="Arial" w:cs="Arial"/>
        </w:rPr>
        <w:t>4.10</w:t>
      </w:r>
      <w:r w:rsidRPr="002163BD">
        <w:rPr>
          <w:rFonts w:ascii="Arial" w:hAnsi="Arial" w:cs="Arial"/>
        </w:rPr>
        <w:t>% son jornaleros o peones, el 0.8</w:t>
      </w:r>
      <w:r>
        <w:rPr>
          <w:rFonts w:ascii="Arial" w:hAnsi="Arial" w:cs="Arial"/>
        </w:rPr>
        <w:t>2</w:t>
      </w:r>
      <w:r w:rsidRPr="002163BD">
        <w:rPr>
          <w:rFonts w:ascii="Arial" w:hAnsi="Arial" w:cs="Arial"/>
        </w:rPr>
        <w:t>% trabajan en asociac</w:t>
      </w:r>
      <w:r>
        <w:rPr>
          <w:rFonts w:ascii="Arial" w:hAnsi="Arial" w:cs="Arial"/>
        </w:rPr>
        <w:t>ión con otras personas, el 1.17</w:t>
      </w:r>
      <w:r w:rsidRPr="002163BD">
        <w:rPr>
          <w:rFonts w:ascii="Arial" w:hAnsi="Arial" w:cs="Arial"/>
        </w:rPr>
        <w:t>%</w:t>
      </w:r>
      <w:r>
        <w:rPr>
          <w:rFonts w:ascii="Arial" w:hAnsi="Arial" w:cs="Arial"/>
        </w:rPr>
        <w:t xml:space="preserve"> posee un trabajo no remunerado; y el porcentaje restante (3.90%) representan datos que se ignoran.</w:t>
      </w:r>
    </w:p>
    <w:p w:rsidR="00A722F8" w:rsidRPr="002163BD" w:rsidRDefault="00A722F8" w:rsidP="009C7473">
      <w:pPr>
        <w:pStyle w:val="Prrafodelista"/>
        <w:spacing w:line="480" w:lineRule="auto"/>
        <w:ind w:left="851"/>
        <w:jc w:val="both"/>
        <w:rPr>
          <w:rFonts w:ascii="Arial" w:hAnsi="Arial" w:cs="Arial"/>
        </w:rPr>
      </w:pPr>
    </w:p>
    <w:p w:rsidR="00A722F8" w:rsidRPr="002163BD" w:rsidRDefault="00A722F8" w:rsidP="009C7473">
      <w:pPr>
        <w:pStyle w:val="Prrafodelista"/>
        <w:spacing w:line="480" w:lineRule="auto"/>
        <w:ind w:left="851"/>
        <w:jc w:val="both"/>
        <w:rPr>
          <w:rFonts w:ascii="Arial" w:hAnsi="Arial" w:cs="Arial"/>
        </w:rPr>
      </w:pPr>
      <w:r w:rsidRPr="002163BD">
        <w:rPr>
          <w:rFonts w:ascii="Arial" w:hAnsi="Arial" w:cs="Arial"/>
        </w:rPr>
        <w:lastRenderedPageBreak/>
        <w:t xml:space="preserve">El análisis mostrado en el párrafo anterior hace referencia a todos los inmigrantes residentes en Guayaquil, sin considerar a los inmigrantes extranjeros; mientras que en la </w:t>
      </w:r>
      <w:r w:rsidRPr="004F6999">
        <w:rPr>
          <w:rFonts w:ascii="Arial" w:hAnsi="Arial" w:cs="Arial"/>
          <w:i/>
        </w:rPr>
        <w:t>Tabla 2.1</w:t>
      </w:r>
      <w:r w:rsidR="00825B96">
        <w:rPr>
          <w:rFonts w:ascii="Arial" w:hAnsi="Arial" w:cs="Arial"/>
          <w:i/>
        </w:rPr>
        <w:t>8</w:t>
      </w:r>
      <w:r w:rsidRPr="002163BD">
        <w:rPr>
          <w:rFonts w:ascii="Arial" w:hAnsi="Arial" w:cs="Arial"/>
        </w:rPr>
        <w:t xml:space="preserve">, se muestran los porcentajes por actividad económica que realizan los inmigrantes dada la provincia de nacimiento. Para las provincias de la Sierra, como Chimborazo podemos notar de los inmigrantes nacidos en esta provincia y que residen habitualmente en Guayaquil el </w:t>
      </w:r>
      <w:r>
        <w:rPr>
          <w:rFonts w:ascii="Arial" w:hAnsi="Arial" w:cs="Arial"/>
        </w:rPr>
        <w:t>59.80</w:t>
      </w:r>
      <w:r w:rsidRPr="002163BD">
        <w:rPr>
          <w:rFonts w:ascii="Arial" w:hAnsi="Arial" w:cs="Arial"/>
        </w:rPr>
        <w:t xml:space="preserve">% trabajan por cuenta propia o como patrono, el </w:t>
      </w:r>
      <w:r>
        <w:rPr>
          <w:rFonts w:ascii="Arial" w:hAnsi="Arial" w:cs="Arial"/>
        </w:rPr>
        <w:t>32.20</w:t>
      </w:r>
      <w:r w:rsidRPr="002163BD">
        <w:rPr>
          <w:rFonts w:ascii="Arial" w:hAnsi="Arial" w:cs="Arial"/>
        </w:rPr>
        <w:t xml:space="preserve">% trabajan en calidad de empleados, el </w:t>
      </w:r>
      <w:r>
        <w:rPr>
          <w:rFonts w:ascii="Arial" w:hAnsi="Arial" w:cs="Arial"/>
        </w:rPr>
        <w:t>2.40</w:t>
      </w:r>
      <w:r w:rsidRPr="002163BD">
        <w:rPr>
          <w:rFonts w:ascii="Arial" w:hAnsi="Arial" w:cs="Arial"/>
        </w:rPr>
        <w:t>% como jornaleros o peones y el porcenta</w:t>
      </w:r>
      <w:r>
        <w:rPr>
          <w:rFonts w:ascii="Arial" w:hAnsi="Arial" w:cs="Arial"/>
        </w:rPr>
        <w:t xml:space="preserve">je restante trabaja en sociedad con otras personas, </w:t>
      </w:r>
      <w:r w:rsidRPr="002163BD">
        <w:rPr>
          <w:rFonts w:ascii="Arial" w:hAnsi="Arial" w:cs="Arial"/>
        </w:rPr>
        <w:t>son trabajadores no remunerados</w:t>
      </w:r>
      <w:r>
        <w:rPr>
          <w:rFonts w:ascii="Arial" w:hAnsi="Arial" w:cs="Arial"/>
        </w:rPr>
        <w:t xml:space="preserve"> o datos ignorados</w:t>
      </w:r>
      <w:r w:rsidRPr="002163BD">
        <w:rPr>
          <w:rFonts w:ascii="Arial" w:hAnsi="Arial" w:cs="Arial"/>
        </w:rPr>
        <w:t>. Para el caso de Pichincha, los inmigrantes trabajan mayoritariamente como empleados tanto en el sector público (</w:t>
      </w:r>
      <w:r>
        <w:rPr>
          <w:rFonts w:ascii="Arial" w:hAnsi="Arial" w:cs="Arial"/>
        </w:rPr>
        <w:t>17.98</w:t>
      </w:r>
      <w:r w:rsidRPr="002163BD">
        <w:rPr>
          <w:rFonts w:ascii="Arial" w:hAnsi="Arial" w:cs="Arial"/>
        </w:rPr>
        <w:t>%), privado (4</w:t>
      </w:r>
      <w:r>
        <w:rPr>
          <w:rFonts w:ascii="Arial" w:hAnsi="Arial" w:cs="Arial"/>
        </w:rPr>
        <w:t>4.03%) o como domésticos (1.64</w:t>
      </w:r>
      <w:r w:rsidRPr="002163BD">
        <w:rPr>
          <w:rFonts w:ascii="Arial" w:hAnsi="Arial" w:cs="Arial"/>
        </w:rPr>
        <w:t xml:space="preserve">%), y el </w:t>
      </w:r>
      <w:r>
        <w:rPr>
          <w:rFonts w:ascii="Arial" w:hAnsi="Arial" w:cs="Arial"/>
        </w:rPr>
        <w:t>28.90</w:t>
      </w:r>
      <w:r w:rsidRPr="002163BD">
        <w:rPr>
          <w:rFonts w:ascii="Arial" w:hAnsi="Arial" w:cs="Arial"/>
        </w:rPr>
        <w:t xml:space="preserve">% trabaja por cuenta propia o como patrono. </w:t>
      </w:r>
    </w:p>
    <w:p w:rsidR="00A722F8" w:rsidRPr="002163BD" w:rsidRDefault="00A722F8" w:rsidP="009C7473">
      <w:pPr>
        <w:pStyle w:val="Prrafodelista"/>
        <w:spacing w:line="480" w:lineRule="auto"/>
        <w:ind w:left="851"/>
        <w:jc w:val="both"/>
        <w:rPr>
          <w:rFonts w:ascii="Arial" w:hAnsi="Arial" w:cs="Arial"/>
        </w:rPr>
      </w:pPr>
    </w:p>
    <w:p w:rsidR="00A722F8" w:rsidRDefault="00825B96" w:rsidP="009C7473">
      <w:pPr>
        <w:pStyle w:val="Prrafodelista"/>
        <w:spacing w:line="480" w:lineRule="auto"/>
        <w:ind w:left="851"/>
        <w:jc w:val="both"/>
        <w:rPr>
          <w:rFonts w:ascii="Arial" w:hAnsi="Arial" w:cs="Arial"/>
        </w:rPr>
      </w:pPr>
      <w:r>
        <w:rPr>
          <w:rFonts w:ascii="Arial" w:hAnsi="Arial" w:cs="Arial"/>
        </w:rPr>
        <w:t>De los</w:t>
      </w:r>
      <w:r w:rsidR="00A722F8" w:rsidRPr="002163BD">
        <w:rPr>
          <w:rFonts w:ascii="Arial" w:hAnsi="Arial" w:cs="Arial"/>
        </w:rPr>
        <w:t xml:space="preserve"> inmigrantes provenientes de Esmeraldas</w:t>
      </w:r>
      <w:r>
        <w:rPr>
          <w:rFonts w:ascii="Arial" w:hAnsi="Arial" w:cs="Arial"/>
        </w:rPr>
        <w:t>,</w:t>
      </w:r>
      <w:r w:rsidR="00A722F8" w:rsidRPr="002163BD">
        <w:rPr>
          <w:rFonts w:ascii="Arial" w:hAnsi="Arial" w:cs="Arial"/>
        </w:rPr>
        <w:t xml:space="preserve"> el </w:t>
      </w:r>
      <w:r w:rsidR="00A722F8">
        <w:rPr>
          <w:rFonts w:ascii="Arial" w:hAnsi="Arial" w:cs="Arial"/>
        </w:rPr>
        <w:t>64</w:t>
      </w:r>
      <w:r w:rsidR="00A722F8" w:rsidRPr="002163BD">
        <w:rPr>
          <w:rFonts w:ascii="Arial" w:hAnsi="Arial" w:cs="Arial"/>
        </w:rPr>
        <w:t xml:space="preserve">% trabaja como empleado siendo predominantes los que trabajan como empleados u obreros privados, también se tiene que el </w:t>
      </w:r>
      <w:r w:rsidR="00A722F8">
        <w:rPr>
          <w:rFonts w:ascii="Arial" w:hAnsi="Arial" w:cs="Arial"/>
        </w:rPr>
        <w:t>24.80</w:t>
      </w:r>
      <w:r w:rsidR="00A722F8" w:rsidRPr="002163BD">
        <w:rPr>
          <w:rFonts w:ascii="Arial" w:hAnsi="Arial" w:cs="Arial"/>
        </w:rPr>
        <w:t>% trabaja como patrono o por cuenta propia, el 5.</w:t>
      </w:r>
      <w:r w:rsidR="00A722F8">
        <w:rPr>
          <w:rFonts w:ascii="Arial" w:hAnsi="Arial" w:cs="Arial"/>
        </w:rPr>
        <w:t>10</w:t>
      </w:r>
      <w:r w:rsidR="00A722F8" w:rsidRPr="002163BD">
        <w:rPr>
          <w:rFonts w:ascii="Arial" w:hAnsi="Arial" w:cs="Arial"/>
        </w:rPr>
        <w:t xml:space="preserve">% son jornaleros o peones y el porcentaje restante </w:t>
      </w:r>
      <w:r w:rsidR="00A722F8">
        <w:rPr>
          <w:rFonts w:ascii="Arial" w:hAnsi="Arial" w:cs="Arial"/>
        </w:rPr>
        <w:t>son trabajadores no remunerados,</w:t>
      </w:r>
      <w:r w:rsidR="00A722F8" w:rsidRPr="002163BD">
        <w:rPr>
          <w:rFonts w:ascii="Arial" w:hAnsi="Arial" w:cs="Arial"/>
        </w:rPr>
        <w:t xml:space="preserve"> quienes trabajan en sociedad con otras personas</w:t>
      </w:r>
      <w:r w:rsidR="00A722F8">
        <w:rPr>
          <w:rFonts w:ascii="Arial" w:hAnsi="Arial" w:cs="Arial"/>
        </w:rPr>
        <w:t xml:space="preserve"> o datos ignorados</w:t>
      </w:r>
      <w:r w:rsidR="00A722F8" w:rsidRPr="002163BD">
        <w:rPr>
          <w:rFonts w:ascii="Arial" w:hAnsi="Arial" w:cs="Arial"/>
        </w:rPr>
        <w:t xml:space="preserve">. Además, el </w:t>
      </w:r>
      <w:r w:rsidR="00A722F8">
        <w:rPr>
          <w:rFonts w:ascii="Arial" w:hAnsi="Arial" w:cs="Arial"/>
        </w:rPr>
        <w:t>59.70</w:t>
      </w:r>
      <w:r w:rsidR="00A722F8" w:rsidRPr="002163BD">
        <w:rPr>
          <w:rFonts w:ascii="Arial" w:hAnsi="Arial" w:cs="Arial"/>
        </w:rPr>
        <w:t>% de los inmigrantes desde otros cantones del Guayas trabajan como empleados, el</w:t>
      </w:r>
      <w:r w:rsidR="00A722F8">
        <w:rPr>
          <w:rFonts w:ascii="Arial" w:hAnsi="Arial" w:cs="Arial"/>
        </w:rPr>
        <w:t xml:space="preserve"> 29.50</w:t>
      </w:r>
      <w:r w:rsidR="00A722F8" w:rsidRPr="002163BD">
        <w:rPr>
          <w:rFonts w:ascii="Arial" w:hAnsi="Arial" w:cs="Arial"/>
        </w:rPr>
        <w:t xml:space="preserve">% son patronos o poseen  negocio propio, el </w:t>
      </w:r>
      <w:r w:rsidR="00A722F8">
        <w:rPr>
          <w:rFonts w:ascii="Arial" w:hAnsi="Arial" w:cs="Arial"/>
        </w:rPr>
        <w:t>4.80</w:t>
      </w:r>
      <w:r w:rsidR="00A722F8" w:rsidRPr="002163BD">
        <w:rPr>
          <w:rFonts w:ascii="Arial" w:hAnsi="Arial" w:cs="Arial"/>
        </w:rPr>
        <w:t xml:space="preserve">% son jornaleros o peones; y, para los inmigrantes procedentes del resto de provincias de la Costa se presenta un escenario parecido pues existe alto porcentaje que </w:t>
      </w:r>
      <w:r w:rsidR="00A722F8" w:rsidRPr="002163BD">
        <w:rPr>
          <w:rFonts w:ascii="Arial" w:hAnsi="Arial" w:cs="Arial"/>
        </w:rPr>
        <w:lastRenderedPageBreak/>
        <w:t xml:space="preserve">trabajan como empleados, otro un poco más bajo que representa a los que trabajan por cuenta propia o son patrones y menores porcentajes para quienes trabajan como jornaleros o peones, socios y trabajadores no remunerados. </w:t>
      </w:r>
      <w:r w:rsidR="00A722F8" w:rsidRPr="0002762C">
        <w:rPr>
          <w:rFonts w:ascii="Arial" w:hAnsi="Arial" w:cs="Arial"/>
        </w:rPr>
        <w:t>Por otro lado los inmigrantes que provienen de Galápagos, el 6</w:t>
      </w:r>
      <w:r w:rsidR="00A722F8">
        <w:rPr>
          <w:rFonts w:ascii="Arial" w:hAnsi="Arial" w:cs="Arial"/>
        </w:rPr>
        <w:t>1.7</w:t>
      </w:r>
      <w:r w:rsidR="00A722F8" w:rsidRPr="0002762C">
        <w:rPr>
          <w:rFonts w:ascii="Arial" w:hAnsi="Arial" w:cs="Arial"/>
        </w:rPr>
        <w:t>0</w:t>
      </w:r>
      <w:r w:rsidR="00A722F8">
        <w:rPr>
          <w:rFonts w:ascii="Arial" w:hAnsi="Arial" w:cs="Arial"/>
        </w:rPr>
        <w:t>% trabajan como empleados, el 30</w:t>
      </w:r>
      <w:r w:rsidR="00A722F8" w:rsidRPr="0002762C">
        <w:rPr>
          <w:rFonts w:ascii="Arial" w:hAnsi="Arial" w:cs="Arial"/>
        </w:rPr>
        <w:t>.50% trabaja por cuenta propia o como patrono, 0.80% como jornalero o peón, el 0.40% son t</w:t>
      </w:r>
      <w:r w:rsidR="00A722F8">
        <w:rPr>
          <w:rFonts w:ascii="Arial" w:hAnsi="Arial" w:cs="Arial"/>
        </w:rPr>
        <w:t>rabajadores no remunerados,</w:t>
      </w:r>
      <w:r w:rsidR="00A722F8" w:rsidRPr="0002762C">
        <w:rPr>
          <w:rFonts w:ascii="Arial" w:hAnsi="Arial" w:cs="Arial"/>
        </w:rPr>
        <w:t xml:space="preserve"> el </w:t>
      </w:r>
      <w:r w:rsidR="00A722F8">
        <w:rPr>
          <w:rFonts w:ascii="Arial" w:hAnsi="Arial" w:cs="Arial"/>
        </w:rPr>
        <w:t>0.40%</w:t>
      </w:r>
      <w:r w:rsidR="00A722F8" w:rsidRPr="0002762C">
        <w:rPr>
          <w:rFonts w:ascii="Arial" w:hAnsi="Arial" w:cs="Arial"/>
        </w:rPr>
        <w:t xml:space="preserve"> representa</w:t>
      </w:r>
      <w:r w:rsidR="00A722F8">
        <w:rPr>
          <w:rFonts w:ascii="Arial" w:hAnsi="Arial" w:cs="Arial"/>
        </w:rPr>
        <w:t xml:space="preserve"> a quienes trabajan en sociedad; y, el 6.30% son datos ignorados. </w:t>
      </w:r>
      <w:r w:rsidR="00A722F8" w:rsidRPr="00FB1B2B">
        <w:rPr>
          <w:rFonts w:ascii="Arial" w:hAnsi="Arial" w:cs="Arial"/>
          <w:i/>
        </w:rPr>
        <w:t>Véase Tabla 2.1</w:t>
      </w:r>
      <w:r>
        <w:rPr>
          <w:rFonts w:ascii="Arial" w:hAnsi="Arial" w:cs="Arial"/>
          <w:i/>
        </w:rPr>
        <w:t>8</w:t>
      </w:r>
      <w:r w:rsidR="00A722F8" w:rsidRPr="002163BD">
        <w:rPr>
          <w:rFonts w:ascii="Arial" w:hAnsi="Arial" w:cs="Arial"/>
        </w:rPr>
        <w:t>.</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825B96">
        <w:trPr>
          <w:trHeight w:val="7409"/>
          <w:jc w:val="right"/>
        </w:trPr>
        <w:tc>
          <w:tcPr>
            <w:tcW w:w="7497" w:type="dxa"/>
          </w:tcPr>
          <w:p w:rsidR="00A722F8" w:rsidRDefault="00A722F8" w:rsidP="003F1262">
            <w:pPr>
              <w:rPr>
                <w:rFonts w:ascii="Arial" w:hAnsi="Arial" w:cs="Arial"/>
                <w:b/>
                <w:sz w:val="16"/>
                <w:szCs w:val="16"/>
              </w:rPr>
            </w:pPr>
          </w:p>
          <w:p w:rsidR="0050718E" w:rsidRPr="0050718E" w:rsidRDefault="0050718E" w:rsidP="0050718E">
            <w:pPr>
              <w:keepNext/>
              <w:rPr>
                <w:rFonts w:ascii="Arial" w:hAnsi="Arial" w:cs="Arial"/>
                <w:b/>
                <w:sz w:val="16"/>
                <w:szCs w:val="16"/>
              </w:rPr>
            </w:pPr>
            <w:bookmarkStart w:id="342" w:name="_Toc341041593"/>
            <w:r w:rsidRPr="0050718E">
              <w:rPr>
                <w:rFonts w:ascii="Arial" w:hAnsi="Arial" w:cs="Arial"/>
                <w:b/>
                <w:sz w:val="16"/>
                <w:szCs w:val="16"/>
              </w:rPr>
              <w:t>Tabla</w:t>
            </w:r>
            <w:r>
              <w:rPr>
                <w:rFonts w:ascii="Arial" w:hAnsi="Arial" w:cs="Arial"/>
                <w:b/>
                <w:sz w:val="16"/>
                <w:szCs w:val="16"/>
              </w:rPr>
              <w:t xml:space="preserve"> </w:t>
            </w:r>
            <w:r w:rsidRPr="0050718E">
              <w:rPr>
                <w:rFonts w:ascii="Arial" w:hAnsi="Arial" w:cs="Arial"/>
                <w:b/>
                <w:sz w:val="16"/>
                <w:szCs w:val="16"/>
              </w:rPr>
              <w:t>2.</w:t>
            </w:r>
            <w:r w:rsidR="00990535" w:rsidRPr="0050718E">
              <w:rPr>
                <w:rFonts w:ascii="Arial" w:hAnsi="Arial" w:cs="Arial"/>
                <w:b/>
                <w:sz w:val="16"/>
                <w:szCs w:val="16"/>
              </w:rPr>
              <w:fldChar w:fldCharType="begin"/>
            </w:r>
            <w:r w:rsidRPr="0050718E">
              <w:rPr>
                <w:rFonts w:ascii="Arial" w:hAnsi="Arial" w:cs="Arial"/>
                <w:b/>
                <w:sz w:val="16"/>
                <w:szCs w:val="16"/>
              </w:rPr>
              <w:instrText xml:space="preserve"> SEQ Tabla2. \* ARABIC </w:instrText>
            </w:r>
            <w:r w:rsidR="00990535" w:rsidRPr="0050718E">
              <w:rPr>
                <w:rFonts w:ascii="Arial" w:hAnsi="Arial" w:cs="Arial"/>
                <w:b/>
                <w:sz w:val="16"/>
                <w:szCs w:val="16"/>
              </w:rPr>
              <w:fldChar w:fldCharType="separate"/>
            </w:r>
            <w:r w:rsidR="00A242E0">
              <w:rPr>
                <w:rFonts w:ascii="Arial" w:hAnsi="Arial" w:cs="Arial"/>
                <w:b/>
                <w:noProof/>
                <w:sz w:val="16"/>
                <w:szCs w:val="16"/>
              </w:rPr>
              <w:t>18</w:t>
            </w:r>
            <w:bookmarkEnd w:id="342"/>
            <w:r w:rsidR="00990535" w:rsidRPr="0050718E">
              <w:rPr>
                <w:rFonts w:ascii="Arial" w:hAnsi="Arial" w:cs="Arial"/>
                <w:b/>
                <w:sz w:val="16"/>
                <w:szCs w:val="16"/>
              </w:rPr>
              <w:fldChar w:fldCharType="end"/>
            </w:r>
          </w:p>
          <w:p w:rsidR="00825B96" w:rsidRDefault="00825B96" w:rsidP="003F1262">
            <w:pPr>
              <w:rPr>
                <w:rFonts w:ascii="Arial" w:hAnsi="Arial" w:cs="Arial"/>
                <w:i/>
                <w:sz w:val="16"/>
                <w:szCs w:val="16"/>
              </w:rPr>
            </w:pPr>
            <w:r>
              <w:rPr>
                <w:rFonts w:ascii="Arial" w:hAnsi="Arial" w:cs="Arial"/>
                <w:b/>
                <w:i/>
                <w:sz w:val="16"/>
                <w:szCs w:val="16"/>
              </w:rPr>
              <w:t xml:space="preserve">Guayaquil 2010: </w:t>
            </w:r>
            <w:r w:rsidR="00A722F8" w:rsidRPr="00E137E6">
              <w:rPr>
                <w:rFonts w:ascii="Arial" w:hAnsi="Arial" w:cs="Arial"/>
                <w:i/>
                <w:sz w:val="16"/>
                <w:szCs w:val="16"/>
              </w:rPr>
              <w:t xml:space="preserve">Actividad económica de los Inmigrantes </w:t>
            </w:r>
            <w:r w:rsidR="00A722F8">
              <w:rPr>
                <w:rFonts w:ascii="Arial" w:hAnsi="Arial" w:cs="Arial"/>
                <w:i/>
                <w:sz w:val="16"/>
                <w:szCs w:val="16"/>
              </w:rPr>
              <w:t xml:space="preserve">dado que se conoce </w:t>
            </w:r>
          </w:p>
          <w:p w:rsidR="00A722F8" w:rsidRPr="00E137E6" w:rsidRDefault="00A722F8" w:rsidP="003F1262">
            <w:pPr>
              <w:rPr>
                <w:rFonts w:ascii="Arial" w:hAnsi="Arial" w:cs="Arial"/>
                <w:i/>
                <w:sz w:val="16"/>
                <w:szCs w:val="16"/>
              </w:rPr>
            </w:pPr>
            <w:r>
              <w:rPr>
                <w:rFonts w:ascii="Arial" w:hAnsi="Arial" w:cs="Arial"/>
                <w:i/>
                <w:sz w:val="16"/>
                <w:szCs w:val="16"/>
              </w:rPr>
              <w:t>la</w:t>
            </w:r>
            <w:r w:rsidRPr="00E137E6">
              <w:rPr>
                <w:rFonts w:ascii="Arial" w:hAnsi="Arial" w:cs="Arial"/>
                <w:i/>
                <w:sz w:val="16"/>
                <w:szCs w:val="16"/>
              </w:rPr>
              <w:t xml:space="preserve"> provincia de nacimiento</w:t>
            </w:r>
          </w:p>
          <w:p w:rsidR="00A722F8" w:rsidRPr="00ED0337" w:rsidRDefault="00A722F8" w:rsidP="003F1262">
            <w:pPr>
              <w:tabs>
                <w:tab w:val="left" w:pos="3030"/>
                <w:tab w:val="center" w:pos="3768"/>
              </w:tabs>
              <w:jc w:val="left"/>
              <w:rPr>
                <w:noProof/>
                <w:sz w:val="16"/>
                <w:szCs w:val="16"/>
                <w:lang w:eastAsia="es-EC"/>
              </w:rPr>
            </w:pPr>
            <w:r>
              <w:rPr>
                <w:noProof/>
                <w:sz w:val="16"/>
                <w:szCs w:val="16"/>
                <w:lang w:eastAsia="es-EC"/>
              </w:rPr>
              <w:tab/>
            </w:r>
            <w:r>
              <w:rPr>
                <w:noProof/>
                <w:sz w:val="16"/>
                <w:szCs w:val="16"/>
                <w:lang w:eastAsia="es-EC"/>
              </w:rPr>
              <w:tab/>
            </w:r>
            <w:r w:rsidRPr="00ED0337">
              <w:rPr>
                <w:noProof/>
                <w:sz w:val="16"/>
                <w:szCs w:val="16"/>
                <w:lang w:eastAsia="es-EC"/>
              </w:rPr>
              <w:t xml:space="preserve"> </w:t>
            </w:r>
          </w:p>
          <w:tbl>
            <w:tblPr>
              <w:tblW w:w="6690" w:type="dxa"/>
              <w:jc w:val="center"/>
              <w:tblCellMar>
                <w:left w:w="0" w:type="dxa"/>
                <w:right w:w="0" w:type="dxa"/>
              </w:tblCellMar>
              <w:tblLook w:val="04A0" w:firstRow="1" w:lastRow="0" w:firstColumn="1" w:lastColumn="0" w:noHBand="0" w:noVBand="1"/>
            </w:tblPr>
            <w:tblGrid>
              <w:gridCol w:w="1474"/>
              <w:gridCol w:w="794"/>
              <w:gridCol w:w="794"/>
              <w:gridCol w:w="1077"/>
              <w:gridCol w:w="567"/>
              <w:gridCol w:w="1134"/>
              <w:gridCol w:w="850"/>
            </w:tblGrid>
            <w:tr w:rsidR="00A722F8" w:rsidRPr="00EB7E63" w:rsidTr="003F1262">
              <w:trPr>
                <w:trHeight w:val="20"/>
                <w:jc w:val="center"/>
              </w:trPr>
              <w:tc>
                <w:tcPr>
                  <w:tcW w:w="1474" w:type="dxa"/>
                  <w:vMerge w:val="restart"/>
                  <w:tcBorders>
                    <w:top w:val="single" w:sz="4" w:space="0" w:color="auto"/>
                    <w:left w:val="nil"/>
                    <w:bottom w:val="single" w:sz="4" w:space="0" w:color="000000"/>
                    <w:right w:val="nil"/>
                  </w:tcBorders>
                  <w:shd w:val="clear" w:color="auto" w:fill="auto"/>
                  <w:vAlign w:val="center"/>
                  <w:hideMark/>
                </w:tcPr>
                <w:p w:rsidR="00A722F8" w:rsidRPr="00EB7E63" w:rsidRDefault="00A722F8" w:rsidP="003F1262">
                  <w:pPr>
                    <w:rPr>
                      <w:rFonts w:ascii="Arial" w:eastAsia="Times New Roman" w:hAnsi="Arial" w:cs="Arial"/>
                      <w:b/>
                      <w:bCs/>
                      <w:sz w:val="16"/>
                      <w:szCs w:val="16"/>
                      <w:lang w:eastAsia="es-EC"/>
                    </w:rPr>
                  </w:pPr>
                  <w:r w:rsidRPr="00EB7E63">
                    <w:rPr>
                      <w:rFonts w:ascii="Arial" w:eastAsia="Times New Roman" w:hAnsi="Arial" w:cs="Arial"/>
                      <w:b/>
                      <w:bCs/>
                      <w:sz w:val="16"/>
                      <w:szCs w:val="16"/>
                      <w:lang w:eastAsia="es-EC"/>
                    </w:rPr>
                    <w:t>Provincia nacimiento</w:t>
                  </w:r>
                </w:p>
              </w:tc>
              <w:tc>
                <w:tcPr>
                  <w:tcW w:w="5216" w:type="dxa"/>
                  <w:gridSpan w:val="6"/>
                  <w:tcBorders>
                    <w:top w:val="single" w:sz="4" w:space="0" w:color="auto"/>
                    <w:left w:val="nil"/>
                    <w:bottom w:val="single" w:sz="4" w:space="0" w:color="auto"/>
                    <w:right w:val="nil"/>
                  </w:tcBorders>
                  <w:shd w:val="clear" w:color="auto" w:fill="auto"/>
                  <w:noWrap/>
                  <w:vAlign w:val="center"/>
                  <w:hideMark/>
                </w:tcPr>
                <w:p w:rsidR="00A722F8" w:rsidRPr="00EB7E63" w:rsidRDefault="00A722F8" w:rsidP="003F1262">
                  <w:pPr>
                    <w:rPr>
                      <w:rFonts w:ascii="Arial" w:eastAsia="Times New Roman" w:hAnsi="Arial" w:cs="Arial"/>
                      <w:b/>
                      <w:bCs/>
                      <w:sz w:val="16"/>
                      <w:szCs w:val="16"/>
                      <w:lang w:eastAsia="es-EC"/>
                    </w:rPr>
                  </w:pPr>
                  <w:r w:rsidRPr="00EB7E63">
                    <w:rPr>
                      <w:rFonts w:ascii="Arial" w:eastAsia="Times New Roman" w:hAnsi="Arial" w:cs="Arial"/>
                      <w:b/>
                      <w:bCs/>
                      <w:sz w:val="16"/>
                      <w:szCs w:val="16"/>
                      <w:lang w:eastAsia="es-EC"/>
                    </w:rPr>
                    <w:t>Trabajo o trabajó como</w:t>
                  </w:r>
                </w:p>
              </w:tc>
            </w:tr>
            <w:tr w:rsidR="00A722F8" w:rsidRPr="00EB7E63" w:rsidTr="003F1262">
              <w:trPr>
                <w:trHeight w:val="20"/>
                <w:jc w:val="center"/>
              </w:trPr>
              <w:tc>
                <w:tcPr>
                  <w:tcW w:w="1474" w:type="dxa"/>
                  <w:vMerge/>
                  <w:tcBorders>
                    <w:top w:val="single" w:sz="4" w:space="0" w:color="auto"/>
                    <w:left w:val="nil"/>
                    <w:bottom w:val="single" w:sz="4" w:space="0" w:color="000000"/>
                    <w:right w:val="nil"/>
                  </w:tcBorders>
                  <w:vAlign w:val="center"/>
                  <w:hideMark/>
                </w:tcPr>
                <w:p w:rsidR="00A722F8" w:rsidRPr="00EB7E63" w:rsidRDefault="00A722F8" w:rsidP="003F1262">
                  <w:pPr>
                    <w:rPr>
                      <w:rFonts w:ascii="Arial" w:eastAsia="Times New Roman" w:hAnsi="Arial" w:cs="Arial"/>
                      <w:b/>
                      <w:bCs/>
                      <w:sz w:val="16"/>
                      <w:szCs w:val="16"/>
                      <w:lang w:eastAsia="es-EC"/>
                    </w:rPr>
                  </w:pPr>
                </w:p>
              </w:tc>
              <w:tc>
                <w:tcPr>
                  <w:tcW w:w="794" w:type="dxa"/>
                  <w:tcBorders>
                    <w:top w:val="nil"/>
                    <w:left w:val="nil"/>
                    <w:bottom w:val="single" w:sz="4" w:space="0" w:color="auto"/>
                    <w:right w:val="nil"/>
                  </w:tcBorders>
                  <w:shd w:val="clear" w:color="auto" w:fill="auto"/>
                  <w:vAlign w:val="center"/>
                  <w:hideMark/>
                </w:tcPr>
                <w:p w:rsidR="00A722F8" w:rsidRPr="00EB7E63" w:rsidRDefault="00A722F8" w:rsidP="003F1262">
                  <w:pPr>
                    <w:rPr>
                      <w:rFonts w:ascii="Arial" w:eastAsia="Times New Roman" w:hAnsi="Arial" w:cs="Arial"/>
                      <w:sz w:val="16"/>
                      <w:szCs w:val="16"/>
                      <w:lang w:eastAsia="es-EC"/>
                    </w:rPr>
                  </w:pPr>
                  <w:r w:rsidRPr="00EB7E63">
                    <w:rPr>
                      <w:rFonts w:ascii="Arial" w:eastAsia="Times New Roman" w:hAnsi="Arial" w:cs="Arial"/>
                      <w:sz w:val="16"/>
                      <w:szCs w:val="16"/>
                      <w:lang w:eastAsia="es-EC"/>
                    </w:rPr>
                    <w:t>Empleado</w:t>
                  </w:r>
                </w:p>
              </w:tc>
              <w:tc>
                <w:tcPr>
                  <w:tcW w:w="794" w:type="dxa"/>
                  <w:tcBorders>
                    <w:top w:val="nil"/>
                    <w:left w:val="nil"/>
                    <w:bottom w:val="single" w:sz="4" w:space="0" w:color="auto"/>
                    <w:right w:val="nil"/>
                  </w:tcBorders>
                  <w:shd w:val="clear" w:color="auto" w:fill="auto"/>
                  <w:vAlign w:val="center"/>
                  <w:hideMark/>
                </w:tcPr>
                <w:p w:rsidR="00A722F8" w:rsidRPr="00EB7E63" w:rsidRDefault="00A722F8" w:rsidP="003F1262">
                  <w:pPr>
                    <w:rPr>
                      <w:rFonts w:ascii="Arial" w:eastAsia="Times New Roman" w:hAnsi="Arial" w:cs="Arial"/>
                      <w:sz w:val="16"/>
                      <w:szCs w:val="16"/>
                      <w:lang w:eastAsia="es-EC"/>
                    </w:rPr>
                  </w:pPr>
                  <w:r w:rsidRPr="00EB7E63">
                    <w:rPr>
                      <w:rFonts w:ascii="Arial" w:eastAsia="Times New Roman" w:hAnsi="Arial" w:cs="Arial"/>
                      <w:sz w:val="16"/>
                      <w:szCs w:val="16"/>
                      <w:lang w:eastAsia="es-EC"/>
                    </w:rPr>
                    <w:t>Jornalero o Peón</w:t>
                  </w:r>
                </w:p>
              </w:tc>
              <w:tc>
                <w:tcPr>
                  <w:tcW w:w="1077" w:type="dxa"/>
                  <w:tcBorders>
                    <w:top w:val="nil"/>
                    <w:left w:val="nil"/>
                    <w:bottom w:val="single" w:sz="4" w:space="0" w:color="auto"/>
                    <w:right w:val="nil"/>
                  </w:tcBorders>
                  <w:shd w:val="clear" w:color="auto" w:fill="auto"/>
                  <w:vAlign w:val="center"/>
                  <w:hideMark/>
                </w:tcPr>
                <w:p w:rsidR="00A722F8" w:rsidRPr="00EB7E63" w:rsidRDefault="00A722F8" w:rsidP="003F1262">
                  <w:pPr>
                    <w:rPr>
                      <w:rFonts w:ascii="Arial" w:eastAsia="Times New Roman" w:hAnsi="Arial" w:cs="Arial"/>
                      <w:sz w:val="16"/>
                      <w:szCs w:val="16"/>
                      <w:lang w:eastAsia="es-EC"/>
                    </w:rPr>
                  </w:pPr>
                  <w:r w:rsidRPr="00EB7E63">
                    <w:rPr>
                      <w:rFonts w:ascii="Arial" w:eastAsia="Times New Roman" w:hAnsi="Arial" w:cs="Arial"/>
                      <w:sz w:val="16"/>
                      <w:szCs w:val="16"/>
                      <w:lang w:eastAsia="es-EC"/>
                    </w:rPr>
                    <w:t>Patrono o Cuenta propia</w:t>
                  </w:r>
                </w:p>
              </w:tc>
              <w:tc>
                <w:tcPr>
                  <w:tcW w:w="567" w:type="dxa"/>
                  <w:tcBorders>
                    <w:top w:val="nil"/>
                    <w:left w:val="nil"/>
                    <w:bottom w:val="single" w:sz="4" w:space="0" w:color="auto"/>
                    <w:right w:val="nil"/>
                  </w:tcBorders>
                  <w:shd w:val="clear" w:color="auto" w:fill="auto"/>
                  <w:noWrap/>
                  <w:vAlign w:val="center"/>
                  <w:hideMark/>
                </w:tcPr>
                <w:p w:rsidR="00A722F8" w:rsidRPr="00EB7E63" w:rsidRDefault="00A722F8" w:rsidP="003F1262">
                  <w:pPr>
                    <w:rPr>
                      <w:rFonts w:ascii="Arial" w:eastAsia="Times New Roman" w:hAnsi="Arial" w:cs="Arial"/>
                      <w:sz w:val="16"/>
                      <w:szCs w:val="16"/>
                      <w:lang w:eastAsia="es-EC"/>
                    </w:rPr>
                  </w:pPr>
                  <w:r w:rsidRPr="00EB7E63">
                    <w:rPr>
                      <w:rFonts w:ascii="Arial" w:eastAsia="Times New Roman" w:hAnsi="Arial" w:cs="Arial"/>
                      <w:sz w:val="16"/>
                      <w:szCs w:val="16"/>
                      <w:lang w:eastAsia="es-EC"/>
                    </w:rPr>
                    <w:t>Socio</w:t>
                  </w:r>
                </w:p>
              </w:tc>
              <w:tc>
                <w:tcPr>
                  <w:tcW w:w="1134" w:type="dxa"/>
                  <w:tcBorders>
                    <w:top w:val="nil"/>
                    <w:left w:val="nil"/>
                    <w:bottom w:val="single" w:sz="4" w:space="0" w:color="auto"/>
                    <w:right w:val="nil"/>
                  </w:tcBorders>
                  <w:shd w:val="clear" w:color="auto" w:fill="auto"/>
                  <w:vAlign w:val="center"/>
                  <w:hideMark/>
                </w:tcPr>
                <w:p w:rsidR="00A722F8" w:rsidRPr="00EB7E63" w:rsidRDefault="00A722F8" w:rsidP="003F1262">
                  <w:pPr>
                    <w:rPr>
                      <w:rFonts w:ascii="Arial" w:eastAsia="Times New Roman" w:hAnsi="Arial" w:cs="Arial"/>
                      <w:sz w:val="16"/>
                      <w:szCs w:val="16"/>
                      <w:lang w:eastAsia="es-EC"/>
                    </w:rPr>
                  </w:pPr>
                  <w:r w:rsidRPr="00EB7E63">
                    <w:rPr>
                      <w:rFonts w:ascii="Arial" w:eastAsia="Times New Roman" w:hAnsi="Arial" w:cs="Arial"/>
                      <w:sz w:val="16"/>
                      <w:szCs w:val="16"/>
                      <w:lang w:eastAsia="es-EC"/>
                    </w:rPr>
                    <w:t>Trabajador no remunerado</w:t>
                  </w:r>
                </w:p>
              </w:tc>
              <w:tc>
                <w:tcPr>
                  <w:tcW w:w="850" w:type="dxa"/>
                  <w:tcBorders>
                    <w:top w:val="nil"/>
                    <w:left w:val="nil"/>
                    <w:bottom w:val="single" w:sz="4" w:space="0" w:color="auto"/>
                    <w:right w:val="nil"/>
                  </w:tcBorders>
                  <w:shd w:val="clear" w:color="auto" w:fill="auto"/>
                  <w:vAlign w:val="center"/>
                  <w:hideMark/>
                </w:tcPr>
                <w:p w:rsidR="00A722F8" w:rsidRPr="00EB7E63" w:rsidRDefault="00A722F8" w:rsidP="003F1262">
                  <w:pPr>
                    <w:rPr>
                      <w:rFonts w:ascii="Arial" w:eastAsia="Times New Roman" w:hAnsi="Arial" w:cs="Arial"/>
                      <w:sz w:val="16"/>
                      <w:szCs w:val="16"/>
                      <w:lang w:eastAsia="es-EC"/>
                    </w:rPr>
                  </w:pPr>
                  <w:r w:rsidRPr="00EB7E63">
                    <w:rPr>
                      <w:rFonts w:ascii="Arial" w:eastAsia="Times New Roman" w:hAnsi="Arial" w:cs="Arial"/>
                      <w:sz w:val="16"/>
                      <w:szCs w:val="16"/>
                      <w:lang w:eastAsia="es-EC"/>
                    </w:rPr>
                    <w:t>Se ignora</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Azuay</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0.381</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0.034</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0.520</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0.014</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0.012</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0.040</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Bolívar</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0.575</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0.018</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0.355</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0.012</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0.007</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0.034</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Cañar</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0.376</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0.020</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0.539</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0.013</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0.013</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0.039</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Carchi</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0.585</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0.024</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0.313</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0.010</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0.009</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0.060</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Cotopaxi</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0.542</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0.015</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0.384</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0.015</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0.015</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0.029</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Chimborazo</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0.322</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0.024</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0.598</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0.012</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0.013</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0.031</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El Oro</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0.590</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0.041</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0.308</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0.011</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0.011</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0.039</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Esmeraldas</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0.640</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0.051</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0.248</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0.005</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0.012</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0.043</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Pr>
                      <w:rFonts w:ascii="Arial" w:eastAsia="Times New Roman" w:hAnsi="Arial" w:cs="Arial"/>
                      <w:sz w:val="16"/>
                      <w:szCs w:val="16"/>
                      <w:lang w:eastAsia="es-EC"/>
                    </w:rPr>
                    <w:t xml:space="preserve">Otros cantones del </w:t>
                  </w:r>
                  <w:r w:rsidRPr="00EB7E63">
                    <w:rPr>
                      <w:rFonts w:ascii="Arial" w:eastAsia="Times New Roman" w:hAnsi="Arial" w:cs="Arial"/>
                      <w:sz w:val="16"/>
                      <w:szCs w:val="16"/>
                      <w:lang w:eastAsia="es-EC"/>
                    </w:rPr>
                    <w:t>Guayas</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0.597</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0.048</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0.295</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0.007</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0.011</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0.043</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Imbabura</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0.543</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0.010</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0.379</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0.018</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0.025</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0.025</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Loja</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0.535</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0.030</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0.379</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0.011</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0.011</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0.035</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Los Ríos</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0.630</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0.033</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0.280</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0.007</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0.011</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0.039</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Morona Santiago</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0.566</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0.026</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0.338</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0.015</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0.015</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0.041</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Napo</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0.609</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0.034</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0.290</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0.019</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0.005</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0.043</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Pastaza</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0.595</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0.012</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0.336</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0.008</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0.008</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0.040</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Pichincha</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0.637</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0.012</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0.289</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0.015</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0.011</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0.038</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Tungurahua</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0.463</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0.012</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0.465</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0.019</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0.011</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0.030</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Zamora Chinchipe</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0.565</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0.066</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0.319</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0.003</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0.003</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0.044</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Galápagos</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0.617</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0.008</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0.305</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0.004</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0.004</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0.063</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Sucumbíos</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0.627</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0.048</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0.263</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0.004</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0.022</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0.035</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Orellana</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0.622</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0.025</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0.277</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0.000</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0.025</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0.050</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Santo Domingo</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0.618</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0.040</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0.275</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0.015</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0.016</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0.037</w:t>
                  </w:r>
                </w:p>
              </w:tc>
            </w:tr>
            <w:tr w:rsidR="00A722F8" w:rsidRPr="00EB7E63" w:rsidTr="00825B96">
              <w:trPr>
                <w:trHeight w:val="227"/>
                <w:jc w:val="center"/>
              </w:trPr>
              <w:tc>
                <w:tcPr>
                  <w:tcW w:w="1474" w:type="dxa"/>
                  <w:tcBorders>
                    <w:top w:val="nil"/>
                    <w:left w:val="nil"/>
                    <w:bottom w:val="nil"/>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Santa Elena</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0.600</w:t>
                  </w:r>
                </w:p>
              </w:tc>
              <w:tc>
                <w:tcPr>
                  <w:tcW w:w="79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0.040</w:t>
                  </w:r>
                </w:p>
              </w:tc>
              <w:tc>
                <w:tcPr>
                  <w:tcW w:w="107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0.304</w:t>
                  </w:r>
                </w:p>
              </w:tc>
              <w:tc>
                <w:tcPr>
                  <w:tcW w:w="567"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0.007</w:t>
                  </w:r>
                </w:p>
              </w:tc>
              <w:tc>
                <w:tcPr>
                  <w:tcW w:w="1134"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0.010</w:t>
                  </w:r>
                </w:p>
              </w:tc>
              <w:tc>
                <w:tcPr>
                  <w:tcW w:w="850" w:type="dxa"/>
                  <w:tcBorders>
                    <w:top w:val="nil"/>
                    <w:left w:val="nil"/>
                    <w:bottom w:val="nil"/>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0.039</w:t>
                  </w:r>
                </w:p>
              </w:tc>
            </w:tr>
            <w:tr w:rsidR="00A722F8" w:rsidRPr="00EB7E63" w:rsidTr="00825B96">
              <w:trPr>
                <w:trHeight w:val="227"/>
                <w:jc w:val="center"/>
              </w:trPr>
              <w:tc>
                <w:tcPr>
                  <w:tcW w:w="1474" w:type="dxa"/>
                  <w:tcBorders>
                    <w:top w:val="nil"/>
                    <w:left w:val="nil"/>
                    <w:bottom w:val="single" w:sz="4" w:space="0" w:color="auto"/>
                    <w:right w:val="nil"/>
                  </w:tcBorders>
                  <w:shd w:val="clear" w:color="auto" w:fill="auto"/>
                  <w:noWrap/>
                  <w:vAlign w:val="center"/>
                  <w:hideMark/>
                </w:tcPr>
                <w:p w:rsidR="00A722F8" w:rsidRPr="00EB7E63" w:rsidRDefault="00A722F8" w:rsidP="00825B96">
                  <w:pPr>
                    <w:jc w:val="left"/>
                    <w:rPr>
                      <w:rFonts w:ascii="Arial" w:eastAsia="Times New Roman" w:hAnsi="Arial" w:cs="Arial"/>
                      <w:sz w:val="16"/>
                      <w:szCs w:val="16"/>
                      <w:lang w:eastAsia="es-EC"/>
                    </w:rPr>
                  </w:pPr>
                  <w:r w:rsidRPr="00EB7E63">
                    <w:rPr>
                      <w:rFonts w:ascii="Arial" w:eastAsia="Times New Roman" w:hAnsi="Arial" w:cs="Arial"/>
                      <w:sz w:val="16"/>
                      <w:szCs w:val="16"/>
                      <w:lang w:eastAsia="es-EC"/>
                    </w:rPr>
                    <w:t>Zonas No Delimitadas</w:t>
                  </w:r>
                </w:p>
              </w:tc>
              <w:tc>
                <w:tcPr>
                  <w:tcW w:w="794" w:type="dxa"/>
                  <w:tcBorders>
                    <w:top w:val="nil"/>
                    <w:left w:val="nil"/>
                    <w:bottom w:val="single" w:sz="4" w:space="0" w:color="auto"/>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0.375</w:t>
                  </w:r>
                </w:p>
              </w:tc>
              <w:tc>
                <w:tcPr>
                  <w:tcW w:w="794" w:type="dxa"/>
                  <w:tcBorders>
                    <w:top w:val="nil"/>
                    <w:left w:val="nil"/>
                    <w:bottom w:val="single" w:sz="4" w:space="0" w:color="auto"/>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0.375</w:t>
                  </w:r>
                </w:p>
              </w:tc>
              <w:tc>
                <w:tcPr>
                  <w:tcW w:w="1077" w:type="dxa"/>
                  <w:tcBorders>
                    <w:top w:val="nil"/>
                    <w:left w:val="nil"/>
                    <w:bottom w:val="single" w:sz="4" w:space="0" w:color="auto"/>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0.250</w:t>
                  </w:r>
                </w:p>
              </w:tc>
              <w:tc>
                <w:tcPr>
                  <w:tcW w:w="567" w:type="dxa"/>
                  <w:tcBorders>
                    <w:top w:val="nil"/>
                    <w:left w:val="nil"/>
                    <w:bottom w:val="single" w:sz="4" w:space="0" w:color="auto"/>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0.000</w:t>
                  </w:r>
                </w:p>
              </w:tc>
              <w:tc>
                <w:tcPr>
                  <w:tcW w:w="1134" w:type="dxa"/>
                  <w:tcBorders>
                    <w:top w:val="nil"/>
                    <w:left w:val="nil"/>
                    <w:bottom w:val="single" w:sz="4" w:space="0" w:color="auto"/>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0.000</w:t>
                  </w:r>
                </w:p>
              </w:tc>
              <w:tc>
                <w:tcPr>
                  <w:tcW w:w="850" w:type="dxa"/>
                  <w:tcBorders>
                    <w:top w:val="nil"/>
                    <w:left w:val="nil"/>
                    <w:bottom w:val="single" w:sz="4" w:space="0" w:color="auto"/>
                    <w:right w:val="nil"/>
                  </w:tcBorders>
                  <w:shd w:val="clear" w:color="auto" w:fill="auto"/>
                  <w:noWrap/>
                  <w:vAlign w:val="center"/>
                  <w:hideMark/>
                </w:tcPr>
                <w:p w:rsidR="00A722F8" w:rsidRPr="00EB7E63" w:rsidRDefault="00A722F8" w:rsidP="00825B96">
                  <w:pPr>
                    <w:rPr>
                      <w:rFonts w:ascii="Arial" w:eastAsia="Times New Roman" w:hAnsi="Arial" w:cs="Arial"/>
                      <w:sz w:val="16"/>
                      <w:szCs w:val="16"/>
                      <w:lang w:eastAsia="es-EC"/>
                    </w:rPr>
                  </w:pPr>
                  <w:r w:rsidRPr="00EB7E63">
                    <w:rPr>
                      <w:rFonts w:ascii="Arial" w:eastAsia="Times New Roman" w:hAnsi="Arial" w:cs="Arial"/>
                      <w:sz w:val="16"/>
                      <w:szCs w:val="16"/>
                      <w:lang w:eastAsia="es-EC"/>
                    </w:rPr>
                    <w:t>0.000</w:t>
                  </w:r>
                </w:p>
              </w:tc>
            </w:tr>
          </w:tbl>
          <w:p w:rsidR="00A722F8" w:rsidRPr="00516A71" w:rsidRDefault="00A722F8" w:rsidP="003F1262">
            <w:pPr>
              <w:rPr>
                <w:rFonts w:ascii="Arial" w:hAnsi="Arial" w:cs="Arial"/>
                <w:b/>
                <w:sz w:val="16"/>
                <w:szCs w:val="16"/>
              </w:rPr>
            </w:pPr>
          </w:p>
        </w:tc>
      </w:tr>
    </w:tbl>
    <w:p w:rsidR="00A722F8" w:rsidRPr="00825B96" w:rsidRDefault="00A722F8" w:rsidP="00825B96">
      <w:pPr>
        <w:pStyle w:val="Prrafodelista"/>
        <w:spacing w:line="276" w:lineRule="auto"/>
        <w:ind w:left="851"/>
        <w:jc w:val="both"/>
        <w:rPr>
          <w:rFonts w:ascii="Arial" w:hAnsi="Arial" w:cs="Arial"/>
          <w:sz w:val="17"/>
          <w:szCs w:val="17"/>
        </w:rPr>
      </w:pPr>
    </w:p>
    <w:p w:rsidR="00A722F8" w:rsidRPr="00825B96" w:rsidRDefault="00A722F8" w:rsidP="00825B96">
      <w:pPr>
        <w:pStyle w:val="Prrafodelista"/>
        <w:spacing w:line="276" w:lineRule="auto"/>
        <w:ind w:left="851"/>
        <w:jc w:val="both"/>
        <w:rPr>
          <w:rFonts w:ascii="Arial" w:hAnsi="Arial" w:cs="Arial"/>
          <w:sz w:val="17"/>
          <w:szCs w:val="17"/>
        </w:rPr>
      </w:pPr>
      <w:r w:rsidRPr="00825B96">
        <w:rPr>
          <w:rFonts w:ascii="Arial" w:hAnsi="Arial" w:cs="Arial"/>
          <w:b/>
          <w:i/>
          <w:sz w:val="17"/>
          <w:szCs w:val="17"/>
        </w:rPr>
        <w:t>Fuente:</w:t>
      </w:r>
      <w:r w:rsidRPr="00825B96">
        <w:rPr>
          <w:rFonts w:ascii="Arial" w:hAnsi="Arial" w:cs="Arial"/>
          <w:sz w:val="17"/>
          <w:szCs w:val="17"/>
        </w:rPr>
        <w:t xml:space="preserve"> </w:t>
      </w:r>
      <w:r w:rsidRPr="00825B96">
        <w:rPr>
          <w:rFonts w:ascii="Arial" w:hAnsi="Arial" w:cs="Arial"/>
          <w:b/>
          <w:sz w:val="17"/>
          <w:szCs w:val="17"/>
        </w:rPr>
        <w:t xml:space="preserve">INEC </w:t>
      </w:r>
      <w:r w:rsidRPr="00825B96">
        <w:rPr>
          <w:rFonts w:ascii="Arial" w:hAnsi="Arial" w:cs="Arial"/>
          <w:sz w:val="17"/>
          <w:szCs w:val="17"/>
        </w:rPr>
        <w:t>(2010), Base de Datos del VII Censo de Población y VI de Vivienda.</w:t>
      </w:r>
    </w:p>
    <w:p w:rsidR="00A722F8" w:rsidRPr="00825B96" w:rsidRDefault="00A722F8" w:rsidP="00825B96">
      <w:pPr>
        <w:pStyle w:val="Prrafodelista"/>
        <w:spacing w:line="276" w:lineRule="auto"/>
        <w:ind w:left="851"/>
        <w:jc w:val="both"/>
        <w:rPr>
          <w:rFonts w:ascii="Arial" w:hAnsi="Arial" w:cs="Arial"/>
          <w:sz w:val="17"/>
          <w:szCs w:val="17"/>
        </w:rPr>
      </w:pPr>
      <w:r w:rsidRPr="00825B96">
        <w:rPr>
          <w:rFonts w:ascii="Arial" w:hAnsi="Arial" w:cs="Arial"/>
          <w:b/>
          <w:i/>
          <w:sz w:val="17"/>
          <w:szCs w:val="17"/>
        </w:rPr>
        <w:t>Elaborado por:</w:t>
      </w:r>
      <w:r w:rsidRPr="00825B96">
        <w:rPr>
          <w:rFonts w:ascii="Arial" w:hAnsi="Arial" w:cs="Arial"/>
          <w:sz w:val="17"/>
          <w:szCs w:val="17"/>
        </w:rPr>
        <w:t xml:space="preserve"> Katherine Loor Valeriano</w:t>
      </w:r>
    </w:p>
    <w:p w:rsidR="00A722F8" w:rsidRPr="002163BD" w:rsidRDefault="00A722F8" w:rsidP="0041640C">
      <w:pPr>
        <w:pStyle w:val="TesisTitulo20"/>
        <w:numPr>
          <w:ilvl w:val="2"/>
          <w:numId w:val="9"/>
        </w:numPr>
        <w:ind w:left="851" w:firstLine="0"/>
      </w:pPr>
      <w:bookmarkStart w:id="343" w:name="_Toc339212709"/>
      <w:bookmarkStart w:id="344" w:name="_Toc341040637"/>
      <w:r>
        <w:lastRenderedPageBreak/>
        <w:t>Número de personas por dormitorio para los Inmigrantes que residen en Guayaquil</w:t>
      </w:r>
      <w:bookmarkEnd w:id="343"/>
      <w:bookmarkEnd w:id="344"/>
    </w:p>
    <w:p w:rsidR="00A722F8" w:rsidRDefault="00A722F8" w:rsidP="00825B96">
      <w:pPr>
        <w:pStyle w:val="Prrafodelista"/>
        <w:spacing w:line="480" w:lineRule="auto"/>
        <w:ind w:left="851"/>
        <w:jc w:val="both"/>
        <w:rPr>
          <w:rFonts w:ascii="Arial" w:hAnsi="Arial" w:cs="Arial"/>
        </w:rPr>
      </w:pPr>
      <w:r>
        <w:rPr>
          <w:rFonts w:ascii="Arial" w:hAnsi="Arial" w:cs="Arial"/>
        </w:rPr>
        <w:t>El hacinamiento</w:t>
      </w:r>
      <w:r>
        <w:rPr>
          <w:rStyle w:val="Refdenotaalpie"/>
          <w:rFonts w:ascii="Arial" w:hAnsi="Arial" w:cs="Arial"/>
        </w:rPr>
        <w:footnoteReference w:id="38"/>
      </w:r>
      <w:r>
        <w:rPr>
          <w:rFonts w:ascii="Arial" w:hAnsi="Arial" w:cs="Arial"/>
        </w:rPr>
        <w:t xml:space="preserve"> es</w:t>
      </w:r>
      <w:r w:rsidRPr="0090482D">
        <w:rPr>
          <w:rFonts w:ascii="Arial" w:hAnsi="Arial" w:cs="Arial"/>
        </w:rPr>
        <w:t xml:space="preserve"> la relación entre el número de personas </w:t>
      </w:r>
      <w:r>
        <w:rPr>
          <w:rFonts w:ascii="Arial" w:hAnsi="Arial" w:cs="Arial"/>
        </w:rPr>
        <w:t>y el número de dormitorios disponibles en la vivienda; dicho análisis solo se realizará para los inmigrantes residentes en Guayaquil y que viven en una vivienda particular, esto incluye, casa o villa, departamento en casa o edificio, cuarto en casa de inquilinato, mediagua, rancho, covacha, choza, y otra vivienda particular.</w:t>
      </w:r>
    </w:p>
    <w:p w:rsidR="00A722F8" w:rsidRDefault="00A722F8" w:rsidP="00825B96">
      <w:pPr>
        <w:pStyle w:val="Prrafodelista"/>
        <w:spacing w:line="480" w:lineRule="auto"/>
        <w:ind w:left="851"/>
        <w:jc w:val="both"/>
        <w:rPr>
          <w:rFonts w:ascii="Arial" w:hAnsi="Arial" w:cs="Arial"/>
        </w:rPr>
      </w:pPr>
    </w:p>
    <w:p w:rsidR="00A722F8" w:rsidRPr="004A79AF" w:rsidRDefault="00A722F8" w:rsidP="00825B96">
      <w:pPr>
        <w:pStyle w:val="Prrafodelista"/>
        <w:spacing w:line="480" w:lineRule="auto"/>
        <w:ind w:left="851"/>
        <w:jc w:val="both"/>
        <w:rPr>
          <w:rFonts w:ascii="Arial" w:hAnsi="Arial" w:cs="Arial"/>
        </w:rPr>
      </w:pPr>
      <w:r>
        <w:rPr>
          <w:rFonts w:ascii="Arial" w:hAnsi="Arial" w:cs="Arial"/>
        </w:rPr>
        <w:t xml:space="preserve"> En la </w:t>
      </w:r>
      <w:r>
        <w:rPr>
          <w:rFonts w:ascii="Arial" w:hAnsi="Arial" w:cs="Arial"/>
          <w:i/>
        </w:rPr>
        <w:t>Tabla 2.1</w:t>
      </w:r>
      <w:r w:rsidR="00825B96">
        <w:rPr>
          <w:rFonts w:ascii="Arial" w:hAnsi="Arial" w:cs="Arial"/>
          <w:i/>
        </w:rPr>
        <w:t>9</w:t>
      </w:r>
      <w:r>
        <w:rPr>
          <w:rFonts w:ascii="Arial" w:hAnsi="Arial" w:cs="Arial"/>
        </w:rPr>
        <w:t xml:space="preserve">, se muestra la proporción del número de personas por dormitorio que habitan en una vivienda, de aquí obtenemos que el 8.67% de las viviendas donde reside algún inmigrante no posee por lo menos un cuartos destinados para dormir. Además, tenemos que el 5.23% de las viviendas hay entre 0 y 1 persona por dormitorio lo que se podría interpretarse como que en estas casas hay mayor número de dormitorios respecto al total de personas que en ella habitan; existe un 34.39% de viviendas en las cuales hay entre 1 y 2 personas por dormitorio; el 23.98% de las viviendas duermen entre 2 y 3 personas; pero, existe un 8.94% de viviendas en las cuales hay más de 5 personas por dormitorio, situación realmente crítica puesto que el hecho de que en un mismo dormitorio duerman más de 5 personas es lamentable y podría ser un signo de pobreza, dado que el acceso de ellos a los recursos es limitado. </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825B96">
        <w:trPr>
          <w:trHeight w:val="5556"/>
          <w:jc w:val="right"/>
        </w:trPr>
        <w:tc>
          <w:tcPr>
            <w:tcW w:w="7497" w:type="dxa"/>
          </w:tcPr>
          <w:p w:rsidR="00A722F8" w:rsidRDefault="00A722F8" w:rsidP="003F1262">
            <w:pPr>
              <w:rPr>
                <w:rFonts w:ascii="Arial" w:hAnsi="Arial" w:cs="Arial"/>
                <w:b/>
                <w:sz w:val="16"/>
                <w:szCs w:val="16"/>
              </w:rPr>
            </w:pPr>
          </w:p>
          <w:p w:rsidR="00EF2B3D" w:rsidRPr="00EF2B3D" w:rsidRDefault="00EF2B3D" w:rsidP="00EF2B3D">
            <w:pPr>
              <w:keepNext/>
              <w:rPr>
                <w:rFonts w:ascii="Arial" w:hAnsi="Arial" w:cs="Arial"/>
                <w:b/>
                <w:sz w:val="16"/>
                <w:szCs w:val="16"/>
              </w:rPr>
            </w:pPr>
            <w:bookmarkStart w:id="345" w:name="_Toc341041594"/>
            <w:r w:rsidRPr="00EF2B3D">
              <w:rPr>
                <w:rFonts w:ascii="Arial" w:hAnsi="Arial" w:cs="Arial"/>
                <w:b/>
                <w:sz w:val="16"/>
                <w:szCs w:val="16"/>
              </w:rPr>
              <w:t>Tabla</w:t>
            </w:r>
            <w:r>
              <w:rPr>
                <w:rFonts w:ascii="Arial" w:hAnsi="Arial" w:cs="Arial"/>
                <w:b/>
                <w:sz w:val="16"/>
                <w:szCs w:val="16"/>
              </w:rPr>
              <w:t xml:space="preserve"> </w:t>
            </w:r>
            <w:r w:rsidRPr="00EF2B3D">
              <w:rPr>
                <w:rFonts w:ascii="Arial" w:hAnsi="Arial" w:cs="Arial"/>
                <w:b/>
                <w:sz w:val="16"/>
                <w:szCs w:val="16"/>
              </w:rPr>
              <w:t>2.</w:t>
            </w:r>
            <w:r w:rsidR="00990535" w:rsidRPr="00EF2B3D">
              <w:rPr>
                <w:rFonts w:ascii="Arial" w:hAnsi="Arial" w:cs="Arial"/>
                <w:b/>
                <w:sz w:val="16"/>
                <w:szCs w:val="16"/>
              </w:rPr>
              <w:fldChar w:fldCharType="begin"/>
            </w:r>
            <w:r w:rsidRPr="00EF2B3D">
              <w:rPr>
                <w:rFonts w:ascii="Arial" w:hAnsi="Arial" w:cs="Arial"/>
                <w:b/>
                <w:sz w:val="16"/>
                <w:szCs w:val="16"/>
              </w:rPr>
              <w:instrText xml:space="preserve"> SEQ Tabla2. \* ARABIC </w:instrText>
            </w:r>
            <w:r w:rsidR="00990535" w:rsidRPr="00EF2B3D">
              <w:rPr>
                <w:rFonts w:ascii="Arial" w:hAnsi="Arial" w:cs="Arial"/>
                <w:b/>
                <w:sz w:val="16"/>
                <w:szCs w:val="16"/>
              </w:rPr>
              <w:fldChar w:fldCharType="separate"/>
            </w:r>
            <w:r w:rsidR="00A242E0">
              <w:rPr>
                <w:rFonts w:ascii="Arial" w:hAnsi="Arial" w:cs="Arial"/>
                <w:b/>
                <w:noProof/>
                <w:sz w:val="16"/>
                <w:szCs w:val="16"/>
              </w:rPr>
              <w:t>19</w:t>
            </w:r>
            <w:bookmarkEnd w:id="345"/>
            <w:r w:rsidR="00990535" w:rsidRPr="00EF2B3D">
              <w:rPr>
                <w:rFonts w:ascii="Arial" w:hAnsi="Arial" w:cs="Arial"/>
                <w:b/>
                <w:sz w:val="16"/>
                <w:szCs w:val="16"/>
              </w:rPr>
              <w:fldChar w:fldCharType="end"/>
            </w:r>
          </w:p>
          <w:p w:rsidR="00825B96" w:rsidRDefault="00825B96" w:rsidP="003F1262">
            <w:pPr>
              <w:rPr>
                <w:rFonts w:ascii="Arial" w:hAnsi="Arial" w:cs="Arial"/>
                <w:i/>
                <w:sz w:val="16"/>
                <w:szCs w:val="16"/>
              </w:rPr>
            </w:pPr>
            <w:r>
              <w:rPr>
                <w:rFonts w:ascii="Arial" w:hAnsi="Arial" w:cs="Arial"/>
                <w:b/>
                <w:i/>
                <w:sz w:val="16"/>
                <w:szCs w:val="16"/>
              </w:rPr>
              <w:t xml:space="preserve">Guayaquil 2010: </w:t>
            </w:r>
            <w:r>
              <w:rPr>
                <w:rFonts w:ascii="Arial" w:hAnsi="Arial" w:cs="Arial"/>
                <w:i/>
                <w:sz w:val="16"/>
                <w:szCs w:val="16"/>
              </w:rPr>
              <w:t>Número de personas</w:t>
            </w:r>
            <w:r w:rsidR="004A6007">
              <w:rPr>
                <w:rFonts w:ascii="Arial" w:hAnsi="Arial" w:cs="Arial"/>
                <w:i/>
                <w:sz w:val="16"/>
                <w:szCs w:val="16"/>
              </w:rPr>
              <w:t xml:space="preserve"> </w:t>
            </w:r>
            <w:r w:rsidR="00A722F8">
              <w:rPr>
                <w:rFonts w:ascii="Arial" w:hAnsi="Arial" w:cs="Arial"/>
                <w:i/>
                <w:sz w:val="16"/>
                <w:szCs w:val="16"/>
              </w:rPr>
              <w:t>por dormitorio</w:t>
            </w:r>
            <w:r>
              <w:rPr>
                <w:rFonts w:ascii="Arial" w:hAnsi="Arial" w:cs="Arial"/>
                <w:i/>
                <w:sz w:val="16"/>
                <w:szCs w:val="16"/>
              </w:rPr>
              <w:t xml:space="preserve"> en viviendas donde reside</w:t>
            </w:r>
          </w:p>
          <w:p w:rsidR="00A722F8" w:rsidRPr="00E137E6" w:rsidRDefault="00825B96" w:rsidP="003F1262">
            <w:pPr>
              <w:rPr>
                <w:rFonts w:ascii="Arial" w:hAnsi="Arial" w:cs="Arial"/>
                <w:i/>
                <w:sz w:val="16"/>
                <w:szCs w:val="16"/>
              </w:rPr>
            </w:pPr>
            <w:r>
              <w:rPr>
                <w:rFonts w:ascii="Arial" w:hAnsi="Arial" w:cs="Arial"/>
                <w:i/>
                <w:sz w:val="16"/>
                <w:szCs w:val="16"/>
              </w:rPr>
              <w:t xml:space="preserve"> al menos un Inmigrante interno</w:t>
            </w:r>
          </w:p>
          <w:tbl>
            <w:tblPr>
              <w:tblW w:w="0" w:type="auto"/>
              <w:tblCellMar>
                <w:left w:w="70" w:type="dxa"/>
                <w:right w:w="70" w:type="dxa"/>
              </w:tblCellMar>
              <w:tblLook w:val="04A0" w:firstRow="1" w:lastRow="0" w:firstColumn="1" w:lastColumn="0" w:noHBand="0" w:noVBand="1"/>
            </w:tblPr>
            <w:tblGrid>
              <w:gridCol w:w="3340"/>
              <w:gridCol w:w="4017"/>
            </w:tblGrid>
            <w:tr w:rsidR="00A722F8" w:rsidTr="003F1262">
              <w:tc>
                <w:tcPr>
                  <w:tcW w:w="3492" w:type="dxa"/>
                </w:tcPr>
                <w:p w:rsidR="00A722F8" w:rsidRDefault="00A722F8" w:rsidP="003F1262">
                  <w:pPr>
                    <w:rPr>
                      <w:rFonts w:ascii="Arial" w:hAnsi="Arial" w:cs="Arial"/>
                      <w:b/>
                      <w:sz w:val="16"/>
                      <w:szCs w:val="16"/>
                    </w:rPr>
                  </w:pPr>
                  <w:r>
                    <w:rPr>
                      <w:noProof/>
                      <w:sz w:val="16"/>
                      <w:szCs w:val="16"/>
                      <w:lang w:eastAsia="es-EC"/>
                    </w:rPr>
                    <w:tab/>
                  </w:r>
                </w:p>
                <w:p w:rsidR="00A722F8" w:rsidRDefault="00A722F8" w:rsidP="003F1262">
                  <w:pPr>
                    <w:rPr>
                      <w:rFonts w:ascii="Arial" w:hAnsi="Arial" w:cs="Arial"/>
                      <w:b/>
                      <w:sz w:val="16"/>
                      <w:szCs w:val="16"/>
                    </w:rPr>
                  </w:pPr>
                </w:p>
                <w:tbl>
                  <w:tblPr>
                    <w:tblW w:w="3181" w:type="dxa"/>
                    <w:jc w:val="center"/>
                    <w:tblCellMar>
                      <w:left w:w="70" w:type="dxa"/>
                      <w:right w:w="70" w:type="dxa"/>
                    </w:tblCellMar>
                    <w:tblLook w:val="04A0" w:firstRow="1" w:lastRow="0" w:firstColumn="1" w:lastColumn="0" w:noHBand="0" w:noVBand="1"/>
                  </w:tblPr>
                  <w:tblGrid>
                    <w:gridCol w:w="1701"/>
                    <w:gridCol w:w="1480"/>
                  </w:tblGrid>
                  <w:tr w:rsidR="00A722F8" w:rsidRPr="00646BB5" w:rsidTr="003F1262">
                    <w:trPr>
                      <w:trHeight w:val="227"/>
                      <w:jc w:val="center"/>
                    </w:trPr>
                    <w:tc>
                      <w:tcPr>
                        <w:tcW w:w="1701" w:type="dxa"/>
                        <w:tcBorders>
                          <w:top w:val="single" w:sz="4" w:space="0" w:color="auto"/>
                          <w:left w:val="nil"/>
                          <w:bottom w:val="single" w:sz="4" w:space="0" w:color="auto"/>
                          <w:right w:val="nil"/>
                        </w:tcBorders>
                        <w:shd w:val="clear" w:color="auto" w:fill="auto"/>
                        <w:vAlign w:val="center"/>
                        <w:hideMark/>
                      </w:tcPr>
                      <w:p w:rsidR="00A722F8" w:rsidRPr="00646BB5" w:rsidRDefault="00A722F8" w:rsidP="003F1262">
                        <w:pPr>
                          <w:rPr>
                            <w:rFonts w:ascii="Arial" w:eastAsia="Times New Roman" w:hAnsi="Arial" w:cs="Arial"/>
                            <w:b/>
                            <w:bCs/>
                            <w:sz w:val="16"/>
                            <w:szCs w:val="16"/>
                            <w:lang w:eastAsia="es-EC"/>
                          </w:rPr>
                        </w:pPr>
                        <w:r w:rsidRPr="00646BB5">
                          <w:rPr>
                            <w:rFonts w:ascii="Arial" w:eastAsia="Times New Roman" w:hAnsi="Arial" w:cs="Arial"/>
                            <w:b/>
                            <w:bCs/>
                            <w:sz w:val="16"/>
                            <w:szCs w:val="16"/>
                            <w:lang w:eastAsia="es-EC"/>
                          </w:rPr>
                          <w:t xml:space="preserve">Número de Personas por </w:t>
                        </w:r>
                        <w:r>
                          <w:rPr>
                            <w:rFonts w:ascii="Arial" w:eastAsia="Times New Roman" w:hAnsi="Arial" w:cs="Arial"/>
                            <w:b/>
                            <w:bCs/>
                            <w:sz w:val="16"/>
                            <w:szCs w:val="16"/>
                            <w:lang w:eastAsia="es-EC"/>
                          </w:rPr>
                          <w:t>dormitorio</w:t>
                        </w:r>
                      </w:p>
                    </w:tc>
                    <w:tc>
                      <w:tcPr>
                        <w:tcW w:w="1480" w:type="dxa"/>
                        <w:tcBorders>
                          <w:top w:val="single" w:sz="4" w:space="0" w:color="auto"/>
                          <w:left w:val="nil"/>
                          <w:bottom w:val="single" w:sz="4" w:space="0" w:color="auto"/>
                          <w:right w:val="nil"/>
                        </w:tcBorders>
                        <w:shd w:val="clear" w:color="auto" w:fill="auto"/>
                        <w:vAlign w:val="center"/>
                        <w:hideMark/>
                      </w:tcPr>
                      <w:p w:rsidR="00A722F8" w:rsidRPr="00646BB5" w:rsidRDefault="00A722F8" w:rsidP="003F1262">
                        <w:pPr>
                          <w:rPr>
                            <w:rFonts w:ascii="Arial" w:eastAsia="Times New Roman" w:hAnsi="Arial" w:cs="Arial"/>
                            <w:b/>
                            <w:bCs/>
                            <w:sz w:val="16"/>
                            <w:szCs w:val="16"/>
                            <w:lang w:eastAsia="es-EC"/>
                          </w:rPr>
                        </w:pPr>
                        <w:r w:rsidRPr="00646BB5">
                          <w:rPr>
                            <w:rFonts w:ascii="Arial" w:eastAsia="Times New Roman" w:hAnsi="Arial" w:cs="Arial"/>
                            <w:b/>
                            <w:bCs/>
                            <w:sz w:val="16"/>
                            <w:szCs w:val="16"/>
                            <w:lang w:eastAsia="es-EC"/>
                          </w:rPr>
                          <w:t>Frecuencia Relativa</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Sin dormitorio</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0.0867</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[0 - 1)</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0.0523</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[1 - 2)</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0.3439</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[2 - 3)</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0.2398</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[3 - 4)</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0.1154</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[4 - 5)</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0.0725</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[5 - 6)</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0.0445</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[6 - 7)</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0.0228</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[7 - 8)</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0.0117</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[8 - 9)</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0.0052</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[9 - 10)</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0.0025</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[10 - 15)</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0.0027</w:t>
                        </w:r>
                      </w:p>
                    </w:tc>
                  </w:tr>
                  <w:tr w:rsidR="00A722F8" w:rsidRPr="00646BB5"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646BB5" w:rsidRDefault="00A722F8" w:rsidP="00EC7566">
                        <w:pPr>
                          <w:jc w:val="left"/>
                          <w:rPr>
                            <w:rFonts w:ascii="Arial" w:eastAsia="Times New Roman" w:hAnsi="Arial" w:cs="Arial"/>
                            <w:sz w:val="16"/>
                            <w:szCs w:val="16"/>
                            <w:lang w:eastAsia="es-EC"/>
                          </w:rPr>
                        </w:pPr>
                        <w:r w:rsidRPr="00646BB5">
                          <w:rPr>
                            <w:rFonts w:ascii="Arial" w:eastAsia="Times New Roman" w:hAnsi="Arial" w:cs="Arial"/>
                            <w:sz w:val="16"/>
                            <w:szCs w:val="16"/>
                            <w:lang w:eastAsia="es-EC"/>
                          </w:rPr>
                          <w:t>[15 - 20)</w:t>
                        </w:r>
                      </w:p>
                    </w:tc>
                    <w:tc>
                      <w:tcPr>
                        <w:tcW w:w="1480" w:type="dxa"/>
                        <w:tcBorders>
                          <w:top w:val="nil"/>
                          <w:left w:val="nil"/>
                          <w:bottom w:val="nil"/>
                          <w:right w:val="nil"/>
                        </w:tcBorders>
                        <w:shd w:val="clear" w:color="auto" w:fill="auto"/>
                        <w:noWrap/>
                        <w:vAlign w:val="center"/>
                        <w:hideMark/>
                      </w:tcPr>
                      <w:p w:rsidR="00A722F8" w:rsidRPr="00646BB5" w:rsidRDefault="00A722F8" w:rsidP="003F1262">
                        <w:pPr>
                          <w:rPr>
                            <w:rFonts w:ascii="Arial" w:eastAsia="Times New Roman" w:hAnsi="Arial" w:cs="Arial"/>
                            <w:sz w:val="16"/>
                            <w:szCs w:val="16"/>
                            <w:lang w:eastAsia="es-EC"/>
                          </w:rPr>
                        </w:pPr>
                        <w:r w:rsidRPr="00646BB5">
                          <w:rPr>
                            <w:rFonts w:ascii="Arial" w:eastAsia="Times New Roman" w:hAnsi="Arial" w:cs="Arial"/>
                            <w:sz w:val="16"/>
                            <w:szCs w:val="16"/>
                            <w:lang w:eastAsia="es-EC"/>
                          </w:rPr>
                          <w:t>0.0001</w:t>
                        </w:r>
                      </w:p>
                    </w:tc>
                  </w:tr>
                  <w:tr w:rsidR="00A722F8" w:rsidRPr="00646BB5" w:rsidTr="003F1262">
                    <w:trPr>
                      <w:trHeight w:val="227"/>
                      <w:jc w:val="center"/>
                    </w:trPr>
                    <w:tc>
                      <w:tcPr>
                        <w:tcW w:w="1701" w:type="dxa"/>
                        <w:tcBorders>
                          <w:top w:val="single" w:sz="4" w:space="0" w:color="auto"/>
                          <w:left w:val="nil"/>
                          <w:bottom w:val="single" w:sz="4" w:space="0" w:color="auto"/>
                          <w:right w:val="nil"/>
                        </w:tcBorders>
                        <w:shd w:val="clear" w:color="auto" w:fill="auto"/>
                        <w:noWrap/>
                        <w:vAlign w:val="center"/>
                        <w:hideMark/>
                      </w:tcPr>
                      <w:p w:rsidR="00A722F8" w:rsidRPr="00646BB5" w:rsidRDefault="00A722F8" w:rsidP="00EC7566">
                        <w:pPr>
                          <w:jc w:val="left"/>
                          <w:rPr>
                            <w:rFonts w:ascii="Arial" w:eastAsia="Times New Roman" w:hAnsi="Arial" w:cs="Arial"/>
                            <w:b/>
                            <w:bCs/>
                            <w:sz w:val="16"/>
                            <w:szCs w:val="16"/>
                            <w:lang w:eastAsia="es-EC"/>
                          </w:rPr>
                        </w:pPr>
                        <w:r w:rsidRPr="00646BB5">
                          <w:rPr>
                            <w:rFonts w:ascii="Arial" w:eastAsia="Times New Roman" w:hAnsi="Arial" w:cs="Arial"/>
                            <w:b/>
                            <w:bCs/>
                            <w:sz w:val="16"/>
                            <w:szCs w:val="16"/>
                            <w:lang w:eastAsia="es-EC"/>
                          </w:rPr>
                          <w:t>Total</w:t>
                        </w:r>
                      </w:p>
                    </w:tc>
                    <w:tc>
                      <w:tcPr>
                        <w:tcW w:w="1480" w:type="dxa"/>
                        <w:tcBorders>
                          <w:top w:val="single" w:sz="4" w:space="0" w:color="auto"/>
                          <w:left w:val="nil"/>
                          <w:bottom w:val="single" w:sz="4" w:space="0" w:color="auto"/>
                          <w:right w:val="nil"/>
                        </w:tcBorders>
                        <w:shd w:val="clear" w:color="auto" w:fill="auto"/>
                        <w:noWrap/>
                        <w:vAlign w:val="center"/>
                        <w:hideMark/>
                      </w:tcPr>
                      <w:p w:rsidR="00A722F8" w:rsidRPr="00646BB5" w:rsidRDefault="00A722F8" w:rsidP="003F1262">
                        <w:pPr>
                          <w:rPr>
                            <w:rFonts w:ascii="Arial" w:eastAsia="Times New Roman" w:hAnsi="Arial" w:cs="Arial"/>
                            <w:b/>
                            <w:bCs/>
                            <w:i/>
                            <w:iCs/>
                            <w:sz w:val="16"/>
                            <w:szCs w:val="16"/>
                            <w:lang w:eastAsia="es-EC"/>
                          </w:rPr>
                        </w:pPr>
                        <w:r w:rsidRPr="00646BB5">
                          <w:rPr>
                            <w:rFonts w:ascii="Arial" w:eastAsia="Times New Roman" w:hAnsi="Arial" w:cs="Arial"/>
                            <w:b/>
                            <w:bCs/>
                            <w:i/>
                            <w:iCs/>
                            <w:sz w:val="16"/>
                            <w:szCs w:val="16"/>
                            <w:lang w:eastAsia="es-EC"/>
                          </w:rPr>
                          <w:t>1.000</w:t>
                        </w:r>
                        <w:r>
                          <w:rPr>
                            <w:rFonts w:ascii="Arial" w:eastAsia="Times New Roman" w:hAnsi="Arial" w:cs="Arial"/>
                            <w:b/>
                            <w:bCs/>
                            <w:i/>
                            <w:iCs/>
                            <w:sz w:val="16"/>
                            <w:szCs w:val="16"/>
                            <w:lang w:eastAsia="es-EC"/>
                          </w:rPr>
                          <w:t>0</w:t>
                        </w:r>
                      </w:p>
                    </w:tc>
                  </w:tr>
                </w:tbl>
                <w:p w:rsidR="00A722F8" w:rsidRDefault="00A722F8" w:rsidP="003F1262">
                  <w:pPr>
                    <w:rPr>
                      <w:rFonts w:ascii="Arial" w:hAnsi="Arial" w:cs="Arial"/>
                      <w:b/>
                      <w:sz w:val="16"/>
                      <w:szCs w:val="16"/>
                    </w:rPr>
                  </w:pPr>
                </w:p>
                <w:p w:rsidR="00A722F8" w:rsidRDefault="00A722F8" w:rsidP="003F1262">
                  <w:pPr>
                    <w:rPr>
                      <w:rFonts w:ascii="Arial" w:hAnsi="Arial" w:cs="Arial"/>
                      <w:b/>
                      <w:sz w:val="16"/>
                      <w:szCs w:val="16"/>
                    </w:rPr>
                  </w:pPr>
                </w:p>
              </w:tc>
              <w:tc>
                <w:tcPr>
                  <w:tcW w:w="4045" w:type="dxa"/>
                </w:tcPr>
                <w:p w:rsidR="00A722F8" w:rsidRDefault="00A722F8" w:rsidP="003F1262">
                  <w:pPr>
                    <w:rPr>
                      <w:rFonts w:ascii="Arial" w:hAnsi="Arial" w:cs="Arial"/>
                      <w:b/>
                      <w:sz w:val="16"/>
                      <w:szCs w:val="16"/>
                    </w:rPr>
                  </w:pPr>
                  <w:r>
                    <w:rPr>
                      <w:noProof/>
                      <w:lang w:eastAsia="es-EC"/>
                    </w:rPr>
                    <w:drawing>
                      <wp:inline distT="0" distB="0" distL="0" distR="0">
                        <wp:extent cx="2438400" cy="3124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A722F8" w:rsidRPr="00516A71" w:rsidRDefault="00A722F8" w:rsidP="003F1262">
            <w:pPr>
              <w:tabs>
                <w:tab w:val="left" w:pos="3030"/>
                <w:tab w:val="center" w:pos="3768"/>
              </w:tabs>
              <w:jc w:val="left"/>
              <w:rPr>
                <w:rFonts w:ascii="Arial" w:hAnsi="Arial" w:cs="Arial"/>
                <w:b/>
                <w:sz w:val="16"/>
                <w:szCs w:val="16"/>
              </w:rPr>
            </w:pPr>
          </w:p>
        </w:tc>
      </w:tr>
    </w:tbl>
    <w:p w:rsidR="00A722F8" w:rsidRPr="00825B96" w:rsidRDefault="00A722F8" w:rsidP="00825B96">
      <w:pPr>
        <w:pStyle w:val="Prrafodelista"/>
        <w:spacing w:line="276" w:lineRule="auto"/>
        <w:ind w:left="851"/>
        <w:jc w:val="both"/>
        <w:rPr>
          <w:rFonts w:ascii="Arial" w:hAnsi="Arial" w:cs="Arial"/>
          <w:sz w:val="17"/>
          <w:szCs w:val="17"/>
        </w:rPr>
      </w:pPr>
    </w:p>
    <w:p w:rsidR="00A722F8" w:rsidRPr="00825B96" w:rsidRDefault="00A722F8" w:rsidP="00825B96">
      <w:pPr>
        <w:pStyle w:val="Prrafodelista"/>
        <w:spacing w:line="276" w:lineRule="auto"/>
        <w:ind w:left="851"/>
        <w:jc w:val="both"/>
        <w:rPr>
          <w:rFonts w:ascii="Arial" w:hAnsi="Arial" w:cs="Arial"/>
          <w:sz w:val="17"/>
          <w:szCs w:val="17"/>
        </w:rPr>
      </w:pPr>
      <w:r w:rsidRPr="00825B96">
        <w:rPr>
          <w:rFonts w:ascii="Arial" w:hAnsi="Arial" w:cs="Arial"/>
          <w:b/>
          <w:i/>
          <w:sz w:val="17"/>
          <w:szCs w:val="17"/>
        </w:rPr>
        <w:t>Fuente:</w:t>
      </w:r>
      <w:r w:rsidRPr="00825B96">
        <w:rPr>
          <w:rFonts w:ascii="Arial" w:hAnsi="Arial" w:cs="Arial"/>
          <w:sz w:val="17"/>
          <w:szCs w:val="17"/>
        </w:rPr>
        <w:t xml:space="preserve"> </w:t>
      </w:r>
      <w:r w:rsidRPr="00825B96">
        <w:rPr>
          <w:rFonts w:ascii="Arial" w:hAnsi="Arial" w:cs="Arial"/>
          <w:b/>
          <w:sz w:val="17"/>
          <w:szCs w:val="17"/>
        </w:rPr>
        <w:t xml:space="preserve">INEC </w:t>
      </w:r>
      <w:r w:rsidRPr="00825B96">
        <w:rPr>
          <w:rFonts w:ascii="Arial" w:hAnsi="Arial" w:cs="Arial"/>
          <w:sz w:val="17"/>
          <w:szCs w:val="17"/>
        </w:rPr>
        <w:t>(2010), Base de Datos del VII Censo de Población y VI de Vivienda.</w:t>
      </w:r>
    </w:p>
    <w:p w:rsidR="00A722F8" w:rsidRPr="007C15D0" w:rsidRDefault="00A722F8" w:rsidP="00825B96">
      <w:pPr>
        <w:pStyle w:val="Prrafodelista"/>
        <w:spacing w:line="276" w:lineRule="auto"/>
        <w:ind w:left="851"/>
        <w:jc w:val="both"/>
        <w:rPr>
          <w:rFonts w:ascii="Arial" w:hAnsi="Arial" w:cs="Arial"/>
          <w:sz w:val="18"/>
          <w:szCs w:val="18"/>
        </w:rPr>
      </w:pPr>
      <w:r w:rsidRPr="00825B96">
        <w:rPr>
          <w:rFonts w:ascii="Arial" w:hAnsi="Arial" w:cs="Arial"/>
          <w:b/>
          <w:i/>
          <w:sz w:val="17"/>
          <w:szCs w:val="17"/>
        </w:rPr>
        <w:t>Elaborado por:</w:t>
      </w:r>
      <w:r w:rsidRPr="00825B96">
        <w:rPr>
          <w:rFonts w:ascii="Arial" w:hAnsi="Arial" w:cs="Arial"/>
          <w:sz w:val="17"/>
          <w:szCs w:val="17"/>
        </w:rPr>
        <w:t xml:space="preserve"> Katherine Loor Valeriano</w:t>
      </w:r>
    </w:p>
    <w:p w:rsidR="00A722F8" w:rsidRDefault="00A722F8" w:rsidP="00825B96">
      <w:pPr>
        <w:pStyle w:val="Prrafodelista"/>
        <w:spacing w:line="480" w:lineRule="auto"/>
        <w:ind w:left="851"/>
        <w:jc w:val="both"/>
        <w:rPr>
          <w:rFonts w:ascii="Arial" w:hAnsi="Arial" w:cs="Arial"/>
        </w:rPr>
      </w:pPr>
    </w:p>
    <w:p w:rsidR="00A722F8" w:rsidRDefault="00A722F8" w:rsidP="00825B96">
      <w:pPr>
        <w:pStyle w:val="Prrafodelista"/>
        <w:spacing w:line="480" w:lineRule="auto"/>
        <w:ind w:left="851"/>
        <w:jc w:val="both"/>
        <w:rPr>
          <w:rFonts w:ascii="Arial" w:hAnsi="Arial" w:cs="Arial"/>
        </w:rPr>
      </w:pPr>
      <w:r>
        <w:rPr>
          <w:rFonts w:ascii="Arial" w:hAnsi="Arial" w:cs="Arial"/>
        </w:rPr>
        <w:t xml:space="preserve">En la tabla anterior, se mencionaba que existe un porcentaje de la población inmigrante que reside en viviendas sin dormitorios, ahora el interés esta en conocer cuántas personas viven en dichas viviendas. Dichos resultados los tenemos en la </w:t>
      </w:r>
      <w:r>
        <w:rPr>
          <w:rFonts w:ascii="Arial" w:hAnsi="Arial" w:cs="Arial"/>
          <w:i/>
        </w:rPr>
        <w:t>Tabla 2.</w:t>
      </w:r>
      <w:r w:rsidR="00825B96">
        <w:rPr>
          <w:rFonts w:ascii="Arial" w:hAnsi="Arial" w:cs="Arial"/>
          <w:i/>
        </w:rPr>
        <w:t>20</w:t>
      </w:r>
      <w:r>
        <w:rPr>
          <w:rFonts w:ascii="Arial" w:hAnsi="Arial" w:cs="Arial"/>
        </w:rPr>
        <w:t>, donde podemos notar que del total de viviendas sin dormitorio, en el 19.27% de ellas habita una persona, en el 15.10% habitan dos personas, en el 17.50% viven tres personas, además podemos ver que en el 29.69% de las viviendas sin dormitorio viven más de 6 personas, siendo el valor máximo 20.</w:t>
      </w:r>
    </w:p>
    <w:tbl>
      <w:tblPr>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A722F8" w:rsidRPr="00840530" w:rsidTr="00825B96">
        <w:trPr>
          <w:trHeight w:val="4989"/>
          <w:jc w:val="right"/>
        </w:trPr>
        <w:tc>
          <w:tcPr>
            <w:tcW w:w="7497" w:type="dxa"/>
          </w:tcPr>
          <w:p w:rsidR="00A722F8" w:rsidRDefault="00A722F8" w:rsidP="003F1262">
            <w:pPr>
              <w:rPr>
                <w:rFonts w:ascii="Arial" w:hAnsi="Arial" w:cs="Arial"/>
                <w:b/>
                <w:sz w:val="16"/>
                <w:szCs w:val="16"/>
              </w:rPr>
            </w:pPr>
          </w:p>
          <w:p w:rsidR="003014D3" w:rsidRPr="003014D3" w:rsidRDefault="003014D3" w:rsidP="003014D3">
            <w:pPr>
              <w:keepNext/>
              <w:rPr>
                <w:rFonts w:ascii="Arial" w:hAnsi="Arial" w:cs="Arial"/>
                <w:b/>
                <w:sz w:val="16"/>
                <w:szCs w:val="16"/>
              </w:rPr>
            </w:pPr>
            <w:bookmarkStart w:id="346" w:name="_Toc341041595"/>
            <w:r>
              <w:rPr>
                <w:rFonts w:ascii="Arial" w:hAnsi="Arial" w:cs="Arial"/>
                <w:b/>
                <w:sz w:val="16"/>
                <w:szCs w:val="16"/>
              </w:rPr>
              <w:t>Tabla 2.</w:t>
            </w:r>
            <w:r w:rsidR="00990535" w:rsidRPr="003014D3">
              <w:rPr>
                <w:rFonts w:ascii="Arial" w:hAnsi="Arial" w:cs="Arial"/>
                <w:b/>
                <w:sz w:val="16"/>
                <w:szCs w:val="16"/>
              </w:rPr>
              <w:fldChar w:fldCharType="begin"/>
            </w:r>
            <w:r w:rsidRPr="003014D3">
              <w:rPr>
                <w:rFonts w:ascii="Arial" w:hAnsi="Arial" w:cs="Arial"/>
                <w:b/>
                <w:sz w:val="16"/>
                <w:szCs w:val="16"/>
              </w:rPr>
              <w:instrText xml:space="preserve"> SEQ Tabla2. \* ARABIC </w:instrText>
            </w:r>
            <w:r w:rsidR="00990535" w:rsidRPr="003014D3">
              <w:rPr>
                <w:rFonts w:ascii="Arial" w:hAnsi="Arial" w:cs="Arial"/>
                <w:b/>
                <w:sz w:val="16"/>
                <w:szCs w:val="16"/>
              </w:rPr>
              <w:fldChar w:fldCharType="separate"/>
            </w:r>
            <w:r w:rsidR="00A242E0">
              <w:rPr>
                <w:rFonts w:ascii="Arial" w:hAnsi="Arial" w:cs="Arial"/>
                <w:b/>
                <w:noProof/>
                <w:sz w:val="16"/>
                <w:szCs w:val="16"/>
              </w:rPr>
              <w:t>20</w:t>
            </w:r>
            <w:bookmarkEnd w:id="346"/>
            <w:r w:rsidR="00990535" w:rsidRPr="003014D3">
              <w:rPr>
                <w:rFonts w:ascii="Arial" w:hAnsi="Arial" w:cs="Arial"/>
                <w:b/>
                <w:sz w:val="16"/>
                <w:szCs w:val="16"/>
              </w:rPr>
              <w:fldChar w:fldCharType="end"/>
            </w:r>
          </w:p>
          <w:p w:rsidR="00825B96" w:rsidRDefault="00825B96" w:rsidP="003F1262">
            <w:pPr>
              <w:rPr>
                <w:rFonts w:ascii="Arial" w:hAnsi="Arial" w:cs="Arial"/>
                <w:i/>
                <w:sz w:val="16"/>
                <w:szCs w:val="16"/>
              </w:rPr>
            </w:pPr>
            <w:r>
              <w:rPr>
                <w:rFonts w:ascii="Arial" w:hAnsi="Arial" w:cs="Arial"/>
                <w:b/>
                <w:i/>
                <w:sz w:val="16"/>
                <w:szCs w:val="16"/>
              </w:rPr>
              <w:t xml:space="preserve">Guayaquil 2010: </w:t>
            </w:r>
            <w:r>
              <w:rPr>
                <w:rFonts w:ascii="Arial" w:hAnsi="Arial" w:cs="Arial"/>
                <w:i/>
                <w:sz w:val="16"/>
                <w:szCs w:val="16"/>
              </w:rPr>
              <w:t>Número de personas</w:t>
            </w:r>
            <w:r w:rsidR="00A722F8">
              <w:rPr>
                <w:rFonts w:ascii="Arial" w:hAnsi="Arial" w:cs="Arial"/>
                <w:i/>
                <w:sz w:val="16"/>
                <w:szCs w:val="16"/>
              </w:rPr>
              <w:t xml:space="preserve"> en viviendas sin dormitorio</w:t>
            </w:r>
            <w:r>
              <w:rPr>
                <w:rFonts w:ascii="Arial" w:hAnsi="Arial" w:cs="Arial"/>
                <w:i/>
                <w:sz w:val="16"/>
                <w:szCs w:val="16"/>
              </w:rPr>
              <w:t xml:space="preserve"> donde </w:t>
            </w:r>
          </w:p>
          <w:p w:rsidR="00A722F8" w:rsidRPr="00E137E6" w:rsidRDefault="00825B96" w:rsidP="003F1262">
            <w:pPr>
              <w:rPr>
                <w:rFonts w:ascii="Arial" w:hAnsi="Arial" w:cs="Arial"/>
                <w:i/>
                <w:sz w:val="16"/>
                <w:szCs w:val="16"/>
              </w:rPr>
            </w:pPr>
            <w:r>
              <w:rPr>
                <w:rFonts w:ascii="Arial" w:hAnsi="Arial" w:cs="Arial"/>
                <w:i/>
                <w:sz w:val="16"/>
                <w:szCs w:val="16"/>
              </w:rPr>
              <w:t>reside al menos un Inmigrante interno</w:t>
            </w:r>
          </w:p>
          <w:tbl>
            <w:tblPr>
              <w:tblW w:w="0" w:type="auto"/>
              <w:tblCellMar>
                <w:left w:w="70" w:type="dxa"/>
                <w:right w:w="70" w:type="dxa"/>
              </w:tblCellMar>
              <w:tblLook w:val="04A0" w:firstRow="1" w:lastRow="0" w:firstColumn="1" w:lastColumn="0" w:noHBand="0" w:noVBand="1"/>
            </w:tblPr>
            <w:tblGrid>
              <w:gridCol w:w="3336"/>
              <w:gridCol w:w="4021"/>
            </w:tblGrid>
            <w:tr w:rsidR="00A722F8" w:rsidTr="003F1262">
              <w:tc>
                <w:tcPr>
                  <w:tcW w:w="3492" w:type="dxa"/>
                </w:tcPr>
                <w:p w:rsidR="00A722F8" w:rsidRDefault="00A722F8" w:rsidP="003F1262">
                  <w:pPr>
                    <w:rPr>
                      <w:rFonts w:ascii="Arial" w:hAnsi="Arial" w:cs="Arial"/>
                      <w:b/>
                      <w:sz w:val="16"/>
                      <w:szCs w:val="16"/>
                    </w:rPr>
                  </w:pPr>
                  <w:r>
                    <w:rPr>
                      <w:noProof/>
                      <w:sz w:val="16"/>
                      <w:szCs w:val="16"/>
                      <w:lang w:eastAsia="es-EC"/>
                    </w:rPr>
                    <w:tab/>
                  </w:r>
                </w:p>
                <w:p w:rsidR="00A722F8" w:rsidRDefault="00A722F8" w:rsidP="003F1262">
                  <w:pPr>
                    <w:rPr>
                      <w:rFonts w:ascii="Arial" w:hAnsi="Arial" w:cs="Arial"/>
                      <w:b/>
                      <w:sz w:val="16"/>
                      <w:szCs w:val="16"/>
                    </w:rPr>
                  </w:pPr>
                </w:p>
                <w:tbl>
                  <w:tblPr>
                    <w:tblW w:w="2948" w:type="dxa"/>
                    <w:jc w:val="center"/>
                    <w:tblCellMar>
                      <w:left w:w="70" w:type="dxa"/>
                      <w:right w:w="70" w:type="dxa"/>
                    </w:tblCellMar>
                    <w:tblLook w:val="04A0" w:firstRow="1" w:lastRow="0" w:firstColumn="1" w:lastColumn="0" w:noHBand="0" w:noVBand="1"/>
                  </w:tblPr>
                  <w:tblGrid>
                    <w:gridCol w:w="1701"/>
                    <w:gridCol w:w="1247"/>
                  </w:tblGrid>
                  <w:tr w:rsidR="00A722F8" w:rsidRPr="001F4D3A" w:rsidTr="003F1262">
                    <w:trPr>
                      <w:trHeight w:val="227"/>
                      <w:jc w:val="center"/>
                    </w:trPr>
                    <w:tc>
                      <w:tcPr>
                        <w:tcW w:w="1701" w:type="dxa"/>
                        <w:tcBorders>
                          <w:top w:val="single" w:sz="4" w:space="0" w:color="auto"/>
                          <w:left w:val="nil"/>
                          <w:bottom w:val="single" w:sz="4" w:space="0" w:color="auto"/>
                          <w:right w:val="nil"/>
                        </w:tcBorders>
                        <w:shd w:val="clear" w:color="auto" w:fill="auto"/>
                        <w:vAlign w:val="center"/>
                        <w:hideMark/>
                      </w:tcPr>
                      <w:p w:rsidR="00A722F8" w:rsidRPr="001F4D3A" w:rsidRDefault="00A722F8" w:rsidP="003F1262">
                        <w:pPr>
                          <w:rPr>
                            <w:rFonts w:ascii="Arial" w:eastAsia="Times New Roman" w:hAnsi="Arial" w:cs="Arial"/>
                            <w:b/>
                            <w:bCs/>
                            <w:sz w:val="16"/>
                            <w:szCs w:val="16"/>
                            <w:lang w:eastAsia="es-EC"/>
                          </w:rPr>
                        </w:pPr>
                        <w:r w:rsidRPr="001F4D3A">
                          <w:rPr>
                            <w:rFonts w:ascii="Arial" w:eastAsia="Times New Roman" w:hAnsi="Arial" w:cs="Arial"/>
                            <w:b/>
                            <w:bCs/>
                            <w:sz w:val="16"/>
                            <w:szCs w:val="16"/>
                            <w:lang w:eastAsia="es-EC"/>
                          </w:rPr>
                          <w:t>Número de personas en casas sin dormitorio</w:t>
                        </w:r>
                      </w:p>
                    </w:tc>
                    <w:tc>
                      <w:tcPr>
                        <w:tcW w:w="1247" w:type="dxa"/>
                        <w:tcBorders>
                          <w:top w:val="single" w:sz="4" w:space="0" w:color="auto"/>
                          <w:left w:val="nil"/>
                          <w:bottom w:val="single" w:sz="4" w:space="0" w:color="auto"/>
                          <w:right w:val="nil"/>
                        </w:tcBorders>
                        <w:shd w:val="clear" w:color="auto" w:fill="auto"/>
                        <w:vAlign w:val="center"/>
                        <w:hideMark/>
                      </w:tcPr>
                      <w:p w:rsidR="00A722F8" w:rsidRPr="001F4D3A" w:rsidRDefault="00A722F8" w:rsidP="003F1262">
                        <w:pPr>
                          <w:rPr>
                            <w:rFonts w:ascii="Arial" w:eastAsia="Times New Roman" w:hAnsi="Arial" w:cs="Arial"/>
                            <w:b/>
                            <w:bCs/>
                            <w:sz w:val="16"/>
                            <w:szCs w:val="16"/>
                            <w:lang w:eastAsia="es-EC"/>
                          </w:rPr>
                        </w:pPr>
                        <w:r w:rsidRPr="001F4D3A">
                          <w:rPr>
                            <w:rFonts w:ascii="Arial" w:eastAsia="Times New Roman" w:hAnsi="Arial" w:cs="Arial"/>
                            <w:b/>
                            <w:bCs/>
                            <w:sz w:val="16"/>
                            <w:szCs w:val="16"/>
                            <w:lang w:eastAsia="es-EC"/>
                          </w:rPr>
                          <w:t>Frecuencia Relativa</w:t>
                        </w:r>
                      </w:p>
                    </w:tc>
                  </w:tr>
                  <w:tr w:rsidR="00A722F8" w:rsidRPr="001F4D3A"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1F4D3A" w:rsidRDefault="00A722F8" w:rsidP="00EC7566">
                        <w:pPr>
                          <w:jc w:val="left"/>
                          <w:rPr>
                            <w:rFonts w:ascii="Arial" w:eastAsia="Times New Roman" w:hAnsi="Arial" w:cs="Arial"/>
                            <w:sz w:val="16"/>
                            <w:szCs w:val="16"/>
                            <w:lang w:eastAsia="es-EC"/>
                          </w:rPr>
                        </w:pPr>
                        <w:r w:rsidRPr="001F4D3A">
                          <w:rPr>
                            <w:rFonts w:ascii="Arial" w:eastAsia="Times New Roman" w:hAnsi="Arial" w:cs="Arial"/>
                            <w:sz w:val="16"/>
                            <w:szCs w:val="16"/>
                            <w:lang w:eastAsia="es-EC"/>
                          </w:rPr>
                          <w:t>1</w:t>
                        </w:r>
                      </w:p>
                    </w:tc>
                    <w:tc>
                      <w:tcPr>
                        <w:tcW w:w="1247" w:type="dxa"/>
                        <w:tcBorders>
                          <w:top w:val="nil"/>
                          <w:left w:val="nil"/>
                          <w:bottom w:val="nil"/>
                          <w:right w:val="nil"/>
                        </w:tcBorders>
                        <w:shd w:val="clear" w:color="auto" w:fill="auto"/>
                        <w:noWrap/>
                        <w:vAlign w:val="center"/>
                        <w:hideMark/>
                      </w:tcPr>
                      <w:p w:rsidR="00A722F8" w:rsidRPr="001F4D3A" w:rsidRDefault="00A722F8" w:rsidP="003F1262">
                        <w:pPr>
                          <w:rPr>
                            <w:rFonts w:ascii="Arial" w:eastAsia="Times New Roman" w:hAnsi="Arial" w:cs="Arial"/>
                            <w:sz w:val="16"/>
                            <w:szCs w:val="16"/>
                            <w:lang w:eastAsia="es-EC"/>
                          </w:rPr>
                        </w:pPr>
                        <w:r w:rsidRPr="001F4D3A">
                          <w:rPr>
                            <w:rFonts w:ascii="Arial" w:eastAsia="Times New Roman" w:hAnsi="Arial" w:cs="Arial"/>
                            <w:sz w:val="16"/>
                            <w:szCs w:val="16"/>
                            <w:lang w:eastAsia="es-EC"/>
                          </w:rPr>
                          <w:t>0.1927</w:t>
                        </w:r>
                      </w:p>
                    </w:tc>
                  </w:tr>
                  <w:tr w:rsidR="00A722F8" w:rsidRPr="001F4D3A"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1F4D3A" w:rsidRDefault="00A722F8" w:rsidP="00EC7566">
                        <w:pPr>
                          <w:jc w:val="left"/>
                          <w:rPr>
                            <w:rFonts w:ascii="Arial" w:eastAsia="Times New Roman" w:hAnsi="Arial" w:cs="Arial"/>
                            <w:sz w:val="16"/>
                            <w:szCs w:val="16"/>
                            <w:lang w:eastAsia="es-EC"/>
                          </w:rPr>
                        </w:pPr>
                        <w:r w:rsidRPr="001F4D3A">
                          <w:rPr>
                            <w:rFonts w:ascii="Arial" w:eastAsia="Times New Roman" w:hAnsi="Arial" w:cs="Arial"/>
                            <w:sz w:val="16"/>
                            <w:szCs w:val="16"/>
                            <w:lang w:eastAsia="es-EC"/>
                          </w:rPr>
                          <w:t>2</w:t>
                        </w:r>
                      </w:p>
                    </w:tc>
                    <w:tc>
                      <w:tcPr>
                        <w:tcW w:w="1247" w:type="dxa"/>
                        <w:tcBorders>
                          <w:top w:val="nil"/>
                          <w:left w:val="nil"/>
                          <w:bottom w:val="nil"/>
                          <w:right w:val="nil"/>
                        </w:tcBorders>
                        <w:shd w:val="clear" w:color="auto" w:fill="auto"/>
                        <w:noWrap/>
                        <w:vAlign w:val="center"/>
                        <w:hideMark/>
                      </w:tcPr>
                      <w:p w:rsidR="00A722F8" w:rsidRPr="001F4D3A" w:rsidRDefault="00A722F8" w:rsidP="003F1262">
                        <w:pPr>
                          <w:rPr>
                            <w:rFonts w:ascii="Arial" w:eastAsia="Times New Roman" w:hAnsi="Arial" w:cs="Arial"/>
                            <w:sz w:val="16"/>
                            <w:szCs w:val="16"/>
                            <w:lang w:eastAsia="es-EC"/>
                          </w:rPr>
                        </w:pPr>
                        <w:r w:rsidRPr="001F4D3A">
                          <w:rPr>
                            <w:rFonts w:ascii="Arial" w:eastAsia="Times New Roman" w:hAnsi="Arial" w:cs="Arial"/>
                            <w:sz w:val="16"/>
                            <w:szCs w:val="16"/>
                            <w:lang w:eastAsia="es-EC"/>
                          </w:rPr>
                          <w:t>0.1510</w:t>
                        </w:r>
                      </w:p>
                    </w:tc>
                  </w:tr>
                  <w:tr w:rsidR="00A722F8" w:rsidRPr="001F4D3A"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1F4D3A" w:rsidRDefault="00A722F8" w:rsidP="00EC7566">
                        <w:pPr>
                          <w:jc w:val="left"/>
                          <w:rPr>
                            <w:rFonts w:ascii="Arial" w:eastAsia="Times New Roman" w:hAnsi="Arial" w:cs="Arial"/>
                            <w:sz w:val="16"/>
                            <w:szCs w:val="16"/>
                            <w:lang w:eastAsia="es-EC"/>
                          </w:rPr>
                        </w:pPr>
                        <w:r w:rsidRPr="001F4D3A">
                          <w:rPr>
                            <w:rFonts w:ascii="Arial" w:eastAsia="Times New Roman" w:hAnsi="Arial" w:cs="Arial"/>
                            <w:sz w:val="16"/>
                            <w:szCs w:val="16"/>
                            <w:lang w:eastAsia="es-EC"/>
                          </w:rPr>
                          <w:t>3</w:t>
                        </w:r>
                      </w:p>
                    </w:tc>
                    <w:tc>
                      <w:tcPr>
                        <w:tcW w:w="1247" w:type="dxa"/>
                        <w:tcBorders>
                          <w:top w:val="nil"/>
                          <w:left w:val="nil"/>
                          <w:bottom w:val="nil"/>
                          <w:right w:val="nil"/>
                        </w:tcBorders>
                        <w:shd w:val="clear" w:color="auto" w:fill="auto"/>
                        <w:noWrap/>
                        <w:vAlign w:val="center"/>
                        <w:hideMark/>
                      </w:tcPr>
                      <w:p w:rsidR="00A722F8" w:rsidRPr="001F4D3A" w:rsidRDefault="00A722F8" w:rsidP="003F1262">
                        <w:pPr>
                          <w:rPr>
                            <w:rFonts w:ascii="Arial" w:eastAsia="Times New Roman" w:hAnsi="Arial" w:cs="Arial"/>
                            <w:sz w:val="16"/>
                            <w:szCs w:val="16"/>
                            <w:lang w:eastAsia="es-EC"/>
                          </w:rPr>
                        </w:pPr>
                        <w:r w:rsidRPr="001F4D3A">
                          <w:rPr>
                            <w:rFonts w:ascii="Arial" w:eastAsia="Times New Roman" w:hAnsi="Arial" w:cs="Arial"/>
                            <w:sz w:val="16"/>
                            <w:szCs w:val="16"/>
                            <w:lang w:eastAsia="es-EC"/>
                          </w:rPr>
                          <w:t>0.1750</w:t>
                        </w:r>
                      </w:p>
                    </w:tc>
                  </w:tr>
                  <w:tr w:rsidR="00A722F8" w:rsidRPr="001F4D3A"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1F4D3A" w:rsidRDefault="00A722F8" w:rsidP="00EC7566">
                        <w:pPr>
                          <w:jc w:val="left"/>
                          <w:rPr>
                            <w:rFonts w:ascii="Arial" w:eastAsia="Times New Roman" w:hAnsi="Arial" w:cs="Arial"/>
                            <w:sz w:val="16"/>
                            <w:szCs w:val="16"/>
                            <w:lang w:eastAsia="es-EC"/>
                          </w:rPr>
                        </w:pPr>
                        <w:r w:rsidRPr="001F4D3A">
                          <w:rPr>
                            <w:rFonts w:ascii="Arial" w:eastAsia="Times New Roman" w:hAnsi="Arial" w:cs="Arial"/>
                            <w:sz w:val="16"/>
                            <w:szCs w:val="16"/>
                            <w:lang w:eastAsia="es-EC"/>
                          </w:rPr>
                          <w:t>4</w:t>
                        </w:r>
                      </w:p>
                    </w:tc>
                    <w:tc>
                      <w:tcPr>
                        <w:tcW w:w="1247" w:type="dxa"/>
                        <w:tcBorders>
                          <w:top w:val="nil"/>
                          <w:left w:val="nil"/>
                          <w:bottom w:val="nil"/>
                          <w:right w:val="nil"/>
                        </w:tcBorders>
                        <w:shd w:val="clear" w:color="auto" w:fill="auto"/>
                        <w:noWrap/>
                        <w:vAlign w:val="center"/>
                        <w:hideMark/>
                      </w:tcPr>
                      <w:p w:rsidR="00A722F8" w:rsidRPr="001F4D3A" w:rsidRDefault="00A722F8" w:rsidP="003F1262">
                        <w:pPr>
                          <w:rPr>
                            <w:rFonts w:ascii="Arial" w:eastAsia="Times New Roman" w:hAnsi="Arial" w:cs="Arial"/>
                            <w:sz w:val="16"/>
                            <w:szCs w:val="16"/>
                            <w:lang w:eastAsia="es-EC"/>
                          </w:rPr>
                        </w:pPr>
                        <w:r w:rsidRPr="001F4D3A">
                          <w:rPr>
                            <w:rFonts w:ascii="Arial" w:eastAsia="Times New Roman" w:hAnsi="Arial" w:cs="Arial"/>
                            <w:sz w:val="16"/>
                            <w:szCs w:val="16"/>
                            <w:lang w:eastAsia="es-EC"/>
                          </w:rPr>
                          <w:t>0.1843</w:t>
                        </w:r>
                      </w:p>
                    </w:tc>
                  </w:tr>
                  <w:tr w:rsidR="00A722F8" w:rsidRPr="001F4D3A"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1F4D3A" w:rsidRDefault="00A722F8" w:rsidP="00EC7566">
                        <w:pPr>
                          <w:jc w:val="left"/>
                          <w:rPr>
                            <w:rFonts w:ascii="Arial" w:eastAsia="Times New Roman" w:hAnsi="Arial" w:cs="Arial"/>
                            <w:sz w:val="16"/>
                            <w:szCs w:val="16"/>
                            <w:lang w:eastAsia="es-EC"/>
                          </w:rPr>
                        </w:pPr>
                        <w:r w:rsidRPr="001F4D3A">
                          <w:rPr>
                            <w:rFonts w:ascii="Arial" w:eastAsia="Times New Roman" w:hAnsi="Arial" w:cs="Arial"/>
                            <w:sz w:val="16"/>
                            <w:szCs w:val="16"/>
                            <w:lang w:eastAsia="es-EC"/>
                          </w:rPr>
                          <w:t>5</w:t>
                        </w:r>
                      </w:p>
                    </w:tc>
                    <w:tc>
                      <w:tcPr>
                        <w:tcW w:w="1247" w:type="dxa"/>
                        <w:tcBorders>
                          <w:top w:val="nil"/>
                          <w:left w:val="nil"/>
                          <w:bottom w:val="nil"/>
                          <w:right w:val="nil"/>
                        </w:tcBorders>
                        <w:shd w:val="clear" w:color="auto" w:fill="auto"/>
                        <w:noWrap/>
                        <w:vAlign w:val="center"/>
                        <w:hideMark/>
                      </w:tcPr>
                      <w:p w:rsidR="00A722F8" w:rsidRPr="001F4D3A" w:rsidRDefault="00A722F8" w:rsidP="003F1262">
                        <w:pPr>
                          <w:rPr>
                            <w:rFonts w:ascii="Arial" w:eastAsia="Times New Roman" w:hAnsi="Arial" w:cs="Arial"/>
                            <w:sz w:val="16"/>
                            <w:szCs w:val="16"/>
                            <w:lang w:eastAsia="es-EC"/>
                          </w:rPr>
                        </w:pPr>
                        <w:r w:rsidRPr="001F4D3A">
                          <w:rPr>
                            <w:rFonts w:ascii="Arial" w:eastAsia="Times New Roman" w:hAnsi="Arial" w:cs="Arial"/>
                            <w:sz w:val="16"/>
                            <w:szCs w:val="16"/>
                            <w:lang w:eastAsia="es-EC"/>
                          </w:rPr>
                          <w:t>0.1353</w:t>
                        </w:r>
                      </w:p>
                    </w:tc>
                  </w:tr>
                  <w:tr w:rsidR="00A722F8" w:rsidRPr="001F4D3A"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1F4D3A" w:rsidRDefault="00A722F8" w:rsidP="00EC7566">
                        <w:pPr>
                          <w:jc w:val="left"/>
                          <w:rPr>
                            <w:rFonts w:ascii="Arial" w:eastAsia="Times New Roman" w:hAnsi="Arial" w:cs="Arial"/>
                            <w:sz w:val="16"/>
                            <w:szCs w:val="16"/>
                            <w:lang w:eastAsia="es-EC"/>
                          </w:rPr>
                        </w:pPr>
                        <w:r w:rsidRPr="001F4D3A">
                          <w:rPr>
                            <w:rFonts w:ascii="Arial" w:eastAsia="Times New Roman" w:hAnsi="Arial" w:cs="Arial"/>
                            <w:sz w:val="16"/>
                            <w:szCs w:val="16"/>
                            <w:lang w:eastAsia="es-EC"/>
                          </w:rPr>
                          <w:t>[6 - 8)</w:t>
                        </w:r>
                      </w:p>
                    </w:tc>
                    <w:tc>
                      <w:tcPr>
                        <w:tcW w:w="1247" w:type="dxa"/>
                        <w:tcBorders>
                          <w:top w:val="nil"/>
                          <w:left w:val="nil"/>
                          <w:bottom w:val="nil"/>
                          <w:right w:val="nil"/>
                        </w:tcBorders>
                        <w:shd w:val="clear" w:color="auto" w:fill="auto"/>
                        <w:noWrap/>
                        <w:vAlign w:val="center"/>
                        <w:hideMark/>
                      </w:tcPr>
                      <w:p w:rsidR="00A722F8" w:rsidRPr="001F4D3A" w:rsidRDefault="00A722F8" w:rsidP="003F1262">
                        <w:pPr>
                          <w:rPr>
                            <w:rFonts w:ascii="Arial" w:eastAsia="Times New Roman" w:hAnsi="Arial" w:cs="Arial"/>
                            <w:sz w:val="16"/>
                            <w:szCs w:val="16"/>
                            <w:lang w:eastAsia="es-EC"/>
                          </w:rPr>
                        </w:pPr>
                        <w:r w:rsidRPr="001F4D3A">
                          <w:rPr>
                            <w:rFonts w:ascii="Arial" w:eastAsia="Times New Roman" w:hAnsi="Arial" w:cs="Arial"/>
                            <w:sz w:val="16"/>
                            <w:szCs w:val="16"/>
                            <w:lang w:eastAsia="es-EC"/>
                          </w:rPr>
                          <w:t>0.1243</w:t>
                        </w:r>
                      </w:p>
                    </w:tc>
                  </w:tr>
                  <w:tr w:rsidR="00A722F8" w:rsidRPr="001F4D3A"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1F4D3A" w:rsidRDefault="00A722F8" w:rsidP="00EC7566">
                        <w:pPr>
                          <w:jc w:val="left"/>
                          <w:rPr>
                            <w:rFonts w:ascii="Arial" w:eastAsia="Times New Roman" w:hAnsi="Arial" w:cs="Arial"/>
                            <w:sz w:val="16"/>
                            <w:szCs w:val="16"/>
                            <w:lang w:eastAsia="es-EC"/>
                          </w:rPr>
                        </w:pPr>
                        <w:r w:rsidRPr="001F4D3A">
                          <w:rPr>
                            <w:rFonts w:ascii="Arial" w:eastAsia="Times New Roman" w:hAnsi="Arial" w:cs="Arial"/>
                            <w:sz w:val="16"/>
                            <w:szCs w:val="16"/>
                            <w:lang w:eastAsia="es-EC"/>
                          </w:rPr>
                          <w:t>[8 - 10)</w:t>
                        </w:r>
                      </w:p>
                    </w:tc>
                    <w:tc>
                      <w:tcPr>
                        <w:tcW w:w="1247" w:type="dxa"/>
                        <w:tcBorders>
                          <w:top w:val="nil"/>
                          <w:left w:val="nil"/>
                          <w:bottom w:val="nil"/>
                          <w:right w:val="nil"/>
                        </w:tcBorders>
                        <w:shd w:val="clear" w:color="auto" w:fill="auto"/>
                        <w:noWrap/>
                        <w:vAlign w:val="center"/>
                        <w:hideMark/>
                      </w:tcPr>
                      <w:p w:rsidR="00A722F8" w:rsidRPr="001F4D3A" w:rsidRDefault="00A722F8" w:rsidP="003F1262">
                        <w:pPr>
                          <w:rPr>
                            <w:rFonts w:ascii="Arial" w:eastAsia="Times New Roman" w:hAnsi="Arial" w:cs="Arial"/>
                            <w:sz w:val="16"/>
                            <w:szCs w:val="16"/>
                            <w:lang w:eastAsia="es-EC"/>
                          </w:rPr>
                        </w:pPr>
                        <w:r w:rsidRPr="001F4D3A">
                          <w:rPr>
                            <w:rFonts w:ascii="Arial" w:eastAsia="Times New Roman" w:hAnsi="Arial" w:cs="Arial"/>
                            <w:sz w:val="16"/>
                            <w:szCs w:val="16"/>
                            <w:lang w:eastAsia="es-EC"/>
                          </w:rPr>
                          <w:t>0.0275</w:t>
                        </w:r>
                      </w:p>
                    </w:tc>
                  </w:tr>
                  <w:tr w:rsidR="00A722F8" w:rsidRPr="001F4D3A"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1F4D3A" w:rsidRDefault="00A722F8" w:rsidP="00EC7566">
                        <w:pPr>
                          <w:jc w:val="left"/>
                          <w:rPr>
                            <w:rFonts w:ascii="Arial" w:eastAsia="Times New Roman" w:hAnsi="Arial" w:cs="Arial"/>
                            <w:sz w:val="16"/>
                            <w:szCs w:val="16"/>
                            <w:lang w:eastAsia="es-EC"/>
                          </w:rPr>
                        </w:pPr>
                        <w:r w:rsidRPr="001F4D3A">
                          <w:rPr>
                            <w:rFonts w:ascii="Arial" w:eastAsia="Times New Roman" w:hAnsi="Arial" w:cs="Arial"/>
                            <w:sz w:val="16"/>
                            <w:szCs w:val="16"/>
                            <w:lang w:eastAsia="es-EC"/>
                          </w:rPr>
                          <w:t>[10 - 15)</w:t>
                        </w:r>
                      </w:p>
                    </w:tc>
                    <w:tc>
                      <w:tcPr>
                        <w:tcW w:w="1247" w:type="dxa"/>
                        <w:tcBorders>
                          <w:top w:val="nil"/>
                          <w:left w:val="nil"/>
                          <w:bottom w:val="nil"/>
                          <w:right w:val="nil"/>
                        </w:tcBorders>
                        <w:shd w:val="clear" w:color="auto" w:fill="auto"/>
                        <w:noWrap/>
                        <w:vAlign w:val="center"/>
                        <w:hideMark/>
                      </w:tcPr>
                      <w:p w:rsidR="00A722F8" w:rsidRPr="001F4D3A" w:rsidRDefault="00A722F8" w:rsidP="003F1262">
                        <w:pPr>
                          <w:rPr>
                            <w:rFonts w:ascii="Arial" w:eastAsia="Times New Roman" w:hAnsi="Arial" w:cs="Arial"/>
                            <w:sz w:val="16"/>
                            <w:szCs w:val="16"/>
                            <w:lang w:eastAsia="es-EC"/>
                          </w:rPr>
                        </w:pPr>
                        <w:r w:rsidRPr="001F4D3A">
                          <w:rPr>
                            <w:rFonts w:ascii="Arial" w:eastAsia="Times New Roman" w:hAnsi="Arial" w:cs="Arial"/>
                            <w:sz w:val="16"/>
                            <w:szCs w:val="16"/>
                            <w:lang w:eastAsia="es-EC"/>
                          </w:rPr>
                          <w:t>0.0094</w:t>
                        </w:r>
                      </w:p>
                    </w:tc>
                  </w:tr>
                  <w:tr w:rsidR="00A722F8" w:rsidRPr="001F4D3A" w:rsidTr="003F1262">
                    <w:trPr>
                      <w:trHeight w:val="227"/>
                      <w:jc w:val="center"/>
                    </w:trPr>
                    <w:tc>
                      <w:tcPr>
                        <w:tcW w:w="1701" w:type="dxa"/>
                        <w:tcBorders>
                          <w:top w:val="nil"/>
                          <w:left w:val="nil"/>
                          <w:bottom w:val="nil"/>
                          <w:right w:val="nil"/>
                        </w:tcBorders>
                        <w:shd w:val="clear" w:color="auto" w:fill="auto"/>
                        <w:noWrap/>
                        <w:vAlign w:val="center"/>
                        <w:hideMark/>
                      </w:tcPr>
                      <w:p w:rsidR="00A722F8" w:rsidRPr="001F4D3A" w:rsidRDefault="00A722F8" w:rsidP="00EC7566">
                        <w:pPr>
                          <w:jc w:val="left"/>
                          <w:rPr>
                            <w:rFonts w:ascii="Arial" w:eastAsia="Times New Roman" w:hAnsi="Arial" w:cs="Arial"/>
                            <w:sz w:val="16"/>
                            <w:szCs w:val="16"/>
                            <w:lang w:eastAsia="es-EC"/>
                          </w:rPr>
                        </w:pPr>
                        <w:r w:rsidRPr="001F4D3A">
                          <w:rPr>
                            <w:rFonts w:ascii="Arial" w:eastAsia="Times New Roman" w:hAnsi="Arial" w:cs="Arial"/>
                            <w:sz w:val="16"/>
                            <w:szCs w:val="16"/>
                            <w:lang w:eastAsia="es-EC"/>
                          </w:rPr>
                          <w:t>[15 - 20)</w:t>
                        </w:r>
                      </w:p>
                    </w:tc>
                    <w:tc>
                      <w:tcPr>
                        <w:tcW w:w="1247" w:type="dxa"/>
                        <w:tcBorders>
                          <w:top w:val="nil"/>
                          <w:left w:val="nil"/>
                          <w:bottom w:val="nil"/>
                          <w:right w:val="nil"/>
                        </w:tcBorders>
                        <w:shd w:val="clear" w:color="auto" w:fill="auto"/>
                        <w:noWrap/>
                        <w:vAlign w:val="center"/>
                        <w:hideMark/>
                      </w:tcPr>
                      <w:p w:rsidR="00A722F8" w:rsidRPr="001F4D3A" w:rsidRDefault="00A722F8" w:rsidP="003F1262">
                        <w:pPr>
                          <w:rPr>
                            <w:rFonts w:ascii="Arial" w:eastAsia="Times New Roman" w:hAnsi="Arial" w:cs="Arial"/>
                            <w:sz w:val="16"/>
                            <w:szCs w:val="16"/>
                            <w:lang w:eastAsia="es-EC"/>
                          </w:rPr>
                        </w:pPr>
                        <w:r w:rsidRPr="001F4D3A">
                          <w:rPr>
                            <w:rFonts w:ascii="Arial" w:eastAsia="Times New Roman" w:hAnsi="Arial" w:cs="Arial"/>
                            <w:sz w:val="16"/>
                            <w:szCs w:val="16"/>
                            <w:lang w:eastAsia="es-EC"/>
                          </w:rPr>
                          <w:t>0.0005</w:t>
                        </w:r>
                      </w:p>
                    </w:tc>
                  </w:tr>
                  <w:tr w:rsidR="00A722F8" w:rsidRPr="001F4D3A" w:rsidTr="003F1262">
                    <w:trPr>
                      <w:trHeight w:val="227"/>
                      <w:jc w:val="center"/>
                    </w:trPr>
                    <w:tc>
                      <w:tcPr>
                        <w:tcW w:w="1701" w:type="dxa"/>
                        <w:tcBorders>
                          <w:top w:val="single" w:sz="4" w:space="0" w:color="auto"/>
                          <w:left w:val="nil"/>
                          <w:bottom w:val="single" w:sz="4" w:space="0" w:color="auto"/>
                          <w:right w:val="nil"/>
                        </w:tcBorders>
                        <w:shd w:val="clear" w:color="auto" w:fill="auto"/>
                        <w:noWrap/>
                        <w:vAlign w:val="bottom"/>
                        <w:hideMark/>
                      </w:tcPr>
                      <w:p w:rsidR="00A722F8" w:rsidRPr="001F4D3A" w:rsidRDefault="00A722F8" w:rsidP="00EC7566">
                        <w:pPr>
                          <w:jc w:val="left"/>
                          <w:rPr>
                            <w:rFonts w:ascii="Arial" w:eastAsia="Times New Roman" w:hAnsi="Arial" w:cs="Arial"/>
                            <w:b/>
                            <w:bCs/>
                            <w:sz w:val="16"/>
                            <w:szCs w:val="16"/>
                            <w:lang w:eastAsia="es-EC"/>
                          </w:rPr>
                        </w:pPr>
                        <w:r w:rsidRPr="001F4D3A">
                          <w:rPr>
                            <w:rFonts w:ascii="Arial" w:eastAsia="Times New Roman" w:hAnsi="Arial" w:cs="Arial"/>
                            <w:b/>
                            <w:bCs/>
                            <w:sz w:val="16"/>
                            <w:szCs w:val="16"/>
                            <w:lang w:eastAsia="es-EC"/>
                          </w:rPr>
                          <w:t>Total</w:t>
                        </w:r>
                      </w:p>
                    </w:tc>
                    <w:tc>
                      <w:tcPr>
                        <w:tcW w:w="1247" w:type="dxa"/>
                        <w:tcBorders>
                          <w:top w:val="single" w:sz="4" w:space="0" w:color="auto"/>
                          <w:left w:val="nil"/>
                          <w:bottom w:val="single" w:sz="4" w:space="0" w:color="auto"/>
                          <w:right w:val="nil"/>
                        </w:tcBorders>
                        <w:shd w:val="clear" w:color="auto" w:fill="auto"/>
                        <w:noWrap/>
                        <w:vAlign w:val="center"/>
                        <w:hideMark/>
                      </w:tcPr>
                      <w:p w:rsidR="00A722F8" w:rsidRPr="001F4D3A" w:rsidRDefault="00A722F8" w:rsidP="003F1262">
                        <w:pPr>
                          <w:rPr>
                            <w:rFonts w:ascii="Arial" w:eastAsia="Times New Roman" w:hAnsi="Arial" w:cs="Arial"/>
                            <w:b/>
                            <w:bCs/>
                            <w:i/>
                            <w:iCs/>
                            <w:sz w:val="16"/>
                            <w:szCs w:val="16"/>
                            <w:lang w:eastAsia="es-EC"/>
                          </w:rPr>
                        </w:pPr>
                        <w:r w:rsidRPr="001F4D3A">
                          <w:rPr>
                            <w:rFonts w:ascii="Arial" w:eastAsia="Times New Roman" w:hAnsi="Arial" w:cs="Arial"/>
                            <w:b/>
                            <w:bCs/>
                            <w:i/>
                            <w:iCs/>
                            <w:sz w:val="16"/>
                            <w:szCs w:val="16"/>
                            <w:lang w:eastAsia="es-EC"/>
                          </w:rPr>
                          <w:t>1.000</w:t>
                        </w:r>
                        <w:r>
                          <w:rPr>
                            <w:rFonts w:ascii="Arial" w:eastAsia="Times New Roman" w:hAnsi="Arial" w:cs="Arial"/>
                            <w:b/>
                            <w:bCs/>
                            <w:i/>
                            <w:iCs/>
                            <w:sz w:val="16"/>
                            <w:szCs w:val="16"/>
                            <w:lang w:eastAsia="es-EC"/>
                          </w:rPr>
                          <w:t>0</w:t>
                        </w:r>
                      </w:p>
                    </w:tc>
                  </w:tr>
                </w:tbl>
                <w:p w:rsidR="00A722F8" w:rsidRDefault="00A722F8" w:rsidP="003F1262">
                  <w:pPr>
                    <w:rPr>
                      <w:rFonts w:ascii="Arial" w:hAnsi="Arial" w:cs="Arial"/>
                      <w:b/>
                      <w:sz w:val="16"/>
                      <w:szCs w:val="16"/>
                    </w:rPr>
                  </w:pPr>
                </w:p>
                <w:p w:rsidR="00A722F8" w:rsidRDefault="00A722F8" w:rsidP="003F1262">
                  <w:pPr>
                    <w:rPr>
                      <w:rFonts w:ascii="Arial" w:hAnsi="Arial" w:cs="Arial"/>
                      <w:b/>
                      <w:sz w:val="16"/>
                      <w:szCs w:val="16"/>
                    </w:rPr>
                  </w:pPr>
                </w:p>
              </w:tc>
              <w:tc>
                <w:tcPr>
                  <w:tcW w:w="4045" w:type="dxa"/>
                </w:tcPr>
                <w:p w:rsidR="00A722F8" w:rsidRDefault="00A722F8" w:rsidP="003F1262">
                  <w:pPr>
                    <w:rPr>
                      <w:rFonts w:ascii="Arial" w:hAnsi="Arial" w:cs="Arial"/>
                      <w:b/>
                      <w:sz w:val="16"/>
                      <w:szCs w:val="16"/>
                    </w:rPr>
                  </w:pPr>
                  <w:r>
                    <w:rPr>
                      <w:noProof/>
                      <w:lang w:eastAsia="es-EC"/>
                    </w:rPr>
                    <w:drawing>
                      <wp:inline distT="0" distB="0" distL="0" distR="0">
                        <wp:extent cx="2419350" cy="280035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A722F8" w:rsidRPr="00516A71" w:rsidRDefault="00A722F8" w:rsidP="003F1262">
            <w:pPr>
              <w:tabs>
                <w:tab w:val="left" w:pos="3030"/>
                <w:tab w:val="center" w:pos="3768"/>
              </w:tabs>
              <w:jc w:val="left"/>
              <w:rPr>
                <w:rFonts w:ascii="Arial" w:hAnsi="Arial" w:cs="Arial"/>
                <w:b/>
                <w:sz w:val="16"/>
                <w:szCs w:val="16"/>
              </w:rPr>
            </w:pPr>
          </w:p>
        </w:tc>
      </w:tr>
    </w:tbl>
    <w:p w:rsidR="00A722F8" w:rsidRPr="00825B96" w:rsidRDefault="00A722F8" w:rsidP="00825B96">
      <w:pPr>
        <w:pStyle w:val="Prrafodelista"/>
        <w:spacing w:line="276" w:lineRule="auto"/>
        <w:ind w:left="851"/>
        <w:jc w:val="both"/>
        <w:rPr>
          <w:rFonts w:ascii="Arial" w:hAnsi="Arial" w:cs="Arial"/>
          <w:sz w:val="17"/>
          <w:szCs w:val="17"/>
        </w:rPr>
      </w:pPr>
    </w:p>
    <w:p w:rsidR="00A722F8" w:rsidRPr="00825B96" w:rsidRDefault="00A722F8" w:rsidP="00825B96">
      <w:pPr>
        <w:pStyle w:val="Prrafodelista"/>
        <w:spacing w:line="276" w:lineRule="auto"/>
        <w:ind w:left="851"/>
        <w:jc w:val="both"/>
        <w:rPr>
          <w:rFonts w:ascii="Arial" w:hAnsi="Arial" w:cs="Arial"/>
          <w:sz w:val="17"/>
          <w:szCs w:val="17"/>
        </w:rPr>
      </w:pPr>
      <w:r w:rsidRPr="00825B96">
        <w:rPr>
          <w:rFonts w:ascii="Arial" w:hAnsi="Arial" w:cs="Arial"/>
          <w:b/>
          <w:i/>
          <w:sz w:val="17"/>
          <w:szCs w:val="17"/>
        </w:rPr>
        <w:t>Fuente:</w:t>
      </w:r>
      <w:r w:rsidRPr="00825B96">
        <w:rPr>
          <w:rFonts w:ascii="Arial" w:hAnsi="Arial" w:cs="Arial"/>
          <w:sz w:val="17"/>
          <w:szCs w:val="17"/>
        </w:rPr>
        <w:t xml:space="preserve"> </w:t>
      </w:r>
      <w:r w:rsidRPr="00825B96">
        <w:rPr>
          <w:rFonts w:ascii="Arial" w:hAnsi="Arial" w:cs="Arial"/>
          <w:b/>
          <w:sz w:val="17"/>
          <w:szCs w:val="17"/>
        </w:rPr>
        <w:t xml:space="preserve">INEC </w:t>
      </w:r>
      <w:r w:rsidRPr="00825B96">
        <w:rPr>
          <w:rFonts w:ascii="Arial" w:hAnsi="Arial" w:cs="Arial"/>
          <w:sz w:val="17"/>
          <w:szCs w:val="17"/>
        </w:rPr>
        <w:t>(2010), Base de Datos del VII Censo de Población y VI de Vivienda.</w:t>
      </w:r>
    </w:p>
    <w:p w:rsidR="00A722F8" w:rsidRPr="00825B96" w:rsidRDefault="00A722F8" w:rsidP="00825B96">
      <w:pPr>
        <w:pStyle w:val="Prrafodelista"/>
        <w:spacing w:line="276" w:lineRule="auto"/>
        <w:ind w:left="851"/>
        <w:jc w:val="both"/>
        <w:rPr>
          <w:rFonts w:ascii="Arial" w:hAnsi="Arial" w:cs="Arial"/>
          <w:sz w:val="17"/>
          <w:szCs w:val="17"/>
        </w:rPr>
      </w:pPr>
      <w:r w:rsidRPr="00825B96">
        <w:rPr>
          <w:rFonts w:ascii="Arial" w:hAnsi="Arial" w:cs="Arial"/>
          <w:b/>
          <w:i/>
          <w:sz w:val="17"/>
          <w:szCs w:val="17"/>
        </w:rPr>
        <w:t>Elaborado por:</w:t>
      </w:r>
      <w:r w:rsidRPr="00825B96">
        <w:rPr>
          <w:rFonts w:ascii="Arial" w:hAnsi="Arial" w:cs="Arial"/>
          <w:sz w:val="17"/>
          <w:szCs w:val="17"/>
        </w:rPr>
        <w:t xml:space="preserve"> Katherine Loor Valeriano</w:t>
      </w:r>
    </w:p>
    <w:p w:rsidR="009B1A5E" w:rsidRDefault="009B1A5E" w:rsidP="0046754C">
      <w:pPr>
        <w:pStyle w:val="Prrafodelista"/>
        <w:spacing w:line="276" w:lineRule="auto"/>
        <w:ind w:left="567"/>
        <w:jc w:val="both"/>
        <w:rPr>
          <w:rFonts w:ascii="Arial" w:hAnsi="Arial" w:cs="Arial"/>
        </w:rPr>
      </w:pPr>
    </w:p>
    <w:p w:rsidR="007E2CAC" w:rsidRDefault="007E2CAC" w:rsidP="009B1A5E">
      <w:pPr>
        <w:spacing w:line="480" w:lineRule="auto"/>
        <w:ind w:left="567"/>
        <w:jc w:val="both"/>
        <w:rPr>
          <w:rFonts w:ascii="Arial" w:hAnsi="Arial" w:cs="Arial"/>
        </w:rPr>
        <w:sectPr w:rsidR="007E2CAC" w:rsidSect="007D7A28">
          <w:pgSz w:w="11907" w:h="16839" w:code="9"/>
          <w:pgMar w:top="2268" w:right="1361" w:bottom="2268" w:left="2268" w:header="708" w:footer="708" w:gutter="0"/>
          <w:cols w:space="708"/>
          <w:titlePg/>
          <w:docGrid w:linePitch="360"/>
        </w:sectPr>
      </w:pPr>
    </w:p>
    <w:p w:rsidR="007E2CAC" w:rsidRPr="00351EAD" w:rsidRDefault="007E2CAC" w:rsidP="007E2CAC">
      <w:pPr>
        <w:spacing w:line="480" w:lineRule="auto"/>
        <w:rPr>
          <w:rFonts w:ascii="Arial" w:hAnsi="Arial" w:cs="Arial"/>
        </w:rPr>
      </w:pPr>
    </w:p>
    <w:p w:rsidR="007E2CAC" w:rsidRPr="00351EAD" w:rsidRDefault="007E2CAC" w:rsidP="007E2CAC">
      <w:pPr>
        <w:spacing w:line="480" w:lineRule="auto"/>
        <w:rPr>
          <w:rFonts w:ascii="Arial" w:hAnsi="Arial" w:cs="Arial"/>
        </w:rPr>
      </w:pPr>
    </w:p>
    <w:p w:rsidR="007E2CAC" w:rsidRPr="00455F4F" w:rsidRDefault="007E2CAC" w:rsidP="007E2CAC">
      <w:pPr>
        <w:spacing w:line="480" w:lineRule="auto"/>
        <w:rPr>
          <w:rFonts w:ascii="Arial" w:hAnsi="Arial" w:cs="Arial"/>
        </w:rPr>
      </w:pPr>
    </w:p>
    <w:p w:rsidR="007E2CAC" w:rsidRPr="00455F4F" w:rsidRDefault="007E2CAC" w:rsidP="007E2CAC">
      <w:pPr>
        <w:spacing w:line="480" w:lineRule="auto"/>
        <w:rPr>
          <w:rFonts w:ascii="Arial" w:hAnsi="Arial" w:cs="Arial"/>
        </w:rPr>
      </w:pPr>
    </w:p>
    <w:p w:rsidR="007E2CAC" w:rsidRPr="00455F4F" w:rsidRDefault="007E2CAC" w:rsidP="007E2CAC">
      <w:pPr>
        <w:spacing w:line="480" w:lineRule="auto"/>
        <w:rPr>
          <w:rFonts w:ascii="Arial" w:hAnsi="Arial" w:cs="Arial"/>
        </w:rPr>
      </w:pPr>
    </w:p>
    <w:p w:rsidR="007E2CAC" w:rsidRPr="00455F4F" w:rsidRDefault="007E2CAC" w:rsidP="007E2CAC">
      <w:pPr>
        <w:spacing w:line="480" w:lineRule="auto"/>
        <w:rPr>
          <w:rFonts w:ascii="Arial" w:hAnsi="Arial" w:cs="Arial"/>
        </w:rPr>
      </w:pPr>
    </w:p>
    <w:p w:rsidR="007E2CAC" w:rsidRPr="00254597" w:rsidRDefault="007E2CAC" w:rsidP="007E2CAC">
      <w:pPr>
        <w:pStyle w:val="Indice1"/>
      </w:pPr>
      <w:bookmarkStart w:id="347" w:name="_Toc341040638"/>
      <w:r>
        <w:t>CAPÍTULO 3</w:t>
      </w:r>
      <w:bookmarkEnd w:id="347"/>
    </w:p>
    <w:p w:rsidR="00C15FE6" w:rsidRPr="00613DF1" w:rsidRDefault="0079699E" w:rsidP="00613DF1">
      <w:pPr>
        <w:pStyle w:val="Prrafodelista"/>
        <w:numPr>
          <w:ilvl w:val="0"/>
          <w:numId w:val="10"/>
        </w:numPr>
        <w:spacing w:line="480" w:lineRule="auto"/>
        <w:ind w:left="284" w:hanging="284"/>
        <w:jc w:val="both"/>
        <w:rPr>
          <w:rFonts w:ascii="Arial" w:hAnsi="Arial" w:cs="Arial"/>
          <w:b/>
          <w:sz w:val="32"/>
          <w:szCs w:val="32"/>
        </w:rPr>
      </w:pPr>
      <w:r w:rsidRPr="00613DF1">
        <w:rPr>
          <w:rFonts w:ascii="Arial" w:hAnsi="Arial" w:cs="Arial"/>
          <w:b/>
          <w:sz w:val="32"/>
          <w:szCs w:val="32"/>
        </w:rPr>
        <w:t>MIGRACIÓN INTERNACIONAL</w:t>
      </w:r>
    </w:p>
    <w:p w:rsidR="0030662D" w:rsidRDefault="0030662D" w:rsidP="00613DF1">
      <w:pPr>
        <w:pStyle w:val="TesisTitulo1"/>
        <w:ind w:left="851"/>
      </w:pPr>
      <w:bookmarkStart w:id="348" w:name="_Toc331941459"/>
      <w:bookmarkStart w:id="349" w:name="_Toc335850587"/>
      <w:bookmarkStart w:id="350" w:name="_Toc341040639"/>
      <w:r>
        <w:t>Introducción</w:t>
      </w:r>
      <w:bookmarkEnd w:id="348"/>
      <w:bookmarkEnd w:id="349"/>
      <w:bookmarkEnd w:id="350"/>
    </w:p>
    <w:p w:rsidR="0030662D" w:rsidRDefault="0030662D" w:rsidP="00613DF1">
      <w:pPr>
        <w:spacing w:line="480" w:lineRule="auto"/>
        <w:ind w:left="851"/>
        <w:jc w:val="both"/>
        <w:rPr>
          <w:rFonts w:ascii="Arial" w:hAnsi="Arial" w:cs="Arial"/>
        </w:rPr>
      </w:pPr>
      <w:r>
        <w:rPr>
          <w:rFonts w:ascii="Arial" w:hAnsi="Arial" w:cs="Arial"/>
        </w:rPr>
        <w:t xml:space="preserve">El Ecuador, es un país que a mas de expulsar población </w:t>
      </w:r>
      <w:r w:rsidR="00A2655A">
        <w:rPr>
          <w:rFonts w:ascii="Arial" w:hAnsi="Arial" w:cs="Arial"/>
        </w:rPr>
        <w:t>hacia e</w:t>
      </w:r>
      <w:r>
        <w:rPr>
          <w:rFonts w:ascii="Arial" w:hAnsi="Arial" w:cs="Arial"/>
        </w:rPr>
        <w:t xml:space="preserve">l exterior, también tiene extranjeros residiendo dentro de su territorio; </w:t>
      </w:r>
      <w:r w:rsidR="00A2655A">
        <w:rPr>
          <w:rFonts w:ascii="Arial" w:hAnsi="Arial" w:cs="Arial"/>
        </w:rPr>
        <w:t>por tanto en este capítulo nuestra población objetivo son los extranjeros que a la fecha del empadronamiento, noviembre de 2010, respondieron que residen habitualmente en el país, aquí</w:t>
      </w:r>
      <w:r w:rsidRPr="0008304E">
        <w:rPr>
          <w:rFonts w:ascii="Arial" w:hAnsi="Arial" w:cs="Arial"/>
        </w:rPr>
        <w:t xml:space="preserve"> se analiza el perfil del inmigrante extranjero que reside en las diferentes provincias</w:t>
      </w:r>
      <w:r>
        <w:rPr>
          <w:rFonts w:ascii="Arial" w:hAnsi="Arial" w:cs="Arial"/>
        </w:rPr>
        <w:t xml:space="preserve">; dentro de las características </w:t>
      </w:r>
      <w:r w:rsidR="00613DF1">
        <w:rPr>
          <w:rFonts w:ascii="Arial" w:hAnsi="Arial" w:cs="Arial"/>
        </w:rPr>
        <w:t>que se estudian</w:t>
      </w:r>
      <w:r>
        <w:rPr>
          <w:rFonts w:ascii="Arial" w:hAnsi="Arial" w:cs="Arial"/>
        </w:rPr>
        <w:t xml:space="preserve"> tenemos la provincia donde habitualmente reside</w:t>
      </w:r>
      <w:r w:rsidR="00A2655A">
        <w:rPr>
          <w:rFonts w:ascii="Arial" w:hAnsi="Arial" w:cs="Arial"/>
        </w:rPr>
        <w:t>n</w:t>
      </w:r>
      <w:r>
        <w:rPr>
          <w:rFonts w:ascii="Arial" w:hAnsi="Arial" w:cs="Arial"/>
        </w:rPr>
        <w:t>, el año en el cual lleg</w:t>
      </w:r>
      <w:r w:rsidR="00645E4A">
        <w:rPr>
          <w:rFonts w:ascii="Arial" w:hAnsi="Arial" w:cs="Arial"/>
        </w:rPr>
        <w:t>aron</w:t>
      </w:r>
      <w:r>
        <w:rPr>
          <w:rFonts w:ascii="Arial" w:hAnsi="Arial" w:cs="Arial"/>
        </w:rPr>
        <w:t xml:space="preserve"> al Ecuador</w:t>
      </w:r>
      <w:r w:rsidR="00645E4A">
        <w:rPr>
          <w:rFonts w:ascii="Arial" w:hAnsi="Arial" w:cs="Arial"/>
        </w:rPr>
        <w:t xml:space="preserve">, con esta variable se determina también la cantidad de años que tienen viviendo en le país, el </w:t>
      </w:r>
      <w:r>
        <w:rPr>
          <w:rFonts w:ascii="Arial" w:hAnsi="Arial" w:cs="Arial"/>
        </w:rPr>
        <w:t xml:space="preserve">género, </w:t>
      </w:r>
      <w:r w:rsidR="00645E4A">
        <w:rPr>
          <w:rFonts w:ascii="Arial" w:hAnsi="Arial" w:cs="Arial"/>
        </w:rPr>
        <w:t xml:space="preserve">la </w:t>
      </w:r>
      <w:r>
        <w:rPr>
          <w:rFonts w:ascii="Arial" w:hAnsi="Arial" w:cs="Arial"/>
        </w:rPr>
        <w:t xml:space="preserve">edad, </w:t>
      </w:r>
      <w:r w:rsidR="00645E4A">
        <w:rPr>
          <w:rFonts w:ascii="Arial" w:hAnsi="Arial" w:cs="Arial"/>
        </w:rPr>
        <w:t xml:space="preserve">si sabe leer y escribir, </w:t>
      </w:r>
      <w:r>
        <w:rPr>
          <w:rFonts w:ascii="Arial" w:hAnsi="Arial" w:cs="Arial"/>
        </w:rPr>
        <w:t>nivel</w:t>
      </w:r>
      <w:r w:rsidR="00645E4A">
        <w:rPr>
          <w:rFonts w:ascii="Arial" w:hAnsi="Arial" w:cs="Arial"/>
        </w:rPr>
        <w:t xml:space="preserve"> más alto</w:t>
      </w:r>
      <w:r>
        <w:rPr>
          <w:rFonts w:ascii="Arial" w:hAnsi="Arial" w:cs="Arial"/>
        </w:rPr>
        <w:t xml:space="preserve"> de instrucción, país de nacimiento, su identificación étnica y algunas características económica</w:t>
      </w:r>
      <w:r w:rsidR="00645E4A">
        <w:rPr>
          <w:rFonts w:ascii="Arial" w:hAnsi="Arial" w:cs="Arial"/>
        </w:rPr>
        <w:t>s</w:t>
      </w:r>
      <w:r>
        <w:rPr>
          <w:rFonts w:ascii="Arial" w:hAnsi="Arial" w:cs="Arial"/>
        </w:rPr>
        <w:t xml:space="preserve"> de este grupo poblacional</w:t>
      </w:r>
      <w:r w:rsidR="00645E4A">
        <w:rPr>
          <w:rFonts w:ascii="Arial" w:hAnsi="Arial" w:cs="Arial"/>
        </w:rPr>
        <w:t xml:space="preserve"> como si trabaja o no, la ocupación y el cargo que desempeñan</w:t>
      </w:r>
      <w:r>
        <w:rPr>
          <w:rFonts w:ascii="Arial" w:hAnsi="Arial" w:cs="Arial"/>
        </w:rPr>
        <w:t>.</w:t>
      </w:r>
    </w:p>
    <w:p w:rsidR="0030662D" w:rsidRDefault="0030662D" w:rsidP="00613DF1">
      <w:pPr>
        <w:spacing w:line="480" w:lineRule="auto"/>
        <w:ind w:left="851"/>
        <w:jc w:val="both"/>
        <w:rPr>
          <w:rFonts w:ascii="Arial" w:hAnsi="Arial" w:cs="Arial"/>
        </w:rPr>
      </w:pPr>
    </w:p>
    <w:p w:rsidR="0030662D" w:rsidRDefault="0030662D" w:rsidP="00645E4A">
      <w:pPr>
        <w:pStyle w:val="TesisTitulo1"/>
        <w:ind w:left="851"/>
      </w:pPr>
      <w:bookmarkStart w:id="351" w:name="_Toc331941461"/>
      <w:bookmarkStart w:id="352" w:name="_Toc335850588"/>
      <w:bookmarkStart w:id="353" w:name="_Toc341040640"/>
      <w:r w:rsidRPr="005734B5">
        <w:lastRenderedPageBreak/>
        <w:t xml:space="preserve">Tasa de Inmigración extranjera </w:t>
      </w:r>
      <w:bookmarkEnd w:id="351"/>
      <w:r>
        <w:t>por lugar de residencia</w:t>
      </w:r>
      <w:bookmarkEnd w:id="352"/>
      <w:bookmarkEnd w:id="353"/>
    </w:p>
    <w:p w:rsidR="0030662D" w:rsidRPr="005734B5" w:rsidRDefault="0030662D" w:rsidP="00A2655A">
      <w:pPr>
        <w:pStyle w:val="TesisTitulo2"/>
        <w:ind w:left="1560" w:hanging="709"/>
      </w:pPr>
      <w:bookmarkStart w:id="354" w:name="_Toc335850589"/>
      <w:bookmarkStart w:id="355" w:name="_Toc341040641"/>
      <w:r>
        <w:t xml:space="preserve">Tasa de Inmigración extranjera a nivel </w:t>
      </w:r>
      <w:r w:rsidR="008F1FF2">
        <w:t>r</w:t>
      </w:r>
      <w:r>
        <w:t>egional</w:t>
      </w:r>
      <w:bookmarkEnd w:id="354"/>
      <w:bookmarkEnd w:id="355"/>
    </w:p>
    <w:p w:rsidR="0030662D" w:rsidRPr="003C5832" w:rsidRDefault="00645E4A" w:rsidP="00645E4A">
      <w:pPr>
        <w:pStyle w:val="Prrafodelista"/>
        <w:tabs>
          <w:tab w:val="left" w:pos="1560"/>
        </w:tabs>
        <w:spacing w:line="480" w:lineRule="auto"/>
        <w:ind w:left="851"/>
        <w:jc w:val="both"/>
        <w:rPr>
          <w:rFonts w:ascii="Arial" w:hAnsi="Arial" w:cs="Arial"/>
          <w:i/>
        </w:rPr>
      </w:pPr>
      <w:r>
        <w:rPr>
          <w:rFonts w:ascii="Arial" w:hAnsi="Arial" w:cs="Arial"/>
        </w:rPr>
        <w:t>Según el censo realizado por el INEC, e</w:t>
      </w:r>
      <w:r w:rsidR="0030662D">
        <w:rPr>
          <w:rFonts w:ascii="Arial" w:hAnsi="Arial" w:cs="Arial"/>
        </w:rPr>
        <w:t xml:space="preserve">n Ecuador habían </w:t>
      </w:r>
      <w:r w:rsidR="0030662D" w:rsidRPr="00411D22">
        <w:rPr>
          <w:rFonts w:ascii="Arial" w:hAnsi="Arial" w:cs="Arial"/>
        </w:rPr>
        <w:t>181848</w:t>
      </w:r>
      <w:r w:rsidR="0030662D">
        <w:rPr>
          <w:rFonts w:ascii="Arial" w:hAnsi="Arial" w:cs="Arial"/>
        </w:rPr>
        <w:t xml:space="preserve"> extranjeros a noviembre de 2010, es decir, existían aproximadamente de 12.56 inmigrantes</w:t>
      </w:r>
      <w:r>
        <w:rPr>
          <w:rFonts w:ascii="Arial" w:hAnsi="Arial" w:cs="Arial"/>
        </w:rPr>
        <w:t xml:space="preserve"> extranjeros</w:t>
      </w:r>
      <w:r w:rsidR="0030662D">
        <w:rPr>
          <w:rFonts w:ascii="Arial" w:hAnsi="Arial" w:cs="Arial"/>
        </w:rPr>
        <w:t xml:space="preserve"> por cada 1000 habitantes del país; los cuales se han distribuido entre las diferentes regiones, es así que el 60.55% viven en la Sierra, el 29.94% en la Costa, el 9.28% en la región Oriental; y, el porcentaje restante en la provincia de Galápagos. Si habláramos en términos de tasas de inmigración, tendríamos que en la Costa residen alrededor de 7.50 inmigrantes extranjeros por cada 1000 personas de la región; mientras que en la Sierra hay 17.08 inmigrantes por cada 1000 habitantes, en el Oriente y en Galápagos hay 23.02 y 16.80 inmigrantes extranjeros por cada 1000 residentes de cada una de las regiones respectivamente. </w:t>
      </w:r>
      <w:r w:rsidR="0030662D">
        <w:rPr>
          <w:rFonts w:ascii="Arial" w:hAnsi="Arial" w:cs="Arial"/>
          <w:i/>
        </w:rPr>
        <w:t>Véase Tabla 3.1.</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0662D" w:rsidRPr="00840530" w:rsidTr="00645E4A">
        <w:trPr>
          <w:trHeight w:val="1757"/>
          <w:jc w:val="right"/>
        </w:trPr>
        <w:tc>
          <w:tcPr>
            <w:tcW w:w="7497" w:type="dxa"/>
          </w:tcPr>
          <w:p w:rsidR="0030662D" w:rsidRPr="00840530" w:rsidRDefault="0030662D" w:rsidP="003B05B6">
            <w:pPr>
              <w:rPr>
                <w:rFonts w:ascii="Arial" w:hAnsi="Arial" w:cs="Arial"/>
                <w:sz w:val="16"/>
                <w:szCs w:val="16"/>
              </w:rPr>
            </w:pPr>
          </w:p>
          <w:p w:rsidR="001553F5" w:rsidRPr="001553F5" w:rsidRDefault="001553F5" w:rsidP="001553F5">
            <w:pPr>
              <w:keepNext/>
              <w:rPr>
                <w:rFonts w:ascii="Arial" w:hAnsi="Arial" w:cs="Arial"/>
                <w:b/>
                <w:sz w:val="16"/>
                <w:szCs w:val="16"/>
              </w:rPr>
            </w:pPr>
            <w:bookmarkStart w:id="356" w:name="_Toc341041912"/>
            <w:r>
              <w:rPr>
                <w:rFonts w:ascii="Arial" w:hAnsi="Arial" w:cs="Arial"/>
                <w:b/>
                <w:sz w:val="16"/>
                <w:szCs w:val="16"/>
              </w:rPr>
              <w:t>Tabla 3.</w:t>
            </w:r>
            <w:r w:rsidR="00990535" w:rsidRPr="001553F5">
              <w:rPr>
                <w:rFonts w:ascii="Arial" w:hAnsi="Arial" w:cs="Arial"/>
                <w:b/>
                <w:sz w:val="16"/>
                <w:szCs w:val="16"/>
              </w:rPr>
              <w:fldChar w:fldCharType="begin"/>
            </w:r>
            <w:r w:rsidRPr="001553F5">
              <w:rPr>
                <w:rFonts w:ascii="Arial" w:hAnsi="Arial" w:cs="Arial"/>
                <w:b/>
                <w:sz w:val="16"/>
                <w:szCs w:val="16"/>
              </w:rPr>
              <w:instrText xml:space="preserve"> SEQ Tabla_3. \* ARABIC </w:instrText>
            </w:r>
            <w:r w:rsidR="00990535" w:rsidRPr="001553F5">
              <w:rPr>
                <w:rFonts w:ascii="Arial" w:hAnsi="Arial" w:cs="Arial"/>
                <w:b/>
                <w:sz w:val="16"/>
                <w:szCs w:val="16"/>
              </w:rPr>
              <w:fldChar w:fldCharType="separate"/>
            </w:r>
            <w:r w:rsidR="00A242E0">
              <w:rPr>
                <w:rFonts w:ascii="Arial" w:hAnsi="Arial" w:cs="Arial"/>
                <w:b/>
                <w:noProof/>
                <w:sz w:val="16"/>
                <w:szCs w:val="16"/>
              </w:rPr>
              <w:t>1</w:t>
            </w:r>
            <w:bookmarkEnd w:id="356"/>
            <w:r w:rsidR="00990535" w:rsidRPr="001553F5">
              <w:rPr>
                <w:rFonts w:ascii="Arial" w:hAnsi="Arial" w:cs="Arial"/>
                <w:b/>
                <w:sz w:val="16"/>
                <w:szCs w:val="16"/>
              </w:rPr>
              <w:fldChar w:fldCharType="end"/>
            </w:r>
          </w:p>
          <w:p w:rsidR="0030662D" w:rsidRDefault="00645E4A" w:rsidP="003B05B6">
            <w:pPr>
              <w:rPr>
                <w:rFonts w:ascii="Arial" w:hAnsi="Arial" w:cs="Arial"/>
                <w:i/>
                <w:sz w:val="16"/>
                <w:szCs w:val="16"/>
              </w:rPr>
            </w:pPr>
            <w:r>
              <w:rPr>
                <w:rFonts w:ascii="Arial" w:hAnsi="Arial" w:cs="Arial"/>
                <w:b/>
                <w:i/>
                <w:sz w:val="16"/>
                <w:szCs w:val="16"/>
              </w:rPr>
              <w:t xml:space="preserve">Ecuador 2010: </w:t>
            </w:r>
            <w:r w:rsidR="0030662D">
              <w:rPr>
                <w:rFonts w:ascii="Arial" w:hAnsi="Arial" w:cs="Arial"/>
                <w:i/>
                <w:sz w:val="16"/>
                <w:szCs w:val="16"/>
              </w:rPr>
              <w:t xml:space="preserve">Tasa de Inmigración extranjera </w:t>
            </w:r>
            <w:r>
              <w:rPr>
                <w:rFonts w:ascii="Arial" w:hAnsi="Arial" w:cs="Arial"/>
                <w:i/>
                <w:sz w:val="16"/>
                <w:szCs w:val="16"/>
              </w:rPr>
              <w:t>por cada 1000 habitantes a nivel regional</w:t>
            </w:r>
          </w:p>
          <w:p w:rsidR="0030662D" w:rsidRDefault="0030662D" w:rsidP="003B05B6">
            <w:pPr>
              <w:rPr>
                <w:rFonts w:ascii="Arial" w:hAnsi="Arial" w:cs="Arial"/>
                <w:i/>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tblGrid>
            <w:tr w:rsidR="0030662D" w:rsidRPr="00C71E61" w:rsidTr="00645E4A">
              <w:trPr>
                <w:trHeight w:val="170"/>
                <w:jc w:val="center"/>
              </w:trPr>
              <w:tc>
                <w:tcPr>
                  <w:tcW w:w="2268" w:type="dxa"/>
                  <w:tcBorders>
                    <w:top w:val="single" w:sz="4" w:space="0" w:color="auto"/>
                    <w:bottom w:val="single" w:sz="4" w:space="0" w:color="auto"/>
                  </w:tcBorders>
                  <w:vAlign w:val="center"/>
                </w:tcPr>
                <w:p w:rsidR="0030662D" w:rsidRPr="00C71E61" w:rsidRDefault="0030662D" w:rsidP="003B05B6">
                  <w:pPr>
                    <w:rPr>
                      <w:rFonts w:ascii="Arial" w:hAnsi="Arial" w:cs="Arial"/>
                      <w:b/>
                      <w:sz w:val="16"/>
                      <w:szCs w:val="16"/>
                    </w:rPr>
                  </w:pPr>
                  <w:r>
                    <w:rPr>
                      <w:rFonts w:ascii="Arial" w:hAnsi="Arial" w:cs="Arial"/>
                      <w:b/>
                      <w:sz w:val="16"/>
                      <w:szCs w:val="16"/>
                    </w:rPr>
                    <w:t>Región</w:t>
                  </w:r>
                </w:p>
              </w:tc>
              <w:tc>
                <w:tcPr>
                  <w:tcW w:w="2268" w:type="dxa"/>
                  <w:tcBorders>
                    <w:top w:val="single" w:sz="4" w:space="0" w:color="auto"/>
                    <w:bottom w:val="single" w:sz="4" w:space="0" w:color="auto"/>
                  </w:tcBorders>
                  <w:vAlign w:val="center"/>
                </w:tcPr>
                <w:p w:rsidR="0030662D" w:rsidRPr="00C71E61" w:rsidRDefault="0030662D" w:rsidP="003B05B6">
                  <w:pPr>
                    <w:rPr>
                      <w:rFonts w:ascii="Arial" w:hAnsi="Arial" w:cs="Arial"/>
                      <w:b/>
                      <w:sz w:val="16"/>
                      <w:szCs w:val="16"/>
                    </w:rPr>
                  </w:pPr>
                  <w:r>
                    <w:rPr>
                      <w:rFonts w:ascii="Arial" w:hAnsi="Arial" w:cs="Arial"/>
                      <w:b/>
                      <w:sz w:val="16"/>
                      <w:szCs w:val="16"/>
                    </w:rPr>
                    <w:t>Tasa de Inmigración</w:t>
                  </w:r>
                </w:p>
              </w:tc>
            </w:tr>
            <w:tr w:rsidR="0030662D" w:rsidRPr="00C71E61" w:rsidTr="00645E4A">
              <w:trPr>
                <w:trHeight w:val="170"/>
                <w:jc w:val="center"/>
              </w:trPr>
              <w:tc>
                <w:tcPr>
                  <w:tcW w:w="2268" w:type="dxa"/>
                  <w:tcBorders>
                    <w:top w:val="single" w:sz="4" w:space="0" w:color="auto"/>
                  </w:tcBorders>
                  <w:vAlign w:val="center"/>
                </w:tcPr>
                <w:p w:rsidR="0030662D" w:rsidRPr="00C71E61" w:rsidRDefault="0030662D" w:rsidP="003B05B6">
                  <w:pPr>
                    <w:jc w:val="left"/>
                    <w:rPr>
                      <w:rFonts w:ascii="Arial" w:hAnsi="Arial" w:cs="Arial"/>
                      <w:sz w:val="16"/>
                      <w:szCs w:val="16"/>
                    </w:rPr>
                  </w:pPr>
                  <w:r>
                    <w:rPr>
                      <w:rFonts w:ascii="Arial" w:hAnsi="Arial" w:cs="Arial"/>
                      <w:sz w:val="16"/>
                      <w:szCs w:val="16"/>
                    </w:rPr>
                    <w:t>Costa</w:t>
                  </w:r>
                </w:p>
              </w:tc>
              <w:tc>
                <w:tcPr>
                  <w:tcW w:w="2268" w:type="dxa"/>
                  <w:tcBorders>
                    <w:top w:val="single" w:sz="4" w:space="0" w:color="auto"/>
                  </w:tcBorders>
                  <w:vAlign w:val="center"/>
                </w:tcPr>
                <w:p w:rsidR="0030662D" w:rsidRPr="00C71E61" w:rsidRDefault="0030662D" w:rsidP="003B05B6">
                  <w:pPr>
                    <w:rPr>
                      <w:rFonts w:ascii="Arial" w:hAnsi="Arial" w:cs="Arial"/>
                      <w:sz w:val="16"/>
                      <w:szCs w:val="16"/>
                    </w:rPr>
                  </w:pPr>
                  <w:r>
                    <w:rPr>
                      <w:rFonts w:ascii="Arial" w:hAnsi="Arial" w:cs="Arial"/>
                      <w:sz w:val="16"/>
                      <w:szCs w:val="16"/>
                    </w:rPr>
                    <w:t>7.50</w:t>
                  </w:r>
                </w:p>
              </w:tc>
            </w:tr>
            <w:tr w:rsidR="0030662D" w:rsidRPr="00C71E61" w:rsidTr="00645E4A">
              <w:trPr>
                <w:trHeight w:val="170"/>
                <w:jc w:val="center"/>
              </w:trPr>
              <w:tc>
                <w:tcPr>
                  <w:tcW w:w="2268" w:type="dxa"/>
                  <w:vAlign w:val="center"/>
                </w:tcPr>
                <w:p w:rsidR="0030662D" w:rsidRPr="00C71E61" w:rsidRDefault="0030662D" w:rsidP="003B05B6">
                  <w:pPr>
                    <w:jc w:val="left"/>
                    <w:rPr>
                      <w:rFonts w:ascii="Arial" w:hAnsi="Arial" w:cs="Arial"/>
                      <w:sz w:val="16"/>
                      <w:szCs w:val="16"/>
                    </w:rPr>
                  </w:pPr>
                  <w:r>
                    <w:rPr>
                      <w:rFonts w:ascii="Arial" w:hAnsi="Arial" w:cs="Arial"/>
                      <w:sz w:val="16"/>
                      <w:szCs w:val="16"/>
                    </w:rPr>
                    <w:t>Sierra</w:t>
                  </w:r>
                </w:p>
              </w:tc>
              <w:tc>
                <w:tcPr>
                  <w:tcW w:w="2268" w:type="dxa"/>
                  <w:vAlign w:val="center"/>
                </w:tcPr>
                <w:p w:rsidR="0030662D" w:rsidRPr="00C71E61" w:rsidRDefault="0030662D" w:rsidP="003B05B6">
                  <w:pPr>
                    <w:rPr>
                      <w:rFonts w:ascii="Arial" w:hAnsi="Arial" w:cs="Arial"/>
                      <w:sz w:val="16"/>
                      <w:szCs w:val="16"/>
                    </w:rPr>
                  </w:pPr>
                  <w:r>
                    <w:rPr>
                      <w:rFonts w:ascii="Arial" w:hAnsi="Arial" w:cs="Arial"/>
                      <w:sz w:val="16"/>
                      <w:szCs w:val="16"/>
                    </w:rPr>
                    <w:t>17.08</w:t>
                  </w:r>
                </w:p>
              </w:tc>
            </w:tr>
            <w:tr w:rsidR="0030662D" w:rsidRPr="00C71E61" w:rsidTr="00645E4A">
              <w:trPr>
                <w:trHeight w:val="170"/>
                <w:jc w:val="center"/>
              </w:trPr>
              <w:tc>
                <w:tcPr>
                  <w:tcW w:w="2268" w:type="dxa"/>
                  <w:vAlign w:val="center"/>
                </w:tcPr>
                <w:p w:rsidR="0030662D" w:rsidRPr="00C71E61" w:rsidRDefault="0030662D" w:rsidP="003B05B6">
                  <w:pPr>
                    <w:jc w:val="left"/>
                    <w:rPr>
                      <w:rFonts w:ascii="Arial" w:hAnsi="Arial" w:cs="Arial"/>
                      <w:sz w:val="16"/>
                      <w:szCs w:val="16"/>
                    </w:rPr>
                  </w:pPr>
                  <w:r>
                    <w:rPr>
                      <w:rFonts w:ascii="Arial" w:hAnsi="Arial" w:cs="Arial"/>
                      <w:sz w:val="16"/>
                      <w:szCs w:val="16"/>
                    </w:rPr>
                    <w:t>Oriente</w:t>
                  </w:r>
                </w:p>
              </w:tc>
              <w:tc>
                <w:tcPr>
                  <w:tcW w:w="2268" w:type="dxa"/>
                  <w:vAlign w:val="center"/>
                </w:tcPr>
                <w:p w:rsidR="0030662D" w:rsidRPr="00C71E61" w:rsidRDefault="0030662D" w:rsidP="003B05B6">
                  <w:pPr>
                    <w:rPr>
                      <w:rFonts w:ascii="Arial" w:hAnsi="Arial" w:cs="Arial"/>
                      <w:sz w:val="16"/>
                      <w:szCs w:val="16"/>
                    </w:rPr>
                  </w:pPr>
                  <w:r>
                    <w:rPr>
                      <w:rFonts w:ascii="Arial" w:hAnsi="Arial" w:cs="Arial"/>
                      <w:sz w:val="16"/>
                      <w:szCs w:val="16"/>
                    </w:rPr>
                    <w:t>23.02</w:t>
                  </w:r>
                </w:p>
              </w:tc>
            </w:tr>
            <w:tr w:rsidR="0030662D" w:rsidRPr="00C71E61" w:rsidTr="00645E4A">
              <w:trPr>
                <w:trHeight w:val="170"/>
                <w:jc w:val="center"/>
              </w:trPr>
              <w:tc>
                <w:tcPr>
                  <w:tcW w:w="2268" w:type="dxa"/>
                  <w:tcBorders>
                    <w:bottom w:val="single" w:sz="4" w:space="0" w:color="auto"/>
                  </w:tcBorders>
                  <w:vAlign w:val="center"/>
                </w:tcPr>
                <w:p w:rsidR="0030662D" w:rsidRPr="00C71E61" w:rsidRDefault="0030662D" w:rsidP="003B05B6">
                  <w:pPr>
                    <w:jc w:val="left"/>
                    <w:rPr>
                      <w:rFonts w:ascii="Arial" w:hAnsi="Arial" w:cs="Arial"/>
                      <w:sz w:val="16"/>
                      <w:szCs w:val="16"/>
                    </w:rPr>
                  </w:pPr>
                  <w:r>
                    <w:rPr>
                      <w:rFonts w:ascii="Arial" w:hAnsi="Arial" w:cs="Arial"/>
                      <w:sz w:val="16"/>
                      <w:szCs w:val="16"/>
                    </w:rPr>
                    <w:t>Galápagos</w:t>
                  </w:r>
                </w:p>
              </w:tc>
              <w:tc>
                <w:tcPr>
                  <w:tcW w:w="2268" w:type="dxa"/>
                  <w:tcBorders>
                    <w:bottom w:val="single" w:sz="4" w:space="0" w:color="auto"/>
                  </w:tcBorders>
                  <w:vAlign w:val="center"/>
                </w:tcPr>
                <w:p w:rsidR="0030662D" w:rsidRPr="00C71E61" w:rsidRDefault="0030662D" w:rsidP="003B05B6">
                  <w:pPr>
                    <w:rPr>
                      <w:rFonts w:ascii="Arial" w:hAnsi="Arial" w:cs="Arial"/>
                      <w:sz w:val="16"/>
                      <w:szCs w:val="16"/>
                    </w:rPr>
                  </w:pPr>
                  <w:r>
                    <w:rPr>
                      <w:rFonts w:ascii="Arial" w:hAnsi="Arial" w:cs="Arial"/>
                      <w:sz w:val="16"/>
                      <w:szCs w:val="16"/>
                    </w:rPr>
                    <w:t>16.80</w:t>
                  </w:r>
                </w:p>
              </w:tc>
            </w:tr>
          </w:tbl>
          <w:p w:rsidR="0030662D" w:rsidRPr="00840530" w:rsidRDefault="0030662D" w:rsidP="003B05B6">
            <w:pPr>
              <w:rPr>
                <w:rFonts w:ascii="Arial" w:hAnsi="Arial" w:cs="Arial"/>
                <w:sz w:val="24"/>
                <w:szCs w:val="24"/>
              </w:rPr>
            </w:pPr>
          </w:p>
        </w:tc>
      </w:tr>
    </w:tbl>
    <w:p w:rsidR="0030662D" w:rsidRPr="00645E4A" w:rsidRDefault="0030662D" w:rsidP="00645E4A">
      <w:pPr>
        <w:pStyle w:val="Prrafodelista"/>
        <w:spacing w:line="276" w:lineRule="auto"/>
        <w:ind w:left="851"/>
        <w:jc w:val="both"/>
        <w:rPr>
          <w:rFonts w:ascii="Arial" w:hAnsi="Arial" w:cs="Arial"/>
          <w:sz w:val="17"/>
          <w:szCs w:val="17"/>
        </w:rPr>
      </w:pPr>
    </w:p>
    <w:p w:rsidR="0030662D" w:rsidRPr="00645E4A" w:rsidRDefault="0030662D" w:rsidP="00645E4A">
      <w:pPr>
        <w:pStyle w:val="Prrafodelista"/>
        <w:spacing w:line="276" w:lineRule="auto"/>
        <w:ind w:left="851"/>
        <w:jc w:val="both"/>
        <w:rPr>
          <w:rFonts w:ascii="Arial" w:hAnsi="Arial" w:cs="Arial"/>
          <w:sz w:val="17"/>
          <w:szCs w:val="17"/>
        </w:rPr>
      </w:pPr>
      <w:r w:rsidRPr="00645E4A">
        <w:rPr>
          <w:rFonts w:ascii="Arial" w:hAnsi="Arial" w:cs="Arial"/>
          <w:b/>
          <w:i/>
          <w:sz w:val="17"/>
          <w:szCs w:val="17"/>
        </w:rPr>
        <w:t>Fuente:</w:t>
      </w:r>
      <w:r w:rsidRPr="00645E4A">
        <w:rPr>
          <w:rFonts w:ascii="Arial" w:hAnsi="Arial" w:cs="Arial"/>
          <w:sz w:val="17"/>
          <w:szCs w:val="17"/>
        </w:rPr>
        <w:t xml:space="preserve"> </w:t>
      </w:r>
      <w:r w:rsidRPr="00645E4A">
        <w:rPr>
          <w:rFonts w:ascii="Arial" w:hAnsi="Arial" w:cs="Arial"/>
          <w:b/>
          <w:sz w:val="17"/>
          <w:szCs w:val="17"/>
        </w:rPr>
        <w:t xml:space="preserve">INEC </w:t>
      </w:r>
      <w:r w:rsidRPr="00645E4A">
        <w:rPr>
          <w:rFonts w:ascii="Arial" w:hAnsi="Arial" w:cs="Arial"/>
          <w:sz w:val="17"/>
          <w:szCs w:val="17"/>
        </w:rPr>
        <w:t>(2010), Base de Datos del VII Censo de Población y VI de Vivienda.</w:t>
      </w:r>
    </w:p>
    <w:p w:rsidR="0030662D" w:rsidRPr="00480AFA" w:rsidRDefault="0030662D" w:rsidP="00645E4A">
      <w:pPr>
        <w:pStyle w:val="Prrafodelista"/>
        <w:spacing w:line="276" w:lineRule="auto"/>
        <w:ind w:left="851"/>
        <w:jc w:val="both"/>
        <w:rPr>
          <w:rFonts w:ascii="Arial" w:hAnsi="Arial" w:cs="Arial"/>
          <w:sz w:val="18"/>
          <w:szCs w:val="18"/>
        </w:rPr>
      </w:pPr>
      <w:r w:rsidRPr="00645E4A">
        <w:rPr>
          <w:rFonts w:ascii="Arial" w:hAnsi="Arial" w:cs="Arial"/>
          <w:b/>
          <w:i/>
          <w:sz w:val="17"/>
          <w:szCs w:val="17"/>
        </w:rPr>
        <w:t>Elaborado por:</w:t>
      </w:r>
      <w:r w:rsidRPr="00645E4A">
        <w:rPr>
          <w:rFonts w:ascii="Arial" w:hAnsi="Arial" w:cs="Arial"/>
          <w:sz w:val="17"/>
          <w:szCs w:val="17"/>
        </w:rPr>
        <w:t xml:space="preserve"> Katherine Loor Valeriano</w:t>
      </w:r>
    </w:p>
    <w:p w:rsidR="00060299" w:rsidRDefault="00060299" w:rsidP="00645E4A">
      <w:pPr>
        <w:pStyle w:val="Prrafodelista"/>
        <w:tabs>
          <w:tab w:val="left" w:pos="1560"/>
        </w:tabs>
        <w:spacing w:line="480" w:lineRule="auto"/>
        <w:ind w:left="851"/>
        <w:jc w:val="both"/>
        <w:rPr>
          <w:rFonts w:ascii="Arial" w:hAnsi="Arial" w:cs="Arial"/>
        </w:rPr>
      </w:pPr>
    </w:p>
    <w:p w:rsidR="00060299" w:rsidRDefault="00060299" w:rsidP="008B3F32">
      <w:pPr>
        <w:pStyle w:val="TesisTitulo2"/>
        <w:ind w:left="851" w:firstLine="0"/>
      </w:pPr>
      <w:bookmarkStart w:id="357" w:name="_Toc335850590"/>
      <w:bookmarkStart w:id="358" w:name="_Toc341040642"/>
      <w:r>
        <w:t xml:space="preserve">Proporción de inmigrantes por provincia de </w:t>
      </w:r>
      <w:r w:rsidR="008B3F32">
        <w:t xml:space="preserve">                                                                               </w:t>
      </w:r>
      <w:r>
        <w:t>residencia</w:t>
      </w:r>
      <w:bookmarkEnd w:id="357"/>
      <w:bookmarkEnd w:id="358"/>
    </w:p>
    <w:p w:rsidR="00060299" w:rsidRPr="00F81E32" w:rsidRDefault="00060299" w:rsidP="00645E4A">
      <w:pPr>
        <w:pStyle w:val="Prrafodelista"/>
        <w:tabs>
          <w:tab w:val="left" w:pos="1560"/>
        </w:tabs>
        <w:spacing w:line="480" w:lineRule="auto"/>
        <w:ind w:left="851"/>
        <w:jc w:val="both"/>
        <w:rPr>
          <w:rFonts w:ascii="Arial" w:hAnsi="Arial" w:cs="Arial"/>
          <w:i/>
        </w:rPr>
      </w:pPr>
      <w:r>
        <w:rPr>
          <w:rFonts w:ascii="Arial" w:hAnsi="Arial" w:cs="Arial"/>
        </w:rPr>
        <w:t xml:space="preserve">Pero si en lugar de realizar un análisis por región, consideramos la distribución de los extranjeros en las diferentes provincias del país, </w:t>
      </w:r>
      <w:r>
        <w:rPr>
          <w:rFonts w:ascii="Arial" w:hAnsi="Arial" w:cs="Arial"/>
        </w:rPr>
        <w:lastRenderedPageBreak/>
        <w:t xml:space="preserve">obtendríamos que el 32.64% de los extranjeros residen en Pichincha siendo éste su principal destino, otra gran parte ve como destino atractivo a la provincia del Guayas (16.40%), aunque también existen otros grupos numerosos de extranjeros que residen habitualmente en Carchi (6.75%) y Azuay (6.18%). De las provincias del Oriente, Sucumbíos es la que mayor cantidad de inmigrantes recibe, pues allí viven el 5.93% del total de extranjeros que hay en el Ecuador; mientras que, provincias como Bolívar, Galápagos, Napo o Pastaza son las que menor cantidad de inmigrantes nacidos en otros países atraen. Para más detalles sobre la proporción de extranjeros por provincias, </w:t>
      </w:r>
      <w:r>
        <w:rPr>
          <w:rFonts w:ascii="Arial" w:hAnsi="Arial" w:cs="Arial"/>
          <w:i/>
        </w:rPr>
        <w:t>véase Figura 3.1.</w:t>
      </w:r>
    </w:p>
    <w:tbl>
      <w:tblPr>
        <w:tblStyle w:val="Tablaconcuadrcula"/>
        <w:tblW w:w="7497" w:type="dxa"/>
        <w:jc w:val="right"/>
        <w:tblInd w:w="960"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8B3F32">
        <w:trPr>
          <w:trHeight w:val="6520"/>
          <w:jc w:val="right"/>
        </w:trPr>
        <w:tc>
          <w:tcPr>
            <w:tcW w:w="7497" w:type="dxa"/>
          </w:tcPr>
          <w:p w:rsidR="00060299" w:rsidRPr="003D69C1" w:rsidRDefault="00060299" w:rsidP="003B05B6">
            <w:pPr>
              <w:rPr>
                <w:rFonts w:ascii="Arial" w:hAnsi="Arial" w:cs="Arial"/>
                <w:sz w:val="10"/>
                <w:szCs w:val="10"/>
              </w:rPr>
            </w:pPr>
          </w:p>
          <w:p w:rsidR="00EC7566" w:rsidRPr="00EC7566" w:rsidRDefault="00EC7566" w:rsidP="00EC7566">
            <w:pPr>
              <w:pStyle w:val="Epgrafe"/>
              <w:rPr>
                <w:rFonts w:ascii="Arial" w:hAnsi="Arial" w:cs="Arial"/>
                <w:bCs w:val="0"/>
                <w:color w:val="auto"/>
                <w:sz w:val="16"/>
                <w:szCs w:val="16"/>
              </w:rPr>
            </w:pPr>
            <w:bookmarkStart w:id="359" w:name="_Toc341043400"/>
            <w:r>
              <w:rPr>
                <w:rFonts w:ascii="Arial" w:hAnsi="Arial" w:cs="Arial"/>
                <w:bCs w:val="0"/>
                <w:color w:val="auto"/>
                <w:sz w:val="16"/>
                <w:szCs w:val="16"/>
              </w:rPr>
              <w:t>Figura 3.</w:t>
            </w:r>
            <w:r w:rsidR="00990535" w:rsidRPr="00EC7566">
              <w:rPr>
                <w:rFonts w:ascii="Arial" w:hAnsi="Arial" w:cs="Arial"/>
                <w:bCs w:val="0"/>
                <w:color w:val="auto"/>
                <w:sz w:val="16"/>
                <w:szCs w:val="16"/>
              </w:rPr>
              <w:fldChar w:fldCharType="begin"/>
            </w:r>
            <w:r w:rsidRPr="00EC7566">
              <w:rPr>
                <w:rFonts w:ascii="Arial" w:hAnsi="Arial" w:cs="Arial"/>
                <w:bCs w:val="0"/>
                <w:color w:val="auto"/>
                <w:sz w:val="16"/>
                <w:szCs w:val="16"/>
              </w:rPr>
              <w:instrText xml:space="preserve"> SEQ Figura_3. \* ARABIC </w:instrText>
            </w:r>
            <w:r w:rsidR="00990535" w:rsidRPr="00EC7566">
              <w:rPr>
                <w:rFonts w:ascii="Arial" w:hAnsi="Arial" w:cs="Arial"/>
                <w:bCs w:val="0"/>
                <w:color w:val="auto"/>
                <w:sz w:val="16"/>
                <w:szCs w:val="16"/>
              </w:rPr>
              <w:fldChar w:fldCharType="separate"/>
            </w:r>
            <w:r w:rsidR="00A242E0">
              <w:rPr>
                <w:rFonts w:ascii="Arial" w:hAnsi="Arial" w:cs="Arial"/>
                <w:bCs w:val="0"/>
                <w:noProof/>
                <w:color w:val="auto"/>
                <w:sz w:val="16"/>
                <w:szCs w:val="16"/>
              </w:rPr>
              <w:t>1</w:t>
            </w:r>
            <w:bookmarkEnd w:id="359"/>
            <w:r w:rsidR="00990535" w:rsidRPr="00EC7566">
              <w:rPr>
                <w:rFonts w:ascii="Arial" w:hAnsi="Arial" w:cs="Arial"/>
                <w:bCs w:val="0"/>
                <w:color w:val="auto"/>
                <w:sz w:val="16"/>
                <w:szCs w:val="16"/>
              </w:rPr>
              <w:fldChar w:fldCharType="end"/>
            </w:r>
          </w:p>
          <w:p w:rsidR="00060299" w:rsidRDefault="008B3F32"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Frecuencia Relativa de inmigrantes extranjeros por Provincia de residencia habitual</w:t>
            </w:r>
          </w:p>
          <w:p w:rsidR="00060299" w:rsidRPr="00F1222C" w:rsidRDefault="00060299" w:rsidP="003B05B6">
            <w:pPr>
              <w:rPr>
                <w:rFonts w:ascii="Arial" w:hAnsi="Arial" w:cs="Arial"/>
                <w:b/>
                <w:i/>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882"/>
              <w:gridCol w:w="160"/>
              <w:gridCol w:w="4314"/>
            </w:tblGrid>
            <w:tr w:rsidR="00060299" w:rsidRPr="00F1222C" w:rsidTr="003B05B6">
              <w:trPr>
                <w:trHeight w:val="4696"/>
                <w:jc w:val="center"/>
              </w:trPr>
              <w:tc>
                <w:tcPr>
                  <w:tcW w:w="2831" w:type="dxa"/>
                </w:tcPr>
                <w:p w:rsidR="00060299" w:rsidRPr="00F1222C" w:rsidRDefault="00060299" w:rsidP="003B05B6">
                  <w:pPr>
                    <w:rPr>
                      <w:rFonts w:ascii="Arial" w:hAnsi="Arial" w:cs="Arial"/>
                      <w:b/>
                      <w:sz w:val="10"/>
                      <w:szCs w:val="10"/>
                    </w:rPr>
                  </w:pPr>
                </w:p>
                <w:p w:rsidR="00060299" w:rsidRDefault="00060299" w:rsidP="003B05B6">
                  <w:pPr>
                    <w:rPr>
                      <w:rFonts w:ascii="Arial" w:hAnsi="Arial" w:cs="Arial"/>
                      <w:b/>
                      <w:sz w:val="16"/>
                      <w:szCs w:val="16"/>
                    </w:rPr>
                  </w:pPr>
                  <w:r w:rsidRPr="00F1222C">
                    <w:rPr>
                      <w:rFonts w:ascii="Arial" w:hAnsi="Arial" w:cs="Arial"/>
                      <w:b/>
                      <w:sz w:val="16"/>
                      <w:szCs w:val="16"/>
                    </w:rPr>
                    <w:t>Tabla de Frecuencias</w:t>
                  </w:r>
                </w:p>
                <w:p w:rsidR="00060299" w:rsidRPr="003D69C1" w:rsidRDefault="00060299" w:rsidP="003B05B6">
                  <w:pPr>
                    <w:rPr>
                      <w:rFonts w:ascii="Arial" w:hAnsi="Arial" w:cs="Arial"/>
                      <w:b/>
                      <w:sz w:val="8"/>
                      <w:szCs w:val="8"/>
                    </w:rPr>
                  </w:pPr>
                </w:p>
                <w:tbl>
                  <w:tblPr>
                    <w:tblW w:w="2742" w:type="dxa"/>
                    <w:jc w:val="center"/>
                    <w:tblCellMar>
                      <w:left w:w="70" w:type="dxa"/>
                      <w:right w:w="70" w:type="dxa"/>
                    </w:tblCellMar>
                    <w:tblLook w:val="04A0" w:firstRow="1" w:lastRow="0" w:firstColumn="1" w:lastColumn="0" w:noHBand="0" w:noVBand="1"/>
                  </w:tblPr>
                  <w:tblGrid>
                    <w:gridCol w:w="1723"/>
                    <w:gridCol w:w="1019"/>
                  </w:tblGrid>
                  <w:tr w:rsidR="00060299" w:rsidRPr="007D23B0" w:rsidTr="003B05B6">
                    <w:trPr>
                      <w:trHeight w:val="20"/>
                      <w:jc w:val="center"/>
                    </w:trPr>
                    <w:tc>
                      <w:tcPr>
                        <w:tcW w:w="1757" w:type="dxa"/>
                        <w:tcBorders>
                          <w:top w:val="single" w:sz="4" w:space="0" w:color="auto"/>
                          <w:left w:val="nil"/>
                          <w:bottom w:val="single" w:sz="4" w:space="0" w:color="auto"/>
                          <w:right w:val="nil"/>
                        </w:tcBorders>
                        <w:shd w:val="clear" w:color="auto" w:fill="auto"/>
                        <w:vAlign w:val="center"/>
                        <w:hideMark/>
                      </w:tcPr>
                      <w:p w:rsidR="00060299" w:rsidRPr="007D23B0" w:rsidRDefault="00060299" w:rsidP="00EC7566">
                        <w:pPr>
                          <w:jc w:val="left"/>
                          <w:rPr>
                            <w:rFonts w:ascii="Arial" w:eastAsia="Times New Roman" w:hAnsi="Arial" w:cs="Arial"/>
                            <w:b/>
                            <w:bCs/>
                            <w:color w:val="000000"/>
                            <w:sz w:val="16"/>
                            <w:szCs w:val="16"/>
                            <w:lang w:eastAsia="es-EC"/>
                          </w:rPr>
                        </w:pPr>
                        <w:r w:rsidRPr="007D23B0">
                          <w:rPr>
                            <w:rFonts w:ascii="Arial" w:eastAsia="Times New Roman" w:hAnsi="Arial" w:cs="Arial"/>
                            <w:b/>
                            <w:bCs/>
                            <w:color w:val="000000"/>
                            <w:sz w:val="16"/>
                            <w:szCs w:val="16"/>
                            <w:lang w:eastAsia="es-EC"/>
                          </w:rPr>
                          <w:t>Provincia de residencia</w:t>
                        </w:r>
                      </w:p>
                    </w:tc>
                    <w:tc>
                      <w:tcPr>
                        <w:tcW w:w="985" w:type="dxa"/>
                        <w:tcBorders>
                          <w:top w:val="single" w:sz="4" w:space="0" w:color="auto"/>
                          <w:left w:val="nil"/>
                          <w:bottom w:val="single" w:sz="4" w:space="0" w:color="auto"/>
                          <w:right w:val="nil"/>
                        </w:tcBorders>
                        <w:shd w:val="clear" w:color="auto" w:fill="auto"/>
                        <w:vAlign w:val="center"/>
                        <w:hideMark/>
                      </w:tcPr>
                      <w:p w:rsidR="00060299" w:rsidRPr="007D23B0" w:rsidRDefault="00060299" w:rsidP="003B05B6">
                        <w:pPr>
                          <w:rPr>
                            <w:rFonts w:ascii="Arial" w:eastAsia="Times New Roman" w:hAnsi="Arial" w:cs="Arial"/>
                            <w:b/>
                            <w:bCs/>
                            <w:color w:val="000000"/>
                            <w:sz w:val="16"/>
                            <w:szCs w:val="16"/>
                            <w:lang w:eastAsia="es-EC"/>
                          </w:rPr>
                        </w:pPr>
                        <w:r w:rsidRPr="007D23B0">
                          <w:rPr>
                            <w:rFonts w:ascii="Arial" w:eastAsia="Times New Roman" w:hAnsi="Arial" w:cs="Arial"/>
                            <w:b/>
                            <w:bCs/>
                            <w:color w:val="000000"/>
                            <w:sz w:val="16"/>
                            <w:szCs w:val="16"/>
                            <w:lang w:eastAsia="es-EC"/>
                          </w:rPr>
                          <w:t>Frecuencia Relativa</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Pichincha</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0.326</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Guayas</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0.164</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Carchi</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0.067</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Azuay</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0.062</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Sucumbíos</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0.059</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Esmeraldas</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0.046</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Imbabura</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0.039</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Santo Domingo</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0.037</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Manabí</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0.035</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El Oro</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0.032</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Loja</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0.026</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Tungurahua</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0.019</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Orellana</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0.016</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Los Ríos</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0.013</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Cañar</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0.011</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Chimborazo</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0.010</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Santa Elena</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0.009</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Cotopaxi</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0.007</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Zamora Chinchipe</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0.005</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Morona Santiago</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0.005</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Pastaza</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0.004</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Napo</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0.004</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Galápagos</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0.002</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Bolívar</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0.002</w:t>
                        </w:r>
                      </w:p>
                    </w:tc>
                  </w:tr>
                  <w:tr w:rsidR="00060299" w:rsidRPr="007D23B0" w:rsidTr="003B05B6">
                    <w:trPr>
                      <w:trHeight w:val="20"/>
                      <w:jc w:val="center"/>
                    </w:trPr>
                    <w:tc>
                      <w:tcPr>
                        <w:tcW w:w="1757" w:type="dxa"/>
                        <w:tcBorders>
                          <w:top w:val="nil"/>
                          <w:left w:val="nil"/>
                          <w:bottom w:val="nil"/>
                          <w:right w:val="nil"/>
                        </w:tcBorders>
                        <w:shd w:val="clear" w:color="auto" w:fill="auto"/>
                        <w:vAlign w:val="center"/>
                        <w:hideMark/>
                      </w:tcPr>
                      <w:p w:rsidR="00060299" w:rsidRPr="007D23B0" w:rsidRDefault="00060299" w:rsidP="00EC7566">
                        <w:pPr>
                          <w:jc w:val="left"/>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Zonas No Delimitadas</w:t>
                        </w:r>
                      </w:p>
                    </w:tc>
                    <w:tc>
                      <w:tcPr>
                        <w:tcW w:w="985" w:type="dxa"/>
                        <w:tcBorders>
                          <w:top w:val="nil"/>
                          <w:left w:val="nil"/>
                          <w:bottom w:val="nil"/>
                          <w:right w:val="nil"/>
                        </w:tcBorders>
                        <w:shd w:val="clear" w:color="auto" w:fill="auto"/>
                        <w:noWrap/>
                        <w:vAlign w:val="center"/>
                        <w:hideMark/>
                      </w:tcPr>
                      <w:p w:rsidR="00060299" w:rsidRPr="007D23B0" w:rsidRDefault="00060299" w:rsidP="003B05B6">
                        <w:pPr>
                          <w:rPr>
                            <w:rFonts w:ascii="Arial" w:eastAsia="Times New Roman" w:hAnsi="Arial" w:cs="Arial"/>
                            <w:color w:val="000000"/>
                            <w:sz w:val="16"/>
                            <w:szCs w:val="16"/>
                            <w:lang w:eastAsia="es-EC"/>
                          </w:rPr>
                        </w:pPr>
                        <w:r w:rsidRPr="007D23B0">
                          <w:rPr>
                            <w:rFonts w:ascii="Arial" w:eastAsia="Times New Roman" w:hAnsi="Arial" w:cs="Arial"/>
                            <w:color w:val="000000"/>
                            <w:sz w:val="16"/>
                            <w:szCs w:val="16"/>
                            <w:lang w:eastAsia="es-EC"/>
                          </w:rPr>
                          <w:t>0.000</w:t>
                        </w:r>
                      </w:p>
                    </w:tc>
                  </w:tr>
                  <w:tr w:rsidR="00060299" w:rsidRPr="007D23B0" w:rsidTr="003B05B6">
                    <w:trPr>
                      <w:trHeight w:val="20"/>
                      <w:jc w:val="center"/>
                    </w:trPr>
                    <w:tc>
                      <w:tcPr>
                        <w:tcW w:w="1757" w:type="dxa"/>
                        <w:tcBorders>
                          <w:top w:val="nil"/>
                          <w:left w:val="nil"/>
                          <w:bottom w:val="single" w:sz="4" w:space="0" w:color="auto"/>
                          <w:right w:val="nil"/>
                        </w:tcBorders>
                        <w:shd w:val="clear" w:color="auto" w:fill="auto"/>
                        <w:vAlign w:val="center"/>
                      </w:tcPr>
                      <w:p w:rsidR="00060299" w:rsidRPr="002A6385" w:rsidRDefault="00060299" w:rsidP="00EC7566">
                        <w:pPr>
                          <w:jc w:val="left"/>
                          <w:rPr>
                            <w:rFonts w:ascii="Arial" w:eastAsia="Times New Roman" w:hAnsi="Arial" w:cs="Arial"/>
                            <w:b/>
                            <w:i/>
                            <w:color w:val="000000"/>
                            <w:sz w:val="16"/>
                            <w:szCs w:val="16"/>
                            <w:lang w:eastAsia="es-EC"/>
                          </w:rPr>
                        </w:pPr>
                        <w:r>
                          <w:rPr>
                            <w:rFonts w:ascii="Arial" w:eastAsia="Times New Roman" w:hAnsi="Arial" w:cs="Arial"/>
                            <w:b/>
                            <w:i/>
                            <w:color w:val="000000"/>
                            <w:sz w:val="16"/>
                            <w:szCs w:val="16"/>
                            <w:lang w:eastAsia="es-EC"/>
                          </w:rPr>
                          <w:t>Total</w:t>
                        </w:r>
                      </w:p>
                    </w:tc>
                    <w:tc>
                      <w:tcPr>
                        <w:tcW w:w="985" w:type="dxa"/>
                        <w:tcBorders>
                          <w:top w:val="nil"/>
                          <w:left w:val="nil"/>
                          <w:bottom w:val="single" w:sz="4" w:space="0" w:color="auto"/>
                          <w:right w:val="nil"/>
                        </w:tcBorders>
                        <w:shd w:val="clear" w:color="auto" w:fill="auto"/>
                        <w:noWrap/>
                        <w:vAlign w:val="center"/>
                      </w:tcPr>
                      <w:p w:rsidR="00060299" w:rsidRPr="002A6385" w:rsidRDefault="00060299" w:rsidP="003B05B6">
                        <w:pPr>
                          <w:rPr>
                            <w:rFonts w:ascii="Arial" w:eastAsia="Times New Roman" w:hAnsi="Arial" w:cs="Arial"/>
                            <w:b/>
                            <w:i/>
                            <w:color w:val="000000"/>
                            <w:sz w:val="16"/>
                            <w:szCs w:val="16"/>
                            <w:lang w:eastAsia="es-EC"/>
                          </w:rPr>
                        </w:pPr>
                        <w:r>
                          <w:rPr>
                            <w:rFonts w:ascii="Arial" w:eastAsia="Times New Roman" w:hAnsi="Arial" w:cs="Arial"/>
                            <w:b/>
                            <w:i/>
                            <w:color w:val="000000"/>
                            <w:sz w:val="16"/>
                            <w:szCs w:val="16"/>
                            <w:lang w:eastAsia="es-EC"/>
                          </w:rPr>
                          <w:t>1.000</w:t>
                        </w:r>
                      </w:p>
                    </w:tc>
                  </w:tr>
                </w:tbl>
                <w:p w:rsidR="00060299" w:rsidRPr="00F1222C" w:rsidRDefault="00060299" w:rsidP="003B05B6">
                  <w:pPr>
                    <w:rPr>
                      <w:rFonts w:ascii="Arial" w:hAnsi="Arial" w:cs="Arial"/>
                      <w:b/>
                      <w:sz w:val="16"/>
                      <w:szCs w:val="16"/>
                    </w:rPr>
                  </w:pPr>
                </w:p>
              </w:tc>
              <w:tc>
                <w:tcPr>
                  <w:tcW w:w="160" w:type="dxa"/>
                </w:tcPr>
                <w:p w:rsidR="00060299" w:rsidRPr="00F1222C" w:rsidRDefault="00060299" w:rsidP="003B05B6">
                  <w:pPr>
                    <w:rPr>
                      <w:rFonts w:ascii="Arial" w:hAnsi="Arial" w:cs="Arial"/>
                      <w:b/>
                      <w:sz w:val="16"/>
                      <w:szCs w:val="16"/>
                    </w:rPr>
                  </w:pPr>
                </w:p>
              </w:tc>
              <w:tc>
                <w:tcPr>
                  <w:tcW w:w="4175" w:type="dxa"/>
                </w:tcPr>
                <w:p w:rsidR="00060299" w:rsidRPr="00F1222C" w:rsidRDefault="00060299" w:rsidP="003B05B6">
                  <w:pPr>
                    <w:rPr>
                      <w:rFonts w:ascii="Arial" w:hAnsi="Arial" w:cs="Arial"/>
                      <w:b/>
                      <w:sz w:val="10"/>
                      <w:szCs w:val="10"/>
                    </w:rPr>
                  </w:pPr>
                </w:p>
                <w:p w:rsidR="00060299" w:rsidRDefault="00060299" w:rsidP="003B05B6">
                  <w:pPr>
                    <w:rPr>
                      <w:rFonts w:ascii="Arial" w:hAnsi="Arial" w:cs="Arial"/>
                      <w:b/>
                      <w:sz w:val="16"/>
                      <w:szCs w:val="16"/>
                    </w:rPr>
                  </w:pPr>
                  <w:r w:rsidRPr="00F1222C">
                    <w:rPr>
                      <w:rFonts w:ascii="Arial" w:hAnsi="Arial" w:cs="Arial"/>
                      <w:b/>
                      <w:sz w:val="16"/>
                      <w:szCs w:val="16"/>
                    </w:rPr>
                    <w:t>Histograma de Frecuencias</w:t>
                  </w:r>
                </w:p>
                <w:p w:rsidR="00060299" w:rsidRPr="00F1222C" w:rsidRDefault="00060299" w:rsidP="003B05B6">
                  <w:pPr>
                    <w:rPr>
                      <w:rFonts w:ascii="Arial" w:hAnsi="Arial" w:cs="Arial"/>
                      <w:b/>
                      <w:sz w:val="16"/>
                      <w:szCs w:val="16"/>
                    </w:rPr>
                  </w:pPr>
                  <w:r>
                    <w:rPr>
                      <w:noProof/>
                      <w:lang w:eastAsia="es-EC"/>
                    </w:rPr>
                    <w:drawing>
                      <wp:inline distT="0" distB="0" distL="0" distR="0">
                        <wp:extent cx="2628900" cy="34290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060299" w:rsidRPr="00840530" w:rsidRDefault="00060299" w:rsidP="003B05B6">
            <w:pPr>
              <w:rPr>
                <w:rFonts w:ascii="Arial" w:hAnsi="Arial" w:cs="Arial"/>
                <w:sz w:val="24"/>
                <w:szCs w:val="24"/>
              </w:rPr>
            </w:pPr>
          </w:p>
        </w:tc>
      </w:tr>
    </w:tbl>
    <w:p w:rsidR="00060299" w:rsidRPr="008B3F32" w:rsidRDefault="00060299" w:rsidP="008B3F32">
      <w:pPr>
        <w:pStyle w:val="Prrafodelista"/>
        <w:spacing w:line="276" w:lineRule="auto"/>
        <w:ind w:left="851"/>
        <w:jc w:val="both"/>
        <w:rPr>
          <w:rFonts w:ascii="Arial" w:hAnsi="Arial" w:cs="Arial"/>
          <w:sz w:val="17"/>
          <w:szCs w:val="17"/>
        </w:rPr>
      </w:pPr>
    </w:p>
    <w:p w:rsidR="00060299" w:rsidRPr="008B3F32" w:rsidRDefault="00060299" w:rsidP="008B3F32">
      <w:pPr>
        <w:pStyle w:val="Prrafodelista"/>
        <w:spacing w:line="276" w:lineRule="auto"/>
        <w:ind w:left="851"/>
        <w:jc w:val="both"/>
        <w:rPr>
          <w:rFonts w:ascii="Arial" w:hAnsi="Arial" w:cs="Arial"/>
          <w:sz w:val="17"/>
          <w:szCs w:val="17"/>
        </w:rPr>
      </w:pPr>
      <w:r w:rsidRPr="008B3F32">
        <w:rPr>
          <w:rFonts w:ascii="Arial" w:hAnsi="Arial" w:cs="Arial"/>
          <w:b/>
          <w:i/>
          <w:sz w:val="17"/>
          <w:szCs w:val="17"/>
        </w:rPr>
        <w:t>Fuente:</w:t>
      </w:r>
      <w:r w:rsidRPr="008B3F32">
        <w:rPr>
          <w:rFonts w:ascii="Arial" w:hAnsi="Arial" w:cs="Arial"/>
          <w:sz w:val="17"/>
          <w:szCs w:val="17"/>
        </w:rPr>
        <w:t xml:space="preserve"> </w:t>
      </w:r>
      <w:r w:rsidRPr="008B3F32">
        <w:rPr>
          <w:rFonts w:ascii="Arial" w:hAnsi="Arial" w:cs="Arial"/>
          <w:b/>
          <w:sz w:val="17"/>
          <w:szCs w:val="17"/>
        </w:rPr>
        <w:t xml:space="preserve">INEC </w:t>
      </w:r>
      <w:r w:rsidRPr="008B3F32">
        <w:rPr>
          <w:rFonts w:ascii="Arial" w:hAnsi="Arial" w:cs="Arial"/>
          <w:sz w:val="17"/>
          <w:szCs w:val="17"/>
        </w:rPr>
        <w:t>(2010), Base de Datos del VII Censo de Población y VI de Vivienda.</w:t>
      </w:r>
    </w:p>
    <w:p w:rsidR="00060299" w:rsidRPr="008B3F32" w:rsidRDefault="00060299" w:rsidP="008B3F32">
      <w:pPr>
        <w:pStyle w:val="Prrafodelista"/>
        <w:spacing w:line="276" w:lineRule="auto"/>
        <w:ind w:left="851"/>
        <w:jc w:val="both"/>
        <w:rPr>
          <w:rFonts w:ascii="Arial" w:hAnsi="Arial" w:cs="Arial"/>
          <w:sz w:val="17"/>
          <w:szCs w:val="17"/>
        </w:rPr>
      </w:pPr>
      <w:r w:rsidRPr="008B3F32">
        <w:rPr>
          <w:rFonts w:ascii="Arial" w:hAnsi="Arial" w:cs="Arial"/>
          <w:b/>
          <w:i/>
          <w:sz w:val="17"/>
          <w:szCs w:val="17"/>
        </w:rPr>
        <w:t>Elaborado por:</w:t>
      </w:r>
      <w:r w:rsidRPr="008B3F32">
        <w:rPr>
          <w:rFonts w:ascii="Arial" w:hAnsi="Arial" w:cs="Arial"/>
          <w:sz w:val="17"/>
          <w:szCs w:val="17"/>
        </w:rPr>
        <w:t xml:space="preserve"> Katherine Loor Valeriano</w:t>
      </w:r>
    </w:p>
    <w:p w:rsidR="00060299" w:rsidRDefault="00060299" w:rsidP="008B3F32">
      <w:pPr>
        <w:pStyle w:val="TesisTitulo2"/>
        <w:ind w:left="1560" w:hanging="709"/>
      </w:pPr>
      <w:bookmarkStart w:id="360" w:name="_Toc335850591"/>
      <w:bookmarkStart w:id="361" w:name="_Toc341040643"/>
      <w:r>
        <w:lastRenderedPageBreak/>
        <w:t>Tasa de inmigración extranjera a nivel nacional</w:t>
      </w:r>
      <w:bookmarkEnd w:id="360"/>
      <w:bookmarkEnd w:id="361"/>
    </w:p>
    <w:p w:rsidR="00060299" w:rsidRDefault="00060299" w:rsidP="00C4207D">
      <w:pPr>
        <w:pStyle w:val="Prrafodelista"/>
        <w:tabs>
          <w:tab w:val="left" w:pos="1560"/>
        </w:tabs>
        <w:spacing w:line="480" w:lineRule="auto"/>
        <w:ind w:left="851"/>
        <w:jc w:val="both"/>
        <w:rPr>
          <w:rFonts w:ascii="Arial" w:hAnsi="Arial" w:cs="Arial"/>
        </w:rPr>
      </w:pPr>
      <w:r>
        <w:rPr>
          <w:rFonts w:ascii="Arial" w:hAnsi="Arial" w:cs="Arial"/>
        </w:rPr>
        <w:t xml:space="preserve">Ahora consideremos la tasa de inmigración extranjera respecto a la población total pero desagregada por provincia como se muestra en la </w:t>
      </w:r>
      <w:r w:rsidRPr="00DD2746">
        <w:rPr>
          <w:rFonts w:ascii="Arial" w:hAnsi="Arial" w:cs="Arial"/>
          <w:i/>
        </w:rPr>
        <w:t>Figura 3.</w:t>
      </w:r>
      <w:r>
        <w:rPr>
          <w:rFonts w:ascii="Arial" w:hAnsi="Arial" w:cs="Arial"/>
          <w:i/>
        </w:rPr>
        <w:t xml:space="preserve">2, </w:t>
      </w:r>
      <w:r>
        <w:rPr>
          <w:rFonts w:ascii="Arial" w:hAnsi="Arial" w:cs="Arial"/>
        </w:rPr>
        <w:t>donde tenemos que la provincia que mayor cantidad de inmigrantes extranjeros recibe es Pichincha, pues de los 12.56 extranjeros por cada 1000 habitantes del país, 4.10 residen en esta provincia; otra gran parte ve como atractivo a la provincia del Guayas, habiendo 2.06 extranjeros por cada 1000 habitantes. De allí, podemos notar que dos provincias del norte</w:t>
      </w:r>
      <w:r w:rsidR="005A1698">
        <w:rPr>
          <w:rFonts w:ascii="Arial" w:hAnsi="Arial" w:cs="Arial"/>
        </w:rPr>
        <w:t xml:space="preserve"> limitantes con Colombia en Sierra y Oriente</w:t>
      </w:r>
      <w:r>
        <w:rPr>
          <w:rFonts w:ascii="Arial" w:hAnsi="Arial" w:cs="Arial"/>
        </w:rPr>
        <w:t xml:space="preserve">, son también atractivas para los inmigrantes, estas provincias son Carchi y Sucumbíos pues en ellas residen 0.85 y 0.74 inmigrantes extranjeros por cada 1000 habitantes del país respectivamente. </w:t>
      </w:r>
    </w:p>
    <w:tbl>
      <w:tblPr>
        <w:tblStyle w:val="Tablaconcuadrcula"/>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060299" w:rsidRPr="00840530" w:rsidTr="005A1698">
        <w:trPr>
          <w:trHeight w:val="4762"/>
          <w:jc w:val="right"/>
        </w:trPr>
        <w:tc>
          <w:tcPr>
            <w:tcW w:w="7535" w:type="dxa"/>
          </w:tcPr>
          <w:p w:rsidR="00060299" w:rsidRPr="00840530" w:rsidRDefault="00060299" w:rsidP="003B05B6">
            <w:pPr>
              <w:rPr>
                <w:rFonts w:ascii="Arial" w:hAnsi="Arial" w:cs="Arial"/>
                <w:sz w:val="16"/>
                <w:szCs w:val="16"/>
              </w:rPr>
            </w:pPr>
          </w:p>
          <w:p w:rsidR="00C546D3" w:rsidRPr="00C546D3" w:rsidRDefault="00C546D3" w:rsidP="00C546D3">
            <w:pPr>
              <w:keepNext/>
              <w:rPr>
                <w:rFonts w:ascii="Arial" w:hAnsi="Arial" w:cs="Arial"/>
                <w:b/>
                <w:sz w:val="16"/>
                <w:szCs w:val="16"/>
              </w:rPr>
            </w:pPr>
            <w:bookmarkStart w:id="362" w:name="_Toc341043401"/>
            <w:r w:rsidRPr="00C546D3">
              <w:rPr>
                <w:rFonts w:ascii="Arial" w:hAnsi="Arial" w:cs="Arial"/>
                <w:b/>
                <w:sz w:val="16"/>
                <w:szCs w:val="16"/>
              </w:rPr>
              <w:t>Figura 3.</w:t>
            </w:r>
            <w:r w:rsidR="00990535" w:rsidRPr="00C546D3">
              <w:rPr>
                <w:rFonts w:ascii="Arial" w:hAnsi="Arial" w:cs="Arial"/>
                <w:b/>
                <w:sz w:val="16"/>
                <w:szCs w:val="16"/>
              </w:rPr>
              <w:fldChar w:fldCharType="begin"/>
            </w:r>
            <w:r w:rsidRPr="00C546D3">
              <w:rPr>
                <w:rFonts w:ascii="Arial" w:hAnsi="Arial" w:cs="Arial"/>
                <w:b/>
                <w:sz w:val="16"/>
                <w:szCs w:val="16"/>
              </w:rPr>
              <w:instrText xml:space="preserve"> SEQ Figura_3. \* ARABIC </w:instrText>
            </w:r>
            <w:r w:rsidR="00990535" w:rsidRPr="00C546D3">
              <w:rPr>
                <w:rFonts w:ascii="Arial" w:hAnsi="Arial" w:cs="Arial"/>
                <w:b/>
                <w:sz w:val="16"/>
                <w:szCs w:val="16"/>
              </w:rPr>
              <w:fldChar w:fldCharType="separate"/>
            </w:r>
            <w:r w:rsidR="00A242E0">
              <w:rPr>
                <w:rFonts w:ascii="Arial" w:hAnsi="Arial" w:cs="Arial"/>
                <w:b/>
                <w:noProof/>
                <w:sz w:val="16"/>
                <w:szCs w:val="16"/>
              </w:rPr>
              <w:t>2</w:t>
            </w:r>
            <w:bookmarkEnd w:id="362"/>
            <w:r w:rsidR="00990535" w:rsidRPr="00C546D3">
              <w:rPr>
                <w:rFonts w:ascii="Arial" w:hAnsi="Arial" w:cs="Arial"/>
                <w:b/>
                <w:sz w:val="16"/>
                <w:szCs w:val="16"/>
              </w:rPr>
              <w:fldChar w:fldCharType="end"/>
            </w:r>
          </w:p>
          <w:p w:rsidR="00060299" w:rsidRDefault="00EF2741" w:rsidP="005A1698">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 xml:space="preserve">Tasa de Inmigración extranjera por cada 1000 habitantes del </w:t>
            </w:r>
            <w:r>
              <w:rPr>
                <w:rFonts w:ascii="Arial" w:hAnsi="Arial" w:cs="Arial"/>
                <w:i/>
                <w:sz w:val="16"/>
                <w:szCs w:val="16"/>
              </w:rPr>
              <w:t>país</w:t>
            </w:r>
          </w:p>
          <w:p w:rsidR="005A1698" w:rsidRPr="006C5321" w:rsidRDefault="00436907" w:rsidP="005A1698">
            <w:pPr>
              <w:rPr>
                <w:rFonts w:ascii="Arial" w:hAnsi="Arial" w:cs="Arial"/>
                <w:i/>
                <w:sz w:val="16"/>
                <w:szCs w:val="16"/>
              </w:rPr>
            </w:pPr>
            <w:r>
              <w:rPr>
                <w:rFonts w:ascii="Arial" w:hAnsi="Arial" w:cs="Arial"/>
                <w:i/>
                <w:noProof/>
                <w:sz w:val="16"/>
                <w:szCs w:val="16"/>
                <w:lang w:eastAsia="es-EC"/>
              </w:rPr>
              <w:pict>
                <v:shape id="Text Box 119" o:spid="_x0000_s1317" type="#_x0000_t202" style="position:absolute;left:0;text-align:left;margin-left:188.85pt;margin-top:90.7pt;width:42pt;height:16.55pt;rotation:-5689846fd;z-index:251843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Y1cUA&#10;AADbAAAADwAAAGRycy9kb3ducmV2LnhtbESPT2sCMRTE74LfITyhF6lZrZa6GkWFUvFia9uDt+fm&#10;7R/cvCybqOu3N4LgcZiZ3zDTeWNKcabaFZYV9HsRCOLE6oIzBX+/n68fIJxH1lhaJgVXcjCftVtT&#10;jLW98A+ddz4TAcIuRgW591UspUtyMuh6tiIOXmprgz7IOpO6xkuAm1IOouhdGiw4LORY0Sqn5Lg7&#10;GQXfq7fl4b+72aTo8TTeL9MvK7dKvXSaxQSEp8Y/w4/2WisYjuD+Jfw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NjVxQAAANsAAAAPAAAAAAAAAAAAAAAAAJgCAABkcnMv&#10;ZG93bnJldi54bWxQSwUGAAAAAAQABAD1AAAAigMAAAAA&#10;" filled="f" stroked="f" strokeweight=".5pt">
                  <v:textbox style="layout-flow:vertical;mso-layout-flow-alt:bottom-to-top;mso-next-textbox:#Text Box 119">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0.02</w:t>
                        </w:r>
                      </w:p>
                    </w:txbxContent>
                  </v:textbox>
                </v:shape>
              </w:pict>
            </w:r>
            <w:r>
              <w:rPr>
                <w:rFonts w:ascii="Arial" w:hAnsi="Arial" w:cs="Arial"/>
                <w:i/>
                <w:noProof/>
                <w:sz w:val="16"/>
                <w:szCs w:val="16"/>
                <w:lang w:eastAsia="es-EC"/>
              </w:rPr>
              <w:pict>
                <v:shape id="Text Box 122" o:spid="_x0000_s1322" type="#_x0000_t202" style="position:absolute;left:0;text-align:left;margin-left:163.35pt;margin-top:150.1pt;width:42pt;height:16.5pt;z-index:251848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style="mso-next-textbox:#Text Box 122">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0.40</w:t>
                        </w:r>
                      </w:p>
                    </w:txbxContent>
                  </v:textbox>
                </v:shape>
              </w:pict>
            </w:r>
            <w:r>
              <w:rPr>
                <w:rFonts w:ascii="Arial" w:hAnsi="Arial" w:cs="Arial"/>
                <w:i/>
                <w:noProof/>
                <w:sz w:val="16"/>
                <w:szCs w:val="16"/>
                <w:lang w:eastAsia="es-EC"/>
              </w:rPr>
              <w:pict>
                <v:shape id="Text Box 121" o:spid="_x0000_s1321" type="#_x0000_t202" style="position:absolute;left:0;text-align:left;margin-left:198.6pt;margin-top:105.1pt;width:42pt;height:16.5pt;z-index:251847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style="mso-next-textbox:#Text Box 121">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0.12</w:t>
                        </w:r>
                      </w:p>
                    </w:txbxContent>
                  </v:textbox>
                </v:shape>
              </w:pict>
            </w:r>
            <w:r>
              <w:rPr>
                <w:rFonts w:ascii="Arial" w:hAnsi="Arial" w:cs="Arial"/>
                <w:i/>
                <w:noProof/>
                <w:sz w:val="16"/>
                <w:szCs w:val="16"/>
                <w:lang w:eastAsia="es-EC"/>
              </w:rPr>
              <w:pict>
                <v:shape id="Text Box 105" o:spid="_x0000_s1320" type="#_x0000_t202" style="position:absolute;left:0;text-align:left;margin-left:198.35pt;margin-top:72.1pt;width:42pt;height:16.5pt;z-index:251846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style="mso-next-textbox:#Text Box 105">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0.09</w:t>
                        </w:r>
                      </w:p>
                    </w:txbxContent>
                  </v:textbox>
                </v:shape>
              </w:pict>
            </w:r>
            <w:r>
              <w:rPr>
                <w:rFonts w:ascii="Arial" w:hAnsi="Arial" w:cs="Arial"/>
                <w:i/>
                <w:noProof/>
                <w:sz w:val="16"/>
                <w:szCs w:val="16"/>
                <w:lang w:eastAsia="es-EC"/>
              </w:rPr>
              <w:pict>
                <v:shape id="Text Box 120" o:spid="_x0000_s1319" type="#_x0000_t202" style="position:absolute;left:0;text-align:left;margin-left:224.8pt;margin-top:26pt;width:42pt;height:16.5pt;rotation:2175710fd;z-index:251845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7T8QA&#10;AADbAAAADwAAAGRycy9kb3ducmV2LnhtbESPQWvCQBSE70L/w/IKvemmUmyJbkIrFHrwoDbq9ZF9&#10;JrHZt3F3Nem/7xYEj8PMfMMs8sG04krON5YVPE8SEMSl1Q1XCorvz/EbCB+QNbaWScEvecizh9EC&#10;U2173tB1GyoRIexTVFCH0KVS+rImg35iO+LoHa0zGKJ0ldQO+wg3rZwmyUwabDgu1NjRsqbyZ3sx&#10;Cj72vCrciWTbH1bl+kyzDe7OSj09Du9zEIGGcA/f2l9awcsr/H+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O0/EAAAA2wAAAA8AAAAAAAAAAAAAAAAAmAIAAGRycy9k&#10;b3ducmV2LnhtbFBLBQYAAAAABAAEAPUAAACJAwAAAAA=&#10;" filled="f" stroked="f" strokeweight=".5pt">
                  <v:textbox style="mso-next-textbox:#Text Box 120">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0.85</w:t>
                        </w:r>
                      </w:p>
                    </w:txbxContent>
                  </v:textbox>
                </v:shape>
              </w:pict>
            </w:r>
            <w:r>
              <w:rPr>
                <w:rFonts w:ascii="Arial" w:hAnsi="Arial" w:cs="Arial"/>
                <w:i/>
                <w:noProof/>
                <w:sz w:val="16"/>
                <w:szCs w:val="16"/>
                <w:lang w:eastAsia="es-EC"/>
              </w:rPr>
              <w:pict>
                <v:shape id="Text Box 104" o:spid="_x0000_s1318" type="#_x0000_t202" style="position:absolute;left:0;text-align:left;margin-left:191.9pt;margin-top:121.6pt;width:42pt;height:14.25pt;z-index:25184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style="mso-next-textbox:#Text Box 104">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0.14</w:t>
                        </w:r>
                      </w:p>
                    </w:txbxContent>
                  </v:textbox>
                </v:shape>
              </w:pict>
            </w:r>
            <w:r>
              <w:rPr>
                <w:rFonts w:ascii="Arial" w:hAnsi="Arial" w:cs="Arial"/>
                <w:i/>
                <w:noProof/>
                <w:sz w:val="16"/>
                <w:szCs w:val="16"/>
                <w:lang w:eastAsia="es-EC"/>
              </w:rPr>
              <w:pict>
                <v:shape id="Text Box 103" o:spid="_x0000_s1316" type="#_x0000_t202" style="position:absolute;left:0;text-align:left;margin-left:183.45pt;margin-top:135.85pt;width:42pt;height:16.5pt;z-index:251842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style="mso-next-textbox:#Text Box 103">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0.78</w:t>
                        </w:r>
                      </w:p>
                    </w:txbxContent>
                  </v:textbox>
                </v:shape>
              </w:pict>
            </w:r>
            <w:r>
              <w:rPr>
                <w:rFonts w:ascii="Arial" w:hAnsi="Arial" w:cs="Arial"/>
                <w:i/>
                <w:noProof/>
                <w:sz w:val="16"/>
                <w:szCs w:val="16"/>
                <w:lang w:eastAsia="es-EC"/>
              </w:rPr>
              <w:pict>
                <v:shape id="Text Box 118" o:spid="_x0000_s1339" type="#_x0000_t202" style="position:absolute;left:0;text-align:left;margin-left:10.1pt;margin-top:71.95pt;width:42pt;height:16.55pt;z-index:251865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style="mso-next-textbox:#Text Box 118">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0.03</w:t>
                        </w:r>
                      </w:p>
                    </w:txbxContent>
                  </v:textbox>
                </v:shape>
              </w:pict>
            </w:r>
            <w:r>
              <w:rPr>
                <w:rFonts w:ascii="Arial" w:hAnsi="Arial" w:cs="Arial"/>
                <w:i/>
                <w:noProof/>
                <w:sz w:val="16"/>
                <w:szCs w:val="16"/>
                <w:lang w:eastAsia="es-EC"/>
              </w:rPr>
              <w:pict>
                <v:shape id="Text Box 117" o:spid="_x0000_s1338" type="#_x0000_t202" style="position:absolute;left:0;text-align:left;margin-left:139.35pt;margin-top:111.1pt;width:42pt;height:16.5pt;z-index:251864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style="mso-next-textbox:#Text Box 117">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0.11</w:t>
                        </w:r>
                      </w:p>
                    </w:txbxContent>
                  </v:textbox>
                </v:shape>
              </w:pict>
            </w:r>
            <w:r>
              <w:rPr>
                <w:rFonts w:ascii="Arial" w:hAnsi="Arial" w:cs="Arial"/>
                <w:i/>
                <w:noProof/>
                <w:sz w:val="16"/>
                <w:szCs w:val="16"/>
                <w:lang w:eastAsia="es-EC"/>
              </w:rPr>
              <w:pict>
                <v:shape id="Text Box 125" o:spid="_x0000_s1337" type="#_x0000_t202" style="position:absolute;left:0;text-align:left;margin-left:184.35pt;margin-top:54.1pt;width:42pt;height:16.5pt;z-index:251863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style="mso-next-textbox:#Text Box 125">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0.46</w:t>
                        </w:r>
                      </w:p>
                    </w:txbxContent>
                  </v:textbox>
                </v:shape>
              </w:pict>
            </w:r>
            <w:r>
              <w:rPr>
                <w:rFonts w:ascii="Arial" w:hAnsi="Arial" w:cs="Arial"/>
                <w:i/>
                <w:noProof/>
                <w:sz w:val="16"/>
                <w:szCs w:val="16"/>
                <w:lang w:eastAsia="es-EC"/>
              </w:rPr>
              <w:pict>
                <v:shape id="Text Box 116" o:spid="_x0000_s1336" type="#_x0000_t202" style="position:absolute;left:0;text-align:left;margin-left:279.35pt;margin-top:69.85pt;width:42pt;height:16.5pt;z-index:251862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style="mso-next-textbox:#Text Box 116">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0.20</w:t>
                        </w:r>
                      </w:p>
                    </w:txbxContent>
                  </v:textbox>
                </v:shape>
              </w:pict>
            </w:r>
            <w:r>
              <w:rPr>
                <w:rFonts w:ascii="Arial" w:hAnsi="Arial" w:cs="Arial"/>
                <w:i/>
                <w:noProof/>
                <w:sz w:val="16"/>
                <w:szCs w:val="16"/>
                <w:lang w:eastAsia="es-EC"/>
              </w:rPr>
              <w:pict>
                <v:shape id="Text Box 115" o:spid="_x0000_s1335" type="#_x0000_t202" style="position:absolute;left:0;text-align:left;margin-left:280.85pt;margin-top:48.85pt;width:42pt;height:16.5pt;z-index:251861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style="mso-next-textbox:#Text Box 115">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0.74</w:t>
                        </w:r>
                      </w:p>
                    </w:txbxContent>
                  </v:textbox>
                </v:shape>
              </w:pict>
            </w:r>
            <w:r>
              <w:rPr>
                <w:rFonts w:ascii="Arial" w:hAnsi="Arial" w:cs="Arial"/>
                <w:i/>
                <w:noProof/>
                <w:sz w:val="16"/>
                <w:szCs w:val="16"/>
                <w:lang w:eastAsia="es-EC"/>
              </w:rPr>
              <w:pict>
                <v:shape id="Text Box 114" o:spid="_x0000_s1334" type="#_x0000_t202" style="position:absolute;left:0;text-align:left;margin-left:194.8pt;margin-top:165.85pt;width:42pt;height:16.5pt;z-index:251860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style="mso-next-textbox:#Text Box 114">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0.06</w:t>
                        </w:r>
                      </w:p>
                    </w:txbxContent>
                  </v:textbox>
                </v:shape>
              </w:pict>
            </w:r>
            <w:r>
              <w:rPr>
                <w:rFonts w:ascii="Arial" w:hAnsi="Arial" w:cs="Arial"/>
                <w:i/>
                <w:noProof/>
                <w:sz w:val="16"/>
                <w:szCs w:val="16"/>
                <w:lang w:eastAsia="es-EC"/>
              </w:rPr>
              <w:pict>
                <v:shape id="Text Box 113" o:spid="_x0000_s1333" type="#_x0000_t202" style="position:absolute;left:0;text-align:left;margin-left:206.15pt;margin-top:84.1pt;width:42pt;height:16.5pt;z-index:251859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style="mso-next-textbox:#Text Box 113">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0.24</w:t>
                        </w:r>
                      </w:p>
                    </w:txbxContent>
                  </v:textbox>
                </v:shape>
              </w:pict>
            </w:r>
            <w:r>
              <w:rPr>
                <w:rFonts w:ascii="Arial" w:hAnsi="Arial" w:cs="Arial"/>
                <w:i/>
                <w:noProof/>
                <w:sz w:val="16"/>
                <w:szCs w:val="16"/>
                <w:lang w:eastAsia="es-EC"/>
              </w:rPr>
              <w:pict>
                <v:shape id="Text Box 124" o:spid="_x0000_s1332" type="#_x0000_t202" style="position:absolute;left:0;text-align:left;margin-left:207.35pt;margin-top:50.7pt;width:42pt;height:16.5pt;z-index:251858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style="mso-next-textbox:#Text Box 124">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4.10</w:t>
                        </w:r>
                      </w:p>
                    </w:txbxContent>
                  </v:textbox>
                </v:shape>
              </w:pict>
            </w:r>
            <w:r>
              <w:rPr>
                <w:rFonts w:ascii="Arial" w:hAnsi="Arial" w:cs="Arial"/>
                <w:i/>
                <w:noProof/>
                <w:sz w:val="16"/>
                <w:szCs w:val="16"/>
                <w:lang w:eastAsia="es-EC"/>
              </w:rPr>
              <w:pict>
                <v:shape id="Text Box 112" o:spid="_x0000_s1331" type="#_x0000_t202" style="position:absolute;left:0;text-align:left;margin-left:267.35pt;margin-top:96.1pt;width:42pt;height:16.5pt;z-index:251857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style="mso-next-textbox:#Text Box 112">
                    <w:txbxContent>
                      <w:p w:rsidR="006933DF" w:rsidRDefault="006933DF" w:rsidP="00060299">
                        <w:pPr>
                          <w:pStyle w:val="NormalWeb"/>
                          <w:spacing w:before="0" w:beforeAutospacing="0" w:after="0" w:afterAutospacing="0"/>
                          <w:textAlignment w:val="baseline"/>
                        </w:pPr>
                        <w:r w:rsidRPr="006C5321">
                          <w:rPr>
                            <w:rFonts w:ascii="Arial" w:eastAsia="Calibri" w:hAnsi="Arial" w:cs="Arial"/>
                            <w:color w:val="000000" w:themeColor="text1"/>
                            <w:kern w:val="24"/>
                            <w:sz w:val="12"/>
                            <w:szCs w:val="12"/>
                          </w:rPr>
                          <w:t>0.05</w:t>
                        </w:r>
                      </w:p>
                    </w:txbxContent>
                  </v:textbox>
                </v:shape>
              </w:pict>
            </w:r>
            <w:r>
              <w:rPr>
                <w:rFonts w:ascii="Arial" w:hAnsi="Arial" w:cs="Arial"/>
                <w:i/>
                <w:noProof/>
                <w:sz w:val="16"/>
                <w:szCs w:val="16"/>
                <w:lang w:eastAsia="es-EC"/>
              </w:rPr>
              <w:pict>
                <v:shape id="Text Box 111" o:spid="_x0000_s1330" type="#_x0000_t202" style="position:absolute;left:0;text-align:left;margin-left:224.6pt;margin-top:65.6pt;width:42pt;height:16.5pt;z-index:251856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style="mso-next-textbox:#Text Box 111">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0.05</w:t>
                        </w:r>
                      </w:p>
                    </w:txbxContent>
                  </v:textbox>
                </v:shape>
              </w:pict>
            </w:r>
            <w:r>
              <w:rPr>
                <w:rFonts w:ascii="Arial" w:hAnsi="Arial" w:cs="Arial"/>
                <w:i/>
                <w:noProof/>
                <w:sz w:val="16"/>
                <w:szCs w:val="16"/>
                <w:lang w:eastAsia="es-EC"/>
              </w:rPr>
              <w:pict>
                <v:shape id="Text Box 110" o:spid="_x0000_s1329" type="#_x0000_t202" style="position:absolute;left:0;text-align:left;margin-left:223.35pt;margin-top:123.1pt;width:42pt;height:16.5pt;z-index:25185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style="mso-next-textbox:#Text Box 110">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0.06</w:t>
                        </w:r>
                      </w:p>
                    </w:txbxContent>
                  </v:textbox>
                </v:shape>
              </w:pict>
            </w:r>
            <w:r>
              <w:rPr>
                <w:rFonts w:ascii="Arial" w:hAnsi="Arial" w:cs="Arial"/>
                <w:i/>
                <w:noProof/>
                <w:sz w:val="16"/>
                <w:szCs w:val="16"/>
                <w:lang w:eastAsia="es-EC"/>
              </w:rPr>
              <w:pict>
                <v:shape id="Text Box 109" o:spid="_x0000_s1328" type="#_x0000_t202" style="position:absolute;left:0;text-align:left;margin-left:151.1pt;margin-top:71.55pt;width:42pt;height:16.5pt;z-index:251854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style="mso-next-textbox:#Text Box 109">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0.45</w:t>
                        </w:r>
                      </w:p>
                    </w:txbxContent>
                  </v:textbox>
                </v:shape>
              </w:pict>
            </w:r>
            <w:r>
              <w:rPr>
                <w:rFonts w:ascii="Arial" w:hAnsi="Arial" w:cs="Arial"/>
                <w:i/>
                <w:noProof/>
                <w:sz w:val="16"/>
                <w:szCs w:val="16"/>
                <w:lang w:eastAsia="es-EC"/>
              </w:rPr>
              <w:pict>
                <v:shape id="Text Box 108" o:spid="_x0000_s1327" type="#_x0000_t202" style="position:absolute;left:0;text-align:left;margin-left:176.55pt;margin-top:90.15pt;width:31.5pt;height:13.35pt;rotation:-90;z-index:251853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qLsUA&#10;AADbAAAADwAAAGRycy9kb3ducmV2LnhtbESPQWvCQBSE7wX/w/KE3sxGISVGV5FCiT30YFqwx9fs&#10;M0mbfRuyqyb99V1B6HGYmW+Y9XYwrbhQ7xrLCuZRDIK4tLrhSsHH+8ssBeE8ssbWMikYycF2M3lY&#10;Y6btlQ90KXwlAoRdhgpq77tMSlfWZNBFtiMO3sn2Bn2QfSV1j9cAN61cxPGTNNhwWKixo+eayp/i&#10;bBR8G/e1TH9pftzlo1m8FZ/da26VepwOuxUIT4P/D9/be60gSeD2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youxQAAANsAAAAPAAAAAAAAAAAAAAAAAJgCAABkcnMv&#10;ZG93bnJldi54bWxQSwUGAAAAAAQABAD1AAAAigMAAAAA&#10;" filled="f" stroked="f" strokeweight=".5pt">
                  <v:textbox style="layout-flow:vertical;mso-layout-flow-alt:bottom-to-top;mso-next-textbox:#Text Box 108">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0.16</w:t>
                        </w:r>
                      </w:p>
                    </w:txbxContent>
                  </v:textbox>
                </v:shape>
              </w:pict>
            </w:r>
            <w:r>
              <w:rPr>
                <w:rFonts w:ascii="Arial" w:hAnsi="Arial" w:cs="Arial"/>
                <w:i/>
                <w:noProof/>
                <w:sz w:val="16"/>
                <w:szCs w:val="16"/>
                <w:lang w:eastAsia="es-EC"/>
              </w:rPr>
              <w:pict>
                <v:shape id="Text Box 107" o:spid="_x0000_s1326" type="#_x0000_t202" style="position:absolute;left:0;text-align:left;margin-left:167.95pt;margin-top:168.85pt;width:42pt;height:16.5pt;z-index:25185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style="mso-next-textbox:#Text Box 107">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0.32</w:t>
                        </w:r>
                      </w:p>
                    </w:txbxContent>
                  </v:textbox>
                </v:shape>
              </w:pict>
            </w:r>
            <w:r>
              <w:rPr>
                <w:rFonts w:ascii="Arial" w:hAnsi="Arial" w:cs="Arial"/>
                <w:i/>
                <w:noProof/>
                <w:sz w:val="16"/>
                <w:szCs w:val="16"/>
                <w:lang w:eastAsia="es-EC"/>
              </w:rPr>
              <w:pict>
                <v:shape id="Text Box 123" o:spid="_x0000_s1325" type="#_x0000_t202" style="position:absolute;left:0;text-align:left;margin-left:212.9pt;margin-top:34.95pt;width:42pt;height:16.55pt;z-index:25185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style="mso-next-textbox:#Text Box 123">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0.49</w:t>
                        </w:r>
                      </w:p>
                    </w:txbxContent>
                  </v:textbox>
                </v:shape>
              </w:pict>
            </w:r>
            <w:r>
              <w:rPr>
                <w:rFonts w:ascii="Arial" w:hAnsi="Arial" w:cs="Arial"/>
                <w:i/>
                <w:noProof/>
                <w:sz w:val="16"/>
                <w:szCs w:val="16"/>
                <w:lang w:eastAsia="es-EC"/>
              </w:rPr>
              <w:pict>
                <v:shape id="Text Box 106" o:spid="_x0000_s1324" type="#_x0000_t202" style="position:absolute;left:0;text-align:left;margin-left:155.55pt;margin-top:101.7pt;width:42pt;height:16.55pt;z-index:251850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style="mso-next-textbox:#Text Box 106">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2.06</w:t>
                        </w:r>
                      </w:p>
                    </w:txbxContent>
                  </v:textbox>
                </v:shape>
              </w:pict>
            </w:r>
            <w:r>
              <w:rPr>
                <w:rFonts w:ascii="Arial" w:hAnsi="Arial" w:cs="Arial"/>
                <w:i/>
                <w:noProof/>
                <w:sz w:val="16"/>
                <w:szCs w:val="16"/>
                <w:lang w:eastAsia="es-EC"/>
              </w:rPr>
              <w:pict>
                <v:shape id="Text Box 102" o:spid="_x0000_s1323" type="#_x0000_t202" style="position:absolute;left:0;text-align:left;margin-left:182.2pt;margin-top:25.6pt;width:42pt;height:16.5pt;z-index:251849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style="mso-next-textbox:#Text Box 102">
                    <w:txbxContent>
                      <w:p w:rsidR="006933DF" w:rsidRDefault="006933DF" w:rsidP="00060299">
                        <w:pPr>
                          <w:pStyle w:val="NormalWeb"/>
                          <w:spacing w:before="0" w:beforeAutospacing="0" w:after="0" w:afterAutospacing="0"/>
                          <w:jc w:val="center"/>
                          <w:textAlignment w:val="baseline"/>
                        </w:pPr>
                        <w:r w:rsidRPr="006C5321">
                          <w:rPr>
                            <w:rFonts w:ascii="Arial" w:eastAsia="Calibri" w:hAnsi="Arial" w:cs="Arial"/>
                            <w:color w:val="000000" w:themeColor="text1"/>
                            <w:kern w:val="24"/>
                            <w:sz w:val="12"/>
                            <w:szCs w:val="12"/>
                          </w:rPr>
                          <w:t>0.58</w:t>
                        </w:r>
                      </w:p>
                    </w:txbxContent>
                  </v:textbox>
                </v:shape>
              </w:pict>
            </w:r>
            <w:r w:rsidR="005A1698">
              <w:rPr>
                <w:noProof/>
                <w:lang w:eastAsia="es-EC"/>
              </w:rPr>
              <w:drawing>
                <wp:inline distT="0" distB="0" distL="0" distR="0">
                  <wp:extent cx="4657725" cy="26193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Imag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57725" cy="2619375"/>
                          </a:xfrm>
                          <a:prstGeom prst="rect">
                            <a:avLst/>
                          </a:prstGeom>
                          <a:noFill/>
                          <a:ln>
                            <a:noFill/>
                          </a:ln>
                        </pic:spPr>
                      </pic:pic>
                    </a:graphicData>
                  </a:graphic>
                </wp:inline>
              </w:drawing>
            </w:r>
          </w:p>
        </w:tc>
      </w:tr>
    </w:tbl>
    <w:p w:rsidR="00060299" w:rsidRPr="00C4207D" w:rsidRDefault="00060299" w:rsidP="00C4207D">
      <w:pPr>
        <w:pStyle w:val="Prrafodelista"/>
        <w:spacing w:line="276" w:lineRule="auto"/>
        <w:ind w:left="851"/>
        <w:jc w:val="both"/>
        <w:rPr>
          <w:rFonts w:ascii="Arial" w:hAnsi="Arial" w:cs="Arial"/>
          <w:b/>
          <w:i/>
          <w:sz w:val="17"/>
          <w:szCs w:val="17"/>
        </w:rPr>
      </w:pPr>
    </w:p>
    <w:p w:rsidR="00060299" w:rsidRPr="00C4207D" w:rsidRDefault="00060299" w:rsidP="00C4207D">
      <w:pPr>
        <w:pStyle w:val="Prrafodelista"/>
        <w:spacing w:line="276" w:lineRule="auto"/>
        <w:ind w:left="851"/>
        <w:jc w:val="both"/>
        <w:rPr>
          <w:rFonts w:ascii="Arial" w:hAnsi="Arial" w:cs="Arial"/>
          <w:sz w:val="17"/>
          <w:szCs w:val="17"/>
        </w:rPr>
      </w:pPr>
      <w:r w:rsidRPr="00C4207D">
        <w:rPr>
          <w:rFonts w:ascii="Arial" w:hAnsi="Arial" w:cs="Arial"/>
          <w:b/>
          <w:i/>
          <w:sz w:val="17"/>
          <w:szCs w:val="17"/>
        </w:rPr>
        <w:t>Fuente:</w:t>
      </w:r>
      <w:r w:rsidRPr="00C4207D">
        <w:rPr>
          <w:rFonts w:ascii="Arial" w:hAnsi="Arial" w:cs="Arial"/>
          <w:sz w:val="17"/>
          <w:szCs w:val="17"/>
        </w:rPr>
        <w:t xml:space="preserve"> </w:t>
      </w:r>
      <w:r w:rsidRPr="00C4207D">
        <w:rPr>
          <w:rFonts w:ascii="Arial" w:hAnsi="Arial" w:cs="Arial"/>
          <w:b/>
          <w:sz w:val="17"/>
          <w:szCs w:val="17"/>
        </w:rPr>
        <w:t xml:space="preserve">INEC </w:t>
      </w:r>
      <w:r w:rsidRPr="00C4207D">
        <w:rPr>
          <w:rFonts w:ascii="Arial" w:hAnsi="Arial" w:cs="Arial"/>
          <w:sz w:val="17"/>
          <w:szCs w:val="17"/>
        </w:rPr>
        <w:t>(2010), Base de Datos del VII Censo de Población y VI de Vivienda.</w:t>
      </w:r>
    </w:p>
    <w:p w:rsidR="00060299" w:rsidRPr="00C4207D" w:rsidRDefault="00060299" w:rsidP="00C4207D">
      <w:pPr>
        <w:pStyle w:val="Prrafodelista"/>
        <w:spacing w:line="276" w:lineRule="auto"/>
        <w:ind w:left="851"/>
        <w:jc w:val="both"/>
        <w:rPr>
          <w:rFonts w:ascii="Arial" w:hAnsi="Arial" w:cs="Arial"/>
          <w:sz w:val="17"/>
          <w:szCs w:val="17"/>
        </w:rPr>
      </w:pPr>
      <w:r w:rsidRPr="00C4207D">
        <w:rPr>
          <w:rFonts w:ascii="Arial" w:hAnsi="Arial" w:cs="Arial"/>
          <w:b/>
          <w:i/>
          <w:sz w:val="17"/>
          <w:szCs w:val="17"/>
        </w:rPr>
        <w:t>Elaborado por:</w:t>
      </w:r>
      <w:r w:rsidRPr="00C4207D">
        <w:rPr>
          <w:rFonts w:ascii="Arial" w:hAnsi="Arial" w:cs="Arial"/>
          <w:sz w:val="17"/>
          <w:szCs w:val="17"/>
        </w:rPr>
        <w:t xml:space="preserve"> Katherine Loor Valeriano</w:t>
      </w:r>
    </w:p>
    <w:p w:rsidR="00060299" w:rsidRDefault="00060299" w:rsidP="00060299">
      <w:pPr>
        <w:pStyle w:val="Prrafodelista"/>
        <w:spacing w:line="480" w:lineRule="auto"/>
        <w:ind w:left="0"/>
        <w:jc w:val="both"/>
        <w:rPr>
          <w:rFonts w:ascii="Arial" w:hAnsi="Arial" w:cs="Arial"/>
        </w:rPr>
      </w:pPr>
    </w:p>
    <w:p w:rsidR="00C4207D" w:rsidRDefault="00C4207D" w:rsidP="00C4207D">
      <w:pPr>
        <w:pStyle w:val="Prrafodelista"/>
        <w:spacing w:line="480" w:lineRule="auto"/>
        <w:ind w:left="851"/>
        <w:jc w:val="both"/>
        <w:rPr>
          <w:rFonts w:ascii="Arial" w:hAnsi="Arial" w:cs="Arial"/>
        </w:rPr>
      </w:pPr>
      <w:r>
        <w:rPr>
          <w:rFonts w:ascii="Arial" w:hAnsi="Arial" w:cs="Arial"/>
        </w:rPr>
        <w:lastRenderedPageBreak/>
        <w:t>Las provincias restantes presentan tasas menores a 0.60; además, las provincias que menor cantidad de inmigrantes atraen son Morona Santiago, Napo, Galápagos y Bolívar pues las correspondientes tasas son 0.05, 0.05, 0.03 y 0.02 inmigrantes por cada 1000 habitantes del Ecuador.</w:t>
      </w:r>
    </w:p>
    <w:p w:rsidR="00C4207D" w:rsidRDefault="00C4207D" w:rsidP="00060299">
      <w:pPr>
        <w:pStyle w:val="Prrafodelista"/>
        <w:spacing w:line="480" w:lineRule="auto"/>
        <w:ind w:left="0"/>
        <w:jc w:val="both"/>
        <w:rPr>
          <w:rFonts w:ascii="Arial" w:hAnsi="Arial" w:cs="Arial"/>
        </w:rPr>
      </w:pPr>
    </w:p>
    <w:p w:rsidR="00060299" w:rsidRPr="00250B99" w:rsidRDefault="00060299" w:rsidP="005A1698">
      <w:pPr>
        <w:pStyle w:val="TesisTitulo2"/>
        <w:ind w:left="1560" w:hanging="709"/>
      </w:pPr>
      <w:bookmarkStart w:id="363" w:name="_Toc331941462"/>
      <w:bookmarkStart w:id="364" w:name="_Toc335850592"/>
      <w:bookmarkStart w:id="365" w:name="_Toc341040644"/>
      <w:r w:rsidRPr="00250B99">
        <w:t xml:space="preserve">Tasa de Inmigración extranjera </w:t>
      </w:r>
      <w:r>
        <w:t>a nivel</w:t>
      </w:r>
      <w:r w:rsidRPr="00250B99">
        <w:t xml:space="preserve"> provincia</w:t>
      </w:r>
      <w:bookmarkEnd w:id="363"/>
      <w:r>
        <w:t>l</w:t>
      </w:r>
      <w:bookmarkEnd w:id="364"/>
      <w:bookmarkEnd w:id="365"/>
    </w:p>
    <w:p w:rsidR="00060299" w:rsidRPr="00D51A26" w:rsidRDefault="00060299" w:rsidP="005A1698">
      <w:pPr>
        <w:pStyle w:val="Prrafodelista"/>
        <w:spacing w:line="480" w:lineRule="auto"/>
        <w:ind w:left="851"/>
        <w:jc w:val="both"/>
        <w:rPr>
          <w:rFonts w:ascii="Arial" w:hAnsi="Arial" w:cs="Arial"/>
        </w:rPr>
      </w:pPr>
      <w:r>
        <w:rPr>
          <w:rFonts w:ascii="Arial" w:hAnsi="Arial" w:cs="Arial"/>
        </w:rPr>
        <w:t xml:space="preserve">Ya hablamos de la tasa de inmigración nacional, incluso se mencionó la tasa de inmigración extranjera nacional pero desagregada por provincia; ahora es de interés conocer la tasa de inmigración extranjera a nivel provincial; dichos resultados se muestran en la </w:t>
      </w:r>
      <w:r w:rsidRPr="00FE5393">
        <w:rPr>
          <w:rFonts w:ascii="Arial" w:hAnsi="Arial" w:cs="Arial"/>
          <w:i/>
        </w:rPr>
        <w:t>Figura 3.</w:t>
      </w:r>
      <w:r>
        <w:rPr>
          <w:rFonts w:ascii="Arial" w:hAnsi="Arial" w:cs="Arial"/>
          <w:i/>
        </w:rPr>
        <w:t>3</w:t>
      </w:r>
      <w:r>
        <w:rPr>
          <w:rFonts w:ascii="Arial" w:hAnsi="Arial" w:cs="Arial"/>
        </w:rPr>
        <w:t xml:space="preserve">, en donde las provincias con colores más intensos son aquellas con tasas de inmigración más alta, y así hasta que las provincias con colores más tenues son las que presentan tasas más bajas. En la </w:t>
      </w:r>
      <w:r>
        <w:rPr>
          <w:rFonts w:ascii="Arial" w:hAnsi="Arial" w:cs="Arial"/>
          <w:i/>
        </w:rPr>
        <w:t xml:space="preserve">Figura 3.3 </w:t>
      </w:r>
      <w:r w:rsidRPr="00B17205">
        <w:rPr>
          <w:rFonts w:ascii="Arial" w:hAnsi="Arial" w:cs="Arial"/>
        </w:rPr>
        <w:t>podemos observar la diferencia entre esta</w:t>
      </w:r>
      <w:r>
        <w:rPr>
          <w:rFonts w:ascii="Arial" w:hAnsi="Arial" w:cs="Arial"/>
        </w:rPr>
        <w:t xml:space="preserve"> tasa y la mostrada previamente, pues la tasa anterior es la tasa de inmigración nacional distribuida por provincia, además si sumamos todas las tasas obtenemos la tasa de inmigración extranjera nacional que es de 12.56; mientras que en esta subsección la tasa se obtiene como la razón entre el número de inmigrantes que hay en una determinada provincia y el número total de residentes en ella multiplicado por mil.</w:t>
      </w:r>
    </w:p>
    <w:p w:rsidR="00060299" w:rsidRDefault="00060299" w:rsidP="005A1698">
      <w:pPr>
        <w:pStyle w:val="Prrafodelista"/>
        <w:spacing w:line="480" w:lineRule="auto"/>
        <w:ind w:left="851"/>
        <w:jc w:val="both"/>
        <w:rPr>
          <w:rFonts w:ascii="Arial" w:hAnsi="Arial" w:cs="Arial"/>
        </w:rPr>
      </w:pPr>
    </w:p>
    <w:p w:rsidR="00060299" w:rsidRDefault="00060299" w:rsidP="005A1698">
      <w:pPr>
        <w:pStyle w:val="Prrafodelista"/>
        <w:spacing w:line="480" w:lineRule="auto"/>
        <w:ind w:left="851"/>
        <w:jc w:val="both"/>
        <w:rPr>
          <w:rFonts w:ascii="Arial" w:hAnsi="Arial" w:cs="Arial"/>
        </w:rPr>
      </w:pPr>
      <w:r>
        <w:rPr>
          <w:rFonts w:ascii="Arial" w:hAnsi="Arial" w:cs="Arial"/>
        </w:rPr>
        <w:t>Volviendo al caso de la</w:t>
      </w:r>
      <w:r w:rsidR="005A1698">
        <w:rPr>
          <w:rFonts w:ascii="Arial" w:hAnsi="Arial" w:cs="Arial"/>
        </w:rPr>
        <w:t>s</w:t>
      </w:r>
      <w:r>
        <w:rPr>
          <w:rFonts w:ascii="Arial" w:hAnsi="Arial" w:cs="Arial"/>
        </w:rPr>
        <w:t xml:space="preserve"> provincias </w:t>
      </w:r>
      <w:r w:rsidR="005A1698">
        <w:rPr>
          <w:rFonts w:ascii="Arial" w:hAnsi="Arial" w:cs="Arial"/>
        </w:rPr>
        <w:t>que limitan con Colombia en sierra y oriente</w:t>
      </w:r>
      <w:r>
        <w:rPr>
          <w:rFonts w:ascii="Arial" w:hAnsi="Arial" w:cs="Arial"/>
        </w:rPr>
        <w:t xml:space="preserve">, </w:t>
      </w:r>
      <w:r w:rsidR="005A1698">
        <w:rPr>
          <w:rFonts w:ascii="Arial" w:hAnsi="Arial" w:cs="Arial"/>
        </w:rPr>
        <w:t>tenemos</w:t>
      </w:r>
      <w:r>
        <w:rPr>
          <w:rFonts w:ascii="Arial" w:hAnsi="Arial" w:cs="Arial"/>
        </w:rPr>
        <w:t xml:space="preserve"> que en Carchi hay 74.72 inmigrantes por cada 1000 residentes en esta provincia, </w:t>
      </w:r>
      <w:r w:rsidR="005A1698">
        <w:rPr>
          <w:rFonts w:ascii="Arial" w:hAnsi="Arial" w:cs="Arial"/>
        </w:rPr>
        <w:t>siendo esta la tasa más alta; m</w:t>
      </w:r>
      <w:r>
        <w:rPr>
          <w:rFonts w:ascii="Arial" w:hAnsi="Arial" w:cs="Arial"/>
        </w:rPr>
        <w:t xml:space="preserve">ientras que en </w:t>
      </w:r>
      <w:r>
        <w:rPr>
          <w:rFonts w:ascii="Arial" w:hAnsi="Arial" w:cs="Arial"/>
        </w:rPr>
        <w:lastRenderedPageBreak/>
        <w:t xml:space="preserve">Sucumbíos, la tasa de inmigración extranjera es de 61.79 por cada 1000 habitantes. Si observamos el caso de Pichincha, tenemos que hay 23.02 extranjeros por cada 1000 residentes en la provincia; cabe mencionar que Pichincha es la provincia con mayor cantidad de inmigrantes internacionales aunque aquí no sea tan notorio como en la figura anterior. Guayas, en cambio, tiene una tasa de 8.20 inmigrantes extranjeros por cada 1000 residentes, pero presenta un caso similar al de Pichincha puesto en la </w:t>
      </w:r>
      <w:r>
        <w:rPr>
          <w:rFonts w:ascii="Arial" w:hAnsi="Arial" w:cs="Arial"/>
          <w:i/>
        </w:rPr>
        <w:t>Figura 3.3</w:t>
      </w:r>
      <w:r>
        <w:rPr>
          <w:rFonts w:ascii="Arial" w:hAnsi="Arial" w:cs="Arial"/>
        </w:rPr>
        <w:t xml:space="preserve"> no es fácilmente observables que ésta es la provincia que recibe la segunda cantidad más grande de extranjeros. </w:t>
      </w:r>
    </w:p>
    <w:tbl>
      <w:tblPr>
        <w:tblStyle w:val="Tablaconcuadrcula"/>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060299" w:rsidRPr="00840530" w:rsidTr="005A1698">
        <w:trPr>
          <w:trHeight w:val="4819"/>
          <w:jc w:val="right"/>
        </w:trPr>
        <w:tc>
          <w:tcPr>
            <w:tcW w:w="7535" w:type="dxa"/>
          </w:tcPr>
          <w:p w:rsidR="00060299" w:rsidRPr="00840530" w:rsidRDefault="00060299" w:rsidP="003B05B6">
            <w:pPr>
              <w:rPr>
                <w:rFonts w:ascii="Arial" w:hAnsi="Arial" w:cs="Arial"/>
                <w:sz w:val="16"/>
                <w:szCs w:val="16"/>
              </w:rPr>
            </w:pPr>
          </w:p>
          <w:p w:rsidR="00C546D3" w:rsidRPr="00C546D3" w:rsidRDefault="00C546D3" w:rsidP="00C546D3">
            <w:pPr>
              <w:keepNext/>
              <w:rPr>
                <w:rFonts w:ascii="Arial" w:hAnsi="Arial" w:cs="Arial"/>
                <w:b/>
                <w:sz w:val="16"/>
                <w:szCs w:val="16"/>
              </w:rPr>
            </w:pPr>
            <w:bookmarkStart w:id="366" w:name="_Toc341043402"/>
            <w:r>
              <w:rPr>
                <w:rFonts w:ascii="Arial" w:hAnsi="Arial" w:cs="Arial"/>
                <w:b/>
                <w:sz w:val="16"/>
                <w:szCs w:val="16"/>
              </w:rPr>
              <w:t>Figura 3.</w:t>
            </w:r>
            <w:r w:rsidR="00990535" w:rsidRPr="00C546D3">
              <w:rPr>
                <w:rFonts w:ascii="Arial" w:hAnsi="Arial" w:cs="Arial"/>
                <w:b/>
                <w:sz w:val="16"/>
                <w:szCs w:val="16"/>
              </w:rPr>
              <w:fldChar w:fldCharType="begin"/>
            </w:r>
            <w:r w:rsidRPr="00C546D3">
              <w:rPr>
                <w:rFonts w:ascii="Arial" w:hAnsi="Arial" w:cs="Arial"/>
                <w:b/>
                <w:sz w:val="16"/>
                <w:szCs w:val="16"/>
              </w:rPr>
              <w:instrText xml:space="preserve"> SEQ Figura_3. \* ARABIC </w:instrText>
            </w:r>
            <w:r w:rsidR="00990535" w:rsidRPr="00C546D3">
              <w:rPr>
                <w:rFonts w:ascii="Arial" w:hAnsi="Arial" w:cs="Arial"/>
                <w:b/>
                <w:sz w:val="16"/>
                <w:szCs w:val="16"/>
              </w:rPr>
              <w:fldChar w:fldCharType="separate"/>
            </w:r>
            <w:r w:rsidR="00A242E0">
              <w:rPr>
                <w:rFonts w:ascii="Arial" w:hAnsi="Arial" w:cs="Arial"/>
                <w:b/>
                <w:noProof/>
                <w:sz w:val="16"/>
                <w:szCs w:val="16"/>
              </w:rPr>
              <w:t>3</w:t>
            </w:r>
            <w:bookmarkEnd w:id="366"/>
            <w:r w:rsidR="00990535" w:rsidRPr="00C546D3">
              <w:rPr>
                <w:rFonts w:ascii="Arial" w:hAnsi="Arial" w:cs="Arial"/>
                <w:b/>
                <w:sz w:val="16"/>
                <w:szCs w:val="16"/>
              </w:rPr>
              <w:fldChar w:fldCharType="end"/>
            </w:r>
          </w:p>
          <w:p w:rsidR="00060299" w:rsidRDefault="00EF2741"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Tasa de Inmigración extranjera por cada 1000 residentes a nivel Provincial</w:t>
            </w:r>
          </w:p>
          <w:p w:rsidR="005A1698" w:rsidRPr="00660711" w:rsidRDefault="00436907" w:rsidP="003B05B6">
            <w:pPr>
              <w:rPr>
                <w:rFonts w:ascii="Arial" w:hAnsi="Arial" w:cs="Arial"/>
                <w:i/>
                <w:sz w:val="16"/>
                <w:szCs w:val="16"/>
              </w:rPr>
            </w:pPr>
            <w:r>
              <w:rPr>
                <w:rFonts w:ascii="Arial" w:hAnsi="Arial" w:cs="Arial"/>
                <w:i/>
                <w:sz w:val="16"/>
                <w:szCs w:val="16"/>
              </w:rPr>
            </w:r>
            <w:r>
              <w:rPr>
                <w:rFonts w:ascii="Arial" w:hAnsi="Arial" w:cs="Arial"/>
                <w:i/>
                <w:sz w:val="16"/>
                <w:szCs w:val="16"/>
              </w:rPr>
              <w:pict>
                <v:group id="31 Grupo" o:spid="_x0000_s2076" style="width:365.65pt;height:204.75pt;mso-position-horizontal-relative:char;mso-position-vertical-relative:line" coordsize="46863,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">
                  <v:shape id="14 Imagen" o:spid="_x0000_s2077" type="#_x0000_t75" style="position:absolute;width:46863;height:260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7d0LGAAAA3AAAAA8AAABkcnMvZG93bnJldi54bWxEj0FrwkAUhO8F/8PyBG+60dai0VWkIErR&#10;g7YVvT2yzySYfRuyq4n/3hWEHoeZ+YaZzhtTiBtVLresoN+LQBAnVuecKvj9WXZHIJxH1lhYJgV3&#10;cjCftd6mGGtb845ue5+KAGEXo4LM+zKW0iUZGXQ9WxIH72wrgz7IKpW6wjrATSEHUfQpDeYcFjIs&#10;6Suj5LK/GgXL9ccwlcf6u/g7XDeL7ej9cuqvlOq0m8UEhKfG/4df7bVWMBgP4XkmHAE5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7t3QsYAAADcAAAADwAAAAAAAAAAAAAA&#10;AACfAgAAZHJzL2Rvd25yZXYueG1sUEsFBgAAAAAEAAQA9wAAAJIDAAAAAA==&#10;">
                    <v:imagedata r:id="rId58" o:title=""/>
                  </v:shape>
                  <v:shape id="_x0000_s2078" type="#_x0000_t202" style="position:absolute;left:23110;top:17335;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style="mso-next-textbox:#_x0000_s2078">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15.82</w:t>
                          </w:r>
                        </w:p>
                      </w:txbxContent>
                    </v:textbox>
                  </v:shape>
                  <v:shape id="_x0000_s2079" type="#_x0000_t202" style="position:absolute;left:24060;top:11810;width:5334;height:2096;rotation:-568984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AcMYA&#10;AADcAAAADwAAAGRycy9kb3ducmV2LnhtbESPS2sCQRCE74L/YWjBS4izGohxdRQVxODFR+LBW7vT&#10;+8CdnmVn1PXfO4GAx6KqvqIms8aU4ka1Kywr6PciEMSJ1QVnCn5/Vu9fIJxH1lhaJgUPcjCbtlsT&#10;jLW9855uB5+JAGEXo4Lc+yqW0iU5GXQ9WxEHL7W1QR9knUld4z3ATSkHUfQpDRYcFnKsaJlTcjlc&#10;jYLd8mNxPr5tNil6vI5Oi3Rt5VapbqeZj0F4avwr/N/+1goGoyH8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QAcMYAAADcAAAADwAAAAAAAAAAAAAAAACYAgAAZHJz&#10;L2Rvd25yZXYueG1sUEsFBgAAAAAEAAQA9QAAAIsDAAAAAA==&#10;" filled="f" stroked="f" strokeweight=".5pt">
                    <v:textbox style="layout-flow:vertical;mso-layout-flow-alt:bottom-to-top;mso-next-textbox:#_x0000_s2079">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1.80</w:t>
                          </w:r>
                        </w:p>
                      </w:txbxContent>
                    </v:textbox>
                  </v:shape>
                  <v:shape id="_x0000_s2080" type="#_x0000_t202" style="position:absolute;left:24380;top:15525;width:5334;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style="mso-next-textbox:#_x0000_s2080">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9.06</w:t>
                          </w:r>
                        </w:p>
                      </w:txbxContent>
                    </v:textbox>
                  </v:shape>
                  <v:shape id="_x0000_s2081" type="#_x0000_t202" style="position:absolute;left:28857;top:3238;width:5334;height:2096;rotation:217571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4CcUA&#10;AADcAAAADwAAAGRycy9kb3ducmV2LnhtbESPQWvCQBSE74X+h+UVequbegiaukpbKHjIoVHbXh/Z&#10;ZxKbfRt31yT+e1cQPA4z8w2zWI2mFT0531hW8DpJQBCXVjdcKdhtv15mIHxA1thaJgVn8rBaPj4s&#10;MNN24IL6TahEhLDPUEEdQpdJ6cuaDPqJ7Yijt7fOYIjSVVI7HCLctHKaJKk02HBcqLGjz5rK/83J&#10;KPj45XznDiTb4S8vv4+UFvhzVOr5aXx/AxFoDPfwrb3WCqbzO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vgJxQAAANwAAAAPAAAAAAAAAAAAAAAAAJgCAABkcnMv&#10;ZG93bnJldi54bWxQSwUGAAAAAAQABAD1AAAAigMAAAAA&#10;" filled="f" stroked="f" strokeweight=".5pt">
                    <v:textbox style="mso-next-textbox:#_x0000_s2081">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74.72</w:t>
                          </w:r>
                        </w:p>
                      </w:txbxContent>
                    </v:textbox>
                  </v:shape>
                  <v:shape id="_x0000_s2082" type="#_x0000_t202" style="position:absolute;left:24993;top:9102;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style="mso-next-textbox:#_x0000_s2082">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3.08</w:t>
                          </w:r>
                        </w:p>
                      </w:txbxContent>
                    </v:textbox>
                  </v:shape>
                  <v:shape id="_x0000_s2083" type="#_x0000_t202" style="position:absolute;left:25523;top:13430;width:5334;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style="mso-next-textbox:#_x0000_s2083">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3.90</w:t>
                          </w:r>
                        </w:p>
                      </w:txbxContent>
                    </v:textbox>
                  </v:shape>
                  <v:shape id="_x0000_s2084" type="#_x0000_t202" style="position:absolute;left:20883;top:19226;width:5334;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style="mso-next-textbox:#_x0000_s2084">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9.65</w:t>
                          </w:r>
                        </w:p>
                      </w:txbxContent>
                    </v:textbox>
                  </v:shape>
                  <v:shape id="_x0000_s2085" type="#_x0000_t202" style="position:absolute;left:23047;top:3333;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style="mso-next-textbox:#_x0000_s2085">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15.65</w:t>
                          </w:r>
                        </w:p>
                      </w:txbxContent>
                    </v:textbox>
                  </v:shape>
                  <v:shape id="_x0000_s2086" type="#_x0000_t202" style="position:absolute;left:20126;top:13001;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style="mso-next-textbox:#_x0000_s2086">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8.20</w:t>
                          </w:r>
                        </w:p>
                      </w:txbxContent>
                    </v:textbox>
                  </v:shape>
                  <v:shape id="_x0000_s2087" type="#_x0000_t202" style="position:absolute;left:27238;top:4333;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style="mso-next-textbox:#_x0000_s2087">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17.79</w:t>
                          </w:r>
                        </w:p>
                      </w:txbxContent>
                    </v:textbox>
                  </v:shape>
                  <v:shape id="_x0000_s2088" type="#_x0000_t202" style="position:absolute;left:21618;top:21526;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style="mso-next-textbox:#_x0000_s2088">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10.30</w:t>
                          </w:r>
                        </w:p>
                      </w:txbxContent>
                    </v:textbox>
                  </v:shape>
                  <v:shape id="_x0000_s2089" type="#_x0000_t202" style="position:absolute;left:22516;top:11532;width:4000;height:169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y5cQA&#10;AADcAAAADwAAAGRycy9kb3ducmV2LnhtbESPQYvCMBSE74L/ITxhb5pWQdxqFBFE9+Bhq7Aen82z&#10;7W7zUpqo1V9vFgSPw8x8w8wWranElRpXWlYQDyIQxJnVJecKDvt1fwLCeWSNlWVScCcHi3m3M8NE&#10;2xt/0zX1uQgQdgkqKLyvEyldVpBBN7A1cfDOtjHog2xyqRu8Bbip5DCKxtJgyWGhwJpWBWV/6cUo&#10;+DXu9Dl5UPyz3NzNcJce66+NVeqj1y6nIDy1/h1+tbdawSgewf+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58uXEAAAA3AAAAA8AAAAAAAAAAAAAAAAAmAIAAGRycy9k&#10;b3ducmV2LnhtbFBLBQYAAAAABAAEAPUAAACJAwAAAAA=&#10;" filled="f" stroked="f" strokeweight=".5pt">
                    <v:textbox style="layout-flow:vertical;mso-layout-flow-alt:bottom-to-top;mso-next-textbox:#_x0000_s2089">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3.02</w:t>
                          </w:r>
                        </w:p>
                      </w:txbxContent>
                    </v:textbox>
                  </v:shape>
                  <v:shape id="_x0000_s2090" type="#_x0000_t202" style="position:absolute;left:19046;top:9429;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style="mso-next-textbox:#_x0000_s2090">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4.70</w:t>
                          </w:r>
                        </w:p>
                      </w:txbxContent>
                    </v:textbox>
                  </v:shape>
                  <v:shape id="_x0000_s2091" type="#_x0000_t202" style="position:absolute;left:28441;top:15716;width:5334;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style="mso-next-textbox:#_x0000_s2091">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6.22</w:t>
                          </w:r>
                        </w:p>
                      </w:txbxContent>
                    </v:textbox>
                  </v:shape>
                  <v:shape id="_x0000_s2092" type="#_x0000_t202" style="position:absolute;left:28857;top:8413;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style="mso-next-textbox:#_x0000_s2092">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6.72</w:t>
                          </w:r>
                        </w:p>
                      </w:txbxContent>
                    </v:textbox>
                  </v:shape>
                  <v:shape id="_x0000_s2093" type="#_x0000_t202" style="position:absolute;left:34016;top:12287;width:5334;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style="mso-next-textbox:#_x0000_s2093">
                      <w:txbxContent>
                        <w:p w:rsidR="006933DF" w:rsidRDefault="006933DF" w:rsidP="005A1698">
                          <w:pPr>
                            <w:pStyle w:val="NormalWeb"/>
                            <w:spacing w:before="0" w:beforeAutospacing="0" w:after="0" w:afterAutospacing="0"/>
                            <w:textAlignment w:val="baseline"/>
                          </w:pPr>
                          <w:r w:rsidRPr="00660711">
                            <w:rPr>
                              <w:rFonts w:ascii="Arial" w:eastAsia="Calibri" w:hAnsi="Arial" w:cs="Arial"/>
                              <w:color w:val="000000" w:themeColor="text1"/>
                              <w:kern w:val="24"/>
                              <w:sz w:val="12"/>
                              <w:szCs w:val="12"/>
                            </w:rPr>
                            <w:t>8.67</w:t>
                          </w:r>
                        </w:p>
                      </w:txbxContent>
                    </v:textbox>
                  </v:shape>
                  <v:shape id="_x0000_s2094" type="#_x0000_t202" style="position:absolute;left:26612;top:6619;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style="mso-next-textbox:#_x0000_s2094">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23.02</w:t>
                          </w:r>
                        </w:p>
                      </w:txbxContent>
                    </v:textbox>
                  </v:shape>
                  <v:shape id="_x0000_s2095" type="#_x0000_t202" style="position:absolute;left:26381;top:10763;width:5334;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style="mso-next-textbox:#_x0000_s2095">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6.94</w:t>
                          </w:r>
                        </w:p>
                      </w:txbxContent>
                    </v:textbox>
                  </v:shape>
                  <v:shape id="_x0000_s2096" type="#_x0000_t202" style="position:absolute;left:24857;top:21145;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style="mso-next-textbox:#_x0000_s2096">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10.19</w:t>
                          </w:r>
                        </w:p>
                      </w:txbxContent>
                    </v:textbox>
                  </v:shape>
                  <v:shape id="_x0000_s2097" type="#_x0000_t202" style="position:absolute;left:35185;top:6013;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GscA&#10;AADcAAAADwAAAGRycy9kb3ducmV2LnhtbESPQWvCQBSE7wX/w/IK3uqmE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xrHAAAA3AAAAA8AAAAAAAAAAAAAAAAAmAIAAGRy&#10;cy9kb3ducmV2LnhtbFBLBQYAAAAABAAEAPUAAACMAwAAAAA=&#10;" filled="f" stroked="f" strokeweight=".5pt">
                    <v:textbox style="mso-next-textbox:#_x0000_s2097">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61.79</w:t>
                          </w:r>
                        </w:p>
                      </w:txbxContent>
                    </v:textbox>
                  </v:shape>
                  <v:shape id="_x0000_s2098" type="#_x0000_t202" style="position:absolute;left:34858;top:8953;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FbccA&#10;AADcAAAADwAAAGRycy9kb3ducmV2LnhtbESPzWrDMBCE74G+g9hCbolcl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W3HAAAA3AAAAA8AAAAAAAAAAAAAAAAAmAIAAGRy&#10;cy9kb3ducmV2LnhtbFBLBQYAAAAABAAEAPUAAACMAwAAAAA=&#10;" filled="f" stroked="f" strokeweight=".5pt">
                    <v:textbox style="mso-next-textbox:#_x0000_s2098">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21.15</w:t>
                          </w:r>
                        </w:p>
                      </w:txbxContent>
                    </v:textbox>
                  </v:shape>
                  <v:shape id="_x0000_s2099" type="#_x0000_t202" style="position:absolute;left:23714;top:6762;width:5334;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9scA&#10;AADcAAAADwAAAGRycy9kb3ducmV2LnhtbESPzWvCQBTE70L/h+UVetNNU1o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PbHAAAA3AAAAA8AAAAAAAAAAAAAAAAAmAIAAGRy&#10;cy9kb3ducmV2LnhtbFBLBQYAAAAABAAEAPUAAACMAwAAAAA=&#10;" filled="f" stroked="f" strokeweight=".5pt">
                    <v:textbox style="mso-next-textbox:#_x0000_s2099">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18.09</w:t>
                          </w:r>
                        </w:p>
                      </w:txbxContent>
                    </v:textbox>
                  </v:shape>
                  <v:shape id="_x0000_s2100" type="#_x0000_t202" style="position:absolute;left:17740;top:14192;width:5334;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hMMA&#10;AADcAAAADwAAAGRycy9kb3ducmV2LnhtbERPy4rCMBTdC/MP4Q6403Q6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0hMMAAADcAAAADwAAAAAAAAAAAAAAAACYAgAAZHJzL2Rv&#10;d25yZXYueG1sUEsFBgAAAAAEAAQA9QAAAIgDAAAAAA==&#10;" filled="f" stroked="f" strokeweight=".5pt">
                    <v:textbox style="mso-next-textbox:#_x0000_s2100">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5.38</w:t>
                          </w:r>
                        </w:p>
                      </w:txbxContent>
                    </v:textbox>
                  </v:shape>
                  <v:shape id="_x0000_s2101" type="#_x0000_t202" style="position:absolute;left:1139;top:9223;width:5334;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style="mso-next-textbox:#_x0000_s2101">
                      <w:txbxContent>
                        <w:p w:rsidR="006933DF" w:rsidRDefault="006933DF" w:rsidP="005A1698">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16.80</w:t>
                          </w:r>
                        </w:p>
                      </w:txbxContent>
                    </v:textbox>
                  </v:shape>
                  <w10:wrap type="none"/>
                  <w10:anchorlock/>
                </v:group>
              </w:pict>
            </w:r>
          </w:p>
        </w:tc>
      </w:tr>
    </w:tbl>
    <w:p w:rsidR="00060299" w:rsidRPr="005A1698" w:rsidRDefault="00060299" w:rsidP="005A1698">
      <w:pPr>
        <w:pStyle w:val="Prrafodelista"/>
        <w:spacing w:line="276" w:lineRule="auto"/>
        <w:ind w:left="851"/>
        <w:jc w:val="both"/>
        <w:rPr>
          <w:rFonts w:ascii="Arial" w:hAnsi="Arial" w:cs="Arial"/>
          <w:sz w:val="17"/>
          <w:szCs w:val="17"/>
        </w:rPr>
      </w:pPr>
    </w:p>
    <w:p w:rsidR="00060299" w:rsidRPr="005A1698" w:rsidRDefault="00060299" w:rsidP="005A1698">
      <w:pPr>
        <w:pStyle w:val="Prrafodelista"/>
        <w:spacing w:line="276" w:lineRule="auto"/>
        <w:ind w:left="851"/>
        <w:jc w:val="both"/>
        <w:rPr>
          <w:rFonts w:ascii="Arial" w:hAnsi="Arial" w:cs="Arial"/>
          <w:sz w:val="17"/>
          <w:szCs w:val="17"/>
        </w:rPr>
      </w:pPr>
      <w:r w:rsidRPr="005A1698">
        <w:rPr>
          <w:rFonts w:ascii="Arial" w:hAnsi="Arial" w:cs="Arial"/>
          <w:b/>
          <w:i/>
          <w:sz w:val="17"/>
          <w:szCs w:val="17"/>
        </w:rPr>
        <w:t>Fuente:</w:t>
      </w:r>
      <w:r w:rsidRPr="005A1698">
        <w:rPr>
          <w:rFonts w:ascii="Arial" w:hAnsi="Arial" w:cs="Arial"/>
          <w:sz w:val="17"/>
          <w:szCs w:val="17"/>
        </w:rPr>
        <w:t xml:space="preserve"> </w:t>
      </w:r>
      <w:r w:rsidRPr="005A1698">
        <w:rPr>
          <w:rFonts w:ascii="Arial" w:hAnsi="Arial" w:cs="Arial"/>
          <w:b/>
          <w:sz w:val="17"/>
          <w:szCs w:val="17"/>
        </w:rPr>
        <w:t xml:space="preserve">INEC </w:t>
      </w:r>
      <w:r w:rsidRPr="005A1698">
        <w:rPr>
          <w:rFonts w:ascii="Arial" w:hAnsi="Arial" w:cs="Arial"/>
          <w:sz w:val="17"/>
          <w:szCs w:val="17"/>
        </w:rPr>
        <w:t>(2010), Base de Datos del VII Censo de Población y VI de Vivienda.</w:t>
      </w:r>
    </w:p>
    <w:p w:rsidR="00060299" w:rsidRPr="005A1698" w:rsidRDefault="00060299" w:rsidP="005A1698">
      <w:pPr>
        <w:pStyle w:val="Prrafodelista"/>
        <w:spacing w:line="276" w:lineRule="auto"/>
        <w:ind w:left="851"/>
        <w:jc w:val="both"/>
        <w:rPr>
          <w:rFonts w:ascii="Arial" w:hAnsi="Arial" w:cs="Arial"/>
          <w:sz w:val="17"/>
          <w:szCs w:val="17"/>
        </w:rPr>
      </w:pPr>
      <w:r w:rsidRPr="005A1698">
        <w:rPr>
          <w:rFonts w:ascii="Arial" w:hAnsi="Arial" w:cs="Arial"/>
          <w:b/>
          <w:i/>
          <w:sz w:val="17"/>
          <w:szCs w:val="17"/>
        </w:rPr>
        <w:t>Elaborado por:</w:t>
      </w:r>
      <w:r w:rsidRPr="005A1698">
        <w:rPr>
          <w:rFonts w:ascii="Arial" w:hAnsi="Arial" w:cs="Arial"/>
          <w:sz w:val="17"/>
          <w:szCs w:val="17"/>
        </w:rPr>
        <w:t xml:space="preserve"> Katherine Loor Valeriano</w:t>
      </w:r>
    </w:p>
    <w:p w:rsidR="00060299" w:rsidRDefault="00060299" w:rsidP="005A1698">
      <w:pPr>
        <w:pStyle w:val="Prrafodelista"/>
        <w:spacing w:line="480" w:lineRule="auto"/>
        <w:ind w:left="851"/>
        <w:jc w:val="both"/>
        <w:rPr>
          <w:rFonts w:ascii="Arial" w:hAnsi="Arial" w:cs="Arial"/>
        </w:rPr>
      </w:pPr>
    </w:p>
    <w:p w:rsidR="005A1698" w:rsidRDefault="005A1698" w:rsidP="005A1698">
      <w:pPr>
        <w:pStyle w:val="Prrafodelista"/>
        <w:spacing w:line="480" w:lineRule="auto"/>
        <w:ind w:left="851"/>
        <w:jc w:val="both"/>
        <w:rPr>
          <w:rFonts w:ascii="Arial" w:hAnsi="Arial" w:cs="Arial"/>
        </w:rPr>
      </w:pPr>
      <w:r>
        <w:rPr>
          <w:rFonts w:ascii="Arial" w:hAnsi="Arial" w:cs="Arial"/>
        </w:rPr>
        <w:t xml:space="preserve">Pero además, existen otras provincias con tasas de inmigración alta como es el caso de Santo Domingo donde hay 18.09 extranjeros por cada 1000 residentes; otra provincia de la Sierra con una tasa alta es Imbabura, en la </w:t>
      </w:r>
      <w:r>
        <w:rPr>
          <w:rFonts w:ascii="Arial" w:hAnsi="Arial" w:cs="Arial"/>
        </w:rPr>
        <w:lastRenderedPageBreak/>
        <w:t xml:space="preserve">cual se pueden encontrar 17.79 extranjeros por cada 1000 habitantes. Para las provincias de la Costa en cambio, vemos que la que mayor tasa presenta es Esmeraldas, donde hay alrededor de 15.65 inmigrantes por cada 1000 residentes. </w:t>
      </w:r>
      <w:r w:rsidR="00F91C02">
        <w:rPr>
          <w:rFonts w:ascii="Arial" w:hAnsi="Arial" w:cs="Arial"/>
        </w:rPr>
        <w:t>E</w:t>
      </w:r>
      <w:r>
        <w:rPr>
          <w:rFonts w:ascii="Arial" w:hAnsi="Arial" w:cs="Arial"/>
        </w:rPr>
        <w:t>n el Oriente, a parte de Sucumbíos, Orellana presenta una tasa alta (21.15 inmigrantes extranjeros por cada 1000 residentes en dicha provincia).</w:t>
      </w:r>
    </w:p>
    <w:p w:rsidR="005A1698" w:rsidRDefault="005A1698" w:rsidP="005A1698">
      <w:pPr>
        <w:pStyle w:val="Prrafodelista"/>
        <w:spacing w:line="480" w:lineRule="auto"/>
        <w:ind w:left="851"/>
        <w:jc w:val="both"/>
        <w:rPr>
          <w:rFonts w:ascii="Arial" w:hAnsi="Arial" w:cs="Arial"/>
        </w:rPr>
      </w:pPr>
    </w:p>
    <w:p w:rsidR="00EF2741" w:rsidRDefault="00060299" w:rsidP="005A1698">
      <w:pPr>
        <w:pStyle w:val="Prrafodelista"/>
        <w:spacing w:line="480" w:lineRule="auto"/>
        <w:ind w:left="851"/>
        <w:jc w:val="both"/>
        <w:rPr>
          <w:rFonts w:ascii="Arial" w:hAnsi="Arial" w:cs="Arial"/>
        </w:rPr>
      </w:pPr>
      <w:r>
        <w:rPr>
          <w:rFonts w:ascii="Arial" w:hAnsi="Arial" w:cs="Arial"/>
        </w:rPr>
        <w:t xml:space="preserve">En la </w:t>
      </w:r>
      <w:r>
        <w:rPr>
          <w:rFonts w:ascii="Arial" w:hAnsi="Arial" w:cs="Arial"/>
          <w:i/>
        </w:rPr>
        <w:t>Figura 3.4</w:t>
      </w:r>
      <w:r>
        <w:rPr>
          <w:rFonts w:ascii="Arial" w:hAnsi="Arial" w:cs="Arial"/>
        </w:rPr>
        <w:t xml:space="preserve"> se muestran las tasas de inmigración por provincia mostradas en la figura anterior, pero en este caso están en orden descendente</w:t>
      </w:r>
      <w:r w:rsidR="00EF2741">
        <w:rPr>
          <w:rFonts w:ascii="Arial" w:hAnsi="Arial" w:cs="Arial"/>
        </w:rPr>
        <w:t xml:space="preserve"> dependiendo del valor que toma la tasa de inmigración extranjera a nivel provincial</w:t>
      </w:r>
      <w:r>
        <w:rPr>
          <w:rFonts w:ascii="Arial" w:hAnsi="Arial" w:cs="Arial"/>
        </w:rPr>
        <w:t xml:space="preserve">, es decir, de la tasa más alta a la más baja; donde los puntos </w:t>
      </w:r>
      <w:r w:rsidR="00EF2741">
        <w:rPr>
          <w:rFonts w:ascii="Arial" w:hAnsi="Arial" w:cs="Arial"/>
        </w:rPr>
        <w:t>de color gris</w:t>
      </w:r>
      <w:r>
        <w:rPr>
          <w:rFonts w:ascii="Arial" w:hAnsi="Arial" w:cs="Arial"/>
        </w:rPr>
        <w:t xml:space="preserve"> representan el valor de la tasa de inmigración por provincia de residencia de los inmigrantes y la línea </w:t>
      </w:r>
      <w:r w:rsidR="00EF2741">
        <w:rPr>
          <w:rFonts w:ascii="Arial" w:hAnsi="Arial" w:cs="Arial"/>
        </w:rPr>
        <w:t>de color negro</w:t>
      </w:r>
      <w:r>
        <w:rPr>
          <w:rFonts w:ascii="Arial" w:hAnsi="Arial" w:cs="Arial"/>
        </w:rPr>
        <w:t xml:space="preserve"> representa la tasa de inmigración extranjera </w:t>
      </w:r>
      <w:r w:rsidR="00EF2741">
        <w:rPr>
          <w:rFonts w:ascii="Arial" w:hAnsi="Arial" w:cs="Arial"/>
        </w:rPr>
        <w:t xml:space="preserve">a nivel </w:t>
      </w:r>
      <w:r>
        <w:rPr>
          <w:rFonts w:ascii="Arial" w:hAnsi="Arial" w:cs="Arial"/>
        </w:rPr>
        <w:t>nacional.</w:t>
      </w:r>
      <w:r w:rsidR="00EF2741">
        <w:rPr>
          <w:rFonts w:ascii="Arial" w:hAnsi="Arial" w:cs="Arial"/>
        </w:rPr>
        <w:t xml:space="preserve"> </w:t>
      </w:r>
    </w:p>
    <w:p w:rsidR="00EF2741" w:rsidRDefault="00EF2741" w:rsidP="005A1698">
      <w:pPr>
        <w:pStyle w:val="Prrafodelista"/>
        <w:spacing w:line="480" w:lineRule="auto"/>
        <w:ind w:left="851"/>
        <w:jc w:val="both"/>
        <w:rPr>
          <w:rFonts w:ascii="Arial" w:hAnsi="Arial" w:cs="Arial"/>
        </w:rPr>
      </w:pPr>
    </w:p>
    <w:p w:rsidR="00EF2741" w:rsidRDefault="00060299" w:rsidP="005A1698">
      <w:pPr>
        <w:pStyle w:val="Prrafodelista"/>
        <w:spacing w:line="480" w:lineRule="auto"/>
        <w:ind w:left="851"/>
        <w:jc w:val="both"/>
        <w:rPr>
          <w:rFonts w:ascii="Arial" w:hAnsi="Arial" w:cs="Arial"/>
        </w:rPr>
      </w:pPr>
      <w:r>
        <w:rPr>
          <w:rFonts w:ascii="Arial" w:hAnsi="Arial" w:cs="Arial"/>
        </w:rPr>
        <w:t xml:space="preserve">Esta figura permite </w:t>
      </w:r>
      <w:r w:rsidR="00EF2741">
        <w:rPr>
          <w:rFonts w:ascii="Arial" w:hAnsi="Arial" w:cs="Arial"/>
        </w:rPr>
        <w:t>también</w:t>
      </w:r>
      <w:r>
        <w:rPr>
          <w:rFonts w:ascii="Arial" w:hAnsi="Arial" w:cs="Arial"/>
        </w:rPr>
        <w:t xml:space="preserve"> notar que Carchi es la provincia con la tasa de inmigración extranjera más alta del país; mientras que Sucumbíos tiene la segunda tasa más alta (61.79 por cada 1000 residentes); la tercera tasa más alta es la de Pichincha, pues hay 23.02 extranjeros por cada 1000 habitantes, aunque como anteriormente se había mencionado ésta es la provincia que mayor cantidad de extranjeros recibe en términos absolutos a nivel nacional; también tenemos a Orellana y Santo Domingo cuyas tasas son 21.15 y 18.09 inmigrantes por cada 1000 residentes respectivamente. </w:t>
      </w:r>
    </w:p>
    <w:p w:rsidR="00EF2741" w:rsidRDefault="00EF2741" w:rsidP="005A1698">
      <w:pPr>
        <w:pStyle w:val="Prrafodelista"/>
        <w:spacing w:line="480" w:lineRule="auto"/>
        <w:ind w:left="851"/>
        <w:jc w:val="both"/>
        <w:rPr>
          <w:rFonts w:ascii="Arial" w:hAnsi="Arial" w:cs="Arial"/>
        </w:rPr>
      </w:pPr>
    </w:p>
    <w:p w:rsidR="00060299" w:rsidRPr="00EF2741" w:rsidRDefault="00060299" w:rsidP="005A1698">
      <w:pPr>
        <w:pStyle w:val="Prrafodelista"/>
        <w:spacing w:line="480" w:lineRule="auto"/>
        <w:ind w:left="851"/>
        <w:jc w:val="both"/>
        <w:rPr>
          <w:rFonts w:ascii="Arial" w:hAnsi="Arial" w:cs="Arial"/>
          <w:i/>
        </w:rPr>
      </w:pPr>
      <w:r>
        <w:rPr>
          <w:rFonts w:ascii="Arial" w:hAnsi="Arial" w:cs="Arial"/>
        </w:rPr>
        <w:lastRenderedPageBreak/>
        <w:t xml:space="preserve">Además, nueve de las veinticuatro provincias del país presentan tasas superiores a la tasa de inmigración extranjera nacional (línea </w:t>
      </w:r>
      <w:r w:rsidR="00EF2741">
        <w:rPr>
          <w:rFonts w:ascii="Arial" w:hAnsi="Arial" w:cs="Arial"/>
        </w:rPr>
        <w:t>negra</w:t>
      </w:r>
      <w:r>
        <w:rPr>
          <w:rFonts w:ascii="Arial" w:hAnsi="Arial" w:cs="Arial"/>
        </w:rPr>
        <w:t>), entre ellas figuran también Imbabura, Galápagos, Azuay y Esmeraldas cuyas tasas correspondientes son 17.79, 16.80, 15.82; y, 15.65 inmigrantes por cada 1000 habitantes respectivamente. Para el resto de provincias esta tasa es inferior a la tasa de inmigración nacional, presentando las menores tasas Manabí, Chimborazo, Cotopaxi, Los Ríos; y, Bolívar cuyos valores son 4.70, 3.90, 3.08, 3.02; y, 1.80 extranjeros por cada 1000 habitantes respectivamente; teniendo Bolívar la menor tasa de inmigración extranjera a nivel provincial (1.80 por cada 1000 residentes).</w:t>
      </w:r>
      <w:r w:rsidR="00EF2741">
        <w:rPr>
          <w:rFonts w:ascii="Arial" w:hAnsi="Arial" w:cs="Arial"/>
        </w:rPr>
        <w:t xml:space="preserve"> </w:t>
      </w:r>
      <w:r w:rsidR="00EF2741">
        <w:rPr>
          <w:rFonts w:ascii="Arial" w:hAnsi="Arial" w:cs="Arial"/>
          <w:i/>
        </w:rPr>
        <w:t>Véase Figura 3.4.</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EF2741">
        <w:trPr>
          <w:trHeight w:val="3808"/>
          <w:jc w:val="right"/>
        </w:trPr>
        <w:tc>
          <w:tcPr>
            <w:tcW w:w="7497" w:type="dxa"/>
          </w:tcPr>
          <w:p w:rsidR="00060299" w:rsidRPr="00840530" w:rsidRDefault="00060299" w:rsidP="003B05B6">
            <w:pPr>
              <w:rPr>
                <w:rFonts w:ascii="Arial" w:hAnsi="Arial" w:cs="Arial"/>
                <w:sz w:val="16"/>
                <w:szCs w:val="16"/>
              </w:rPr>
            </w:pPr>
          </w:p>
          <w:p w:rsidR="002B4A79" w:rsidRPr="002B4A79" w:rsidRDefault="002B4A79" w:rsidP="002B4A79">
            <w:pPr>
              <w:keepNext/>
              <w:rPr>
                <w:rFonts w:ascii="Arial" w:hAnsi="Arial" w:cs="Arial"/>
                <w:b/>
                <w:sz w:val="16"/>
                <w:szCs w:val="16"/>
              </w:rPr>
            </w:pPr>
            <w:bookmarkStart w:id="367" w:name="_Toc341043403"/>
            <w:r>
              <w:rPr>
                <w:rFonts w:ascii="Arial" w:hAnsi="Arial" w:cs="Arial"/>
                <w:b/>
                <w:sz w:val="16"/>
                <w:szCs w:val="16"/>
              </w:rPr>
              <w:t>Figura 3.</w:t>
            </w:r>
            <w:r w:rsidR="00990535" w:rsidRPr="002B4A79">
              <w:rPr>
                <w:rFonts w:ascii="Arial" w:hAnsi="Arial" w:cs="Arial"/>
                <w:b/>
                <w:sz w:val="16"/>
                <w:szCs w:val="16"/>
              </w:rPr>
              <w:fldChar w:fldCharType="begin"/>
            </w:r>
            <w:r w:rsidRPr="002B4A79">
              <w:rPr>
                <w:rFonts w:ascii="Arial" w:hAnsi="Arial" w:cs="Arial"/>
                <w:b/>
                <w:sz w:val="16"/>
                <w:szCs w:val="16"/>
              </w:rPr>
              <w:instrText xml:space="preserve"> SEQ Figura_3. \* ARABIC </w:instrText>
            </w:r>
            <w:r w:rsidR="00990535" w:rsidRPr="002B4A79">
              <w:rPr>
                <w:rFonts w:ascii="Arial" w:hAnsi="Arial" w:cs="Arial"/>
                <w:b/>
                <w:sz w:val="16"/>
                <w:szCs w:val="16"/>
              </w:rPr>
              <w:fldChar w:fldCharType="separate"/>
            </w:r>
            <w:r w:rsidR="00A242E0">
              <w:rPr>
                <w:rFonts w:ascii="Arial" w:hAnsi="Arial" w:cs="Arial"/>
                <w:b/>
                <w:noProof/>
                <w:sz w:val="16"/>
                <w:szCs w:val="16"/>
              </w:rPr>
              <w:t>4</w:t>
            </w:r>
            <w:bookmarkEnd w:id="367"/>
            <w:r w:rsidR="00990535" w:rsidRPr="002B4A79">
              <w:rPr>
                <w:rFonts w:ascii="Arial" w:hAnsi="Arial" w:cs="Arial"/>
                <w:b/>
                <w:sz w:val="16"/>
                <w:szCs w:val="16"/>
              </w:rPr>
              <w:fldChar w:fldCharType="end"/>
            </w:r>
          </w:p>
          <w:p w:rsidR="00060299" w:rsidRDefault="00EF2741"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 xml:space="preserve">Comparación entre la Tasa de Inmigración extranjera a nivel Provincial </w:t>
            </w:r>
          </w:p>
          <w:p w:rsidR="00060299" w:rsidRDefault="00060299" w:rsidP="003B05B6">
            <w:pPr>
              <w:rPr>
                <w:rFonts w:ascii="Arial" w:hAnsi="Arial" w:cs="Arial"/>
                <w:i/>
                <w:sz w:val="16"/>
                <w:szCs w:val="16"/>
              </w:rPr>
            </w:pPr>
            <w:r>
              <w:rPr>
                <w:rFonts w:ascii="Arial" w:hAnsi="Arial" w:cs="Arial"/>
                <w:i/>
                <w:sz w:val="16"/>
                <w:szCs w:val="16"/>
              </w:rPr>
              <w:t>y la tasa de Inmigración a nivel Nacional</w:t>
            </w:r>
          </w:p>
          <w:p w:rsidR="00060299" w:rsidRPr="00840530" w:rsidRDefault="00060299" w:rsidP="003B05B6">
            <w:pPr>
              <w:rPr>
                <w:rFonts w:ascii="Arial" w:hAnsi="Arial" w:cs="Arial"/>
                <w:sz w:val="24"/>
                <w:szCs w:val="24"/>
              </w:rPr>
            </w:pPr>
            <w:r>
              <w:rPr>
                <w:noProof/>
                <w:lang w:eastAsia="es-EC"/>
              </w:rPr>
              <w:drawing>
                <wp:inline distT="0" distB="0" distL="0" distR="0">
                  <wp:extent cx="4600575" cy="2352675"/>
                  <wp:effectExtent l="0" t="0" r="0" b="0"/>
                  <wp:docPr id="306" name="Gráfico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rsidR="00060299" w:rsidRPr="00EF2741" w:rsidRDefault="00060299" w:rsidP="00EF2741">
      <w:pPr>
        <w:pStyle w:val="Prrafodelista"/>
        <w:spacing w:line="276" w:lineRule="auto"/>
        <w:ind w:left="851"/>
        <w:jc w:val="both"/>
        <w:rPr>
          <w:rFonts w:ascii="Arial" w:hAnsi="Arial" w:cs="Arial"/>
          <w:sz w:val="17"/>
          <w:szCs w:val="17"/>
        </w:rPr>
      </w:pPr>
    </w:p>
    <w:p w:rsidR="00060299" w:rsidRPr="00EF2741" w:rsidRDefault="00060299" w:rsidP="00EF2741">
      <w:pPr>
        <w:pStyle w:val="Prrafodelista"/>
        <w:spacing w:line="276" w:lineRule="auto"/>
        <w:ind w:left="851"/>
        <w:jc w:val="both"/>
        <w:rPr>
          <w:rFonts w:ascii="Arial" w:hAnsi="Arial" w:cs="Arial"/>
          <w:sz w:val="17"/>
          <w:szCs w:val="17"/>
        </w:rPr>
      </w:pPr>
      <w:r w:rsidRPr="00EF2741">
        <w:rPr>
          <w:rFonts w:ascii="Arial" w:hAnsi="Arial" w:cs="Arial"/>
          <w:b/>
          <w:i/>
          <w:sz w:val="17"/>
          <w:szCs w:val="17"/>
        </w:rPr>
        <w:t>Fuente:</w:t>
      </w:r>
      <w:r w:rsidRPr="00EF2741">
        <w:rPr>
          <w:rFonts w:ascii="Arial" w:hAnsi="Arial" w:cs="Arial"/>
          <w:sz w:val="17"/>
          <w:szCs w:val="17"/>
        </w:rPr>
        <w:t xml:space="preserve"> </w:t>
      </w:r>
      <w:r w:rsidRPr="00EF2741">
        <w:rPr>
          <w:rFonts w:ascii="Arial" w:hAnsi="Arial" w:cs="Arial"/>
          <w:b/>
          <w:sz w:val="17"/>
          <w:szCs w:val="17"/>
        </w:rPr>
        <w:t xml:space="preserve">INEC </w:t>
      </w:r>
      <w:r w:rsidRPr="00EF2741">
        <w:rPr>
          <w:rFonts w:ascii="Arial" w:hAnsi="Arial" w:cs="Arial"/>
          <w:sz w:val="17"/>
          <w:szCs w:val="17"/>
        </w:rPr>
        <w:t>(2010), Base de Datos del VII Censo de Población y VI de Vivienda.</w:t>
      </w:r>
    </w:p>
    <w:p w:rsidR="00060299" w:rsidRPr="00EF2741" w:rsidRDefault="00060299" w:rsidP="00EF2741">
      <w:pPr>
        <w:pStyle w:val="Prrafodelista"/>
        <w:spacing w:line="276" w:lineRule="auto"/>
        <w:ind w:left="851"/>
        <w:jc w:val="both"/>
        <w:rPr>
          <w:rFonts w:ascii="Arial" w:hAnsi="Arial" w:cs="Arial"/>
          <w:sz w:val="17"/>
          <w:szCs w:val="17"/>
        </w:rPr>
      </w:pPr>
      <w:r w:rsidRPr="00EF2741">
        <w:rPr>
          <w:rFonts w:ascii="Arial" w:hAnsi="Arial" w:cs="Arial"/>
          <w:b/>
          <w:i/>
          <w:sz w:val="17"/>
          <w:szCs w:val="17"/>
        </w:rPr>
        <w:t>Elaborado por:</w:t>
      </w:r>
      <w:r w:rsidRPr="00EF2741">
        <w:rPr>
          <w:rFonts w:ascii="Arial" w:hAnsi="Arial" w:cs="Arial"/>
          <w:sz w:val="17"/>
          <w:szCs w:val="17"/>
        </w:rPr>
        <w:t xml:space="preserve"> Katherine Loor Valeriano</w:t>
      </w:r>
    </w:p>
    <w:p w:rsidR="00060299" w:rsidRPr="00DD2A35" w:rsidRDefault="00060299" w:rsidP="00060299">
      <w:pPr>
        <w:pStyle w:val="TesisTitulo2"/>
        <w:numPr>
          <w:ilvl w:val="0"/>
          <w:numId w:val="0"/>
        </w:numPr>
        <w:ind w:left="567"/>
        <w:rPr>
          <w:b w:val="0"/>
          <w:sz w:val="22"/>
          <w:szCs w:val="22"/>
        </w:rPr>
      </w:pPr>
    </w:p>
    <w:p w:rsidR="00060299" w:rsidRDefault="00060299" w:rsidP="00EF2741">
      <w:pPr>
        <w:pStyle w:val="TesisTitulo1"/>
        <w:ind w:left="851"/>
      </w:pPr>
      <w:bookmarkStart w:id="368" w:name="_Toc331941463"/>
      <w:bookmarkStart w:id="369" w:name="_Toc335850593"/>
      <w:bookmarkStart w:id="370" w:name="_Toc341040645"/>
      <w:r>
        <w:t>Continente y país de nacimiento de los inmigrantes</w:t>
      </w:r>
      <w:bookmarkEnd w:id="368"/>
      <w:bookmarkEnd w:id="369"/>
      <w:bookmarkEnd w:id="370"/>
    </w:p>
    <w:p w:rsidR="00060299" w:rsidRPr="00F96D09" w:rsidRDefault="00060299" w:rsidP="00EF2741">
      <w:pPr>
        <w:pStyle w:val="Prrafodelista"/>
        <w:spacing w:line="480" w:lineRule="auto"/>
        <w:ind w:left="851"/>
        <w:jc w:val="both"/>
        <w:rPr>
          <w:rFonts w:ascii="Arial" w:hAnsi="Arial" w:cs="Arial"/>
          <w:i/>
        </w:rPr>
      </w:pPr>
      <w:r>
        <w:rPr>
          <w:rFonts w:ascii="Arial" w:hAnsi="Arial" w:cs="Arial"/>
        </w:rPr>
        <w:t xml:space="preserve">Recordemos que en el Ecuador residen 181848 extranjeros, el mayor porcentaje son nativos de nuestro continente (80.92%), también hay un </w:t>
      </w:r>
      <w:r>
        <w:rPr>
          <w:rFonts w:ascii="Arial" w:hAnsi="Arial" w:cs="Arial"/>
        </w:rPr>
        <w:lastRenderedPageBreak/>
        <w:t xml:space="preserve">13.54% que nació en países de Europa, el 3.30% son asiáticos; y, el 0.32% y 0.13% son extranjeros nacidos en África y Oceanía respectivamente; aunque también existe un 1.80% de extranjeros que no especificaron el país de nacimiento. </w:t>
      </w:r>
      <w:r>
        <w:rPr>
          <w:rFonts w:ascii="Arial" w:hAnsi="Arial" w:cs="Arial"/>
          <w:i/>
        </w:rPr>
        <w:t>Véase Figura 3.5.</w:t>
      </w:r>
    </w:p>
    <w:tbl>
      <w:tblPr>
        <w:tblStyle w:val="Tablaconcuadrcula"/>
        <w:tblW w:w="7497" w:type="dxa"/>
        <w:jc w:val="right"/>
        <w:tblInd w:w="155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EF2741">
        <w:trPr>
          <w:trHeight w:val="3808"/>
          <w:jc w:val="right"/>
        </w:trPr>
        <w:tc>
          <w:tcPr>
            <w:tcW w:w="7497" w:type="dxa"/>
          </w:tcPr>
          <w:p w:rsidR="00060299" w:rsidRPr="00840530" w:rsidRDefault="00060299" w:rsidP="003B05B6">
            <w:pPr>
              <w:rPr>
                <w:rFonts w:ascii="Arial" w:hAnsi="Arial" w:cs="Arial"/>
                <w:sz w:val="16"/>
                <w:szCs w:val="16"/>
              </w:rPr>
            </w:pPr>
          </w:p>
          <w:p w:rsidR="002B4A79" w:rsidRPr="002B4A79" w:rsidRDefault="002B4A79" w:rsidP="002B4A79">
            <w:pPr>
              <w:pStyle w:val="Epgrafe"/>
              <w:rPr>
                <w:rFonts w:ascii="Arial" w:hAnsi="Arial" w:cs="Arial"/>
                <w:bCs w:val="0"/>
                <w:color w:val="auto"/>
                <w:sz w:val="16"/>
                <w:szCs w:val="16"/>
              </w:rPr>
            </w:pPr>
            <w:bookmarkStart w:id="371" w:name="_Toc341043404"/>
            <w:r>
              <w:rPr>
                <w:rFonts w:ascii="Arial" w:hAnsi="Arial" w:cs="Arial"/>
                <w:bCs w:val="0"/>
                <w:color w:val="auto"/>
                <w:sz w:val="16"/>
                <w:szCs w:val="16"/>
              </w:rPr>
              <w:t>Figura 3.</w:t>
            </w:r>
            <w:r w:rsidR="00990535" w:rsidRPr="002B4A79">
              <w:rPr>
                <w:rFonts w:ascii="Arial" w:hAnsi="Arial" w:cs="Arial"/>
                <w:bCs w:val="0"/>
                <w:color w:val="auto"/>
                <w:sz w:val="16"/>
                <w:szCs w:val="16"/>
              </w:rPr>
              <w:fldChar w:fldCharType="begin"/>
            </w:r>
            <w:r w:rsidRPr="002B4A79">
              <w:rPr>
                <w:rFonts w:ascii="Arial" w:hAnsi="Arial" w:cs="Arial"/>
                <w:bCs w:val="0"/>
                <w:color w:val="auto"/>
                <w:sz w:val="16"/>
                <w:szCs w:val="16"/>
              </w:rPr>
              <w:instrText xml:space="preserve"> SEQ Figura_3. \* ARABIC </w:instrText>
            </w:r>
            <w:r w:rsidR="00990535" w:rsidRPr="002B4A79">
              <w:rPr>
                <w:rFonts w:ascii="Arial" w:hAnsi="Arial" w:cs="Arial"/>
                <w:bCs w:val="0"/>
                <w:color w:val="auto"/>
                <w:sz w:val="16"/>
                <w:szCs w:val="16"/>
              </w:rPr>
              <w:fldChar w:fldCharType="separate"/>
            </w:r>
            <w:r w:rsidR="00A242E0">
              <w:rPr>
                <w:rFonts w:ascii="Arial" w:hAnsi="Arial" w:cs="Arial"/>
                <w:bCs w:val="0"/>
                <w:noProof/>
                <w:color w:val="auto"/>
                <w:sz w:val="16"/>
                <w:szCs w:val="16"/>
              </w:rPr>
              <w:t>5</w:t>
            </w:r>
            <w:bookmarkEnd w:id="371"/>
            <w:r w:rsidR="00990535" w:rsidRPr="002B4A79">
              <w:rPr>
                <w:rFonts w:ascii="Arial" w:hAnsi="Arial" w:cs="Arial"/>
                <w:bCs w:val="0"/>
                <w:color w:val="auto"/>
                <w:sz w:val="16"/>
                <w:szCs w:val="16"/>
              </w:rPr>
              <w:fldChar w:fldCharType="end"/>
            </w:r>
          </w:p>
          <w:p w:rsidR="00060299" w:rsidRDefault="00EF2741"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Frecuencia Relativa de inmigrantes por Continente de nacimiento</w:t>
            </w:r>
          </w:p>
          <w:p w:rsidR="00060299" w:rsidRDefault="00060299" w:rsidP="003B05B6">
            <w:pPr>
              <w:rPr>
                <w:noProof/>
                <w:sz w:val="10"/>
                <w:szCs w:val="10"/>
                <w:lang w:eastAsia="es-EC"/>
              </w:rPr>
            </w:pPr>
            <w:r w:rsidRPr="005400D0">
              <w:rPr>
                <w:noProof/>
                <w:sz w:val="10"/>
                <w:szCs w:val="10"/>
                <w:lang w:eastAsia="es-EC"/>
              </w:rPr>
              <w:t xml:space="preserve"> </w:t>
            </w:r>
          </w:p>
          <w:tbl>
            <w:tblPr>
              <w:tblStyle w:val="Tablaconcuadrcula"/>
              <w:tblW w:w="2712" w:type="dxa"/>
              <w:jc w:val="center"/>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406"/>
              <w:gridCol w:w="146"/>
              <w:gridCol w:w="4569"/>
            </w:tblGrid>
            <w:tr w:rsidR="00060299" w:rsidRPr="00A22FF9" w:rsidTr="00EF2741">
              <w:trPr>
                <w:trHeight w:val="3143"/>
                <w:jc w:val="center"/>
              </w:trPr>
              <w:tc>
                <w:tcPr>
                  <w:tcW w:w="2406" w:type="dxa"/>
                </w:tcPr>
                <w:p w:rsidR="00060299" w:rsidRDefault="00060299" w:rsidP="003B05B6">
                  <w:pPr>
                    <w:rPr>
                      <w:rFonts w:ascii="Arial" w:hAnsi="Arial" w:cs="Arial"/>
                      <w:b/>
                      <w:sz w:val="16"/>
                      <w:szCs w:val="16"/>
                    </w:rPr>
                  </w:pPr>
                </w:p>
                <w:p w:rsidR="00060299" w:rsidRPr="00A22FF9" w:rsidRDefault="00060299" w:rsidP="003B05B6">
                  <w:pPr>
                    <w:rPr>
                      <w:rFonts w:ascii="Arial" w:hAnsi="Arial" w:cs="Arial"/>
                      <w:b/>
                      <w:sz w:val="16"/>
                      <w:szCs w:val="16"/>
                    </w:rPr>
                  </w:pPr>
                  <w:r w:rsidRPr="00A22FF9">
                    <w:rPr>
                      <w:rFonts w:ascii="Arial" w:hAnsi="Arial" w:cs="Arial"/>
                      <w:b/>
                      <w:sz w:val="16"/>
                      <w:szCs w:val="16"/>
                    </w:rPr>
                    <w:t>Tabla de Frecuencias</w:t>
                  </w:r>
                </w:p>
                <w:p w:rsidR="00060299" w:rsidRDefault="00060299" w:rsidP="003B05B6">
                  <w:pPr>
                    <w:rPr>
                      <w:rFonts w:ascii="Arial" w:hAnsi="Arial" w:cs="Arial"/>
                      <w:sz w:val="10"/>
                      <w:szCs w:val="10"/>
                    </w:rPr>
                  </w:pPr>
                </w:p>
                <w:p w:rsidR="00060299" w:rsidRPr="00A22FF9" w:rsidRDefault="00060299" w:rsidP="003B05B6">
                  <w:pPr>
                    <w:rPr>
                      <w:rFonts w:ascii="Arial" w:hAnsi="Arial" w:cs="Arial"/>
                      <w:sz w:val="10"/>
                      <w:szCs w:val="10"/>
                    </w:rPr>
                  </w:pPr>
                </w:p>
                <w:tbl>
                  <w:tblPr>
                    <w:tblW w:w="2232" w:type="dxa"/>
                    <w:jc w:val="center"/>
                    <w:tblCellMar>
                      <w:left w:w="70" w:type="dxa"/>
                      <w:right w:w="70" w:type="dxa"/>
                    </w:tblCellMar>
                    <w:tblLook w:val="04A0" w:firstRow="1" w:lastRow="0" w:firstColumn="1" w:lastColumn="0" w:noHBand="0" w:noVBand="1"/>
                  </w:tblPr>
                  <w:tblGrid>
                    <w:gridCol w:w="1247"/>
                    <w:gridCol w:w="1019"/>
                  </w:tblGrid>
                  <w:tr w:rsidR="00060299" w:rsidRPr="00A22FF9" w:rsidTr="003B05B6">
                    <w:trPr>
                      <w:trHeight w:val="454"/>
                      <w:jc w:val="center"/>
                    </w:trPr>
                    <w:tc>
                      <w:tcPr>
                        <w:tcW w:w="1247" w:type="dxa"/>
                        <w:tcBorders>
                          <w:top w:val="single" w:sz="4" w:space="0" w:color="auto"/>
                          <w:left w:val="nil"/>
                          <w:bottom w:val="single" w:sz="4" w:space="0" w:color="auto"/>
                          <w:right w:val="nil"/>
                        </w:tcBorders>
                        <w:shd w:val="clear" w:color="auto" w:fill="auto"/>
                        <w:vAlign w:val="center"/>
                        <w:hideMark/>
                      </w:tcPr>
                      <w:p w:rsidR="00060299" w:rsidRPr="00A22FF9" w:rsidRDefault="00060299" w:rsidP="003B05B6">
                        <w:pP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Continente</w:t>
                        </w:r>
                      </w:p>
                    </w:tc>
                    <w:tc>
                      <w:tcPr>
                        <w:tcW w:w="985" w:type="dxa"/>
                        <w:tcBorders>
                          <w:top w:val="single" w:sz="4" w:space="0" w:color="auto"/>
                          <w:left w:val="nil"/>
                          <w:bottom w:val="single" w:sz="4" w:space="0" w:color="auto"/>
                          <w:right w:val="nil"/>
                        </w:tcBorders>
                        <w:shd w:val="clear" w:color="auto" w:fill="auto"/>
                        <w:vAlign w:val="center"/>
                        <w:hideMark/>
                      </w:tcPr>
                      <w:p w:rsidR="00060299" w:rsidRPr="00A22FF9" w:rsidRDefault="00060299" w:rsidP="003B05B6">
                        <w:pPr>
                          <w:rPr>
                            <w:rFonts w:ascii="Arial" w:eastAsia="Times New Roman" w:hAnsi="Arial" w:cs="Arial"/>
                            <w:b/>
                            <w:bCs/>
                            <w:color w:val="000000"/>
                            <w:sz w:val="16"/>
                            <w:szCs w:val="16"/>
                            <w:lang w:eastAsia="es-EC"/>
                          </w:rPr>
                        </w:pPr>
                        <w:r w:rsidRPr="00A22FF9">
                          <w:rPr>
                            <w:rFonts w:ascii="Arial" w:eastAsia="Times New Roman" w:hAnsi="Arial" w:cs="Arial"/>
                            <w:b/>
                            <w:bCs/>
                            <w:color w:val="000000"/>
                            <w:sz w:val="16"/>
                            <w:szCs w:val="16"/>
                            <w:lang w:eastAsia="es-EC"/>
                          </w:rPr>
                          <w:t>Frecuencia Relativa</w:t>
                        </w:r>
                      </w:p>
                    </w:tc>
                  </w:tr>
                  <w:tr w:rsidR="00060299" w:rsidRPr="00A22FF9" w:rsidTr="003B05B6">
                    <w:trPr>
                      <w:trHeight w:val="20"/>
                      <w:jc w:val="center"/>
                    </w:trPr>
                    <w:tc>
                      <w:tcPr>
                        <w:tcW w:w="1247" w:type="dxa"/>
                        <w:tcBorders>
                          <w:top w:val="nil"/>
                          <w:left w:val="nil"/>
                          <w:bottom w:val="nil"/>
                          <w:right w:val="nil"/>
                        </w:tcBorders>
                        <w:shd w:val="clear" w:color="auto" w:fill="auto"/>
                        <w:noWrap/>
                        <w:vAlign w:val="center"/>
                        <w:hideMark/>
                      </w:tcPr>
                      <w:p w:rsidR="00060299" w:rsidRPr="00A22FF9" w:rsidRDefault="00060299" w:rsidP="00333696">
                        <w:pPr>
                          <w:jc w:val="left"/>
                          <w:rPr>
                            <w:rFonts w:ascii="Arial" w:eastAsia="Times New Roman" w:hAnsi="Arial" w:cs="Arial"/>
                            <w:color w:val="000000"/>
                            <w:sz w:val="16"/>
                            <w:szCs w:val="16"/>
                            <w:lang w:eastAsia="es-EC"/>
                          </w:rPr>
                        </w:pPr>
                        <w:r w:rsidRPr="00A22FF9">
                          <w:rPr>
                            <w:rFonts w:ascii="Arial" w:eastAsia="Times New Roman" w:hAnsi="Arial" w:cs="Arial"/>
                            <w:color w:val="000000"/>
                            <w:sz w:val="16"/>
                            <w:szCs w:val="16"/>
                            <w:lang w:eastAsia="es-EC"/>
                          </w:rPr>
                          <w:t>América</w:t>
                        </w:r>
                      </w:p>
                    </w:tc>
                    <w:tc>
                      <w:tcPr>
                        <w:tcW w:w="985" w:type="dxa"/>
                        <w:tcBorders>
                          <w:top w:val="nil"/>
                          <w:left w:val="nil"/>
                          <w:bottom w:val="nil"/>
                          <w:right w:val="nil"/>
                        </w:tcBorders>
                        <w:shd w:val="clear" w:color="auto" w:fill="auto"/>
                        <w:noWrap/>
                        <w:vAlign w:val="center"/>
                        <w:hideMark/>
                      </w:tcPr>
                      <w:p w:rsidR="00060299" w:rsidRPr="00A22FF9" w:rsidRDefault="00060299" w:rsidP="003B05B6">
                        <w:pPr>
                          <w:rPr>
                            <w:rFonts w:ascii="Arial" w:eastAsia="Times New Roman" w:hAnsi="Arial" w:cs="Arial"/>
                            <w:color w:val="000000"/>
                            <w:sz w:val="16"/>
                            <w:szCs w:val="16"/>
                            <w:lang w:eastAsia="es-EC"/>
                          </w:rPr>
                        </w:pPr>
                        <w:r w:rsidRPr="00A22FF9">
                          <w:rPr>
                            <w:rFonts w:ascii="Arial" w:eastAsia="Times New Roman" w:hAnsi="Arial" w:cs="Arial"/>
                            <w:color w:val="000000"/>
                            <w:sz w:val="16"/>
                            <w:szCs w:val="16"/>
                            <w:lang w:eastAsia="es-EC"/>
                          </w:rPr>
                          <w:t>0.809</w:t>
                        </w:r>
                      </w:p>
                    </w:tc>
                  </w:tr>
                  <w:tr w:rsidR="00060299" w:rsidRPr="00A22FF9" w:rsidTr="003B05B6">
                    <w:trPr>
                      <w:trHeight w:val="20"/>
                      <w:jc w:val="center"/>
                    </w:trPr>
                    <w:tc>
                      <w:tcPr>
                        <w:tcW w:w="1247" w:type="dxa"/>
                        <w:tcBorders>
                          <w:top w:val="nil"/>
                          <w:left w:val="nil"/>
                          <w:bottom w:val="nil"/>
                          <w:right w:val="nil"/>
                        </w:tcBorders>
                        <w:shd w:val="clear" w:color="auto" w:fill="auto"/>
                        <w:noWrap/>
                        <w:vAlign w:val="center"/>
                        <w:hideMark/>
                      </w:tcPr>
                      <w:p w:rsidR="00060299" w:rsidRPr="00A22FF9" w:rsidRDefault="00060299" w:rsidP="00333696">
                        <w:pPr>
                          <w:jc w:val="left"/>
                          <w:rPr>
                            <w:rFonts w:ascii="Arial" w:eastAsia="Times New Roman" w:hAnsi="Arial" w:cs="Arial"/>
                            <w:color w:val="000000"/>
                            <w:sz w:val="16"/>
                            <w:szCs w:val="16"/>
                            <w:lang w:eastAsia="es-EC"/>
                          </w:rPr>
                        </w:pPr>
                        <w:r w:rsidRPr="00A22FF9">
                          <w:rPr>
                            <w:rFonts w:ascii="Arial" w:eastAsia="Times New Roman" w:hAnsi="Arial" w:cs="Arial"/>
                            <w:color w:val="000000"/>
                            <w:sz w:val="16"/>
                            <w:szCs w:val="16"/>
                            <w:lang w:eastAsia="es-EC"/>
                          </w:rPr>
                          <w:t>Europa</w:t>
                        </w:r>
                      </w:p>
                    </w:tc>
                    <w:tc>
                      <w:tcPr>
                        <w:tcW w:w="985" w:type="dxa"/>
                        <w:tcBorders>
                          <w:top w:val="nil"/>
                          <w:left w:val="nil"/>
                          <w:bottom w:val="nil"/>
                          <w:right w:val="nil"/>
                        </w:tcBorders>
                        <w:shd w:val="clear" w:color="auto" w:fill="auto"/>
                        <w:noWrap/>
                        <w:vAlign w:val="center"/>
                        <w:hideMark/>
                      </w:tcPr>
                      <w:p w:rsidR="00060299" w:rsidRPr="00A22FF9" w:rsidRDefault="00060299" w:rsidP="003B05B6">
                        <w:pPr>
                          <w:rPr>
                            <w:rFonts w:ascii="Arial" w:eastAsia="Times New Roman" w:hAnsi="Arial" w:cs="Arial"/>
                            <w:color w:val="000000"/>
                            <w:sz w:val="16"/>
                            <w:szCs w:val="16"/>
                            <w:lang w:eastAsia="es-EC"/>
                          </w:rPr>
                        </w:pPr>
                        <w:r w:rsidRPr="00A22FF9">
                          <w:rPr>
                            <w:rFonts w:ascii="Arial" w:eastAsia="Times New Roman" w:hAnsi="Arial" w:cs="Arial"/>
                            <w:color w:val="000000"/>
                            <w:sz w:val="16"/>
                            <w:szCs w:val="16"/>
                            <w:lang w:eastAsia="es-EC"/>
                          </w:rPr>
                          <w:t>0.135</w:t>
                        </w:r>
                      </w:p>
                    </w:tc>
                  </w:tr>
                  <w:tr w:rsidR="00060299" w:rsidRPr="00A22FF9" w:rsidTr="003B05B6">
                    <w:trPr>
                      <w:trHeight w:val="20"/>
                      <w:jc w:val="center"/>
                    </w:trPr>
                    <w:tc>
                      <w:tcPr>
                        <w:tcW w:w="1247" w:type="dxa"/>
                        <w:tcBorders>
                          <w:top w:val="nil"/>
                          <w:left w:val="nil"/>
                          <w:bottom w:val="nil"/>
                          <w:right w:val="nil"/>
                        </w:tcBorders>
                        <w:shd w:val="clear" w:color="auto" w:fill="auto"/>
                        <w:noWrap/>
                        <w:vAlign w:val="center"/>
                        <w:hideMark/>
                      </w:tcPr>
                      <w:p w:rsidR="00060299" w:rsidRPr="00A22FF9" w:rsidRDefault="00060299" w:rsidP="00333696">
                        <w:pPr>
                          <w:jc w:val="left"/>
                          <w:rPr>
                            <w:rFonts w:ascii="Arial" w:eastAsia="Times New Roman" w:hAnsi="Arial" w:cs="Arial"/>
                            <w:color w:val="000000"/>
                            <w:sz w:val="16"/>
                            <w:szCs w:val="16"/>
                            <w:lang w:eastAsia="es-EC"/>
                          </w:rPr>
                        </w:pPr>
                        <w:r w:rsidRPr="00A22FF9">
                          <w:rPr>
                            <w:rFonts w:ascii="Arial" w:eastAsia="Times New Roman" w:hAnsi="Arial" w:cs="Arial"/>
                            <w:color w:val="000000"/>
                            <w:sz w:val="16"/>
                            <w:szCs w:val="16"/>
                            <w:lang w:eastAsia="es-EC"/>
                          </w:rPr>
                          <w:t>Asia</w:t>
                        </w:r>
                      </w:p>
                    </w:tc>
                    <w:tc>
                      <w:tcPr>
                        <w:tcW w:w="985" w:type="dxa"/>
                        <w:tcBorders>
                          <w:top w:val="nil"/>
                          <w:left w:val="nil"/>
                          <w:bottom w:val="nil"/>
                          <w:right w:val="nil"/>
                        </w:tcBorders>
                        <w:shd w:val="clear" w:color="auto" w:fill="auto"/>
                        <w:noWrap/>
                        <w:vAlign w:val="center"/>
                        <w:hideMark/>
                      </w:tcPr>
                      <w:p w:rsidR="00060299" w:rsidRPr="00A22FF9" w:rsidRDefault="00060299" w:rsidP="003B05B6">
                        <w:pPr>
                          <w:rPr>
                            <w:rFonts w:ascii="Arial" w:eastAsia="Times New Roman" w:hAnsi="Arial" w:cs="Arial"/>
                            <w:color w:val="000000"/>
                            <w:sz w:val="16"/>
                            <w:szCs w:val="16"/>
                            <w:lang w:eastAsia="es-EC"/>
                          </w:rPr>
                        </w:pPr>
                        <w:r w:rsidRPr="00A22FF9">
                          <w:rPr>
                            <w:rFonts w:ascii="Arial" w:eastAsia="Times New Roman" w:hAnsi="Arial" w:cs="Arial"/>
                            <w:color w:val="000000"/>
                            <w:sz w:val="16"/>
                            <w:szCs w:val="16"/>
                            <w:lang w:eastAsia="es-EC"/>
                          </w:rPr>
                          <w:t>0.033</w:t>
                        </w:r>
                      </w:p>
                    </w:tc>
                  </w:tr>
                  <w:tr w:rsidR="00060299" w:rsidRPr="00A22FF9" w:rsidTr="003B05B6">
                    <w:trPr>
                      <w:trHeight w:val="20"/>
                      <w:jc w:val="center"/>
                    </w:trPr>
                    <w:tc>
                      <w:tcPr>
                        <w:tcW w:w="1247" w:type="dxa"/>
                        <w:tcBorders>
                          <w:top w:val="nil"/>
                          <w:left w:val="nil"/>
                          <w:bottom w:val="nil"/>
                          <w:right w:val="nil"/>
                        </w:tcBorders>
                        <w:shd w:val="clear" w:color="auto" w:fill="auto"/>
                        <w:noWrap/>
                        <w:vAlign w:val="center"/>
                        <w:hideMark/>
                      </w:tcPr>
                      <w:p w:rsidR="00060299" w:rsidRPr="00A22FF9" w:rsidRDefault="00060299" w:rsidP="00333696">
                        <w:pPr>
                          <w:jc w:val="left"/>
                          <w:rPr>
                            <w:rFonts w:ascii="Arial" w:eastAsia="Times New Roman" w:hAnsi="Arial" w:cs="Arial"/>
                            <w:color w:val="000000"/>
                            <w:sz w:val="16"/>
                            <w:szCs w:val="16"/>
                            <w:lang w:eastAsia="es-EC"/>
                          </w:rPr>
                        </w:pPr>
                        <w:r w:rsidRPr="00A22FF9">
                          <w:rPr>
                            <w:rFonts w:ascii="Arial" w:eastAsia="Times New Roman" w:hAnsi="Arial" w:cs="Arial"/>
                            <w:color w:val="000000"/>
                            <w:sz w:val="16"/>
                            <w:szCs w:val="16"/>
                            <w:lang w:eastAsia="es-EC"/>
                          </w:rPr>
                          <w:t>África</w:t>
                        </w:r>
                      </w:p>
                    </w:tc>
                    <w:tc>
                      <w:tcPr>
                        <w:tcW w:w="985" w:type="dxa"/>
                        <w:tcBorders>
                          <w:top w:val="nil"/>
                          <w:left w:val="nil"/>
                          <w:bottom w:val="nil"/>
                          <w:right w:val="nil"/>
                        </w:tcBorders>
                        <w:shd w:val="clear" w:color="auto" w:fill="auto"/>
                        <w:noWrap/>
                        <w:vAlign w:val="center"/>
                        <w:hideMark/>
                      </w:tcPr>
                      <w:p w:rsidR="00060299" w:rsidRPr="00A22FF9" w:rsidRDefault="00060299" w:rsidP="003B05B6">
                        <w:pPr>
                          <w:rPr>
                            <w:rFonts w:ascii="Arial" w:eastAsia="Times New Roman" w:hAnsi="Arial" w:cs="Arial"/>
                            <w:color w:val="000000"/>
                            <w:sz w:val="16"/>
                            <w:szCs w:val="16"/>
                            <w:lang w:eastAsia="es-EC"/>
                          </w:rPr>
                        </w:pPr>
                        <w:r w:rsidRPr="00A22FF9">
                          <w:rPr>
                            <w:rFonts w:ascii="Arial" w:eastAsia="Times New Roman" w:hAnsi="Arial" w:cs="Arial"/>
                            <w:color w:val="000000"/>
                            <w:sz w:val="16"/>
                            <w:szCs w:val="16"/>
                            <w:lang w:eastAsia="es-EC"/>
                          </w:rPr>
                          <w:t>0.003</w:t>
                        </w:r>
                      </w:p>
                    </w:tc>
                  </w:tr>
                  <w:tr w:rsidR="00060299" w:rsidRPr="00A22FF9" w:rsidTr="003B05B6">
                    <w:trPr>
                      <w:trHeight w:val="20"/>
                      <w:jc w:val="center"/>
                    </w:trPr>
                    <w:tc>
                      <w:tcPr>
                        <w:tcW w:w="1247" w:type="dxa"/>
                        <w:tcBorders>
                          <w:top w:val="nil"/>
                          <w:left w:val="nil"/>
                          <w:bottom w:val="nil"/>
                          <w:right w:val="nil"/>
                        </w:tcBorders>
                        <w:shd w:val="clear" w:color="auto" w:fill="auto"/>
                        <w:noWrap/>
                        <w:vAlign w:val="center"/>
                        <w:hideMark/>
                      </w:tcPr>
                      <w:p w:rsidR="00060299" w:rsidRPr="00A22FF9" w:rsidRDefault="00060299" w:rsidP="00333696">
                        <w:pPr>
                          <w:jc w:val="left"/>
                          <w:rPr>
                            <w:rFonts w:ascii="Arial" w:eastAsia="Times New Roman" w:hAnsi="Arial" w:cs="Arial"/>
                            <w:color w:val="000000"/>
                            <w:sz w:val="16"/>
                            <w:szCs w:val="16"/>
                            <w:lang w:eastAsia="es-EC"/>
                          </w:rPr>
                        </w:pPr>
                        <w:r w:rsidRPr="00A22FF9">
                          <w:rPr>
                            <w:rFonts w:ascii="Arial" w:eastAsia="Times New Roman" w:hAnsi="Arial" w:cs="Arial"/>
                            <w:color w:val="000000"/>
                            <w:sz w:val="16"/>
                            <w:szCs w:val="16"/>
                            <w:lang w:eastAsia="es-EC"/>
                          </w:rPr>
                          <w:t>Oceanía</w:t>
                        </w:r>
                      </w:p>
                    </w:tc>
                    <w:tc>
                      <w:tcPr>
                        <w:tcW w:w="985" w:type="dxa"/>
                        <w:tcBorders>
                          <w:top w:val="nil"/>
                          <w:left w:val="nil"/>
                          <w:bottom w:val="nil"/>
                          <w:right w:val="nil"/>
                        </w:tcBorders>
                        <w:shd w:val="clear" w:color="auto" w:fill="auto"/>
                        <w:noWrap/>
                        <w:vAlign w:val="center"/>
                        <w:hideMark/>
                      </w:tcPr>
                      <w:p w:rsidR="00060299" w:rsidRPr="00A22FF9" w:rsidRDefault="00060299" w:rsidP="003B05B6">
                        <w:pPr>
                          <w:rPr>
                            <w:rFonts w:ascii="Arial" w:eastAsia="Times New Roman" w:hAnsi="Arial" w:cs="Arial"/>
                            <w:color w:val="000000"/>
                            <w:sz w:val="16"/>
                            <w:szCs w:val="16"/>
                            <w:lang w:eastAsia="es-EC"/>
                          </w:rPr>
                        </w:pPr>
                        <w:r w:rsidRPr="00A22FF9">
                          <w:rPr>
                            <w:rFonts w:ascii="Arial" w:eastAsia="Times New Roman" w:hAnsi="Arial" w:cs="Arial"/>
                            <w:color w:val="000000"/>
                            <w:sz w:val="16"/>
                            <w:szCs w:val="16"/>
                            <w:lang w:eastAsia="es-EC"/>
                          </w:rPr>
                          <w:t>0.001</w:t>
                        </w:r>
                      </w:p>
                    </w:tc>
                  </w:tr>
                  <w:tr w:rsidR="00060299" w:rsidRPr="00A22FF9" w:rsidTr="003B05B6">
                    <w:trPr>
                      <w:trHeight w:val="20"/>
                      <w:jc w:val="center"/>
                    </w:trPr>
                    <w:tc>
                      <w:tcPr>
                        <w:tcW w:w="1247" w:type="dxa"/>
                        <w:tcBorders>
                          <w:top w:val="nil"/>
                          <w:left w:val="nil"/>
                          <w:bottom w:val="nil"/>
                          <w:right w:val="nil"/>
                        </w:tcBorders>
                        <w:shd w:val="clear" w:color="auto" w:fill="auto"/>
                        <w:noWrap/>
                        <w:vAlign w:val="center"/>
                        <w:hideMark/>
                      </w:tcPr>
                      <w:p w:rsidR="00060299" w:rsidRPr="00A22FF9" w:rsidRDefault="00060299" w:rsidP="00333696">
                        <w:pPr>
                          <w:jc w:val="left"/>
                          <w:rPr>
                            <w:rFonts w:ascii="Arial" w:eastAsia="Times New Roman" w:hAnsi="Arial" w:cs="Arial"/>
                            <w:color w:val="000000"/>
                            <w:sz w:val="16"/>
                            <w:szCs w:val="16"/>
                            <w:lang w:eastAsia="es-EC"/>
                          </w:rPr>
                        </w:pPr>
                        <w:r w:rsidRPr="00A22FF9">
                          <w:rPr>
                            <w:rFonts w:ascii="Arial" w:eastAsia="Times New Roman" w:hAnsi="Arial" w:cs="Arial"/>
                            <w:color w:val="000000"/>
                            <w:sz w:val="16"/>
                            <w:szCs w:val="16"/>
                            <w:lang w:eastAsia="es-EC"/>
                          </w:rPr>
                          <w:t>No se especifica</w:t>
                        </w:r>
                      </w:p>
                    </w:tc>
                    <w:tc>
                      <w:tcPr>
                        <w:tcW w:w="985" w:type="dxa"/>
                        <w:tcBorders>
                          <w:top w:val="nil"/>
                          <w:left w:val="nil"/>
                          <w:bottom w:val="nil"/>
                          <w:right w:val="nil"/>
                        </w:tcBorders>
                        <w:shd w:val="clear" w:color="auto" w:fill="auto"/>
                        <w:noWrap/>
                        <w:vAlign w:val="center"/>
                        <w:hideMark/>
                      </w:tcPr>
                      <w:p w:rsidR="00060299" w:rsidRPr="00A22FF9" w:rsidRDefault="00060299" w:rsidP="003B05B6">
                        <w:pPr>
                          <w:rPr>
                            <w:rFonts w:ascii="Arial" w:eastAsia="Times New Roman" w:hAnsi="Arial" w:cs="Arial"/>
                            <w:color w:val="000000"/>
                            <w:sz w:val="16"/>
                            <w:szCs w:val="16"/>
                            <w:lang w:eastAsia="es-EC"/>
                          </w:rPr>
                        </w:pPr>
                        <w:r w:rsidRPr="00A22FF9">
                          <w:rPr>
                            <w:rFonts w:ascii="Arial" w:eastAsia="Times New Roman" w:hAnsi="Arial" w:cs="Arial"/>
                            <w:color w:val="000000"/>
                            <w:sz w:val="16"/>
                            <w:szCs w:val="16"/>
                            <w:lang w:eastAsia="es-EC"/>
                          </w:rPr>
                          <w:t>0.018</w:t>
                        </w:r>
                      </w:p>
                    </w:tc>
                  </w:tr>
                  <w:tr w:rsidR="00060299" w:rsidRPr="00A22FF9" w:rsidTr="003B05B6">
                    <w:trPr>
                      <w:trHeight w:val="20"/>
                      <w:jc w:val="center"/>
                    </w:trPr>
                    <w:tc>
                      <w:tcPr>
                        <w:tcW w:w="1247" w:type="dxa"/>
                        <w:tcBorders>
                          <w:top w:val="nil"/>
                          <w:left w:val="nil"/>
                          <w:bottom w:val="single" w:sz="4" w:space="0" w:color="auto"/>
                          <w:right w:val="nil"/>
                        </w:tcBorders>
                        <w:shd w:val="clear" w:color="auto" w:fill="auto"/>
                        <w:noWrap/>
                        <w:vAlign w:val="center"/>
                        <w:hideMark/>
                      </w:tcPr>
                      <w:p w:rsidR="00060299" w:rsidRPr="00A22FF9" w:rsidRDefault="00060299" w:rsidP="00333696">
                        <w:pPr>
                          <w:jc w:val="left"/>
                          <w:rPr>
                            <w:rFonts w:ascii="Arial" w:eastAsia="Times New Roman" w:hAnsi="Arial" w:cs="Arial"/>
                            <w:b/>
                            <w:bCs/>
                            <w:i/>
                            <w:iCs/>
                            <w:color w:val="000000"/>
                            <w:sz w:val="16"/>
                            <w:szCs w:val="16"/>
                            <w:lang w:eastAsia="es-EC"/>
                          </w:rPr>
                        </w:pPr>
                        <w:r w:rsidRPr="00A22FF9">
                          <w:rPr>
                            <w:rFonts w:ascii="Arial" w:eastAsia="Times New Roman" w:hAnsi="Arial" w:cs="Arial"/>
                            <w:b/>
                            <w:bCs/>
                            <w:i/>
                            <w:iCs/>
                            <w:color w:val="000000"/>
                            <w:sz w:val="16"/>
                            <w:szCs w:val="16"/>
                            <w:lang w:eastAsia="es-EC"/>
                          </w:rPr>
                          <w:t>Total</w:t>
                        </w:r>
                      </w:p>
                    </w:tc>
                    <w:tc>
                      <w:tcPr>
                        <w:tcW w:w="985" w:type="dxa"/>
                        <w:tcBorders>
                          <w:top w:val="nil"/>
                          <w:left w:val="nil"/>
                          <w:bottom w:val="single" w:sz="4" w:space="0" w:color="auto"/>
                          <w:right w:val="nil"/>
                        </w:tcBorders>
                        <w:shd w:val="clear" w:color="auto" w:fill="auto"/>
                        <w:noWrap/>
                        <w:vAlign w:val="center"/>
                        <w:hideMark/>
                      </w:tcPr>
                      <w:p w:rsidR="00060299" w:rsidRPr="00A22FF9" w:rsidRDefault="00060299" w:rsidP="003B05B6">
                        <w:pPr>
                          <w:rPr>
                            <w:rFonts w:ascii="Arial" w:eastAsia="Times New Roman" w:hAnsi="Arial" w:cs="Arial"/>
                            <w:b/>
                            <w:bCs/>
                            <w:i/>
                            <w:iCs/>
                            <w:color w:val="000000"/>
                            <w:sz w:val="16"/>
                            <w:szCs w:val="16"/>
                            <w:lang w:eastAsia="es-EC"/>
                          </w:rPr>
                        </w:pPr>
                        <w:r w:rsidRPr="00A22FF9">
                          <w:rPr>
                            <w:rFonts w:ascii="Arial" w:eastAsia="Times New Roman" w:hAnsi="Arial" w:cs="Arial"/>
                            <w:b/>
                            <w:bCs/>
                            <w:i/>
                            <w:iCs/>
                            <w:color w:val="000000"/>
                            <w:sz w:val="16"/>
                            <w:szCs w:val="16"/>
                            <w:lang w:eastAsia="es-EC"/>
                          </w:rPr>
                          <w:t>1.000</w:t>
                        </w:r>
                      </w:p>
                    </w:tc>
                  </w:tr>
                </w:tbl>
                <w:p w:rsidR="00060299" w:rsidRDefault="00060299" w:rsidP="003B05B6">
                  <w:pPr>
                    <w:rPr>
                      <w:rFonts w:ascii="Arial" w:hAnsi="Arial" w:cs="Arial"/>
                      <w:sz w:val="24"/>
                      <w:szCs w:val="24"/>
                    </w:rPr>
                  </w:pPr>
                </w:p>
                <w:p w:rsidR="00060299" w:rsidRDefault="00060299" w:rsidP="003B05B6">
                  <w:pPr>
                    <w:rPr>
                      <w:rFonts w:ascii="Arial" w:hAnsi="Arial" w:cs="Arial"/>
                      <w:sz w:val="24"/>
                      <w:szCs w:val="24"/>
                    </w:rPr>
                  </w:pPr>
                </w:p>
              </w:tc>
              <w:tc>
                <w:tcPr>
                  <w:tcW w:w="146" w:type="dxa"/>
                </w:tcPr>
                <w:p w:rsidR="00060299" w:rsidRDefault="00060299" w:rsidP="003B05B6">
                  <w:pPr>
                    <w:rPr>
                      <w:rFonts w:ascii="Arial" w:hAnsi="Arial" w:cs="Arial"/>
                      <w:sz w:val="24"/>
                      <w:szCs w:val="24"/>
                    </w:rPr>
                  </w:pPr>
                </w:p>
              </w:tc>
              <w:tc>
                <w:tcPr>
                  <w:tcW w:w="160" w:type="dxa"/>
                </w:tcPr>
                <w:p w:rsidR="00060299" w:rsidRPr="00A22FF9" w:rsidRDefault="00060299" w:rsidP="003B05B6">
                  <w:pPr>
                    <w:rPr>
                      <w:rFonts w:ascii="Arial" w:hAnsi="Arial" w:cs="Arial"/>
                      <w:b/>
                      <w:sz w:val="16"/>
                      <w:szCs w:val="16"/>
                    </w:rPr>
                  </w:pPr>
                </w:p>
                <w:p w:rsidR="00060299" w:rsidRDefault="00060299" w:rsidP="003B05B6">
                  <w:pPr>
                    <w:rPr>
                      <w:rFonts w:ascii="Arial" w:hAnsi="Arial" w:cs="Arial"/>
                      <w:b/>
                      <w:sz w:val="16"/>
                      <w:szCs w:val="16"/>
                    </w:rPr>
                  </w:pPr>
                  <w:r w:rsidRPr="00A22FF9">
                    <w:rPr>
                      <w:rFonts w:ascii="Arial" w:hAnsi="Arial" w:cs="Arial"/>
                      <w:b/>
                      <w:sz w:val="16"/>
                      <w:szCs w:val="16"/>
                    </w:rPr>
                    <w:t>Histograma de Frecuencias</w:t>
                  </w:r>
                </w:p>
                <w:p w:rsidR="00060299" w:rsidRPr="00A22FF9" w:rsidRDefault="00060299" w:rsidP="003B05B6">
                  <w:pPr>
                    <w:rPr>
                      <w:rFonts w:ascii="Arial" w:hAnsi="Arial" w:cs="Arial"/>
                      <w:b/>
                      <w:sz w:val="16"/>
                      <w:szCs w:val="16"/>
                    </w:rPr>
                  </w:pPr>
                  <w:r>
                    <w:rPr>
                      <w:noProof/>
                      <w:lang w:eastAsia="es-EC"/>
                    </w:rPr>
                    <w:drawing>
                      <wp:inline distT="0" distB="0" distL="0" distR="0">
                        <wp:extent cx="2790825" cy="174307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060299" w:rsidRPr="00840530" w:rsidRDefault="00060299" w:rsidP="003B05B6">
            <w:pPr>
              <w:rPr>
                <w:rFonts w:ascii="Arial" w:hAnsi="Arial" w:cs="Arial"/>
                <w:sz w:val="24"/>
                <w:szCs w:val="24"/>
              </w:rPr>
            </w:pPr>
          </w:p>
        </w:tc>
      </w:tr>
    </w:tbl>
    <w:p w:rsidR="00060299" w:rsidRPr="00EF2741" w:rsidRDefault="00060299" w:rsidP="00EF2741">
      <w:pPr>
        <w:pStyle w:val="Prrafodelista"/>
        <w:spacing w:line="276" w:lineRule="auto"/>
        <w:ind w:left="851"/>
        <w:jc w:val="both"/>
        <w:rPr>
          <w:rFonts w:ascii="Arial" w:hAnsi="Arial" w:cs="Arial"/>
          <w:sz w:val="17"/>
          <w:szCs w:val="17"/>
        </w:rPr>
      </w:pPr>
    </w:p>
    <w:p w:rsidR="00060299" w:rsidRPr="00EF2741" w:rsidRDefault="00060299" w:rsidP="00EF2741">
      <w:pPr>
        <w:pStyle w:val="Prrafodelista"/>
        <w:spacing w:line="276" w:lineRule="auto"/>
        <w:ind w:left="851"/>
        <w:jc w:val="both"/>
        <w:rPr>
          <w:rFonts w:ascii="Arial" w:hAnsi="Arial" w:cs="Arial"/>
          <w:sz w:val="17"/>
          <w:szCs w:val="17"/>
        </w:rPr>
      </w:pPr>
      <w:r w:rsidRPr="00EF2741">
        <w:rPr>
          <w:rFonts w:ascii="Arial" w:hAnsi="Arial" w:cs="Arial"/>
          <w:b/>
          <w:i/>
          <w:sz w:val="17"/>
          <w:szCs w:val="17"/>
        </w:rPr>
        <w:t>Fuente:</w:t>
      </w:r>
      <w:r w:rsidRPr="00EF2741">
        <w:rPr>
          <w:rFonts w:ascii="Arial" w:hAnsi="Arial" w:cs="Arial"/>
          <w:sz w:val="17"/>
          <w:szCs w:val="17"/>
        </w:rPr>
        <w:t xml:space="preserve"> </w:t>
      </w:r>
      <w:r w:rsidRPr="00EF2741">
        <w:rPr>
          <w:rFonts w:ascii="Arial" w:hAnsi="Arial" w:cs="Arial"/>
          <w:b/>
          <w:sz w:val="17"/>
          <w:szCs w:val="17"/>
        </w:rPr>
        <w:t xml:space="preserve">INEC </w:t>
      </w:r>
      <w:r w:rsidRPr="00EF2741">
        <w:rPr>
          <w:rFonts w:ascii="Arial" w:hAnsi="Arial" w:cs="Arial"/>
          <w:sz w:val="17"/>
          <w:szCs w:val="17"/>
        </w:rPr>
        <w:t>(2010), Base de Datos del VII Censo de Población y VI de Vivienda.</w:t>
      </w:r>
    </w:p>
    <w:p w:rsidR="00060299" w:rsidRPr="00EF2741" w:rsidRDefault="00060299" w:rsidP="00EF2741">
      <w:pPr>
        <w:pStyle w:val="Prrafodelista"/>
        <w:spacing w:line="276" w:lineRule="auto"/>
        <w:ind w:left="851"/>
        <w:jc w:val="both"/>
        <w:rPr>
          <w:rFonts w:ascii="Arial" w:hAnsi="Arial" w:cs="Arial"/>
          <w:sz w:val="17"/>
          <w:szCs w:val="17"/>
        </w:rPr>
      </w:pPr>
      <w:r w:rsidRPr="00EF2741">
        <w:rPr>
          <w:rFonts w:ascii="Arial" w:hAnsi="Arial" w:cs="Arial"/>
          <w:b/>
          <w:i/>
          <w:sz w:val="17"/>
          <w:szCs w:val="17"/>
        </w:rPr>
        <w:t>Elaborado por:</w:t>
      </w:r>
      <w:r w:rsidRPr="00EF2741">
        <w:rPr>
          <w:rFonts w:ascii="Arial" w:hAnsi="Arial" w:cs="Arial"/>
          <w:sz w:val="17"/>
          <w:szCs w:val="17"/>
        </w:rPr>
        <w:t xml:space="preserve"> Katherine Loor Valeriano</w:t>
      </w:r>
    </w:p>
    <w:p w:rsidR="00060299" w:rsidRPr="00F7251C" w:rsidRDefault="00060299" w:rsidP="005E239A">
      <w:pPr>
        <w:pStyle w:val="Prrafodelista"/>
        <w:spacing w:line="480" w:lineRule="auto"/>
        <w:ind w:left="851"/>
        <w:jc w:val="both"/>
        <w:rPr>
          <w:rFonts w:ascii="Arial" w:hAnsi="Arial" w:cs="Arial"/>
        </w:rPr>
      </w:pPr>
    </w:p>
    <w:p w:rsidR="00060299" w:rsidRDefault="00060299" w:rsidP="005E239A">
      <w:pPr>
        <w:pStyle w:val="Prrafodelista"/>
        <w:spacing w:line="480" w:lineRule="auto"/>
        <w:ind w:left="851"/>
        <w:jc w:val="both"/>
        <w:rPr>
          <w:rFonts w:ascii="Arial" w:hAnsi="Arial" w:cs="Arial"/>
        </w:rPr>
      </w:pPr>
      <w:r>
        <w:rPr>
          <w:rFonts w:ascii="Arial" w:hAnsi="Arial" w:cs="Arial"/>
        </w:rPr>
        <w:t xml:space="preserve">Ahora nuestro interés se centra en conocer el país de nacimiento de los inmigrantes, para determinar cuáles son las nacionalidades extranjeras con mayor concentración en nuestro país. Pues como mostramos en el      </w:t>
      </w:r>
      <w:r>
        <w:rPr>
          <w:rFonts w:ascii="Arial" w:hAnsi="Arial" w:cs="Arial"/>
          <w:i/>
        </w:rPr>
        <w:t>Capítulo 1</w:t>
      </w:r>
      <w:r>
        <w:rPr>
          <w:rFonts w:ascii="Arial" w:hAnsi="Arial" w:cs="Arial"/>
        </w:rPr>
        <w:t xml:space="preserve"> de este trabajo, desde hace años atrás han sido los colombianos y peruanos quienes constituyen la mayor cantidad de inmigrantes residentes en el Ecuador; esa tendencia del pasado se continúa manteniendo, debido a que según resultados obtenidos desde el VII Censo de Población y VI de Vivienda cuyo empadronamiento se llevó a cabo en Noviembre de 2010, de los 181848 extranjeros que residen en el país el 49.45% son colombianos y el 8.62% son peruanos; una tasa bastante </w:t>
      </w:r>
      <w:r>
        <w:rPr>
          <w:rFonts w:ascii="Arial" w:hAnsi="Arial" w:cs="Arial"/>
        </w:rPr>
        <w:lastRenderedPageBreak/>
        <w:t xml:space="preserve">cercana a la de los peruanos presentan los estadounidenses pues alrededor del 8.26% de los extranjeros residentes en Ecuador nacieron en Estados Unidos. </w:t>
      </w:r>
    </w:p>
    <w:p w:rsidR="005E239A" w:rsidRDefault="005E239A" w:rsidP="005E239A">
      <w:pPr>
        <w:pStyle w:val="Prrafodelista"/>
        <w:spacing w:line="480" w:lineRule="auto"/>
        <w:ind w:left="851"/>
        <w:jc w:val="both"/>
        <w:rPr>
          <w:rFonts w:ascii="Arial" w:hAnsi="Arial" w:cs="Arial"/>
        </w:rPr>
      </w:pPr>
    </w:p>
    <w:p w:rsidR="00060299" w:rsidRPr="005B3D1B" w:rsidRDefault="00060299" w:rsidP="005E239A">
      <w:pPr>
        <w:pStyle w:val="Prrafodelista"/>
        <w:spacing w:line="480" w:lineRule="auto"/>
        <w:ind w:left="851"/>
        <w:jc w:val="both"/>
        <w:rPr>
          <w:rFonts w:ascii="Arial" w:hAnsi="Arial" w:cs="Arial"/>
          <w:i/>
        </w:rPr>
      </w:pPr>
      <w:r>
        <w:rPr>
          <w:rFonts w:ascii="Arial" w:hAnsi="Arial" w:cs="Arial"/>
        </w:rPr>
        <w:t xml:space="preserve">Además, podemos encontrar en nuestro país extranjeros de otras nacionalidades como española, cubana, venezolana; y, chilena en un porcentaje igual a 7.69%, 3.69%, 2.60%, y 2.39% respectivamente. En Ecuador además residen extranjeros que nacieron en más de 190 países distintos a nivel mundial, por mencionar algunos de ellos tenemos Taiwán, Corea del Sur, Pakistán, Egipto, Marruecos, Nueva Zelanda, Camerún, Sudáfrica, entre otros que no han siso mostrados en la tabla y están incluidos en la categoría </w:t>
      </w:r>
      <w:r>
        <w:rPr>
          <w:rFonts w:ascii="Arial" w:hAnsi="Arial" w:cs="Arial"/>
          <w:i/>
        </w:rPr>
        <w:t>Otros países</w:t>
      </w:r>
      <w:r>
        <w:rPr>
          <w:rFonts w:ascii="Arial" w:hAnsi="Arial" w:cs="Arial"/>
        </w:rPr>
        <w:t xml:space="preserve">. </w:t>
      </w:r>
      <w:r>
        <w:rPr>
          <w:rFonts w:ascii="Arial" w:hAnsi="Arial" w:cs="Arial"/>
          <w:i/>
        </w:rPr>
        <w:t>Véase Figura 3.6.</w:t>
      </w:r>
    </w:p>
    <w:tbl>
      <w:tblPr>
        <w:tblStyle w:val="Tablaconcuadrcula"/>
        <w:tblW w:w="7497" w:type="dxa"/>
        <w:jc w:val="right"/>
        <w:tblInd w:w="103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5E239A">
        <w:trPr>
          <w:trHeight w:val="5524"/>
          <w:jc w:val="right"/>
        </w:trPr>
        <w:tc>
          <w:tcPr>
            <w:tcW w:w="7497" w:type="dxa"/>
          </w:tcPr>
          <w:p w:rsidR="00060299" w:rsidRPr="00840530" w:rsidRDefault="00060299" w:rsidP="003B05B6">
            <w:pPr>
              <w:rPr>
                <w:rFonts w:ascii="Arial" w:hAnsi="Arial" w:cs="Arial"/>
                <w:sz w:val="16"/>
                <w:szCs w:val="16"/>
              </w:rPr>
            </w:pPr>
          </w:p>
          <w:p w:rsidR="00B73924" w:rsidRPr="00B73924" w:rsidRDefault="00B73924" w:rsidP="00B73924">
            <w:pPr>
              <w:pStyle w:val="Epgrafe"/>
              <w:rPr>
                <w:rFonts w:ascii="Arial" w:hAnsi="Arial" w:cs="Arial"/>
                <w:bCs w:val="0"/>
                <w:color w:val="auto"/>
                <w:sz w:val="16"/>
                <w:szCs w:val="16"/>
              </w:rPr>
            </w:pPr>
            <w:bookmarkStart w:id="372" w:name="_Toc341043405"/>
            <w:r>
              <w:rPr>
                <w:rFonts w:ascii="Arial" w:hAnsi="Arial" w:cs="Arial"/>
                <w:bCs w:val="0"/>
                <w:color w:val="auto"/>
                <w:sz w:val="16"/>
                <w:szCs w:val="16"/>
              </w:rPr>
              <w:t>Figura 3.</w:t>
            </w:r>
            <w:r w:rsidR="00990535" w:rsidRPr="00B73924">
              <w:rPr>
                <w:rFonts w:ascii="Arial" w:hAnsi="Arial" w:cs="Arial"/>
                <w:bCs w:val="0"/>
                <w:color w:val="auto"/>
                <w:sz w:val="16"/>
                <w:szCs w:val="16"/>
              </w:rPr>
              <w:fldChar w:fldCharType="begin"/>
            </w:r>
            <w:r w:rsidRPr="00B73924">
              <w:rPr>
                <w:rFonts w:ascii="Arial" w:hAnsi="Arial" w:cs="Arial"/>
                <w:bCs w:val="0"/>
                <w:color w:val="auto"/>
                <w:sz w:val="16"/>
                <w:szCs w:val="16"/>
              </w:rPr>
              <w:instrText xml:space="preserve"> SEQ Figura_3. \* ARABIC </w:instrText>
            </w:r>
            <w:r w:rsidR="00990535" w:rsidRPr="00B73924">
              <w:rPr>
                <w:rFonts w:ascii="Arial" w:hAnsi="Arial" w:cs="Arial"/>
                <w:bCs w:val="0"/>
                <w:color w:val="auto"/>
                <w:sz w:val="16"/>
                <w:szCs w:val="16"/>
              </w:rPr>
              <w:fldChar w:fldCharType="separate"/>
            </w:r>
            <w:r w:rsidR="00A242E0">
              <w:rPr>
                <w:rFonts w:ascii="Arial" w:hAnsi="Arial" w:cs="Arial"/>
                <w:bCs w:val="0"/>
                <w:noProof/>
                <w:color w:val="auto"/>
                <w:sz w:val="16"/>
                <w:szCs w:val="16"/>
              </w:rPr>
              <w:t>6</w:t>
            </w:r>
            <w:bookmarkEnd w:id="372"/>
            <w:r w:rsidR="00990535" w:rsidRPr="00B73924">
              <w:rPr>
                <w:rFonts w:ascii="Arial" w:hAnsi="Arial" w:cs="Arial"/>
                <w:bCs w:val="0"/>
                <w:color w:val="auto"/>
                <w:sz w:val="16"/>
                <w:szCs w:val="16"/>
              </w:rPr>
              <w:fldChar w:fldCharType="end"/>
            </w:r>
          </w:p>
          <w:p w:rsidR="00060299" w:rsidRDefault="005E239A"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Frecuencia Relativa de inmigrantes por País de nacimiento</w:t>
            </w:r>
          </w:p>
          <w:tbl>
            <w:tblPr>
              <w:tblStyle w:val="Tablaconcuadrcula"/>
              <w:tblW w:w="71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756"/>
              <w:gridCol w:w="156"/>
              <w:gridCol w:w="4209"/>
            </w:tblGrid>
            <w:tr w:rsidR="00060299" w:rsidRPr="00A22FF9" w:rsidTr="005E239A">
              <w:trPr>
                <w:trHeight w:val="4825"/>
                <w:jc w:val="center"/>
              </w:trPr>
              <w:tc>
                <w:tcPr>
                  <w:tcW w:w="2822" w:type="dxa"/>
                </w:tcPr>
                <w:p w:rsidR="00060299" w:rsidRDefault="00060299" w:rsidP="003B05B6">
                  <w:pPr>
                    <w:rPr>
                      <w:rFonts w:ascii="Arial" w:hAnsi="Arial" w:cs="Arial"/>
                      <w:b/>
                      <w:sz w:val="16"/>
                      <w:szCs w:val="16"/>
                    </w:rPr>
                  </w:pPr>
                  <w:r w:rsidRPr="005400D0">
                    <w:rPr>
                      <w:noProof/>
                      <w:sz w:val="10"/>
                      <w:szCs w:val="10"/>
                      <w:lang w:eastAsia="es-EC"/>
                    </w:rPr>
                    <w:t xml:space="preserve"> </w:t>
                  </w:r>
                </w:p>
                <w:p w:rsidR="00060299" w:rsidRPr="00A22FF9" w:rsidRDefault="00060299" w:rsidP="003B05B6">
                  <w:pPr>
                    <w:ind w:left="201"/>
                    <w:rPr>
                      <w:rFonts w:ascii="Arial" w:hAnsi="Arial" w:cs="Arial"/>
                      <w:b/>
                      <w:sz w:val="16"/>
                      <w:szCs w:val="16"/>
                    </w:rPr>
                  </w:pPr>
                  <w:r w:rsidRPr="00A22FF9">
                    <w:rPr>
                      <w:rFonts w:ascii="Arial" w:hAnsi="Arial" w:cs="Arial"/>
                      <w:b/>
                      <w:sz w:val="16"/>
                      <w:szCs w:val="16"/>
                    </w:rPr>
                    <w:t>Tabla de Frecuencias</w:t>
                  </w:r>
                </w:p>
                <w:p w:rsidR="00060299" w:rsidRDefault="00060299" w:rsidP="003B05B6">
                  <w:pPr>
                    <w:rPr>
                      <w:rFonts w:ascii="Arial" w:hAnsi="Arial" w:cs="Arial"/>
                      <w:sz w:val="10"/>
                      <w:szCs w:val="10"/>
                    </w:rPr>
                  </w:pPr>
                </w:p>
                <w:tbl>
                  <w:tblPr>
                    <w:tblW w:w="2438" w:type="dxa"/>
                    <w:jc w:val="right"/>
                    <w:tblCellMar>
                      <w:left w:w="70" w:type="dxa"/>
                      <w:right w:w="70" w:type="dxa"/>
                    </w:tblCellMar>
                    <w:tblLook w:val="04A0" w:firstRow="1" w:lastRow="0" w:firstColumn="1" w:lastColumn="0" w:noHBand="0" w:noVBand="1"/>
                  </w:tblPr>
                  <w:tblGrid>
                    <w:gridCol w:w="1304"/>
                    <w:gridCol w:w="1134"/>
                  </w:tblGrid>
                  <w:tr w:rsidR="00060299" w:rsidRPr="00965695" w:rsidTr="003B05B6">
                    <w:trPr>
                      <w:trHeight w:val="227"/>
                      <w:jc w:val="right"/>
                    </w:trPr>
                    <w:tc>
                      <w:tcPr>
                        <w:tcW w:w="1304" w:type="dxa"/>
                        <w:tcBorders>
                          <w:top w:val="single" w:sz="4" w:space="0" w:color="auto"/>
                          <w:left w:val="nil"/>
                          <w:bottom w:val="single" w:sz="4" w:space="0" w:color="auto"/>
                          <w:right w:val="nil"/>
                        </w:tcBorders>
                        <w:shd w:val="clear" w:color="auto" w:fill="auto"/>
                        <w:vAlign w:val="center"/>
                        <w:hideMark/>
                      </w:tcPr>
                      <w:p w:rsidR="00060299" w:rsidRPr="00965695" w:rsidRDefault="00060299" w:rsidP="003B05B6">
                        <w:pPr>
                          <w:rPr>
                            <w:rFonts w:ascii="Arial" w:eastAsia="Times New Roman" w:hAnsi="Arial" w:cs="Arial"/>
                            <w:b/>
                            <w:bCs/>
                            <w:color w:val="000000"/>
                            <w:sz w:val="16"/>
                            <w:szCs w:val="16"/>
                            <w:lang w:eastAsia="es-EC"/>
                          </w:rPr>
                        </w:pPr>
                        <w:r w:rsidRPr="00965695">
                          <w:rPr>
                            <w:rFonts w:ascii="Arial" w:eastAsia="Times New Roman" w:hAnsi="Arial" w:cs="Arial"/>
                            <w:b/>
                            <w:bCs/>
                            <w:color w:val="000000"/>
                            <w:sz w:val="16"/>
                            <w:szCs w:val="16"/>
                            <w:lang w:eastAsia="es-EC"/>
                          </w:rPr>
                          <w:t>País</w:t>
                        </w:r>
                      </w:p>
                    </w:tc>
                    <w:tc>
                      <w:tcPr>
                        <w:tcW w:w="1134" w:type="dxa"/>
                        <w:tcBorders>
                          <w:top w:val="single" w:sz="4" w:space="0" w:color="auto"/>
                          <w:left w:val="nil"/>
                          <w:bottom w:val="single" w:sz="4" w:space="0" w:color="auto"/>
                          <w:right w:val="nil"/>
                        </w:tcBorders>
                        <w:shd w:val="clear" w:color="auto" w:fill="auto"/>
                        <w:vAlign w:val="center"/>
                        <w:hideMark/>
                      </w:tcPr>
                      <w:p w:rsidR="00060299" w:rsidRPr="00965695" w:rsidRDefault="00060299" w:rsidP="003B05B6">
                        <w:pPr>
                          <w:rPr>
                            <w:rFonts w:ascii="Arial" w:eastAsia="Times New Roman" w:hAnsi="Arial" w:cs="Arial"/>
                            <w:b/>
                            <w:bCs/>
                            <w:color w:val="000000"/>
                            <w:sz w:val="16"/>
                            <w:szCs w:val="16"/>
                            <w:lang w:eastAsia="es-EC"/>
                          </w:rPr>
                        </w:pPr>
                        <w:r w:rsidRPr="00965695">
                          <w:rPr>
                            <w:rFonts w:ascii="Arial" w:eastAsia="Times New Roman" w:hAnsi="Arial" w:cs="Arial"/>
                            <w:b/>
                            <w:bCs/>
                            <w:color w:val="000000"/>
                            <w:sz w:val="16"/>
                            <w:szCs w:val="16"/>
                            <w:lang w:eastAsia="es-EC"/>
                          </w:rPr>
                          <w:t>Frecuencia Relativa</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Colombia</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0.495</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Perú</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0.086</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Estados Unidos</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0.083</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España</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0.077</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Cuba</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0.037</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Venezuela</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0.026</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Chile</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0.024</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Italia</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0.017</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China</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0.016</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Argentina</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0.013</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Alemania</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0.009</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Brasil</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0.007</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México</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0.007</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Francia</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0.005</w:t>
                        </w:r>
                      </w:p>
                    </w:tc>
                  </w:tr>
                  <w:tr w:rsidR="00060299" w:rsidRPr="00965695" w:rsidTr="005E239A">
                    <w:trPr>
                      <w:trHeight w:val="215"/>
                      <w:jc w:val="right"/>
                    </w:trPr>
                    <w:tc>
                      <w:tcPr>
                        <w:tcW w:w="1304" w:type="dxa"/>
                        <w:tcBorders>
                          <w:top w:val="nil"/>
                          <w:left w:val="nil"/>
                          <w:bottom w:val="nil"/>
                          <w:right w:val="nil"/>
                        </w:tcBorders>
                        <w:shd w:val="clear" w:color="auto" w:fill="auto"/>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Reino Unido</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0.005</w:t>
                        </w:r>
                      </w:p>
                    </w:tc>
                  </w:tr>
                  <w:tr w:rsidR="00060299" w:rsidRPr="00965695" w:rsidTr="005E239A">
                    <w:trPr>
                      <w:trHeight w:val="215"/>
                      <w:jc w:val="right"/>
                    </w:trPr>
                    <w:tc>
                      <w:tcPr>
                        <w:tcW w:w="1304" w:type="dxa"/>
                        <w:tcBorders>
                          <w:top w:val="nil"/>
                          <w:left w:val="nil"/>
                          <w:bottom w:val="nil"/>
                          <w:right w:val="nil"/>
                        </w:tcBorders>
                        <w:shd w:val="clear" w:color="auto" w:fill="auto"/>
                        <w:noWrap/>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Otros países</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0.076</w:t>
                        </w:r>
                      </w:p>
                    </w:tc>
                  </w:tr>
                  <w:tr w:rsidR="00060299" w:rsidRPr="00965695" w:rsidTr="005E239A">
                    <w:trPr>
                      <w:trHeight w:val="215"/>
                      <w:jc w:val="right"/>
                    </w:trPr>
                    <w:tc>
                      <w:tcPr>
                        <w:tcW w:w="1304" w:type="dxa"/>
                        <w:tcBorders>
                          <w:top w:val="nil"/>
                          <w:left w:val="nil"/>
                          <w:bottom w:val="nil"/>
                          <w:right w:val="nil"/>
                        </w:tcBorders>
                        <w:shd w:val="clear" w:color="auto" w:fill="auto"/>
                        <w:noWrap/>
                        <w:vAlign w:val="center"/>
                        <w:hideMark/>
                      </w:tcPr>
                      <w:p w:rsidR="00060299" w:rsidRPr="00965695" w:rsidRDefault="00060299" w:rsidP="00B73924">
                        <w:pPr>
                          <w:jc w:val="left"/>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No especifica</w:t>
                        </w:r>
                      </w:p>
                    </w:tc>
                    <w:tc>
                      <w:tcPr>
                        <w:tcW w:w="1134" w:type="dxa"/>
                        <w:tcBorders>
                          <w:top w:val="nil"/>
                          <w:left w:val="nil"/>
                          <w:bottom w:val="nil"/>
                          <w:right w:val="nil"/>
                        </w:tcBorders>
                        <w:shd w:val="clear" w:color="auto" w:fill="auto"/>
                        <w:noWrap/>
                        <w:vAlign w:val="center"/>
                        <w:hideMark/>
                      </w:tcPr>
                      <w:p w:rsidR="00060299" w:rsidRPr="00965695" w:rsidRDefault="00060299" w:rsidP="003B05B6">
                        <w:pPr>
                          <w:rPr>
                            <w:rFonts w:ascii="Arial" w:eastAsia="Times New Roman" w:hAnsi="Arial" w:cs="Arial"/>
                            <w:color w:val="000000"/>
                            <w:sz w:val="16"/>
                            <w:szCs w:val="16"/>
                            <w:lang w:eastAsia="es-EC"/>
                          </w:rPr>
                        </w:pPr>
                        <w:r w:rsidRPr="00965695">
                          <w:rPr>
                            <w:rFonts w:ascii="Arial" w:eastAsia="Times New Roman" w:hAnsi="Arial" w:cs="Arial"/>
                            <w:color w:val="000000"/>
                            <w:sz w:val="16"/>
                            <w:szCs w:val="16"/>
                            <w:lang w:eastAsia="es-EC"/>
                          </w:rPr>
                          <w:t>0.018</w:t>
                        </w:r>
                      </w:p>
                    </w:tc>
                  </w:tr>
                  <w:tr w:rsidR="00060299" w:rsidRPr="00965695" w:rsidTr="005E239A">
                    <w:trPr>
                      <w:trHeight w:val="215"/>
                      <w:jc w:val="right"/>
                    </w:trPr>
                    <w:tc>
                      <w:tcPr>
                        <w:tcW w:w="1304" w:type="dxa"/>
                        <w:tcBorders>
                          <w:top w:val="nil"/>
                          <w:left w:val="nil"/>
                          <w:bottom w:val="single" w:sz="4" w:space="0" w:color="auto"/>
                          <w:right w:val="nil"/>
                        </w:tcBorders>
                        <w:shd w:val="clear" w:color="auto" w:fill="auto"/>
                        <w:noWrap/>
                        <w:vAlign w:val="center"/>
                        <w:hideMark/>
                      </w:tcPr>
                      <w:p w:rsidR="00060299" w:rsidRPr="00965695" w:rsidRDefault="00060299" w:rsidP="00B73924">
                        <w:pPr>
                          <w:jc w:val="left"/>
                          <w:rPr>
                            <w:rFonts w:ascii="Arial" w:eastAsia="Times New Roman" w:hAnsi="Arial" w:cs="Arial"/>
                            <w:b/>
                            <w:bCs/>
                            <w:i/>
                            <w:iCs/>
                            <w:color w:val="000000"/>
                            <w:sz w:val="16"/>
                            <w:szCs w:val="16"/>
                            <w:lang w:eastAsia="es-EC"/>
                          </w:rPr>
                        </w:pPr>
                        <w:r w:rsidRPr="00965695">
                          <w:rPr>
                            <w:rFonts w:ascii="Arial" w:eastAsia="Times New Roman" w:hAnsi="Arial" w:cs="Arial"/>
                            <w:b/>
                            <w:bCs/>
                            <w:i/>
                            <w:iCs/>
                            <w:color w:val="000000"/>
                            <w:sz w:val="16"/>
                            <w:szCs w:val="16"/>
                            <w:lang w:eastAsia="es-EC"/>
                          </w:rPr>
                          <w:t>Total</w:t>
                        </w:r>
                      </w:p>
                    </w:tc>
                    <w:tc>
                      <w:tcPr>
                        <w:tcW w:w="1134" w:type="dxa"/>
                        <w:tcBorders>
                          <w:top w:val="nil"/>
                          <w:left w:val="nil"/>
                          <w:bottom w:val="single" w:sz="4" w:space="0" w:color="auto"/>
                          <w:right w:val="nil"/>
                        </w:tcBorders>
                        <w:shd w:val="clear" w:color="auto" w:fill="auto"/>
                        <w:noWrap/>
                        <w:vAlign w:val="center"/>
                        <w:hideMark/>
                      </w:tcPr>
                      <w:p w:rsidR="00060299" w:rsidRPr="00965695" w:rsidRDefault="00060299" w:rsidP="003B05B6">
                        <w:pPr>
                          <w:rPr>
                            <w:rFonts w:ascii="Arial" w:eastAsia="Times New Roman" w:hAnsi="Arial" w:cs="Arial"/>
                            <w:b/>
                            <w:bCs/>
                            <w:i/>
                            <w:iCs/>
                            <w:color w:val="000000"/>
                            <w:sz w:val="16"/>
                            <w:szCs w:val="16"/>
                            <w:lang w:eastAsia="es-EC"/>
                          </w:rPr>
                        </w:pPr>
                        <w:r w:rsidRPr="00965695">
                          <w:rPr>
                            <w:rFonts w:ascii="Arial" w:eastAsia="Times New Roman" w:hAnsi="Arial" w:cs="Arial"/>
                            <w:b/>
                            <w:bCs/>
                            <w:i/>
                            <w:iCs/>
                            <w:color w:val="000000"/>
                            <w:sz w:val="16"/>
                            <w:szCs w:val="16"/>
                            <w:lang w:eastAsia="es-EC"/>
                          </w:rPr>
                          <w:t>1.000</w:t>
                        </w:r>
                      </w:p>
                    </w:tc>
                  </w:tr>
                </w:tbl>
                <w:p w:rsidR="00060299" w:rsidRDefault="00060299" w:rsidP="005E239A">
                  <w:pPr>
                    <w:ind w:left="0"/>
                    <w:jc w:val="both"/>
                    <w:rPr>
                      <w:rFonts w:ascii="Arial" w:hAnsi="Arial" w:cs="Arial"/>
                      <w:sz w:val="24"/>
                      <w:szCs w:val="24"/>
                    </w:rPr>
                  </w:pPr>
                </w:p>
              </w:tc>
              <w:tc>
                <w:tcPr>
                  <w:tcW w:w="160" w:type="dxa"/>
                </w:tcPr>
                <w:p w:rsidR="00060299" w:rsidRDefault="00060299" w:rsidP="003B05B6">
                  <w:pPr>
                    <w:rPr>
                      <w:rFonts w:ascii="Arial" w:hAnsi="Arial" w:cs="Arial"/>
                      <w:sz w:val="24"/>
                      <w:szCs w:val="24"/>
                    </w:rPr>
                  </w:pPr>
                </w:p>
              </w:tc>
              <w:tc>
                <w:tcPr>
                  <w:tcW w:w="4139" w:type="dxa"/>
                </w:tcPr>
                <w:p w:rsidR="00060299" w:rsidRPr="00A22FF9" w:rsidRDefault="00060299" w:rsidP="003B05B6">
                  <w:pPr>
                    <w:rPr>
                      <w:rFonts w:ascii="Arial" w:hAnsi="Arial" w:cs="Arial"/>
                      <w:b/>
                      <w:sz w:val="16"/>
                      <w:szCs w:val="16"/>
                    </w:rPr>
                  </w:pPr>
                </w:p>
                <w:p w:rsidR="00060299" w:rsidRDefault="00060299" w:rsidP="003B05B6">
                  <w:pPr>
                    <w:rPr>
                      <w:rFonts w:ascii="Arial" w:hAnsi="Arial" w:cs="Arial"/>
                      <w:b/>
                      <w:sz w:val="16"/>
                      <w:szCs w:val="16"/>
                    </w:rPr>
                  </w:pPr>
                  <w:r w:rsidRPr="00A22FF9">
                    <w:rPr>
                      <w:rFonts w:ascii="Arial" w:hAnsi="Arial" w:cs="Arial"/>
                      <w:b/>
                      <w:sz w:val="16"/>
                      <w:szCs w:val="16"/>
                    </w:rPr>
                    <w:t>Histograma de Frecuencias</w:t>
                  </w:r>
                </w:p>
                <w:p w:rsidR="00060299" w:rsidRPr="00A22FF9" w:rsidRDefault="00060299" w:rsidP="003B05B6">
                  <w:pPr>
                    <w:rPr>
                      <w:rFonts w:ascii="Arial" w:hAnsi="Arial" w:cs="Arial"/>
                      <w:b/>
                      <w:sz w:val="16"/>
                      <w:szCs w:val="16"/>
                    </w:rPr>
                  </w:pPr>
                  <w:r>
                    <w:rPr>
                      <w:noProof/>
                      <w:lang w:eastAsia="es-EC"/>
                    </w:rPr>
                    <w:drawing>
                      <wp:inline distT="0" distB="0" distL="0" distR="0">
                        <wp:extent cx="2562225" cy="28575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060299" w:rsidRPr="00840530" w:rsidRDefault="00060299" w:rsidP="003B05B6">
            <w:pPr>
              <w:rPr>
                <w:rFonts w:ascii="Arial" w:hAnsi="Arial" w:cs="Arial"/>
                <w:sz w:val="24"/>
                <w:szCs w:val="24"/>
              </w:rPr>
            </w:pPr>
          </w:p>
        </w:tc>
      </w:tr>
    </w:tbl>
    <w:p w:rsidR="00060299" w:rsidRPr="005E239A" w:rsidRDefault="00060299" w:rsidP="005E239A">
      <w:pPr>
        <w:pStyle w:val="Prrafodelista"/>
        <w:tabs>
          <w:tab w:val="left" w:pos="3270"/>
        </w:tabs>
        <w:spacing w:line="276" w:lineRule="auto"/>
        <w:ind w:left="851"/>
        <w:jc w:val="left"/>
        <w:rPr>
          <w:rFonts w:ascii="Arial" w:hAnsi="Arial" w:cs="Arial"/>
          <w:sz w:val="17"/>
          <w:szCs w:val="17"/>
        </w:rPr>
      </w:pPr>
    </w:p>
    <w:p w:rsidR="00060299" w:rsidRPr="005E239A" w:rsidRDefault="00060299" w:rsidP="005E239A">
      <w:pPr>
        <w:pStyle w:val="Prrafodelista"/>
        <w:spacing w:line="276" w:lineRule="auto"/>
        <w:ind w:left="851"/>
        <w:jc w:val="left"/>
        <w:rPr>
          <w:rFonts w:ascii="Arial" w:hAnsi="Arial" w:cs="Arial"/>
          <w:sz w:val="17"/>
          <w:szCs w:val="17"/>
        </w:rPr>
      </w:pPr>
      <w:r w:rsidRPr="005E239A">
        <w:rPr>
          <w:rFonts w:ascii="Arial" w:hAnsi="Arial" w:cs="Arial"/>
          <w:b/>
          <w:i/>
          <w:sz w:val="17"/>
          <w:szCs w:val="17"/>
        </w:rPr>
        <w:t>Fuente:</w:t>
      </w:r>
      <w:r w:rsidRPr="005E239A">
        <w:rPr>
          <w:rFonts w:ascii="Arial" w:hAnsi="Arial" w:cs="Arial"/>
          <w:sz w:val="17"/>
          <w:szCs w:val="17"/>
        </w:rPr>
        <w:t xml:space="preserve"> </w:t>
      </w:r>
      <w:r w:rsidRPr="005E239A">
        <w:rPr>
          <w:rFonts w:ascii="Arial" w:hAnsi="Arial" w:cs="Arial"/>
          <w:b/>
          <w:sz w:val="17"/>
          <w:szCs w:val="17"/>
        </w:rPr>
        <w:t xml:space="preserve">INEC </w:t>
      </w:r>
      <w:r w:rsidRPr="005E239A">
        <w:rPr>
          <w:rFonts w:ascii="Arial" w:hAnsi="Arial" w:cs="Arial"/>
          <w:sz w:val="17"/>
          <w:szCs w:val="17"/>
        </w:rPr>
        <w:t>(2010), Base de Datos del VII Censo de Población y VI de Vivienda.</w:t>
      </w:r>
    </w:p>
    <w:p w:rsidR="00060299" w:rsidRPr="00480AFA" w:rsidRDefault="00060299" w:rsidP="005E239A">
      <w:pPr>
        <w:pStyle w:val="Prrafodelista"/>
        <w:spacing w:line="276" w:lineRule="auto"/>
        <w:ind w:left="851"/>
        <w:jc w:val="left"/>
        <w:rPr>
          <w:rFonts w:ascii="Arial" w:hAnsi="Arial" w:cs="Arial"/>
          <w:sz w:val="18"/>
          <w:szCs w:val="18"/>
        </w:rPr>
      </w:pPr>
      <w:r w:rsidRPr="005E239A">
        <w:rPr>
          <w:rFonts w:ascii="Arial" w:hAnsi="Arial" w:cs="Arial"/>
          <w:b/>
          <w:i/>
          <w:sz w:val="17"/>
          <w:szCs w:val="17"/>
        </w:rPr>
        <w:t>Elaborado por:</w:t>
      </w:r>
      <w:r w:rsidRPr="005E239A">
        <w:rPr>
          <w:rFonts w:ascii="Arial" w:hAnsi="Arial" w:cs="Arial"/>
          <w:sz w:val="17"/>
          <w:szCs w:val="17"/>
        </w:rPr>
        <w:t xml:space="preserve"> Katherine Loor Valeriano</w:t>
      </w:r>
    </w:p>
    <w:p w:rsidR="00060299" w:rsidRDefault="00060299" w:rsidP="005E239A">
      <w:pPr>
        <w:pStyle w:val="TesisTitulo1"/>
        <w:ind w:left="851"/>
      </w:pPr>
      <w:bookmarkStart w:id="373" w:name="_Toc331941464"/>
      <w:bookmarkStart w:id="374" w:name="_Toc335850594"/>
      <w:bookmarkStart w:id="375" w:name="_Toc341040646"/>
      <w:r>
        <w:lastRenderedPageBreak/>
        <w:t>Año de llegada al Ecuador</w:t>
      </w:r>
      <w:bookmarkEnd w:id="373"/>
      <w:bookmarkEnd w:id="374"/>
      <w:bookmarkEnd w:id="375"/>
    </w:p>
    <w:p w:rsidR="00060299" w:rsidRDefault="00060299" w:rsidP="005E239A">
      <w:pPr>
        <w:spacing w:line="480" w:lineRule="auto"/>
        <w:ind w:left="851"/>
        <w:jc w:val="both"/>
        <w:rPr>
          <w:rFonts w:ascii="Arial" w:hAnsi="Arial" w:cs="Arial"/>
        </w:rPr>
      </w:pPr>
      <w:r>
        <w:rPr>
          <w:rFonts w:ascii="Arial" w:hAnsi="Arial" w:cs="Arial"/>
        </w:rPr>
        <w:t xml:space="preserve">De los inmigrantes extranjeros residentes en el país que fueron empadronados en el último Censo de Población y Vivienda del Ecuador (año 2010); se registró un extranjero que llegó al país en el año 1908; además se tiene un inmigrante que llegó en 1910 y otro en el año 1915. </w:t>
      </w:r>
      <w:r w:rsidR="00F91C02">
        <w:rPr>
          <w:rFonts w:ascii="Arial" w:hAnsi="Arial" w:cs="Arial"/>
        </w:rPr>
        <w:t>Q</w:t>
      </w:r>
      <w:r>
        <w:rPr>
          <w:rFonts w:ascii="Arial" w:hAnsi="Arial" w:cs="Arial"/>
        </w:rPr>
        <w:t xml:space="preserve">uienes llegaron a partir del año 1970 constituyen la mayoría, aunque es más notorio el incremento del total de inmigrantes por año a partir del año 1990 hasta la actualidad, </w:t>
      </w:r>
      <w:r>
        <w:rPr>
          <w:rFonts w:ascii="Arial" w:hAnsi="Arial" w:cs="Arial"/>
          <w:i/>
        </w:rPr>
        <w:t>véase</w:t>
      </w:r>
      <w:r>
        <w:rPr>
          <w:rFonts w:ascii="Arial" w:hAnsi="Arial" w:cs="Arial"/>
        </w:rPr>
        <w:t xml:space="preserve"> </w:t>
      </w:r>
      <w:r>
        <w:rPr>
          <w:rFonts w:ascii="Arial" w:hAnsi="Arial" w:cs="Arial"/>
          <w:i/>
        </w:rPr>
        <w:t>Figura 3.8</w:t>
      </w:r>
      <w:r>
        <w:rPr>
          <w:rFonts w:ascii="Arial" w:hAnsi="Arial" w:cs="Arial"/>
        </w:rPr>
        <w:t xml:space="preserve">. </w:t>
      </w:r>
    </w:p>
    <w:p w:rsidR="00060299" w:rsidRDefault="00060299" w:rsidP="005E239A">
      <w:pPr>
        <w:spacing w:line="480" w:lineRule="auto"/>
        <w:ind w:left="851"/>
        <w:jc w:val="both"/>
        <w:rPr>
          <w:rFonts w:ascii="Arial" w:hAnsi="Arial" w:cs="Arial"/>
        </w:rPr>
      </w:pPr>
    </w:p>
    <w:p w:rsidR="00060299" w:rsidRDefault="00060299" w:rsidP="005E239A">
      <w:pPr>
        <w:spacing w:line="480" w:lineRule="auto"/>
        <w:ind w:left="851"/>
        <w:jc w:val="both"/>
        <w:rPr>
          <w:rFonts w:ascii="Arial" w:hAnsi="Arial" w:cs="Arial"/>
        </w:rPr>
      </w:pPr>
      <w:r>
        <w:rPr>
          <w:rFonts w:ascii="Arial" w:hAnsi="Arial" w:cs="Arial"/>
        </w:rPr>
        <w:t xml:space="preserve">Además podemos notar en la </w:t>
      </w:r>
      <w:r>
        <w:rPr>
          <w:rFonts w:ascii="Arial" w:hAnsi="Arial" w:cs="Arial"/>
          <w:i/>
        </w:rPr>
        <w:t>Figura 3.7</w:t>
      </w:r>
      <w:r>
        <w:rPr>
          <w:rFonts w:ascii="Arial" w:hAnsi="Arial" w:cs="Arial"/>
        </w:rPr>
        <w:t>, que alrededor del 14.50% de los extranjeros residentes en el país tienen menos de un año viviendo en Ecuador, el 55.60% han vivido habitualmente en el país durante uno y veinte años, el 11.90% tienen entre veinte y cuarenta años; y, existen un 0.10% que tienen entre ochenta y cien años desde su llegada al territorio ecuatoriano.</w:t>
      </w:r>
    </w:p>
    <w:tbl>
      <w:tblPr>
        <w:tblStyle w:val="Tablaconcuadrcula"/>
        <w:tblW w:w="7497" w:type="dxa"/>
        <w:jc w:val="right"/>
        <w:tblInd w:w="111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36"/>
      </w:tblGrid>
      <w:tr w:rsidR="00060299" w:rsidRPr="00840530" w:rsidTr="005E239A">
        <w:trPr>
          <w:trHeight w:val="3733"/>
          <w:jc w:val="right"/>
        </w:trPr>
        <w:tc>
          <w:tcPr>
            <w:tcW w:w="7497" w:type="dxa"/>
          </w:tcPr>
          <w:p w:rsidR="00060299" w:rsidRPr="00840530" w:rsidRDefault="00060299" w:rsidP="003B05B6">
            <w:pPr>
              <w:rPr>
                <w:rFonts w:ascii="Arial" w:hAnsi="Arial" w:cs="Arial"/>
                <w:sz w:val="16"/>
                <w:szCs w:val="16"/>
              </w:rPr>
            </w:pPr>
          </w:p>
          <w:p w:rsidR="00333696" w:rsidRPr="00333696" w:rsidRDefault="00333696" w:rsidP="00333696">
            <w:pPr>
              <w:keepNext/>
              <w:rPr>
                <w:rFonts w:ascii="Arial" w:hAnsi="Arial" w:cs="Arial"/>
                <w:b/>
                <w:sz w:val="16"/>
                <w:szCs w:val="16"/>
              </w:rPr>
            </w:pPr>
            <w:bookmarkStart w:id="376" w:name="_Toc341043406"/>
            <w:r>
              <w:rPr>
                <w:rFonts w:ascii="Arial" w:hAnsi="Arial" w:cs="Arial"/>
                <w:b/>
                <w:sz w:val="16"/>
                <w:szCs w:val="16"/>
              </w:rPr>
              <w:t>Figura 3.</w:t>
            </w:r>
            <w:r w:rsidR="00990535" w:rsidRPr="00333696">
              <w:rPr>
                <w:rFonts w:ascii="Arial" w:hAnsi="Arial" w:cs="Arial"/>
                <w:b/>
                <w:sz w:val="16"/>
                <w:szCs w:val="16"/>
              </w:rPr>
              <w:fldChar w:fldCharType="begin"/>
            </w:r>
            <w:r w:rsidRPr="00333696">
              <w:rPr>
                <w:rFonts w:ascii="Arial" w:hAnsi="Arial" w:cs="Arial"/>
                <w:b/>
                <w:sz w:val="16"/>
                <w:szCs w:val="16"/>
              </w:rPr>
              <w:instrText xml:space="preserve"> SEQ Figura_3. \* ARABIC </w:instrText>
            </w:r>
            <w:r w:rsidR="00990535" w:rsidRPr="00333696">
              <w:rPr>
                <w:rFonts w:ascii="Arial" w:hAnsi="Arial" w:cs="Arial"/>
                <w:b/>
                <w:sz w:val="16"/>
                <w:szCs w:val="16"/>
              </w:rPr>
              <w:fldChar w:fldCharType="separate"/>
            </w:r>
            <w:r w:rsidR="00A242E0">
              <w:rPr>
                <w:rFonts w:ascii="Arial" w:hAnsi="Arial" w:cs="Arial"/>
                <w:b/>
                <w:noProof/>
                <w:sz w:val="16"/>
                <w:szCs w:val="16"/>
              </w:rPr>
              <w:t>7</w:t>
            </w:r>
            <w:bookmarkEnd w:id="376"/>
            <w:r w:rsidR="00990535" w:rsidRPr="00333696">
              <w:rPr>
                <w:rFonts w:ascii="Arial" w:hAnsi="Arial" w:cs="Arial"/>
                <w:b/>
                <w:sz w:val="16"/>
                <w:szCs w:val="16"/>
              </w:rPr>
              <w:fldChar w:fldCharType="end"/>
            </w:r>
          </w:p>
          <w:p w:rsidR="00060299" w:rsidRDefault="005E239A"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 xml:space="preserve">Frecuencia Relativa de </w:t>
            </w:r>
            <w:r>
              <w:rPr>
                <w:rFonts w:ascii="Arial" w:hAnsi="Arial" w:cs="Arial"/>
                <w:i/>
                <w:sz w:val="16"/>
                <w:szCs w:val="16"/>
              </w:rPr>
              <w:t>cantidad de a</w:t>
            </w:r>
            <w:r w:rsidR="00060299">
              <w:rPr>
                <w:rFonts w:ascii="Arial" w:hAnsi="Arial" w:cs="Arial"/>
                <w:i/>
                <w:sz w:val="16"/>
                <w:szCs w:val="16"/>
              </w:rPr>
              <w:t xml:space="preserve">ños de residencia en </w:t>
            </w:r>
            <w:r>
              <w:rPr>
                <w:rFonts w:ascii="Arial" w:hAnsi="Arial" w:cs="Arial"/>
                <w:i/>
                <w:sz w:val="16"/>
                <w:szCs w:val="16"/>
              </w:rPr>
              <w:t>el país</w:t>
            </w:r>
          </w:p>
          <w:tbl>
            <w:tblPr>
              <w:tblStyle w:val="Tablaconcuadrcula"/>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822"/>
              <w:gridCol w:w="4574"/>
            </w:tblGrid>
            <w:tr w:rsidR="00060299" w:rsidRPr="00A22FF9" w:rsidTr="003B05B6">
              <w:trPr>
                <w:trHeight w:val="3143"/>
                <w:jc w:val="center"/>
              </w:trPr>
              <w:tc>
                <w:tcPr>
                  <w:tcW w:w="2822" w:type="dxa"/>
                </w:tcPr>
                <w:p w:rsidR="00060299" w:rsidRDefault="00060299" w:rsidP="003B05B6">
                  <w:pPr>
                    <w:rPr>
                      <w:rFonts w:ascii="Arial" w:hAnsi="Arial" w:cs="Arial"/>
                      <w:b/>
                      <w:sz w:val="16"/>
                      <w:szCs w:val="16"/>
                    </w:rPr>
                  </w:pPr>
                  <w:r w:rsidRPr="005400D0">
                    <w:rPr>
                      <w:noProof/>
                      <w:sz w:val="10"/>
                      <w:szCs w:val="10"/>
                      <w:lang w:eastAsia="es-EC"/>
                    </w:rPr>
                    <w:t xml:space="preserve"> </w:t>
                  </w:r>
                </w:p>
                <w:p w:rsidR="00060299" w:rsidRPr="00A22FF9" w:rsidRDefault="00060299" w:rsidP="003B05B6">
                  <w:pPr>
                    <w:ind w:left="201"/>
                    <w:rPr>
                      <w:rFonts w:ascii="Arial" w:hAnsi="Arial" w:cs="Arial"/>
                      <w:b/>
                      <w:sz w:val="16"/>
                      <w:szCs w:val="16"/>
                    </w:rPr>
                  </w:pPr>
                  <w:r w:rsidRPr="00A22FF9">
                    <w:rPr>
                      <w:rFonts w:ascii="Arial" w:hAnsi="Arial" w:cs="Arial"/>
                      <w:b/>
                      <w:sz w:val="16"/>
                      <w:szCs w:val="16"/>
                    </w:rPr>
                    <w:t>Tabla de Frecuencias</w:t>
                  </w:r>
                </w:p>
                <w:p w:rsidR="00060299" w:rsidRPr="00A22FF9" w:rsidRDefault="00060299" w:rsidP="003B05B6">
                  <w:pPr>
                    <w:rPr>
                      <w:rFonts w:ascii="Arial" w:hAnsi="Arial" w:cs="Arial"/>
                      <w:sz w:val="10"/>
                      <w:szCs w:val="10"/>
                    </w:rPr>
                  </w:pPr>
                </w:p>
                <w:tbl>
                  <w:tblPr>
                    <w:tblW w:w="2608" w:type="dxa"/>
                    <w:jc w:val="center"/>
                    <w:tblCellMar>
                      <w:left w:w="70" w:type="dxa"/>
                      <w:right w:w="70" w:type="dxa"/>
                    </w:tblCellMar>
                    <w:tblLook w:val="04A0" w:firstRow="1" w:lastRow="0" w:firstColumn="1" w:lastColumn="0" w:noHBand="0" w:noVBand="1"/>
                  </w:tblPr>
                  <w:tblGrid>
                    <w:gridCol w:w="1644"/>
                    <w:gridCol w:w="1019"/>
                  </w:tblGrid>
                  <w:tr w:rsidR="00060299" w:rsidRPr="00463EE5" w:rsidTr="003B05B6">
                    <w:trPr>
                      <w:trHeight w:val="227"/>
                      <w:jc w:val="center"/>
                    </w:trPr>
                    <w:tc>
                      <w:tcPr>
                        <w:tcW w:w="1644" w:type="dxa"/>
                        <w:tcBorders>
                          <w:top w:val="single" w:sz="4" w:space="0" w:color="auto"/>
                          <w:left w:val="nil"/>
                          <w:bottom w:val="single" w:sz="4" w:space="0" w:color="auto"/>
                          <w:right w:val="nil"/>
                        </w:tcBorders>
                        <w:shd w:val="clear" w:color="auto" w:fill="auto"/>
                        <w:vAlign w:val="center"/>
                        <w:hideMark/>
                      </w:tcPr>
                      <w:p w:rsidR="00060299" w:rsidRPr="00463EE5" w:rsidRDefault="00060299" w:rsidP="003B05B6">
                        <w:pPr>
                          <w:rPr>
                            <w:rFonts w:ascii="Arial" w:eastAsia="Times New Roman" w:hAnsi="Arial" w:cs="Arial"/>
                            <w:b/>
                            <w:bCs/>
                            <w:color w:val="000000"/>
                            <w:sz w:val="16"/>
                            <w:szCs w:val="16"/>
                            <w:lang w:eastAsia="es-EC"/>
                          </w:rPr>
                        </w:pPr>
                        <w:r w:rsidRPr="00463EE5">
                          <w:rPr>
                            <w:rFonts w:ascii="Arial" w:eastAsia="Times New Roman" w:hAnsi="Arial" w:cs="Arial"/>
                            <w:b/>
                            <w:bCs/>
                            <w:color w:val="000000"/>
                            <w:sz w:val="16"/>
                            <w:szCs w:val="16"/>
                            <w:lang w:eastAsia="es-EC"/>
                          </w:rPr>
                          <w:t>Años de residencia en Ecuador</w:t>
                        </w:r>
                      </w:p>
                    </w:tc>
                    <w:tc>
                      <w:tcPr>
                        <w:tcW w:w="964" w:type="dxa"/>
                        <w:tcBorders>
                          <w:top w:val="single" w:sz="4" w:space="0" w:color="auto"/>
                          <w:left w:val="nil"/>
                          <w:bottom w:val="single" w:sz="4" w:space="0" w:color="auto"/>
                          <w:right w:val="nil"/>
                        </w:tcBorders>
                        <w:shd w:val="clear" w:color="auto" w:fill="auto"/>
                        <w:vAlign w:val="center"/>
                        <w:hideMark/>
                      </w:tcPr>
                      <w:p w:rsidR="00060299" w:rsidRPr="00463EE5" w:rsidRDefault="00060299" w:rsidP="003B05B6">
                        <w:pPr>
                          <w:rPr>
                            <w:rFonts w:ascii="Arial" w:eastAsia="Times New Roman" w:hAnsi="Arial" w:cs="Arial"/>
                            <w:b/>
                            <w:bCs/>
                            <w:color w:val="000000"/>
                            <w:sz w:val="16"/>
                            <w:szCs w:val="16"/>
                            <w:lang w:eastAsia="es-EC"/>
                          </w:rPr>
                        </w:pPr>
                        <w:r w:rsidRPr="00463EE5">
                          <w:rPr>
                            <w:rFonts w:ascii="Arial" w:eastAsia="Times New Roman" w:hAnsi="Arial" w:cs="Arial"/>
                            <w:b/>
                            <w:bCs/>
                            <w:color w:val="000000"/>
                            <w:sz w:val="16"/>
                            <w:szCs w:val="16"/>
                            <w:lang w:eastAsia="es-EC"/>
                          </w:rPr>
                          <w:t>Frecuencia Relativa</w:t>
                        </w:r>
                      </w:p>
                    </w:tc>
                  </w:tr>
                  <w:tr w:rsidR="00060299" w:rsidRPr="00463EE5" w:rsidTr="003B05B6">
                    <w:trPr>
                      <w:trHeight w:val="227"/>
                      <w:jc w:val="center"/>
                    </w:trPr>
                    <w:tc>
                      <w:tcPr>
                        <w:tcW w:w="1644" w:type="dxa"/>
                        <w:tcBorders>
                          <w:top w:val="nil"/>
                          <w:left w:val="nil"/>
                          <w:bottom w:val="nil"/>
                          <w:right w:val="nil"/>
                        </w:tcBorders>
                        <w:shd w:val="clear" w:color="auto" w:fill="auto"/>
                        <w:noWrap/>
                        <w:vAlign w:val="center"/>
                        <w:hideMark/>
                      </w:tcPr>
                      <w:p w:rsidR="00060299" w:rsidRPr="00463EE5" w:rsidRDefault="00060299" w:rsidP="00333696">
                        <w:pPr>
                          <w:jc w:val="left"/>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Menos de 1</w:t>
                        </w:r>
                      </w:p>
                    </w:tc>
                    <w:tc>
                      <w:tcPr>
                        <w:tcW w:w="964" w:type="dxa"/>
                        <w:tcBorders>
                          <w:top w:val="nil"/>
                          <w:left w:val="nil"/>
                          <w:bottom w:val="nil"/>
                          <w:right w:val="nil"/>
                        </w:tcBorders>
                        <w:shd w:val="clear" w:color="auto" w:fill="auto"/>
                        <w:noWrap/>
                        <w:vAlign w:val="center"/>
                        <w:hideMark/>
                      </w:tcPr>
                      <w:p w:rsidR="00060299" w:rsidRPr="00463EE5" w:rsidRDefault="00060299" w:rsidP="003B05B6">
                        <w:pPr>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0.145</w:t>
                        </w:r>
                      </w:p>
                    </w:tc>
                  </w:tr>
                  <w:tr w:rsidR="00060299" w:rsidRPr="00463EE5" w:rsidTr="003B05B6">
                    <w:trPr>
                      <w:trHeight w:val="227"/>
                      <w:jc w:val="center"/>
                    </w:trPr>
                    <w:tc>
                      <w:tcPr>
                        <w:tcW w:w="1644" w:type="dxa"/>
                        <w:tcBorders>
                          <w:top w:val="nil"/>
                          <w:left w:val="nil"/>
                          <w:bottom w:val="nil"/>
                          <w:right w:val="nil"/>
                        </w:tcBorders>
                        <w:shd w:val="clear" w:color="auto" w:fill="auto"/>
                        <w:noWrap/>
                        <w:vAlign w:val="center"/>
                        <w:hideMark/>
                      </w:tcPr>
                      <w:p w:rsidR="00060299" w:rsidRPr="00463EE5" w:rsidRDefault="00060299" w:rsidP="00333696">
                        <w:pPr>
                          <w:jc w:val="left"/>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[1 - 20)</w:t>
                        </w:r>
                      </w:p>
                    </w:tc>
                    <w:tc>
                      <w:tcPr>
                        <w:tcW w:w="964" w:type="dxa"/>
                        <w:tcBorders>
                          <w:top w:val="nil"/>
                          <w:left w:val="nil"/>
                          <w:bottom w:val="nil"/>
                          <w:right w:val="nil"/>
                        </w:tcBorders>
                        <w:shd w:val="clear" w:color="auto" w:fill="auto"/>
                        <w:noWrap/>
                        <w:vAlign w:val="center"/>
                        <w:hideMark/>
                      </w:tcPr>
                      <w:p w:rsidR="00060299" w:rsidRPr="00463EE5" w:rsidRDefault="00060299" w:rsidP="003B05B6">
                        <w:pPr>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0.556</w:t>
                        </w:r>
                      </w:p>
                    </w:tc>
                  </w:tr>
                  <w:tr w:rsidR="00060299" w:rsidRPr="00463EE5" w:rsidTr="003B05B6">
                    <w:trPr>
                      <w:trHeight w:val="227"/>
                      <w:jc w:val="center"/>
                    </w:trPr>
                    <w:tc>
                      <w:tcPr>
                        <w:tcW w:w="1644" w:type="dxa"/>
                        <w:tcBorders>
                          <w:top w:val="nil"/>
                          <w:left w:val="nil"/>
                          <w:bottom w:val="nil"/>
                          <w:right w:val="nil"/>
                        </w:tcBorders>
                        <w:shd w:val="clear" w:color="auto" w:fill="auto"/>
                        <w:noWrap/>
                        <w:vAlign w:val="center"/>
                        <w:hideMark/>
                      </w:tcPr>
                      <w:p w:rsidR="00060299" w:rsidRPr="00463EE5" w:rsidRDefault="00060299" w:rsidP="00333696">
                        <w:pPr>
                          <w:jc w:val="left"/>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[20 - 40)</w:t>
                        </w:r>
                      </w:p>
                    </w:tc>
                    <w:tc>
                      <w:tcPr>
                        <w:tcW w:w="964" w:type="dxa"/>
                        <w:tcBorders>
                          <w:top w:val="nil"/>
                          <w:left w:val="nil"/>
                          <w:bottom w:val="nil"/>
                          <w:right w:val="nil"/>
                        </w:tcBorders>
                        <w:shd w:val="clear" w:color="auto" w:fill="auto"/>
                        <w:noWrap/>
                        <w:vAlign w:val="center"/>
                        <w:hideMark/>
                      </w:tcPr>
                      <w:p w:rsidR="00060299" w:rsidRPr="00463EE5" w:rsidRDefault="00060299" w:rsidP="003B05B6">
                        <w:pPr>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0.119</w:t>
                        </w:r>
                      </w:p>
                    </w:tc>
                  </w:tr>
                  <w:tr w:rsidR="00060299" w:rsidRPr="00463EE5" w:rsidTr="003B05B6">
                    <w:trPr>
                      <w:trHeight w:val="227"/>
                      <w:jc w:val="center"/>
                    </w:trPr>
                    <w:tc>
                      <w:tcPr>
                        <w:tcW w:w="1644" w:type="dxa"/>
                        <w:tcBorders>
                          <w:top w:val="nil"/>
                          <w:left w:val="nil"/>
                          <w:bottom w:val="nil"/>
                          <w:right w:val="nil"/>
                        </w:tcBorders>
                        <w:shd w:val="clear" w:color="auto" w:fill="auto"/>
                        <w:noWrap/>
                        <w:vAlign w:val="center"/>
                        <w:hideMark/>
                      </w:tcPr>
                      <w:p w:rsidR="00060299" w:rsidRPr="00463EE5" w:rsidRDefault="00060299" w:rsidP="00333696">
                        <w:pPr>
                          <w:jc w:val="left"/>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[40 - 60)</w:t>
                        </w:r>
                      </w:p>
                    </w:tc>
                    <w:tc>
                      <w:tcPr>
                        <w:tcW w:w="964" w:type="dxa"/>
                        <w:tcBorders>
                          <w:top w:val="nil"/>
                          <w:left w:val="nil"/>
                          <w:bottom w:val="nil"/>
                          <w:right w:val="nil"/>
                        </w:tcBorders>
                        <w:shd w:val="clear" w:color="auto" w:fill="auto"/>
                        <w:noWrap/>
                        <w:vAlign w:val="center"/>
                        <w:hideMark/>
                      </w:tcPr>
                      <w:p w:rsidR="00060299" w:rsidRPr="00463EE5" w:rsidRDefault="00060299" w:rsidP="003B05B6">
                        <w:pPr>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0.035</w:t>
                        </w:r>
                      </w:p>
                    </w:tc>
                  </w:tr>
                  <w:tr w:rsidR="00060299" w:rsidRPr="00463EE5" w:rsidTr="003B05B6">
                    <w:trPr>
                      <w:trHeight w:val="227"/>
                      <w:jc w:val="center"/>
                    </w:trPr>
                    <w:tc>
                      <w:tcPr>
                        <w:tcW w:w="1644" w:type="dxa"/>
                        <w:tcBorders>
                          <w:top w:val="nil"/>
                          <w:left w:val="nil"/>
                          <w:bottom w:val="nil"/>
                          <w:right w:val="nil"/>
                        </w:tcBorders>
                        <w:shd w:val="clear" w:color="auto" w:fill="auto"/>
                        <w:noWrap/>
                        <w:vAlign w:val="center"/>
                        <w:hideMark/>
                      </w:tcPr>
                      <w:p w:rsidR="00060299" w:rsidRPr="00463EE5" w:rsidRDefault="00060299" w:rsidP="00333696">
                        <w:pPr>
                          <w:jc w:val="left"/>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[60 - 80)</w:t>
                        </w:r>
                      </w:p>
                    </w:tc>
                    <w:tc>
                      <w:tcPr>
                        <w:tcW w:w="964" w:type="dxa"/>
                        <w:tcBorders>
                          <w:top w:val="nil"/>
                          <w:left w:val="nil"/>
                          <w:bottom w:val="nil"/>
                          <w:right w:val="nil"/>
                        </w:tcBorders>
                        <w:shd w:val="clear" w:color="auto" w:fill="auto"/>
                        <w:noWrap/>
                        <w:vAlign w:val="center"/>
                        <w:hideMark/>
                      </w:tcPr>
                      <w:p w:rsidR="00060299" w:rsidRPr="00463EE5" w:rsidRDefault="00060299" w:rsidP="003B05B6">
                        <w:pPr>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0.008</w:t>
                        </w:r>
                      </w:p>
                    </w:tc>
                  </w:tr>
                  <w:tr w:rsidR="00060299" w:rsidRPr="00463EE5" w:rsidTr="003B05B6">
                    <w:trPr>
                      <w:trHeight w:val="227"/>
                      <w:jc w:val="center"/>
                    </w:trPr>
                    <w:tc>
                      <w:tcPr>
                        <w:tcW w:w="1644" w:type="dxa"/>
                        <w:tcBorders>
                          <w:top w:val="nil"/>
                          <w:left w:val="nil"/>
                          <w:bottom w:val="nil"/>
                          <w:right w:val="nil"/>
                        </w:tcBorders>
                        <w:shd w:val="clear" w:color="auto" w:fill="auto"/>
                        <w:noWrap/>
                        <w:vAlign w:val="center"/>
                        <w:hideMark/>
                      </w:tcPr>
                      <w:p w:rsidR="00060299" w:rsidRPr="00463EE5" w:rsidRDefault="00060299" w:rsidP="00333696">
                        <w:pPr>
                          <w:jc w:val="left"/>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[80 - 100)</w:t>
                        </w:r>
                      </w:p>
                    </w:tc>
                    <w:tc>
                      <w:tcPr>
                        <w:tcW w:w="964" w:type="dxa"/>
                        <w:tcBorders>
                          <w:top w:val="nil"/>
                          <w:left w:val="nil"/>
                          <w:bottom w:val="nil"/>
                          <w:right w:val="nil"/>
                        </w:tcBorders>
                        <w:shd w:val="clear" w:color="auto" w:fill="auto"/>
                        <w:noWrap/>
                        <w:vAlign w:val="center"/>
                        <w:hideMark/>
                      </w:tcPr>
                      <w:p w:rsidR="00060299" w:rsidRPr="00463EE5" w:rsidRDefault="00060299" w:rsidP="003B05B6">
                        <w:pPr>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0.001</w:t>
                        </w:r>
                      </w:p>
                    </w:tc>
                  </w:tr>
                  <w:tr w:rsidR="00060299" w:rsidRPr="00463EE5" w:rsidTr="003B05B6">
                    <w:trPr>
                      <w:trHeight w:val="227"/>
                      <w:jc w:val="center"/>
                    </w:trPr>
                    <w:tc>
                      <w:tcPr>
                        <w:tcW w:w="1644" w:type="dxa"/>
                        <w:tcBorders>
                          <w:top w:val="nil"/>
                          <w:left w:val="nil"/>
                          <w:bottom w:val="nil"/>
                          <w:right w:val="nil"/>
                        </w:tcBorders>
                        <w:shd w:val="clear" w:color="auto" w:fill="auto"/>
                        <w:noWrap/>
                        <w:vAlign w:val="center"/>
                        <w:hideMark/>
                      </w:tcPr>
                      <w:p w:rsidR="00060299" w:rsidRPr="00463EE5" w:rsidRDefault="00060299" w:rsidP="00333696">
                        <w:pPr>
                          <w:jc w:val="left"/>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Más de 100</w:t>
                        </w:r>
                      </w:p>
                    </w:tc>
                    <w:tc>
                      <w:tcPr>
                        <w:tcW w:w="964" w:type="dxa"/>
                        <w:tcBorders>
                          <w:top w:val="nil"/>
                          <w:left w:val="nil"/>
                          <w:bottom w:val="nil"/>
                          <w:right w:val="nil"/>
                        </w:tcBorders>
                        <w:shd w:val="clear" w:color="auto" w:fill="auto"/>
                        <w:noWrap/>
                        <w:vAlign w:val="center"/>
                        <w:hideMark/>
                      </w:tcPr>
                      <w:p w:rsidR="00060299" w:rsidRPr="00463EE5" w:rsidRDefault="00060299" w:rsidP="003B05B6">
                        <w:pPr>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0.000</w:t>
                        </w:r>
                      </w:p>
                    </w:tc>
                  </w:tr>
                  <w:tr w:rsidR="00060299" w:rsidRPr="00463EE5" w:rsidTr="003B05B6">
                    <w:trPr>
                      <w:trHeight w:val="227"/>
                      <w:jc w:val="center"/>
                    </w:trPr>
                    <w:tc>
                      <w:tcPr>
                        <w:tcW w:w="1644" w:type="dxa"/>
                        <w:tcBorders>
                          <w:top w:val="nil"/>
                          <w:left w:val="nil"/>
                          <w:bottom w:val="nil"/>
                          <w:right w:val="nil"/>
                        </w:tcBorders>
                        <w:shd w:val="clear" w:color="auto" w:fill="auto"/>
                        <w:noWrap/>
                        <w:vAlign w:val="center"/>
                        <w:hideMark/>
                      </w:tcPr>
                      <w:p w:rsidR="00060299" w:rsidRPr="00463EE5" w:rsidRDefault="00060299" w:rsidP="00333696">
                        <w:pPr>
                          <w:jc w:val="left"/>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No especifican</w:t>
                        </w:r>
                      </w:p>
                    </w:tc>
                    <w:tc>
                      <w:tcPr>
                        <w:tcW w:w="964" w:type="dxa"/>
                        <w:tcBorders>
                          <w:top w:val="nil"/>
                          <w:left w:val="nil"/>
                          <w:bottom w:val="nil"/>
                          <w:right w:val="nil"/>
                        </w:tcBorders>
                        <w:shd w:val="clear" w:color="auto" w:fill="auto"/>
                        <w:noWrap/>
                        <w:vAlign w:val="center"/>
                        <w:hideMark/>
                      </w:tcPr>
                      <w:p w:rsidR="00060299" w:rsidRPr="00463EE5" w:rsidRDefault="00060299" w:rsidP="003B05B6">
                        <w:pPr>
                          <w:rPr>
                            <w:rFonts w:ascii="Arial" w:eastAsia="Times New Roman" w:hAnsi="Arial" w:cs="Arial"/>
                            <w:color w:val="000000"/>
                            <w:sz w:val="16"/>
                            <w:szCs w:val="16"/>
                            <w:lang w:eastAsia="es-EC"/>
                          </w:rPr>
                        </w:pPr>
                        <w:r w:rsidRPr="00463EE5">
                          <w:rPr>
                            <w:rFonts w:ascii="Arial" w:eastAsia="Times New Roman" w:hAnsi="Arial" w:cs="Arial"/>
                            <w:color w:val="000000"/>
                            <w:sz w:val="16"/>
                            <w:szCs w:val="16"/>
                            <w:lang w:eastAsia="es-EC"/>
                          </w:rPr>
                          <w:t>0.137</w:t>
                        </w:r>
                      </w:p>
                    </w:tc>
                  </w:tr>
                  <w:tr w:rsidR="00060299" w:rsidRPr="00463EE5" w:rsidTr="003B05B6">
                    <w:trPr>
                      <w:trHeight w:val="227"/>
                      <w:jc w:val="center"/>
                    </w:trPr>
                    <w:tc>
                      <w:tcPr>
                        <w:tcW w:w="1644" w:type="dxa"/>
                        <w:tcBorders>
                          <w:top w:val="nil"/>
                          <w:left w:val="nil"/>
                          <w:bottom w:val="single" w:sz="4" w:space="0" w:color="auto"/>
                          <w:right w:val="nil"/>
                        </w:tcBorders>
                        <w:shd w:val="clear" w:color="auto" w:fill="auto"/>
                        <w:noWrap/>
                        <w:vAlign w:val="center"/>
                        <w:hideMark/>
                      </w:tcPr>
                      <w:p w:rsidR="00060299" w:rsidRPr="00463EE5" w:rsidRDefault="00060299" w:rsidP="00333696">
                        <w:pPr>
                          <w:jc w:val="left"/>
                          <w:rPr>
                            <w:rFonts w:ascii="Arial" w:eastAsia="Times New Roman" w:hAnsi="Arial" w:cs="Arial"/>
                            <w:b/>
                            <w:bCs/>
                            <w:i/>
                            <w:iCs/>
                            <w:color w:val="000000"/>
                            <w:sz w:val="16"/>
                            <w:szCs w:val="16"/>
                            <w:lang w:eastAsia="es-EC"/>
                          </w:rPr>
                        </w:pPr>
                        <w:r w:rsidRPr="00463EE5">
                          <w:rPr>
                            <w:rFonts w:ascii="Arial" w:eastAsia="Times New Roman" w:hAnsi="Arial" w:cs="Arial"/>
                            <w:b/>
                            <w:bCs/>
                            <w:i/>
                            <w:iCs/>
                            <w:color w:val="000000"/>
                            <w:sz w:val="16"/>
                            <w:szCs w:val="16"/>
                            <w:lang w:eastAsia="es-EC"/>
                          </w:rPr>
                          <w:t>Total</w:t>
                        </w:r>
                      </w:p>
                    </w:tc>
                    <w:tc>
                      <w:tcPr>
                        <w:tcW w:w="964" w:type="dxa"/>
                        <w:tcBorders>
                          <w:top w:val="nil"/>
                          <w:left w:val="nil"/>
                          <w:bottom w:val="single" w:sz="4" w:space="0" w:color="auto"/>
                          <w:right w:val="nil"/>
                        </w:tcBorders>
                        <w:shd w:val="clear" w:color="auto" w:fill="auto"/>
                        <w:noWrap/>
                        <w:vAlign w:val="center"/>
                        <w:hideMark/>
                      </w:tcPr>
                      <w:p w:rsidR="00060299" w:rsidRPr="00463EE5" w:rsidRDefault="00060299" w:rsidP="003B05B6">
                        <w:pPr>
                          <w:rPr>
                            <w:rFonts w:ascii="Arial" w:eastAsia="Times New Roman" w:hAnsi="Arial" w:cs="Arial"/>
                            <w:b/>
                            <w:bCs/>
                            <w:i/>
                            <w:iCs/>
                            <w:color w:val="000000"/>
                            <w:sz w:val="16"/>
                            <w:szCs w:val="16"/>
                            <w:lang w:eastAsia="es-EC"/>
                          </w:rPr>
                        </w:pPr>
                        <w:r w:rsidRPr="00463EE5">
                          <w:rPr>
                            <w:rFonts w:ascii="Arial" w:eastAsia="Times New Roman" w:hAnsi="Arial" w:cs="Arial"/>
                            <w:b/>
                            <w:bCs/>
                            <w:i/>
                            <w:iCs/>
                            <w:color w:val="000000"/>
                            <w:sz w:val="16"/>
                            <w:szCs w:val="16"/>
                            <w:lang w:eastAsia="es-EC"/>
                          </w:rPr>
                          <w:t>1.000</w:t>
                        </w:r>
                      </w:p>
                    </w:tc>
                  </w:tr>
                </w:tbl>
                <w:p w:rsidR="00060299" w:rsidRDefault="00060299" w:rsidP="003B05B6">
                  <w:pPr>
                    <w:rPr>
                      <w:rFonts w:ascii="Arial" w:hAnsi="Arial" w:cs="Arial"/>
                      <w:sz w:val="24"/>
                      <w:szCs w:val="24"/>
                    </w:rPr>
                  </w:pPr>
                </w:p>
              </w:tc>
              <w:tc>
                <w:tcPr>
                  <w:tcW w:w="4574" w:type="dxa"/>
                </w:tcPr>
                <w:p w:rsidR="00060299" w:rsidRPr="00A22FF9" w:rsidRDefault="00060299" w:rsidP="003B05B6">
                  <w:pPr>
                    <w:rPr>
                      <w:rFonts w:ascii="Arial" w:hAnsi="Arial" w:cs="Arial"/>
                      <w:b/>
                      <w:sz w:val="16"/>
                      <w:szCs w:val="16"/>
                    </w:rPr>
                  </w:pPr>
                </w:p>
                <w:p w:rsidR="00060299" w:rsidRDefault="00060299" w:rsidP="003B05B6">
                  <w:pPr>
                    <w:rPr>
                      <w:rFonts w:ascii="Arial" w:hAnsi="Arial" w:cs="Arial"/>
                      <w:b/>
                      <w:sz w:val="16"/>
                      <w:szCs w:val="16"/>
                    </w:rPr>
                  </w:pPr>
                  <w:r w:rsidRPr="00A22FF9">
                    <w:rPr>
                      <w:rFonts w:ascii="Arial" w:hAnsi="Arial" w:cs="Arial"/>
                      <w:b/>
                      <w:sz w:val="16"/>
                      <w:szCs w:val="16"/>
                    </w:rPr>
                    <w:t>Histograma de Frecuencias</w:t>
                  </w:r>
                </w:p>
                <w:p w:rsidR="00060299" w:rsidRPr="00A22FF9" w:rsidRDefault="00060299" w:rsidP="003B05B6">
                  <w:pPr>
                    <w:rPr>
                      <w:rFonts w:ascii="Arial" w:hAnsi="Arial" w:cs="Arial"/>
                      <w:b/>
                      <w:sz w:val="16"/>
                      <w:szCs w:val="16"/>
                    </w:rPr>
                  </w:pPr>
                  <w:r>
                    <w:rPr>
                      <w:noProof/>
                      <w:lang w:eastAsia="es-EC"/>
                    </w:rPr>
                    <w:drawing>
                      <wp:inline distT="0" distB="0" distL="0" distR="0">
                        <wp:extent cx="2762250" cy="1847850"/>
                        <wp:effectExtent l="0" t="0" r="0" b="0"/>
                        <wp:docPr id="308" name="Gráfico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rsidR="00060299" w:rsidRPr="00840530" w:rsidRDefault="00060299" w:rsidP="003B05B6">
            <w:pPr>
              <w:rPr>
                <w:rFonts w:ascii="Arial" w:hAnsi="Arial" w:cs="Arial"/>
                <w:sz w:val="24"/>
                <w:szCs w:val="24"/>
              </w:rPr>
            </w:pPr>
          </w:p>
        </w:tc>
      </w:tr>
    </w:tbl>
    <w:p w:rsidR="00060299" w:rsidRPr="005E239A" w:rsidRDefault="00060299" w:rsidP="005E239A">
      <w:pPr>
        <w:pStyle w:val="Prrafodelista"/>
        <w:spacing w:line="276" w:lineRule="auto"/>
        <w:ind w:left="851"/>
        <w:jc w:val="both"/>
        <w:rPr>
          <w:rFonts w:ascii="Arial" w:hAnsi="Arial" w:cs="Arial"/>
          <w:sz w:val="17"/>
          <w:szCs w:val="17"/>
        </w:rPr>
      </w:pPr>
    </w:p>
    <w:p w:rsidR="00060299" w:rsidRPr="005E239A" w:rsidRDefault="00060299" w:rsidP="005E239A">
      <w:pPr>
        <w:pStyle w:val="Prrafodelista"/>
        <w:spacing w:line="276" w:lineRule="auto"/>
        <w:ind w:left="851"/>
        <w:jc w:val="both"/>
        <w:rPr>
          <w:rFonts w:ascii="Arial" w:hAnsi="Arial" w:cs="Arial"/>
          <w:sz w:val="17"/>
          <w:szCs w:val="17"/>
        </w:rPr>
      </w:pPr>
      <w:r w:rsidRPr="005E239A">
        <w:rPr>
          <w:rFonts w:ascii="Arial" w:hAnsi="Arial" w:cs="Arial"/>
          <w:b/>
          <w:i/>
          <w:sz w:val="17"/>
          <w:szCs w:val="17"/>
        </w:rPr>
        <w:t>Fuente:</w:t>
      </w:r>
      <w:r w:rsidRPr="005E239A">
        <w:rPr>
          <w:rFonts w:ascii="Arial" w:hAnsi="Arial" w:cs="Arial"/>
          <w:sz w:val="17"/>
          <w:szCs w:val="17"/>
        </w:rPr>
        <w:t xml:space="preserve"> </w:t>
      </w:r>
      <w:r w:rsidRPr="005E239A">
        <w:rPr>
          <w:rFonts w:ascii="Arial" w:hAnsi="Arial" w:cs="Arial"/>
          <w:b/>
          <w:sz w:val="17"/>
          <w:szCs w:val="17"/>
        </w:rPr>
        <w:t xml:space="preserve">INEC </w:t>
      </w:r>
      <w:r w:rsidRPr="005E239A">
        <w:rPr>
          <w:rFonts w:ascii="Arial" w:hAnsi="Arial" w:cs="Arial"/>
          <w:sz w:val="17"/>
          <w:szCs w:val="17"/>
        </w:rPr>
        <w:t>(2010), Base de Datos del VII Censo de Población y VI de Vivienda.</w:t>
      </w:r>
    </w:p>
    <w:p w:rsidR="00060299" w:rsidRPr="00480AFA" w:rsidRDefault="00060299" w:rsidP="005E239A">
      <w:pPr>
        <w:pStyle w:val="Prrafodelista"/>
        <w:spacing w:line="276" w:lineRule="auto"/>
        <w:ind w:left="851"/>
        <w:jc w:val="both"/>
        <w:rPr>
          <w:rFonts w:ascii="Arial" w:hAnsi="Arial" w:cs="Arial"/>
          <w:sz w:val="18"/>
          <w:szCs w:val="18"/>
        </w:rPr>
      </w:pPr>
      <w:r w:rsidRPr="005E239A">
        <w:rPr>
          <w:rFonts w:ascii="Arial" w:hAnsi="Arial" w:cs="Arial"/>
          <w:b/>
          <w:i/>
          <w:sz w:val="17"/>
          <w:szCs w:val="17"/>
        </w:rPr>
        <w:t>Elaborado por:</w:t>
      </w:r>
      <w:r w:rsidRPr="005E239A">
        <w:rPr>
          <w:rFonts w:ascii="Arial" w:hAnsi="Arial" w:cs="Arial"/>
          <w:sz w:val="17"/>
          <w:szCs w:val="17"/>
        </w:rPr>
        <w:t xml:space="preserve"> Katherine Loor Valeriano</w:t>
      </w:r>
    </w:p>
    <w:p w:rsidR="00060299" w:rsidRDefault="00060299" w:rsidP="00060299">
      <w:pPr>
        <w:spacing w:line="480" w:lineRule="auto"/>
        <w:ind w:left="567"/>
        <w:jc w:val="both"/>
        <w:rPr>
          <w:rFonts w:ascii="Arial" w:hAnsi="Arial" w:cs="Arial"/>
        </w:rPr>
        <w:sectPr w:rsidR="00060299" w:rsidSect="00241A1F">
          <w:headerReference w:type="default" r:id="rId63"/>
          <w:pgSz w:w="11907" w:h="16839" w:code="9"/>
          <w:pgMar w:top="2268" w:right="1361" w:bottom="2268" w:left="2268" w:header="709" w:footer="709" w:gutter="0"/>
          <w:cols w:space="708"/>
          <w:titlePg/>
          <w:docGrid w:linePitch="360"/>
        </w:sectPr>
      </w:pPr>
    </w:p>
    <w:tbl>
      <w:tblPr>
        <w:tblStyle w:val="Tablaconcuadrcula"/>
        <w:tblW w:w="15170" w:type="dxa"/>
        <w:jc w:val="center"/>
        <w:tblInd w:w="-683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15174"/>
      </w:tblGrid>
      <w:tr w:rsidR="00060299" w:rsidRPr="00840530" w:rsidTr="00D46F2A">
        <w:trPr>
          <w:trHeight w:val="6520"/>
          <w:jc w:val="center"/>
        </w:trPr>
        <w:tc>
          <w:tcPr>
            <w:tcW w:w="15170" w:type="dxa"/>
          </w:tcPr>
          <w:p w:rsidR="00060299" w:rsidRPr="00840530" w:rsidRDefault="00060299" w:rsidP="003B05B6">
            <w:pPr>
              <w:rPr>
                <w:rFonts w:ascii="Arial" w:hAnsi="Arial" w:cs="Arial"/>
                <w:sz w:val="16"/>
                <w:szCs w:val="16"/>
              </w:rPr>
            </w:pPr>
          </w:p>
          <w:p w:rsidR="00333696" w:rsidRPr="00333696" w:rsidRDefault="00333696" w:rsidP="00333696">
            <w:pPr>
              <w:keepNext/>
              <w:rPr>
                <w:rFonts w:ascii="Arial" w:hAnsi="Arial" w:cs="Arial"/>
                <w:b/>
                <w:sz w:val="16"/>
                <w:szCs w:val="16"/>
              </w:rPr>
            </w:pPr>
            <w:bookmarkStart w:id="377" w:name="_Toc341043407"/>
            <w:r>
              <w:rPr>
                <w:rFonts w:ascii="Arial" w:hAnsi="Arial" w:cs="Arial"/>
                <w:b/>
                <w:sz w:val="16"/>
                <w:szCs w:val="16"/>
              </w:rPr>
              <w:t>Figura 3.</w:t>
            </w:r>
            <w:r w:rsidR="00990535" w:rsidRPr="00333696">
              <w:rPr>
                <w:rFonts w:ascii="Arial" w:hAnsi="Arial" w:cs="Arial"/>
                <w:b/>
                <w:sz w:val="16"/>
                <w:szCs w:val="16"/>
              </w:rPr>
              <w:fldChar w:fldCharType="begin"/>
            </w:r>
            <w:r w:rsidRPr="00333696">
              <w:rPr>
                <w:rFonts w:ascii="Arial" w:hAnsi="Arial" w:cs="Arial"/>
                <w:b/>
                <w:sz w:val="16"/>
                <w:szCs w:val="16"/>
              </w:rPr>
              <w:instrText xml:space="preserve"> SEQ Figura_3. \* ARABIC </w:instrText>
            </w:r>
            <w:r w:rsidR="00990535" w:rsidRPr="00333696">
              <w:rPr>
                <w:rFonts w:ascii="Arial" w:hAnsi="Arial" w:cs="Arial"/>
                <w:b/>
                <w:sz w:val="16"/>
                <w:szCs w:val="16"/>
              </w:rPr>
              <w:fldChar w:fldCharType="separate"/>
            </w:r>
            <w:r w:rsidR="00A242E0">
              <w:rPr>
                <w:rFonts w:ascii="Arial" w:hAnsi="Arial" w:cs="Arial"/>
                <w:b/>
                <w:noProof/>
                <w:sz w:val="16"/>
                <w:szCs w:val="16"/>
              </w:rPr>
              <w:t>8</w:t>
            </w:r>
            <w:bookmarkEnd w:id="377"/>
            <w:r w:rsidR="00990535" w:rsidRPr="00333696">
              <w:rPr>
                <w:rFonts w:ascii="Arial" w:hAnsi="Arial" w:cs="Arial"/>
                <w:b/>
                <w:sz w:val="16"/>
                <w:szCs w:val="16"/>
              </w:rPr>
              <w:fldChar w:fldCharType="end"/>
            </w:r>
          </w:p>
          <w:p w:rsidR="00060299" w:rsidRPr="00840530" w:rsidRDefault="00436907" w:rsidP="007C5EBC">
            <w:pPr>
              <w:rPr>
                <w:rFonts w:ascii="Arial" w:hAnsi="Arial" w:cs="Arial"/>
                <w:sz w:val="24"/>
                <w:szCs w:val="24"/>
              </w:rPr>
            </w:pPr>
            <w:r>
              <w:rPr>
                <w:noProof/>
              </w:rPr>
              <w:pict>
                <v:shape id="_x0000_s1366" type="#_x0000_t202" style="position:absolute;left:0;text-align:left;margin-left:-11.75pt;margin-top:319.55pt;width:582.4pt;height:44.25pt;z-index:251477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Default="006933DF" w:rsidP="00455F4F">
                        <w:pPr>
                          <w:pStyle w:val="Prrafodelista"/>
                          <w:spacing w:line="276" w:lineRule="auto"/>
                          <w:ind w:left="0"/>
                          <w:jc w:val="both"/>
                          <w:rPr>
                            <w:rFonts w:ascii="Arial" w:hAnsi="Arial" w:cs="Arial"/>
                            <w:b/>
                            <w:i/>
                            <w:sz w:val="17"/>
                            <w:szCs w:val="17"/>
                          </w:rPr>
                        </w:pPr>
                      </w:p>
                      <w:p w:rsidR="006933DF" w:rsidRPr="005E239A" w:rsidRDefault="006933DF" w:rsidP="00455F4F">
                        <w:pPr>
                          <w:pStyle w:val="Prrafodelista"/>
                          <w:spacing w:line="276" w:lineRule="auto"/>
                          <w:ind w:left="0"/>
                          <w:jc w:val="both"/>
                          <w:rPr>
                            <w:rFonts w:ascii="Arial" w:hAnsi="Arial" w:cs="Arial"/>
                            <w:sz w:val="17"/>
                            <w:szCs w:val="17"/>
                          </w:rPr>
                        </w:pPr>
                        <w:r w:rsidRPr="005E239A">
                          <w:rPr>
                            <w:rFonts w:ascii="Arial" w:hAnsi="Arial" w:cs="Arial"/>
                            <w:b/>
                            <w:i/>
                            <w:sz w:val="17"/>
                            <w:szCs w:val="17"/>
                          </w:rPr>
                          <w:t>Fuente:</w:t>
                        </w:r>
                        <w:r w:rsidRPr="005E239A">
                          <w:rPr>
                            <w:rFonts w:ascii="Arial" w:hAnsi="Arial" w:cs="Arial"/>
                            <w:sz w:val="17"/>
                            <w:szCs w:val="17"/>
                          </w:rPr>
                          <w:t xml:space="preserve"> </w:t>
                        </w:r>
                        <w:r w:rsidRPr="005E239A">
                          <w:rPr>
                            <w:rFonts w:ascii="Arial" w:hAnsi="Arial" w:cs="Arial"/>
                            <w:b/>
                            <w:sz w:val="17"/>
                            <w:szCs w:val="17"/>
                          </w:rPr>
                          <w:t xml:space="preserve">INEC </w:t>
                        </w:r>
                        <w:r w:rsidRPr="005E239A">
                          <w:rPr>
                            <w:rFonts w:ascii="Arial" w:hAnsi="Arial" w:cs="Arial"/>
                            <w:sz w:val="17"/>
                            <w:szCs w:val="17"/>
                          </w:rPr>
                          <w:t>(2010), Base de Datos del VII Censo de Población y VI de Vivienda.</w:t>
                        </w:r>
                      </w:p>
                      <w:p w:rsidR="006933DF" w:rsidRPr="005E239A" w:rsidRDefault="006933DF" w:rsidP="00455F4F">
                        <w:pPr>
                          <w:pStyle w:val="Prrafodelista"/>
                          <w:spacing w:line="276" w:lineRule="auto"/>
                          <w:ind w:left="0"/>
                          <w:jc w:val="both"/>
                          <w:rPr>
                            <w:rFonts w:ascii="Arial" w:hAnsi="Arial" w:cs="Arial"/>
                            <w:sz w:val="17"/>
                            <w:szCs w:val="17"/>
                          </w:rPr>
                        </w:pPr>
                        <w:r w:rsidRPr="005E239A">
                          <w:rPr>
                            <w:rFonts w:ascii="Arial" w:hAnsi="Arial" w:cs="Arial"/>
                            <w:b/>
                            <w:i/>
                            <w:sz w:val="17"/>
                            <w:szCs w:val="17"/>
                          </w:rPr>
                          <w:t>Elaborado por:</w:t>
                        </w:r>
                        <w:r w:rsidRPr="005E239A">
                          <w:rPr>
                            <w:rFonts w:ascii="Arial" w:hAnsi="Arial" w:cs="Arial"/>
                            <w:sz w:val="17"/>
                            <w:szCs w:val="17"/>
                          </w:rPr>
                          <w:t xml:space="preserve"> Katherine Loor Valeriano</w:t>
                        </w:r>
                      </w:p>
                      <w:p w:rsidR="006933DF" w:rsidRDefault="006933DF" w:rsidP="00060299"/>
                    </w:txbxContent>
                  </v:textbox>
                </v:shape>
              </w:pict>
            </w:r>
            <w:r w:rsidR="007C5EBC">
              <w:rPr>
                <w:rFonts w:ascii="Arial" w:hAnsi="Arial" w:cs="Arial"/>
                <w:b/>
                <w:i/>
                <w:sz w:val="16"/>
                <w:szCs w:val="16"/>
              </w:rPr>
              <w:t xml:space="preserve">Ecuador 2010: </w:t>
            </w:r>
            <w:r w:rsidR="007C5EBC">
              <w:rPr>
                <w:rFonts w:ascii="Arial" w:hAnsi="Arial" w:cs="Arial"/>
                <w:i/>
                <w:sz w:val="16"/>
                <w:szCs w:val="16"/>
              </w:rPr>
              <w:t xml:space="preserve">Serie filtrada de </w:t>
            </w:r>
            <w:r w:rsidR="007C5EBC">
              <w:rPr>
                <w:rFonts w:ascii="Arial" w:hAnsi="Arial" w:cs="Arial"/>
                <w:b/>
                <w:i/>
                <w:sz w:val="16"/>
                <w:szCs w:val="16"/>
              </w:rPr>
              <w:t>10 términos</w:t>
            </w:r>
            <w:r w:rsidR="007C5EBC">
              <w:rPr>
                <w:rFonts w:ascii="Arial" w:hAnsi="Arial" w:cs="Arial"/>
                <w:i/>
                <w:sz w:val="16"/>
                <w:szCs w:val="16"/>
              </w:rPr>
              <w:t xml:space="preserve"> del total de inmigrantes extranjeros por año de llegada al país </w:t>
            </w:r>
            <w:r w:rsidR="007C5EBC">
              <w:rPr>
                <w:noProof/>
                <w:lang w:eastAsia="es-EC"/>
              </w:rPr>
              <w:drawing>
                <wp:inline distT="0" distB="0" distL="0" distR="0">
                  <wp:extent cx="9525000" cy="4029075"/>
                  <wp:effectExtent l="0" t="0" r="0" b="0"/>
                  <wp:docPr id="185" name="Gráfico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rsidR="00060299" w:rsidRDefault="00060299" w:rsidP="00060299">
      <w:pPr>
        <w:pStyle w:val="Prrafodelista"/>
        <w:ind w:left="0"/>
        <w:jc w:val="both"/>
        <w:rPr>
          <w:rFonts w:ascii="Arial" w:hAnsi="Arial" w:cs="Arial"/>
          <w:sz w:val="18"/>
          <w:szCs w:val="18"/>
        </w:rPr>
      </w:pPr>
    </w:p>
    <w:p w:rsidR="00060299" w:rsidRPr="0074614B" w:rsidRDefault="00060299" w:rsidP="00060299">
      <w:pPr>
        <w:pStyle w:val="Prrafodelista"/>
        <w:ind w:left="0"/>
        <w:jc w:val="both"/>
        <w:rPr>
          <w:rFonts w:ascii="Arial" w:hAnsi="Arial" w:cs="Arial"/>
          <w:sz w:val="18"/>
          <w:szCs w:val="18"/>
        </w:rPr>
        <w:sectPr w:rsidR="00060299" w:rsidRPr="0074614B" w:rsidSect="003B05B6">
          <w:headerReference w:type="default" r:id="rId65"/>
          <w:pgSz w:w="16839" w:h="11907" w:orient="landscape" w:code="9"/>
          <w:pgMar w:top="2835" w:right="821" w:bottom="1560" w:left="851" w:header="709" w:footer="709" w:gutter="0"/>
          <w:cols w:space="708"/>
          <w:docGrid w:linePitch="360"/>
        </w:sectPr>
      </w:pPr>
    </w:p>
    <w:p w:rsidR="00060299" w:rsidRDefault="00060299" w:rsidP="007C5EBC">
      <w:pPr>
        <w:pStyle w:val="TesisTitulo1"/>
        <w:ind w:left="851"/>
      </w:pPr>
      <w:bookmarkStart w:id="378" w:name="_Toc335850595"/>
      <w:bookmarkStart w:id="379" w:name="_Toc341040647"/>
      <w:r>
        <w:lastRenderedPageBreak/>
        <w:t>Área de residencia</w:t>
      </w:r>
      <w:bookmarkEnd w:id="378"/>
      <w:bookmarkEnd w:id="379"/>
    </w:p>
    <w:p w:rsidR="00060299" w:rsidRDefault="00060299" w:rsidP="007C5EBC">
      <w:pPr>
        <w:spacing w:line="480" w:lineRule="auto"/>
        <w:ind w:left="851"/>
        <w:jc w:val="both"/>
        <w:rPr>
          <w:rFonts w:ascii="Arial" w:hAnsi="Arial" w:cs="Arial"/>
        </w:rPr>
      </w:pPr>
      <w:r>
        <w:rPr>
          <w:rFonts w:ascii="Arial" w:hAnsi="Arial" w:cs="Arial"/>
        </w:rPr>
        <w:t xml:space="preserve">Así como se mencionó la región y la provincia de residencia de los inmigrantes extranjeros que habitualmente viven en Ecuador, ahora hablaremos de la zona en la cual residen sea esta urbana o rural. En la </w:t>
      </w:r>
      <w:r>
        <w:rPr>
          <w:rFonts w:ascii="Arial" w:hAnsi="Arial" w:cs="Arial"/>
          <w:i/>
        </w:rPr>
        <w:t>Figura 3.</w:t>
      </w:r>
      <w:r>
        <w:rPr>
          <w:rFonts w:ascii="Arial" w:hAnsi="Arial" w:cs="Arial"/>
        </w:rPr>
        <w:t xml:space="preserve">9, se puede notar que en Ecuador hay 745.24 </w:t>
      </w:r>
      <w:r w:rsidR="007C5EBC">
        <w:rPr>
          <w:rFonts w:ascii="Arial" w:hAnsi="Arial" w:cs="Arial"/>
        </w:rPr>
        <w:t>extranjeros</w:t>
      </w:r>
      <w:r>
        <w:rPr>
          <w:rFonts w:ascii="Arial" w:hAnsi="Arial" w:cs="Arial"/>
        </w:rPr>
        <w:t xml:space="preserve"> por cada 1000 que residen en el área urbana (línea fucsia); y, 254.76 por cada 1000 que viven habitualmente en el área rural (línea azul). </w:t>
      </w:r>
      <w:r w:rsidR="00F91C02">
        <w:rPr>
          <w:rFonts w:ascii="Arial" w:hAnsi="Arial" w:cs="Arial"/>
        </w:rPr>
        <w:t>S</w:t>
      </w:r>
      <w:r>
        <w:rPr>
          <w:rFonts w:ascii="Arial" w:hAnsi="Arial" w:cs="Arial"/>
        </w:rPr>
        <w:t xml:space="preserve">i analizamos por nacionalidad podemos notar que de los colombianos residentes en el país hay 681.86 por cada 1000 que residen en el área urbana y 318.14 en el área rural. Por otra parte, para el caso de los peruanos y estadounidenses esta tasa toma valores de 758.10 y 795.43 por cada 1000 que viven en el área urbana respectivamente. </w:t>
      </w:r>
    </w:p>
    <w:p w:rsidR="00060299" w:rsidRDefault="00060299" w:rsidP="007C5EBC">
      <w:pPr>
        <w:spacing w:line="480" w:lineRule="auto"/>
        <w:ind w:left="851"/>
        <w:jc w:val="both"/>
        <w:rPr>
          <w:rFonts w:ascii="Arial" w:hAnsi="Arial" w:cs="Arial"/>
        </w:rPr>
      </w:pPr>
    </w:p>
    <w:p w:rsidR="00060299" w:rsidRDefault="00060299" w:rsidP="007C5EBC">
      <w:pPr>
        <w:spacing w:line="480" w:lineRule="auto"/>
        <w:ind w:left="851"/>
        <w:jc w:val="both"/>
        <w:rPr>
          <w:rFonts w:ascii="Arial" w:hAnsi="Arial" w:cs="Arial"/>
          <w:i/>
        </w:rPr>
      </w:pPr>
      <w:r>
        <w:rPr>
          <w:rFonts w:ascii="Arial" w:hAnsi="Arial" w:cs="Arial"/>
        </w:rPr>
        <w:t xml:space="preserve">Los cubanos residentes en Ecuador viven mayoritariamente en áreas urbanas (933.90 por cada 1000 cubanos) y los restantes en el área rural; igual situación es la de los chinos, pues hay 942.88 por cada 1000 que residen en el área urbana. También tenemos que para los venezolanos, chilenos e italianos la tasa de los que viven en el área rural toma valores de 845.13, 846.97 y 831.95 por cada 1000 respectivamente. Además, de los argentinos que viven en el Ecuador 832.62 por cada 1000 residen en el área urbana y 167.38 en el área rural; y, de los alemanes hay 681.82 por cada 1000 que residen en el área urbana y 318.18 en el área rural. </w:t>
      </w:r>
      <w:r w:rsidRPr="003E4A90">
        <w:rPr>
          <w:rFonts w:ascii="Arial" w:hAnsi="Arial" w:cs="Arial"/>
        </w:rPr>
        <w:t xml:space="preserve">Por otra parte, del grupo que no respondieron </w:t>
      </w:r>
      <w:r>
        <w:rPr>
          <w:rFonts w:ascii="Arial" w:hAnsi="Arial" w:cs="Arial"/>
        </w:rPr>
        <w:t>su país de nacimiento (3270) hay 713.76 por cada 1000 que</w:t>
      </w:r>
      <w:r w:rsidRPr="003E4A90">
        <w:rPr>
          <w:rFonts w:ascii="Arial" w:hAnsi="Arial" w:cs="Arial"/>
        </w:rPr>
        <w:t xml:space="preserve"> viven en el área urbana y </w:t>
      </w:r>
      <w:r>
        <w:rPr>
          <w:rFonts w:ascii="Arial" w:hAnsi="Arial" w:cs="Arial"/>
        </w:rPr>
        <w:t>los</w:t>
      </w:r>
      <w:r w:rsidRPr="003E4A90">
        <w:rPr>
          <w:rFonts w:ascii="Arial" w:hAnsi="Arial" w:cs="Arial"/>
        </w:rPr>
        <w:t xml:space="preserve"> restante</w:t>
      </w:r>
      <w:r>
        <w:rPr>
          <w:rFonts w:ascii="Arial" w:hAnsi="Arial" w:cs="Arial"/>
        </w:rPr>
        <w:t>s</w:t>
      </w:r>
      <w:r w:rsidRPr="003E4A90">
        <w:rPr>
          <w:rFonts w:ascii="Arial" w:hAnsi="Arial" w:cs="Arial"/>
        </w:rPr>
        <w:t xml:space="preserve"> en e</w:t>
      </w:r>
      <w:r>
        <w:rPr>
          <w:rFonts w:ascii="Arial" w:hAnsi="Arial" w:cs="Arial"/>
        </w:rPr>
        <w:t>l</w:t>
      </w:r>
      <w:r w:rsidRPr="003E4A90">
        <w:rPr>
          <w:rFonts w:ascii="Arial" w:hAnsi="Arial" w:cs="Arial"/>
        </w:rPr>
        <w:t xml:space="preserve"> </w:t>
      </w:r>
      <w:r w:rsidRPr="003E4A90">
        <w:rPr>
          <w:rFonts w:ascii="Arial" w:hAnsi="Arial" w:cs="Arial"/>
        </w:rPr>
        <w:lastRenderedPageBreak/>
        <w:t>área rural (</w:t>
      </w:r>
      <w:r>
        <w:rPr>
          <w:rFonts w:ascii="Arial" w:hAnsi="Arial" w:cs="Arial"/>
        </w:rPr>
        <w:t>286.24</w:t>
      </w:r>
      <w:r w:rsidRPr="003E4A90">
        <w:rPr>
          <w:rFonts w:ascii="Arial" w:hAnsi="Arial" w:cs="Arial"/>
        </w:rPr>
        <w:t>); teniéndose en todos lo casos que es mayor la cantidad de extranjeros que residen en el área urbana</w:t>
      </w:r>
      <w:r>
        <w:rPr>
          <w:rFonts w:ascii="Arial" w:hAnsi="Arial" w:cs="Arial"/>
        </w:rPr>
        <w:t xml:space="preserve"> respecto a los que viven en el área rural</w:t>
      </w:r>
      <w:r w:rsidRPr="003E4A90">
        <w:rPr>
          <w:rFonts w:ascii="Arial" w:hAnsi="Arial" w:cs="Arial"/>
        </w:rPr>
        <w:t>.</w:t>
      </w:r>
      <w:r>
        <w:rPr>
          <w:rFonts w:ascii="Arial" w:hAnsi="Arial" w:cs="Arial"/>
        </w:rPr>
        <w:t xml:space="preserve"> </w:t>
      </w:r>
      <w:r w:rsidRPr="003E4A90">
        <w:rPr>
          <w:rFonts w:ascii="Arial" w:hAnsi="Arial" w:cs="Arial"/>
          <w:i/>
        </w:rPr>
        <w:t>Véase Figura 3.</w:t>
      </w:r>
      <w:r>
        <w:rPr>
          <w:rFonts w:ascii="Arial" w:hAnsi="Arial" w:cs="Arial"/>
          <w:i/>
        </w:rPr>
        <w:t>9</w:t>
      </w:r>
      <w:r w:rsidRPr="003E4A90">
        <w:rPr>
          <w:rFonts w:ascii="Arial" w:hAnsi="Arial" w:cs="Arial"/>
          <w:i/>
        </w:rPr>
        <w:t>.</w:t>
      </w:r>
    </w:p>
    <w:tbl>
      <w:tblPr>
        <w:tblStyle w:val="Tablaconcuadrcula"/>
        <w:tblW w:w="7497" w:type="dxa"/>
        <w:jc w:val="right"/>
        <w:tblInd w:w="103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361C7D">
        <w:trPr>
          <w:trHeight w:val="3844"/>
          <w:jc w:val="right"/>
        </w:trPr>
        <w:tc>
          <w:tcPr>
            <w:tcW w:w="7497" w:type="dxa"/>
          </w:tcPr>
          <w:p w:rsidR="00060299" w:rsidRPr="00840530" w:rsidRDefault="00060299" w:rsidP="003B05B6">
            <w:pPr>
              <w:rPr>
                <w:rFonts w:ascii="Arial" w:hAnsi="Arial" w:cs="Arial"/>
                <w:sz w:val="16"/>
                <w:szCs w:val="16"/>
              </w:rPr>
            </w:pPr>
          </w:p>
          <w:p w:rsidR="00F52344" w:rsidRPr="00F52344" w:rsidRDefault="00F52344" w:rsidP="00F52344">
            <w:pPr>
              <w:keepNext/>
              <w:rPr>
                <w:rFonts w:ascii="Arial" w:hAnsi="Arial" w:cs="Arial"/>
                <w:b/>
                <w:sz w:val="16"/>
                <w:szCs w:val="16"/>
              </w:rPr>
            </w:pPr>
            <w:bookmarkStart w:id="380" w:name="_Toc341043408"/>
            <w:r>
              <w:rPr>
                <w:rFonts w:ascii="Arial" w:hAnsi="Arial" w:cs="Arial"/>
                <w:b/>
                <w:sz w:val="16"/>
                <w:szCs w:val="16"/>
              </w:rPr>
              <w:t>Figura 3.</w:t>
            </w:r>
            <w:r w:rsidR="00990535" w:rsidRPr="00F52344">
              <w:rPr>
                <w:rFonts w:ascii="Arial" w:hAnsi="Arial" w:cs="Arial"/>
                <w:b/>
                <w:sz w:val="16"/>
                <w:szCs w:val="16"/>
              </w:rPr>
              <w:fldChar w:fldCharType="begin"/>
            </w:r>
            <w:r w:rsidRPr="00F52344">
              <w:rPr>
                <w:rFonts w:ascii="Arial" w:hAnsi="Arial" w:cs="Arial"/>
                <w:b/>
                <w:sz w:val="16"/>
                <w:szCs w:val="16"/>
              </w:rPr>
              <w:instrText xml:space="preserve"> SEQ Figura_3. \* ARABIC </w:instrText>
            </w:r>
            <w:r w:rsidR="00990535" w:rsidRPr="00F52344">
              <w:rPr>
                <w:rFonts w:ascii="Arial" w:hAnsi="Arial" w:cs="Arial"/>
                <w:b/>
                <w:sz w:val="16"/>
                <w:szCs w:val="16"/>
              </w:rPr>
              <w:fldChar w:fldCharType="separate"/>
            </w:r>
            <w:r w:rsidR="00A242E0">
              <w:rPr>
                <w:rFonts w:ascii="Arial" w:hAnsi="Arial" w:cs="Arial"/>
                <w:b/>
                <w:noProof/>
                <w:sz w:val="16"/>
                <w:szCs w:val="16"/>
              </w:rPr>
              <w:t>9</w:t>
            </w:r>
            <w:bookmarkEnd w:id="380"/>
            <w:r w:rsidR="00990535" w:rsidRPr="00F52344">
              <w:rPr>
                <w:rFonts w:ascii="Arial" w:hAnsi="Arial" w:cs="Arial"/>
                <w:b/>
                <w:sz w:val="16"/>
                <w:szCs w:val="16"/>
              </w:rPr>
              <w:fldChar w:fldCharType="end"/>
            </w:r>
          </w:p>
          <w:p w:rsidR="00060299" w:rsidRDefault="007C5EBC" w:rsidP="003B05B6">
            <w:pPr>
              <w:rPr>
                <w:rFonts w:ascii="Arial" w:hAnsi="Arial" w:cs="Arial"/>
                <w:i/>
                <w:sz w:val="16"/>
                <w:szCs w:val="16"/>
              </w:rPr>
            </w:pPr>
            <w:r>
              <w:rPr>
                <w:rFonts w:ascii="Arial" w:hAnsi="Arial" w:cs="Arial"/>
                <w:b/>
                <w:i/>
                <w:sz w:val="16"/>
                <w:szCs w:val="16"/>
              </w:rPr>
              <w:t xml:space="preserve">Ecuador 2010: </w:t>
            </w:r>
            <w:r w:rsidR="00060299" w:rsidRPr="00783C4D">
              <w:rPr>
                <w:rFonts w:ascii="Arial" w:hAnsi="Arial" w:cs="Arial"/>
                <w:i/>
                <w:sz w:val="16"/>
                <w:szCs w:val="16"/>
              </w:rPr>
              <w:t>Tasa</w:t>
            </w:r>
            <w:r w:rsidR="00060299">
              <w:rPr>
                <w:rFonts w:ascii="Arial" w:hAnsi="Arial" w:cs="Arial"/>
                <w:i/>
                <w:sz w:val="16"/>
                <w:szCs w:val="16"/>
              </w:rPr>
              <w:t xml:space="preserve"> Área de residencia por cada 1000 inmigrantes dado el País de nacimiento</w:t>
            </w:r>
          </w:p>
          <w:p w:rsidR="003B05B6" w:rsidRPr="00351870" w:rsidRDefault="003B05B6" w:rsidP="003B05B6">
            <w:pPr>
              <w:rPr>
                <w:rFonts w:ascii="Arial" w:hAnsi="Arial" w:cs="Arial"/>
                <w:i/>
                <w:sz w:val="16"/>
                <w:szCs w:val="16"/>
              </w:rPr>
            </w:pPr>
            <w:r>
              <w:rPr>
                <w:noProof/>
                <w:lang w:eastAsia="es-EC"/>
              </w:rPr>
              <w:drawing>
                <wp:inline distT="0" distB="0" distL="0" distR="0">
                  <wp:extent cx="4591050" cy="2160000"/>
                  <wp:effectExtent l="0" t="0" r="0" b="0"/>
                  <wp:docPr id="309" name="Gráfico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rsidR="00060299" w:rsidRPr="007C5EBC" w:rsidRDefault="00060299" w:rsidP="007C5EBC">
      <w:pPr>
        <w:pStyle w:val="Prrafodelista"/>
        <w:spacing w:line="276" w:lineRule="auto"/>
        <w:ind w:left="851"/>
        <w:jc w:val="both"/>
        <w:rPr>
          <w:rFonts w:ascii="Arial" w:hAnsi="Arial" w:cs="Arial"/>
          <w:sz w:val="17"/>
          <w:szCs w:val="17"/>
        </w:rPr>
      </w:pPr>
    </w:p>
    <w:p w:rsidR="00060299" w:rsidRPr="007C5EBC" w:rsidRDefault="00060299" w:rsidP="007C5EBC">
      <w:pPr>
        <w:pStyle w:val="Prrafodelista"/>
        <w:spacing w:line="276" w:lineRule="auto"/>
        <w:ind w:left="851"/>
        <w:jc w:val="both"/>
        <w:rPr>
          <w:rFonts w:ascii="Arial" w:hAnsi="Arial" w:cs="Arial"/>
          <w:sz w:val="17"/>
          <w:szCs w:val="17"/>
        </w:rPr>
      </w:pPr>
      <w:r w:rsidRPr="007C5EBC">
        <w:rPr>
          <w:rFonts w:ascii="Arial" w:hAnsi="Arial" w:cs="Arial"/>
          <w:b/>
          <w:i/>
          <w:sz w:val="17"/>
          <w:szCs w:val="17"/>
        </w:rPr>
        <w:t>Fuente:</w:t>
      </w:r>
      <w:r w:rsidRPr="007C5EBC">
        <w:rPr>
          <w:rFonts w:ascii="Arial" w:hAnsi="Arial" w:cs="Arial"/>
          <w:sz w:val="17"/>
          <w:szCs w:val="17"/>
        </w:rPr>
        <w:t xml:space="preserve"> </w:t>
      </w:r>
      <w:r w:rsidRPr="007C5EBC">
        <w:rPr>
          <w:rFonts w:ascii="Arial" w:hAnsi="Arial" w:cs="Arial"/>
          <w:b/>
          <w:sz w:val="17"/>
          <w:szCs w:val="17"/>
        </w:rPr>
        <w:t xml:space="preserve">INEC </w:t>
      </w:r>
      <w:r w:rsidRPr="007C5EBC">
        <w:rPr>
          <w:rFonts w:ascii="Arial" w:hAnsi="Arial" w:cs="Arial"/>
          <w:sz w:val="17"/>
          <w:szCs w:val="17"/>
        </w:rPr>
        <w:t>(2010), Base de Datos del VII Censo de Población y VI de Vivienda.</w:t>
      </w:r>
    </w:p>
    <w:p w:rsidR="00060299" w:rsidRPr="007C5EBC" w:rsidRDefault="00060299" w:rsidP="007C5EBC">
      <w:pPr>
        <w:pStyle w:val="Prrafodelista"/>
        <w:spacing w:line="276" w:lineRule="auto"/>
        <w:ind w:left="851"/>
        <w:jc w:val="both"/>
        <w:rPr>
          <w:rFonts w:ascii="Arial" w:hAnsi="Arial" w:cs="Arial"/>
          <w:sz w:val="17"/>
          <w:szCs w:val="17"/>
        </w:rPr>
      </w:pPr>
      <w:r w:rsidRPr="007C5EBC">
        <w:rPr>
          <w:rFonts w:ascii="Arial" w:hAnsi="Arial" w:cs="Arial"/>
          <w:b/>
          <w:i/>
          <w:sz w:val="17"/>
          <w:szCs w:val="17"/>
        </w:rPr>
        <w:t>Elaborado por:</w:t>
      </w:r>
      <w:r w:rsidRPr="007C5EBC">
        <w:rPr>
          <w:rFonts w:ascii="Arial" w:hAnsi="Arial" w:cs="Arial"/>
          <w:sz w:val="17"/>
          <w:szCs w:val="17"/>
        </w:rPr>
        <w:t xml:space="preserve"> Katherine Loor Valeriano</w:t>
      </w:r>
    </w:p>
    <w:p w:rsidR="00060299" w:rsidRDefault="00060299" w:rsidP="007C5EBC">
      <w:pPr>
        <w:pStyle w:val="TesisTitulo2"/>
        <w:numPr>
          <w:ilvl w:val="0"/>
          <w:numId w:val="0"/>
        </w:numPr>
        <w:ind w:left="851"/>
        <w:rPr>
          <w:b w:val="0"/>
          <w:sz w:val="22"/>
          <w:szCs w:val="22"/>
        </w:rPr>
      </w:pPr>
      <w:bookmarkStart w:id="381" w:name="_Toc331941465"/>
    </w:p>
    <w:p w:rsidR="00060299" w:rsidRPr="00F73801" w:rsidRDefault="00060299" w:rsidP="00F73801">
      <w:pPr>
        <w:spacing w:line="480" w:lineRule="auto"/>
        <w:ind w:left="851"/>
        <w:jc w:val="both"/>
        <w:rPr>
          <w:rFonts w:ascii="Arial" w:hAnsi="Arial" w:cs="Arial"/>
          <w:b/>
          <w:i/>
        </w:rPr>
      </w:pPr>
      <w:bookmarkStart w:id="382" w:name="_Toc335341773"/>
      <w:bookmarkStart w:id="383" w:name="_Toc335386947"/>
      <w:bookmarkStart w:id="384" w:name="_Toc335744727"/>
      <w:bookmarkStart w:id="385" w:name="_Toc335847787"/>
      <w:bookmarkStart w:id="386" w:name="_Toc335850506"/>
      <w:bookmarkStart w:id="387" w:name="_Toc335850596"/>
      <w:bookmarkStart w:id="388" w:name="_Toc339784871"/>
      <w:bookmarkStart w:id="389" w:name="_Toc339853026"/>
      <w:bookmarkStart w:id="390" w:name="_Toc340231796"/>
      <w:r w:rsidRPr="00F73801">
        <w:rPr>
          <w:rFonts w:ascii="Arial" w:hAnsi="Arial" w:cs="Arial"/>
        </w:rPr>
        <w:t xml:space="preserve">Pero a más de analizar la tasa por área de residencia dada la nacionalidad del inmigrante, también podemos analizar dicha tasa a nivel provincial; donde como se muestra en la </w:t>
      </w:r>
      <w:r w:rsidRPr="00F73801">
        <w:rPr>
          <w:rFonts w:ascii="Arial" w:hAnsi="Arial" w:cs="Arial"/>
          <w:i/>
        </w:rPr>
        <w:t>Figura 3.10</w:t>
      </w:r>
      <w:r w:rsidRPr="00F73801">
        <w:rPr>
          <w:rFonts w:ascii="Arial" w:hAnsi="Arial" w:cs="Arial"/>
        </w:rPr>
        <w:t>, la mayoría de los extranjeros residen en el área urbana, aunque quienes habitualmente viven en las provincias de Carchi, Sucumbíos o en las Zonas no Delimitadas la mayoría se encuentra en el área rural. Por otra parte, podemos notar que de los extranjeros que habitan en la provincia del Guayas, hay 969.23 por cada 1000 inmigrantes que residen en el área urbana y 30.77 en el área rural; para el caso de Pichincha en cambio, tenemos que se pueden encontrar 740.26 por cada 1000 extranjeros en las zonas urbanizadas y 259.74 en el área rural.</w:t>
      </w:r>
      <w:bookmarkEnd w:id="382"/>
      <w:bookmarkEnd w:id="383"/>
      <w:bookmarkEnd w:id="384"/>
      <w:bookmarkEnd w:id="385"/>
      <w:bookmarkEnd w:id="386"/>
      <w:bookmarkEnd w:id="387"/>
      <w:bookmarkEnd w:id="388"/>
      <w:bookmarkEnd w:id="389"/>
      <w:bookmarkEnd w:id="390"/>
      <w:r w:rsidRPr="00F73801">
        <w:rPr>
          <w:rFonts w:ascii="Arial" w:hAnsi="Arial" w:cs="Arial"/>
        </w:rPr>
        <w:t xml:space="preserve"> </w:t>
      </w:r>
      <w:bookmarkStart w:id="391" w:name="_Toc335341774"/>
      <w:bookmarkStart w:id="392" w:name="_Toc335386948"/>
      <w:bookmarkStart w:id="393" w:name="_Toc335744728"/>
      <w:bookmarkStart w:id="394" w:name="_Toc335847788"/>
      <w:bookmarkStart w:id="395" w:name="_Toc335850507"/>
      <w:bookmarkStart w:id="396" w:name="_Toc335850597"/>
      <w:bookmarkStart w:id="397" w:name="_Toc339784872"/>
      <w:bookmarkStart w:id="398" w:name="_Toc339853027"/>
      <w:bookmarkStart w:id="399" w:name="_Toc340231797"/>
      <w:r w:rsidRPr="00F73801">
        <w:rPr>
          <w:rFonts w:ascii="Arial" w:hAnsi="Arial" w:cs="Arial"/>
        </w:rPr>
        <w:t xml:space="preserve">En la provincia de Napo, tenemos que hay 642.55 por cada 1000 </w:t>
      </w:r>
      <w:r w:rsidRPr="00F73801">
        <w:rPr>
          <w:rFonts w:ascii="Arial" w:hAnsi="Arial" w:cs="Arial"/>
        </w:rPr>
        <w:lastRenderedPageBreak/>
        <w:t xml:space="preserve">inmigrantes extranjeros que residen en el área urbana y por tanto 357.45 en el área rural; y, en Pastaza, en cambio, hay casi iguales cantidades de extranjeros tanto en el área urbana (556.63 por cada 1000) como rural (443.37 por cada 1000). Para más detalles </w:t>
      </w:r>
      <w:r w:rsidRPr="00F73801">
        <w:rPr>
          <w:rFonts w:ascii="Arial" w:hAnsi="Arial" w:cs="Arial"/>
          <w:i/>
        </w:rPr>
        <w:t>véase Figura 3.10.</w:t>
      </w:r>
      <w:bookmarkEnd w:id="391"/>
      <w:bookmarkEnd w:id="392"/>
      <w:bookmarkEnd w:id="393"/>
      <w:bookmarkEnd w:id="394"/>
      <w:bookmarkEnd w:id="395"/>
      <w:bookmarkEnd w:id="396"/>
      <w:bookmarkEnd w:id="397"/>
      <w:bookmarkEnd w:id="398"/>
      <w:bookmarkEnd w:id="399"/>
    </w:p>
    <w:tbl>
      <w:tblPr>
        <w:tblStyle w:val="Tablaconcuadrcula"/>
        <w:tblW w:w="7497" w:type="dxa"/>
        <w:jc w:val="right"/>
        <w:tblInd w:w="103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6F2703">
        <w:trPr>
          <w:trHeight w:val="4007"/>
          <w:jc w:val="right"/>
        </w:trPr>
        <w:tc>
          <w:tcPr>
            <w:tcW w:w="7497" w:type="dxa"/>
          </w:tcPr>
          <w:p w:rsidR="00060299" w:rsidRPr="00840530" w:rsidRDefault="00060299" w:rsidP="003B05B6">
            <w:pPr>
              <w:rPr>
                <w:rFonts w:ascii="Arial" w:hAnsi="Arial" w:cs="Arial"/>
                <w:sz w:val="16"/>
                <w:szCs w:val="16"/>
              </w:rPr>
            </w:pPr>
          </w:p>
          <w:p w:rsidR="00960F17" w:rsidRPr="00960F17" w:rsidRDefault="00960F17" w:rsidP="00960F17">
            <w:pPr>
              <w:keepNext/>
              <w:rPr>
                <w:rFonts w:ascii="Arial" w:hAnsi="Arial" w:cs="Arial"/>
                <w:b/>
                <w:sz w:val="16"/>
                <w:szCs w:val="16"/>
              </w:rPr>
            </w:pPr>
            <w:bookmarkStart w:id="400" w:name="_Toc341043409"/>
            <w:r>
              <w:rPr>
                <w:rFonts w:ascii="Arial" w:hAnsi="Arial" w:cs="Arial"/>
                <w:b/>
                <w:sz w:val="16"/>
                <w:szCs w:val="16"/>
              </w:rPr>
              <w:t>Figura 3.</w:t>
            </w:r>
            <w:r w:rsidR="00990535" w:rsidRPr="00960F17">
              <w:rPr>
                <w:rFonts w:ascii="Arial" w:hAnsi="Arial" w:cs="Arial"/>
                <w:b/>
                <w:sz w:val="16"/>
                <w:szCs w:val="16"/>
              </w:rPr>
              <w:fldChar w:fldCharType="begin"/>
            </w:r>
            <w:r w:rsidRPr="00960F17">
              <w:rPr>
                <w:rFonts w:ascii="Arial" w:hAnsi="Arial" w:cs="Arial"/>
                <w:b/>
                <w:sz w:val="16"/>
                <w:szCs w:val="16"/>
              </w:rPr>
              <w:instrText xml:space="preserve"> SEQ Figura_3. \* ARABIC </w:instrText>
            </w:r>
            <w:r w:rsidR="00990535" w:rsidRPr="00960F17">
              <w:rPr>
                <w:rFonts w:ascii="Arial" w:hAnsi="Arial" w:cs="Arial"/>
                <w:b/>
                <w:sz w:val="16"/>
                <w:szCs w:val="16"/>
              </w:rPr>
              <w:fldChar w:fldCharType="separate"/>
            </w:r>
            <w:r w:rsidR="00A242E0">
              <w:rPr>
                <w:rFonts w:ascii="Arial" w:hAnsi="Arial" w:cs="Arial"/>
                <w:b/>
                <w:noProof/>
                <w:sz w:val="16"/>
                <w:szCs w:val="16"/>
              </w:rPr>
              <w:t>10</w:t>
            </w:r>
            <w:bookmarkEnd w:id="400"/>
            <w:r w:rsidR="00990535" w:rsidRPr="00960F17">
              <w:rPr>
                <w:rFonts w:ascii="Arial" w:hAnsi="Arial" w:cs="Arial"/>
                <w:b/>
                <w:sz w:val="16"/>
                <w:szCs w:val="16"/>
              </w:rPr>
              <w:fldChar w:fldCharType="end"/>
            </w:r>
          </w:p>
          <w:p w:rsidR="00060299" w:rsidRDefault="006F2703" w:rsidP="003B05B6">
            <w:pPr>
              <w:rPr>
                <w:rFonts w:ascii="Arial" w:hAnsi="Arial" w:cs="Arial"/>
                <w:i/>
                <w:sz w:val="16"/>
                <w:szCs w:val="16"/>
              </w:rPr>
            </w:pPr>
            <w:r>
              <w:rPr>
                <w:rFonts w:ascii="Arial" w:hAnsi="Arial" w:cs="Arial"/>
                <w:b/>
                <w:i/>
                <w:sz w:val="16"/>
                <w:szCs w:val="16"/>
              </w:rPr>
              <w:t xml:space="preserve">Ecuador 2010: </w:t>
            </w:r>
            <w:r w:rsidR="00060299" w:rsidRPr="00783C4D">
              <w:rPr>
                <w:rFonts w:ascii="Arial" w:hAnsi="Arial" w:cs="Arial"/>
                <w:i/>
                <w:sz w:val="16"/>
                <w:szCs w:val="16"/>
              </w:rPr>
              <w:t>Tasa</w:t>
            </w:r>
            <w:r w:rsidR="00060299">
              <w:rPr>
                <w:rFonts w:ascii="Arial" w:hAnsi="Arial" w:cs="Arial"/>
                <w:i/>
                <w:sz w:val="16"/>
                <w:szCs w:val="16"/>
              </w:rPr>
              <w:t xml:space="preserve"> por cada 1000 inmigrantes por zona urbana y rural a nivel Provincial</w:t>
            </w:r>
          </w:p>
          <w:p w:rsidR="00060299" w:rsidRPr="00351870" w:rsidRDefault="00032D7A" w:rsidP="003B05B6">
            <w:pPr>
              <w:rPr>
                <w:rFonts w:ascii="Arial" w:hAnsi="Arial" w:cs="Arial"/>
                <w:i/>
                <w:sz w:val="16"/>
                <w:szCs w:val="16"/>
              </w:rPr>
            </w:pPr>
            <w:r>
              <w:rPr>
                <w:noProof/>
                <w:lang w:eastAsia="es-EC"/>
              </w:rPr>
              <w:drawing>
                <wp:inline distT="0" distB="0" distL="0" distR="0">
                  <wp:extent cx="4591050" cy="2160000"/>
                  <wp:effectExtent l="0" t="0" r="0" b="0"/>
                  <wp:docPr id="312" name="Gráfico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rsidR="00060299" w:rsidRPr="006F2703" w:rsidRDefault="00060299" w:rsidP="006F2703">
      <w:pPr>
        <w:pStyle w:val="Prrafodelista"/>
        <w:spacing w:line="276" w:lineRule="auto"/>
        <w:ind w:left="851"/>
        <w:jc w:val="both"/>
        <w:rPr>
          <w:rFonts w:ascii="Arial" w:hAnsi="Arial" w:cs="Arial"/>
          <w:sz w:val="17"/>
          <w:szCs w:val="17"/>
        </w:rPr>
      </w:pPr>
    </w:p>
    <w:p w:rsidR="00060299" w:rsidRPr="006F2703" w:rsidRDefault="00060299" w:rsidP="006F2703">
      <w:pPr>
        <w:pStyle w:val="Prrafodelista"/>
        <w:spacing w:line="276" w:lineRule="auto"/>
        <w:ind w:left="851"/>
        <w:jc w:val="both"/>
        <w:rPr>
          <w:rFonts w:ascii="Arial" w:hAnsi="Arial" w:cs="Arial"/>
          <w:sz w:val="17"/>
          <w:szCs w:val="17"/>
        </w:rPr>
      </w:pPr>
      <w:r w:rsidRPr="006F2703">
        <w:rPr>
          <w:rFonts w:ascii="Arial" w:hAnsi="Arial" w:cs="Arial"/>
          <w:b/>
          <w:i/>
          <w:sz w:val="17"/>
          <w:szCs w:val="17"/>
        </w:rPr>
        <w:t>Fuente:</w:t>
      </w:r>
      <w:r w:rsidRPr="006F2703">
        <w:rPr>
          <w:rFonts w:ascii="Arial" w:hAnsi="Arial" w:cs="Arial"/>
          <w:sz w:val="17"/>
          <w:szCs w:val="17"/>
        </w:rPr>
        <w:t xml:space="preserve"> </w:t>
      </w:r>
      <w:r w:rsidRPr="006F2703">
        <w:rPr>
          <w:rFonts w:ascii="Arial" w:hAnsi="Arial" w:cs="Arial"/>
          <w:b/>
          <w:sz w:val="17"/>
          <w:szCs w:val="17"/>
        </w:rPr>
        <w:t xml:space="preserve">INEC </w:t>
      </w:r>
      <w:r w:rsidRPr="006F2703">
        <w:rPr>
          <w:rFonts w:ascii="Arial" w:hAnsi="Arial" w:cs="Arial"/>
          <w:sz w:val="17"/>
          <w:szCs w:val="17"/>
        </w:rPr>
        <w:t>(2010), Base de Datos del VII Censo de Población y VI de Vivienda.</w:t>
      </w:r>
    </w:p>
    <w:p w:rsidR="00060299" w:rsidRPr="00480AFA" w:rsidRDefault="00060299" w:rsidP="006F2703">
      <w:pPr>
        <w:pStyle w:val="Prrafodelista"/>
        <w:spacing w:line="276" w:lineRule="auto"/>
        <w:ind w:left="851"/>
        <w:jc w:val="both"/>
        <w:rPr>
          <w:rFonts w:ascii="Arial" w:hAnsi="Arial" w:cs="Arial"/>
          <w:sz w:val="18"/>
          <w:szCs w:val="18"/>
        </w:rPr>
      </w:pPr>
      <w:r w:rsidRPr="006F2703">
        <w:rPr>
          <w:rFonts w:ascii="Arial" w:hAnsi="Arial" w:cs="Arial"/>
          <w:b/>
          <w:i/>
          <w:sz w:val="17"/>
          <w:szCs w:val="17"/>
        </w:rPr>
        <w:t>Elaborado por:</w:t>
      </w:r>
      <w:r w:rsidRPr="006F2703">
        <w:rPr>
          <w:rFonts w:ascii="Arial" w:hAnsi="Arial" w:cs="Arial"/>
          <w:sz w:val="17"/>
          <w:szCs w:val="17"/>
        </w:rPr>
        <w:t xml:space="preserve"> Katherine Loor Valeriano</w:t>
      </w:r>
    </w:p>
    <w:p w:rsidR="00060299" w:rsidRPr="005E01B8" w:rsidRDefault="00060299" w:rsidP="006F2703">
      <w:pPr>
        <w:pStyle w:val="TesisTitulo2"/>
        <w:numPr>
          <w:ilvl w:val="0"/>
          <w:numId w:val="0"/>
        </w:numPr>
        <w:ind w:left="851"/>
        <w:rPr>
          <w:b w:val="0"/>
          <w:sz w:val="22"/>
          <w:szCs w:val="22"/>
        </w:rPr>
      </w:pPr>
    </w:p>
    <w:p w:rsidR="00060299" w:rsidRPr="004C0DAD" w:rsidRDefault="00060299" w:rsidP="006F2703">
      <w:pPr>
        <w:pStyle w:val="TesisTitulo1"/>
        <w:ind w:left="851"/>
      </w:pPr>
      <w:bookmarkStart w:id="401" w:name="_Toc335850598"/>
      <w:bookmarkStart w:id="402" w:name="_Toc341040648"/>
      <w:r>
        <w:t>Género del inmigrante</w:t>
      </w:r>
      <w:bookmarkEnd w:id="381"/>
      <w:r>
        <w:t xml:space="preserve"> extranjero</w:t>
      </w:r>
      <w:bookmarkEnd w:id="401"/>
      <w:bookmarkEnd w:id="402"/>
    </w:p>
    <w:p w:rsidR="00060299" w:rsidRPr="00B11384" w:rsidRDefault="00060299" w:rsidP="006F2703">
      <w:pPr>
        <w:spacing w:line="480" w:lineRule="auto"/>
        <w:ind w:left="851"/>
        <w:jc w:val="both"/>
        <w:rPr>
          <w:rFonts w:ascii="Arial" w:hAnsi="Arial" w:cs="Arial"/>
        </w:rPr>
      </w:pPr>
      <w:r>
        <w:rPr>
          <w:rFonts w:ascii="Arial" w:hAnsi="Arial" w:cs="Arial"/>
        </w:rPr>
        <w:t xml:space="preserve">En lo que respecta al género de los extranjeros residentes en el Ecuador, tenemos que el 50.80% son hombres y el porcentaje restante son mujeres (49.20%); obteniéndose que el índice de feminidad de los extranjeros residentes en el país es de 97 mujeres por cada 100 hombres extranjeros que viven en el Ecuador. Pero a más de analizar el índice de feminidad del total de extranjeros, ahora vamos a ver de qué países es mayor la cantidad de mujeres inmigrantes en Ecuador respecto a la cantidad de hombres; desde las </w:t>
      </w:r>
      <w:r>
        <w:rPr>
          <w:rFonts w:ascii="Arial" w:hAnsi="Arial" w:cs="Arial"/>
          <w:i/>
        </w:rPr>
        <w:t>Figuras 3.11</w:t>
      </w:r>
      <w:r>
        <w:rPr>
          <w:rFonts w:ascii="Arial" w:hAnsi="Arial" w:cs="Arial"/>
        </w:rPr>
        <w:t xml:space="preserve"> hasta la </w:t>
      </w:r>
      <w:r>
        <w:rPr>
          <w:rFonts w:ascii="Arial" w:hAnsi="Arial" w:cs="Arial"/>
          <w:i/>
        </w:rPr>
        <w:t>Figura 3.14</w:t>
      </w:r>
      <w:r>
        <w:rPr>
          <w:rFonts w:ascii="Arial" w:hAnsi="Arial" w:cs="Arial"/>
        </w:rPr>
        <w:t xml:space="preserve"> se presentan los índices de feminidad para algunos países de nacimiento de los inmigrantes por </w:t>
      </w:r>
      <w:r>
        <w:rPr>
          <w:rFonts w:ascii="Arial" w:hAnsi="Arial" w:cs="Arial"/>
        </w:rPr>
        <w:lastRenderedPageBreak/>
        <w:t>continente, en donde la altura de las barras representan el índice de feminidad y la línea horizontal representa 100 hombres.</w:t>
      </w:r>
    </w:p>
    <w:p w:rsidR="00060299" w:rsidRDefault="00060299" w:rsidP="006F2703">
      <w:pPr>
        <w:spacing w:line="480" w:lineRule="auto"/>
        <w:ind w:left="851"/>
        <w:jc w:val="both"/>
        <w:rPr>
          <w:rFonts w:ascii="Arial" w:hAnsi="Arial" w:cs="Arial"/>
        </w:rPr>
      </w:pPr>
    </w:p>
    <w:p w:rsidR="00060299" w:rsidRDefault="00060299" w:rsidP="006F2703">
      <w:pPr>
        <w:spacing w:line="480" w:lineRule="auto"/>
        <w:ind w:left="851"/>
        <w:jc w:val="both"/>
        <w:rPr>
          <w:rFonts w:ascii="Arial" w:hAnsi="Arial" w:cs="Arial"/>
        </w:rPr>
      </w:pPr>
      <w:r>
        <w:rPr>
          <w:rFonts w:ascii="Arial" w:hAnsi="Arial" w:cs="Arial"/>
        </w:rPr>
        <w:t xml:space="preserve">En la </w:t>
      </w:r>
      <w:r>
        <w:rPr>
          <w:rFonts w:ascii="Arial" w:hAnsi="Arial" w:cs="Arial"/>
          <w:i/>
        </w:rPr>
        <w:t>Figura 3.11</w:t>
      </w:r>
      <w:r>
        <w:rPr>
          <w:rFonts w:ascii="Arial" w:hAnsi="Arial" w:cs="Arial"/>
        </w:rPr>
        <w:t xml:space="preserve"> podemos notar que de los extranjeros residentes en Ecuador que nacieron en países como Colombia, Venezuela, Brasil, México; y, Canadá el índice de feminidad que presentan es de 111.78, 107.47, 131.88, 107.33; y, 105.01 mujeres por cada 100 hombres de cada nacionalidad respectivamente. </w:t>
      </w:r>
      <w:r w:rsidR="00F91C02">
        <w:rPr>
          <w:rFonts w:ascii="Arial" w:hAnsi="Arial" w:cs="Arial"/>
        </w:rPr>
        <w:t>D</w:t>
      </w:r>
      <w:r>
        <w:rPr>
          <w:rFonts w:ascii="Arial" w:hAnsi="Arial" w:cs="Arial"/>
        </w:rPr>
        <w:t>e los que nacieron en Estados Unidos hay 95.61 mujeres por cada 100 hombres estadounidenses residentes en Ecuador; hay 84.48 mujeres que nacieron en Chile por cada 100 hombres inmigrantes chilenos residentes en nuestro país. Además, para los casos de Cuba y Argentina el índice de feminidad es de 59.66 y 69.52 mujeres por cada 100 hombres de cada una de las nacionalidades residentes en Ecuador.</w:t>
      </w:r>
    </w:p>
    <w:tbl>
      <w:tblPr>
        <w:tblStyle w:val="Tablaconcuadrcula"/>
        <w:tblW w:w="7497" w:type="dxa"/>
        <w:jc w:val="right"/>
        <w:tblInd w:w="103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6F2703">
        <w:trPr>
          <w:trHeight w:val="2107"/>
          <w:jc w:val="right"/>
        </w:trPr>
        <w:tc>
          <w:tcPr>
            <w:tcW w:w="7497" w:type="dxa"/>
          </w:tcPr>
          <w:p w:rsidR="00060299" w:rsidRPr="00840530" w:rsidRDefault="00060299" w:rsidP="003B05B6">
            <w:pPr>
              <w:rPr>
                <w:rFonts w:ascii="Arial" w:hAnsi="Arial" w:cs="Arial"/>
                <w:sz w:val="16"/>
                <w:szCs w:val="16"/>
              </w:rPr>
            </w:pPr>
          </w:p>
          <w:p w:rsidR="00222A35" w:rsidRPr="00222A35" w:rsidRDefault="00222A35" w:rsidP="00222A35">
            <w:pPr>
              <w:keepNext/>
              <w:rPr>
                <w:rFonts w:ascii="Arial" w:hAnsi="Arial" w:cs="Arial"/>
                <w:b/>
                <w:sz w:val="16"/>
                <w:szCs w:val="16"/>
              </w:rPr>
            </w:pPr>
            <w:bookmarkStart w:id="403" w:name="_Toc341043410"/>
            <w:r>
              <w:rPr>
                <w:rFonts w:ascii="Arial" w:hAnsi="Arial" w:cs="Arial"/>
                <w:b/>
                <w:sz w:val="16"/>
                <w:szCs w:val="16"/>
              </w:rPr>
              <w:t>Figura 3.</w:t>
            </w:r>
            <w:r w:rsidR="00990535" w:rsidRPr="00222A35">
              <w:rPr>
                <w:rFonts w:ascii="Arial" w:hAnsi="Arial" w:cs="Arial"/>
                <w:b/>
                <w:sz w:val="16"/>
                <w:szCs w:val="16"/>
              </w:rPr>
              <w:fldChar w:fldCharType="begin"/>
            </w:r>
            <w:r w:rsidRPr="00222A35">
              <w:rPr>
                <w:rFonts w:ascii="Arial" w:hAnsi="Arial" w:cs="Arial"/>
                <w:b/>
                <w:sz w:val="16"/>
                <w:szCs w:val="16"/>
              </w:rPr>
              <w:instrText xml:space="preserve"> SEQ Figura_3. \* ARABIC </w:instrText>
            </w:r>
            <w:r w:rsidR="00990535" w:rsidRPr="00222A35">
              <w:rPr>
                <w:rFonts w:ascii="Arial" w:hAnsi="Arial" w:cs="Arial"/>
                <w:b/>
                <w:sz w:val="16"/>
                <w:szCs w:val="16"/>
              </w:rPr>
              <w:fldChar w:fldCharType="separate"/>
            </w:r>
            <w:r w:rsidR="00A242E0">
              <w:rPr>
                <w:rFonts w:ascii="Arial" w:hAnsi="Arial" w:cs="Arial"/>
                <w:b/>
                <w:noProof/>
                <w:sz w:val="16"/>
                <w:szCs w:val="16"/>
              </w:rPr>
              <w:t>11</w:t>
            </w:r>
            <w:bookmarkEnd w:id="403"/>
            <w:r w:rsidR="00990535" w:rsidRPr="00222A35">
              <w:rPr>
                <w:rFonts w:ascii="Arial" w:hAnsi="Arial" w:cs="Arial"/>
                <w:b/>
                <w:sz w:val="16"/>
                <w:szCs w:val="16"/>
              </w:rPr>
              <w:fldChar w:fldCharType="end"/>
            </w:r>
          </w:p>
          <w:p w:rsidR="00060299" w:rsidRPr="00017168" w:rsidRDefault="000B2E5A" w:rsidP="003B05B6">
            <w:pPr>
              <w:rPr>
                <w:rFonts w:ascii="Arial" w:hAnsi="Arial" w:cs="Arial"/>
                <w:b/>
                <w:sz w:val="16"/>
                <w:szCs w:val="16"/>
              </w:rPr>
            </w:pPr>
            <w:r>
              <w:rPr>
                <w:rFonts w:ascii="Arial" w:hAnsi="Arial" w:cs="Arial"/>
                <w:b/>
                <w:i/>
                <w:sz w:val="16"/>
                <w:szCs w:val="16"/>
              </w:rPr>
              <w:t xml:space="preserve">Ecuador 2010: </w:t>
            </w:r>
            <w:r w:rsidR="00060299">
              <w:rPr>
                <w:rFonts w:ascii="Arial" w:hAnsi="Arial" w:cs="Arial"/>
                <w:i/>
                <w:sz w:val="16"/>
                <w:szCs w:val="16"/>
              </w:rPr>
              <w:t xml:space="preserve">Índice de Feminidad de los Inmigrantes por país de nacimiento: </w:t>
            </w:r>
            <w:r w:rsidR="00060299" w:rsidRPr="00017168">
              <w:rPr>
                <w:rFonts w:ascii="Arial" w:hAnsi="Arial" w:cs="Arial"/>
                <w:b/>
                <w:sz w:val="16"/>
                <w:szCs w:val="16"/>
              </w:rPr>
              <w:t>AMÉRICA</w:t>
            </w:r>
          </w:p>
          <w:p w:rsidR="00060299" w:rsidRPr="00AA6571" w:rsidRDefault="00060299" w:rsidP="003B05B6">
            <w:pPr>
              <w:rPr>
                <w:noProof/>
                <w:sz w:val="10"/>
                <w:szCs w:val="10"/>
                <w:lang w:eastAsia="es-EC"/>
              </w:rPr>
            </w:pPr>
            <w:r w:rsidRPr="005400D0">
              <w:rPr>
                <w:noProof/>
                <w:sz w:val="10"/>
                <w:szCs w:val="10"/>
                <w:lang w:eastAsia="es-EC"/>
              </w:rPr>
              <w:t xml:space="preserve"> </w:t>
            </w:r>
            <w:r w:rsidR="006F2703">
              <w:rPr>
                <w:noProof/>
                <w:lang w:eastAsia="es-EC"/>
              </w:rPr>
              <w:drawing>
                <wp:inline distT="0" distB="0" distL="0" distR="0">
                  <wp:extent cx="4190400" cy="1440000"/>
                  <wp:effectExtent l="0" t="0" r="0" b="0"/>
                  <wp:docPr id="388" name="Gráfico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rsidR="00060299" w:rsidRPr="006F2703" w:rsidRDefault="00060299" w:rsidP="006F2703">
      <w:pPr>
        <w:pStyle w:val="Prrafodelista"/>
        <w:spacing w:line="276" w:lineRule="auto"/>
        <w:ind w:left="851"/>
        <w:jc w:val="both"/>
        <w:rPr>
          <w:rFonts w:ascii="Arial" w:hAnsi="Arial" w:cs="Arial"/>
          <w:sz w:val="17"/>
          <w:szCs w:val="17"/>
        </w:rPr>
      </w:pPr>
    </w:p>
    <w:p w:rsidR="00060299" w:rsidRPr="006F2703" w:rsidRDefault="00060299" w:rsidP="006F2703">
      <w:pPr>
        <w:pStyle w:val="Prrafodelista"/>
        <w:spacing w:line="276" w:lineRule="auto"/>
        <w:ind w:left="851"/>
        <w:jc w:val="both"/>
        <w:rPr>
          <w:rFonts w:ascii="Arial" w:hAnsi="Arial" w:cs="Arial"/>
          <w:sz w:val="17"/>
          <w:szCs w:val="17"/>
        </w:rPr>
      </w:pPr>
      <w:r w:rsidRPr="006F2703">
        <w:rPr>
          <w:rFonts w:ascii="Arial" w:hAnsi="Arial" w:cs="Arial"/>
          <w:b/>
          <w:i/>
          <w:sz w:val="17"/>
          <w:szCs w:val="17"/>
        </w:rPr>
        <w:t>Fuente:</w:t>
      </w:r>
      <w:r w:rsidRPr="006F2703">
        <w:rPr>
          <w:rFonts w:ascii="Arial" w:hAnsi="Arial" w:cs="Arial"/>
          <w:sz w:val="17"/>
          <w:szCs w:val="17"/>
        </w:rPr>
        <w:t xml:space="preserve"> </w:t>
      </w:r>
      <w:r w:rsidRPr="006F2703">
        <w:rPr>
          <w:rFonts w:ascii="Arial" w:hAnsi="Arial" w:cs="Arial"/>
          <w:b/>
          <w:sz w:val="17"/>
          <w:szCs w:val="17"/>
        </w:rPr>
        <w:t xml:space="preserve">INEC </w:t>
      </w:r>
      <w:r w:rsidRPr="006F2703">
        <w:rPr>
          <w:rFonts w:ascii="Arial" w:hAnsi="Arial" w:cs="Arial"/>
          <w:sz w:val="17"/>
          <w:szCs w:val="17"/>
        </w:rPr>
        <w:t>(2010), Base de Datos del VII Censo de Población y VI de Vivienda.</w:t>
      </w:r>
    </w:p>
    <w:p w:rsidR="00060299" w:rsidRPr="006F2703" w:rsidRDefault="00060299" w:rsidP="006F2703">
      <w:pPr>
        <w:pStyle w:val="Prrafodelista"/>
        <w:spacing w:line="276" w:lineRule="auto"/>
        <w:ind w:left="851"/>
        <w:jc w:val="both"/>
        <w:rPr>
          <w:rFonts w:ascii="Arial" w:hAnsi="Arial" w:cs="Arial"/>
          <w:sz w:val="17"/>
          <w:szCs w:val="17"/>
        </w:rPr>
      </w:pPr>
      <w:r w:rsidRPr="006F2703">
        <w:rPr>
          <w:rFonts w:ascii="Arial" w:hAnsi="Arial" w:cs="Arial"/>
          <w:b/>
          <w:i/>
          <w:sz w:val="17"/>
          <w:szCs w:val="17"/>
        </w:rPr>
        <w:t>Elaborado por:</w:t>
      </w:r>
      <w:r w:rsidRPr="006F2703">
        <w:rPr>
          <w:rFonts w:ascii="Arial" w:hAnsi="Arial" w:cs="Arial"/>
          <w:sz w:val="17"/>
          <w:szCs w:val="17"/>
        </w:rPr>
        <w:t xml:space="preserve"> Katherine Loor Valeriano</w:t>
      </w:r>
    </w:p>
    <w:p w:rsidR="00361C7D" w:rsidRDefault="00361C7D" w:rsidP="006F2703">
      <w:pPr>
        <w:spacing w:line="480" w:lineRule="auto"/>
        <w:ind w:left="851"/>
        <w:jc w:val="both"/>
        <w:rPr>
          <w:rFonts w:ascii="Arial" w:hAnsi="Arial" w:cs="Arial"/>
        </w:rPr>
      </w:pPr>
    </w:p>
    <w:p w:rsidR="00060299" w:rsidRPr="00125DD3" w:rsidRDefault="00060299" w:rsidP="006F2703">
      <w:pPr>
        <w:spacing w:line="480" w:lineRule="auto"/>
        <w:ind w:left="851"/>
        <w:jc w:val="both"/>
        <w:rPr>
          <w:rFonts w:ascii="Arial" w:hAnsi="Arial" w:cs="Arial"/>
          <w:i/>
        </w:rPr>
      </w:pPr>
      <w:r>
        <w:rPr>
          <w:rFonts w:ascii="Arial" w:hAnsi="Arial" w:cs="Arial"/>
        </w:rPr>
        <w:t xml:space="preserve">Para el caso de los extranjeros nacidos en países europeos, tenemos que es mayor la cantidad de hombres que la de mujeres que residen en el </w:t>
      </w:r>
      <w:r>
        <w:rPr>
          <w:rFonts w:ascii="Arial" w:hAnsi="Arial" w:cs="Arial"/>
        </w:rPr>
        <w:lastRenderedPageBreak/>
        <w:t xml:space="preserve">Ecuador; exceptuando el caso de Alemania, en donde hay 102.49 mujeres por cada 100 hombres nacidos en ese país y que a la fecha del censo residían en Ecuador. Pero a pesar de esta situación el índice de feminidad es un valor muy cercano a 100 para el resto de países europeos. </w:t>
      </w:r>
      <w:r>
        <w:rPr>
          <w:rFonts w:ascii="Arial" w:hAnsi="Arial" w:cs="Arial"/>
          <w:i/>
        </w:rPr>
        <w:t>Véase Figura 3.12.</w:t>
      </w:r>
    </w:p>
    <w:tbl>
      <w:tblPr>
        <w:tblStyle w:val="Tablaconcuadrcula"/>
        <w:tblW w:w="7497" w:type="dxa"/>
        <w:jc w:val="right"/>
        <w:tblInd w:w="103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6F2703">
        <w:trPr>
          <w:trHeight w:val="2462"/>
          <w:jc w:val="right"/>
        </w:trPr>
        <w:tc>
          <w:tcPr>
            <w:tcW w:w="7497" w:type="dxa"/>
          </w:tcPr>
          <w:p w:rsidR="00060299" w:rsidRPr="00840530" w:rsidRDefault="00060299" w:rsidP="003B05B6">
            <w:pPr>
              <w:rPr>
                <w:rFonts w:ascii="Arial" w:hAnsi="Arial" w:cs="Arial"/>
                <w:sz w:val="16"/>
                <w:szCs w:val="16"/>
              </w:rPr>
            </w:pPr>
          </w:p>
          <w:p w:rsidR="006200F1" w:rsidRPr="006200F1" w:rsidRDefault="006200F1" w:rsidP="006200F1">
            <w:pPr>
              <w:keepNext/>
              <w:rPr>
                <w:rFonts w:ascii="Arial" w:hAnsi="Arial" w:cs="Arial"/>
                <w:b/>
                <w:sz w:val="16"/>
                <w:szCs w:val="16"/>
              </w:rPr>
            </w:pPr>
            <w:bookmarkStart w:id="404" w:name="_Toc341043411"/>
            <w:r w:rsidRPr="006200F1">
              <w:rPr>
                <w:rFonts w:ascii="Arial" w:hAnsi="Arial" w:cs="Arial"/>
                <w:b/>
                <w:sz w:val="16"/>
                <w:szCs w:val="16"/>
              </w:rPr>
              <w:t>Figura 3.</w:t>
            </w:r>
            <w:r w:rsidR="00990535" w:rsidRPr="006200F1">
              <w:rPr>
                <w:rFonts w:ascii="Arial" w:hAnsi="Arial" w:cs="Arial"/>
                <w:b/>
                <w:sz w:val="16"/>
                <w:szCs w:val="16"/>
              </w:rPr>
              <w:fldChar w:fldCharType="begin"/>
            </w:r>
            <w:r w:rsidRPr="006200F1">
              <w:rPr>
                <w:rFonts w:ascii="Arial" w:hAnsi="Arial" w:cs="Arial"/>
                <w:b/>
                <w:sz w:val="16"/>
                <w:szCs w:val="16"/>
              </w:rPr>
              <w:instrText xml:space="preserve"> SEQ Figura_3. \* ARABIC </w:instrText>
            </w:r>
            <w:r w:rsidR="00990535" w:rsidRPr="006200F1">
              <w:rPr>
                <w:rFonts w:ascii="Arial" w:hAnsi="Arial" w:cs="Arial"/>
                <w:b/>
                <w:sz w:val="16"/>
                <w:szCs w:val="16"/>
              </w:rPr>
              <w:fldChar w:fldCharType="separate"/>
            </w:r>
            <w:r w:rsidR="00A242E0">
              <w:rPr>
                <w:rFonts w:ascii="Arial" w:hAnsi="Arial" w:cs="Arial"/>
                <w:b/>
                <w:noProof/>
                <w:sz w:val="16"/>
                <w:szCs w:val="16"/>
              </w:rPr>
              <w:t>12</w:t>
            </w:r>
            <w:bookmarkEnd w:id="404"/>
            <w:r w:rsidR="00990535" w:rsidRPr="006200F1">
              <w:rPr>
                <w:rFonts w:ascii="Arial" w:hAnsi="Arial" w:cs="Arial"/>
                <w:b/>
                <w:sz w:val="16"/>
                <w:szCs w:val="16"/>
              </w:rPr>
              <w:fldChar w:fldCharType="end"/>
            </w:r>
          </w:p>
          <w:p w:rsidR="00060299" w:rsidRPr="00017168" w:rsidRDefault="006F2703" w:rsidP="003B05B6">
            <w:pPr>
              <w:rPr>
                <w:rFonts w:ascii="Arial" w:hAnsi="Arial" w:cs="Arial"/>
                <w:b/>
                <w:sz w:val="16"/>
                <w:szCs w:val="16"/>
              </w:rPr>
            </w:pPr>
            <w:r>
              <w:rPr>
                <w:rFonts w:ascii="Arial" w:hAnsi="Arial" w:cs="Arial"/>
                <w:b/>
                <w:i/>
                <w:sz w:val="16"/>
                <w:szCs w:val="16"/>
              </w:rPr>
              <w:t xml:space="preserve">Ecuador 2010: </w:t>
            </w:r>
            <w:r w:rsidR="00060299">
              <w:rPr>
                <w:rFonts w:ascii="Arial" w:hAnsi="Arial" w:cs="Arial"/>
                <w:i/>
                <w:sz w:val="16"/>
                <w:szCs w:val="16"/>
              </w:rPr>
              <w:t xml:space="preserve">Índice de Feminidad de los Inmigrantes por país de nacimiento: </w:t>
            </w:r>
            <w:r w:rsidR="00060299" w:rsidRPr="00017168">
              <w:rPr>
                <w:rFonts w:ascii="Arial" w:hAnsi="Arial" w:cs="Arial"/>
                <w:b/>
                <w:sz w:val="16"/>
                <w:szCs w:val="16"/>
              </w:rPr>
              <w:t>EUROPA</w:t>
            </w:r>
          </w:p>
          <w:p w:rsidR="00060299" w:rsidRPr="00AA6571" w:rsidRDefault="00060299" w:rsidP="003B05B6">
            <w:pPr>
              <w:rPr>
                <w:noProof/>
                <w:sz w:val="10"/>
                <w:szCs w:val="10"/>
                <w:lang w:eastAsia="es-EC"/>
              </w:rPr>
            </w:pPr>
            <w:r w:rsidRPr="005400D0">
              <w:rPr>
                <w:noProof/>
                <w:sz w:val="10"/>
                <w:szCs w:val="10"/>
                <w:lang w:eastAsia="es-EC"/>
              </w:rPr>
              <w:t xml:space="preserve"> </w:t>
            </w:r>
            <w:r w:rsidR="006F2703">
              <w:rPr>
                <w:noProof/>
                <w:lang w:eastAsia="es-EC"/>
              </w:rPr>
              <w:drawing>
                <wp:inline distT="0" distB="0" distL="0" distR="0">
                  <wp:extent cx="4190400" cy="1440000"/>
                  <wp:effectExtent l="0" t="0" r="0" b="0"/>
                  <wp:docPr id="389" name="Gráfico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rsidR="00060299" w:rsidRPr="006F2703" w:rsidRDefault="00060299" w:rsidP="006F2703">
      <w:pPr>
        <w:pStyle w:val="Prrafodelista"/>
        <w:ind w:left="851"/>
        <w:jc w:val="both"/>
        <w:rPr>
          <w:rFonts w:ascii="Arial" w:hAnsi="Arial" w:cs="Arial"/>
          <w:sz w:val="17"/>
          <w:szCs w:val="17"/>
        </w:rPr>
      </w:pPr>
    </w:p>
    <w:p w:rsidR="00060299" w:rsidRPr="006F2703" w:rsidRDefault="00060299" w:rsidP="006F2703">
      <w:pPr>
        <w:pStyle w:val="Prrafodelista"/>
        <w:ind w:left="851"/>
        <w:jc w:val="both"/>
        <w:rPr>
          <w:rFonts w:ascii="Arial" w:hAnsi="Arial" w:cs="Arial"/>
          <w:sz w:val="17"/>
          <w:szCs w:val="17"/>
        </w:rPr>
      </w:pPr>
      <w:r w:rsidRPr="006F2703">
        <w:rPr>
          <w:rFonts w:ascii="Arial" w:hAnsi="Arial" w:cs="Arial"/>
          <w:b/>
          <w:i/>
          <w:sz w:val="17"/>
          <w:szCs w:val="17"/>
        </w:rPr>
        <w:t>Fuente:</w:t>
      </w:r>
      <w:r w:rsidRPr="006F2703">
        <w:rPr>
          <w:rFonts w:ascii="Arial" w:hAnsi="Arial" w:cs="Arial"/>
          <w:sz w:val="17"/>
          <w:szCs w:val="17"/>
        </w:rPr>
        <w:t xml:space="preserve"> </w:t>
      </w:r>
      <w:r w:rsidRPr="006F2703">
        <w:rPr>
          <w:rFonts w:ascii="Arial" w:hAnsi="Arial" w:cs="Arial"/>
          <w:b/>
          <w:sz w:val="17"/>
          <w:szCs w:val="17"/>
        </w:rPr>
        <w:t xml:space="preserve">INEC </w:t>
      </w:r>
      <w:r w:rsidRPr="006F2703">
        <w:rPr>
          <w:rFonts w:ascii="Arial" w:hAnsi="Arial" w:cs="Arial"/>
          <w:sz w:val="17"/>
          <w:szCs w:val="17"/>
        </w:rPr>
        <w:t>(2010), Base de Datos del VII Censo de Población y VI de Vivienda.</w:t>
      </w:r>
    </w:p>
    <w:p w:rsidR="00060299" w:rsidRPr="006F2703" w:rsidRDefault="00060299" w:rsidP="006F2703">
      <w:pPr>
        <w:pStyle w:val="Prrafodelista"/>
        <w:ind w:left="851"/>
        <w:jc w:val="both"/>
        <w:rPr>
          <w:rFonts w:ascii="Arial" w:hAnsi="Arial" w:cs="Arial"/>
          <w:sz w:val="17"/>
          <w:szCs w:val="17"/>
        </w:rPr>
      </w:pPr>
      <w:r w:rsidRPr="006F2703">
        <w:rPr>
          <w:rFonts w:ascii="Arial" w:hAnsi="Arial" w:cs="Arial"/>
          <w:b/>
          <w:i/>
          <w:sz w:val="17"/>
          <w:szCs w:val="17"/>
        </w:rPr>
        <w:t>Elaborado por:</w:t>
      </w:r>
      <w:r w:rsidRPr="006F2703">
        <w:rPr>
          <w:rFonts w:ascii="Arial" w:hAnsi="Arial" w:cs="Arial"/>
          <w:sz w:val="17"/>
          <w:szCs w:val="17"/>
        </w:rPr>
        <w:t xml:space="preserve"> Katherine Loor Valeriano</w:t>
      </w:r>
    </w:p>
    <w:p w:rsidR="00060299" w:rsidRDefault="00060299" w:rsidP="00361C7D">
      <w:pPr>
        <w:spacing w:line="480" w:lineRule="auto"/>
        <w:ind w:left="851"/>
        <w:jc w:val="both"/>
        <w:rPr>
          <w:rFonts w:ascii="Arial" w:hAnsi="Arial" w:cs="Arial"/>
        </w:rPr>
      </w:pPr>
    </w:p>
    <w:p w:rsidR="00060299" w:rsidRPr="009C1B07" w:rsidRDefault="00060299" w:rsidP="00361C7D">
      <w:pPr>
        <w:spacing w:line="480" w:lineRule="auto"/>
        <w:ind w:left="851"/>
        <w:jc w:val="both"/>
        <w:rPr>
          <w:rFonts w:ascii="Arial" w:hAnsi="Arial" w:cs="Arial"/>
        </w:rPr>
      </w:pPr>
      <w:r>
        <w:rPr>
          <w:rFonts w:ascii="Arial" w:hAnsi="Arial" w:cs="Arial"/>
        </w:rPr>
        <w:t xml:space="preserve">Los extranjeros que nacieron en algunos países asiáticos, el valor que toma el índice de feminidad es también menor que 100 para la mayoría de los casos; aunque para Japón dicho índice asciende a 101.57 mujeres por cada 100 hombres japoneses residentes en Ecuador. </w:t>
      </w:r>
      <w:r w:rsidR="00F91C02">
        <w:rPr>
          <w:rFonts w:ascii="Arial" w:hAnsi="Arial" w:cs="Arial"/>
        </w:rPr>
        <w:t>P</w:t>
      </w:r>
      <w:r>
        <w:rPr>
          <w:rFonts w:ascii="Arial" w:hAnsi="Arial" w:cs="Arial"/>
        </w:rPr>
        <w:t xml:space="preserve">ara el caso de los chinos, se tiene que hay 68.56 mujeres por cada 100 hombres chinos residentes en nuestro país; de igual manera para el caso de los nacidos en Taiwán y Corea del Sur el índice es de 80.57 y 81.48 mujeres por cada 100 hombres inmigrantes de cada nacionalidad residentes en Ecuador. De todos los países asiáticos expuestos en la </w:t>
      </w:r>
      <w:r>
        <w:rPr>
          <w:rFonts w:ascii="Arial" w:hAnsi="Arial" w:cs="Arial"/>
          <w:i/>
        </w:rPr>
        <w:t>Figura 3.13</w:t>
      </w:r>
      <w:r>
        <w:rPr>
          <w:rFonts w:ascii="Arial" w:hAnsi="Arial" w:cs="Arial"/>
        </w:rPr>
        <w:t>, el menor índice de feminidad se obtiene en la población de pakistaníes residentes en nuestro país, pues hay 10.96 mujeres por cada 100 hombres.</w:t>
      </w:r>
    </w:p>
    <w:tbl>
      <w:tblPr>
        <w:tblStyle w:val="Tablaconcuadrcula"/>
        <w:tblW w:w="7497" w:type="dxa"/>
        <w:jc w:val="right"/>
        <w:tblInd w:w="103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361C7D">
        <w:trPr>
          <w:trHeight w:val="2646"/>
          <w:jc w:val="right"/>
        </w:trPr>
        <w:tc>
          <w:tcPr>
            <w:tcW w:w="7497" w:type="dxa"/>
          </w:tcPr>
          <w:p w:rsidR="00060299" w:rsidRPr="00840530" w:rsidRDefault="00060299" w:rsidP="003B05B6">
            <w:pPr>
              <w:rPr>
                <w:rFonts w:ascii="Arial" w:hAnsi="Arial" w:cs="Arial"/>
                <w:sz w:val="16"/>
                <w:szCs w:val="16"/>
              </w:rPr>
            </w:pPr>
          </w:p>
          <w:p w:rsidR="006200F1" w:rsidRPr="006200F1" w:rsidRDefault="006200F1" w:rsidP="006200F1">
            <w:pPr>
              <w:pStyle w:val="Epgrafe"/>
              <w:rPr>
                <w:rFonts w:ascii="Arial" w:hAnsi="Arial" w:cs="Arial"/>
                <w:bCs w:val="0"/>
                <w:color w:val="auto"/>
                <w:sz w:val="16"/>
                <w:szCs w:val="16"/>
              </w:rPr>
            </w:pPr>
            <w:bookmarkStart w:id="405" w:name="_Toc341043412"/>
            <w:r>
              <w:rPr>
                <w:rFonts w:ascii="Arial" w:hAnsi="Arial" w:cs="Arial"/>
                <w:bCs w:val="0"/>
                <w:color w:val="auto"/>
                <w:sz w:val="16"/>
                <w:szCs w:val="16"/>
              </w:rPr>
              <w:t>Figura 3.</w:t>
            </w:r>
            <w:r w:rsidR="00990535" w:rsidRPr="006200F1">
              <w:rPr>
                <w:rFonts w:ascii="Arial" w:hAnsi="Arial" w:cs="Arial"/>
                <w:bCs w:val="0"/>
                <w:color w:val="auto"/>
                <w:sz w:val="16"/>
                <w:szCs w:val="16"/>
              </w:rPr>
              <w:fldChar w:fldCharType="begin"/>
            </w:r>
            <w:r w:rsidRPr="006200F1">
              <w:rPr>
                <w:rFonts w:ascii="Arial" w:hAnsi="Arial" w:cs="Arial"/>
                <w:bCs w:val="0"/>
                <w:color w:val="auto"/>
                <w:sz w:val="16"/>
                <w:szCs w:val="16"/>
              </w:rPr>
              <w:instrText xml:space="preserve"> SEQ Figura_3. \* ARABIC </w:instrText>
            </w:r>
            <w:r w:rsidR="00990535" w:rsidRPr="006200F1">
              <w:rPr>
                <w:rFonts w:ascii="Arial" w:hAnsi="Arial" w:cs="Arial"/>
                <w:bCs w:val="0"/>
                <w:color w:val="auto"/>
                <w:sz w:val="16"/>
                <w:szCs w:val="16"/>
              </w:rPr>
              <w:fldChar w:fldCharType="separate"/>
            </w:r>
            <w:r w:rsidR="00A242E0">
              <w:rPr>
                <w:rFonts w:ascii="Arial" w:hAnsi="Arial" w:cs="Arial"/>
                <w:bCs w:val="0"/>
                <w:noProof/>
                <w:color w:val="auto"/>
                <w:sz w:val="16"/>
                <w:szCs w:val="16"/>
              </w:rPr>
              <w:t>13</w:t>
            </w:r>
            <w:bookmarkEnd w:id="405"/>
            <w:r w:rsidR="00990535" w:rsidRPr="006200F1">
              <w:rPr>
                <w:rFonts w:ascii="Arial" w:hAnsi="Arial" w:cs="Arial"/>
                <w:bCs w:val="0"/>
                <w:color w:val="auto"/>
                <w:sz w:val="16"/>
                <w:szCs w:val="16"/>
              </w:rPr>
              <w:fldChar w:fldCharType="end"/>
            </w:r>
          </w:p>
          <w:p w:rsidR="00060299" w:rsidRPr="00017168" w:rsidRDefault="00BF3C5B" w:rsidP="003B05B6">
            <w:pPr>
              <w:rPr>
                <w:rFonts w:ascii="Arial" w:hAnsi="Arial" w:cs="Arial"/>
                <w:b/>
                <w:sz w:val="16"/>
                <w:szCs w:val="16"/>
              </w:rPr>
            </w:pPr>
            <w:r>
              <w:rPr>
                <w:rFonts w:ascii="Arial" w:hAnsi="Arial" w:cs="Arial"/>
                <w:b/>
                <w:i/>
                <w:sz w:val="16"/>
                <w:szCs w:val="16"/>
              </w:rPr>
              <w:t xml:space="preserve">Ecuador 2010: </w:t>
            </w:r>
            <w:r w:rsidR="00060299">
              <w:rPr>
                <w:rFonts w:ascii="Arial" w:hAnsi="Arial" w:cs="Arial"/>
                <w:i/>
                <w:sz w:val="16"/>
                <w:szCs w:val="16"/>
              </w:rPr>
              <w:t xml:space="preserve">Índice de Feminidad de los Inmigrantes por país de nacimiento: </w:t>
            </w:r>
            <w:r w:rsidR="00060299" w:rsidRPr="00017168">
              <w:rPr>
                <w:rFonts w:ascii="Arial" w:hAnsi="Arial" w:cs="Arial"/>
                <w:b/>
                <w:sz w:val="16"/>
                <w:szCs w:val="16"/>
              </w:rPr>
              <w:t>ASIA</w:t>
            </w:r>
          </w:p>
          <w:p w:rsidR="00060299" w:rsidRPr="00AA6571" w:rsidRDefault="00361C7D" w:rsidP="003B05B6">
            <w:pPr>
              <w:rPr>
                <w:noProof/>
                <w:sz w:val="10"/>
                <w:szCs w:val="10"/>
                <w:lang w:eastAsia="es-EC"/>
              </w:rPr>
            </w:pPr>
            <w:r>
              <w:rPr>
                <w:noProof/>
                <w:lang w:eastAsia="es-EC"/>
              </w:rPr>
              <w:drawing>
                <wp:inline distT="0" distB="0" distL="0" distR="0">
                  <wp:extent cx="4190400" cy="1440000"/>
                  <wp:effectExtent l="0" t="0" r="0" b="0"/>
                  <wp:docPr id="391" name="Gráfico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060299" w:rsidRPr="005400D0">
              <w:rPr>
                <w:noProof/>
                <w:sz w:val="10"/>
                <w:szCs w:val="10"/>
                <w:lang w:eastAsia="es-EC"/>
              </w:rPr>
              <w:t xml:space="preserve"> </w:t>
            </w:r>
          </w:p>
        </w:tc>
      </w:tr>
    </w:tbl>
    <w:p w:rsidR="00060299" w:rsidRPr="00361C7D" w:rsidRDefault="00060299" w:rsidP="00361C7D">
      <w:pPr>
        <w:pStyle w:val="Prrafodelista"/>
        <w:spacing w:line="276" w:lineRule="auto"/>
        <w:ind w:left="851"/>
        <w:jc w:val="both"/>
        <w:rPr>
          <w:rFonts w:ascii="Arial" w:hAnsi="Arial" w:cs="Arial"/>
          <w:sz w:val="17"/>
          <w:szCs w:val="17"/>
        </w:rPr>
      </w:pPr>
    </w:p>
    <w:p w:rsidR="00060299" w:rsidRPr="00361C7D" w:rsidRDefault="00060299" w:rsidP="00361C7D">
      <w:pPr>
        <w:pStyle w:val="Prrafodelista"/>
        <w:spacing w:line="276" w:lineRule="auto"/>
        <w:ind w:left="851"/>
        <w:jc w:val="both"/>
        <w:rPr>
          <w:rFonts w:ascii="Arial" w:hAnsi="Arial" w:cs="Arial"/>
          <w:sz w:val="17"/>
          <w:szCs w:val="17"/>
        </w:rPr>
      </w:pPr>
      <w:r w:rsidRPr="00361C7D">
        <w:rPr>
          <w:rFonts w:ascii="Arial" w:hAnsi="Arial" w:cs="Arial"/>
          <w:b/>
          <w:i/>
          <w:sz w:val="17"/>
          <w:szCs w:val="17"/>
        </w:rPr>
        <w:t>Fuente:</w:t>
      </w:r>
      <w:r w:rsidRPr="00361C7D">
        <w:rPr>
          <w:rFonts w:ascii="Arial" w:hAnsi="Arial" w:cs="Arial"/>
          <w:sz w:val="17"/>
          <w:szCs w:val="17"/>
        </w:rPr>
        <w:t xml:space="preserve"> </w:t>
      </w:r>
      <w:r w:rsidRPr="00361C7D">
        <w:rPr>
          <w:rFonts w:ascii="Arial" w:hAnsi="Arial" w:cs="Arial"/>
          <w:b/>
          <w:sz w:val="17"/>
          <w:szCs w:val="17"/>
        </w:rPr>
        <w:t xml:space="preserve">INEC </w:t>
      </w:r>
      <w:r w:rsidRPr="00361C7D">
        <w:rPr>
          <w:rFonts w:ascii="Arial" w:hAnsi="Arial" w:cs="Arial"/>
          <w:sz w:val="17"/>
          <w:szCs w:val="17"/>
        </w:rPr>
        <w:t>(2010), Base de Datos del VII Censo de Población y VI de Vivienda.</w:t>
      </w:r>
    </w:p>
    <w:p w:rsidR="00060299" w:rsidRPr="00361C7D" w:rsidRDefault="00060299" w:rsidP="00361C7D">
      <w:pPr>
        <w:pStyle w:val="Prrafodelista"/>
        <w:spacing w:line="276" w:lineRule="auto"/>
        <w:ind w:left="851"/>
        <w:jc w:val="both"/>
        <w:rPr>
          <w:rFonts w:ascii="Arial" w:hAnsi="Arial" w:cs="Arial"/>
          <w:sz w:val="17"/>
          <w:szCs w:val="17"/>
        </w:rPr>
      </w:pPr>
      <w:r w:rsidRPr="00361C7D">
        <w:rPr>
          <w:rFonts w:ascii="Arial" w:hAnsi="Arial" w:cs="Arial"/>
          <w:b/>
          <w:i/>
          <w:sz w:val="17"/>
          <w:szCs w:val="17"/>
        </w:rPr>
        <w:t>Elaborado por:</w:t>
      </w:r>
      <w:r w:rsidRPr="00361C7D">
        <w:rPr>
          <w:rFonts w:ascii="Arial" w:hAnsi="Arial" w:cs="Arial"/>
          <w:sz w:val="17"/>
          <w:szCs w:val="17"/>
        </w:rPr>
        <w:t xml:space="preserve"> Katherine Loor Valeriano</w:t>
      </w:r>
    </w:p>
    <w:p w:rsidR="00060299" w:rsidRPr="004E2342" w:rsidRDefault="00060299" w:rsidP="00361C7D">
      <w:pPr>
        <w:pStyle w:val="Prrafodelista"/>
        <w:spacing w:line="480" w:lineRule="auto"/>
        <w:ind w:left="851"/>
        <w:jc w:val="both"/>
        <w:rPr>
          <w:rFonts w:ascii="Arial" w:hAnsi="Arial" w:cs="Arial"/>
        </w:rPr>
      </w:pPr>
    </w:p>
    <w:p w:rsidR="00060299" w:rsidRPr="008C5B2F" w:rsidRDefault="00060299" w:rsidP="00361C7D">
      <w:pPr>
        <w:spacing w:line="480" w:lineRule="auto"/>
        <w:ind w:left="851"/>
        <w:jc w:val="both"/>
        <w:rPr>
          <w:rFonts w:ascii="Arial" w:hAnsi="Arial" w:cs="Arial"/>
          <w:i/>
        </w:rPr>
      </w:pPr>
      <w:r>
        <w:rPr>
          <w:rFonts w:ascii="Arial" w:hAnsi="Arial" w:cs="Arial"/>
        </w:rPr>
        <w:t xml:space="preserve">Mientras que, para los extranjeros nacidos en África, podemos notar que en todos los casos es superior la cantidad de hombres que la de mujeres residentes en el Ecuador; es así que, de quienes nacieron en Nigeria y residen en nuestro país hay alrededor de 13.75 mujeres por cada 100 hombres; y, de los que nacieron en Egipto hay 24.14 mujeres por cada 100 hombres de este país que residen en el Ecuador. Además, para los nacidos en países como Camerún y Marruecos este índice toma valores mayores de 71.79 y 78.57 mujeres por cada 100 hombres inmigrantes residentes en Ecuador. </w:t>
      </w:r>
      <w:r>
        <w:rPr>
          <w:rFonts w:ascii="Arial" w:hAnsi="Arial" w:cs="Arial"/>
          <w:i/>
        </w:rPr>
        <w:t>Véase Figura 3.14.</w:t>
      </w:r>
    </w:p>
    <w:tbl>
      <w:tblPr>
        <w:tblStyle w:val="Tablaconcuadrcula"/>
        <w:tblW w:w="7497" w:type="dxa"/>
        <w:jc w:val="right"/>
        <w:tblInd w:w="103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361C7D">
        <w:trPr>
          <w:trHeight w:val="2674"/>
          <w:jc w:val="right"/>
        </w:trPr>
        <w:tc>
          <w:tcPr>
            <w:tcW w:w="7497" w:type="dxa"/>
          </w:tcPr>
          <w:p w:rsidR="00060299" w:rsidRPr="00840530" w:rsidRDefault="00060299" w:rsidP="003B05B6">
            <w:pPr>
              <w:rPr>
                <w:rFonts w:ascii="Arial" w:hAnsi="Arial" w:cs="Arial"/>
                <w:sz w:val="16"/>
                <w:szCs w:val="16"/>
              </w:rPr>
            </w:pPr>
          </w:p>
          <w:p w:rsidR="00930F0A" w:rsidRPr="00930F0A" w:rsidRDefault="00930F0A" w:rsidP="00930F0A">
            <w:pPr>
              <w:keepNext/>
              <w:rPr>
                <w:rFonts w:ascii="Arial" w:hAnsi="Arial" w:cs="Arial"/>
                <w:b/>
                <w:sz w:val="16"/>
                <w:szCs w:val="16"/>
              </w:rPr>
            </w:pPr>
            <w:bookmarkStart w:id="406" w:name="_Toc341043413"/>
            <w:r w:rsidRPr="00930F0A">
              <w:rPr>
                <w:rFonts w:ascii="Arial" w:hAnsi="Arial" w:cs="Arial"/>
                <w:b/>
                <w:sz w:val="16"/>
                <w:szCs w:val="16"/>
              </w:rPr>
              <w:t>Figura 3.</w:t>
            </w:r>
            <w:r w:rsidR="00990535" w:rsidRPr="00930F0A">
              <w:rPr>
                <w:rFonts w:ascii="Arial" w:hAnsi="Arial" w:cs="Arial"/>
                <w:b/>
                <w:sz w:val="16"/>
                <w:szCs w:val="16"/>
              </w:rPr>
              <w:fldChar w:fldCharType="begin"/>
            </w:r>
            <w:r w:rsidRPr="00930F0A">
              <w:rPr>
                <w:rFonts w:ascii="Arial" w:hAnsi="Arial" w:cs="Arial"/>
                <w:b/>
                <w:sz w:val="16"/>
                <w:szCs w:val="16"/>
              </w:rPr>
              <w:instrText xml:space="preserve"> SEQ Figura_3. \* ARABIC </w:instrText>
            </w:r>
            <w:r w:rsidR="00990535" w:rsidRPr="00930F0A">
              <w:rPr>
                <w:rFonts w:ascii="Arial" w:hAnsi="Arial" w:cs="Arial"/>
                <w:b/>
                <w:sz w:val="16"/>
                <w:szCs w:val="16"/>
              </w:rPr>
              <w:fldChar w:fldCharType="separate"/>
            </w:r>
            <w:r w:rsidR="00A242E0">
              <w:rPr>
                <w:rFonts w:ascii="Arial" w:hAnsi="Arial" w:cs="Arial"/>
                <w:b/>
                <w:noProof/>
                <w:sz w:val="16"/>
                <w:szCs w:val="16"/>
              </w:rPr>
              <w:t>14</w:t>
            </w:r>
            <w:bookmarkEnd w:id="406"/>
            <w:r w:rsidR="00990535" w:rsidRPr="00930F0A">
              <w:rPr>
                <w:rFonts w:ascii="Arial" w:hAnsi="Arial" w:cs="Arial"/>
                <w:b/>
                <w:sz w:val="16"/>
                <w:szCs w:val="16"/>
              </w:rPr>
              <w:fldChar w:fldCharType="end"/>
            </w:r>
          </w:p>
          <w:p w:rsidR="00060299" w:rsidRPr="00017168" w:rsidRDefault="00BF3C5B" w:rsidP="003B05B6">
            <w:pPr>
              <w:rPr>
                <w:rFonts w:ascii="Arial" w:hAnsi="Arial" w:cs="Arial"/>
                <w:b/>
                <w:sz w:val="16"/>
                <w:szCs w:val="16"/>
              </w:rPr>
            </w:pPr>
            <w:r>
              <w:rPr>
                <w:rFonts w:ascii="Arial" w:hAnsi="Arial" w:cs="Arial"/>
                <w:b/>
                <w:i/>
                <w:sz w:val="16"/>
                <w:szCs w:val="16"/>
              </w:rPr>
              <w:t xml:space="preserve">Ecuador 2010: </w:t>
            </w:r>
            <w:r w:rsidR="00060299">
              <w:rPr>
                <w:rFonts w:ascii="Arial" w:hAnsi="Arial" w:cs="Arial"/>
                <w:i/>
                <w:sz w:val="16"/>
                <w:szCs w:val="16"/>
              </w:rPr>
              <w:t xml:space="preserve">Índice de Feminidad de los Inmigrantes por país de nacimiento: </w:t>
            </w:r>
            <w:r w:rsidR="00060299">
              <w:rPr>
                <w:rFonts w:ascii="Arial" w:hAnsi="Arial" w:cs="Arial"/>
                <w:b/>
                <w:sz w:val="16"/>
                <w:szCs w:val="16"/>
              </w:rPr>
              <w:t>ÁFRICA</w:t>
            </w:r>
          </w:p>
          <w:p w:rsidR="00060299" w:rsidRPr="00AA6571" w:rsidRDefault="00361C7D" w:rsidP="003B05B6">
            <w:pPr>
              <w:rPr>
                <w:noProof/>
                <w:sz w:val="10"/>
                <w:szCs w:val="10"/>
                <w:lang w:eastAsia="es-EC"/>
              </w:rPr>
            </w:pPr>
            <w:r>
              <w:rPr>
                <w:noProof/>
                <w:lang w:eastAsia="es-EC"/>
              </w:rPr>
              <w:drawing>
                <wp:inline distT="0" distB="0" distL="0" distR="0">
                  <wp:extent cx="4190400" cy="1544400"/>
                  <wp:effectExtent l="0" t="0" r="635" b="0"/>
                  <wp:docPr id="393" name="Gráfico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060299" w:rsidRPr="005400D0">
              <w:rPr>
                <w:noProof/>
                <w:sz w:val="10"/>
                <w:szCs w:val="10"/>
                <w:lang w:eastAsia="es-EC"/>
              </w:rPr>
              <w:t xml:space="preserve"> </w:t>
            </w:r>
          </w:p>
        </w:tc>
      </w:tr>
    </w:tbl>
    <w:p w:rsidR="00060299" w:rsidRPr="00361C7D" w:rsidRDefault="00060299" w:rsidP="00361C7D">
      <w:pPr>
        <w:pStyle w:val="Prrafodelista"/>
        <w:spacing w:line="276" w:lineRule="auto"/>
        <w:ind w:left="851"/>
        <w:jc w:val="both"/>
        <w:rPr>
          <w:rFonts w:ascii="Arial" w:hAnsi="Arial" w:cs="Arial"/>
          <w:sz w:val="17"/>
          <w:szCs w:val="17"/>
        </w:rPr>
      </w:pPr>
    </w:p>
    <w:p w:rsidR="00060299" w:rsidRPr="00361C7D" w:rsidRDefault="00060299" w:rsidP="00361C7D">
      <w:pPr>
        <w:pStyle w:val="Prrafodelista"/>
        <w:spacing w:line="276" w:lineRule="auto"/>
        <w:ind w:left="851"/>
        <w:jc w:val="both"/>
        <w:rPr>
          <w:rFonts w:ascii="Arial" w:hAnsi="Arial" w:cs="Arial"/>
          <w:sz w:val="17"/>
          <w:szCs w:val="17"/>
        </w:rPr>
      </w:pPr>
      <w:r w:rsidRPr="00361C7D">
        <w:rPr>
          <w:rFonts w:ascii="Arial" w:hAnsi="Arial" w:cs="Arial"/>
          <w:b/>
          <w:i/>
          <w:sz w:val="17"/>
          <w:szCs w:val="17"/>
        </w:rPr>
        <w:t>Fuente:</w:t>
      </w:r>
      <w:r w:rsidRPr="00361C7D">
        <w:rPr>
          <w:rFonts w:ascii="Arial" w:hAnsi="Arial" w:cs="Arial"/>
          <w:sz w:val="17"/>
          <w:szCs w:val="17"/>
        </w:rPr>
        <w:t xml:space="preserve"> </w:t>
      </w:r>
      <w:r w:rsidRPr="00361C7D">
        <w:rPr>
          <w:rFonts w:ascii="Arial" w:hAnsi="Arial" w:cs="Arial"/>
          <w:b/>
          <w:sz w:val="17"/>
          <w:szCs w:val="17"/>
        </w:rPr>
        <w:t xml:space="preserve">INEC </w:t>
      </w:r>
      <w:r w:rsidRPr="00361C7D">
        <w:rPr>
          <w:rFonts w:ascii="Arial" w:hAnsi="Arial" w:cs="Arial"/>
          <w:sz w:val="17"/>
          <w:szCs w:val="17"/>
        </w:rPr>
        <w:t>(2010), Base de Datos del VII Censo de Población y VI de Vivienda.</w:t>
      </w:r>
    </w:p>
    <w:p w:rsidR="00060299" w:rsidRPr="00361C7D" w:rsidRDefault="00060299" w:rsidP="00361C7D">
      <w:pPr>
        <w:pStyle w:val="Prrafodelista"/>
        <w:spacing w:line="276" w:lineRule="auto"/>
        <w:ind w:left="851"/>
        <w:jc w:val="both"/>
        <w:rPr>
          <w:rFonts w:ascii="Arial" w:hAnsi="Arial" w:cs="Arial"/>
          <w:sz w:val="17"/>
          <w:szCs w:val="17"/>
        </w:rPr>
      </w:pPr>
      <w:r w:rsidRPr="00361C7D">
        <w:rPr>
          <w:rFonts w:ascii="Arial" w:hAnsi="Arial" w:cs="Arial"/>
          <w:b/>
          <w:i/>
          <w:sz w:val="17"/>
          <w:szCs w:val="17"/>
        </w:rPr>
        <w:t>Elaborado por:</w:t>
      </w:r>
      <w:r w:rsidRPr="00361C7D">
        <w:rPr>
          <w:rFonts w:ascii="Arial" w:hAnsi="Arial" w:cs="Arial"/>
          <w:sz w:val="17"/>
          <w:szCs w:val="17"/>
        </w:rPr>
        <w:t xml:space="preserve"> Katherine Loor Valeriano</w:t>
      </w:r>
    </w:p>
    <w:p w:rsidR="00060299" w:rsidRDefault="00060299" w:rsidP="00361C7D">
      <w:pPr>
        <w:pStyle w:val="TesisTitulo1"/>
        <w:ind w:left="851"/>
      </w:pPr>
      <w:bookmarkStart w:id="407" w:name="_Toc331941466"/>
      <w:bookmarkStart w:id="408" w:name="_Toc335850599"/>
      <w:bookmarkStart w:id="409" w:name="_Toc341040649"/>
      <w:r>
        <w:lastRenderedPageBreak/>
        <w:t>Edad</w:t>
      </w:r>
      <w:bookmarkEnd w:id="407"/>
      <w:r>
        <w:t xml:space="preserve"> del Inmigrante</w:t>
      </w:r>
      <w:bookmarkEnd w:id="408"/>
      <w:bookmarkEnd w:id="409"/>
    </w:p>
    <w:p w:rsidR="00060299" w:rsidRPr="009D23A1" w:rsidRDefault="00060299" w:rsidP="00361C7D">
      <w:pPr>
        <w:pStyle w:val="Prrafodelista"/>
        <w:spacing w:line="480" w:lineRule="auto"/>
        <w:ind w:left="851"/>
        <w:jc w:val="both"/>
        <w:rPr>
          <w:rFonts w:ascii="Arial" w:hAnsi="Arial" w:cs="Arial"/>
        </w:rPr>
      </w:pPr>
      <w:r w:rsidRPr="00224F20">
        <w:rPr>
          <w:rFonts w:ascii="Arial" w:hAnsi="Arial" w:cs="Arial"/>
        </w:rPr>
        <w:t>Como una de las leyes de Ravenstein</w:t>
      </w:r>
      <w:r>
        <w:rPr>
          <w:rStyle w:val="Refdenotaalpie"/>
          <w:rFonts w:ascii="Arial" w:hAnsi="Arial" w:cs="Arial"/>
        </w:rPr>
        <w:footnoteReference w:id="39"/>
      </w:r>
      <w:r w:rsidRPr="00224F20">
        <w:rPr>
          <w:rFonts w:ascii="Arial" w:hAnsi="Arial" w:cs="Arial"/>
        </w:rPr>
        <w:t xml:space="preserve"> postula </w:t>
      </w:r>
      <w:r w:rsidRPr="00224F20">
        <w:rPr>
          <w:rFonts w:ascii="Arial" w:hAnsi="Arial" w:cs="Arial"/>
          <w:i/>
        </w:rPr>
        <w:t>la mayoría de los migrantes son adultos</w:t>
      </w:r>
      <w:r w:rsidRPr="00224F20">
        <w:rPr>
          <w:rFonts w:ascii="Arial" w:hAnsi="Arial" w:cs="Arial"/>
        </w:rPr>
        <w:t>, y aquí también lo podemos corroborar pues el 69.89% de los inmigrantes extranjeros son personas en edades económicamente activa, es decir, entre 15 y 65 años; el 24.10% son menores de 15 años y el porcentaje restante son mayores de 65 años (6.01%). Además, se tiene que el 0.49% son inmigrantes residentes en Ecuador menores a 1 año, el 6.31% tienen entre 1 y 5 años, el 10.69% tienen entre 10 y 15 años, el 10.43% entre 25 y 30 años; y, el 0.05% son inmigrantes mayores de 95 años.</w:t>
      </w:r>
      <w:r w:rsidR="00361C7D">
        <w:rPr>
          <w:rFonts w:ascii="Arial" w:hAnsi="Arial" w:cs="Arial"/>
        </w:rPr>
        <w:t xml:space="preserve"> </w:t>
      </w:r>
      <w:r>
        <w:rPr>
          <w:rFonts w:ascii="Arial" w:hAnsi="Arial" w:cs="Arial"/>
        </w:rPr>
        <w:t xml:space="preserve">Por otra parte, la edad promedio de los inmigrantes es de 31.14 ± 0.05 años, la moda es 7 años y la edad mediana es 29 años, es decir, el 50% de la población inmigrante residente en Ecuador tiene edades menores o iguales a 29 años, además con el valor de los cuartiles podemos deducir que el 25% de los extranjeros residentes en el país son menores de 15 años y que 75% de los extranjeros son menores de 45 años; la edad mínima de los extranjeros es de 0 años y la máxima es de 111 años. </w:t>
      </w:r>
      <w:r>
        <w:rPr>
          <w:rFonts w:ascii="Arial" w:hAnsi="Arial" w:cs="Arial"/>
          <w:i/>
        </w:rPr>
        <w:t>Véase Tabla 3.2.</w:t>
      </w:r>
      <w:r>
        <w:rPr>
          <w:rFonts w:ascii="Arial" w:hAnsi="Arial" w:cs="Arial"/>
        </w:rPr>
        <w:t xml:space="preserve"> </w:t>
      </w:r>
    </w:p>
    <w:tbl>
      <w:tblPr>
        <w:tblStyle w:val="Tablaconcuadrcula"/>
        <w:tblW w:w="7497" w:type="dxa"/>
        <w:jc w:val="right"/>
        <w:tblInd w:w="103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361C7D">
        <w:trPr>
          <w:trHeight w:val="1644"/>
          <w:jc w:val="right"/>
        </w:trPr>
        <w:tc>
          <w:tcPr>
            <w:tcW w:w="7497" w:type="dxa"/>
          </w:tcPr>
          <w:p w:rsidR="00060299" w:rsidRPr="00840530" w:rsidRDefault="00060299" w:rsidP="003B05B6">
            <w:pPr>
              <w:rPr>
                <w:rFonts w:ascii="Arial" w:hAnsi="Arial" w:cs="Arial"/>
                <w:sz w:val="16"/>
                <w:szCs w:val="16"/>
              </w:rPr>
            </w:pPr>
          </w:p>
          <w:p w:rsidR="008D5CF1" w:rsidRPr="008D5CF1" w:rsidRDefault="008D5CF1" w:rsidP="008D5CF1">
            <w:pPr>
              <w:keepNext/>
              <w:rPr>
                <w:rFonts w:ascii="Arial" w:hAnsi="Arial" w:cs="Arial"/>
                <w:b/>
                <w:sz w:val="16"/>
                <w:szCs w:val="16"/>
              </w:rPr>
            </w:pPr>
            <w:bookmarkStart w:id="410" w:name="_Toc341041913"/>
            <w:r>
              <w:rPr>
                <w:rFonts w:ascii="Arial" w:hAnsi="Arial" w:cs="Arial"/>
                <w:b/>
                <w:sz w:val="16"/>
                <w:szCs w:val="16"/>
              </w:rPr>
              <w:t>Tabla 3.</w:t>
            </w:r>
            <w:r w:rsidR="00990535" w:rsidRPr="008D5CF1">
              <w:rPr>
                <w:rFonts w:ascii="Arial" w:hAnsi="Arial" w:cs="Arial"/>
                <w:b/>
                <w:sz w:val="16"/>
                <w:szCs w:val="16"/>
              </w:rPr>
              <w:fldChar w:fldCharType="begin"/>
            </w:r>
            <w:r w:rsidRPr="008D5CF1">
              <w:rPr>
                <w:rFonts w:ascii="Arial" w:hAnsi="Arial" w:cs="Arial"/>
                <w:b/>
                <w:sz w:val="16"/>
                <w:szCs w:val="16"/>
              </w:rPr>
              <w:instrText xml:space="preserve"> SEQ Tabla_3. \* ARABIC </w:instrText>
            </w:r>
            <w:r w:rsidR="00990535" w:rsidRPr="008D5CF1">
              <w:rPr>
                <w:rFonts w:ascii="Arial" w:hAnsi="Arial" w:cs="Arial"/>
                <w:b/>
                <w:sz w:val="16"/>
                <w:szCs w:val="16"/>
              </w:rPr>
              <w:fldChar w:fldCharType="separate"/>
            </w:r>
            <w:r w:rsidR="00A242E0">
              <w:rPr>
                <w:rFonts w:ascii="Arial" w:hAnsi="Arial" w:cs="Arial"/>
                <w:b/>
                <w:noProof/>
                <w:sz w:val="16"/>
                <w:szCs w:val="16"/>
              </w:rPr>
              <w:t>2</w:t>
            </w:r>
            <w:bookmarkEnd w:id="410"/>
            <w:r w:rsidR="00990535" w:rsidRPr="008D5CF1">
              <w:rPr>
                <w:rFonts w:ascii="Arial" w:hAnsi="Arial" w:cs="Arial"/>
                <w:b/>
                <w:sz w:val="16"/>
                <w:szCs w:val="16"/>
              </w:rPr>
              <w:fldChar w:fldCharType="end"/>
            </w:r>
          </w:p>
          <w:p w:rsidR="00060299" w:rsidRDefault="00BF3C5B"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Estadísticas Descriptivas de la Edad de los Inmigrantes</w:t>
            </w:r>
            <w:r>
              <w:rPr>
                <w:rFonts w:ascii="Arial" w:hAnsi="Arial" w:cs="Arial"/>
                <w:i/>
                <w:sz w:val="16"/>
                <w:szCs w:val="16"/>
              </w:rPr>
              <w:t xml:space="preserve"> extranjeros</w:t>
            </w:r>
          </w:p>
          <w:p w:rsidR="00060299" w:rsidRDefault="00060299" w:rsidP="003B05B6">
            <w:pPr>
              <w:rPr>
                <w:noProof/>
                <w:sz w:val="10"/>
                <w:szCs w:val="10"/>
                <w:lang w:eastAsia="es-EC"/>
              </w:rPr>
            </w:pPr>
          </w:p>
          <w:tbl>
            <w:tblPr>
              <w:tblW w:w="7170" w:type="dxa"/>
              <w:jc w:val="center"/>
              <w:tblCellMar>
                <w:left w:w="70" w:type="dxa"/>
                <w:right w:w="70" w:type="dxa"/>
              </w:tblCellMar>
              <w:tblLook w:val="04A0" w:firstRow="1" w:lastRow="0" w:firstColumn="1" w:lastColumn="0" w:noHBand="0" w:noVBand="1"/>
            </w:tblPr>
            <w:tblGrid>
              <w:gridCol w:w="628"/>
              <w:gridCol w:w="1135"/>
              <w:gridCol w:w="592"/>
              <w:gridCol w:w="1019"/>
              <w:gridCol w:w="737"/>
              <w:gridCol w:w="770"/>
              <w:gridCol w:w="737"/>
              <w:gridCol w:w="815"/>
              <w:gridCol w:w="737"/>
            </w:tblGrid>
            <w:tr w:rsidR="00060299" w:rsidRPr="00776905" w:rsidTr="008D5CF1">
              <w:trPr>
                <w:trHeight w:val="20"/>
                <w:jc w:val="center"/>
              </w:trPr>
              <w:tc>
                <w:tcPr>
                  <w:tcW w:w="628" w:type="dxa"/>
                  <w:tcBorders>
                    <w:top w:val="single" w:sz="4" w:space="0" w:color="auto"/>
                    <w:left w:val="nil"/>
                    <w:bottom w:val="single" w:sz="4" w:space="0" w:color="auto"/>
                    <w:right w:val="nil"/>
                  </w:tcBorders>
                  <w:shd w:val="clear" w:color="auto" w:fill="auto"/>
                  <w:vAlign w:val="center"/>
                  <w:hideMark/>
                </w:tcPr>
                <w:p w:rsidR="00060299" w:rsidRPr="00776905" w:rsidRDefault="00060299" w:rsidP="003B05B6">
                  <w:pPr>
                    <w:rPr>
                      <w:rFonts w:ascii="Arial" w:eastAsia="Times New Roman" w:hAnsi="Arial" w:cs="Arial"/>
                      <w:b/>
                      <w:bCs/>
                      <w:color w:val="000000"/>
                      <w:sz w:val="16"/>
                      <w:szCs w:val="16"/>
                      <w:lang w:eastAsia="es-EC"/>
                    </w:rPr>
                  </w:pPr>
                  <w:r w:rsidRPr="00776905">
                    <w:rPr>
                      <w:rFonts w:ascii="Arial" w:eastAsia="Times New Roman" w:hAnsi="Arial" w:cs="Arial"/>
                      <w:b/>
                      <w:bCs/>
                      <w:color w:val="000000"/>
                      <w:sz w:val="16"/>
                      <w:szCs w:val="16"/>
                      <w:lang w:eastAsia="es-EC"/>
                    </w:rPr>
                    <w:t>Media</w:t>
                  </w:r>
                </w:p>
              </w:tc>
              <w:tc>
                <w:tcPr>
                  <w:tcW w:w="1135" w:type="dxa"/>
                  <w:tcBorders>
                    <w:top w:val="single" w:sz="4" w:space="0" w:color="auto"/>
                    <w:left w:val="nil"/>
                    <w:bottom w:val="single" w:sz="4" w:space="0" w:color="auto"/>
                    <w:right w:val="nil"/>
                  </w:tcBorders>
                  <w:shd w:val="clear" w:color="auto" w:fill="auto"/>
                  <w:vAlign w:val="center"/>
                  <w:hideMark/>
                </w:tcPr>
                <w:p w:rsidR="00060299" w:rsidRPr="00776905" w:rsidRDefault="00060299" w:rsidP="003B05B6">
                  <w:pPr>
                    <w:rPr>
                      <w:rFonts w:ascii="Arial" w:eastAsia="Times New Roman" w:hAnsi="Arial" w:cs="Arial"/>
                      <w:b/>
                      <w:bCs/>
                      <w:color w:val="000000"/>
                      <w:sz w:val="16"/>
                      <w:szCs w:val="16"/>
                      <w:lang w:eastAsia="es-EC"/>
                    </w:rPr>
                  </w:pPr>
                  <w:r w:rsidRPr="00776905">
                    <w:rPr>
                      <w:rFonts w:ascii="Arial" w:eastAsia="Times New Roman" w:hAnsi="Arial" w:cs="Arial"/>
                      <w:b/>
                      <w:bCs/>
                      <w:color w:val="000000"/>
                      <w:sz w:val="16"/>
                      <w:szCs w:val="16"/>
                      <w:lang w:eastAsia="es-EC"/>
                    </w:rPr>
                    <w:t>Error estándar de la media</w:t>
                  </w:r>
                </w:p>
              </w:tc>
              <w:tc>
                <w:tcPr>
                  <w:tcW w:w="592" w:type="dxa"/>
                  <w:tcBorders>
                    <w:top w:val="single" w:sz="4" w:space="0" w:color="auto"/>
                    <w:left w:val="nil"/>
                    <w:bottom w:val="single" w:sz="4" w:space="0" w:color="auto"/>
                    <w:right w:val="nil"/>
                  </w:tcBorders>
                  <w:shd w:val="clear" w:color="auto" w:fill="auto"/>
                  <w:vAlign w:val="center"/>
                  <w:hideMark/>
                </w:tcPr>
                <w:p w:rsidR="00060299" w:rsidRPr="00776905" w:rsidRDefault="00060299" w:rsidP="003B05B6">
                  <w:pPr>
                    <w:rPr>
                      <w:rFonts w:ascii="Arial" w:eastAsia="Times New Roman" w:hAnsi="Arial" w:cs="Arial"/>
                      <w:b/>
                      <w:bCs/>
                      <w:color w:val="000000"/>
                      <w:sz w:val="16"/>
                      <w:szCs w:val="16"/>
                      <w:lang w:eastAsia="es-EC"/>
                    </w:rPr>
                  </w:pPr>
                  <w:r w:rsidRPr="00776905">
                    <w:rPr>
                      <w:rFonts w:ascii="Arial" w:eastAsia="Times New Roman" w:hAnsi="Arial" w:cs="Arial"/>
                      <w:b/>
                      <w:bCs/>
                      <w:color w:val="000000"/>
                      <w:sz w:val="16"/>
                      <w:szCs w:val="16"/>
                      <w:lang w:eastAsia="es-EC"/>
                    </w:rPr>
                    <w:t>Moda</w:t>
                  </w:r>
                </w:p>
              </w:tc>
              <w:tc>
                <w:tcPr>
                  <w:tcW w:w="1019" w:type="dxa"/>
                  <w:tcBorders>
                    <w:top w:val="single" w:sz="4" w:space="0" w:color="auto"/>
                    <w:left w:val="nil"/>
                    <w:bottom w:val="single" w:sz="4" w:space="0" w:color="auto"/>
                    <w:right w:val="nil"/>
                  </w:tcBorders>
                  <w:vAlign w:val="center"/>
                </w:tcPr>
                <w:p w:rsidR="00060299" w:rsidRPr="00776905" w:rsidRDefault="00060299" w:rsidP="003B05B6">
                  <w:pP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Desviación estándar</w:t>
                  </w:r>
                </w:p>
              </w:tc>
              <w:tc>
                <w:tcPr>
                  <w:tcW w:w="737" w:type="dxa"/>
                  <w:tcBorders>
                    <w:top w:val="single" w:sz="4" w:space="0" w:color="auto"/>
                    <w:left w:val="nil"/>
                    <w:bottom w:val="single" w:sz="4" w:space="0" w:color="auto"/>
                    <w:right w:val="nil"/>
                  </w:tcBorders>
                  <w:shd w:val="clear" w:color="auto" w:fill="auto"/>
                  <w:vAlign w:val="center"/>
                  <w:hideMark/>
                </w:tcPr>
                <w:p w:rsidR="00060299" w:rsidRPr="00776905" w:rsidRDefault="00060299" w:rsidP="003B05B6">
                  <w:pPr>
                    <w:rPr>
                      <w:rFonts w:ascii="Arial" w:eastAsia="Times New Roman" w:hAnsi="Arial" w:cs="Arial"/>
                      <w:b/>
                      <w:bCs/>
                      <w:color w:val="000000"/>
                      <w:sz w:val="16"/>
                      <w:szCs w:val="16"/>
                      <w:lang w:eastAsia="es-EC"/>
                    </w:rPr>
                  </w:pPr>
                  <w:r w:rsidRPr="00776905">
                    <w:rPr>
                      <w:rFonts w:ascii="Arial" w:eastAsia="Times New Roman" w:hAnsi="Arial" w:cs="Arial"/>
                      <w:b/>
                      <w:bCs/>
                      <w:color w:val="000000"/>
                      <w:sz w:val="16"/>
                      <w:szCs w:val="16"/>
                      <w:lang w:eastAsia="es-EC"/>
                    </w:rPr>
                    <w:t>Mínimo</w:t>
                  </w:r>
                </w:p>
              </w:tc>
              <w:tc>
                <w:tcPr>
                  <w:tcW w:w="770" w:type="dxa"/>
                  <w:tcBorders>
                    <w:top w:val="single" w:sz="4" w:space="0" w:color="auto"/>
                    <w:left w:val="nil"/>
                    <w:bottom w:val="single" w:sz="4" w:space="0" w:color="auto"/>
                    <w:right w:val="nil"/>
                  </w:tcBorders>
                  <w:shd w:val="clear" w:color="auto" w:fill="auto"/>
                  <w:vAlign w:val="center"/>
                  <w:hideMark/>
                </w:tcPr>
                <w:p w:rsidR="00060299" w:rsidRPr="00776905" w:rsidRDefault="00060299" w:rsidP="003B05B6">
                  <w:pPr>
                    <w:rPr>
                      <w:rFonts w:ascii="Arial" w:eastAsia="Times New Roman" w:hAnsi="Arial" w:cs="Arial"/>
                      <w:b/>
                      <w:bCs/>
                      <w:color w:val="000000"/>
                      <w:sz w:val="16"/>
                      <w:szCs w:val="16"/>
                      <w:lang w:eastAsia="es-EC"/>
                    </w:rPr>
                  </w:pPr>
                  <w:r w:rsidRPr="00776905">
                    <w:rPr>
                      <w:rFonts w:ascii="Arial" w:eastAsia="Times New Roman" w:hAnsi="Arial" w:cs="Arial"/>
                      <w:b/>
                      <w:bCs/>
                      <w:color w:val="000000"/>
                      <w:sz w:val="16"/>
                      <w:szCs w:val="16"/>
                      <w:lang w:eastAsia="es-EC"/>
                    </w:rPr>
                    <w:t>Máximo</w:t>
                  </w:r>
                </w:p>
              </w:tc>
              <w:tc>
                <w:tcPr>
                  <w:tcW w:w="737" w:type="dxa"/>
                  <w:tcBorders>
                    <w:top w:val="single" w:sz="4" w:space="0" w:color="auto"/>
                    <w:left w:val="nil"/>
                    <w:bottom w:val="single" w:sz="4" w:space="0" w:color="auto"/>
                    <w:right w:val="nil"/>
                  </w:tcBorders>
                  <w:shd w:val="clear" w:color="auto" w:fill="auto"/>
                  <w:vAlign w:val="center"/>
                  <w:hideMark/>
                </w:tcPr>
                <w:p w:rsidR="00060299" w:rsidRPr="00776905" w:rsidRDefault="00060299" w:rsidP="003B05B6">
                  <w:pPr>
                    <w:rPr>
                      <w:rFonts w:ascii="Arial" w:eastAsia="Times New Roman" w:hAnsi="Arial" w:cs="Arial"/>
                      <w:b/>
                      <w:bCs/>
                      <w:color w:val="000000"/>
                      <w:sz w:val="16"/>
                      <w:szCs w:val="16"/>
                      <w:lang w:eastAsia="es-EC"/>
                    </w:rPr>
                  </w:pPr>
                  <w:r w:rsidRPr="00776905">
                    <w:rPr>
                      <w:rFonts w:ascii="Arial" w:eastAsia="Times New Roman" w:hAnsi="Arial" w:cs="Arial"/>
                      <w:b/>
                      <w:bCs/>
                      <w:color w:val="000000"/>
                      <w:sz w:val="16"/>
                      <w:szCs w:val="16"/>
                      <w:lang w:eastAsia="es-EC"/>
                    </w:rPr>
                    <w:t>Cuartil 1</w:t>
                  </w:r>
                </w:p>
              </w:tc>
              <w:tc>
                <w:tcPr>
                  <w:tcW w:w="815" w:type="dxa"/>
                  <w:tcBorders>
                    <w:top w:val="single" w:sz="4" w:space="0" w:color="auto"/>
                    <w:left w:val="nil"/>
                    <w:bottom w:val="single" w:sz="4" w:space="0" w:color="auto"/>
                    <w:right w:val="nil"/>
                  </w:tcBorders>
                  <w:shd w:val="clear" w:color="auto" w:fill="auto"/>
                  <w:vAlign w:val="center"/>
                  <w:hideMark/>
                </w:tcPr>
                <w:p w:rsidR="00060299" w:rsidRPr="00776905" w:rsidRDefault="00060299" w:rsidP="003B05B6">
                  <w:pPr>
                    <w:rPr>
                      <w:rFonts w:ascii="Arial" w:eastAsia="Times New Roman" w:hAnsi="Arial" w:cs="Arial"/>
                      <w:b/>
                      <w:bCs/>
                      <w:color w:val="000000"/>
                      <w:sz w:val="16"/>
                      <w:szCs w:val="16"/>
                      <w:lang w:eastAsia="es-EC"/>
                    </w:rPr>
                  </w:pPr>
                  <w:r w:rsidRPr="00776905">
                    <w:rPr>
                      <w:rFonts w:ascii="Arial" w:eastAsia="Times New Roman" w:hAnsi="Arial" w:cs="Arial"/>
                      <w:b/>
                      <w:bCs/>
                      <w:color w:val="000000"/>
                      <w:sz w:val="16"/>
                      <w:szCs w:val="16"/>
                      <w:lang w:eastAsia="es-EC"/>
                    </w:rPr>
                    <w:t>Mediana</w:t>
                  </w:r>
                </w:p>
              </w:tc>
              <w:tc>
                <w:tcPr>
                  <w:tcW w:w="737" w:type="dxa"/>
                  <w:tcBorders>
                    <w:top w:val="single" w:sz="4" w:space="0" w:color="auto"/>
                    <w:left w:val="nil"/>
                    <w:bottom w:val="single" w:sz="4" w:space="0" w:color="auto"/>
                    <w:right w:val="nil"/>
                  </w:tcBorders>
                  <w:shd w:val="clear" w:color="auto" w:fill="auto"/>
                  <w:vAlign w:val="center"/>
                  <w:hideMark/>
                </w:tcPr>
                <w:p w:rsidR="00060299" w:rsidRPr="00776905" w:rsidRDefault="00060299" w:rsidP="003B05B6">
                  <w:pPr>
                    <w:rPr>
                      <w:rFonts w:ascii="Arial" w:eastAsia="Times New Roman" w:hAnsi="Arial" w:cs="Arial"/>
                      <w:b/>
                      <w:bCs/>
                      <w:color w:val="000000"/>
                      <w:sz w:val="16"/>
                      <w:szCs w:val="16"/>
                      <w:lang w:eastAsia="es-EC"/>
                    </w:rPr>
                  </w:pPr>
                  <w:r w:rsidRPr="00776905">
                    <w:rPr>
                      <w:rFonts w:ascii="Arial" w:eastAsia="Times New Roman" w:hAnsi="Arial" w:cs="Arial"/>
                      <w:b/>
                      <w:bCs/>
                      <w:color w:val="000000"/>
                      <w:sz w:val="16"/>
                      <w:szCs w:val="16"/>
                      <w:lang w:eastAsia="es-EC"/>
                    </w:rPr>
                    <w:t>Cuartil 3</w:t>
                  </w:r>
                </w:p>
              </w:tc>
            </w:tr>
            <w:tr w:rsidR="00060299" w:rsidRPr="00776905" w:rsidTr="008D5CF1">
              <w:trPr>
                <w:trHeight w:val="20"/>
                <w:jc w:val="center"/>
              </w:trPr>
              <w:tc>
                <w:tcPr>
                  <w:tcW w:w="628" w:type="dxa"/>
                  <w:tcBorders>
                    <w:top w:val="nil"/>
                    <w:left w:val="nil"/>
                    <w:bottom w:val="single" w:sz="4" w:space="0" w:color="auto"/>
                    <w:right w:val="nil"/>
                  </w:tcBorders>
                  <w:shd w:val="clear" w:color="auto" w:fill="auto"/>
                  <w:noWrap/>
                  <w:vAlign w:val="center"/>
                  <w:hideMark/>
                </w:tcPr>
                <w:p w:rsidR="00060299" w:rsidRPr="00776905" w:rsidRDefault="00060299" w:rsidP="003B05B6">
                  <w:pPr>
                    <w:rPr>
                      <w:rFonts w:ascii="Arial" w:eastAsia="Times New Roman" w:hAnsi="Arial" w:cs="Arial"/>
                      <w:color w:val="000000"/>
                      <w:sz w:val="16"/>
                      <w:szCs w:val="16"/>
                      <w:lang w:eastAsia="es-EC"/>
                    </w:rPr>
                  </w:pPr>
                  <w:r w:rsidRPr="00776905">
                    <w:rPr>
                      <w:rFonts w:ascii="Arial" w:eastAsia="Times New Roman" w:hAnsi="Arial" w:cs="Arial"/>
                      <w:color w:val="000000"/>
                      <w:sz w:val="16"/>
                      <w:szCs w:val="16"/>
                      <w:lang w:eastAsia="es-EC"/>
                    </w:rPr>
                    <w:t>31.14</w:t>
                  </w:r>
                </w:p>
              </w:tc>
              <w:tc>
                <w:tcPr>
                  <w:tcW w:w="1135" w:type="dxa"/>
                  <w:tcBorders>
                    <w:top w:val="nil"/>
                    <w:left w:val="nil"/>
                    <w:bottom w:val="single" w:sz="4" w:space="0" w:color="auto"/>
                    <w:right w:val="nil"/>
                  </w:tcBorders>
                  <w:shd w:val="clear" w:color="auto" w:fill="auto"/>
                  <w:noWrap/>
                  <w:vAlign w:val="center"/>
                  <w:hideMark/>
                </w:tcPr>
                <w:p w:rsidR="00060299" w:rsidRPr="00776905" w:rsidRDefault="00060299" w:rsidP="003B05B6">
                  <w:pPr>
                    <w:rPr>
                      <w:rFonts w:ascii="Arial" w:eastAsia="Times New Roman" w:hAnsi="Arial" w:cs="Arial"/>
                      <w:color w:val="000000"/>
                      <w:sz w:val="16"/>
                      <w:szCs w:val="16"/>
                      <w:lang w:eastAsia="es-EC"/>
                    </w:rPr>
                  </w:pPr>
                  <w:r w:rsidRPr="00776905">
                    <w:rPr>
                      <w:rFonts w:ascii="Arial" w:eastAsia="Times New Roman" w:hAnsi="Arial" w:cs="Arial"/>
                      <w:color w:val="000000"/>
                      <w:sz w:val="16"/>
                      <w:szCs w:val="16"/>
                      <w:lang w:eastAsia="es-EC"/>
                    </w:rPr>
                    <w:t>0.05</w:t>
                  </w:r>
                </w:p>
              </w:tc>
              <w:tc>
                <w:tcPr>
                  <w:tcW w:w="592" w:type="dxa"/>
                  <w:tcBorders>
                    <w:top w:val="nil"/>
                    <w:left w:val="nil"/>
                    <w:bottom w:val="single" w:sz="4" w:space="0" w:color="auto"/>
                    <w:right w:val="nil"/>
                  </w:tcBorders>
                  <w:shd w:val="clear" w:color="auto" w:fill="auto"/>
                  <w:noWrap/>
                  <w:vAlign w:val="center"/>
                  <w:hideMark/>
                </w:tcPr>
                <w:p w:rsidR="00060299" w:rsidRPr="00776905" w:rsidRDefault="00060299" w:rsidP="003B05B6">
                  <w:pPr>
                    <w:rPr>
                      <w:rFonts w:ascii="Arial" w:eastAsia="Times New Roman" w:hAnsi="Arial" w:cs="Arial"/>
                      <w:color w:val="000000"/>
                      <w:sz w:val="16"/>
                      <w:szCs w:val="16"/>
                      <w:lang w:eastAsia="es-EC"/>
                    </w:rPr>
                  </w:pPr>
                  <w:r w:rsidRPr="00776905">
                    <w:rPr>
                      <w:rFonts w:ascii="Arial" w:eastAsia="Times New Roman" w:hAnsi="Arial" w:cs="Arial"/>
                      <w:color w:val="000000"/>
                      <w:sz w:val="16"/>
                      <w:szCs w:val="16"/>
                      <w:lang w:eastAsia="es-EC"/>
                    </w:rPr>
                    <w:t>7</w:t>
                  </w:r>
                </w:p>
              </w:tc>
              <w:tc>
                <w:tcPr>
                  <w:tcW w:w="1019" w:type="dxa"/>
                  <w:tcBorders>
                    <w:top w:val="nil"/>
                    <w:left w:val="nil"/>
                    <w:bottom w:val="single" w:sz="4" w:space="0" w:color="auto"/>
                    <w:right w:val="nil"/>
                  </w:tcBorders>
                  <w:vAlign w:val="center"/>
                </w:tcPr>
                <w:p w:rsidR="00060299" w:rsidRPr="00776905" w:rsidRDefault="00060299" w:rsidP="003B05B6">
                  <w:pP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19.55</w:t>
                  </w:r>
                </w:p>
              </w:tc>
              <w:tc>
                <w:tcPr>
                  <w:tcW w:w="737" w:type="dxa"/>
                  <w:tcBorders>
                    <w:top w:val="nil"/>
                    <w:left w:val="nil"/>
                    <w:bottom w:val="single" w:sz="4" w:space="0" w:color="auto"/>
                    <w:right w:val="nil"/>
                  </w:tcBorders>
                  <w:shd w:val="clear" w:color="auto" w:fill="auto"/>
                  <w:noWrap/>
                  <w:vAlign w:val="center"/>
                  <w:hideMark/>
                </w:tcPr>
                <w:p w:rsidR="00060299" w:rsidRPr="00776905" w:rsidRDefault="00060299" w:rsidP="003B05B6">
                  <w:pPr>
                    <w:rPr>
                      <w:rFonts w:ascii="Arial" w:eastAsia="Times New Roman" w:hAnsi="Arial" w:cs="Arial"/>
                      <w:color w:val="000000"/>
                      <w:sz w:val="16"/>
                      <w:szCs w:val="16"/>
                      <w:lang w:eastAsia="es-EC"/>
                    </w:rPr>
                  </w:pPr>
                  <w:r w:rsidRPr="00776905">
                    <w:rPr>
                      <w:rFonts w:ascii="Arial" w:eastAsia="Times New Roman" w:hAnsi="Arial" w:cs="Arial"/>
                      <w:color w:val="000000"/>
                      <w:sz w:val="16"/>
                      <w:szCs w:val="16"/>
                      <w:lang w:eastAsia="es-EC"/>
                    </w:rPr>
                    <w:t>0</w:t>
                  </w:r>
                </w:p>
              </w:tc>
              <w:tc>
                <w:tcPr>
                  <w:tcW w:w="770" w:type="dxa"/>
                  <w:tcBorders>
                    <w:top w:val="nil"/>
                    <w:left w:val="nil"/>
                    <w:bottom w:val="single" w:sz="4" w:space="0" w:color="auto"/>
                    <w:right w:val="nil"/>
                  </w:tcBorders>
                  <w:shd w:val="clear" w:color="auto" w:fill="auto"/>
                  <w:noWrap/>
                  <w:vAlign w:val="center"/>
                  <w:hideMark/>
                </w:tcPr>
                <w:p w:rsidR="00060299" w:rsidRPr="00776905" w:rsidRDefault="00060299" w:rsidP="003B05B6">
                  <w:pPr>
                    <w:rPr>
                      <w:rFonts w:ascii="Arial" w:eastAsia="Times New Roman" w:hAnsi="Arial" w:cs="Arial"/>
                      <w:color w:val="000000"/>
                      <w:sz w:val="16"/>
                      <w:szCs w:val="16"/>
                      <w:lang w:eastAsia="es-EC"/>
                    </w:rPr>
                  </w:pPr>
                  <w:r w:rsidRPr="00776905">
                    <w:rPr>
                      <w:rFonts w:ascii="Arial" w:eastAsia="Times New Roman" w:hAnsi="Arial" w:cs="Arial"/>
                      <w:color w:val="000000"/>
                      <w:sz w:val="16"/>
                      <w:szCs w:val="16"/>
                      <w:lang w:eastAsia="es-EC"/>
                    </w:rPr>
                    <w:t>111</w:t>
                  </w:r>
                </w:p>
              </w:tc>
              <w:tc>
                <w:tcPr>
                  <w:tcW w:w="737" w:type="dxa"/>
                  <w:tcBorders>
                    <w:top w:val="nil"/>
                    <w:left w:val="nil"/>
                    <w:bottom w:val="single" w:sz="4" w:space="0" w:color="auto"/>
                    <w:right w:val="nil"/>
                  </w:tcBorders>
                  <w:shd w:val="clear" w:color="auto" w:fill="auto"/>
                  <w:noWrap/>
                  <w:vAlign w:val="center"/>
                  <w:hideMark/>
                </w:tcPr>
                <w:p w:rsidR="00060299" w:rsidRPr="00776905" w:rsidRDefault="00060299" w:rsidP="003B05B6">
                  <w:pPr>
                    <w:rPr>
                      <w:rFonts w:ascii="Arial" w:eastAsia="Times New Roman" w:hAnsi="Arial" w:cs="Arial"/>
                      <w:color w:val="000000"/>
                      <w:sz w:val="16"/>
                      <w:szCs w:val="16"/>
                      <w:lang w:eastAsia="es-EC"/>
                    </w:rPr>
                  </w:pPr>
                  <w:r w:rsidRPr="00776905">
                    <w:rPr>
                      <w:rFonts w:ascii="Arial" w:eastAsia="Times New Roman" w:hAnsi="Arial" w:cs="Arial"/>
                      <w:color w:val="000000"/>
                      <w:sz w:val="16"/>
                      <w:szCs w:val="16"/>
                      <w:lang w:eastAsia="es-EC"/>
                    </w:rPr>
                    <w:t>15</w:t>
                  </w:r>
                </w:p>
              </w:tc>
              <w:tc>
                <w:tcPr>
                  <w:tcW w:w="815" w:type="dxa"/>
                  <w:tcBorders>
                    <w:top w:val="nil"/>
                    <w:left w:val="nil"/>
                    <w:bottom w:val="single" w:sz="4" w:space="0" w:color="auto"/>
                    <w:right w:val="nil"/>
                  </w:tcBorders>
                  <w:shd w:val="clear" w:color="auto" w:fill="auto"/>
                  <w:noWrap/>
                  <w:vAlign w:val="center"/>
                  <w:hideMark/>
                </w:tcPr>
                <w:p w:rsidR="00060299" w:rsidRPr="00776905" w:rsidRDefault="00060299" w:rsidP="003B05B6">
                  <w:pPr>
                    <w:rPr>
                      <w:rFonts w:ascii="Arial" w:eastAsia="Times New Roman" w:hAnsi="Arial" w:cs="Arial"/>
                      <w:color w:val="000000"/>
                      <w:sz w:val="16"/>
                      <w:szCs w:val="16"/>
                      <w:lang w:eastAsia="es-EC"/>
                    </w:rPr>
                  </w:pPr>
                  <w:r w:rsidRPr="00776905">
                    <w:rPr>
                      <w:rFonts w:ascii="Arial" w:eastAsia="Times New Roman" w:hAnsi="Arial" w:cs="Arial"/>
                      <w:color w:val="000000"/>
                      <w:sz w:val="16"/>
                      <w:szCs w:val="16"/>
                      <w:lang w:eastAsia="es-EC"/>
                    </w:rPr>
                    <w:t>29</w:t>
                  </w:r>
                </w:p>
              </w:tc>
              <w:tc>
                <w:tcPr>
                  <w:tcW w:w="737" w:type="dxa"/>
                  <w:tcBorders>
                    <w:top w:val="nil"/>
                    <w:left w:val="nil"/>
                    <w:bottom w:val="single" w:sz="4" w:space="0" w:color="auto"/>
                    <w:right w:val="nil"/>
                  </w:tcBorders>
                  <w:shd w:val="clear" w:color="auto" w:fill="auto"/>
                  <w:noWrap/>
                  <w:vAlign w:val="center"/>
                  <w:hideMark/>
                </w:tcPr>
                <w:p w:rsidR="00060299" w:rsidRPr="00776905" w:rsidRDefault="00060299" w:rsidP="003B05B6">
                  <w:pPr>
                    <w:rPr>
                      <w:rFonts w:ascii="Arial" w:eastAsia="Times New Roman" w:hAnsi="Arial" w:cs="Arial"/>
                      <w:color w:val="000000"/>
                      <w:sz w:val="16"/>
                      <w:szCs w:val="16"/>
                      <w:lang w:eastAsia="es-EC"/>
                    </w:rPr>
                  </w:pPr>
                  <w:r w:rsidRPr="00776905">
                    <w:rPr>
                      <w:rFonts w:ascii="Arial" w:eastAsia="Times New Roman" w:hAnsi="Arial" w:cs="Arial"/>
                      <w:color w:val="000000"/>
                      <w:sz w:val="16"/>
                      <w:szCs w:val="16"/>
                      <w:lang w:eastAsia="es-EC"/>
                    </w:rPr>
                    <w:t>45</w:t>
                  </w:r>
                </w:p>
              </w:tc>
            </w:tr>
          </w:tbl>
          <w:p w:rsidR="00060299" w:rsidRPr="00AA6571" w:rsidRDefault="00060299" w:rsidP="003B05B6">
            <w:pPr>
              <w:rPr>
                <w:noProof/>
                <w:sz w:val="10"/>
                <w:szCs w:val="10"/>
                <w:lang w:eastAsia="es-EC"/>
              </w:rPr>
            </w:pPr>
          </w:p>
        </w:tc>
      </w:tr>
    </w:tbl>
    <w:p w:rsidR="00060299" w:rsidRPr="007E73E8" w:rsidRDefault="00060299" w:rsidP="00361C7D">
      <w:pPr>
        <w:pStyle w:val="Prrafodelista"/>
        <w:spacing w:line="276" w:lineRule="auto"/>
        <w:ind w:left="851"/>
        <w:jc w:val="both"/>
        <w:rPr>
          <w:rFonts w:ascii="Arial" w:hAnsi="Arial" w:cs="Arial"/>
          <w:sz w:val="17"/>
          <w:szCs w:val="17"/>
        </w:rPr>
      </w:pPr>
    </w:p>
    <w:p w:rsidR="00060299" w:rsidRPr="007E73E8" w:rsidRDefault="00060299" w:rsidP="00361C7D">
      <w:pPr>
        <w:pStyle w:val="Prrafodelista"/>
        <w:spacing w:line="276" w:lineRule="auto"/>
        <w:ind w:left="851"/>
        <w:jc w:val="both"/>
        <w:rPr>
          <w:rFonts w:ascii="Arial" w:hAnsi="Arial" w:cs="Arial"/>
          <w:sz w:val="17"/>
          <w:szCs w:val="17"/>
        </w:rPr>
      </w:pPr>
      <w:r w:rsidRPr="007E73E8">
        <w:rPr>
          <w:rFonts w:ascii="Arial" w:hAnsi="Arial" w:cs="Arial"/>
          <w:b/>
          <w:i/>
          <w:sz w:val="17"/>
          <w:szCs w:val="17"/>
        </w:rPr>
        <w:t>Fuente:</w:t>
      </w:r>
      <w:r w:rsidRPr="007E73E8">
        <w:rPr>
          <w:rFonts w:ascii="Arial" w:hAnsi="Arial" w:cs="Arial"/>
          <w:sz w:val="17"/>
          <w:szCs w:val="17"/>
        </w:rPr>
        <w:t xml:space="preserve"> </w:t>
      </w:r>
      <w:r w:rsidRPr="007E73E8">
        <w:rPr>
          <w:rFonts w:ascii="Arial" w:hAnsi="Arial" w:cs="Arial"/>
          <w:b/>
          <w:sz w:val="17"/>
          <w:szCs w:val="17"/>
        </w:rPr>
        <w:t xml:space="preserve">INEC </w:t>
      </w:r>
      <w:r w:rsidRPr="007E73E8">
        <w:rPr>
          <w:rFonts w:ascii="Arial" w:hAnsi="Arial" w:cs="Arial"/>
          <w:sz w:val="17"/>
          <w:szCs w:val="17"/>
        </w:rPr>
        <w:t>(2010), Base de Datos del VII Censo de Población y VI de Vivienda.</w:t>
      </w:r>
    </w:p>
    <w:p w:rsidR="00060299" w:rsidRDefault="00060299" w:rsidP="00361C7D">
      <w:pPr>
        <w:pStyle w:val="Prrafodelista"/>
        <w:spacing w:line="276" w:lineRule="auto"/>
        <w:ind w:left="851"/>
        <w:jc w:val="both"/>
        <w:rPr>
          <w:rFonts w:ascii="Arial" w:hAnsi="Arial" w:cs="Arial"/>
          <w:sz w:val="18"/>
          <w:szCs w:val="18"/>
        </w:rPr>
      </w:pPr>
      <w:r w:rsidRPr="007E73E8">
        <w:rPr>
          <w:rFonts w:ascii="Arial" w:hAnsi="Arial" w:cs="Arial"/>
          <w:b/>
          <w:i/>
          <w:sz w:val="17"/>
          <w:szCs w:val="17"/>
        </w:rPr>
        <w:t>Elaborado por:</w:t>
      </w:r>
      <w:r w:rsidRPr="007E73E8">
        <w:rPr>
          <w:rFonts w:ascii="Arial" w:hAnsi="Arial" w:cs="Arial"/>
          <w:sz w:val="17"/>
          <w:szCs w:val="17"/>
        </w:rPr>
        <w:t xml:space="preserve"> Katherine Loor Valeriano</w:t>
      </w:r>
    </w:p>
    <w:p w:rsidR="00060299" w:rsidRDefault="00060299" w:rsidP="00060299">
      <w:pPr>
        <w:spacing w:line="480" w:lineRule="auto"/>
        <w:ind w:left="567"/>
        <w:jc w:val="both"/>
        <w:rPr>
          <w:rFonts w:ascii="Arial" w:hAnsi="Arial" w:cs="Arial"/>
        </w:rPr>
      </w:pPr>
    </w:p>
    <w:p w:rsidR="00060299" w:rsidRPr="001B1886" w:rsidRDefault="00060299" w:rsidP="007E73E8">
      <w:pPr>
        <w:spacing w:line="480" w:lineRule="auto"/>
        <w:ind w:left="851"/>
        <w:jc w:val="both"/>
        <w:rPr>
          <w:rFonts w:ascii="Arial" w:hAnsi="Arial" w:cs="Arial"/>
          <w:i/>
        </w:rPr>
      </w:pPr>
      <w:r>
        <w:rPr>
          <w:rFonts w:ascii="Arial" w:hAnsi="Arial" w:cs="Arial"/>
        </w:rPr>
        <w:lastRenderedPageBreak/>
        <w:t xml:space="preserve">En la </w:t>
      </w:r>
      <w:r>
        <w:rPr>
          <w:rFonts w:ascii="Arial" w:hAnsi="Arial" w:cs="Arial"/>
          <w:i/>
        </w:rPr>
        <w:t>Figura 3.15</w:t>
      </w:r>
      <w:r>
        <w:rPr>
          <w:rFonts w:ascii="Arial" w:hAnsi="Arial" w:cs="Arial"/>
        </w:rPr>
        <w:t xml:space="preserve">, se muestra la distribución Género – Edad de los extranjeros residentes en el Ecuador; en donde la longitud de la barra representa el porcentaje de la población que tiene una determinada edad y de un género determinado; a partir de este gráfico obtenemos que el 35.29% de los inmigrantes son hombres con edades entre 15 y 65 años, que el 34.59% de los inmigrantes son mujeres con edades también entre 15 y 65 años; el 12.35% son hombres con edades inferiores a 15 años y el 11.75% son mujeres con edades también inferiores a 15 años; y, en lo que respecta a los adultos mayores el 3.11% son hombres y el 2.89% son mujeres extranjeras residentes en Ecuador. Por otra parte el 5.47% son hombres con edades entre 5 y 10 años, el 5.21% son mujeres con edades pertenecientes al mismo grupo de edad; y de los extranjeros que pertenecen al grupo etario entre 25 y 30 años, el 5.15% son hombres y el 5.28% son mujeres. </w:t>
      </w:r>
      <w:r>
        <w:rPr>
          <w:rFonts w:ascii="Arial" w:hAnsi="Arial" w:cs="Arial"/>
          <w:i/>
        </w:rPr>
        <w:t>Véase Figura 3.15.</w:t>
      </w:r>
    </w:p>
    <w:tbl>
      <w:tblPr>
        <w:tblStyle w:val="Tablaconcuadrcula"/>
        <w:tblW w:w="7497" w:type="dxa"/>
        <w:jc w:val="right"/>
        <w:tblInd w:w="103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7E73E8">
        <w:trPr>
          <w:trHeight w:val="3742"/>
          <w:jc w:val="right"/>
        </w:trPr>
        <w:tc>
          <w:tcPr>
            <w:tcW w:w="7497" w:type="dxa"/>
          </w:tcPr>
          <w:p w:rsidR="00060299" w:rsidRPr="00840530" w:rsidRDefault="00060299" w:rsidP="003B05B6">
            <w:pPr>
              <w:rPr>
                <w:rFonts w:ascii="Arial" w:hAnsi="Arial" w:cs="Arial"/>
                <w:sz w:val="16"/>
                <w:szCs w:val="16"/>
              </w:rPr>
            </w:pPr>
          </w:p>
          <w:p w:rsidR="004B5D57" w:rsidRPr="004B5D57" w:rsidRDefault="004B5D57" w:rsidP="004B5D57">
            <w:pPr>
              <w:keepNext/>
              <w:rPr>
                <w:rFonts w:ascii="Arial" w:hAnsi="Arial" w:cs="Arial"/>
                <w:b/>
                <w:sz w:val="16"/>
                <w:szCs w:val="16"/>
              </w:rPr>
            </w:pPr>
            <w:bookmarkStart w:id="411" w:name="_Toc341043414"/>
            <w:r>
              <w:rPr>
                <w:rFonts w:ascii="Arial" w:hAnsi="Arial" w:cs="Arial"/>
                <w:b/>
                <w:sz w:val="16"/>
                <w:szCs w:val="16"/>
              </w:rPr>
              <w:t>Figura 3.</w:t>
            </w:r>
            <w:r w:rsidR="00990535" w:rsidRPr="004B5D57">
              <w:rPr>
                <w:rFonts w:ascii="Arial" w:hAnsi="Arial" w:cs="Arial"/>
                <w:b/>
                <w:sz w:val="16"/>
                <w:szCs w:val="16"/>
              </w:rPr>
              <w:fldChar w:fldCharType="begin"/>
            </w:r>
            <w:r w:rsidRPr="004B5D57">
              <w:rPr>
                <w:rFonts w:ascii="Arial" w:hAnsi="Arial" w:cs="Arial"/>
                <w:b/>
                <w:sz w:val="16"/>
                <w:szCs w:val="16"/>
              </w:rPr>
              <w:instrText xml:space="preserve"> SEQ Figura_3. \* ARABIC </w:instrText>
            </w:r>
            <w:r w:rsidR="00990535" w:rsidRPr="004B5D57">
              <w:rPr>
                <w:rFonts w:ascii="Arial" w:hAnsi="Arial" w:cs="Arial"/>
                <w:b/>
                <w:sz w:val="16"/>
                <w:szCs w:val="16"/>
              </w:rPr>
              <w:fldChar w:fldCharType="separate"/>
            </w:r>
            <w:r w:rsidR="00A242E0">
              <w:rPr>
                <w:rFonts w:ascii="Arial" w:hAnsi="Arial" w:cs="Arial"/>
                <w:b/>
                <w:noProof/>
                <w:sz w:val="16"/>
                <w:szCs w:val="16"/>
              </w:rPr>
              <w:t>15</w:t>
            </w:r>
            <w:bookmarkEnd w:id="411"/>
            <w:r w:rsidR="00990535" w:rsidRPr="004B5D57">
              <w:rPr>
                <w:rFonts w:ascii="Arial" w:hAnsi="Arial" w:cs="Arial"/>
                <w:b/>
                <w:sz w:val="16"/>
                <w:szCs w:val="16"/>
              </w:rPr>
              <w:fldChar w:fldCharType="end"/>
            </w:r>
          </w:p>
          <w:p w:rsidR="00060299" w:rsidRDefault="007E73E8" w:rsidP="003B05B6">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Distribución Género – Edad de la población extranjera que reside en el país</w:t>
            </w:r>
          </w:p>
          <w:p w:rsidR="00060299" w:rsidRPr="00AA6571" w:rsidRDefault="00436907" w:rsidP="003B05B6">
            <w:pPr>
              <w:rPr>
                <w:noProof/>
                <w:sz w:val="10"/>
                <w:szCs w:val="10"/>
                <w:lang w:eastAsia="es-EC"/>
              </w:rPr>
            </w:pPr>
            <w:r>
              <w:rPr>
                <w:rFonts w:ascii="Arial" w:hAnsi="Arial" w:cs="Arial"/>
                <w:noProof/>
                <w:sz w:val="16"/>
                <w:szCs w:val="16"/>
                <w:lang w:eastAsia="es-EC"/>
              </w:rPr>
              <w:pict>
                <v:shape id="_x0000_s1248" type="#_x0000_t202" style="position:absolute;left:0;text-align:left;margin-left:206.65pt;margin-top:11.5pt;width:146.45pt;height:21.7pt;z-index:25146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qm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8yRx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MiNqmLgIAAFYEAAAOAAAAAAAAAAAAAAAAAC4CAABkcnMv&#10;ZTJvRG9jLnhtbFBLAQItABQABgAIAAAAIQD9LzLW2wAAAAUBAAAPAAAAAAAAAAAAAAAAAIgEAABk&#10;cnMvZG93bnJldi54bWxQSwUGAAAAAAQABADzAAAAkAUAAAAA&#10;" filled="f" stroked="f">
                  <v:textbox style="mso-next-textbox:#_x0000_s1248">
                    <w:txbxContent>
                      <w:p w:rsidR="006933DF" w:rsidRPr="007C0C5C" w:rsidRDefault="006933DF" w:rsidP="00060299">
                        <w:pPr>
                          <w:rPr>
                            <w:rFonts w:ascii="Arial" w:hAnsi="Arial" w:cs="Arial"/>
                            <w:b/>
                            <w:sz w:val="15"/>
                            <w:szCs w:val="15"/>
                          </w:rPr>
                        </w:pPr>
                        <w:r w:rsidRPr="007C0C5C">
                          <w:rPr>
                            <w:rFonts w:ascii="Arial" w:hAnsi="Arial" w:cs="Arial"/>
                            <w:b/>
                            <w:sz w:val="15"/>
                            <w:szCs w:val="15"/>
                          </w:rPr>
                          <w:t>Femenino</w:t>
                        </w:r>
                      </w:p>
                    </w:txbxContent>
                  </v:textbox>
                </v:shape>
              </w:pict>
            </w:r>
            <w:r>
              <w:rPr>
                <w:noProof/>
              </w:rPr>
              <w:pict>
                <v:shape id="Cuadro de texto 2" o:spid="_x0000_s1247" type="#_x0000_t202" style="position:absolute;left:0;text-align:left;margin-left:60.2pt;margin-top:11.5pt;width:146.45pt;height:21.7pt;z-index:25145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qm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8yRx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MiNqmLgIAAFYEAAAOAAAAAAAAAAAAAAAAAC4CAABkcnMv&#10;ZTJvRG9jLnhtbFBLAQItABQABgAIAAAAIQD9LzLW2wAAAAUBAAAPAAAAAAAAAAAAAAAAAIgEAABk&#10;cnMvZG93bnJldi54bWxQSwUGAAAAAAQABADzAAAAkAUAAAAA&#10;" filled="f" stroked="f">
                  <v:textbox style="mso-next-textbox:#Cuadro de texto 2">
                    <w:txbxContent>
                      <w:p w:rsidR="006933DF" w:rsidRPr="007C0C5C" w:rsidRDefault="006933DF" w:rsidP="00060299">
                        <w:pPr>
                          <w:rPr>
                            <w:rFonts w:ascii="Arial" w:hAnsi="Arial" w:cs="Arial"/>
                            <w:b/>
                            <w:sz w:val="15"/>
                            <w:szCs w:val="15"/>
                          </w:rPr>
                        </w:pPr>
                        <w:r w:rsidRPr="007C0C5C">
                          <w:rPr>
                            <w:rFonts w:ascii="Arial" w:hAnsi="Arial" w:cs="Arial"/>
                            <w:b/>
                            <w:sz w:val="15"/>
                            <w:szCs w:val="15"/>
                          </w:rPr>
                          <w:t>Masculino</w:t>
                        </w:r>
                      </w:p>
                    </w:txbxContent>
                  </v:textbox>
                </v:shape>
              </w:pict>
            </w:r>
            <w:r w:rsidR="00060299">
              <w:rPr>
                <w:noProof/>
                <w:lang w:eastAsia="es-EC"/>
              </w:rPr>
              <w:drawing>
                <wp:inline distT="0" distB="0" distL="0" distR="0">
                  <wp:extent cx="4542817" cy="2484000"/>
                  <wp:effectExtent l="0" t="0" r="0" b="0"/>
                  <wp:docPr id="292" name="Gráfico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rsidR="00060299" w:rsidRPr="007E73E8" w:rsidRDefault="00060299" w:rsidP="007E73E8">
      <w:pPr>
        <w:pStyle w:val="Prrafodelista"/>
        <w:spacing w:line="276" w:lineRule="auto"/>
        <w:ind w:left="851"/>
        <w:jc w:val="both"/>
        <w:rPr>
          <w:rFonts w:ascii="Arial" w:hAnsi="Arial" w:cs="Arial"/>
          <w:sz w:val="17"/>
          <w:szCs w:val="17"/>
        </w:rPr>
      </w:pPr>
    </w:p>
    <w:p w:rsidR="00060299" w:rsidRPr="007E73E8" w:rsidRDefault="00060299" w:rsidP="007E73E8">
      <w:pPr>
        <w:pStyle w:val="Prrafodelista"/>
        <w:spacing w:line="276" w:lineRule="auto"/>
        <w:ind w:left="851"/>
        <w:jc w:val="both"/>
        <w:rPr>
          <w:rFonts w:ascii="Arial" w:hAnsi="Arial" w:cs="Arial"/>
          <w:sz w:val="17"/>
          <w:szCs w:val="17"/>
        </w:rPr>
      </w:pPr>
      <w:r w:rsidRPr="007E73E8">
        <w:rPr>
          <w:rFonts w:ascii="Arial" w:hAnsi="Arial" w:cs="Arial"/>
          <w:b/>
          <w:i/>
          <w:sz w:val="17"/>
          <w:szCs w:val="17"/>
        </w:rPr>
        <w:t>Fuente:</w:t>
      </w:r>
      <w:r w:rsidRPr="007E73E8">
        <w:rPr>
          <w:rFonts w:ascii="Arial" w:hAnsi="Arial" w:cs="Arial"/>
          <w:sz w:val="17"/>
          <w:szCs w:val="17"/>
        </w:rPr>
        <w:t xml:space="preserve"> </w:t>
      </w:r>
      <w:r w:rsidRPr="007E73E8">
        <w:rPr>
          <w:rFonts w:ascii="Arial" w:hAnsi="Arial" w:cs="Arial"/>
          <w:b/>
          <w:sz w:val="17"/>
          <w:szCs w:val="17"/>
        </w:rPr>
        <w:t xml:space="preserve">INEC </w:t>
      </w:r>
      <w:r w:rsidRPr="007E73E8">
        <w:rPr>
          <w:rFonts w:ascii="Arial" w:hAnsi="Arial" w:cs="Arial"/>
          <w:sz w:val="17"/>
          <w:szCs w:val="17"/>
        </w:rPr>
        <w:t>(2010), Base de Datos del VII Censo de Población y VI de Vivienda.</w:t>
      </w:r>
    </w:p>
    <w:p w:rsidR="00060299" w:rsidRPr="007E73E8" w:rsidRDefault="00060299" w:rsidP="007E73E8">
      <w:pPr>
        <w:pStyle w:val="Prrafodelista"/>
        <w:spacing w:line="276" w:lineRule="auto"/>
        <w:ind w:left="851"/>
        <w:jc w:val="both"/>
        <w:rPr>
          <w:rFonts w:ascii="Arial" w:hAnsi="Arial" w:cs="Arial"/>
          <w:sz w:val="17"/>
          <w:szCs w:val="17"/>
        </w:rPr>
      </w:pPr>
      <w:r w:rsidRPr="007E73E8">
        <w:rPr>
          <w:rFonts w:ascii="Arial" w:hAnsi="Arial" w:cs="Arial"/>
          <w:b/>
          <w:i/>
          <w:sz w:val="17"/>
          <w:szCs w:val="17"/>
        </w:rPr>
        <w:t>Elaborado por:</w:t>
      </w:r>
      <w:r w:rsidRPr="007E73E8">
        <w:rPr>
          <w:rFonts w:ascii="Arial" w:hAnsi="Arial" w:cs="Arial"/>
          <w:sz w:val="17"/>
          <w:szCs w:val="17"/>
        </w:rPr>
        <w:t xml:space="preserve"> Katherine Loor Valeriano</w:t>
      </w:r>
    </w:p>
    <w:p w:rsidR="00060299" w:rsidRDefault="00AD1F04" w:rsidP="00AD1F04">
      <w:pPr>
        <w:pStyle w:val="Prrafodelista"/>
        <w:spacing w:line="480" w:lineRule="auto"/>
        <w:ind w:left="851"/>
        <w:jc w:val="both"/>
        <w:rPr>
          <w:rFonts w:ascii="Arial" w:hAnsi="Arial" w:cs="Arial"/>
        </w:rPr>
      </w:pPr>
      <w:r>
        <w:rPr>
          <w:rFonts w:ascii="Arial" w:hAnsi="Arial" w:cs="Arial"/>
        </w:rPr>
        <w:lastRenderedPageBreak/>
        <w:t>Si determina</w:t>
      </w:r>
      <w:r w:rsidR="00060299">
        <w:rPr>
          <w:rFonts w:ascii="Arial" w:hAnsi="Arial" w:cs="Arial"/>
        </w:rPr>
        <w:t xml:space="preserve">mos el Índice de Feminidad por grupo de edad, obtenemos que para la mayoría de los grupos de edad es mayor la cantidad de hombres extranjeros residentes en el país que de mujeres. Tenemos además que de los extranjeros con edades entre 15 y 20 años hay 100.97 mujeres por cada 100 hombres, mientras que de los extranjeros residentes en el país con edades entre 20 y 25 años, hay 108.58 mujeres por cada 100 hombres extranjeros residentes en el país pertenecientes a ese grupo etario; de los extranjeros con edades entre 25 y 30 años hay 102.48 mujeres por cada 100 hombres; y, de los extranjeros con edades entre 30 y 35 años hay 100.07 mujeres por cada 100 hombres. </w:t>
      </w:r>
    </w:p>
    <w:p w:rsidR="00060299" w:rsidRDefault="00060299" w:rsidP="00AD1F04">
      <w:pPr>
        <w:pStyle w:val="Prrafodelista"/>
        <w:spacing w:line="480" w:lineRule="auto"/>
        <w:ind w:left="851"/>
        <w:jc w:val="both"/>
        <w:rPr>
          <w:rFonts w:ascii="Arial" w:hAnsi="Arial" w:cs="Arial"/>
        </w:rPr>
      </w:pPr>
    </w:p>
    <w:p w:rsidR="00060299" w:rsidRDefault="00060299" w:rsidP="00AD1F04">
      <w:pPr>
        <w:pStyle w:val="Prrafodelista"/>
        <w:spacing w:line="480" w:lineRule="auto"/>
        <w:ind w:left="851"/>
        <w:jc w:val="both"/>
        <w:rPr>
          <w:rFonts w:ascii="Arial" w:hAnsi="Arial" w:cs="Arial"/>
        </w:rPr>
      </w:pPr>
      <w:r>
        <w:rPr>
          <w:rFonts w:ascii="Arial" w:hAnsi="Arial" w:cs="Arial"/>
        </w:rPr>
        <w:t xml:space="preserve">Para los grupos etarios de extranjeros mayores de 35 años y menores de 75 años, el índice de feminidad es menor que 100, indicando entonces que es mayor la cantidad de hombres, así pues se tiene que para los extranjeros con edades entre 35 y 40 años hay 93.81 mujeres por cada 100 hombres, para el grupo etario con edades entre 40 y 45 años hay 95.82 mujeres por cada 100 hombres extranjeros residentes en el país; mientras que los extranjeros con edades entre 50 y 55 años se </w:t>
      </w:r>
      <w:r w:rsidR="00506BFD">
        <w:rPr>
          <w:rFonts w:ascii="Arial" w:hAnsi="Arial" w:cs="Arial"/>
        </w:rPr>
        <w:t>encontró</w:t>
      </w:r>
      <w:r>
        <w:rPr>
          <w:rFonts w:ascii="Arial" w:hAnsi="Arial" w:cs="Arial"/>
        </w:rPr>
        <w:t xml:space="preserve"> que en Ecuador viven alrededor de 95.90 mujeres por cada 100 hombres con edades comprendidas dentro del mismo grupo etario. En general, podemos notar que la tendencia es que a mayor edad, mayor es la cantidad de inmigrantes extranjeros de género femenino que de género masculino; aunque de las personas en edades económicamente activa la cantidad de hombres es mayor. Para más detalles </w:t>
      </w:r>
      <w:r>
        <w:rPr>
          <w:rFonts w:ascii="Arial" w:hAnsi="Arial" w:cs="Arial"/>
          <w:i/>
        </w:rPr>
        <w:t>véase Figura 3.16.</w:t>
      </w:r>
      <w:r>
        <w:rPr>
          <w:rFonts w:ascii="Arial" w:hAnsi="Arial" w:cs="Arial"/>
        </w:rPr>
        <w:t xml:space="preserve"> </w:t>
      </w:r>
    </w:p>
    <w:tbl>
      <w:tblPr>
        <w:tblStyle w:val="Tablaconcuadrcula"/>
        <w:tblW w:w="7497" w:type="dxa"/>
        <w:jc w:val="right"/>
        <w:tblInd w:w="103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AD1F04">
        <w:trPr>
          <w:trHeight w:val="3666"/>
          <w:jc w:val="right"/>
        </w:trPr>
        <w:tc>
          <w:tcPr>
            <w:tcW w:w="7497" w:type="dxa"/>
          </w:tcPr>
          <w:p w:rsidR="00060299" w:rsidRPr="00840530" w:rsidRDefault="00060299" w:rsidP="003B05B6">
            <w:pPr>
              <w:rPr>
                <w:rFonts w:ascii="Arial" w:hAnsi="Arial" w:cs="Arial"/>
                <w:sz w:val="16"/>
                <w:szCs w:val="16"/>
              </w:rPr>
            </w:pPr>
          </w:p>
          <w:p w:rsidR="004B5D57" w:rsidRPr="004B5D57" w:rsidRDefault="00A95E51" w:rsidP="004B5D57">
            <w:pPr>
              <w:keepNext/>
              <w:rPr>
                <w:rFonts w:ascii="Arial" w:hAnsi="Arial" w:cs="Arial"/>
                <w:b/>
                <w:sz w:val="16"/>
                <w:szCs w:val="16"/>
              </w:rPr>
            </w:pPr>
            <w:bookmarkStart w:id="412" w:name="_Toc341043415"/>
            <w:r>
              <w:rPr>
                <w:rFonts w:ascii="Arial" w:hAnsi="Arial" w:cs="Arial"/>
                <w:b/>
                <w:sz w:val="16"/>
                <w:szCs w:val="16"/>
              </w:rPr>
              <w:t>Figura 3.</w:t>
            </w:r>
            <w:r w:rsidR="00990535" w:rsidRPr="004B5D57">
              <w:rPr>
                <w:rFonts w:ascii="Arial" w:hAnsi="Arial" w:cs="Arial"/>
                <w:b/>
                <w:sz w:val="16"/>
                <w:szCs w:val="16"/>
              </w:rPr>
              <w:fldChar w:fldCharType="begin"/>
            </w:r>
            <w:r w:rsidR="004B5D57" w:rsidRPr="004B5D57">
              <w:rPr>
                <w:rFonts w:ascii="Arial" w:hAnsi="Arial" w:cs="Arial"/>
                <w:b/>
                <w:sz w:val="16"/>
                <w:szCs w:val="16"/>
              </w:rPr>
              <w:instrText xml:space="preserve"> SEQ Figura_3. \* ARABIC </w:instrText>
            </w:r>
            <w:r w:rsidR="00990535" w:rsidRPr="004B5D57">
              <w:rPr>
                <w:rFonts w:ascii="Arial" w:hAnsi="Arial" w:cs="Arial"/>
                <w:b/>
                <w:sz w:val="16"/>
                <w:szCs w:val="16"/>
              </w:rPr>
              <w:fldChar w:fldCharType="separate"/>
            </w:r>
            <w:r w:rsidR="00A242E0">
              <w:rPr>
                <w:rFonts w:ascii="Arial" w:hAnsi="Arial" w:cs="Arial"/>
                <w:b/>
                <w:noProof/>
                <w:sz w:val="16"/>
                <w:szCs w:val="16"/>
              </w:rPr>
              <w:t>16</w:t>
            </w:r>
            <w:bookmarkEnd w:id="412"/>
            <w:r w:rsidR="00990535" w:rsidRPr="004B5D57">
              <w:rPr>
                <w:rFonts w:ascii="Arial" w:hAnsi="Arial" w:cs="Arial"/>
                <w:b/>
                <w:sz w:val="16"/>
                <w:szCs w:val="16"/>
              </w:rPr>
              <w:fldChar w:fldCharType="end"/>
            </w:r>
          </w:p>
          <w:p w:rsidR="00060299" w:rsidRDefault="00AD1F04"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Índice de Feminidad de los Inmigrantes por Grupo de edad</w:t>
            </w:r>
          </w:p>
          <w:p w:rsidR="00060299" w:rsidRDefault="00AD1F04" w:rsidP="003B05B6">
            <w:pPr>
              <w:rPr>
                <w:noProof/>
                <w:sz w:val="10"/>
                <w:szCs w:val="10"/>
                <w:lang w:eastAsia="es-EC"/>
              </w:rPr>
            </w:pPr>
            <w:r>
              <w:rPr>
                <w:noProof/>
                <w:lang w:eastAsia="es-EC"/>
              </w:rPr>
              <w:drawing>
                <wp:inline distT="0" distB="0" distL="0" distR="0">
                  <wp:extent cx="4505325" cy="2057400"/>
                  <wp:effectExtent l="0" t="0" r="0" b="0"/>
                  <wp:docPr id="399" name="Gráfico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60299" w:rsidRPr="00AA6571" w:rsidRDefault="00060299" w:rsidP="003B05B6">
            <w:pPr>
              <w:rPr>
                <w:noProof/>
                <w:sz w:val="10"/>
                <w:szCs w:val="10"/>
                <w:lang w:eastAsia="es-EC"/>
              </w:rPr>
            </w:pPr>
          </w:p>
        </w:tc>
      </w:tr>
    </w:tbl>
    <w:p w:rsidR="00060299" w:rsidRPr="00AD1F04" w:rsidRDefault="00060299" w:rsidP="00AD1F04">
      <w:pPr>
        <w:pStyle w:val="Prrafodelista"/>
        <w:spacing w:line="276" w:lineRule="auto"/>
        <w:ind w:left="851"/>
        <w:jc w:val="both"/>
        <w:rPr>
          <w:rFonts w:ascii="Arial" w:hAnsi="Arial" w:cs="Arial"/>
          <w:sz w:val="17"/>
          <w:szCs w:val="17"/>
        </w:rPr>
      </w:pPr>
    </w:p>
    <w:p w:rsidR="00060299" w:rsidRPr="00AD1F04" w:rsidRDefault="00060299" w:rsidP="00AD1F04">
      <w:pPr>
        <w:pStyle w:val="Prrafodelista"/>
        <w:spacing w:line="276" w:lineRule="auto"/>
        <w:ind w:left="851"/>
        <w:jc w:val="both"/>
        <w:rPr>
          <w:rFonts w:ascii="Arial" w:hAnsi="Arial" w:cs="Arial"/>
          <w:sz w:val="17"/>
          <w:szCs w:val="17"/>
        </w:rPr>
      </w:pPr>
      <w:r w:rsidRPr="00AD1F04">
        <w:rPr>
          <w:rFonts w:ascii="Arial" w:hAnsi="Arial" w:cs="Arial"/>
          <w:b/>
          <w:i/>
          <w:sz w:val="17"/>
          <w:szCs w:val="17"/>
        </w:rPr>
        <w:t>Fuente:</w:t>
      </w:r>
      <w:r w:rsidRPr="00AD1F04">
        <w:rPr>
          <w:rFonts w:ascii="Arial" w:hAnsi="Arial" w:cs="Arial"/>
          <w:sz w:val="17"/>
          <w:szCs w:val="17"/>
        </w:rPr>
        <w:t xml:space="preserve"> </w:t>
      </w:r>
      <w:r w:rsidRPr="00AD1F04">
        <w:rPr>
          <w:rFonts w:ascii="Arial" w:hAnsi="Arial" w:cs="Arial"/>
          <w:b/>
          <w:sz w:val="17"/>
          <w:szCs w:val="17"/>
        </w:rPr>
        <w:t xml:space="preserve">INEC </w:t>
      </w:r>
      <w:r w:rsidRPr="00AD1F04">
        <w:rPr>
          <w:rFonts w:ascii="Arial" w:hAnsi="Arial" w:cs="Arial"/>
          <w:sz w:val="17"/>
          <w:szCs w:val="17"/>
        </w:rPr>
        <w:t>(2010), Base de Datos del VII Censo de Población y VI de Vivienda.</w:t>
      </w:r>
    </w:p>
    <w:p w:rsidR="00060299" w:rsidRDefault="00060299" w:rsidP="00AD1F04">
      <w:pPr>
        <w:pStyle w:val="Prrafodelista"/>
        <w:spacing w:line="276" w:lineRule="auto"/>
        <w:ind w:left="851"/>
        <w:jc w:val="both"/>
        <w:rPr>
          <w:rFonts w:ascii="Arial" w:hAnsi="Arial" w:cs="Arial"/>
          <w:sz w:val="18"/>
          <w:szCs w:val="18"/>
        </w:rPr>
      </w:pPr>
      <w:r w:rsidRPr="00AD1F04">
        <w:rPr>
          <w:rFonts w:ascii="Arial" w:hAnsi="Arial" w:cs="Arial"/>
          <w:b/>
          <w:i/>
          <w:sz w:val="17"/>
          <w:szCs w:val="17"/>
        </w:rPr>
        <w:t>Elaborado por:</w:t>
      </w:r>
      <w:r w:rsidRPr="00AD1F04">
        <w:rPr>
          <w:rFonts w:ascii="Arial" w:hAnsi="Arial" w:cs="Arial"/>
          <w:sz w:val="17"/>
          <w:szCs w:val="17"/>
        </w:rPr>
        <w:t xml:space="preserve"> Katherine Loor Valeriano</w:t>
      </w:r>
    </w:p>
    <w:p w:rsidR="00060299" w:rsidRPr="00287F2C" w:rsidRDefault="00060299" w:rsidP="00287F2C">
      <w:pPr>
        <w:pStyle w:val="TesisTitulo2"/>
        <w:numPr>
          <w:ilvl w:val="0"/>
          <w:numId w:val="0"/>
        </w:numPr>
        <w:ind w:left="851"/>
        <w:rPr>
          <w:b w:val="0"/>
          <w:sz w:val="22"/>
          <w:szCs w:val="22"/>
        </w:rPr>
      </w:pPr>
      <w:bookmarkStart w:id="413" w:name="_Toc331941467"/>
    </w:p>
    <w:p w:rsidR="00060299" w:rsidRPr="00287F2C" w:rsidRDefault="00060299" w:rsidP="00287F2C">
      <w:pPr>
        <w:spacing w:line="480" w:lineRule="auto"/>
        <w:ind w:left="851"/>
        <w:jc w:val="both"/>
        <w:rPr>
          <w:rFonts w:ascii="Arial" w:hAnsi="Arial" w:cs="Arial"/>
        </w:rPr>
      </w:pPr>
      <w:bookmarkStart w:id="414" w:name="_Toc335341777"/>
      <w:bookmarkStart w:id="415" w:name="_Toc335386951"/>
      <w:bookmarkStart w:id="416" w:name="_Toc335744731"/>
      <w:bookmarkStart w:id="417" w:name="_Toc335847791"/>
      <w:bookmarkStart w:id="418" w:name="_Toc335850510"/>
      <w:bookmarkStart w:id="419" w:name="_Toc335850600"/>
      <w:bookmarkStart w:id="420" w:name="_Toc339784875"/>
      <w:bookmarkStart w:id="421" w:name="_Toc339853030"/>
      <w:bookmarkStart w:id="422" w:name="_Toc340231800"/>
      <w:r w:rsidRPr="00287F2C">
        <w:rPr>
          <w:rFonts w:ascii="Arial" w:hAnsi="Arial" w:cs="Arial"/>
        </w:rPr>
        <w:t xml:space="preserve">Pero así como se mostraron los Índices de Feminidad nacional por grupo etario, también podemos determinar dichos índices para cada una de las nacionalidades como colombianas, peruanas, estadounidenses y españolas como se muestra en la </w:t>
      </w:r>
      <w:r w:rsidRPr="00287F2C">
        <w:rPr>
          <w:rFonts w:ascii="Arial" w:hAnsi="Arial" w:cs="Arial"/>
          <w:i/>
        </w:rPr>
        <w:t>Figura 3.17</w:t>
      </w:r>
      <w:r w:rsidRPr="00287F2C">
        <w:rPr>
          <w:rFonts w:ascii="Arial" w:hAnsi="Arial" w:cs="Arial"/>
        </w:rPr>
        <w:t>; en donde, podemos notar que para el primer grupo etario (menores de 1 año) hay 71.70 mujeres colombianas por cada 100 hombre de esta nacionalidad, mientras que para los peruanos hay tan sólo 47.92 mujeres por cada 100 hombres, en lo que respecta a estadounidenses y españoles los índices son 101.60 y 112.26 mujeres por cada 100 hombres respectivamente; a partir del siguiente grupo de edad y hasta los menores a 20 años los índices para cada una de las nacionalidades toman valores cercanos y además en la mayoría de los casos es mayor la cantidad de hombres que la de mujeres.</w:t>
      </w:r>
      <w:bookmarkEnd w:id="414"/>
      <w:bookmarkEnd w:id="415"/>
      <w:bookmarkEnd w:id="416"/>
      <w:bookmarkEnd w:id="417"/>
      <w:bookmarkEnd w:id="418"/>
      <w:bookmarkEnd w:id="419"/>
      <w:bookmarkEnd w:id="420"/>
      <w:bookmarkEnd w:id="421"/>
      <w:bookmarkEnd w:id="422"/>
      <w:r w:rsidR="00AD1F04" w:rsidRPr="00287F2C">
        <w:rPr>
          <w:rFonts w:ascii="Arial" w:hAnsi="Arial" w:cs="Arial"/>
        </w:rPr>
        <w:t xml:space="preserve"> </w:t>
      </w:r>
      <w:bookmarkStart w:id="423" w:name="_Toc335341778"/>
      <w:bookmarkStart w:id="424" w:name="_Toc335386952"/>
      <w:bookmarkStart w:id="425" w:name="_Toc335744732"/>
      <w:bookmarkStart w:id="426" w:name="_Toc335847792"/>
      <w:bookmarkStart w:id="427" w:name="_Toc335850511"/>
      <w:bookmarkStart w:id="428" w:name="_Toc335850601"/>
      <w:bookmarkStart w:id="429" w:name="_Toc339784876"/>
      <w:bookmarkStart w:id="430" w:name="_Toc339853031"/>
      <w:bookmarkStart w:id="431" w:name="_Toc340231801"/>
      <w:r w:rsidR="00AD1F04" w:rsidRPr="00287F2C">
        <w:rPr>
          <w:rFonts w:ascii="Arial" w:hAnsi="Arial" w:cs="Arial"/>
        </w:rPr>
        <w:t>L</w:t>
      </w:r>
      <w:r w:rsidRPr="00287F2C">
        <w:rPr>
          <w:rFonts w:ascii="Arial" w:hAnsi="Arial" w:cs="Arial"/>
        </w:rPr>
        <w:t xml:space="preserve">os extranjeros con edades entre 25 y 30 años cumplidos, tenemos que hay 119.36 colombianas por cada 100 hombres de esta nacionalidad, 70.60 mujeres </w:t>
      </w:r>
      <w:r w:rsidRPr="00287F2C">
        <w:rPr>
          <w:rFonts w:ascii="Arial" w:hAnsi="Arial" w:cs="Arial"/>
        </w:rPr>
        <w:lastRenderedPageBreak/>
        <w:t xml:space="preserve">peruanas por cada 100 hombres; y, 118.83 y 146.94 mujeres estadounidenses y españolas por cada 100 hombres respectivamente. </w:t>
      </w:r>
      <w:r w:rsidR="00F91C02">
        <w:rPr>
          <w:rFonts w:ascii="Arial" w:hAnsi="Arial" w:cs="Arial"/>
        </w:rPr>
        <w:t>P</w:t>
      </w:r>
      <w:r w:rsidRPr="00287F2C">
        <w:rPr>
          <w:rFonts w:ascii="Arial" w:hAnsi="Arial" w:cs="Arial"/>
        </w:rPr>
        <w:t>ara los mayores de 90 años es notoria la diferencia del valor del índice de feminidad de una nacionalidad a otra, por citar algunos ejemplos tenemos que para los extranjeros con edades entre 90 y 95 años, hay 108.20 colombianas por cada 100 hombres de esa misma nacionalidad, en el caso de los peruanos hay 250 mujeres por cada 100 hombres, además hay 75 mujeres estadounidenses por cada 100 hombres; y, 500 mujeres por cada 100 españoles.</w:t>
      </w:r>
      <w:bookmarkEnd w:id="423"/>
      <w:bookmarkEnd w:id="424"/>
      <w:bookmarkEnd w:id="425"/>
      <w:bookmarkEnd w:id="426"/>
      <w:bookmarkEnd w:id="427"/>
      <w:bookmarkEnd w:id="428"/>
      <w:bookmarkEnd w:id="429"/>
      <w:bookmarkEnd w:id="430"/>
      <w:bookmarkEnd w:id="431"/>
    </w:p>
    <w:p w:rsidR="00060299" w:rsidRPr="00287F2C" w:rsidRDefault="00060299" w:rsidP="00287F2C">
      <w:pPr>
        <w:spacing w:line="480" w:lineRule="auto"/>
        <w:ind w:left="851"/>
        <w:jc w:val="both"/>
        <w:rPr>
          <w:rFonts w:ascii="Arial" w:hAnsi="Arial" w:cs="Arial"/>
        </w:rPr>
      </w:pPr>
    </w:p>
    <w:p w:rsidR="00060299" w:rsidRPr="00287F2C" w:rsidRDefault="00060299" w:rsidP="00287F2C">
      <w:pPr>
        <w:spacing w:line="480" w:lineRule="auto"/>
        <w:ind w:left="851"/>
        <w:jc w:val="both"/>
        <w:rPr>
          <w:rFonts w:ascii="Arial" w:hAnsi="Arial" w:cs="Arial"/>
        </w:rPr>
      </w:pPr>
      <w:bookmarkStart w:id="432" w:name="_Toc335341779"/>
      <w:bookmarkStart w:id="433" w:name="_Toc335386953"/>
      <w:bookmarkStart w:id="434" w:name="_Toc335744733"/>
      <w:bookmarkStart w:id="435" w:name="_Toc335847793"/>
      <w:bookmarkStart w:id="436" w:name="_Toc335850512"/>
      <w:bookmarkStart w:id="437" w:name="_Toc335850602"/>
      <w:bookmarkStart w:id="438" w:name="_Toc339784877"/>
      <w:bookmarkStart w:id="439" w:name="_Toc339853032"/>
      <w:bookmarkStart w:id="440" w:name="_Toc340231802"/>
      <w:r w:rsidRPr="00287F2C">
        <w:rPr>
          <w:rFonts w:ascii="Arial" w:hAnsi="Arial" w:cs="Arial"/>
        </w:rPr>
        <w:t xml:space="preserve">También podemos notar que en el caso de los peruanos en la mayoría de los grupos etarios es mayor la cantidad de hombres que de mujeres, exceptuando los que tienen edades entre 5 y 10 años que hay 107.59 mujeres por cada 100 hombres; y, para los mayores de 85 años donde también es mayor la cantidad de mujeres. </w:t>
      </w:r>
      <w:r w:rsidR="00F91C02">
        <w:rPr>
          <w:rFonts w:ascii="Arial" w:hAnsi="Arial" w:cs="Arial"/>
        </w:rPr>
        <w:t>D</w:t>
      </w:r>
      <w:r w:rsidRPr="00287F2C">
        <w:rPr>
          <w:rFonts w:ascii="Arial" w:hAnsi="Arial" w:cs="Arial"/>
        </w:rPr>
        <w:t xml:space="preserve">e los colombianos en la mayoría de los casos es mayor la cantidad de mujeres que de hombres, existiendo también algunas excepciones que se dan para los menores de 15 años. En lo que respecta a los estadounidenses, hay sólo cuatro grupos de edad en los cuales hay mayor cantidad de mujeres que de hombres como es el caso de los menores de un año, el grupo etario de 20 a 25 años donde hay 127.98 mujeres por cada 100 hombres, los que tienen entre 25 y 30 años; y, los que tienen entre 40 y 45 años que hay 103.56 mujeres por cada 100 hombres. Finalmente, para los españoles que residen en el Ecuador, también se da algo similar que en los peruanos pues en la </w:t>
      </w:r>
      <w:r w:rsidRPr="00287F2C">
        <w:rPr>
          <w:rFonts w:ascii="Arial" w:hAnsi="Arial" w:cs="Arial"/>
        </w:rPr>
        <w:lastRenderedPageBreak/>
        <w:t xml:space="preserve">mayoría de los casos es mayor la cantidad de hombres que de mujeres, a excepción de 6 grupos etarios en donde el escenario es distinto. Para más detalles </w:t>
      </w:r>
      <w:r w:rsidRPr="00287F2C">
        <w:rPr>
          <w:rFonts w:ascii="Arial" w:hAnsi="Arial" w:cs="Arial"/>
          <w:i/>
        </w:rPr>
        <w:t>véase Figura 3.17</w:t>
      </w:r>
      <w:r w:rsidRPr="00287F2C">
        <w:rPr>
          <w:rFonts w:ascii="Arial" w:hAnsi="Arial" w:cs="Arial"/>
        </w:rPr>
        <w:t>.</w:t>
      </w:r>
      <w:bookmarkEnd w:id="432"/>
      <w:bookmarkEnd w:id="433"/>
      <w:bookmarkEnd w:id="434"/>
      <w:bookmarkEnd w:id="435"/>
      <w:bookmarkEnd w:id="436"/>
      <w:bookmarkEnd w:id="437"/>
      <w:bookmarkEnd w:id="438"/>
      <w:bookmarkEnd w:id="439"/>
      <w:bookmarkEnd w:id="440"/>
    </w:p>
    <w:tbl>
      <w:tblPr>
        <w:tblStyle w:val="Tablaconcuadrcula"/>
        <w:tblW w:w="7497" w:type="dxa"/>
        <w:jc w:val="right"/>
        <w:tblInd w:w="1303"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AD1F04">
        <w:trPr>
          <w:trHeight w:val="3986"/>
          <w:jc w:val="right"/>
        </w:trPr>
        <w:tc>
          <w:tcPr>
            <w:tcW w:w="7497" w:type="dxa"/>
          </w:tcPr>
          <w:p w:rsidR="00060299" w:rsidRPr="00840530" w:rsidRDefault="00060299" w:rsidP="003B05B6">
            <w:pPr>
              <w:rPr>
                <w:rFonts w:ascii="Arial" w:hAnsi="Arial" w:cs="Arial"/>
                <w:sz w:val="16"/>
                <w:szCs w:val="16"/>
              </w:rPr>
            </w:pPr>
          </w:p>
          <w:p w:rsidR="00A95E51" w:rsidRPr="00A95E51" w:rsidRDefault="00A95E51" w:rsidP="00A95E51">
            <w:pPr>
              <w:keepNext/>
              <w:rPr>
                <w:rFonts w:ascii="Arial" w:hAnsi="Arial" w:cs="Arial"/>
                <w:b/>
                <w:sz w:val="16"/>
                <w:szCs w:val="16"/>
              </w:rPr>
            </w:pPr>
            <w:bookmarkStart w:id="441" w:name="_Toc341043416"/>
            <w:r>
              <w:rPr>
                <w:rFonts w:ascii="Arial" w:hAnsi="Arial" w:cs="Arial"/>
                <w:b/>
                <w:sz w:val="16"/>
                <w:szCs w:val="16"/>
              </w:rPr>
              <w:t>Figura 3.</w:t>
            </w:r>
            <w:r w:rsidR="00990535" w:rsidRPr="00A95E51">
              <w:rPr>
                <w:rFonts w:ascii="Arial" w:hAnsi="Arial" w:cs="Arial"/>
                <w:b/>
                <w:sz w:val="16"/>
                <w:szCs w:val="16"/>
              </w:rPr>
              <w:fldChar w:fldCharType="begin"/>
            </w:r>
            <w:r w:rsidRPr="00A95E51">
              <w:rPr>
                <w:rFonts w:ascii="Arial" w:hAnsi="Arial" w:cs="Arial"/>
                <w:b/>
                <w:sz w:val="16"/>
                <w:szCs w:val="16"/>
              </w:rPr>
              <w:instrText xml:space="preserve"> SEQ Figura_3. \* ARABIC </w:instrText>
            </w:r>
            <w:r w:rsidR="00990535" w:rsidRPr="00A95E51">
              <w:rPr>
                <w:rFonts w:ascii="Arial" w:hAnsi="Arial" w:cs="Arial"/>
                <w:b/>
                <w:sz w:val="16"/>
                <w:szCs w:val="16"/>
              </w:rPr>
              <w:fldChar w:fldCharType="separate"/>
            </w:r>
            <w:r w:rsidR="00A242E0">
              <w:rPr>
                <w:rFonts w:ascii="Arial" w:hAnsi="Arial" w:cs="Arial"/>
                <w:b/>
                <w:noProof/>
                <w:sz w:val="16"/>
                <w:szCs w:val="16"/>
              </w:rPr>
              <w:t>17</w:t>
            </w:r>
            <w:bookmarkEnd w:id="441"/>
            <w:r w:rsidR="00990535" w:rsidRPr="00A95E51">
              <w:rPr>
                <w:rFonts w:ascii="Arial" w:hAnsi="Arial" w:cs="Arial"/>
                <w:b/>
                <w:sz w:val="16"/>
                <w:szCs w:val="16"/>
              </w:rPr>
              <w:fldChar w:fldCharType="end"/>
            </w:r>
          </w:p>
          <w:p w:rsidR="00060299" w:rsidRDefault="0000575C"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Índice de Feminidad de los Inmigrantes por Grupo de edad y país de nacimiento</w:t>
            </w:r>
          </w:p>
          <w:p w:rsidR="00060299" w:rsidRPr="00AA6571" w:rsidRDefault="00AD1F04" w:rsidP="003B05B6">
            <w:pPr>
              <w:rPr>
                <w:noProof/>
                <w:sz w:val="10"/>
                <w:szCs w:val="10"/>
                <w:lang w:eastAsia="es-EC"/>
              </w:rPr>
            </w:pPr>
            <w:r>
              <w:rPr>
                <w:noProof/>
                <w:lang w:eastAsia="es-EC"/>
              </w:rPr>
              <w:drawing>
                <wp:inline distT="0" distB="0" distL="0" distR="0">
                  <wp:extent cx="4533900" cy="2181225"/>
                  <wp:effectExtent l="0" t="0" r="0" b="0"/>
                  <wp:docPr id="403" name="Gráfico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060299" w:rsidRPr="00AD1F04" w:rsidRDefault="00060299" w:rsidP="00AD1F04">
      <w:pPr>
        <w:pStyle w:val="Prrafodelista"/>
        <w:spacing w:line="276" w:lineRule="auto"/>
        <w:ind w:left="851"/>
        <w:jc w:val="both"/>
        <w:rPr>
          <w:rFonts w:ascii="Arial" w:hAnsi="Arial" w:cs="Arial"/>
          <w:sz w:val="17"/>
          <w:szCs w:val="17"/>
        </w:rPr>
      </w:pPr>
    </w:p>
    <w:p w:rsidR="00060299" w:rsidRPr="00AD1F04" w:rsidRDefault="00060299" w:rsidP="00AD1F04">
      <w:pPr>
        <w:pStyle w:val="Prrafodelista"/>
        <w:spacing w:line="276" w:lineRule="auto"/>
        <w:ind w:left="851"/>
        <w:jc w:val="both"/>
        <w:rPr>
          <w:rFonts w:ascii="Arial" w:hAnsi="Arial" w:cs="Arial"/>
          <w:sz w:val="17"/>
          <w:szCs w:val="17"/>
        </w:rPr>
      </w:pPr>
      <w:r w:rsidRPr="00AD1F04">
        <w:rPr>
          <w:rFonts w:ascii="Arial" w:hAnsi="Arial" w:cs="Arial"/>
          <w:b/>
          <w:i/>
          <w:sz w:val="17"/>
          <w:szCs w:val="17"/>
        </w:rPr>
        <w:t>Fuente:</w:t>
      </w:r>
      <w:r w:rsidRPr="00AD1F04">
        <w:rPr>
          <w:rFonts w:ascii="Arial" w:hAnsi="Arial" w:cs="Arial"/>
          <w:sz w:val="17"/>
          <w:szCs w:val="17"/>
        </w:rPr>
        <w:t xml:space="preserve"> </w:t>
      </w:r>
      <w:r w:rsidRPr="00AD1F04">
        <w:rPr>
          <w:rFonts w:ascii="Arial" w:hAnsi="Arial" w:cs="Arial"/>
          <w:b/>
          <w:sz w:val="17"/>
          <w:szCs w:val="17"/>
        </w:rPr>
        <w:t xml:space="preserve">INEC </w:t>
      </w:r>
      <w:r w:rsidRPr="00AD1F04">
        <w:rPr>
          <w:rFonts w:ascii="Arial" w:hAnsi="Arial" w:cs="Arial"/>
          <w:sz w:val="17"/>
          <w:szCs w:val="17"/>
        </w:rPr>
        <w:t>(2010), Base de Datos del VII Censo de Población y VI de Vivienda.</w:t>
      </w:r>
    </w:p>
    <w:p w:rsidR="00060299" w:rsidRPr="00AD1F04" w:rsidRDefault="00060299" w:rsidP="00AD1F04">
      <w:pPr>
        <w:pStyle w:val="Prrafodelista"/>
        <w:spacing w:line="276" w:lineRule="auto"/>
        <w:ind w:left="851"/>
        <w:jc w:val="both"/>
        <w:rPr>
          <w:rFonts w:ascii="Arial" w:hAnsi="Arial" w:cs="Arial"/>
          <w:sz w:val="17"/>
          <w:szCs w:val="17"/>
        </w:rPr>
      </w:pPr>
      <w:r w:rsidRPr="00AD1F04">
        <w:rPr>
          <w:rFonts w:ascii="Arial" w:hAnsi="Arial" w:cs="Arial"/>
          <w:b/>
          <w:i/>
          <w:sz w:val="17"/>
          <w:szCs w:val="17"/>
        </w:rPr>
        <w:t>Elaborado por:</w:t>
      </w:r>
      <w:r w:rsidRPr="00AD1F04">
        <w:rPr>
          <w:rFonts w:ascii="Arial" w:hAnsi="Arial" w:cs="Arial"/>
          <w:sz w:val="17"/>
          <w:szCs w:val="17"/>
        </w:rPr>
        <w:t xml:space="preserve"> Katherine Loor Valeriano</w:t>
      </w:r>
    </w:p>
    <w:p w:rsidR="00060299" w:rsidRPr="00B1547F" w:rsidRDefault="00060299" w:rsidP="00AD1F04">
      <w:pPr>
        <w:pStyle w:val="TesisTitulo2"/>
        <w:numPr>
          <w:ilvl w:val="0"/>
          <w:numId w:val="0"/>
        </w:numPr>
        <w:ind w:left="851"/>
        <w:rPr>
          <w:b w:val="0"/>
          <w:sz w:val="22"/>
          <w:szCs w:val="22"/>
        </w:rPr>
      </w:pPr>
    </w:p>
    <w:p w:rsidR="00060299" w:rsidRPr="003C2845" w:rsidRDefault="00060299" w:rsidP="0000575C">
      <w:pPr>
        <w:pStyle w:val="TesisTitulo1"/>
        <w:ind w:left="851"/>
      </w:pPr>
      <w:bookmarkStart w:id="442" w:name="_Toc335850603"/>
      <w:bookmarkStart w:id="443" w:name="_Toc341040650"/>
      <w:r>
        <w:t>Nivel de Instrucción</w:t>
      </w:r>
      <w:bookmarkEnd w:id="413"/>
      <w:bookmarkEnd w:id="442"/>
      <w:bookmarkEnd w:id="443"/>
    </w:p>
    <w:p w:rsidR="0000575C" w:rsidRDefault="00060299" w:rsidP="0000575C">
      <w:pPr>
        <w:spacing w:line="480" w:lineRule="auto"/>
        <w:ind w:left="851"/>
        <w:jc w:val="both"/>
        <w:rPr>
          <w:rFonts w:ascii="Arial" w:hAnsi="Arial" w:cs="Arial"/>
        </w:rPr>
      </w:pPr>
      <w:r>
        <w:rPr>
          <w:rFonts w:ascii="Arial" w:hAnsi="Arial" w:cs="Arial"/>
        </w:rPr>
        <w:t>Así como es importante conocer el género y la distribución de la edad de los inmigrantes extranjeros que residen en el país, también es importante conocer el nivel de instrucción de los mismos. Por lo tanto, tenemos que el 4.20% de los extranjeros residentes en el país son analfabetos, es decir, no saben leer ni escribir, de los cuales 1.85% son mujeres analfabetas y el 2.35% son hombres extranjeros analfabetos.</w:t>
      </w:r>
      <w:r w:rsidR="0000575C">
        <w:rPr>
          <w:rFonts w:ascii="Arial" w:hAnsi="Arial" w:cs="Arial"/>
        </w:rPr>
        <w:t xml:space="preserve"> </w:t>
      </w:r>
    </w:p>
    <w:p w:rsidR="0000575C" w:rsidRDefault="0000575C" w:rsidP="0000575C">
      <w:pPr>
        <w:spacing w:line="480" w:lineRule="auto"/>
        <w:ind w:left="851"/>
        <w:jc w:val="both"/>
        <w:rPr>
          <w:rFonts w:ascii="Arial" w:hAnsi="Arial" w:cs="Arial"/>
        </w:rPr>
      </w:pPr>
    </w:p>
    <w:p w:rsidR="00060299" w:rsidRDefault="00060299" w:rsidP="0000575C">
      <w:pPr>
        <w:spacing w:line="480" w:lineRule="auto"/>
        <w:ind w:left="851"/>
        <w:jc w:val="both"/>
        <w:rPr>
          <w:rFonts w:ascii="Arial" w:hAnsi="Arial" w:cs="Arial"/>
        </w:rPr>
      </w:pPr>
      <w:r>
        <w:rPr>
          <w:rFonts w:ascii="Arial" w:hAnsi="Arial" w:cs="Arial"/>
        </w:rPr>
        <w:t xml:space="preserve">En la </w:t>
      </w:r>
      <w:r>
        <w:rPr>
          <w:rFonts w:ascii="Arial" w:hAnsi="Arial" w:cs="Arial"/>
          <w:i/>
        </w:rPr>
        <w:t>Figura 3.18</w:t>
      </w:r>
      <w:r>
        <w:rPr>
          <w:rFonts w:ascii="Arial" w:hAnsi="Arial" w:cs="Arial"/>
        </w:rPr>
        <w:t xml:space="preserve">, se muestra la tasa de analfabetismo por cada 1000 inmigrantes residentes en el Ecuador para un determinado grupo etario y género. Para el caso de los hombres, podemos notar que a mayor edad </w:t>
      </w:r>
      <w:r>
        <w:rPr>
          <w:rFonts w:ascii="Arial" w:hAnsi="Arial" w:cs="Arial"/>
        </w:rPr>
        <w:lastRenderedPageBreak/>
        <w:t xml:space="preserve">aumenta la tasa de analfabetismo, teniéndose para los mayores de 100 años una tasa de analfabetismo de 444.44 extranjeros analfabetos por cada 1000 hombres pertenecientes a ese grupo etario, en otras palabras podríamos decir que el 44.44% de los hombres inmigrantes mayores de 100 años son analfabetos. </w:t>
      </w:r>
      <w:r w:rsidR="00F91C02">
        <w:rPr>
          <w:rFonts w:ascii="Arial" w:hAnsi="Arial" w:cs="Arial"/>
        </w:rPr>
        <w:t>P</w:t>
      </w:r>
      <w:r>
        <w:rPr>
          <w:rFonts w:ascii="Arial" w:hAnsi="Arial" w:cs="Arial"/>
        </w:rPr>
        <w:t>ara el caso de las mujeres podemos notar una tendencia similar, ya que la tasa de analfabetismo empieza a aumentar a medida que aumenta la edad de los inmigrantes de género femenino; teniendo para el caso de las mujeres mayores de 100 años que 312.50 mujeres por cada 1000 mujeres extranjeras mayores de 100 años residentes en el país son analfabetas.</w:t>
      </w:r>
    </w:p>
    <w:p w:rsidR="00060299" w:rsidRDefault="00060299" w:rsidP="0000575C">
      <w:pPr>
        <w:spacing w:line="480" w:lineRule="auto"/>
        <w:ind w:left="851"/>
        <w:jc w:val="both"/>
        <w:rPr>
          <w:rFonts w:ascii="Arial" w:hAnsi="Arial" w:cs="Arial"/>
        </w:rPr>
      </w:pPr>
    </w:p>
    <w:p w:rsidR="0000575C" w:rsidRPr="00D05994" w:rsidRDefault="00060299" w:rsidP="0000575C">
      <w:pPr>
        <w:spacing w:line="480" w:lineRule="auto"/>
        <w:ind w:left="851"/>
        <w:jc w:val="both"/>
        <w:rPr>
          <w:rFonts w:ascii="Arial" w:hAnsi="Arial" w:cs="Arial"/>
        </w:rPr>
      </w:pPr>
      <w:r>
        <w:rPr>
          <w:rFonts w:ascii="Arial" w:hAnsi="Arial" w:cs="Arial"/>
        </w:rPr>
        <w:t xml:space="preserve">Si comparamos la tasa de analfabetismo entre mujeres y hombres por grupos etario, tenemos que para edades inferiores a 30 años es mayor la tasa de analfabetismo en hombres; pero, para edades superiores a 30 años e inferiores a 100 años tenemos que la tasa de analfabetismo de las mujeres es superior en cada uno de los grupos etarios respecto a los hombres. Tenemos así que para los extranjeros con edades entre 30 y 35 años hay 17.62 analfabetos por cada 1000 hombres extranjeros y 20.66 mujeres analfabetas por cada 1000 mujeres extranjeras residentes en el país que pertenecen a ese grupo etario; además, para los extranjeros con edades comprendidas entre 40 y 45 años, hay 28.61 hombres analfabetos por cada 1000 hombres y 39.81 mujeres por cada 1000 mujeres extranjeras. </w:t>
      </w:r>
      <w:r>
        <w:rPr>
          <w:rFonts w:ascii="Arial" w:hAnsi="Arial" w:cs="Arial"/>
          <w:i/>
        </w:rPr>
        <w:t>Véase Figura 3.18.</w:t>
      </w:r>
      <w:r>
        <w:rPr>
          <w:rFonts w:ascii="Arial" w:hAnsi="Arial" w:cs="Arial"/>
        </w:rPr>
        <w:t xml:space="preserve">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00575C">
        <w:trPr>
          <w:trHeight w:val="7210"/>
          <w:jc w:val="right"/>
        </w:trPr>
        <w:tc>
          <w:tcPr>
            <w:tcW w:w="7497" w:type="dxa"/>
          </w:tcPr>
          <w:p w:rsidR="00060299" w:rsidRDefault="00060299" w:rsidP="003B05B6">
            <w:pPr>
              <w:rPr>
                <w:rFonts w:ascii="Arial" w:hAnsi="Arial" w:cs="Arial"/>
                <w:b/>
                <w:sz w:val="16"/>
                <w:szCs w:val="16"/>
              </w:rPr>
            </w:pPr>
          </w:p>
          <w:p w:rsidR="00CE5316" w:rsidRPr="00CE5316" w:rsidRDefault="00CE5316" w:rsidP="00CE5316">
            <w:pPr>
              <w:keepNext/>
              <w:rPr>
                <w:rFonts w:ascii="Arial" w:hAnsi="Arial" w:cs="Arial"/>
                <w:b/>
                <w:sz w:val="16"/>
                <w:szCs w:val="16"/>
              </w:rPr>
            </w:pPr>
            <w:bookmarkStart w:id="444" w:name="_Toc341043417"/>
            <w:r>
              <w:rPr>
                <w:rFonts w:ascii="Arial" w:hAnsi="Arial" w:cs="Arial"/>
                <w:b/>
                <w:sz w:val="16"/>
                <w:szCs w:val="16"/>
              </w:rPr>
              <w:t>Figura 3.</w:t>
            </w:r>
            <w:r w:rsidR="00990535" w:rsidRPr="00CE5316">
              <w:rPr>
                <w:rFonts w:ascii="Arial" w:hAnsi="Arial" w:cs="Arial"/>
                <w:b/>
                <w:sz w:val="16"/>
                <w:szCs w:val="16"/>
              </w:rPr>
              <w:fldChar w:fldCharType="begin"/>
            </w:r>
            <w:r w:rsidRPr="00CE5316">
              <w:rPr>
                <w:rFonts w:ascii="Arial" w:hAnsi="Arial" w:cs="Arial"/>
                <w:b/>
                <w:sz w:val="16"/>
                <w:szCs w:val="16"/>
              </w:rPr>
              <w:instrText xml:space="preserve"> SEQ Figura_3. \* ARABIC </w:instrText>
            </w:r>
            <w:r w:rsidR="00990535" w:rsidRPr="00CE5316">
              <w:rPr>
                <w:rFonts w:ascii="Arial" w:hAnsi="Arial" w:cs="Arial"/>
                <w:b/>
                <w:sz w:val="16"/>
                <w:szCs w:val="16"/>
              </w:rPr>
              <w:fldChar w:fldCharType="separate"/>
            </w:r>
            <w:r w:rsidR="00A242E0">
              <w:rPr>
                <w:rFonts w:ascii="Arial" w:hAnsi="Arial" w:cs="Arial"/>
                <w:b/>
                <w:noProof/>
                <w:sz w:val="16"/>
                <w:szCs w:val="16"/>
              </w:rPr>
              <w:t>18</w:t>
            </w:r>
            <w:bookmarkEnd w:id="444"/>
            <w:r w:rsidR="00990535" w:rsidRPr="00CE5316">
              <w:rPr>
                <w:rFonts w:ascii="Arial" w:hAnsi="Arial" w:cs="Arial"/>
                <w:b/>
                <w:sz w:val="16"/>
                <w:szCs w:val="16"/>
              </w:rPr>
              <w:fldChar w:fldCharType="end"/>
            </w:r>
          </w:p>
          <w:p w:rsidR="00060299" w:rsidRPr="00F44C12" w:rsidRDefault="0000575C" w:rsidP="003B05B6">
            <w:pPr>
              <w:rPr>
                <w:rFonts w:ascii="Arial" w:hAnsi="Arial" w:cs="Arial"/>
                <w:i/>
                <w:sz w:val="16"/>
                <w:szCs w:val="16"/>
              </w:rPr>
            </w:pPr>
            <w:r>
              <w:rPr>
                <w:rFonts w:ascii="Arial" w:hAnsi="Arial" w:cs="Arial"/>
                <w:b/>
                <w:i/>
                <w:sz w:val="16"/>
                <w:szCs w:val="16"/>
              </w:rPr>
              <w:t xml:space="preserve">Ecuador 2010: </w:t>
            </w:r>
            <w:r w:rsidR="00060299" w:rsidRPr="00F44C12">
              <w:rPr>
                <w:rFonts w:ascii="Arial" w:hAnsi="Arial" w:cs="Arial"/>
                <w:i/>
                <w:sz w:val="16"/>
                <w:szCs w:val="16"/>
              </w:rPr>
              <w:t xml:space="preserve">Tasa de Analfabetismo </w:t>
            </w:r>
            <w:r w:rsidR="00060299">
              <w:rPr>
                <w:rFonts w:ascii="Arial" w:hAnsi="Arial" w:cs="Arial"/>
                <w:i/>
                <w:sz w:val="16"/>
                <w:szCs w:val="16"/>
              </w:rPr>
              <w:t>para</w:t>
            </w:r>
            <w:r w:rsidR="00060299" w:rsidRPr="00F44C12">
              <w:rPr>
                <w:rFonts w:ascii="Arial" w:hAnsi="Arial" w:cs="Arial"/>
                <w:i/>
                <w:sz w:val="16"/>
                <w:szCs w:val="16"/>
              </w:rPr>
              <w:t xml:space="preserve"> </w:t>
            </w:r>
            <w:r w:rsidR="00060299">
              <w:rPr>
                <w:rFonts w:ascii="Arial" w:hAnsi="Arial" w:cs="Arial"/>
                <w:i/>
                <w:sz w:val="16"/>
                <w:szCs w:val="16"/>
              </w:rPr>
              <w:t>grupo de e</w:t>
            </w:r>
            <w:r w:rsidR="00060299" w:rsidRPr="00F44C12">
              <w:rPr>
                <w:rFonts w:ascii="Arial" w:hAnsi="Arial" w:cs="Arial"/>
                <w:i/>
                <w:sz w:val="16"/>
                <w:szCs w:val="16"/>
              </w:rPr>
              <w:t xml:space="preserve">dades específicas y </w:t>
            </w:r>
            <w:r w:rsidR="00060299">
              <w:rPr>
                <w:rFonts w:ascii="Arial" w:hAnsi="Arial" w:cs="Arial"/>
                <w:i/>
                <w:sz w:val="16"/>
                <w:szCs w:val="16"/>
              </w:rPr>
              <w:t>g</w:t>
            </w:r>
            <w:r w:rsidR="00060299" w:rsidRPr="00F44C12">
              <w:rPr>
                <w:rFonts w:ascii="Arial" w:hAnsi="Arial" w:cs="Arial"/>
                <w:i/>
                <w:sz w:val="16"/>
                <w:szCs w:val="16"/>
              </w:rPr>
              <w:t>énero</w:t>
            </w:r>
          </w:p>
          <w:p w:rsidR="00060299" w:rsidRDefault="00060299" w:rsidP="003B05B6">
            <w:pPr>
              <w:rPr>
                <w:rFonts w:ascii="Arial" w:hAnsi="Arial" w:cs="Arial"/>
                <w:i/>
                <w:sz w:val="16"/>
                <w:szCs w:val="16"/>
              </w:rPr>
            </w:pPr>
            <w:r w:rsidRPr="00F44C12">
              <w:rPr>
                <w:rFonts w:ascii="Arial" w:hAnsi="Arial" w:cs="Arial"/>
                <w:i/>
                <w:sz w:val="16"/>
                <w:szCs w:val="16"/>
              </w:rPr>
              <w:t xml:space="preserve">por cada 1000 Inmigrantes residentes en </w:t>
            </w:r>
            <w:r>
              <w:rPr>
                <w:rFonts w:ascii="Arial" w:hAnsi="Arial" w:cs="Arial"/>
                <w:i/>
                <w:sz w:val="16"/>
                <w:szCs w:val="16"/>
              </w:rPr>
              <w:t>Ecuador</w:t>
            </w:r>
          </w:p>
          <w:p w:rsidR="00060299" w:rsidRDefault="00436907" w:rsidP="003B05B6">
            <w:pPr>
              <w:rPr>
                <w:rFonts w:ascii="Arial" w:hAnsi="Arial" w:cs="Arial"/>
                <w:b/>
                <w:sz w:val="16"/>
                <w:szCs w:val="16"/>
              </w:rPr>
            </w:pPr>
            <w:r>
              <w:rPr>
                <w:rFonts w:ascii="Arial" w:hAnsi="Arial" w:cs="Arial"/>
                <w:noProof/>
                <w:lang w:eastAsia="es-EC"/>
              </w:rPr>
              <w:pict>
                <v:shape id="_x0000_s1254" type="#_x0000_t202" style="position:absolute;left:0;text-align:left;margin-left:131.95pt;margin-top:90.4pt;width:89.8pt;height:15.8pt;z-index:251466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54;mso-fit-shape-to-text:t">
                    <w:txbxContent>
                      <w:p w:rsidR="006933DF" w:rsidRPr="009C2ABD" w:rsidRDefault="006933DF" w:rsidP="00060299">
                        <w:pPr>
                          <w:rPr>
                            <w:rFonts w:ascii="Arial" w:hAnsi="Arial" w:cs="Arial"/>
                            <w:color w:val="E36C0A" w:themeColor="accent6" w:themeShade="BF"/>
                            <w:sz w:val="15"/>
                            <w:szCs w:val="15"/>
                          </w:rPr>
                        </w:pPr>
                        <w:r w:rsidRPr="009C2ABD">
                          <w:rPr>
                            <w:rFonts w:ascii="Arial" w:hAnsi="Arial" w:cs="Arial"/>
                            <w:color w:val="E36C0A" w:themeColor="accent6" w:themeShade="BF"/>
                            <w:sz w:val="15"/>
                            <w:szCs w:val="15"/>
                          </w:rPr>
                          <w:t>Analfabeto</w:t>
                        </w:r>
                      </w:p>
                    </w:txbxContent>
                  </v:textbox>
                </v:shape>
              </w:pict>
            </w:r>
            <w:r>
              <w:rPr>
                <w:rFonts w:ascii="Arial" w:hAnsi="Arial" w:cs="Arial"/>
                <w:b/>
                <w:i/>
                <w:noProof/>
                <w:sz w:val="18"/>
                <w:szCs w:val="18"/>
                <w:lang w:eastAsia="es-EC"/>
              </w:rPr>
              <w:pict>
                <v:shape id="_x0000_s2104" type="#_x0000_t32" style="position:absolute;left:0;text-align:left;margin-left:197.55pt;margin-top:98.8pt;width:11.25pt;height:15pt;z-index:251868672" o:connectortype="straight" strokecolor="#e36c0a [2409]">
                  <v:stroke endarrow="block"/>
                </v:shape>
              </w:pict>
            </w:r>
            <w:r>
              <w:rPr>
                <w:rFonts w:ascii="Arial" w:hAnsi="Arial" w:cs="Arial"/>
                <w:b/>
                <w:i/>
                <w:noProof/>
                <w:sz w:val="18"/>
                <w:szCs w:val="18"/>
                <w:lang w:eastAsia="es-EC"/>
              </w:rPr>
              <w:pict>
                <v:shape id="_x0000_s1251" type="#_x0000_t202" style="position:absolute;left:0;text-align:left;margin-left:131.2pt;margin-top:25.9pt;width:89.8pt;height:15.8pt;z-index:2514631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51;mso-fit-shape-to-text:t">
                    <w:txbxContent>
                      <w:p w:rsidR="006933DF" w:rsidRPr="009C2ABD" w:rsidRDefault="006933DF" w:rsidP="00060299">
                        <w:pPr>
                          <w:rPr>
                            <w:rFonts w:ascii="Arial" w:hAnsi="Arial" w:cs="Arial"/>
                            <w:color w:val="0070C0"/>
                            <w:sz w:val="15"/>
                            <w:szCs w:val="15"/>
                          </w:rPr>
                        </w:pPr>
                        <w:r w:rsidRPr="009C2ABD">
                          <w:rPr>
                            <w:rFonts w:ascii="Arial" w:hAnsi="Arial" w:cs="Arial"/>
                            <w:color w:val="0070C0"/>
                            <w:sz w:val="15"/>
                            <w:szCs w:val="15"/>
                          </w:rPr>
                          <w:t>Alfabeto</w:t>
                        </w:r>
                      </w:p>
                    </w:txbxContent>
                  </v:textbox>
                </v:shape>
              </w:pict>
            </w:r>
            <w:r>
              <w:rPr>
                <w:rFonts w:ascii="Arial" w:hAnsi="Arial" w:cs="Arial"/>
                <w:noProof/>
                <w:lang w:eastAsia="es-EC"/>
              </w:rPr>
              <w:pict>
                <v:shape id="_x0000_s2102" type="#_x0000_t32" style="position:absolute;left:0;text-align:left;margin-left:193.05pt;margin-top:20.8pt;width:9.75pt;height:13.5pt;flip:y;z-index:251866624" o:connectortype="straight" strokecolor="#0070c0">
                  <v:stroke endarrow="block"/>
                </v:shape>
              </w:pict>
            </w:r>
            <w:r>
              <w:rPr>
                <w:rFonts w:ascii="Arial" w:hAnsi="Arial" w:cs="Arial"/>
                <w:noProof/>
                <w:lang w:eastAsia="es-EC"/>
              </w:rPr>
              <w:pict>
                <v:shape id="_x0000_s1252" type="#_x0000_t202" style="position:absolute;left:0;text-align:left;margin-left:246.5pt;margin-top:12.2pt;width:104.75pt;height:17.9pt;z-index:25146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252">
                    <w:txbxContent>
                      <w:p w:rsidR="006933DF" w:rsidRPr="00C800F3" w:rsidRDefault="006933DF" w:rsidP="00060299">
                        <w:pPr>
                          <w:rPr>
                            <w:rFonts w:ascii="Arial" w:hAnsi="Arial" w:cs="Arial"/>
                            <w:b/>
                            <w:sz w:val="15"/>
                            <w:szCs w:val="15"/>
                          </w:rPr>
                        </w:pPr>
                        <w:r>
                          <w:rPr>
                            <w:rFonts w:ascii="Arial" w:hAnsi="Arial" w:cs="Arial"/>
                            <w:b/>
                            <w:sz w:val="15"/>
                            <w:szCs w:val="15"/>
                          </w:rPr>
                          <w:t>Hombre</w:t>
                        </w:r>
                      </w:p>
                    </w:txbxContent>
                  </v:textbox>
                </v:shape>
              </w:pict>
            </w:r>
            <w:r w:rsidR="00060299">
              <w:rPr>
                <w:noProof/>
                <w:lang w:eastAsia="es-EC"/>
              </w:rPr>
              <w:drawing>
                <wp:inline distT="0" distB="0" distL="0" distR="0">
                  <wp:extent cx="4212000" cy="2114550"/>
                  <wp:effectExtent l="0" t="0" r="0" b="0"/>
                  <wp:docPr id="316" name="Gráfico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60299" w:rsidRPr="00167907" w:rsidRDefault="00436907" w:rsidP="003B05B6">
            <w:pPr>
              <w:rPr>
                <w:rFonts w:ascii="Arial" w:hAnsi="Arial" w:cs="Arial"/>
                <w:b/>
                <w:sz w:val="16"/>
                <w:szCs w:val="16"/>
              </w:rPr>
            </w:pPr>
            <w:r>
              <w:rPr>
                <w:rFonts w:ascii="Arial" w:hAnsi="Arial" w:cs="Arial"/>
                <w:b/>
                <w:noProof/>
                <w:sz w:val="16"/>
                <w:szCs w:val="16"/>
                <w:lang w:eastAsia="es-EC"/>
              </w:rPr>
              <w:pict>
                <v:shape id="_x0000_s1300" type="#_x0000_t202" style="position:absolute;left:0;text-align:left;margin-left:131.95pt;margin-top:84pt;width:89.8pt;height:15.8pt;z-index:251472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300;mso-fit-shape-to-text:t">
                    <w:txbxContent>
                      <w:p w:rsidR="006933DF" w:rsidRPr="009C2ABD" w:rsidRDefault="006933DF" w:rsidP="00060299">
                        <w:pPr>
                          <w:rPr>
                            <w:rFonts w:ascii="Arial" w:hAnsi="Arial" w:cs="Arial"/>
                            <w:color w:val="E36C0A" w:themeColor="accent6" w:themeShade="BF"/>
                            <w:sz w:val="15"/>
                            <w:szCs w:val="15"/>
                          </w:rPr>
                        </w:pPr>
                        <w:r w:rsidRPr="009C2ABD">
                          <w:rPr>
                            <w:rFonts w:ascii="Arial" w:hAnsi="Arial" w:cs="Arial"/>
                            <w:color w:val="E36C0A" w:themeColor="accent6" w:themeShade="BF"/>
                            <w:sz w:val="15"/>
                            <w:szCs w:val="15"/>
                          </w:rPr>
                          <w:t>Analfabeto</w:t>
                        </w:r>
                      </w:p>
                    </w:txbxContent>
                  </v:textbox>
                </v:shape>
              </w:pict>
            </w:r>
            <w:r>
              <w:rPr>
                <w:rFonts w:ascii="Arial" w:hAnsi="Arial" w:cs="Arial"/>
                <w:b/>
                <w:noProof/>
                <w:sz w:val="16"/>
                <w:szCs w:val="16"/>
                <w:lang w:eastAsia="es-EC"/>
              </w:rPr>
              <w:pict>
                <v:shape id="_x0000_s2105" type="#_x0000_t32" style="position:absolute;left:0;text-align:left;margin-left:197.55pt;margin-top:92.8pt;width:11.25pt;height:15.75pt;z-index:251869696" o:connectortype="straight" strokecolor="#e36c0a [2409]">
                  <v:stroke endarrow="block"/>
                </v:shape>
              </w:pict>
            </w:r>
            <w:r>
              <w:rPr>
                <w:rFonts w:ascii="Arial" w:hAnsi="Arial" w:cs="Arial"/>
                <w:b/>
                <w:noProof/>
                <w:sz w:val="16"/>
                <w:szCs w:val="16"/>
                <w:lang w:eastAsia="es-EC"/>
              </w:rPr>
              <w:pict>
                <v:shape id="_x0000_s1299" type="#_x0000_t202" style="position:absolute;left:0;text-align:left;margin-left:131.2pt;margin-top:30.95pt;width:89.8pt;height:15.8pt;z-index:251471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99;mso-fit-shape-to-text:t">
                    <w:txbxContent>
                      <w:p w:rsidR="006933DF" w:rsidRPr="009C2ABD" w:rsidRDefault="006933DF" w:rsidP="00060299">
                        <w:pPr>
                          <w:rPr>
                            <w:rFonts w:ascii="Arial" w:hAnsi="Arial" w:cs="Arial"/>
                            <w:color w:val="0070C0"/>
                            <w:sz w:val="15"/>
                            <w:szCs w:val="15"/>
                          </w:rPr>
                        </w:pPr>
                        <w:r w:rsidRPr="009C2ABD">
                          <w:rPr>
                            <w:rFonts w:ascii="Arial" w:hAnsi="Arial" w:cs="Arial"/>
                            <w:color w:val="0070C0"/>
                            <w:sz w:val="15"/>
                            <w:szCs w:val="15"/>
                          </w:rPr>
                          <w:t>Alfabeto</w:t>
                        </w:r>
                      </w:p>
                    </w:txbxContent>
                  </v:textbox>
                </v:shape>
              </w:pict>
            </w:r>
            <w:r>
              <w:rPr>
                <w:rFonts w:ascii="Arial" w:hAnsi="Arial" w:cs="Arial"/>
                <w:b/>
                <w:noProof/>
                <w:sz w:val="16"/>
                <w:szCs w:val="16"/>
                <w:lang w:eastAsia="es-EC"/>
              </w:rPr>
              <w:pict>
                <v:shape id="_x0000_s2103" type="#_x0000_t32" style="position:absolute;left:0;text-align:left;margin-left:193.05pt;margin-top:24.55pt;width:9.75pt;height:15pt;flip:y;z-index:251867648" o:connectortype="straight" strokecolor="#0070c0">
                  <v:stroke endarrow="block"/>
                </v:shape>
              </w:pict>
            </w:r>
            <w:r>
              <w:rPr>
                <w:rFonts w:ascii="Arial" w:hAnsi="Arial" w:cs="Arial"/>
                <w:noProof/>
                <w:lang w:eastAsia="es-EC"/>
              </w:rPr>
              <w:pict>
                <v:shape id="_x0000_s1253" type="#_x0000_t202" style="position:absolute;left:0;text-align:left;margin-left:214.8pt;margin-top:14.25pt;width:128.95pt;height:17.9pt;z-index:25146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253">
                    <w:txbxContent>
                      <w:p w:rsidR="006933DF" w:rsidRPr="00C800F3" w:rsidRDefault="006933DF" w:rsidP="00060299">
                        <w:pPr>
                          <w:rPr>
                            <w:rFonts w:ascii="Arial" w:hAnsi="Arial" w:cs="Arial"/>
                            <w:b/>
                            <w:sz w:val="15"/>
                            <w:szCs w:val="15"/>
                          </w:rPr>
                        </w:pPr>
                        <w:r>
                          <w:rPr>
                            <w:rFonts w:ascii="Arial" w:hAnsi="Arial" w:cs="Arial"/>
                            <w:b/>
                            <w:sz w:val="15"/>
                            <w:szCs w:val="15"/>
                          </w:rPr>
                          <w:t>Mujer</w:t>
                        </w:r>
                      </w:p>
                    </w:txbxContent>
                  </v:textbox>
                </v:shape>
              </w:pict>
            </w:r>
            <w:r w:rsidR="00060299">
              <w:rPr>
                <w:noProof/>
                <w:lang w:eastAsia="es-EC"/>
              </w:rPr>
              <w:drawing>
                <wp:inline distT="0" distB="0" distL="0" distR="0">
                  <wp:extent cx="4210050" cy="2114550"/>
                  <wp:effectExtent l="0" t="0" r="0" b="0"/>
                  <wp:docPr id="317" name="Gráfico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rsidR="00060299" w:rsidRPr="0000575C" w:rsidRDefault="00060299" w:rsidP="0000575C">
      <w:pPr>
        <w:pStyle w:val="Prrafodelista"/>
        <w:spacing w:line="276" w:lineRule="auto"/>
        <w:ind w:left="851"/>
        <w:jc w:val="both"/>
        <w:rPr>
          <w:rFonts w:ascii="Arial" w:hAnsi="Arial" w:cs="Arial"/>
          <w:sz w:val="17"/>
          <w:szCs w:val="17"/>
        </w:rPr>
      </w:pPr>
    </w:p>
    <w:p w:rsidR="00060299" w:rsidRPr="0000575C" w:rsidRDefault="00060299" w:rsidP="0000575C">
      <w:pPr>
        <w:pStyle w:val="Prrafodelista"/>
        <w:spacing w:line="276" w:lineRule="auto"/>
        <w:ind w:left="851"/>
        <w:jc w:val="both"/>
        <w:rPr>
          <w:rFonts w:ascii="Arial" w:hAnsi="Arial" w:cs="Arial"/>
          <w:sz w:val="17"/>
          <w:szCs w:val="17"/>
        </w:rPr>
      </w:pPr>
      <w:r w:rsidRPr="0000575C">
        <w:rPr>
          <w:rFonts w:ascii="Arial" w:hAnsi="Arial" w:cs="Arial"/>
          <w:b/>
          <w:i/>
          <w:sz w:val="17"/>
          <w:szCs w:val="17"/>
        </w:rPr>
        <w:t>Fuente:</w:t>
      </w:r>
      <w:r w:rsidRPr="0000575C">
        <w:rPr>
          <w:rFonts w:ascii="Arial" w:hAnsi="Arial" w:cs="Arial"/>
          <w:sz w:val="17"/>
          <w:szCs w:val="17"/>
        </w:rPr>
        <w:t xml:space="preserve"> </w:t>
      </w:r>
      <w:r w:rsidRPr="0000575C">
        <w:rPr>
          <w:rFonts w:ascii="Arial" w:hAnsi="Arial" w:cs="Arial"/>
          <w:b/>
          <w:sz w:val="17"/>
          <w:szCs w:val="17"/>
        </w:rPr>
        <w:t xml:space="preserve">INEC </w:t>
      </w:r>
      <w:r w:rsidRPr="0000575C">
        <w:rPr>
          <w:rFonts w:ascii="Arial" w:hAnsi="Arial" w:cs="Arial"/>
          <w:sz w:val="17"/>
          <w:szCs w:val="17"/>
        </w:rPr>
        <w:t>(2010), Base de Datos del VII Censo de Población y VI de Vivienda.</w:t>
      </w:r>
    </w:p>
    <w:p w:rsidR="00060299" w:rsidRPr="0000575C" w:rsidRDefault="00060299" w:rsidP="0000575C">
      <w:pPr>
        <w:pStyle w:val="Prrafodelista"/>
        <w:spacing w:line="276" w:lineRule="auto"/>
        <w:ind w:left="851"/>
        <w:jc w:val="both"/>
        <w:rPr>
          <w:rFonts w:ascii="Arial" w:hAnsi="Arial" w:cs="Arial"/>
          <w:sz w:val="17"/>
          <w:szCs w:val="17"/>
        </w:rPr>
      </w:pPr>
      <w:r w:rsidRPr="0000575C">
        <w:rPr>
          <w:rFonts w:ascii="Arial" w:hAnsi="Arial" w:cs="Arial"/>
          <w:b/>
          <w:i/>
          <w:sz w:val="17"/>
          <w:szCs w:val="17"/>
        </w:rPr>
        <w:t>Elaborado por:</w:t>
      </w:r>
      <w:r w:rsidRPr="0000575C">
        <w:rPr>
          <w:rFonts w:ascii="Arial" w:hAnsi="Arial" w:cs="Arial"/>
          <w:sz w:val="17"/>
          <w:szCs w:val="17"/>
        </w:rPr>
        <w:t xml:space="preserve"> Katherine Loor Valeriano</w:t>
      </w:r>
    </w:p>
    <w:p w:rsidR="00060299" w:rsidRDefault="00060299" w:rsidP="00B21022">
      <w:pPr>
        <w:spacing w:line="480" w:lineRule="auto"/>
        <w:ind w:left="851"/>
        <w:jc w:val="both"/>
        <w:rPr>
          <w:rFonts w:ascii="Arial" w:hAnsi="Arial" w:cs="Arial"/>
        </w:rPr>
      </w:pPr>
    </w:p>
    <w:p w:rsidR="00060299" w:rsidRDefault="00060299" w:rsidP="00B21022">
      <w:pPr>
        <w:spacing w:line="480" w:lineRule="auto"/>
        <w:ind w:left="851"/>
        <w:jc w:val="both"/>
        <w:rPr>
          <w:rFonts w:ascii="Arial" w:hAnsi="Arial" w:cs="Arial"/>
        </w:rPr>
      </w:pPr>
      <w:r>
        <w:rPr>
          <w:rFonts w:ascii="Arial" w:hAnsi="Arial" w:cs="Arial"/>
        </w:rPr>
        <w:t xml:space="preserve">Tenemos además que el 3.46% de los extranjeros residentes en el país no tienen nivel alguno de instrucción, el 0.31% son extranjeros que asisten a algún Centro de Alfabetización, el 34.70% tienen hasta nivel de instrucción primaria, el 33.88% han obtenido hasta nivel secundario, el 25.87% tienen nivel de instrucción superior, de los cuales el 21.92% ha estado o esta cursando un pregrado y el 3.95% ha obtenido un postgrado; así como </w:t>
      </w:r>
      <w:r>
        <w:rPr>
          <w:rFonts w:ascii="Arial" w:hAnsi="Arial" w:cs="Arial"/>
        </w:rPr>
        <w:lastRenderedPageBreak/>
        <w:t xml:space="preserve">también existen un 1.78% que no respondió cuál era su nivel más alto de instrucción. </w:t>
      </w:r>
    </w:p>
    <w:p w:rsidR="00060299" w:rsidRDefault="00060299" w:rsidP="00B21022">
      <w:pPr>
        <w:spacing w:line="480" w:lineRule="auto"/>
        <w:ind w:left="851"/>
        <w:jc w:val="both"/>
        <w:rPr>
          <w:rFonts w:ascii="Arial" w:hAnsi="Arial" w:cs="Arial"/>
        </w:rPr>
      </w:pPr>
    </w:p>
    <w:p w:rsidR="00060299" w:rsidRDefault="00060299" w:rsidP="00B21022">
      <w:pPr>
        <w:spacing w:line="480" w:lineRule="auto"/>
        <w:ind w:left="851"/>
        <w:jc w:val="both"/>
        <w:rPr>
          <w:rFonts w:ascii="Arial" w:hAnsi="Arial" w:cs="Arial"/>
        </w:rPr>
      </w:pPr>
      <w:r>
        <w:rPr>
          <w:rFonts w:ascii="Arial" w:hAnsi="Arial" w:cs="Arial"/>
        </w:rPr>
        <w:t xml:space="preserve">En la </w:t>
      </w:r>
      <w:r>
        <w:rPr>
          <w:rFonts w:ascii="Arial" w:hAnsi="Arial" w:cs="Arial"/>
          <w:i/>
        </w:rPr>
        <w:t>Figura 3.19</w:t>
      </w:r>
      <w:r>
        <w:rPr>
          <w:rFonts w:ascii="Arial" w:hAnsi="Arial" w:cs="Arial"/>
        </w:rPr>
        <w:t xml:space="preserve">, se muestra la pirámide de la distribución del género, edad y nivel de instrucción de los inmigrantes extranjeros residentes en el país; como se puede observar para los extranjeros con edades entre 5 y 10 años la mayor parte tienen hasta instrucción primario, aunque existe un porcentaje pequeño de extranjeros que no respondió esta pregunta; por otra parte, para los extranjeros con edades entre 10 y 15 años tenemos que la instrucción predominante es la primaria también, aunque existe un gran porcentaje que está cursando el colegio. Ya para los extranjeros con edades entre 15 y 20 años, vemos que no sólo hay personas que tienen hasta instrucción primaria (1.45%) o secundaria (4.93%), sino también hay algunos extranjeros que no respondieron (0.08%), otro grupo que respondió no tener algún nivel de instrucción (0.14%) y un pequeño grupo que está cursando la universidad (0.59%). </w:t>
      </w:r>
    </w:p>
    <w:p w:rsidR="00060299" w:rsidRDefault="00060299" w:rsidP="00B21022">
      <w:pPr>
        <w:spacing w:line="480" w:lineRule="auto"/>
        <w:ind w:left="851"/>
        <w:jc w:val="both"/>
        <w:rPr>
          <w:rFonts w:ascii="Arial" w:hAnsi="Arial" w:cs="Arial"/>
        </w:rPr>
      </w:pPr>
    </w:p>
    <w:p w:rsidR="00060299" w:rsidRPr="00610B0F" w:rsidRDefault="00060299" w:rsidP="00B21022">
      <w:pPr>
        <w:spacing w:line="480" w:lineRule="auto"/>
        <w:ind w:left="851"/>
        <w:jc w:val="both"/>
        <w:rPr>
          <w:rFonts w:ascii="Arial" w:hAnsi="Arial" w:cs="Arial"/>
          <w:i/>
        </w:rPr>
      </w:pPr>
      <w:r>
        <w:rPr>
          <w:rFonts w:ascii="Arial" w:hAnsi="Arial" w:cs="Arial"/>
        </w:rPr>
        <w:t xml:space="preserve">Mientras que los extranjeros que tienen edades entre 25 y 30 años, el 0.25% no tienen instrucción alguna, 0.02% asiste a algún Centro de Alfabetización, el 2.31% tiene hasta instrucción primaria, el 4.80% hasta instrucción secundaria el 3.62% hasta instrucción superior; y, el porcentaje restante (0.18%) no respondieron esta pregunta. En términos generales, podemos notar que los extranjeros que residen en el Ecuador son personas con un buen nivel de instrucción, pues son pocos los que no tienen </w:t>
      </w:r>
      <w:r>
        <w:rPr>
          <w:rFonts w:ascii="Arial" w:hAnsi="Arial" w:cs="Arial"/>
        </w:rPr>
        <w:lastRenderedPageBreak/>
        <w:t xml:space="preserve">instrucción, pero también son bastantes los que tienen instrucción secundaria y superior. Para más detalles </w:t>
      </w:r>
      <w:r>
        <w:rPr>
          <w:rFonts w:ascii="Arial" w:hAnsi="Arial" w:cs="Arial"/>
          <w:i/>
        </w:rPr>
        <w:t>véase Figura 3.19.</w:t>
      </w:r>
    </w:p>
    <w:tbl>
      <w:tblPr>
        <w:tblStyle w:val="Tablaconcuadrcula"/>
        <w:tblW w:w="7497" w:type="dxa"/>
        <w:jc w:val="right"/>
        <w:tblInd w:w="103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B21022">
        <w:trPr>
          <w:trHeight w:val="5263"/>
          <w:jc w:val="right"/>
        </w:trPr>
        <w:tc>
          <w:tcPr>
            <w:tcW w:w="7497" w:type="dxa"/>
          </w:tcPr>
          <w:p w:rsidR="00060299" w:rsidRPr="00840530" w:rsidRDefault="00060299" w:rsidP="003B05B6">
            <w:pPr>
              <w:rPr>
                <w:rFonts w:ascii="Arial" w:hAnsi="Arial" w:cs="Arial"/>
                <w:sz w:val="16"/>
                <w:szCs w:val="16"/>
              </w:rPr>
            </w:pPr>
          </w:p>
          <w:p w:rsidR="00CE5316" w:rsidRPr="00CE5316" w:rsidRDefault="00CE5316" w:rsidP="00CE5316">
            <w:pPr>
              <w:pStyle w:val="Epgrafe"/>
              <w:rPr>
                <w:rFonts w:ascii="Arial" w:hAnsi="Arial" w:cs="Arial"/>
                <w:bCs w:val="0"/>
                <w:color w:val="auto"/>
                <w:sz w:val="16"/>
                <w:szCs w:val="16"/>
              </w:rPr>
            </w:pPr>
            <w:bookmarkStart w:id="445" w:name="_Toc341043418"/>
            <w:r>
              <w:rPr>
                <w:rFonts w:ascii="Arial" w:hAnsi="Arial" w:cs="Arial"/>
                <w:bCs w:val="0"/>
                <w:color w:val="auto"/>
                <w:sz w:val="16"/>
                <w:szCs w:val="16"/>
              </w:rPr>
              <w:t>Figura 3.</w:t>
            </w:r>
            <w:r w:rsidR="00990535" w:rsidRPr="00CE5316">
              <w:rPr>
                <w:rFonts w:ascii="Arial" w:hAnsi="Arial" w:cs="Arial"/>
                <w:bCs w:val="0"/>
                <w:color w:val="auto"/>
                <w:sz w:val="16"/>
                <w:szCs w:val="16"/>
              </w:rPr>
              <w:fldChar w:fldCharType="begin"/>
            </w:r>
            <w:r w:rsidRPr="00CE5316">
              <w:rPr>
                <w:rFonts w:ascii="Arial" w:hAnsi="Arial" w:cs="Arial"/>
                <w:bCs w:val="0"/>
                <w:color w:val="auto"/>
                <w:sz w:val="16"/>
                <w:szCs w:val="16"/>
              </w:rPr>
              <w:instrText xml:space="preserve"> SEQ Figura_3. \* ARABIC </w:instrText>
            </w:r>
            <w:r w:rsidR="00990535" w:rsidRPr="00CE5316">
              <w:rPr>
                <w:rFonts w:ascii="Arial" w:hAnsi="Arial" w:cs="Arial"/>
                <w:bCs w:val="0"/>
                <w:color w:val="auto"/>
                <w:sz w:val="16"/>
                <w:szCs w:val="16"/>
              </w:rPr>
              <w:fldChar w:fldCharType="separate"/>
            </w:r>
            <w:r w:rsidR="00A242E0">
              <w:rPr>
                <w:rFonts w:ascii="Arial" w:hAnsi="Arial" w:cs="Arial"/>
                <w:bCs w:val="0"/>
                <w:noProof/>
                <w:color w:val="auto"/>
                <w:sz w:val="16"/>
                <w:szCs w:val="16"/>
              </w:rPr>
              <w:t>19</w:t>
            </w:r>
            <w:bookmarkEnd w:id="445"/>
            <w:r w:rsidR="00990535" w:rsidRPr="00CE5316">
              <w:rPr>
                <w:rFonts w:ascii="Arial" w:hAnsi="Arial" w:cs="Arial"/>
                <w:bCs w:val="0"/>
                <w:color w:val="auto"/>
                <w:sz w:val="16"/>
                <w:szCs w:val="16"/>
              </w:rPr>
              <w:fldChar w:fldCharType="end"/>
            </w:r>
          </w:p>
          <w:p w:rsidR="00060299" w:rsidRDefault="00B21022"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Distribución Géner</w:t>
            </w:r>
            <w:r>
              <w:rPr>
                <w:rFonts w:ascii="Arial" w:hAnsi="Arial" w:cs="Arial"/>
                <w:i/>
                <w:sz w:val="16"/>
                <w:szCs w:val="16"/>
              </w:rPr>
              <w:t>o, Edad y Nivel de Instrucción de los extranjeros residentes en el país</w:t>
            </w:r>
          </w:p>
          <w:p w:rsidR="00060299" w:rsidRPr="00AA6571" w:rsidRDefault="00436907" w:rsidP="003B05B6">
            <w:pPr>
              <w:rPr>
                <w:noProof/>
                <w:sz w:val="10"/>
                <w:szCs w:val="10"/>
                <w:lang w:eastAsia="es-EC"/>
              </w:rPr>
            </w:pPr>
            <w:r>
              <w:rPr>
                <w:rFonts w:ascii="Arial" w:hAnsi="Arial" w:cs="Arial"/>
                <w:noProof/>
                <w:lang w:eastAsia="es-EC"/>
              </w:rPr>
              <w:pict>
                <v:shape id="_x0000_s1249" type="#_x0000_t202" style="position:absolute;left:0;text-align:left;margin-left:59.15pt;margin-top:8.25pt;width:126.85pt;height:21.7pt;z-index:25146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qm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8yRx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MiNqmLgIAAFYEAAAOAAAAAAAAAAAAAAAAAC4CAABkcnMv&#10;ZTJvRG9jLnhtbFBLAQItABQABgAIAAAAIQD9LzLW2wAAAAUBAAAPAAAAAAAAAAAAAAAAAIgEAABk&#10;cnMvZG93bnJldi54bWxQSwUGAAAAAAQABADzAAAAkAUAAAAA&#10;" filled="f" stroked="f">
                  <v:textbox style="mso-next-textbox:#_x0000_s1249">
                    <w:txbxContent>
                      <w:p w:rsidR="006933DF" w:rsidRPr="007C0C5C" w:rsidRDefault="006933DF" w:rsidP="00060299">
                        <w:pPr>
                          <w:rPr>
                            <w:rFonts w:ascii="Arial" w:hAnsi="Arial" w:cs="Arial"/>
                            <w:b/>
                            <w:sz w:val="15"/>
                            <w:szCs w:val="15"/>
                          </w:rPr>
                        </w:pPr>
                        <w:r w:rsidRPr="007C0C5C">
                          <w:rPr>
                            <w:rFonts w:ascii="Arial" w:hAnsi="Arial" w:cs="Arial"/>
                            <w:b/>
                            <w:sz w:val="15"/>
                            <w:szCs w:val="15"/>
                          </w:rPr>
                          <w:t>Masculino</w:t>
                        </w:r>
                      </w:p>
                    </w:txbxContent>
                  </v:textbox>
                </v:shape>
              </w:pict>
            </w:r>
            <w:r>
              <w:rPr>
                <w:rFonts w:ascii="Arial" w:hAnsi="Arial" w:cs="Arial"/>
                <w:noProof/>
                <w:lang w:eastAsia="es-EC"/>
              </w:rPr>
              <w:pict>
                <v:shape id="_x0000_s1250" type="#_x0000_t202" style="position:absolute;left:0;text-align:left;margin-left:186pt;margin-top:8.25pt;width:127.9pt;height:21.7pt;z-index:25146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qm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8yRx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MiNqmLgIAAFYEAAAOAAAAAAAAAAAAAAAAAC4CAABkcnMv&#10;ZTJvRG9jLnhtbFBLAQItABQABgAIAAAAIQD9LzLW2wAAAAUBAAAPAAAAAAAAAAAAAAAAAIgEAABk&#10;cnMvZG93bnJldi54bWxQSwUGAAAAAAQABADzAAAAkAUAAAAA&#10;" filled="f" stroked="f">
                  <v:textbox style="mso-next-textbox:#_x0000_s1250">
                    <w:txbxContent>
                      <w:p w:rsidR="006933DF" w:rsidRPr="007C0C5C" w:rsidRDefault="006933DF" w:rsidP="00060299">
                        <w:pPr>
                          <w:rPr>
                            <w:rFonts w:ascii="Arial" w:hAnsi="Arial" w:cs="Arial"/>
                            <w:b/>
                            <w:sz w:val="15"/>
                            <w:szCs w:val="15"/>
                          </w:rPr>
                        </w:pPr>
                        <w:r w:rsidRPr="007C0C5C">
                          <w:rPr>
                            <w:rFonts w:ascii="Arial" w:hAnsi="Arial" w:cs="Arial"/>
                            <w:b/>
                            <w:sz w:val="15"/>
                            <w:szCs w:val="15"/>
                          </w:rPr>
                          <w:t>Femenino</w:t>
                        </w:r>
                      </w:p>
                    </w:txbxContent>
                  </v:textbox>
                </v:shape>
              </w:pict>
            </w:r>
            <w:r w:rsidR="00060299">
              <w:rPr>
                <w:noProof/>
                <w:lang w:eastAsia="es-EC"/>
              </w:rPr>
              <w:drawing>
                <wp:inline distT="0" distB="0" distL="0" distR="0">
                  <wp:extent cx="4638675" cy="3133725"/>
                  <wp:effectExtent l="0" t="0" r="0" b="0"/>
                  <wp:docPr id="295" name="Gráfico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rsidR="00060299" w:rsidRPr="00B21022" w:rsidRDefault="00060299" w:rsidP="00B21022">
      <w:pPr>
        <w:pStyle w:val="Prrafodelista"/>
        <w:spacing w:line="276" w:lineRule="auto"/>
        <w:ind w:left="851"/>
        <w:jc w:val="both"/>
        <w:rPr>
          <w:rFonts w:ascii="Arial" w:hAnsi="Arial" w:cs="Arial"/>
          <w:sz w:val="17"/>
          <w:szCs w:val="17"/>
        </w:rPr>
      </w:pPr>
    </w:p>
    <w:p w:rsidR="00060299" w:rsidRPr="00B21022" w:rsidRDefault="00060299" w:rsidP="00B21022">
      <w:pPr>
        <w:pStyle w:val="Prrafodelista"/>
        <w:spacing w:line="276" w:lineRule="auto"/>
        <w:ind w:left="851"/>
        <w:jc w:val="both"/>
        <w:rPr>
          <w:rFonts w:ascii="Arial" w:hAnsi="Arial" w:cs="Arial"/>
          <w:sz w:val="17"/>
          <w:szCs w:val="17"/>
        </w:rPr>
      </w:pPr>
      <w:r w:rsidRPr="00B21022">
        <w:rPr>
          <w:rFonts w:ascii="Arial" w:hAnsi="Arial" w:cs="Arial"/>
          <w:b/>
          <w:i/>
          <w:sz w:val="17"/>
          <w:szCs w:val="17"/>
        </w:rPr>
        <w:t>Fuente:</w:t>
      </w:r>
      <w:r w:rsidRPr="00B21022">
        <w:rPr>
          <w:rFonts w:ascii="Arial" w:hAnsi="Arial" w:cs="Arial"/>
          <w:sz w:val="17"/>
          <w:szCs w:val="17"/>
        </w:rPr>
        <w:t xml:space="preserve"> </w:t>
      </w:r>
      <w:r w:rsidRPr="00B21022">
        <w:rPr>
          <w:rFonts w:ascii="Arial" w:hAnsi="Arial" w:cs="Arial"/>
          <w:b/>
          <w:sz w:val="17"/>
          <w:szCs w:val="17"/>
        </w:rPr>
        <w:t xml:space="preserve">INEC </w:t>
      </w:r>
      <w:r w:rsidRPr="00B21022">
        <w:rPr>
          <w:rFonts w:ascii="Arial" w:hAnsi="Arial" w:cs="Arial"/>
          <w:sz w:val="17"/>
          <w:szCs w:val="17"/>
        </w:rPr>
        <w:t>(2010), Base de Datos del VII Censo de Población y VI de Vivienda.</w:t>
      </w:r>
    </w:p>
    <w:p w:rsidR="00060299" w:rsidRPr="00B21022" w:rsidRDefault="00060299" w:rsidP="00B21022">
      <w:pPr>
        <w:pStyle w:val="Prrafodelista"/>
        <w:spacing w:line="276" w:lineRule="auto"/>
        <w:ind w:left="851"/>
        <w:jc w:val="both"/>
        <w:rPr>
          <w:rFonts w:ascii="Arial" w:hAnsi="Arial" w:cs="Arial"/>
          <w:sz w:val="17"/>
          <w:szCs w:val="17"/>
        </w:rPr>
      </w:pPr>
      <w:r w:rsidRPr="00B21022">
        <w:rPr>
          <w:rFonts w:ascii="Arial" w:hAnsi="Arial" w:cs="Arial"/>
          <w:b/>
          <w:i/>
          <w:sz w:val="17"/>
          <w:szCs w:val="17"/>
        </w:rPr>
        <w:t>Elaborado por:</w:t>
      </w:r>
      <w:r w:rsidRPr="00B21022">
        <w:rPr>
          <w:rFonts w:ascii="Arial" w:hAnsi="Arial" w:cs="Arial"/>
          <w:sz w:val="17"/>
          <w:szCs w:val="17"/>
        </w:rPr>
        <w:t xml:space="preserve"> Katherine Loor Valeriano</w:t>
      </w:r>
    </w:p>
    <w:p w:rsidR="00060299" w:rsidRPr="00182C20" w:rsidRDefault="00060299" w:rsidP="00B21022">
      <w:pPr>
        <w:spacing w:line="480" w:lineRule="auto"/>
        <w:ind w:left="851"/>
        <w:jc w:val="both"/>
        <w:rPr>
          <w:rFonts w:ascii="Arial" w:hAnsi="Arial" w:cs="Arial"/>
        </w:rPr>
      </w:pPr>
    </w:p>
    <w:p w:rsidR="00060299" w:rsidRDefault="00060299" w:rsidP="00B21022">
      <w:pPr>
        <w:spacing w:line="480" w:lineRule="auto"/>
        <w:ind w:left="851"/>
        <w:jc w:val="both"/>
        <w:rPr>
          <w:rFonts w:ascii="Arial" w:hAnsi="Arial" w:cs="Arial"/>
        </w:rPr>
      </w:pPr>
      <w:r w:rsidRPr="00381AA8">
        <w:rPr>
          <w:rFonts w:ascii="Arial" w:hAnsi="Arial" w:cs="Arial"/>
        </w:rPr>
        <w:t xml:space="preserve">En la </w:t>
      </w:r>
      <w:r w:rsidRPr="00381AA8">
        <w:rPr>
          <w:rFonts w:ascii="Arial" w:hAnsi="Arial" w:cs="Arial"/>
          <w:i/>
        </w:rPr>
        <w:t>Figura 3.</w:t>
      </w:r>
      <w:r>
        <w:rPr>
          <w:rFonts w:ascii="Arial" w:hAnsi="Arial" w:cs="Arial"/>
          <w:i/>
        </w:rPr>
        <w:t>20</w:t>
      </w:r>
      <w:r>
        <w:rPr>
          <w:rFonts w:ascii="Arial" w:hAnsi="Arial" w:cs="Arial"/>
        </w:rPr>
        <w:t>, se presenta la tasa de universitarios por cada 1000 inmigrantes para un grupo de edad y género determinado; es así que para el caso de los hombres la tasa de universitarios va aumentando a medida se incrementa la edad, pero para edades superiores a 60 años esta tasa va disminuyendo</w:t>
      </w:r>
      <w:r w:rsidR="00F91C02">
        <w:rPr>
          <w:rFonts w:ascii="Arial" w:hAnsi="Arial" w:cs="Arial"/>
        </w:rPr>
        <w:t>;</w:t>
      </w:r>
      <w:r>
        <w:rPr>
          <w:rFonts w:ascii="Arial" w:hAnsi="Arial" w:cs="Arial"/>
        </w:rPr>
        <w:t xml:space="preserve"> </w:t>
      </w:r>
      <w:r w:rsidR="00F91C02">
        <w:rPr>
          <w:rFonts w:ascii="Arial" w:hAnsi="Arial" w:cs="Arial"/>
        </w:rPr>
        <w:t>m</w:t>
      </w:r>
      <w:r>
        <w:rPr>
          <w:rFonts w:ascii="Arial" w:hAnsi="Arial" w:cs="Arial"/>
        </w:rPr>
        <w:t xml:space="preserve">ientras que para las mujeres, la tasa de universitarios va aumentando hasta edades inferiores a 30 años; pero a partir de dicha edad la tasa de universitarios va disminuyendo. Por otra parte, si comparamos las tasas de universitarios entre hombres y mujeres por grupo etario, tenemos que de los extranjeros con edades entre 15 y 20 años hay 78.52 </w:t>
      </w:r>
      <w:r>
        <w:rPr>
          <w:rFonts w:ascii="Arial" w:hAnsi="Arial" w:cs="Arial"/>
        </w:rPr>
        <w:lastRenderedPageBreak/>
        <w:t xml:space="preserve">hombres universitarios por cada 1000 hombres extranjeros pertenecientes a este grupo etario, y hay 85.26 mujeres universitarias por cada 1000 mujeres extranjeras con edades comprendidas en el mismo grupo de edad; teniéndose que para las edades inferiores a 30 años es mayor la tasa de universitarios en mujeres que en hombres.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B21022">
        <w:trPr>
          <w:trHeight w:val="7359"/>
          <w:jc w:val="right"/>
        </w:trPr>
        <w:tc>
          <w:tcPr>
            <w:tcW w:w="7497" w:type="dxa"/>
          </w:tcPr>
          <w:p w:rsidR="00060299" w:rsidRDefault="00060299" w:rsidP="003B05B6">
            <w:pPr>
              <w:rPr>
                <w:rFonts w:ascii="Arial" w:hAnsi="Arial" w:cs="Arial"/>
                <w:b/>
                <w:sz w:val="16"/>
                <w:szCs w:val="16"/>
              </w:rPr>
            </w:pPr>
          </w:p>
          <w:p w:rsidR="00455B57" w:rsidRPr="00455B57" w:rsidRDefault="00455B57" w:rsidP="00455B57">
            <w:pPr>
              <w:keepNext/>
              <w:rPr>
                <w:rFonts w:ascii="Arial" w:hAnsi="Arial" w:cs="Arial"/>
                <w:b/>
                <w:sz w:val="16"/>
                <w:szCs w:val="16"/>
              </w:rPr>
            </w:pPr>
            <w:bookmarkStart w:id="446" w:name="_Toc341043419"/>
            <w:r>
              <w:rPr>
                <w:rFonts w:ascii="Arial" w:hAnsi="Arial" w:cs="Arial"/>
                <w:b/>
                <w:sz w:val="16"/>
                <w:szCs w:val="16"/>
              </w:rPr>
              <w:t>Figura 3.</w:t>
            </w:r>
            <w:r w:rsidR="00990535" w:rsidRPr="00455B57">
              <w:rPr>
                <w:rFonts w:ascii="Arial" w:hAnsi="Arial" w:cs="Arial"/>
                <w:b/>
                <w:sz w:val="16"/>
                <w:szCs w:val="16"/>
              </w:rPr>
              <w:fldChar w:fldCharType="begin"/>
            </w:r>
            <w:r w:rsidRPr="00455B57">
              <w:rPr>
                <w:rFonts w:ascii="Arial" w:hAnsi="Arial" w:cs="Arial"/>
                <w:b/>
                <w:sz w:val="16"/>
                <w:szCs w:val="16"/>
              </w:rPr>
              <w:instrText xml:space="preserve"> SEQ Figura_3. \* ARABIC </w:instrText>
            </w:r>
            <w:r w:rsidR="00990535" w:rsidRPr="00455B57">
              <w:rPr>
                <w:rFonts w:ascii="Arial" w:hAnsi="Arial" w:cs="Arial"/>
                <w:b/>
                <w:sz w:val="16"/>
                <w:szCs w:val="16"/>
              </w:rPr>
              <w:fldChar w:fldCharType="separate"/>
            </w:r>
            <w:r w:rsidR="00A242E0">
              <w:rPr>
                <w:rFonts w:ascii="Arial" w:hAnsi="Arial" w:cs="Arial"/>
                <w:b/>
                <w:noProof/>
                <w:sz w:val="16"/>
                <w:szCs w:val="16"/>
              </w:rPr>
              <w:t>20</w:t>
            </w:r>
            <w:bookmarkEnd w:id="446"/>
            <w:r w:rsidR="00990535" w:rsidRPr="00455B57">
              <w:rPr>
                <w:rFonts w:ascii="Arial" w:hAnsi="Arial" w:cs="Arial"/>
                <w:b/>
                <w:sz w:val="16"/>
                <w:szCs w:val="16"/>
              </w:rPr>
              <w:fldChar w:fldCharType="end"/>
            </w:r>
          </w:p>
          <w:p w:rsidR="00060299" w:rsidRPr="00F44C12" w:rsidRDefault="00B21022" w:rsidP="003B05B6">
            <w:pPr>
              <w:rPr>
                <w:rFonts w:ascii="Arial" w:hAnsi="Arial" w:cs="Arial"/>
                <w:i/>
                <w:sz w:val="16"/>
                <w:szCs w:val="16"/>
              </w:rPr>
            </w:pPr>
            <w:r>
              <w:rPr>
                <w:rFonts w:ascii="Arial" w:hAnsi="Arial" w:cs="Arial"/>
                <w:b/>
                <w:i/>
                <w:sz w:val="16"/>
                <w:szCs w:val="16"/>
              </w:rPr>
              <w:t xml:space="preserve">Ecuador 2010: </w:t>
            </w:r>
            <w:r w:rsidR="00060299" w:rsidRPr="00F44C12">
              <w:rPr>
                <w:rFonts w:ascii="Arial" w:hAnsi="Arial" w:cs="Arial"/>
                <w:i/>
                <w:sz w:val="16"/>
                <w:szCs w:val="16"/>
              </w:rPr>
              <w:t xml:space="preserve">Tasa de </w:t>
            </w:r>
            <w:r w:rsidR="00060299">
              <w:rPr>
                <w:rFonts w:ascii="Arial" w:hAnsi="Arial" w:cs="Arial"/>
                <w:i/>
                <w:sz w:val="16"/>
                <w:szCs w:val="16"/>
              </w:rPr>
              <w:t>Universitarios</w:t>
            </w:r>
            <w:r w:rsidR="00060299" w:rsidRPr="00F44C12">
              <w:rPr>
                <w:rFonts w:ascii="Arial" w:hAnsi="Arial" w:cs="Arial"/>
                <w:i/>
                <w:sz w:val="16"/>
                <w:szCs w:val="16"/>
              </w:rPr>
              <w:t xml:space="preserve"> </w:t>
            </w:r>
            <w:r w:rsidR="00060299">
              <w:rPr>
                <w:rFonts w:ascii="Arial" w:hAnsi="Arial" w:cs="Arial"/>
                <w:i/>
                <w:sz w:val="16"/>
                <w:szCs w:val="16"/>
              </w:rPr>
              <w:t>para</w:t>
            </w:r>
            <w:r w:rsidR="00060299" w:rsidRPr="00F44C12">
              <w:rPr>
                <w:rFonts w:ascii="Arial" w:hAnsi="Arial" w:cs="Arial"/>
                <w:i/>
                <w:sz w:val="16"/>
                <w:szCs w:val="16"/>
              </w:rPr>
              <w:t xml:space="preserve"> </w:t>
            </w:r>
            <w:r w:rsidR="00060299">
              <w:rPr>
                <w:rFonts w:ascii="Arial" w:hAnsi="Arial" w:cs="Arial"/>
                <w:i/>
                <w:sz w:val="16"/>
                <w:szCs w:val="16"/>
              </w:rPr>
              <w:t>grupo de e</w:t>
            </w:r>
            <w:r w:rsidR="00060299" w:rsidRPr="00F44C12">
              <w:rPr>
                <w:rFonts w:ascii="Arial" w:hAnsi="Arial" w:cs="Arial"/>
                <w:i/>
                <w:sz w:val="16"/>
                <w:szCs w:val="16"/>
              </w:rPr>
              <w:t xml:space="preserve">dades específicas y </w:t>
            </w:r>
            <w:r w:rsidR="00060299">
              <w:rPr>
                <w:rFonts w:ascii="Arial" w:hAnsi="Arial" w:cs="Arial"/>
                <w:i/>
                <w:sz w:val="16"/>
                <w:szCs w:val="16"/>
              </w:rPr>
              <w:t>g</w:t>
            </w:r>
            <w:r w:rsidR="00060299" w:rsidRPr="00F44C12">
              <w:rPr>
                <w:rFonts w:ascii="Arial" w:hAnsi="Arial" w:cs="Arial"/>
                <w:i/>
                <w:sz w:val="16"/>
                <w:szCs w:val="16"/>
              </w:rPr>
              <w:t>énero</w:t>
            </w:r>
          </w:p>
          <w:p w:rsidR="00060299" w:rsidRDefault="00060299" w:rsidP="003B05B6">
            <w:pPr>
              <w:rPr>
                <w:rFonts w:ascii="Arial" w:hAnsi="Arial" w:cs="Arial"/>
                <w:i/>
                <w:sz w:val="16"/>
                <w:szCs w:val="16"/>
              </w:rPr>
            </w:pPr>
            <w:r w:rsidRPr="00F44C12">
              <w:rPr>
                <w:rFonts w:ascii="Arial" w:hAnsi="Arial" w:cs="Arial"/>
                <w:i/>
                <w:sz w:val="16"/>
                <w:szCs w:val="16"/>
              </w:rPr>
              <w:t xml:space="preserve">por cada 1000 Inmigrantes </w:t>
            </w:r>
            <w:r w:rsidR="00B21022">
              <w:rPr>
                <w:rFonts w:ascii="Arial" w:hAnsi="Arial" w:cs="Arial"/>
                <w:i/>
                <w:sz w:val="16"/>
                <w:szCs w:val="16"/>
              </w:rPr>
              <w:t>extranjeros</w:t>
            </w:r>
          </w:p>
          <w:p w:rsidR="00060299" w:rsidRDefault="00436907" w:rsidP="003B05B6">
            <w:pPr>
              <w:rPr>
                <w:rFonts w:ascii="Arial" w:hAnsi="Arial" w:cs="Arial"/>
                <w:b/>
                <w:sz w:val="16"/>
                <w:szCs w:val="16"/>
              </w:rPr>
            </w:pPr>
            <w:r>
              <w:rPr>
                <w:rFonts w:ascii="Arial" w:hAnsi="Arial" w:cs="Arial"/>
                <w:b/>
                <w:noProof/>
                <w:sz w:val="16"/>
                <w:szCs w:val="16"/>
                <w:lang w:eastAsia="es-EC"/>
              </w:rPr>
              <w:pict>
                <v:shape id="_x0000_s1310" type="#_x0000_t202" style="position:absolute;left:0;text-align:left;margin-left:106.45pt;margin-top:93.8pt;width:89.8pt;height:14.8pt;z-index:25147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310">
                    <w:txbxContent>
                      <w:p w:rsidR="006933DF" w:rsidRPr="00565700" w:rsidRDefault="006933DF" w:rsidP="00060299">
                        <w:pPr>
                          <w:rPr>
                            <w:rFonts w:ascii="Arial" w:hAnsi="Arial" w:cs="Arial"/>
                            <w:color w:val="BA06A0"/>
                            <w:sz w:val="15"/>
                            <w:szCs w:val="15"/>
                          </w:rPr>
                        </w:pPr>
                        <w:r w:rsidRPr="00565700">
                          <w:rPr>
                            <w:rFonts w:ascii="Arial" w:hAnsi="Arial" w:cs="Arial"/>
                            <w:color w:val="BA06A0"/>
                            <w:sz w:val="15"/>
                            <w:szCs w:val="15"/>
                          </w:rPr>
                          <w:t>Se ignora</w:t>
                        </w:r>
                      </w:p>
                    </w:txbxContent>
                  </v:textbox>
                </v:shape>
              </w:pict>
            </w:r>
            <w:r>
              <w:rPr>
                <w:rFonts w:ascii="Arial" w:hAnsi="Arial" w:cs="Arial"/>
                <w:b/>
                <w:i/>
                <w:noProof/>
                <w:sz w:val="18"/>
                <w:szCs w:val="18"/>
                <w:lang w:eastAsia="es-EC"/>
              </w:rPr>
              <w:pict>
                <v:shape id="_x0000_s2111" type="#_x0000_t32" style="position:absolute;left:0;text-align:left;margin-left:156.7pt;margin-top:106.35pt;width:16.05pt;height:14.8pt;z-index:251874816" o:connectortype="straight" strokecolor="#d60093">
                  <v:stroke endarrow="block"/>
                </v:shape>
              </w:pict>
            </w:r>
            <w:r>
              <w:rPr>
                <w:rFonts w:ascii="Arial" w:hAnsi="Arial" w:cs="Arial"/>
                <w:b/>
                <w:i/>
                <w:noProof/>
                <w:sz w:val="18"/>
                <w:szCs w:val="18"/>
                <w:lang w:eastAsia="es-EC"/>
              </w:rPr>
              <w:pict>
                <v:shape id="_x0000_s1255" type="#_x0000_t202" style="position:absolute;left:0;text-align:left;margin-left:156.7pt;margin-top:88.35pt;width:89.8pt;height:14.8pt;z-index:25146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55">
                    <w:txbxContent>
                      <w:p w:rsidR="006933DF" w:rsidRPr="009C2ABD" w:rsidRDefault="006933DF" w:rsidP="00060299">
                        <w:pPr>
                          <w:rPr>
                            <w:rFonts w:ascii="Arial" w:hAnsi="Arial" w:cs="Arial"/>
                            <w:color w:val="0070C0"/>
                            <w:sz w:val="15"/>
                            <w:szCs w:val="15"/>
                          </w:rPr>
                        </w:pPr>
                        <w:r>
                          <w:rPr>
                            <w:rFonts w:ascii="Arial" w:hAnsi="Arial" w:cs="Arial"/>
                            <w:color w:val="0070C0"/>
                            <w:sz w:val="15"/>
                            <w:szCs w:val="15"/>
                          </w:rPr>
                          <w:t>Universitario</w:t>
                        </w:r>
                      </w:p>
                    </w:txbxContent>
                  </v:textbox>
                </v:shape>
              </w:pict>
            </w:r>
            <w:r>
              <w:rPr>
                <w:rFonts w:ascii="Arial" w:hAnsi="Arial" w:cs="Arial"/>
                <w:noProof/>
                <w:lang w:eastAsia="es-EC"/>
              </w:rPr>
              <w:pict>
                <v:shape id="_x0000_s2109" type="#_x0000_t32" style="position:absolute;left:0;text-align:left;margin-left:208.8pt;margin-top:76.35pt;width:9.75pt;height:14.8pt;flip:y;z-index:251872768" o:connectortype="straight" strokecolor="#0070c0">
                  <v:stroke endarrow="block"/>
                </v:shape>
              </w:pict>
            </w:r>
            <w:r>
              <w:rPr>
                <w:rFonts w:ascii="Arial" w:hAnsi="Arial" w:cs="Arial"/>
                <w:noProof/>
                <w:lang w:eastAsia="es-EC"/>
              </w:rPr>
              <w:pict>
                <v:shape id="_x0000_s1258" type="#_x0000_t202" style="position:absolute;left:0;text-align:left;margin-left:158pt;margin-top:28.35pt;width:89.8pt;height:15.8pt;z-index:251470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258;mso-fit-shape-to-text:t">
                    <w:txbxContent>
                      <w:p w:rsidR="006933DF" w:rsidRPr="009C2ABD" w:rsidRDefault="006933DF" w:rsidP="00060299">
                        <w:pPr>
                          <w:rPr>
                            <w:rFonts w:ascii="Arial" w:hAnsi="Arial" w:cs="Arial"/>
                            <w:color w:val="E36C0A" w:themeColor="accent6" w:themeShade="BF"/>
                            <w:sz w:val="15"/>
                            <w:szCs w:val="15"/>
                          </w:rPr>
                        </w:pPr>
                        <w:r>
                          <w:rPr>
                            <w:rFonts w:ascii="Arial" w:hAnsi="Arial" w:cs="Arial"/>
                            <w:color w:val="E36C0A" w:themeColor="accent6" w:themeShade="BF"/>
                            <w:sz w:val="15"/>
                            <w:szCs w:val="15"/>
                          </w:rPr>
                          <w:t>No Universitario</w:t>
                        </w:r>
                      </w:p>
                    </w:txbxContent>
                  </v:textbox>
                </v:shape>
              </w:pict>
            </w:r>
            <w:r>
              <w:rPr>
                <w:rFonts w:ascii="Arial" w:hAnsi="Arial" w:cs="Arial"/>
                <w:b/>
                <w:noProof/>
                <w:sz w:val="16"/>
                <w:szCs w:val="16"/>
                <w:lang w:eastAsia="es-EC"/>
              </w:rPr>
              <w:pict>
                <v:shape id="_x0000_s2106" type="#_x0000_t32" style="position:absolute;left:0;text-align:left;margin-left:208.8pt;margin-top:40.4pt;width:15pt;height:15.8pt;z-index:251870720" o:connectortype="straight" strokecolor="#e36c0a [2409]">
                  <v:stroke endarrow="block"/>
                </v:shape>
              </w:pict>
            </w:r>
            <w:r>
              <w:rPr>
                <w:rFonts w:ascii="Arial" w:hAnsi="Arial" w:cs="Arial"/>
                <w:noProof/>
                <w:lang w:eastAsia="es-EC"/>
              </w:rPr>
              <w:pict>
                <v:shape id="_x0000_s1256" type="#_x0000_t202" style="position:absolute;left:0;text-align:left;margin-left:62.55pt;margin-top:7.15pt;width:110.2pt;height:17.9pt;z-index:25146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256">
                    <w:txbxContent>
                      <w:p w:rsidR="006933DF" w:rsidRPr="00C800F3" w:rsidRDefault="006933DF" w:rsidP="00060299">
                        <w:pPr>
                          <w:rPr>
                            <w:rFonts w:ascii="Arial" w:hAnsi="Arial" w:cs="Arial"/>
                            <w:b/>
                            <w:sz w:val="15"/>
                            <w:szCs w:val="15"/>
                          </w:rPr>
                        </w:pPr>
                        <w:r>
                          <w:rPr>
                            <w:rFonts w:ascii="Arial" w:hAnsi="Arial" w:cs="Arial"/>
                            <w:b/>
                            <w:sz w:val="15"/>
                            <w:szCs w:val="15"/>
                          </w:rPr>
                          <w:t>Hombre</w:t>
                        </w:r>
                      </w:p>
                    </w:txbxContent>
                  </v:textbox>
                </v:shape>
              </w:pict>
            </w:r>
            <w:r w:rsidR="00060299">
              <w:rPr>
                <w:noProof/>
                <w:lang w:eastAsia="es-EC"/>
              </w:rPr>
              <w:drawing>
                <wp:inline distT="0" distB="0" distL="0" distR="0">
                  <wp:extent cx="4212000" cy="2113200"/>
                  <wp:effectExtent l="0" t="0" r="0" b="0"/>
                  <wp:docPr id="296" name="Gráfico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60299" w:rsidRPr="00167907" w:rsidRDefault="00436907" w:rsidP="00B21022">
            <w:pPr>
              <w:rPr>
                <w:rFonts w:ascii="Arial" w:hAnsi="Arial" w:cs="Arial"/>
                <w:b/>
                <w:sz w:val="16"/>
                <w:szCs w:val="16"/>
              </w:rPr>
            </w:pPr>
            <w:r>
              <w:rPr>
                <w:rFonts w:ascii="Arial" w:hAnsi="Arial" w:cs="Arial"/>
                <w:b/>
                <w:noProof/>
                <w:sz w:val="16"/>
                <w:szCs w:val="16"/>
                <w:lang w:eastAsia="es-EC"/>
              </w:rPr>
              <w:pict>
                <v:shape id="_x0000_s1311" type="#_x0000_t202" style="position:absolute;left:0;text-align:left;margin-left:102.5pt;margin-top:100.35pt;width:89.8pt;height:14.8pt;z-index:25147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311">
                    <w:txbxContent>
                      <w:p w:rsidR="006933DF" w:rsidRPr="00565700" w:rsidRDefault="006933DF" w:rsidP="00060299">
                        <w:pPr>
                          <w:rPr>
                            <w:rFonts w:ascii="Arial" w:hAnsi="Arial" w:cs="Arial"/>
                            <w:color w:val="BA06A0"/>
                            <w:sz w:val="15"/>
                            <w:szCs w:val="15"/>
                          </w:rPr>
                        </w:pPr>
                        <w:r w:rsidRPr="00565700">
                          <w:rPr>
                            <w:rFonts w:ascii="Arial" w:hAnsi="Arial" w:cs="Arial"/>
                            <w:color w:val="BA06A0"/>
                            <w:sz w:val="15"/>
                            <w:szCs w:val="15"/>
                          </w:rPr>
                          <w:t>Se ignora</w:t>
                        </w:r>
                      </w:p>
                    </w:txbxContent>
                  </v:textbox>
                </v:shape>
              </w:pict>
            </w:r>
            <w:r>
              <w:rPr>
                <w:rFonts w:ascii="Arial" w:hAnsi="Arial" w:cs="Arial"/>
                <w:b/>
                <w:noProof/>
                <w:sz w:val="16"/>
                <w:szCs w:val="16"/>
                <w:lang w:eastAsia="es-EC"/>
              </w:rPr>
              <w:pict>
                <v:shape id="_x0000_s2112" type="#_x0000_t32" style="position:absolute;left:0;text-align:left;margin-left:148.05pt;margin-top:112.9pt;width:13.15pt;height:9.9pt;z-index:251875840" o:connectortype="straight" strokecolor="#d60093">
                  <v:stroke endarrow="block"/>
                </v:shape>
              </w:pict>
            </w:r>
            <w:r>
              <w:rPr>
                <w:rFonts w:ascii="Arial" w:hAnsi="Arial" w:cs="Arial"/>
                <w:b/>
                <w:noProof/>
                <w:sz w:val="16"/>
                <w:szCs w:val="16"/>
                <w:lang w:eastAsia="es-EC"/>
              </w:rPr>
              <w:pict>
                <v:shape id="_x0000_s1301" type="#_x0000_t202" style="position:absolute;left:0;text-align:left;margin-left:85.95pt;margin-top:89.65pt;width:89.8pt;height:15.8pt;z-index:251473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301;mso-fit-shape-to-text:t">
                    <w:txbxContent>
                      <w:p w:rsidR="006933DF" w:rsidRPr="009C2ABD" w:rsidRDefault="006933DF" w:rsidP="00060299">
                        <w:pPr>
                          <w:rPr>
                            <w:rFonts w:ascii="Arial" w:hAnsi="Arial" w:cs="Arial"/>
                            <w:color w:val="0070C0"/>
                            <w:sz w:val="15"/>
                            <w:szCs w:val="15"/>
                          </w:rPr>
                        </w:pPr>
                        <w:r>
                          <w:rPr>
                            <w:rFonts w:ascii="Arial" w:hAnsi="Arial" w:cs="Arial"/>
                            <w:color w:val="0070C0"/>
                            <w:sz w:val="15"/>
                            <w:szCs w:val="15"/>
                          </w:rPr>
                          <w:t>Universitario</w:t>
                        </w:r>
                      </w:p>
                    </w:txbxContent>
                  </v:textbox>
                </v:shape>
              </w:pict>
            </w:r>
            <w:r>
              <w:rPr>
                <w:rFonts w:ascii="Arial" w:hAnsi="Arial" w:cs="Arial"/>
                <w:b/>
                <w:noProof/>
                <w:sz w:val="16"/>
                <w:szCs w:val="16"/>
                <w:lang w:eastAsia="es-EC"/>
              </w:rPr>
              <w:pict>
                <v:shape id="_x0000_s2110" type="#_x0000_t32" style="position:absolute;left:0;text-align:left;margin-left:112.8pt;margin-top:82.3pt;width:15.75pt;height:11.25pt;flip:x y;z-index:251873792" o:connectortype="straight" strokecolor="#0070c0">
                  <v:stroke endarrow="block"/>
                </v:shape>
              </w:pict>
            </w:r>
            <w:r>
              <w:rPr>
                <w:rFonts w:ascii="Arial" w:hAnsi="Arial" w:cs="Arial"/>
                <w:b/>
                <w:noProof/>
                <w:sz w:val="16"/>
                <w:szCs w:val="16"/>
                <w:lang w:eastAsia="es-EC"/>
              </w:rPr>
              <w:pict>
                <v:shape id="_x0000_s1302" type="#_x0000_t202" style="position:absolute;left:0;text-align:left;margin-left:203.25pt;margin-top:47.85pt;width:89.8pt;height:15.8pt;z-index:251474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302;mso-fit-shape-to-text:t">
                    <w:txbxContent>
                      <w:p w:rsidR="006933DF" w:rsidRPr="009C2ABD" w:rsidRDefault="006933DF" w:rsidP="00060299">
                        <w:pPr>
                          <w:rPr>
                            <w:rFonts w:ascii="Arial" w:hAnsi="Arial" w:cs="Arial"/>
                            <w:color w:val="E36C0A" w:themeColor="accent6" w:themeShade="BF"/>
                            <w:sz w:val="15"/>
                            <w:szCs w:val="15"/>
                          </w:rPr>
                        </w:pPr>
                        <w:r>
                          <w:rPr>
                            <w:rFonts w:ascii="Arial" w:hAnsi="Arial" w:cs="Arial"/>
                            <w:color w:val="E36C0A" w:themeColor="accent6" w:themeShade="BF"/>
                            <w:sz w:val="15"/>
                            <w:szCs w:val="15"/>
                          </w:rPr>
                          <w:t>No Universitario</w:t>
                        </w:r>
                      </w:p>
                    </w:txbxContent>
                  </v:textbox>
                </v:shape>
              </w:pict>
            </w:r>
            <w:r>
              <w:rPr>
                <w:rFonts w:ascii="Arial" w:hAnsi="Arial" w:cs="Arial"/>
                <w:b/>
                <w:noProof/>
                <w:sz w:val="16"/>
                <w:szCs w:val="16"/>
                <w:lang w:eastAsia="es-EC"/>
              </w:rPr>
              <w:pict>
                <v:shape id="_x0000_s2107" type="#_x0000_t32" style="position:absolute;left:0;text-align:left;margin-left:235.05pt;margin-top:38.8pt;width:12.75pt;height:12pt;flip:x y;z-index:251871744" o:connectortype="straight" strokecolor="#e36c0a [2409]">
                  <v:stroke endarrow="block"/>
                </v:shape>
              </w:pict>
            </w:r>
            <w:r>
              <w:rPr>
                <w:rFonts w:ascii="Arial" w:hAnsi="Arial" w:cs="Arial"/>
                <w:noProof/>
                <w:lang w:eastAsia="es-EC"/>
              </w:rPr>
              <w:pict>
                <v:shape id="_x0000_s1257" type="#_x0000_t202" style="position:absolute;left:0;text-align:left;margin-left:62.55pt;margin-top:9.2pt;width:110.2pt;height:17.9pt;z-index:25146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257">
                    <w:txbxContent>
                      <w:p w:rsidR="006933DF" w:rsidRPr="00C800F3" w:rsidRDefault="006933DF" w:rsidP="00060299">
                        <w:pPr>
                          <w:rPr>
                            <w:rFonts w:ascii="Arial" w:hAnsi="Arial" w:cs="Arial"/>
                            <w:b/>
                            <w:sz w:val="15"/>
                            <w:szCs w:val="15"/>
                          </w:rPr>
                        </w:pPr>
                        <w:r>
                          <w:rPr>
                            <w:rFonts w:ascii="Arial" w:hAnsi="Arial" w:cs="Arial"/>
                            <w:b/>
                            <w:sz w:val="15"/>
                            <w:szCs w:val="15"/>
                          </w:rPr>
                          <w:t>Mujer</w:t>
                        </w:r>
                      </w:p>
                    </w:txbxContent>
                  </v:textbox>
                </v:shape>
              </w:pict>
            </w:r>
            <w:r w:rsidR="00060299">
              <w:rPr>
                <w:noProof/>
                <w:lang w:eastAsia="es-EC"/>
              </w:rPr>
              <w:drawing>
                <wp:inline distT="0" distB="0" distL="0" distR="0">
                  <wp:extent cx="4212000" cy="2113200"/>
                  <wp:effectExtent l="0" t="0" r="0" b="0"/>
                  <wp:docPr id="297" name="Gráfico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rsidR="00060299" w:rsidRPr="00B21022" w:rsidRDefault="00060299" w:rsidP="00B21022">
      <w:pPr>
        <w:pStyle w:val="Prrafodelista"/>
        <w:spacing w:line="276" w:lineRule="auto"/>
        <w:ind w:left="851"/>
        <w:jc w:val="both"/>
        <w:rPr>
          <w:rFonts w:ascii="Arial" w:hAnsi="Arial" w:cs="Arial"/>
          <w:sz w:val="17"/>
          <w:szCs w:val="17"/>
        </w:rPr>
      </w:pPr>
    </w:p>
    <w:p w:rsidR="00060299" w:rsidRPr="00B21022" w:rsidRDefault="00060299" w:rsidP="00B21022">
      <w:pPr>
        <w:pStyle w:val="Prrafodelista"/>
        <w:spacing w:line="276" w:lineRule="auto"/>
        <w:ind w:left="851"/>
        <w:jc w:val="both"/>
        <w:rPr>
          <w:rFonts w:ascii="Arial" w:hAnsi="Arial" w:cs="Arial"/>
          <w:sz w:val="17"/>
          <w:szCs w:val="17"/>
        </w:rPr>
      </w:pPr>
      <w:r w:rsidRPr="00B21022">
        <w:rPr>
          <w:rFonts w:ascii="Arial" w:hAnsi="Arial" w:cs="Arial"/>
          <w:b/>
          <w:i/>
          <w:sz w:val="17"/>
          <w:szCs w:val="17"/>
        </w:rPr>
        <w:t>Fuente:</w:t>
      </w:r>
      <w:r w:rsidRPr="00B21022">
        <w:rPr>
          <w:rFonts w:ascii="Arial" w:hAnsi="Arial" w:cs="Arial"/>
          <w:sz w:val="17"/>
          <w:szCs w:val="17"/>
        </w:rPr>
        <w:t xml:space="preserve"> </w:t>
      </w:r>
      <w:r w:rsidRPr="00B21022">
        <w:rPr>
          <w:rFonts w:ascii="Arial" w:hAnsi="Arial" w:cs="Arial"/>
          <w:b/>
          <w:sz w:val="17"/>
          <w:szCs w:val="17"/>
        </w:rPr>
        <w:t xml:space="preserve">INEC </w:t>
      </w:r>
      <w:r w:rsidRPr="00B21022">
        <w:rPr>
          <w:rFonts w:ascii="Arial" w:hAnsi="Arial" w:cs="Arial"/>
          <w:sz w:val="17"/>
          <w:szCs w:val="17"/>
        </w:rPr>
        <w:t>(2010), Base de Datos del VII Censo de Población y VI de Vivienda.</w:t>
      </w:r>
    </w:p>
    <w:p w:rsidR="00060299" w:rsidRPr="00783C16" w:rsidRDefault="00060299" w:rsidP="00B21022">
      <w:pPr>
        <w:pStyle w:val="Prrafodelista"/>
        <w:spacing w:line="276" w:lineRule="auto"/>
        <w:ind w:left="851"/>
        <w:jc w:val="both"/>
        <w:rPr>
          <w:rFonts w:ascii="Arial" w:hAnsi="Arial" w:cs="Arial"/>
          <w:sz w:val="18"/>
          <w:szCs w:val="18"/>
        </w:rPr>
      </w:pPr>
      <w:r w:rsidRPr="00B21022">
        <w:rPr>
          <w:rFonts w:ascii="Arial" w:hAnsi="Arial" w:cs="Arial"/>
          <w:b/>
          <w:i/>
          <w:sz w:val="17"/>
          <w:szCs w:val="17"/>
        </w:rPr>
        <w:t>Elaborado por:</w:t>
      </w:r>
      <w:r w:rsidRPr="00B21022">
        <w:rPr>
          <w:rFonts w:ascii="Arial" w:hAnsi="Arial" w:cs="Arial"/>
          <w:sz w:val="17"/>
          <w:szCs w:val="17"/>
        </w:rPr>
        <w:t xml:space="preserve"> Katherine Loor Valeriano</w:t>
      </w:r>
    </w:p>
    <w:p w:rsidR="00060299" w:rsidRPr="00D94AAC" w:rsidRDefault="00060299" w:rsidP="00B21022">
      <w:pPr>
        <w:pStyle w:val="TesisTitulo2"/>
        <w:numPr>
          <w:ilvl w:val="0"/>
          <w:numId w:val="0"/>
        </w:numPr>
        <w:ind w:left="851"/>
        <w:rPr>
          <w:b w:val="0"/>
          <w:sz w:val="22"/>
          <w:szCs w:val="22"/>
        </w:rPr>
      </w:pPr>
    </w:p>
    <w:p w:rsidR="00060299" w:rsidRPr="00287F2C" w:rsidRDefault="00B21022" w:rsidP="00287F2C">
      <w:pPr>
        <w:spacing w:line="480" w:lineRule="auto"/>
        <w:ind w:left="851"/>
        <w:jc w:val="both"/>
        <w:rPr>
          <w:rFonts w:ascii="Arial" w:hAnsi="Arial" w:cs="Arial"/>
        </w:rPr>
      </w:pPr>
      <w:bookmarkStart w:id="447" w:name="_Toc335341781"/>
      <w:bookmarkStart w:id="448" w:name="_Toc335386955"/>
      <w:bookmarkStart w:id="449" w:name="_Toc335744735"/>
      <w:bookmarkStart w:id="450" w:name="_Toc335847795"/>
      <w:bookmarkStart w:id="451" w:name="_Toc335850514"/>
      <w:bookmarkStart w:id="452" w:name="_Toc335850604"/>
      <w:bookmarkStart w:id="453" w:name="_Toc339784879"/>
      <w:bookmarkStart w:id="454" w:name="_Toc339853034"/>
      <w:bookmarkStart w:id="455" w:name="_Toc340231804"/>
      <w:r w:rsidRPr="00287F2C">
        <w:rPr>
          <w:rFonts w:ascii="Arial" w:hAnsi="Arial" w:cs="Arial"/>
        </w:rPr>
        <w:t>P</w:t>
      </w:r>
      <w:r w:rsidR="00060299" w:rsidRPr="00287F2C">
        <w:rPr>
          <w:rFonts w:ascii="Arial" w:hAnsi="Arial" w:cs="Arial"/>
        </w:rPr>
        <w:t xml:space="preserve">ara las edades superiores a 30 años es siempre superior la tasa de universitarios en hombres, por citar algunos casos, podemos analizar el </w:t>
      </w:r>
      <w:r w:rsidR="00060299" w:rsidRPr="00287F2C">
        <w:rPr>
          <w:rFonts w:ascii="Arial" w:hAnsi="Arial" w:cs="Arial"/>
        </w:rPr>
        <w:lastRenderedPageBreak/>
        <w:t>grupo etario con edades entre 50 y 55 años, donde hay 411.28 hombres universitarios por cada 1000 hombres extranjeros residentes en el país, y hay 316.08 mujeres universitarias por cada 1000 mujeres inmigrantes con edades comprendidas entre 50 y 55 años; y, para el grupo etario entre 60 y 65 años hay 413.37 hombres universitarios por cada 1000 hombres extranjeros y 288.64 mujeres universitarias por cada 1000 mujeres pertenecientes a ese grupo etario.</w:t>
      </w:r>
      <w:bookmarkEnd w:id="447"/>
      <w:bookmarkEnd w:id="448"/>
      <w:bookmarkEnd w:id="449"/>
      <w:bookmarkEnd w:id="450"/>
      <w:bookmarkEnd w:id="451"/>
      <w:bookmarkEnd w:id="452"/>
      <w:bookmarkEnd w:id="453"/>
      <w:bookmarkEnd w:id="454"/>
      <w:bookmarkEnd w:id="455"/>
    </w:p>
    <w:p w:rsidR="00060299" w:rsidRPr="00D94AAC" w:rsidRDefault="00060299" w:rsidP="00B21022">
      <w:pPr>
        <w:pStyle w:val="TesisTitulo2"/>
        <w:numPr>
          <w:ilvl w:val="0"/>
          <w:numId w:val="0"/>
        </w:numPr>
        <w:ind w:left="851"/>
        <w:rPr>
          <w:b w:val="0"/>
          <w:sz w:val="22"/>
          <w:szCs w:val="22"/>
        </w:rPr>
      </w:pPr>
    </w:p>
    <w:p w:rsidR="00060299" w:rsidRPr="00182C20" w:rsidRDefault="00060299" w:rsidP="00B21022">
      <w:pPr>
        <w:pStyle w:val="TesisTitulo1"/>
        <w:ind w:left="851"/>
      </w:pPr>
      <w:bookmarkStart w:id="456" w:name="_Toc335850605"/>
      <w:bookmarkStart w:id="457" w:name="_Toc341040651"/>
      <w:r>
        <w:t>Autoidentificación étnica</w:t>
      </w:r>
      <w:bookmarkEnd w:id="456"/>
      <w:bookmarkEnd w:id="457"/>
    </w:p>
    <w:p w:rsidR="00060299" w:rsidRDefault="00060299" w:rsidP="00B21022">
      <w:pPr>
        <w:spacing w:line="480" w:lineRule="auto"/>
        <w:ind w:left="851"/>
        <w:jc w:val="both"/>
        <w:rPr>
          <w:rFonts w:ascii="Arial" w:hAnsi="Arial" w:cs="Arial"/>
          <w:color w:val="FF0000"/>
        </w:rPr>
      </w:pPr>
      <w:r w:rsidRPr="003036CD">
        <w:rPr>
          <w:rFonts w:ascii="Arial" w:hAnsi="Arial" w:cs="Arial"/>
        </w:rPr>
        <w:t>Los inmigrantes extranjeros residentes en el Ecuador, en su mayoría se autoidentifican como mestizos (57.89%), el 26.01% se autoidentifica como blancos, el 3.12% como negros, el 2.74% como mulatos, el 2.60% como afrodescendientes, el 1.98% como indígenas; y, el porcentaje restante (5.07%) se categoriza en otra identificación étnica o como montubios.</w:t>
      </w:r>
      <w:r>
        <w:rPr>
          <w:rFonts w:ascii="Arial" w:hAnsi="Arial" w:cs="Arial"/>
        </w:rPr>
        <w:t xml:space="preserve"> </w:t>
      </w:r>
    </w:p>
    <w:p w:rsidR="00060299" w:rsidRDefault="00060299" w:rsidP="00B21022">
      <w:pPr>
        <w:spacing w:line="480" w:lineRule="auto"/>
        <w:ind w:left="851"/>
        <w:jc w:val="both"/>
        <w:rPr>
          <w:rFonts w:ascii="Arial" w:hAnsi="Arial" w:cs="Arial"/>
        </w:rPr>
      </w:pPr>
    </w:p>
    <w:p w:rsidR="00060299" w:rsidRDefault="00060299" w:rsidP="00B21022">
      <w:pPr>
        <w:spacing w:line="480" w:lineRule="auto"/>
        <w:ind w:left="851"/>
        <w:jc w:val="both"/>
        <w:rPr>
          <w:rFonts w:ascii="Arial" w:hAnsi="Arial" w:cs="Arial"/>
        </w:rPr>
      </w:pPr>
      <w:r>
        <w:rPr>
          <w:rFonts w:ascii="Arial" w:hAnsi="Arial" w:cs="Arial"/>
        </w:rPr>
        <w:t xml:space="preserve">Además, podemos determinar el porcentaje de cada una de las nacionalidades respecto al total; es decir, podríamos determinar el porcentaje de mestizos que son extranjeros respecto al total de mestizos a nivel nacional. De donde obtenemos que, del total de indígenas el 0.35% son extranjeros, del total de afrodescendientes el 0.77% son inmigrantes que nacieron en otros países, el 3.91% de quienes se autoidentificaron como negros no son ecuatorianos, el 1.77% y el 0.10% de los mulatos y montubios son extranjeros, el 1.01% del total de mestizos a nivel nacional son inmigrantes; y, el 5.36% de los blancos son extranjeros.  </w:t>
      </w:r>
    </w:p>
    <w:p w:rsidR="00060299" w:rsidRDefault="00060299" w:rsidP="00B21022">
      <w:pPr>
        <w:spacing w:line="480" w:lineRule="auto"/>
        <w:ind w:left="851"/>
        <w:jc w:val="both"/>
        <w:rPr>
          <w:rFonts w:ascii="Arial" w:hAnsi="Arial" w:cs="Arial"/>
        </w:rPr>
      </w:pPr>
      <w:r w:rsidRPr="00D32114">
        <w:rPr>
          <w:rFonts w:ascii="Arial" w:hAnsi="Arial" w:cs="Arial"/>
        </w:rPr>
        <w:lastRenderedPageBreak/>
        <w:t>Dado que existen algunos extranjeros que se autoidentificaron como montubios, procederemos a analizar esta característica versus la nacionalidad del inmigrante</w:t>
      </w:r>
      <w:r>
        <w:rPr>
          <w:rFonts w:ascii="Arial" w:hAnsi="Arial" w:cs="Arial"/>
        </w:rPr>
        <w:t>, para lo cual sólo consideraremos algunos países como Colombia, Perú, Estados Unidos y España</w:t>
      </w:r>
      <w:r w:rsidRPr="00D32114">
        <w:rPr>
          <w:rFonts w:ascii="Arial" w:hAnsi="Arial" w:cs="Arial"/>
        </w:rPr>
        <w:t>;</w:t>
      </w:r>
      <w:r>
        <w:rPr>
          <w:rFonts w:ascii="Arial" w:hAnsi="Arial" w:cs="Arial"/>
        </w:rPr>
        <w:t xml:space="preserve"> en donde, en la </w:t>
      </w:r>
      <w:r>
        <w:rPr>
          <w:rFonts w:ascii="Arial" w:hAnsi="Arial" w:cs="Arial"/>
          <w:i/>
        </w:rPr>
        <w:t>Figura 3.21</w:t>
      </w:r>
      <w:r>
        <w:rPr>
          <w:rFonts w:ascii="Arial" w:hAnsi="Arial" w:cs="Arial"/>
        </w:rPr>
        <w:t xml:space="preserve">, tenemos que de los colombianos, el 2.76% se autoidentifican como indígenas, el 3.86% como afrodescendientes, 4.88% como negros, 3.87% como mulatos, el 0.56% como montubios, la mayoría (el 63.80%) se identifica étnicamente como mestizos, el 18.02% como blancos; y, el 2.25% respondió que se identifica con otro grupo étnico. </w:t>
      </w:r>
      <w:r w:rsidR="00F91C02">
        <w:rPr>
          <w:rFonts w:ascii="Arial" w:hAnsi="Arial" w:cs="Arial"/>
        </w:rPr>
        <w:t>D</w:t>
      </w:r>
      <w:r>
        <w:rPr>
          <w:rFonts w:ascii="Arial" w:hAnsi="Arial" w:cs="Arial"/>
        </w:rPr>
        <w:t>e los peruanos residentes en el país, tenemos que alrededor del 1.33% son indígenas, el 1.58% son afrodescendientes, el 0.51% se declararon negros, el 1.45% y el 0.93% son mulatos y montubios respectivamente, el 80.66% se identificaron como mestizos (la mayoría), el 10.53% son blancos; y, el 3.02% dijeron tener otra identificación étnica.</w:t>
      </w:r>
    </w:p>
    <w:p w:rsidR="00060299" w:rsidRDefault="00060299" w:rsidP="00B21022">
      <w:pPr>
        <w:spacing w:line="480" w:lineRule="auto"/>
        <w:ind w:left="851"/>
        <w:jc w:val="both"/>
        <w:rPr>
          <w:rFonts w:ascii="Arial" w:hAnsi="Arial" w:cs="Arial"/>
        </w:rPr>
      </w:pPr>
    </w:p>
    <w:p w:rsidR="00060299" w:rsidRPr="006E102A" w:rsidRDefault="00060299" w:rsidP="00B21022">
      <w:pPr>
        <w:spacing w:line="480" w:lineRule="auto"/>
        <w:ind w:left="851"/>
        <w:jc w:val="both"/>
        <w:rPr>
          <w:rFonts w:ascii="Arial" w:hAnsi="Arial" w:cs="Arial"/>
          <w:i/>
        </w:rPr>
      </w:pPr>
      <w:r>
        <w:rPr>
          <w:rFonts w:ascii="Arial" w:hAnsi="Arial" w:cs="Arial"/>
        </w:rPr>
        <w:t xml:space="preserve">Por otra parte, los estadounidenses residentes en el país, tenemos que el 1.08% se declararon indígenas, el 0.48% afrodescendientes, el 0.31% negros, el 0.53% mulatos, el 0.36% montubios, el 55.28% mestizos, el 39.18% se autoidentificaron como blancos; y, un 2.78% otra identificación étnica. Adicionalmente, de los extranjeros nacidos en España, tenemos que el 66.80% se declararon mestizos, el 25.65% como blancos, y los restantes se identificaron con alguna de las otras etnias; cabe mencionar que independientemente de la nacionalidad de los extranjeros, en todos los casos por lo menos uno se identificó como montubio. </w:t>
      </w:r>
      <w:r>
        <w:rPr>
          <w:rFonts w:ascii="Arial" w:hAnsi="Arial" w:cs="Arial"/>
          <w:i/>
        </w:rPr>
        <w:t>Véase Figura 3.21.</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B21022">
        <w:trPr>
          <w:trHeight w:val="4252"/>
          <w:jc w:val="right"/>
        </w:trPr>
        <w:tc>
          <w:tcPr>
            <w:tcW w:w="7497" w:type="dxa"/>
          </w:tcPr>
          <w:p w:rsidR="00060299" w:rsidRDefault="00060299" w:rsidP="003B05B6">
            <w:pPr>
              <w:rPr>
                <w:rFonts w:ascii="Arial" w:hAnsi="Arial" w:cs="Arial"/>
                <w:b/>
                <w:sz w:val="16"/>
                <w:szCs w:val="16"/>
              </w:rPr>
            </w:pPr>
          </w:p>
          <w:p w:rsidR="00B03541" w:rsidRPr="00B03541" w:rsidRDefault="00B03541" w:rsidP="00B03541">
            <w:pPr>
              <w:keepNext/>
              <w:rPr>
                <w:rFonts w:ascii="Arial" w:hAnsi="Arial" w:cs="Arial"/>
                <w:b/>
                <w:sz w:val="16"/>
                <w:szCs w:val="16"/>
              </w:rPr>
            </w:pPr>
            <w:bookmarkStart w:id="458" w:name="_Toc341043420"/>
            <w:r w:rsidRPr="00B03541">
              <w:rPr>
                <w:rFonts w:ascii="Arial" w:hAnsi="Arial" w:cs="Arial"/>
                <w:b/>
                <w:sz w:val="16"/>
                <w:szCs w:val="16"/>
              </w:rPr>
              <w:t>Figura 3.</w:t>
            </w:r>
            <w:r w:rsidR="00990535" w:rsidRPr="00B03541">
              <w:rPr>
                <w:rFonts w:ascii="Arial" w:hAnsi="Arial" w:cs="Arial"/>
                <w:b/>
                <w:sz w:val="16"/>
                <w:szCs w:val="16"/>
              </w:rPr>
              <w:fldChar w:fldCharType="begin"/>
            </w:r>
            <w:r w:rsidRPr="00B03541">
              <w:rPr>
                <w:rFonts w:ascii="Arial" w:hAnsi="Arial" w:cs="Arial"/>
                <w:b/>
                <w:sz w:val="16"/>
                <w:szCs w:val="16"/>
              </w:rPr>
              <w:instrText xml:space="preserve"> SEQ Figura_3. \* ARABIC </w:instrText>
            </w:r>
            <w:r w:rsidR="00990535" w:rsidRPr="00B03541">
              <w:rPr>
                <w:rFonts w:ascii="Arial" w:hAnsi="Arial" w:cs="Arial"/>
                <w:b/>
                <w:sz w:val="16"/>
                <w:szCs w:val="16"/>
              </w:rPr>
              <w:fldChar w:fldCharType="separate"/>
            </w:r>
            <w:r w:rsidR="00A242E0">
              <w:rPr>
                <w:rFonts w:ascii="Arial" w:hAnsi="Arial" w:cs="Arial"/>
                <w:b/>
                <w:noProof/>
                <w:sz w:val="16"/>
                <w:szCs w:val="16"/>
              </w:rPr>
              <w:t>21</w:t>
            </w:r>
            <w:bookmarkEnd w:id="458"/>
            <w:r w:rsidR="00990535" w:rsidRPr="00B03541">
              <w:rPr>
                <w:rFonts w:ascii="Arial" w:hAnsi="Arial" w:cs="Arial"/>
                <w:b/>
                <w:sz w:val="16"/>
                <w:szCs w:val="16"/>
              </w:rPr>
              <w:fldChar w:fldCharType="end"/>
            </w:r>
          </w:p>
          <w:p w:rsidR="00060299" w:rsidRDefault="00B21022"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 xml:space="preserve">Frecuencia Relativa de Autoidentificación étnica por país de nacimiento del Inmigrante </w:t>
            </w:r>
          </w:p>
          <w:p w:rsidR="00060299" w:rsidRPr="0078148C" w:rsidRDefault="00060299" w:rsidP="003B05B6">
            <w:pPr>
              <w:rPr>
                <w:rFonts w:ascii="Arial" w:hAnsi="Arial" w:cs="Arial"/>
                <w:i/>
                <w:sz w:val="16"/>
                <w:szCs w:val="16"/>
              </w:rPr>
            </w:pPr>
            <w:r>
              <w:rPr>
                <w:noProof/>
                <w:lang w:eastAsia="es-EC"/>
              </w:rPr>
              <w:drawing>
                <wp:inline distT="0" distB="0" distL="0" distR="0">
                  <wp:extent cx="4591050" cy="2343150"/>
                  <wp:effectExtent l="0" t="0" r="0" b="0"/>
                  <wp:docPr id="322" name="Gráfico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rsidR="00060299" w:rsidRPr="00B21022" w:rsidRDefault="00060299" w:rsidP="00B21022">
      <w:pPr>
        <w:pStyle w:val="Prrafodelista"/>
        <w:spacing w:line="276" w:lineRule="auto"/>
        <w:ind w:left="851"/>
        <w:jc w:val="both"/>
        <w:rPr>
          <w:rFonts w:ascii="Arial" w:hAnsi="Arial" w:cs="Arial"/>
          <w:sz w:val="17"/>
          <w:szCs w:val="17"/>
        </w:rPr>
      </w:pPr>
    </w:p>
    <w:p w:rsidR="00060299" w:rsidRPr="00B21022" w:rsidRDefault="00060299" w:rsidP="00B21022">
      <w:pPr>
        <w:pStyle w:val="Prrafodelista"/>
        <w:spacing w:line="276" w:lineRule="auto"/>
        <w:ind w:left="851"/>
        <w:jc w:val="both"/>
        <w:rPr>
          <w:rFonts w:ascii="Arial" w:hAnsi="Arial" w:cs="Arial"/>
          <w:sz w:val="17"/>
          <w:szCs w:val="17"/>
        </w:rPr>
      </w:pPr>
      <w:r w:rsidRPr="00B21022">
        <w:rPr>
          <w:rFonts w:ascii="Arial" w:hAnsi="Arial" w:cs="Arial"/>
          <w:b/>
          <w:i/>
          <w:sz w:val="17"/>
          <w:szCs w:val="17"/>
        </w:rPr>
        <w:t>Fuente:</w:t>
      </w:r>
      <w:r w:rsidRPr="00B21022">
        <w:rPr>
          <w:rFonts w:ascii="Arial" w:hAnsi="Arial" w:cs="Arial"/>
          <w:sz w:val="17"/>
          <w:szCs w:val="17"/>
        </w:rPr>
        <w:t xml:space="preserve"> </w:t>
      </w:r>
      <w:r w:rsidRPr="00B21022">
        <w:rPr>
          <w:rFonts w:ascii="Arial" w:hAnsi="Arial" w:cs="Arial"/>
          <w:b/>
          <w:sz w:val="17"/>
          <w:szCs w:val="17"/>
        </w:rPr>
        <w:t xml:space="preserve">INEC </w:t>
      </w:r>
      <w:r w:rsidRPr="00B21022">
        <w:rPr>
          <w:rFonts w:ascii="Arial" w:hAnsi="Arial" w:cs="Arial"/>
          <w:sz w:val="17"/>
          <w:szCs w:val="17"/>
        </w:rPr>
        <w:t>(2010), Base de Datos del VII Censo de Población y VI de Vivienda.</w:t>
      </w:r>
    </w:p>
    <w:p w:rsidR="00060299" w:rsidRDefault="00060299" w:rsidP="00B21022">
      <w:pPr>
        <w:pStyle w:val="Prrafodelista"/>
        <w:spacing w:line="276" w:lineRule="auto"/>
        <w:ind w:left="851"/>
        <w:jc w:val="both"/>
        <w:rPr>
          <w:rFonts w:ascii="Arial" w:hAnsi="Arial" w:cs="Arial"/>
          <w:sz w:val="18"/>
          <w:szCs w:val="18"/>
        </w:rPr>
      </w:pPr>
      <w:r w:rsidRPr="00B21022">
        <w:rPr>
          <w:rFonts w:ascii="Arial" w:hAnsi="Arial" w:cs="Arial"/>
          <w:b/>
          <w:i/>
          <w:sz w:val="17"/>
          <w:szCs w:val="17"/>
        </w:rPr>
        <w:t>Elaborado por:</w:t>
      </w:r>
      <w:r w:rsidRPr="00B21022">
        <w:rPr>
          <w:rFonts w:ascii="Arial" w:hAnsi="Arial" w:cs="Arial"/>
          <w:sz w:val="17"/>
          <w:szCs w:val="17"/>
        </w:rPr>
        <w:t xml:space="preserve"> Katherine Loor Valeriano</w:t>
      </w:r>
    </w:p>
    <w:p w:rsidR="00060299" w:rsidRDefault="00060299" w:rsidP="00B21022">
      <w:pPr>
        <w:spacing w:line="480" w:lineRule="auto"/>
        <w:ind w:left="851"/>
        <w:jc w:val="both"/>
        <w:rPr>
          <w:rFonts w:ascii="Arial" w:hAnsi="Arial" w:cs="Arial"/>
        </w:rPr>
      </w:pPr>
    </w:p>
    <w:p w:rsidR="00060299" w:rsidRPr="007052CB" w:rsidRDefault="00060299" w:rsidP="00B21022">
      <w:pPr>
        <w:spacing w:line="480" w:lineRule="auto"/>
        <w:ind w:left="851"/>
        <w:jc w:val="both"/>
        <w:rPr>
          <w:rFonts w:ascii="Arial" w:hAnsi="Arial" w:cs="Arial"/>
          <w:i/>
        </w:rPr>
      </w:pPr>
      <w:r>
        <w:rPr>
          <w:rFonts w:ascii="Arial" w:hAnsi="Arial" w:cs="Arial"/>
        </w:rPr>
        <w:t xml:space="preserve">Si analizamos la tasa del área de residencia para una determinada etnia, tenemos que en el caso de los que se identificaron como indígenas 480.40 inmigrantes por cada 1000 inmigrantes indígenas residen en el área urbana y 519.60 extranjeros por cada 1000 inmigrantes extranjeros que se autoidentifican como indígenas viven en el área rural; además como se muestra en la </w:t>
      </w:r>
      <w:r>
        <w:rPr>
          <w:rFonts w:ascii="Arial" w:hAnsi="Arial" w:cs="Arial"/>
          <w:i/>
        </w:rPr>
        <w:t>Figura 3.22</w:t>
      </w:r>
      <w:r>
        <w:rPr>
          <w:rFonts w:ascii="Arial" w:hAnsi="Arial" w:cs="Arial"/>
        </w:rPr>
        <w:t xml:space="preserve">, son los únicos que en su mayoría residen en el área rural. Por otra parte, quienes se autoidentifican como afrodescendientes, 770.74 de ellos por cada 1000 residen en el área urbana y 229.26 por cada 1000 residen en el área rural; mientras que los que se identifican como negros, hay 738.16 inmigrantes por cada 1000 negros que viven en una zona urbanizada y 261.84 por cada 1000 que residen en el área rural. De los que se declararon mulatos hay 817.85 inmigrantes mulatos que residen en el área urbana por cada 1000 mulatos </w:t>
      </w:r>
      <w:r>
        <w:rPr>
          <w:rFonts w:ascii="Arial" w:hAnsi="Arial" w:cs="Arial"/>
        </w:rPr>
        <w:lastRenderedPageBreak/>
        <w:t xml:space="preserve">extranjeros que viven en Ecuador. También existe una pequeña cantidad de inmigrantes extranjeros que se autoidentificaron étnicamente como montubios (0.58% del total de extranjeros), de éstos hay 593.60 que residen en el área urbana por cada 1000 extranjeros montubios y 406.40 extranjeros montubios que viven en el área rural por cada 1000 extranjeros residentes en el país que se identificaron como montubios. Para más detalles </w:t>
      </w:r>
      <w:r>
        <w:rPr>
          <w:rFonts w:ascii="Arial" w:hAnsi="Arial" w:cs="Arial"/>
          <w:i/>
        </w:rPr>
        <w:t>véase Figura 3.22.</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B21022">
        <w:trPr>
          <w:trHeight w:val="4252"/>
          <w:jc w:val="right"/>
        </w:trPr>
        <w:tc>
          <w:tcPr>
            <w:tcW w:w="7497" w:type="dxa"/>
          </w:tcPr>
          <w:p w:rsidR="00060299" w:rsidRDefault="00060299" w:rsidP="003B05B6">
            <w:pPr>
              <w:rPr>
                <w:rFonts w:ascii="Arial" w:hAnsi="Arial" w:cs="Arial"/>
                <w:b/>
                <w:sz w:val="16"/>
                <w:szCs w:val="16"/>
              </w:rPr>
            </w:pPr>
          </w:p>
          <w:p w:rsidR="00B03541" w:rsidRPr="00B03541" w:rsidRDefault="00B03541" w:rsidP="00B03541">
            <w:pPr>
              <w:pStyle w:val="Epgrafe"/>
              <w:rPr>
                <w:rFonts w:ascii="Arial" w:hAnsi="Arial" w:cs="Arial"/>
                <w:bCs w:val="0"/>
                <w:color w:val="auto"/>
                <w:sz w:val="16"/>
                <w:szCs w:val="16"/>
              </w:rPr>
            </w:pPr>
            <w:bookmarkStart w:id="459" w:name="_Toc341043421"/>
            <w:r>
              <w:rPr>
                <w:rFonts w:ascii="Arial" w:hAnsi="Arial" w:cs="Arial"/>
                <w:bCs w:val="0"/>
                <w:color w:val="auto"/>
                <w:sz w:val="16"/>
                <w:szCs w:val="16"/>
              </w:rPr>
              <w:t>Figura 3.</w:t>
            </w:r>
            <w:r w:rsidR="00990535" w:rsidRPr="00B03541">
              <w:rPr>
                <w:rFonts w:ascii="Arial" w:hAnsi="Arial" w:cs="Arial"/>
                <w:bCs w:val="0"/>
                <w:color w:val="auto"/>
                <w:sz w:val="16"/>
                <w:szCs w:val="16"/>
              </w:rPr>
              <w:fldChar w:fldCharType="begin"/>
            </w:r>
            <w:r w:rsidRPr="00B03541">
              <w:rPr>
                <w:rFonts w:ascii="Arial" w:hAnsi="Arial" w:cs="Arial"/>
                <w:bCs w:val="0"/>
                <w:color w:val="auto"/>
                <w:sz w:val="16"/>
                <w:szCs w:val="16"/>
              </w:rPr>
              <w:instrText xml:space="preserve"> SEQ Figura_3. \* ARABIC </w:instrText>
            </w:r>
            <w:r w:rsidR="00990535" w:rsidRPr="00B03541">
              <w:rPr>
                <w:rFonts w:ascii="Arial" w:hAnsi="Arial" w:cs="Arial"/>
                <w:bCs w:val="0"/>
                <w:color w:val="auto"/>
                <w:sz w:val="16"/>
                <w:szCs w:val="16"/>
              </w:rPr>
              <w:fldChar w:fldCharType="separate"/>
            </w:r>
            <w:r w:rsidR="00A242E0">
              <w:rPr>
                <w:rFonts w:ascii="Arial" w:hAnsi="Arial" w:cs="Arial"/>
                <w:bCs w:val="0"/>
                <w:noProof/>
                <w:color w:val="auto"/>
                <w:sz w:val="16"/>
                <w:szCs w:val="16"/>
              </w:rPr>
              <w:t>22</w:t>
            </w:r>
            <w:bookmarkEnd w:id="459"/>
            <w:r w:rsidR="00990535" w:rsidRPr="00B03541">
              <w:rPr>
                <w:rFonts w:ascii="Arial" w:hAnsi="Arial" w:cs="Arial"/>
                <w:bCs w:val="0"/>
                <w:color w:val="auto"/>
                <w:sz w:val="16"/>
                <w:szCs w:val="16"/>
              </w:rPr>
              <w:fldChar w:fldCharType="end"/>
            </w:r>
          </w:p>
          <w:p w:rsidR="00060299" w:rsidRDefault="00B21022" w:rsidP="003B05B6">
            <w:pPr>
              <w:rPr>
                <w:rFonts w:ascii="Arial" w:hAnsi="Arial" w:cs="Arial"/>
                <w:i/>
                <w:sz w:val="16"/>
                <w:szCs w:val="16"/>
              </w:rPr>
            </w:pPr>
            <w:r>
              <w:rPr>
                <w:rFonts w:ascii="Arial" w:hAnsi="Arial" w:cs="Arial"/>
                <w:b/>
                <w:i/>
                <w:sz w:val="16"/>
                <w:szCs w:val="16"/>
              </w:rPr>
              <w:t xml:space="preserve">Ecuador 2010: </w:t>
            </w:r>
            <w:r w:rsidR="00060299" w:rsidRPr="00F44C12">
              <w:rPr>
                <w:rFonts w:ascii="Arial" w:hAnsi="Arial" w:cs="Arial"/>
                <w:i/>
                <w:sz w:val="16"/>
                <w:szCs w:val="16"/>
              </w:rPr>
              <w:t xml:space="preserve">Tasa de </w:t>
            </w:r>
            <w:r w:rsidR="00060299">
              <w:rPr>
                <w:rFonts w:ascii="Arial" w:hAnsi="Arial" w:cs="Arial"/>
                <w:i/>
                <w:sz w:val="16"/>
                <w:szCs w:val="16"/>
              </w:rPr>
              <w:t>Área de residencia dado que se conoce la autoidentificación étnica</w:t>
            </w:r>
          </w:p>
          <w:p w:rsidR="00060299" w:rsidRPr="0078148C" w:rsidRDefault="00B03541" w:rsidP="003B05B6">
            <w:pPr>
              <w:rPr>
                <w:rFonts w:ascii="Arial" w:hAnsi="Arial" w:cs="Arial"/>
                <w:i/>
                <w:sz w:val="16"/>
                <w:szCs w:val="16"/>
              </w:rPr>
            </w:pPr>
            <w:r>
              <w:rPr>
                <w:noProof/>
                <w:lang w:eastAsia="es-EC"/>
              </w:rPr>
              <w:drawing>
                <wp:inline distT="0" distB="0" distL="0" distR="0">
                  <wp:extent cx="4600575" cy="2352675"/>
                  <wp:effectExtent l="0" t="0" r="0" b="0"/>
                  <wp:docPr id="298" name="Gráfico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bl>
    <w:p w:rsidR="00060299" w:rsidRPr="00B21022" w:rsidRDefault="00060299" w:rsidP="00B21022">
      <w:pPr>
        <w:pStyle w:val="Prrafodelista"/>
        <w:spacing w:line="276" w:lineRule="auto"/>
        <w:ind w:left="851"/>
        <w:jc w:val="both"/>
        <w:rPr>
          <w:rFonts w:ascii="Arial" w:hAnsi="Arial" w:cs="Arial"/>
          <w:sz w:val="17"/>
          <w:szCs w:val="17"/>
        </w:rPr>
      </w:pPr>
    </w:p>
    <w:p w:rsidR="00060299" w:rsidRPr="00B21022" w:rsidRDefault="00060299" w:rsidP="00B21022">
      <w:pPr>
        <w:pStyle w:val="Prrafodelista"/>
        <w:spacing w:line="276" w:lineRule="auto"/>
        <w:ind w:left="851"/>
        <w:jc w:val="both"/>
        <w:rPr>
          <w:rFonts w:ascii="Arial" w:hAnsi="Arial" w:cs="Arial"/>
          <w:sz w:val="17"/>
          <w:szCs w:val="17"/>
        </w:rPr>
      </w:pPr>
      <w:r w:rsidRPr="00B21022">
        <w:rPr>
          <w:rFonts w:ascii="Arial" w:hAnsi="Arial" w:cs="Arial"/>
          <w:b/>
          <w:i/>
          <w:sz w:val="17"/>
          <w:szCs w:val="17"/>
        </w:rPr>
        <w:t>Fuente:</w:t>
      </w:r>
      <w:r w:rsidRPr="00B21022">
        <w:rPr>
          <w:rFonts w:ascii="Arial" w:hAnsi="Arial" w:cs="Arial"/>
          <w:sz w:val="17"/>
          <w:szCs w:val="17"/>
        </w:rPr>
        <w:t xml:space="preserve"> </w:t>
      </w:r>
      <w:r w:rsidRPr="00B21022">
        <w:rPr>
          <w:rFonts w:ascii="Arial" w:hAnsi="Arial" w:cs="Arial"/>
          <w:b/>
          <w:sz w:val="17"/>
          <w:szCs w:val="17"/>
        </w:rPr>
        <w:t xml:space="preserve">INEC </w:t>
      </w:r>
      <w:r w:rsidRPr="00B21022">
        <w:rPr>
          <w:rFonts w:ascii="Arial" w:hAnsi="Arial" w:cs="Arial"/>
          <w:sz w:val="17"/>
          <w:szCs w:val="17"/>
        </w:rPr>
        <w:t>(2010), Base de Datos del VII Censo de Población y VI de Vivienda.</w:t>
      </w:r>
    </w:p>
    <w:p w:rsidR="00060299" w:rsidRPr="00B21022" w:rsidRDefault="00060299" w:rsidP="00B21022">
      <w:pPr>
        <w:pStyle w:val="Prrafodelista"/>
        <w:spacing w:line="276" w:lineRule="auto"/>
        <w:ind w:left="851"/>
        <w:jc w:val="both"/>
        <w:rPr>
          <w:rFonts w:ascii="Arial" w:hAnsi="Arial" w:cs="Arial"/>
          <w:sz w:val="17"/>
          <w:szCs w:val="17"/>
        </w:rPr>
      </w:pPr>
      <w:r w:rsidRPr="00B21022">
        <w:rPr>
          <w:rFonts w:ascii="Arial" w:hAnsi="Arial" w:cs="Arial"/>
          <w:b/>
          <w:i/>
          <w:sz w:val="17"/>
          <w:szCs w:val="17"/>
        </w:rPr>
        <w:t>Elaborado por:</w:t>
      </w:r>
      <w:r w:rsidRPr="00B21022">
        <w:rPr>
          <w:rFonts w:ascii="Arial" w:hAnsi="Arial" w:cs="Arial"/>
          <w:sz w:val="17"/>
          <w:szCs w:val="17"/>
        </w:rPr>
        <w:t xml:space="preserve"> Katherine Loor Valeriano</w:t>
      </w:r>
    </w:p>
    <w:p w:rsidR="00060299" w:rsidRDefault="00060299" w:rsidP="00B21022">
      <w:pPr>
        <w:pStyle w:val="Prrafodelista"/>
        <w:spacing w:line="480" w:lineRule="auto"/>
        <w:ind w:left="851"/>
        <w:jc w:val="both"/>
        <w:rPr>
          <w:rFonts w:ascii="Arial" w:hAnsi="Arial" w:cs="Arial"/>
        </w:rPr>
      </w:pPr>
    </w:p>
    <w:p w:rsidR="00060299" w:rsidRPr="004A44F5" w:rsidRDefault="00060299" w:rsidP="00B21022">
      <w:pPr>
        <w:pStyle w:val="TesisTitulo1"/>
        <w:ind w:left="993" w:hanging="709"/>
      </w:pPr>
      <w:bookmarkStart w:id="460" w:name="_Toc335850606"/>
      <w:bookmarkStart w:id="461" w:name="_Toc341040652"/>
      <w:r>
        <w:t>Analfabetismo Digital</w:t>
      </w:r>
      <w:bookmarkEnd w:id="460"/>
      <w:bookmarkEnd w:id="461"/>
    </w:p>
    <w:p w:rsidR="00060299" w:rsidRPr="00667D39" w:rsidRDefault="00060299" w:rsidP="00B21022">
      <w:pPr>
        <w:pStyle w:val="Prrafodelista"/>
        <w:spacing w:line="480" w:lineRule="auto"/>
        <w:ind w:left="851"/>
        <w:jc w:val="both"/>
        <w:rPr>
          <w:rFonts w:ascii="Arial" w:hAnsi="Arial" w:cs="Arial"/>
          <w:i/>
        </w:rPr>
      </w:pPr>
      <w:r>
        <w:rPr>
          <w:rFonts w:ascii="Arial" w:hAnsi="Arial" w:cs="Arial"/>
        </w:rPr>
        <w:t xml:space="preserve">Para analizar el analfabetismo digital de los extranjeros residentes en el Ecuador, nos vamos a basar en las variables ¿En los últimos seis meses ha utilizado Teléfono celular?, ¿En los últimos seis meses ha utilizado Internet? o ¿En los últimos seis meses ha utilizado Computadora?, la mismas que fueron consultadas a la población mayor de 5 años durante el </w:t>
      </w:r>
      <w:r>
        <w:rPr>
          <w:rFonts w:ascii="Arial" w:hAnsi="Arial" w:cs="Arial"/>
        </w:rPr>
        <w:lastRenderedPageBreak/>
        <w:t>empadronamiento de la población llevado a cabo en Noviembre de 2010. En donde, tenemos que el 70.66% de los extranjeros residentes en el país ha utilizado teléfono celular en los últimos seis meses, el 26.24% no ha utilizado teléfono celular; y, el 3.09% no respondieron a esta pregunta</w:t>
      </w:r>
      <w:r w:rsidR="00F91C02">
        <w:rPr>
          <w:rFonts w:ascii="Arial" w:hAnsi="Arial" w:cs="Arial"/>
        </w:rPr>
        <w:t>;</w:t>
      </w:r>
      <w:r>
        <w:rPr>
          <w:rFonts w:ascii="Arial" w:hAnsi="Arial" w:cs="Arial"/>
        </w:rPr>
        <w:t xml:space="preserve"> </w:t>
      </w:r>
      <w:r w:rsidR="00F91C02">
        <w:rPr>
          <w:rFonts w:ascii="Arial" w:hAnsi="Arial" w:cs="Arial"/>
        </w:rPr>
        <w:t>m</w:t>
      </w:r>
      <w:r>
        <w:rPr>
          <w:rFonts w:ascii="Arial" w:hAnsi="Arial" w:cs="Arial"/>
        </w:rPr>
        <w:t xml:space="preserve">ientras que el 47.03% ha utilizado Internet, un porcentaje bastante cercano (46.22%) en cambio no ha utilizado Internet; y, el 6.75% son datos ignorados (falta de respuesta). Además, el 50.83% ha utilizado una computadora, el 42.60% no ha utilizado un computador; y, el 6.57% por su parte no respondió a esta pregunta. </w:t>
      </w:r>
      <w:r>
        <w:rPr>
          <w:rFonts w:ascii="Arial" w:hAnsi="Arial" w:cs="Arial"/>
          <w:i/>
        </w:rPr>
        <w:t>Véase Figura 3.23.</w:t>
      </w:r>
    </w:p>
    <w:tbl>
      <w:tblPr>
        <w:tblStyle w:val="Tablaconcuadrcula"/>
        <w:tblW w:w="7355" w:type="dxa"/>
        <w:jc w:val="right"/>
        <w:tblInd w:w="1101"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63"/>
      </w:tblGrid>
      <w:tr w:rsidR="00060299" w:rsidRPr="00840530" w:rsidTr="00C76EF7">
        <w:trPr>
          <w:trHeight w:val="4025"/>
          <w:jc w:val="right"/>
        </w:trPr>
        <w:tc>
          <w:tcPr>
            <w:tcW w:w="7355" w:type="dxa"/>
          </w:tcPr>
          <w:p w:rsidR="00060299" w:rsidRDefault="00060299" w:rsidP="003B05B6">
            <w:pPr>
              <w:rPr>
                <w:rFonts w:ascii="Arial" w:hAnsi="Arial" w:cs="Arial"/>
                <w:b/>
                <w:sz w:val="16"/>
                <w:szCs w:val="16"/>
              </w:rPr>
            </w:pPr>
          </w:p>
          <w:p w:rsidR="00F91E1C" w:rsidRPr="00F91E1C" w:rsidRDefault="00F91E1C" w:rsidP="00F91E1C">
            <w:pPr>
              <w:pStyle w:val="Epgrafe"/>
              <w:rPr>
                <w:rFonts w:ascii="Arial" w:hAnsi="Arial" w:cs="Arial"/>
                <w:bCs w:val="0"/>
                <w:color w:val="auto"/>
                <w:sz w:val="16"/>
                <w:szCs w:val="16"/>
              </w:rPr>
            </w:pPr>
            <w:bookmarkStart w:id="462" w:name="_Toc341043422"/>
            <w:r>
              <w:rPr>
                <w:rFonts w:ascii="Arial" w:hAnsi="Arial" w:cs="Arial"/>
                <w:bCs w:val="0"/>
                <w:color w:val="auto"/>
                <w:sz w:val="16"/>
                <w:szCs w:val="16"/>
              </w:rPr>
              <w:t>Figura 3.</w:t>
            </w:r>
            <w:r w:rsidR="00990535" w:rsidRPr="00F91E1C">
              <w:rPr>
                <w:rFonts w:ascii="Arial" w:hAnsi="Arial" w:cs="Arial"/>
                <w:bCs w:val="0"/>
                <w:color w:val="auto"/>
                <w:sz w:val="16"/>
                <w:szCs w:val="16"/>
              </w:rPr>
              <w:fldChar w:fldCharType="begin"/>
            </w:r>
            <w:r w:rsidRPr="00F91E1C">
              <w:rPr>
                <w:rFonts w:ascii="Arial" w:hAnsi="Arial" w:cs="Arial"/>
                <w:bCs w:val="0"/>
                <w:color w:val="auto"/>
                <w:sz w:val="16"/>
                <w:szCs w:val="16"/>
              </w:rPr>
              <w:instrText xml:space="preserve"> SEQ Figura_3. \* ARABIC </w:instrText>
            </w:r>
            <w:r w:rsidR="00990535" w:rsidRPr="00F91E1C">
              <w:rPr>
                <w:rFonts w:ascii="Arial" w:hAnsi="Arial" w:cs="Arial"/>
                <w:bCs w:val="0"/>
                <w:color w:val="auto"/>
                <w:sz w:val="16"/>
                <w:szCs w:val="16"/>
              </w:rPr>
              <w:fldChar w:fldCharType="separate"/>
            </w:r>
            <w:r w:rsidR="00A242E0">
              <w:rPr>
                <w:rFonts w:ascii="Arial" w:hAnsi="Arial" w:cs="Arial"/>
                <w:bCs w:val="0"/>
                <w:noProof/>
                <w:color w:val="auto"/>
                <w:sz w:val="16"/>
                <w:szCs w:val="16"/>
              </w:rPr>
              <w:t>23</w:t>
            </w:r>
            <w:bookmarkEnd w:id="462"/>
            <w:r w:rsidR="00990535" w:rsidRPr="00F91E1C">
              <w:rPr>
                <w:rFonts w:ascii="Arial" w:hAnsi="Arial" w:cs="Arial"/>
                <w:bCs w:val="0"/>
                <w:color w:val="auto"/>
                <w:sz w:val="16"/>
                <w:szCs w:val="16"/>
              </w:rPr>
              <w:fldChar w:fldCharType="end"/>
            </w:r>
          </w:p>
          <w:p w:rsidR="00C76EF7" w:rsidRDefault="00B21022"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 xml:space="preserve">Frecuencia Relativa de la Población </w:t>
            </w:r>
            <w:r w:rsidR="00C76EF7">
              <w:rPr>
                <w:rFonts w:ascii="Arial" w:hAnsi="Arial" w:cs="Arial"/>
                <w:i/>
                <w:sz w:val="16"/>
                <w:szCs w:val="16"/>
              </w:rPr>
              <w:t xml:space="preserve">extranjera </w:t>
            </w:r>
            <w:r w:rsidR="00060299">
              <w:rPr>
                <w:rFonts w:ascii="Arial" w:hAnsi="Arial" w:cs="Arial"/>
                <w:i/>
                <w:sz w:val="16"/>
                <w:szCs w:val="16"/>
              </w:rPr>
              <w:t xml:space="preserve">que ha utilizado </w:t>
            </w:r>
          </w:p>
          <w:p w:rsidR="00060299" w:rsidRDefault="00060299" w:rsidP="003B05B6">
            <w:pPr>
              <w:rPr>
                <w:rFonts w:ascii="Arial" w:hAnsi="Arial" w:cs="Arial"/>
                <w:i/>
                <w:sz w:val="16"/>
                <w:szCs w:val="16"/>
              </w:rPr>
            </w:pPr>
            <w:r>
              <w:rPr>
                <w:rFonts w:ascii="Arial" w:hAnsi="Arial" w:cs="Arial"/>
                <w:i/>
                <w:sz w:val="16"/>
                <w:szCs w:val="16"/>
              </w:rPr>
              <w:t>Teléfono Celular, Internet o Computadora en los últimos seis meses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441"/>
              <w:gridCol w:w="2441"/>
              <w:gridCol w:w="2441"/>
            </w:tblGrid>
            <w:tr w:rsidR="00060299" w:rsidTr="00C76EF7">
              <w:trPr>
                <w:jc w:val="center"/>
              </w:trPr>
              <w:tc>
                <w:tcPr>
                  <w:tcW w:w="2494" w:type="dxa"/>
                </w:tcPr>
                <w:p w:rsidR="00060299" w:rsidRDefault="00060299" w:rsidP="003B05B6">
                  <w:pPr>
                    <w:rPr>
                      <w:rFonts w:ascii="Arial" w:hAnsi="Arial" w:cs="Arial"/>
                      <w:i/>
                      <w:sz w:val="16"/>
                      <w:szCs w:val="16"/>
                    </w:rPr>
                  </w:pPr>
                </w:p>
                <w:p w:rsidR="00060299" w:rsidRDefault="00060299" w:rsidP="003B05B6">
                  <w:pPr>
                    <w:rPr>
                      <w:rFonts w:ascii="Arial" w:hAnsi="Arial" w:cs="Arial"/>
                      <w:i/>
                      <w:sz w:val="16"/>
                      <w:szCs w:val="16"/>
                    </w:rPr>
                  </w:pPr>
                  <w:r>
                    <w:rPr>
                      <w:rFonts w:ascii="Arial" w:hAnsi="Arial" w:cs="Arial"/>
                      <w:i/>
                      <w:sz w:val="16"/>
                      <w:szCs w:val="16"/>
                    </w:rPr>
                    <w:t>“</w:t>
                  </w:r>
                  <w:r>
                    <w:rPr>
                      <w:rFonts w:ascii="Arial" w:hAnsi="Arial" w:cs="Arial"/>
                      <w:b/>
                      <w:i/>
                      <w:sz w:val="16"/>
                      <w:szCs w:val="16"/>
                    </w:rPr>
                    <w:t>Teléfono Celular</w:t>
                  </w:r>
                  <w:r>
                    <w:rPr>
                      <w:rFonts w:ascii="Arial" w:hAnsi="Arial" w:cs="Arial"/>
                      <w:i/>
                      <w:sz w:val="16"/>
                      <w:szCs w:val="16"/>
                    </w:rPr>
                    <w:t>”</w:t>
                  </w:r>
                </w:p>
                <w:p w:rsidR="00060299" w:rsidRDefault="00060299" w:rsidP="003B05B6">
                  <w:pPr>
                    <w:rPr>
                      <w:rFonts w:ascii="Arial" w:hAnsi="Arial" w:cs="Arial"/>
                      <w:i/>
                      <w:sz w:val="16"/>
                      <w:szCs w:val="16"/>
                    </w:rPr>
                  </w:pPr>
                  <w:r w:rsidRPr="00C76EF7">
                    <w:rPr>
                      <w:noProof/>
                      <w:shd w:val="clear" w:color="auto" w:fill="FFFFFF" w:themeFill="background1"/>
                      <w:lang w:eastAsia="es-EC"/>
                    </w:rPr>
                    <w:drawing>
                      <wp:inline distT="0" distB="0" distL="0" distR="0">
                        <wp:extent cx="1440000" cy="1810800"/>
                        <wp:effectExtent l="0" t="0" r="0" b="0"/>
                        <wp:docPr id="299" name="Gráfico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2494" w:type="dxa"/>
                </w:tcPr>
                <w:p w:rsidR="00060299" w:rsidRDefault="00060299" w:rsidP="003B05B6">
                  <w:pPr>
                    <w:rPr>
                      <w:rFonts w:ascii="Arial" w:hAnsi="Arial" w:cs="Arial"/>
                      <w:i/>
                      <w:sz w:val="16"/>
                      <w:szCs w:val="16"/>
                    </w:rPr>
                  </w:pPr>
                </w:p>
                <w:p w:rsidR="00060299" w:rsidRDefault="00060299" w:rsidP="003B05B6">
                  <w:pPr>
                    <w:rPr>
                      <w:rFonts w:ascii="Arial" w:hAnsi="Arial" w:cs="Arial"/>
                      <w:i/>
                      <w:sz w:val="16"/>
                      <w:szCs w:val="16"/>
                    </w:rPr>
                  </w:pPr>
                  <w:r>
                    <w:rPr>
                      <w:rFonts w:ascii="Arial" w:hAnsi="Arial" w:cs="Arial"/>
                      <w:i/>
                      <w:sz w:val="16"/>
                      <w:szCs w:val="16"/>
                    </w:rPr>
                    <w:t>“</w:t>
                  </w:r>
                  <w:r>
                    <w:rPr>
                      <w:rFonts w:ascii="Arial" w:hAnsi="Arial" w:cs="Arial"/>
                      <w:b/>
                      <w:i/>
                      <w:sz w:val="16"/>
                      <w:szCs w:val="16"/>
                    </w:rPr>
                    <w:t>Internet</w:t>
                  </w:r>
                  <w:r>
                    <w:rPr>
                      <w:rFonts w:ascii="Arial" w:hAnsi="Arial" w:cs="Arial"/>
                      <w:i/>
                      <w:sz w:val="16"/>
                      <w:szCs w:val="16"/>
                    </w:rPr>
                    <w:t>”</w:t>
                  </w:r>
                </w:p>
                <w:p w:rsidR="00060299" w:rsidRDefault="00060299" w:rsidP="003B05B6">
                  <w:pPr>
                    <w:rPr>
                      <w:rFonts w:ascii="Arial" w:hAnsi="Arial" w:cs="Arial"/>
                      <w:i/>
                      <w:sz w:val="16"/>
                      <w:szCs w:val="16"/>
                    </w:rPr>
                  </w:pPr>
                  <w:r>
                    <w:rPr>
                      <w:noProof/>
                      <w:lang w:eastAsia="es-EC"/>
                    </w:rPr>
                    <w:drawing>
                      <wp:inline distT="0" distB="0" distL="0" distR="0">
                        <wp:extent cx="1440000" cy="1810800"/>
                        <wp:effectExtent l="0" t="0" r="0" b="0"/>
                        <wp:docPr id="300" name="Gráfico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2494" w:type="dxa"/>
                </w:tcPr>
                <w:p w:rsidR="00060299" w:rsidRDefault="00060299" w:rsidP="003B05B6">
                  <w:pPr>
                    <w:rPr>
                      <w:rFonts w:ascii="Arial" w:hAnsi="Arial" w:cs="Arial"/>
                      <w:i/>
                      <w:sz w:val="16"/>
                      <w:szCs w:val="16"/>
                    </w:rPr>
                  </w:pPr>
                </w:p>
                <w:p w:rsidR="00060299" w:rsidRDefault="00060299" w:rsidP="003B05B6">
                  <w:pPr>
                    <w:rPr>
                      <w:rFonts w:ascii="Arial" w:hAnsi="Arial" w:cs="Arial"/>
                      <w:i/>
                      <w:sz w:val="16"/>
                      <w:szCs w:val="16"/>
                    </w:rPr>
                  </w:pPr>
                  <w:r>
                    <w:rPr>
                      <w:rFonts w:ascii="Arial" w:hAnsi="Arial" w:cs="Arial"/>
                      <w:i/>
                      <w:sz w:val="16"/>
                      <w:szCs w:val="16"/>
                    </w:rPr>
                    <w:t>“</w:t>
                  </w:r>
                  <w:r>
                    <w:rPr>
                      <w:rFonts w:ascii="Arial" w:hAnsi="Arial" w:cs="Arial"/>
                      <w:b/>
                      <w:i/>
                      <w:sz w:val="16"/>
                      <w:szCs w:val="16"/>
                    </w:rPr>
                    <w:t>Computadora</w:t>
                  </w:r>
                  <w:r>
                    <w:rPr>
                      <w:rFonts w:ascii="Arial" w:hAnsi="Arial" w:cs="Arial"/>
                      <w:i/>
                      <w:sz w:val="16"/>
                      <w:szCs w:val="16"/>
                    </w:rPr>
                    <w:t>”</w:t>
                  </w:r>
                </w:p>
                <w:p w:rsidR="00060299" w:rsidRDefault="00060299" w:rsidP="003B05B6">
                  <w:pPr>
                    <w:rPr>
                      <w:rFonts w:ascii="Arial" w:hAnsi="Arial" w:cs="Arial"/>
                      <w:i/>
                      <w:sz w:val="16"/>
                      <w:szCs w:val="16"/>
                    </w:rPr>
                  </w:pPr>
                  <w:r>
                    <w:rPr>
                      <w:noProof/>
                      <w:lang w:eastAsia="es-EC"/>
                    </w:rPr>
                    <w:drawing>
                      <wp:inline distT="0" distB="0" distL="0" distR="0">
                        <wp:extent cx="1440000" cy="1809750"/>
                        <wp:effectExtent l="0" t="0" r="0" b="0"/>
                        <wp:docPr id="301" name="Gráfico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rsidR="00060299" w:rsidRPr="0078148C" w:rsidRDefault="00060299" w:rsidP="003B05B6">
            <w:pPr>
              <w:rPr>
                <w:rFonts w:ascii="Arial" w:hAnsi="Arial" w:cs="Arial"/>
                <w:i/>
                <w:sz w:val="16"/>
                <w:szCs w:val="16"/>
              </w:rPr>
            </w:pPr>
          </w:p>
        </w:tc>
      </w:tr>
    </w:tbl>
    <w:p w:rsidR="00060299" w:rsidRPr="00C76EF7" w:rsidRDefault="00060299" w:rsidP="00C76EF7">
      <w:pPr>
        <w:pStyle w:val="Prrafodelista"/>
        <w:spacing w:line="276" w:lineRule="auto"/>
        <w:ind w:left="993"/>
        <w:jc w:val="both"/>
        <w:rPr>
          <w:rFonts w:ascii="Arial" w:hAnsi="Arial" w:cs="Arial"/>
          <w:sz w:val="17"/>
          <w:szCs w:val="17"/>
        </w:rPr>
      </w:pPr>
    </w:p>
    <w:p w:rsidR="00060299" w:rsidRPr="00C76EF7" w:rsidRDefault="00060299" w:rsidP="00C76EF7">
      <w:pPr>
        <w:pStyle w:val="Prrafodelista"/>
        <w:spacing w:line="276" w:lineRule="auto"/>
        <w:ind w:left="993"/>
        <w:jc w:val="both"/>
        <w:rPr>
          <w:rFonts w:ascii="Arial" w:hAnsi="Arial" w:cs="Arial"/>
          <w:sz w:val="17"/>
          <w:szCs w:val="17"/>
        </w:rPr>
      </w:pPr>
      <w:r w:rsidRPr="00C76EF7">
        <w:rPr>
          <w:rFonts w:ascii="Arial" w:hAnsi="Arial" w:cs="Arial"/>
          <w:b/>
          <w:i/>
          <w:sz w:val="17"/>
          <w:szCs w:val="17"/>
        </w:rPr>
        <w:t>Fuente:</w:t>
      </w:r>
      <w:r w:rsidRPr="00C76EF7">
        <w:rPr>
          <w:rFonts w:ascii="Arial" w:hAnsi="Arial" w:cs="Arial"/>
          <w:sz w:val="17"/>
          <w:szCs w:val="17"/>
        </w:rPr>
        <w:t xml:space="preserve"> </w:t>
      </w:r>
      <w:r w:rsidRPr="00C76EF7">
        <w:rPr>
          <w:rFonts w:ascii="Arial" w:hAnsi="Arial" w:cs="Arial"/>
          <w:b/>
          <w:sz w:val="17"/>
          <w:szCs w:val="17"/>
        </w:rPr>
        <w:t xml:space="preserve">INEC </w:t>
      </w:r>
      <w:r w:rsidRPr="00C76EF7">
        <w:rPr>
          <w:rFonts w:ascii="Arial" w:hAnsi="Arial" w:cs="Arial"/>
          <w:sz w:val="17"/>
          <w:szCs w:val="17"/>
        </w:rPr>
        <w:t>(2010), Base de Datos del VII Censo de Población y VI de Vivienda.</w:t>
      </w:r>
    </w:p>
    <w:p w:rsidR="00060299" w:rsidRPr="00C76EF7" w:rsidRDefault="00060299" w:rsidP="00C76EF7">
      <w:pPr>
        <w:pStyle w:val="Prrafodelista"/>
        <w:spacing w:line="276" w:lineRule="auto"/>
        <w:ind w:left="993"/>
        <w:jc w:val="both"/>
        <w:rPr>
          <w:rFonts w:ascii="Arial" w:hAnsi="Arial" w:cs="Arial"/>
          <w:sz w:val="17"/>
          <w:szCs w:val="17"/>
        </w:rPr>
      </w:pPr>
      <w:r w:rsidRPr="00C76EF7">
        <w:rPr>
          <w:rFonts w:ascii="Arial" w:hAnsi="Arial" w:cs="Arial"/>
          <w:b/>
          <w:i/>
          <w:sz w:val="17"/>
          <w:szCs w:val="17"/>
        </w:rPr>
        <w:t>Elaborado por:</w:t>
      </w:r>
      <w:r w:rsidRPr="00C76EF7">
        <w:rPr>
          <w:rFonts w:ascii="Arial" w:hAnsi="Arial" w:cs="Arial"/>
          <w:sz w:val="17"/>
          <w:szCs w:val="17"/>
        </w:rPr>
        <w:t xml:space="preserve"> Katherine Loor Valeriano</w:t>
      </w:r>
    </w:p>
    <w:p w:rsidR="00060299" w:rsidRDefault="00060299" w:rsidP="00C76EF7">
      <w:pPr>
        <w:pStyle w:val="Prrafodelista"/>
        <w:spacing w:line="480" w:lineRule="auto"/>
        <w:ind w:left="851"/>
        <w:jc w:val="both"/>
        <w:rPr>
          <w:rFonts w:ascii="Arial" w:hAnsi="Arial" w:cs="Arial"/>
        </w:rPr>
      </w:pPr>
    </w:p>
    <w:p w:rsidR="00060299" w:rsidRDefault="00060299" w:rsidP="00C76EF7">
      <w:pPr>
        <w:pStyle w:val="TesisTitulo2"/>
        <w:ind w:left="1701" w:hanging="850"/>
      </w:pPr>
      <w:bookmarkStart w:id="463" w:name="_Toc335850607"/>
      <w:bookmarkStart w:id="464" w:name="_Toc341040653"/>
      <w:r>
        <w:t>Ha utilizado Teléfono Celular</w:t>
      </w:r>
      <w:bookmarkEnd w:id="463"/>
      <w:bookmarkEnd w:id="464"/>
    </w:p>
    <w:p w:rsidR="00060299" w:rsidRDefault="00060299" w:rsidP="00C76EF7">
      <w:pPr>
        <w:pStyle w:val="Prrafodelista"/>
        <w:spacing w:line="480" w:lineRule="auto"/>
        <w:ind w:left="851"/>
        <w:jc w:val="both"/>
        <w:rPr>
          <w:rFonts w:ascii="Arial" w:hAnsi="Arial" w:cs="Arial"/>
        </w:rPr>
      </w:pPr>
      <w:r>
        <w:rPr>
          <w:rFonts w:ascii="Arial" w:hAnsi="Arial" w:cs="Arial"/>
        </w:rPr>
        <w:t xml:space="preserve">Así como se mencionó el porcentaje de la población extranjera residente en Ecuador que ha utilizado Teléfono Celular en los últimos seis meses, ahora vamos a considerar esta misma característica versus los grupos de edad, dichos resultados se observan en la </w:t>
      </w:r>
      <w:r>
        <w:rPr>
          <w:rFonts w:ascii="Arial" w:hAnsi="Arial" w:cs="Arial"/>
          <w:i/>
        </w:rPr>
        <w:t>Figura 3.24</w:t>
      </w:r>
      <w:r>
        <w:rPr>
          <w:rFonts w:ascii="Arial" w:hAnsi="Arial" w:cs="Arial"/>
        </w:rPr>
        <w:t xml:space="preserve">; en donde, tenemos que </w:t>
      </w:r>
      <w:r>
        <w:rPr>
          <w:rFonts w:ascii="Arial" w:hAnsi="Arial" w:cs="Arial"/>
        </w:rPr>
        <w:lastRenderedPageBreak/>
        <w:t xml:space="preserve">los extranjeros con edades entre 15 y 20 años el 76.69% ha utilizado el Teléfono celular en los últimos seis meses, mientras que hay un 21.12% que no lo ha utilizado y el 2.19% no respondió esta pregunta. </w:t>
      </w:r>
      <w:r w:rsidR="00F91C02">
        <w:rPr>
          <w:rFonts w:ascii="Arial" w:hAnsi="Arial" w:cs="Arial"/>
        </w:rPr>
        <w:t>L</w:t>
      </w:r>
      <w:r>
        <w:rPr>
          <w:rFonts w:ascii="Arial" w:hAnsi="Arial" w:cs="Arial"/>
        </w:rPr>
        <w:t xml:space="preserve">os inmigrantes con edades entre 60 y 65 años, el 71.82% ha utilizado el celular, el 26.36% no lo ha utilizado y el 1.81% no respondió a esta pregunta. En general, en la figura se puede notar que a mayor edad es menor la proporción de extranjeros que han utilizado el teléfono celular en los últimos seis meses, en cambio la proporción de quienes no lo han utilizado empieza a aumentar a medida que aumenta la edad; cabe mencionar que el porcentaje de no respuestas varía entre 1.23% y 12.14%, este último valor que corresponde a la falta de respuesta para los extranjeros con edades entres 5 y 10 años.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C76EF7">
        <w:trPr>
          <w:trHeight w:val="4025"/>
          <w:jc w:val="right"/>
        </w:trPr>
        <w:tc>
          <w:tcPr>
            <w:tcW w:w="7497" w:type="dxa"/>
          </w:tcPr>
          <w:p w:rsidR="00060299" w:rsidRDefault="00060299" w:rsidP="003B05B6">
            <w:pPr>
              <w:rPr>
                <w:rFonts w:ascii="Arial" w:hAnsi="Arial" w:cs="Arial"/>
                <w:b/>
                <w:sz w:val="16"/>
                <w:szCs w:val="16"/>
              </w:rPr>
            </w:pPr>
          </w:p>
          <w:p w:rsidR="00F91E1C" w:rsidRPr="00F91E1C" w:rsidRDefault="00F91E1C" w:rsidP="00F91E1C">
            <w:pPr>
              <w:pStyle w:val="Epgrafe"/>
              <w:rPr>
                <w:rFonts w:ascii="Arial" w:hAnsi="Arial" w:cs="Arial"/>
                <w:bCs w:val="0"/>
                <w:color w:val="auto"/>
                <w:sz w:val="16"/>
                <w:szCs w:val="16"/>
              </w:rPr>
            </w:pPr>
            <w:bookmarkStart w:id="465" w:name="_Toc341043423"/>
            <w:r>
              <w:rPr>
                <w:rFonts w:ascii="Arial" w:hAnsi="Arial" w:cs="Arial"/>
                <w:bCs w:val="0"/>
                <w:color w:val="auto"/>
                <w:sz w:val="16"/>
                <w:szCs w:val="16"/>
              </w:rPr>
              <w:t>Figura 3.</w:t>
            </w:r>
            <w:r w:rsidR="00990535" w:rsidRPr="00F91E1C">
              <w:rPr>
                <w:rFonts w:ascii="Arial" w:hAnsi="Arial" w:cs="Arial"/>
                <w:bCs w:val="0"/>
                <w:color w:val="auto"/>
                <w:sz w:val="16"/>
                <w:szCs w:val="16"/>
              </w:rPr>
              <w:fldChar w:fldCharType="begin"/>
            </w:r>
            <w:r w:rsidRPr="00F91E1C">
              <w:rPr>
                <w:rFonts w:ascii="Arial" w:hAnsi="Arial" w:cs="Arial"/>
                <w:bCs w:val="0"/>
                <w:color w:val="auto"/>
                <w:sz w:val="16"/>
                <w:szCs w:val="16"/>
              </w:rPr>
              <w:instrText xml:space="preserve"> SEQ Figura_3. \* ARABIC </w:instrText>
            </w:r>
            <w:r w:rsidR="00990535" w:rsidRPr="00F91E1C">
              <w:rPr>
                <w:rFonts w:ascii="Arial" w:hAnsi="Arial" w:cs="Arial"/>
                <w:bCs w:val="0"/>
                <w:color w:val="auto"/>
                <w:sz w:val="16"/>
                <w:szCs w:val="16"/>
              </w:rPr>
              <w:fldChar w:fldCharType="separate"/>
            </w:r>
            <w:r w:rsidR="00A242E0">
              <w:rPr>
                <w:rFonts w:ascii="Arial" w:hAnsi="Arial" w:cs="Arial"/>
                <w:bCs w:val="0"/>
                <w:noProof/>
                <w:color w:val="auto"/>
                <w:sz w:val="16"/>
                <w:szCs w:val="16"/>
              </w:rPr>
              <w:t>24</w:t>
            </w:r>
            <w:bookmarkEnd w:id="465"/>
            <w:r w:rsidR="00990535" w:rsidRPr="00F91E1C">
              <w:rPr>
                <w:rFonts w:ascii="Arial" w:hAnsi="Arial" w:cs="Arial"/>
                <w:bCs w:val="0"/>
                <w:color w:val="auto"/>
                <w:sz w:val="16"/>
                <w:szCs w:val="16"/>
              </w:rPr>
              <w:fldChar w:fldCharType="end"/>
            </w:r>
          </w:p>
          <w:p w:rsidR="00060299" w:rsidRDefault="00C76EF7"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 xml:space="preserve">Proporción de la Población </w:t>
            </w:r>
            <w:r>
              <w:rPr>
                <w:rFonts w:ascii="Arial" w:hAnsi="Arial" w:cs="Arial"/>
                <w:i/>
                <w:sz w:val="16"/>
                <w:szCs w:val="16"/>
              </w:rPr>
              <w:t xml:space="preserve">extranjera </w:t>
            </w:r>
            <w:r w:rsidR="00060299">
              <w:rPr>
                <w:rFonts w:ascii="Arial" w:hAnsi="Arial" w:cs="Arial"/>
                <w:i/>
                <w:sz w:val="16"/>
                <w:szCs w:val="16"/>
              </w:rPr>
              <w:t xml:space="preserve">que ha utilizado Teléfono Celular en </w:t>
            </w:r>
          </w:p>
          <w:p w:rsidR="00060299" w:rsidRDefault="00060299" w:rsidP="003B05B6">
            <w:pPr>
              <w:rPr>
                <w:rFonts w:ascii="Arial" w:hAnsi="Arial" w:cs="Arial"/>
                <w:i/>
                <w:sz w:val="16"/>
                <w:szCs w:val="16"/>
              </w:rPr>
            </w:pPr>
            <w:r>
              <w:rPr>
                <w:rFonts w:ascii="Arial" w:hAnsi="Arial" w:cs="Arial"/>
                <w:i/>
                <w:sz w:val="16"/>
                <w:szCs w:val="16"/>
              </w:rPr>
              <w:t xml:space="preserve">los últimos seis meses por Grupos </w:t>
            </w:r>
            <w:r w:rsidR="00C76EF7">
              <w:rPr>
                <w:rFonts w:ascii="Arial" w:hAnsi="Arial" w:cs="Arial"/>
                <w:i/>
                <w:sz w:val="16"/>
                <w:szCs w:val="16"/>
              </w:rPr>
              <w:t>etarios</w:t>
            </w:r>
          </w:p>
          <w:p w:rsidR="00060299" w:rsidRPr="0078148C" w:rsidRDefault="00436907" w:rsidP="003B05B6">
            <w:pPr>
              <w:rPr>
                <w:rFonts w:ascii="Arial" w:hAnsi="Arial" w:cs="Arial"/>
                <w:i/>
                <w:sz w:val="16"/>
                <w:szCs w:val="16"/>
              </w:rPr>
            </w:pPr>
            <w:r>
              <w:rPr>
                <w:rFonts w:ascii="Arial" w:hAnsi="Arial" w:cs="Arial"/>
                <w:b/>
                <w:i/>
                <w:noProof/>
                <w:sz w:val="17"/>
                <w:szCs w:val="17"/>
                <w:lang w:eastAsia="es-EC"/>
              </w:rPr>
              <w:pict>
                <v:shape id="_x0000_s2115" type="#_x0000_t202" style="position:absolute;left:0;text-align:left;margin-left:189.3pt;margin-top:102.75pt;width:68.25pt;height:16.4pt;z-index:2518789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Pm9HgLgIAAFcEAAAOAAAAAAAAAAAAAAAAAC4CAABkcnMv&#10;ZTJvRG9jLnhtbFBLAQItABQABgAIAAAAIQD9LzLW2wAAAAUBAAAPAAAAAAAAAAAAAAAAAIgEAABk&#10;cnMvZG93bnJldi54bWxQSwUGAAAAAAQABADzAAAAkAUAAAAA&#10;" filled="f" stroked="f">
                  <v:textbox style="mso-fit-shape-to-text:t">
                    <w:txbxContent>
                      <w:p w:rsidR="006933DF" w:rsidRPr="00C76EF7" w:rsidRDefault="006933DF" w:rsidP="00C76EF7">
                        <w:pPr>
                          <w:rPr>
                            <w:rFonts w:ascii="Arial" w:hAnsi="Arial" w:cs="Arial"/>
                            <w:color w:val="D60093"/>
                            <w:sz w:val="16"/>
                            <w:szCs w:val="16"/>
                          </w:rPr>
                        </w:pPr>
                        <w:r w:rsidRPr="00C76EF7">
                          <w:rPr>
                            <w:rFonts w:ascii="Arial" w:hAnsi="Arial" w:cs="Arial"/>
                            <w:color w:val="D60093"/>
                            <w:sz w:val="16"/>
                            <w:szCs w:val="16"/>
                          </w:rPr>
                          <w:t>Se ignora</w:t>
                        </w:r>
                      </w:p>
                    </w:txbxContent>
                  </v:textbox>
                </v:shape>
              </w:pict>
            </w:r>
            <w:r>
              <w:rPr>
                <w:rFonts w:ascii="Arial" w:hAnsi="Arial" w:cs="Arial"/>
                <w:b/>
                <w:i/>
                <w:noProof/>
                <w:sz w:val="17"/>
                <w:szCs w:val="17"/>
                <w:lang w:eastAsia="es-EC"/>
              </w:rPr>
              <w:pict>
                <v:shape id="_x0000_s2118" type="#_x0000_t32" style="position:absolute;left:0;text-align:left;margin-left:229.5pt;margin-top:115.4pt;width:9.3pt;height:11.35pt;z-index:251881984" o:connectortype="straight" strokecolor="#d60093">
                  <v:stroke endarrow="block"/>
                </v:shape>
              </w:pict>
            </w:r>
            <w:r>
              <w:rPr>
                <w:rFonts w:ascii="Arial" w:hAnsi="Arial" w:cs="Arial"/>
                <w:b/>
                <w:i/>
                <w:noProof/>
                <w:sz w:val="17"/>
                <w:szCs w:val="17"/>
                <w:lang w:eastAsia="es-EC"/>
              </w:rPr>
              <w:pict>
                <v:shape id="_x0000_s2114" type="#_x0000_t202" style="position:absolute;left:0;text-align:left;margin-left:161.25pt;margin-top:74.35pt;width:68.25pt;height:16.4pt;z-index:25187788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Pm9HgLgIAAFcEAAAOAAAAAAAAAAAAAAAAAC4CAABkcnMv&#10;ZTJvRG9jLnhtbFBLAQItABQABgAIAAAAIQD9LzLW2wAAAAUBAAAPAAAAAAAAAAAAAAAAAIgEAABk&#10;cnMvZG93bnJldi54bWxQSwUGAAAAAAQABADzAAAAkAUAAAAA&#10;" filled="f" stroked="f">
                  <v:textbox style="mso-fit-shape-to-text:t">
                    <w:txbxContent>
                      <w:p w:rsidR="006933DF" w:rsidRPr="00C76EF7" w:rsidRDefault="006933DF" w:rsidP="00C76EF7">
                        <w:pPr>
                          <w:rPr>
                            <w:rFonts w:ascii="Arial" w:hAnsi="Arial" w:cs="Arial"/>
                            <w:color w:val="E36C0A" w:themeColor="accent6" w:themeShade="BF"/>
                            <w:sz w:val="16"/>
                            <w:szCs w:val="16"/>
                          </w:rPr>
                        </w:pPr>
                        <w:r w:rsidRPr="00C76EF7">
                          <w:rPr>
                            <w:rFonts w:ascii="Arial" w:hAnsi="Arial" w:cs="Arial"/>
                            <w:color w:val="E36C0A" w:themeColor="accent6" w:themeShade="BF"/>
                            <w:sz w:val="16"/>
                            <w:szCs w:val="16"/>
                          </w:rPr>
                          <w:t>No</w:t>
                        </w:r>
                      </w:p>
                    </w:txbxContent>
                  </v:textbox>
                </v:shape>
              </w:pict>
            </w:r>
            <w:r>
              <w:rPr>
                <w:rFonts w:ascii="Arial" w:hAnsi="Arial" w:cs="Arial"/>
                <w:b/>
                <w:i/>
                <w:noProof/>
                <w:sz w:val="17"/>
                <w:szCs w:val="17"/>
                <w:lang w:eastAsia="es-EC"/>
              </w:rPr>
              <w:pict>
                <v:shape id="_x0000_s2117" type="#_x0000_t32" style="position:absolute;left:0;text-align:left;margin-left:200.55pt;margin-top:85.5pt;width:12.75pt;height:14.25pt;z-index:251880960" o:connectortype="straight" strokecolor="#e36c0a [2409]">
                  <v:stroke endarrow="block"/>
                </v:shape>
              </w:pict>
            </w:r>
            <w:r>
              <w:rPr>
                <w:rFonts w:ascii="Arial" w:hAnsi="Arial" w:cs="Arial"/>
                <w:b/>
                <w:i/>
                <w:noProof/>
                <w:sz w:val="17"/>
                <w:szCs w:val="17"/>
                <w:lang w:eastAsia="es-EC"/>
              </w:rPr>
              <w:pict>
                <v:shape id="_x0000_s2116" type="#_x0000_t32" style="position:absolute;left:0;text-align:left;margin-left:189.75pt;margin-top:21.75pt;width:19.05pt;height:9.65pt;flip:x;z-index:251879936" o:connectortype="straight" strokecolor="#0070c0">
                  <v:stroke endarrow="block"/>
                </v:shape>
              </w:pict>
            </w:r>
            <w:r>
              <w:rPr>
                <w:noProof/>
              </w:rPr>
              <w:pict>
                <v:shape id="_x0000_s2113" type="#_x0000_t202" style="position:absolute;left:0;text-align:left;margin-left:178.5pt;margin-top:12.75pt;width:68.25pt;height:16.4pt;z-index:2518768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Pm9HgLgIAAFcEAAAOAAAAAAAAAAAAAAAAAC4CAABkcnMv&#10;ZTJvRG9jLnhtbFBLAQItABQABgAIAAAAIQD9LzLW2wAAAAUBAAAPAAAAAAAAAAAAAAAAAIgEAABk&#10;cnMvZG93bnJldi54bWxQSwUGAAAAAAQABADzAAAAkAUAAAAA&#10;" filled="f" stroked="f">
                  <v:textbox style="mso-fit-shape-to-text:t">
                    <w:txbxContent>
                      <w:p w:rsidR="006933DF" w:rsidRPr="00C76EF7" w:rsidRDefault="006933DF">
                        <w:pPr>
                          <w:rPr>
                            <w:rFonts w:ascii="Arial" w:hAnsi="Arial" w:cs="Arial"/>
                            <w:color w:val="0070C0"/>
                            <w:sz w:val="16"/>
                            <w:szCs w:val="16"/>
                          </w:rPr>
                        </w:pPr>
                        <w:r w:rsidRPr="00C76EF7">
                          <w:rPr>
                            <w:rFonts w:ascii="Arial" w:hAnsi="Arial" w:cs="Arial"/>
                            <w:color w:val="0070C0"/>
                            <w:sz w:val="16"/>
                            <w:szCs w:val="16"/>
                          </w:rPr>
                          <w:t>Sí</w:t>
                        </w:r>
                      </w:p>
                    </w:txbxContent>
                  </v:textbox>
                </v:shape>
              </w:pict>
            </w:r>
            <w:r w:rsidR="00060299">
              <w:rPr>
                <w:noProof/>
                <w:lang w:eastAsia="es-EC"/>
              </w:rPr>
              <w:drawing>
                <wp:inline distT="0" distB="0" distL="0" distR="0">
                  <wp:extent cx="4333875" cy="2181225"/>
                  <wp:effectExtent l="0" t="0" r="0" b="0"/>
                  <wp:docPr id="302" name="Gráfico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rsidR="00060299" w:rsidRPr="00C76EF7" w:rsidRDefault="00060299" w:rsidP="00C76EF7">
      <w:pPr>
        <w:pStyle w:val="Prrafodelista"/>
        <w:spacing w:line="276" w:lineRule="auto"/>
        <w:ind w:left="851"/>
        <w:jc w:val="both"/>
        <w:rPr>
          <w:rFonts w:ascii="Arial" w:hAnsi="Arial" w:cs="Arial"/>
          <w:sz w:val="17"/>
          <w:szCs w:val="17"/>
        </w:rPr>
      </w:pPr>
    </w:p>
    <w:p w:rsidR="00060299" w:rsidRPr="00C76EF7" w:rsidRDefault="00060299" w:rsidP="00C76EF7">
      <w:pPr>
        <w:pStyle w:val="Prrafodelista"/>
        <w:spacing w:line="276" w:lineRule="auto"/>
        <w:ind w:left="851"/>
        <w:jc w:val="both"/>
        <w:rPr>
          <w:rFonts w:ascii="Arial" w:hAnsi="Arial" w:cs="Arial"/>
          <w:sz w:val="17"/>
          <w:szCs w:val="17"/>
        </w:rPr>
      </w:pPr>
      <w:r w:rsidRPr="00C76EF7">
        <w:rPr>
          <w:rFonts w:ascii="Arial" w:hAnsi="Arial" w:cs="Arial"/>
          <w:b/>
          <w:i/>
          <w:sz w:val="17"/>
          <w:szCs w:val="17"/>
        </w:rPr>
        <w:t>Fuente:</w:t>
      </w:r>
      <w:r w:rsidRPr="00C76EF7">
        <w:rPr>
          <w:rFonts w:ascii="Arial" w:hAnsi="Arial" w:cs="Arial"/>
          <w:sz w:val="17"/>
          <w:szCs w:val="17"/>
        </w:rPr>
        <w:t xml:space="preserve"> </w:t>
      </w:r>
      <w:r w:rsidRPr="00C76EF7">
        <w:rPr>
          <w:rFonts w:ascii="Arial" w:hAnsi="Arial" w:cs="Arial"/>
          <w:b/>
          <w:sz w:val="17"/>
          <w:szCs w:val="17"/>
        </w:rPr>
        <w:t xml:space="preserve">INEC </w:t>
      </w:r>
      <w:r w:rsidRPr="00C76EF7">
        <w:rPr>
          <w:rFonts w:ascii="Arial" w:hAnsi="Arial" w:cs="Arial"/>
          <w:sz w:val="17"/>
          <w:szCs w:val="17"/>
        </w:rPr>
        <w:t>(2010), Base de Datos del VII Censo de Población y VI de Vivienda.</w:t>
      </w:r>
    </w:p>
    <w:p w:rsidR="00060299" w:rsidRPr="00C76EF7" w:rsidRDefault="00060299" w:rsidP="00C76EF7">
      <w:pPr>
        <w:pStyle w:val="Prrafodelista"/>
        <w:spacing w:line="276" w:lineRule="auto"/>
        <w:ind w:left="851"/>
        <w:jc w:val="both"/>
        <w:rPr>
          <w:rFonts w:ascii="Arial" w:hAnsi="Arial" w:cs="Arial"/>
          <w:sz w:val="17"/>
          <w:szCs w:val="17"/>
        </w:rPr>
      </w:pPr>
      <w:r w:rsidRPr="00C76EF7">
        <w:rPr>
          <w:rFonts w:ascii="Arial" w:hAnsi="Arial" w:cs="Arial"/>
          <w:b/>
          <w:i/>
          <w:sz w:val="17"/>
          <w:szCs w:val="17"/>
        </w:rPr>
        <w:t>Elaborado por:</w:t>
      </w:r>
      <w:r w:rsidRPr="00C76EF7">
        <w:rPr>
          <w:rFonts w:ascii="Arial" w:hAnsi="Arial" w:cs="Arial"/>
          <w:sz w:val="17"/>
          <w:szCs w:val="17"/>
        </w:rPr>
        <w:t xml:space="preserve"> Katherine Loor Valeriano</w:t>
      </w:r>
    </w:p>
    <w:p w:rsidR="00060299" w:rsidRDefault="00060299" w:rsidP="00C76EF7">
      <w:pPr>
        <w:pStyle w:val="Prrafodelista"/>
        <w:spacing w:line="480" w:lineRule="auto"/>
        <w:ind w:left="851"/>
        <w:jc w:val="both"/>
        <w:rPr>
          <w:rFonts w:ascii="Arial" w:hAnsi="Arial" w:cs="Arial"/>
        </w:rPr>
      </w:pPr>
    </w:p>
    <w:p w:rsidR="00060299" w:rsidRDefault="00060299" w:rsidP="00C76EF7">
      <w:pPr>
        <w:pStyle w:val="Prrafodelista"/>
        <w:spacing w:line="480" w:lineRule="auto"/>
        <w:ind w:left="851"/>
        <w:jc w:val="both"/>
        <w:rPr>
          <w:rFonts w:ascii="Arial" w:hAnsi="Arial" w:cs="Arial"/>
        </w:rPr>
      </w:pPr>
      <w:r>
        <w:rPr>
          <w:rFonts w:ascii="Arial" w:hAnsi="Arial" w:cs="Arial"/>
        </w:rPr>
        <w:t xml:space="preserve">Además, podríamos analizar el porcentaje de utilización del teléfono celular en los últimos seis meses versus el nivel más alto de instrucción de los </w:t>
      </w:r>
      <w:r>
        <w:rPr>
          <w:rFonts w:ascii="Arial" w:hAnsi="Arial" w:cs="Arial"/>
        </w:rPr>
        <w:lastRenderedPageBreak/>
        <w:t xml:space="preserve">extranjeros residentes en el Ecuador; de donde tenemos que las personas que no tienen instrucción alguna el 32.58% ha utilizado el celular, en cambio el 65.28% no lo ha utilizado y el 2.14% no ha respondido. Además, el 44.99% de quienes tienen hasta instrucción primaria han utilizado el celular en los últimos seis meses, un porcentaje similar (el 49.84%) no lo ha utilizado; y, el porcentaje restante representa la falta de respuesta. En cambio, los extranjeros con nivel de instrucción superior o postgrado, el 95.36% ha utilizado el teléfono celular, el 4.05% no lo ha utilizado, y tan sólo el 0.58% no respondió a esta pregunta. </w:t>
      </w:r>
      <w:r w:rsidR="00C76EF7" w:rsidRPr="00C76EF7">
        <w:rPr>
          <w:rFonts w:ascii="Arial" w:hAnsi="Arial" w:cs="Arial"/>
          <w:i/>
        </w:rPr>
        <w:t>V</w:t>
      </w:r>
      <w:r>
        <w:rPr>
          <w:rFonts w:ascii="Arial" w:hAnsi="Arial" w:cs="Arial"/>
          <w:i/>
        </w:rPr>
        <w:t>éase Tabla 3.3.</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C76EF7">
        <w:trPr>
          <w:trHeight w:val="2891"/>
          <w:jc w:val="right"/>
        </w:trPr>
        <w:tc>
          <w:tcPr>
            <w:tcW w:w="7497" w:type="dxa"/>
          </w:tcPr>
          <w:p w:rsidR="00060299" w:rsidRDefault="00060299" w:rsidP="003B05B6">
            <w:pPr>
              <w:rPr>
                <w:rFonts w:ascii="Arial" w:hAnsi="Arial" w:cs="Arial"/>
                <w:b/>
                <w:sz w:val="16"/>
                <w:szCs w:val="16"/>
              </w:rPr>
            </w:pPr>
          </w:p>
          <w:p w:rsidR="00F91E1C" w:rsidRPr="00F91E1C" w:rsidRDefault="00F91E1C" w:rsidP="00F91E1C">
            <w:pPr>
              <w:pStyle w:val="Epgrafe"/>
              <w:rPr>
                <w:rFonts w:ascii="Arial" w:hAnsi="Arial" w:cs="Arial"/>
                <w:bCs w:val="0"/>
                <w:color w:val="auto"/>
                <w:sz w:val="16"/>
                <w:szCs w:val="16"/>
              </w:rPr>
            </w:pPr>
            <w:bookmarkStart w:id="466" w:name="_Toc341041914"/>
            <w:r w:rsidRPr="00F91E1C">
              <w:rPr>
                <w:rFonts w:ascii="Arial" w:hAnsi="Arial" w:cs="Arial"/>
                <w:bCs w:val="0"/>
                <w:color w:val="auto"/>
                <w:sz w:val="16"/>
                <w:szCs w:val="16"/>
              </w:rPr>
              <w:t>Tabla 3.</w:t>
            </w:r>
            <w:r w:rsidR="00990535" w:rsidRPr="00F91E1C">
              <w:rPr>
                <w:rFonts w:ascii="Arial" w:hAnsi="Arial" w:cs="Arial"/>
                <w:bCs w:val="0"/>
                <w:color w:val="auto"/>
                <w:sz w:val="16"/>
                <w:szCs w:val="16"/>
              </w:rPr>
              <w:fldChar w:fldCharType="begin"/>
            </w:r>
            <w:r w:rsidRPr="00F91E1C">
              <w:rPr>
                <w:rFonts w:ascii="Arial" w:hAnsi="Arial" w:cs="Arial"/>
                <w:bCs w:val="0"/>
                <w:color w:val="auto"/>
                <w:sz w:val="16"/>
                <w:szCs w:val="16"/>
              </w:rPr>
              <w:instrText xml:space="preserve"> SEQ Tabla_3. \* ARABIC </w:instrText>
            </w:r>
            <w:r w:rsidR="00990535" w:rsidRPr="00F91E1C">
              <w:rPr>
                <w:rFonts w:ascii="Arial" w:hAnsi="Arial" w:cs="Arial"/>
                <w:bCs w:val="0"/>
                <w:color w:val="auto"/>
                <w:sz w:val="16"/>
                <w:szCs w:val="16"/>
              </w:rPr>
              <w:fldChar w:fldCharType="separate"/>
            </w:r>
            <w:r w:rsidR="00A242E0">
              <w:rPr>
                <w:rFonts w:ascii="Arial" w:hAnsi="Arial" w:cs="Arial"/>
                <w:bCs w:val="0"/>
                <w:noProof/>
                <w:color w:val="auto"/>
                <w:sz w:val="16"/>
                <w:szCs w:val="16"/>
              </w:rPr>
              <w:t>3</w:t>
            </w:r>
            <w:bookmarkEnd w:id="466"/>
            <w:r w:rsidR="00990535" w:rsidRPr="00F91E1C">
              <w:rPr>
                <w:rFonts w:ascii="Arial" w:hAnsi="Arial" w:cs="Arial"/>
                <w:bCs w:val="0"/>
                <w:color w:val="auto"/>
                <w:sz w:val="16"/>
                <w:szCs w:val="16"/>
              </w:rPr>
              <w:fldChar w:fldCharType="end"/>
            </w:r>
          </w:p>
          <w:p w:rsidR="00060299" w:rsidRDefault="00C76EF7" w:rsidP="003B05B6">
            <w:pPr>
              <w:rPr>
                <w:rFonts w:ascii="Arial" w:hAnsi="Arial" w:cs="Arial"/>
                <w:i/>
                <w:sz w:val="16"/>
                <w:szCs w:val="16"/>
              </w:rPr>
            </w:pPr>
            <w:r>
              <w:rPr>
                <w:rFonts w:ascii="Arial" w:hAnsi="Arial" w:cs="Arial"/>
                <w:b/>
                <w:i/>
                <w:sz w:val="16"/>
                <w:szCs w:val="16"/>
              </w:rPr>
              <w:t xml:space="preserve">Ecuador 2010: </w:t>
            </w:r>
            <w:r w:rsidR="00345D8D">
              <w:rPr>
                <w:rFonts w:ascii="Arial" w:hAnsi="Arial" w:cs="Arial"/>
                <w:i/>
                <w:sz w:val="16"/>
                <w:szCs w:val="16"/>
              </w:rPr>
              <w:t>Distribución condicional de los extranjeros</w:t>
            </w:r>
            <w:r w:rsidR="00060299">
              <w:rPr>
                <w:rFonts w:ascii="Arial" w:hAnsi="Arial" w:cs="Arial"/>
                <w:i/>
                <w:sz w:val="16"/>
                <w:szCs w:val="16"/>
              </w:rPr>
              <w:t xml:space="preserve"> que ha</w:t>
            </w:r>
            <w:r w:rsidR="00345D8D">
              <w:rPr>
                <w:rFonts w:ascii="Arial" w:hAnsi="Arial" w:cs="Arial"/>
                <w:i/>
                <w:sz w:val="16"/>
                <w:szCs w:val="16"/>
              </w:rPr>
              <w:t>n</w:t>
            </w:r>
            <w:r w:rsidR="00060299">
              <w:rPr>
                <w:rFonts w:ascii="Arial" w:hAnsi="Arial" w:cs="Arial"/>
                <w:i/>
                <w:sz w:val="16"/>
                <w:szCs w:val="16"/>
              </w:rPr>
              <w:t xml:space="preserve"> utilizado Teléfono Celular en </w:t>
            </w:r>
          </w:p>
          <w:p w:rsidR="00060299" w:rsidRDefault="00060299" w:rsidP="003B05B6">
            <w:pPr>
              <w:rPr>
                <w:rFonts w:ascii="Arial" w:hAnsi="Arial" w:cs="Arial"/>
                <w:i/>
                <w:sz w:val="16"/>
                <w:szCs w:val="16"/>
              </w:rPr>
            </w:pPr>
            <w:r>
              <w:rPr>
                <w:rFonts w:ascii="Arial" w:hAnsi="Arial" w:cs="Arial"/>
                <w:i/>
                <w:sz w:val="16"/>
                <w:szCs w:val="16"/>
              </w:rPr>
              <w:t xml:space="preserve">los últimos seis meses </w:t>
            </w:r>
            <w:r w:rsidR="00345D8D">
              <w:rPr>
                <w:rFonts w:ascii="Arial" w:hAnsi="Arial" w:cs="Arial"/>
                <w:i/>
                <w:sz w:val="16"/>
                <w:szCs w:val="16"/>
              </w:rPr>
              <w:t xml:space="preserve">dado que se conoce el </w:t>
            </w:r>
            <w:r>
              <w:rPr>
                <w:rFonts w:ascii="Arial" w:hAnsi="Arial" w:cs="Arial"/>
                <w:i/>
                <w:sz w:val="16"/>
                <w:szCs w:val="16"/>
              </w:rPr>
              <w:t>Nivel más alto de Instrucción</w:t>
            </w:r>
          </w:p>
          <w:p w:rsidR="00060299" w:rsidRDefault="00060299" w:rsidP="003B05B6">
            <w:pPr>
              <w:rPr>
                <w:rFonts w:ascii="Arial" w:hAnsi="Arial" w:cs="Arial"/>
                <w:i/>
                <w:sz w:val="16"/>
                <w:szCs w:val="16"/>
              </w:rPr>
            </w:pPr>
          </w:p>
          <w:tbl>
            <w:tblPr>
              <w:tblW w:w="6044" w:type="dxa"/>
              <w:jc w:val="center"/>
              <w:tblCellMar>
                <w:left w:w="70" w:type="dxa"/>
                <w:right w:w="70" w:type="dxa"/>
              </w:tblCellMar>
              <w:tblLook w:val="04A0" w:firstRow="1" w:lastRow="0" w:firstColumn="1" w:lastColumn="0" w:noHBand="0" w:noVBand="1"/>
            </w:tblPr>
            <w:tblGrid>
              <w:gridCol w:w="2984"/>
              <w:gridCol w:w="1020"/>
              <w:gridCol w:w="1020"/>
              <w:gridCol w:w="1020"/>
            </w:tblGrid>
            <w:tr w:rsidR="00060299" w:rsidRPr="00715E1A" w:rsidTr="00C76EF7">
              <w:trPr>
                <w:trHeight w:val="198"/>
                <w:jc w:val="center"/>
              </w:trPr>
              <w:tc>
                <w:tcPr>
                  <w:tcW w:w="2984" w:type="dxa"/>
                  <w:vMerge w:val="restart"/>
                  <w:tcBorders>
                    <w:top w:val="single" w:sz="4" w:space="0" w:color="auto"/>
                  </w:tcBorders>
                  <w:shd w:val="clear" w:color="auto" w:fill="auto"/>
                  <w:noWrap/>
                  <w:vAlign w:val="center"/>
                  <w:hideMark/>
                </w:tcPr>
                <w:p w:rsidR="00060299" w:rsidRPr="003A0A05" w:rsidRDefault="00060299" w:rsidP="003B05B6">
                  <w:pPr>
                    <w:rPr>
                      <w:rFonts w:ascii="Arial" w:eastAsia="Times New Roman" w:hAnsi="Arial" w:cs="Arial"/>
                      <w:b/>
                      <w:color w:val="000000"/>
                      <w:sz w:val="16"/>
                      <w:szCs w:val="16"/>
                      <w:lang w:eastAsia="es-EC"/>
                    </w:rPr>
                  </w:pPr>
                  <w:r w:rsidRPr="003A0A05">
                    <w:rPr>
                      <w:rFonts w:ascii="Arial" w:eastAsia="Times New Roman" w:hAnsi="Arial" w:cs="Arial"/>
                      <w:b/>
                      <w:color w:val="000000"/>
                      <w:sz w:val="16"/>
                      <w:szCs w:val="16"/>
                      <w:lang w:eastAsia="es-EC"/>
                    </w:rPr>
                    <w:t>Nivel más alto de Instrucción</w:t>
                  </w:r>
                </w:p>
              </w:tc>
              <w:tc>
                <w:tcPr>
                  <w:tcW w:w="3060" w:type="dxa"/>
                  <w:gridSpan w:val="3"/>
                  <w:tcBorders>
                    <w:top w:val="single" w:sz="4" w:space="0" w:color="auto"/>
                    <w:bottom w:val="single" w:sz="4" w:space="0" w:color="auto"/>
                  </w:tcBorders>
                  <w:shd w:val="clear" w:color="auto" w:fill="auto"/>
                  <w:vAlign w:val="center"/>
                  <w:hideMark/>
                </w:tcPr>
                <w:p w:rsidR="00060299" w:rsidRPr="003A0A05" w:rsidRDefault="00060299" w:rsidP="003B05B6">
                  <w:pPr>
                    <w:rPr>
                      <w:rFonts w:ascii="Arial" w:eastAsia="Times New Roman" w:hAnsi="Arial" w:cs="Arial"/>
                      <w:b/>
                      <w:color w:val="000000"/>
                      <w:sz w:val="16"/>
                      <w:szCs w:val="16"/>
                      <w:lang w:eastAsia="es-EC"/>
                    </w:rPr>
                  </w:pPr>
                  <w:r w:rsidRPr="003A0A05">
                    <w:rPr>
                      <w:rFonts w:ascii="Arial" w:eastAsia="Times New Roman" w:hAnsi="Arial" w:cs="Arial"/>
                      <w:b/>
                      <w:color w:val="000000"/>
                      <w:sz w:val="16"/>
                      <w:szCs w:val="16"/>
                      <w:lang w:eastAsia="es-EC"/>
                    </w:rPr>
                    <w:t xml:space="preserve">En los </w:t>
                  </w:r>
                  <w:r w:rsidRPr="00715E1A">
                    <w:rPr>
                      <w:rFonts w:ascii="Arial" w:eastAsia="Times New Roman" w:hAnsi="Arial" w:cs="Arial"/>
                      <w:b/>
                      <w:color w:val="000000"/>
                      <w:sz w:val="16"/>
                      <w:szCs w:val="16"/>
                      <w:lang w:eastAsia="es-EC"/>
                    </w:rPr>
                    <w:t>ú</w:t>
                  </w:r>
                  <w:r w:rsidRPr="003A0A05">
                    <w:rPr>
                      <w:rFonts w:ascii="Arial" w:eastAsia="Times New Roman" w:hAnsi="Arial" w:cs="Arial"/>
                      <w:b/>
                      <w:color w:val="000000"/>
                      <w:sz w:val="16"/>
                      <w:szCs w:val="16"/>
                      <w:lang w:eastAsia="es-EC"/>
                    </w:rPr>
                    <w:t>ltimos 6 meses ha utilizado Tel</w:t>
                  </w:r>
                  <w:r w:rsidRPr="00715E1A">
                    <w:rPr>
                      <w:rFonts w:ascii="Arial" w:eastAsia="Times New Roman" w:hAnsi="Arial" w:cs="Arial"/>
                      <w:b/>
                      <w:color w:val="000000"/>
                      <w:sz w:val="16"/>
                      <w:szCs w:val="16"/>
                      <w:lang w:eastAsia="es-EC"/>
                    </w:rPr>
                    <w:t>é</w:t>
                  </w:r>
                  <w:r w:rsidRPr="003A0A05">
                    <w:rPr>
                      <w:rFonts w:ascii="Arial" w:eastAsia="Times New Roman" w:hAnsi="Arial" w:cs="Arial"/>
                      <w:b/>
                      <w:color w:val="000000"/>
                      <w:sz w:val="16"/>
                      <w:szCs w:val="16"/>
                      <w:lang w:eastAsia="es-EC"/>
                    </w:rPr>
                    <w:t>fono Celular</w:t>
                  </w:r>
                </w:p>
              </w:tc>
            </w:tr>
            <w:tr w:rsidR="00060299" w:rsidRPr="003A0A05" w:rsidTr="00C76EF7">
              <w:trPr>
                <w:trHeight w:val="198"/>
                <w:jc w:val="center"/>
              </w:trPr>
              <w:tc>
                <w:tcPr>
                  <w:tcW w:w="2984" w:type="dxa"/>
                  <w:vMerge/>
                  <w:tcBorders>
                    <w:bottom w:val="single" w:sz="4" w:space="0" w:color="auto"/>
                  </w:tcBorders>
                  <w:shd w:val="clear" w:color="auto" w:fill="auto"/>
                  <w:noWrap/>
                  <w:vAlign w:val="center"/>
                  <w:hideMark/>
                </w:tcPr>
                <w:p w:rsidR="00060299" w:rsidRPr="003A0A05" w:rsidRDefault="00060299" w:rsidP="003B05B6">
                  <w:pPr>
                    <w:rPr>
                      <w:rFonts w:ascii="Arial" w:eastAsia="Times New Roman" w:hAnsi="Arial" w:cs="Arial"/>
                      <w:b/>
                      <w:color w:val="000000"/>
                      <w:sz w:val="16"/>
                      <w:szCs w:val="16"/>
                      <w:lang w:eastAsia="es-EC"/>
                    </w:rPr>
                  </w:pPr>
                </w:p>
              </w:tc>
              <w:tc>
                <w:tcPr>
                  <w:tcW w:w="1020" w:type="dxa"/>
                  <w:tcBorders>
                    <w:top w:val="single" w:sz="4" w:space="0" w:color="auto"/>
                    <w:bottom w:val="single" w:sz="4" w:space="0" w:color="auto"/>
                  </w:tcBorders>
                  <w:shd w:val="clear" w:color="auto" w:fill="auto"/>
                  <w:vAlign w:val="center"/>
                  <w:hideMark/>
                </w:tcPr>
                <w:p w:rsidR="00060299" w:rsidRPr="003A0A05" w:rsidRDefault="00060299" w:rsidP="003B05B6">
                  <w:pPr>
                    <w:rPr>
                      <w:rFonts w:ascii="Arial" w:eastAsia="Times New Roman" w:hAnsi="Arial" w:cs="Arial"/>
                      <w:b/>
                      <w:color w:val="000000"/>
                      <w:sz w:val="16"/>
                      <w:szCs w:val="16"/>
                      <w:lang w:eastAsia="es-EC"/>
                    </w:rPr>
                  </w:pPr>
                  <w:r>
                    <w:rPr>
                      <w:rFonts w:ascii="Arial" w:eastAsia="Times New Roman" w:hAnsi="Arial" w:cs="Arial"/>
                      <w:b/>
                      <w:color w:val="000000"/>
                      <w:sz w:val="16"/>
                      <w:szCs w:val="16"/>
                      <w:lang w:eastAsia="es-EC"/>
                    </w:rPr>
                    <w:t>Sí</w:t>
                  </w:r>
                </w:p>
              </w:tc>
              <w:tc>
                <w:tcPr>
                  <w:tcW w:w="1020" w:type="dxa"/>
                  <w:tcBorders>
                    <w:top w:val="single" w:sz="4" w:space="0" w:color="auto"/>
                    <w:bottom w:val="single" w:sz="4" w:space="0" w:color="auto"/>
                  </w:tcBorders>
                  <w:shd w:val="clear" w:color="auto" w:fill="auto"/>
                  <w:vAlign w:val="center"/>
                  <w:hideMark/>
                </w:tcPr>
                <w:p w:rsidR="00060299" w:rsidRPr="003A0A05" w:rsidRDefault="00060299" w:rsidP="003B05B6">
                  <w:pPr>
                    <w:rPr>
                      <w:rFonts w:ascii="Arial" w:eastAsia="Times New Roman" w:hAnsi="Arial" w:cs="Arial"/>
                      <w:b/>
                      <w:color w:val="000000"/>
                      <w:sz w:val="16"/>
                      <w:szCs w:val="16"/>
                      <w:lang w:eastAsia="es-EC"/>
                    </w:rPr>
                  </w:pPr>
                  <w:r w:rsidRPr="003A0A05">
                    <w:rPr>
                      <w:rFonts w:ascii="Arial" w:eastAsia="Times New Roman" w:hAnsi="Arial" w:cs="Arial"/>
                      <w:b/>
                      <w:color w:val="000000"/>
                      <w:sz w:val="16"/>
                      <w:szCs w:val="16"/>
                      <w:lang w:eastAsia="es-EC"/>
                    </w:rPr>
                    <w:t>No</w:t>
                  </w:r>
                </w:p>
              </w:tc>
              <w:tc>
                <w:tcPr>
                  <w:tcW w:w="1020" w:type="dxa"/>
                  <w:tcBorders>
                    <w:top w:val="single" w:sz="4" w:space="0" w:color="auto"/>
                    <w:bottom w:val="single" w:sz="4" w:space="0" w:color="auto"/>
                  </w:tcBorders>
                  <w:shd w:val="clear" w:color="auto" w:fill="auto"/>
                  <w:vAlign w:val="center"/>
                  <w:hideMark/>
                </w:tcPr>
                <w:p w:rsidR="00060299" w:rsidRPr="003A0A05" w:rsidRDefault="00060299" w:rsidP="003B05B6">
                  <w:pPr>
                    <w:rPr>
                      <w:rFonts w:ascii="Arial" w:eastAsia="Times New Roman" w:hAnsi="Arial" w:cs="Arial"/>
                      <w:b/>
                      <w:color w:val="000000"/>
                      <w:sz w:val="16"/>
                      <w:szCs w:val="16"/>
                      <w:lang w:eastAsia="es-EC"/>
                    </w:rPr>
                  </w:pPr>
                  <w:r w:rsidRPr="003A0A05">
                    <w:rPr>
                      <w:rFonts w:ascii="Arial" w:eastAsia="Times New Roman" w:hAnsi="Arial" w:cs="Arial"/>
                      <w:b/>
                      <w:color w:val="000000"/>
                      <w:sz w:val="16"/>
                      <w:szCs w:val="16"/>
                      <w:lang w:eastAsia="es-EC"/>
                    </w:rPr>
                    <w:t>Se ignora</w:t>
                  </w:r>
                </w:p>
              </w:tc>
            </w:tr>
            <w:tr w:rsidR="00060299" w:rsidRPr="003A0A05" w:rsidTr="00C76EF7">
              <w:trPr>
                <w:trHeight w:val="198"/>
                <w:jc w:val="center"/>
              </w:trPr>
              <w:tc>
                <w:tcPr>
                  <w:tcW w:w="2984" w:type="dxa"/>
                  <w:tcBorders>
                    <w:top w:val="single" w:sz="4" w:space="0" w:color="auto"/>
                  </w:tcBorders>
                  <w:shd w:val="clear" w:color="auto" w:fill="auto"/>
                  <w:vAlign w:val="center"/>
                  <w:hideMark/>
                </w:tcPr>
                <w:p w:rsidR="00060299" w:rsidRPr="003A0A05" w:rsidRDefault="00060299" w:rsidP="00624D0D">
                  <w:pPr>
                    <w:jc w:val="left"/>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Ninguno</w:t>
                  </w:r>
                </w:p>
              </w:tc>
              <w:tc>
                <w:tcPr>
                  <w:tcW w:w="1020" w:type="dxa"/>
                  <w:tcBorders>
                    <w:top w:val="single" w:sz="4" w:space="0" w:color="auto"/>
                  </w:tcBorders>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0.326</w:t>
                  </w:r>
                </w:p>
              </w:tc>
              <w:tc>
                <w:tcPr>
                  <w:tcW w:w="1020" w:type="dxa"/>
                  <w:tcBorders>
                    <w:top w:val="single" w:sz="4" w:space="0" w:color="auto"/>
                  </w:tcBorders>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0.653</w:t>
                  </w:r>
                </w:p>
              </w:tc>
              <w:tc>
                <w:tcPr>
                  <w:tcW w:w="1020" w:type="dxa"/>
                  <w:tcBorders>
                    <w:top w:val="single" w:sz="4" w:space="0" w:color="auto"/>
                  </w:tcBorders>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0.021</w:t>
                  </w:r>
                </w:p>
              </w:tc>
            </w:tr>
            <w:tr w:rsidR="00060299" w:rsidRPr="003A0A05" w:rsidTr="00C76EF7">
              <w:trPr>
                <w:trHeight w:val="198"/>
                <w:jc w:val="center"/>
              </w:trPr>
              <w:tc>
                <w:tcPr>
                  <w:tcW w:w="2984" w:type="dxa"/>
                  <w:shd w:val="clear" w:color="auto" w:fill="auto"/>
                  <w:vAlign w:val="center"/>
                  <w:hideMark/>
                </w:tcPr>
                <w:p w:rsidR="00060299" w:rsidRPr="003A0A05" w:rsidRDefault="00060299" w:rsidP="00624D0D">
                  <w:pPr>
                    <w:jc w:val="left"/>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Centro de Alfabetización/(EBA)</w:t>
                  </w:r>
                </w:p>
              </w:tc>
              <w:tc>
                <w:tcPr>
                  <w:tcW w:w="1020" w:type="dxa"/>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0.499</w:t>
                  </w:r>
                </w:p>
              </w:tc>
              <w:tc>
                <w:tcPr>
                  <w:tcW w:w="1020" w:type="dxa"/>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0.489</w:t>
                  </w:r>
                </w:p>
              </w:tc>
              <w:tc>
                <w:tcPr>
                  <w:tcW w:w="1020" w:type="dxa"/>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0.011</w:t>
                  </w:r>
                </w:p>
              </w:tc>
            </w:tr>
            <w:tr w:rsidR="00060299" w:rsidRPr="003A0A05" w:rsidTr="00C76EF7">
              <w:trPr>
                <w:trHeight w:val="198"/>
                <w:jc w:val="center"/>
              </w:trPr>
              <w:tc>
                <w:tcPr>
                  <w:tcW w:w="2984" w:type="dxa"/>
                  <w:shd w:val="clear" w:color="auto" w:fill="auto"/>
                  <w:vAlign w:val="center"/>
                  <w:hideMark/>
                </w:tcPr>
                <w:p w:rsidR="00060299" w:rsidRPr="003A0A05" w:rsidRDefault="00060299" w:rsidP="00624D0D">
                  <w:pPr>
                    <w:jc w:val="left"/>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Primaria</w:t>
                  </w:r>
                </w:p>
              </w:tc>
              <w:tc>
                <w:tcPr>
                  <w:tcW w:w="1020" w:type="dxa"/>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0.450</w:t>
                  </w:r>
                </w:p>
              </w:tc>
              <w:tc>
                <w:tcPr>
                  <w:tcW w:w="1020" w:type="dxa"/>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0.498</w:t>
                  </w:r>
                </w:p>
              </w:tc>
              <w:tc>
                <w:tcPr>
                  <w:tcW w:w="1020" w:type="dxa"/>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0.052</w:t>
                  </w:r>
                </w:p>
              </w:tc>
            </w:tr>
            <w:tr w:rsidR="00060299" w:rsidRPr="003A0A05" w:rsidTr="00C76EF7">
              <w:trPr>
                <w:trHeight w:val="198"/>
                <w:jc w:val="center"/>
              </w:trPr>
              <w:tc>
                <w:tcPr>
                  <w:tcW w:w="2984" w:type="dxa"/>
                  <w:shd w:val="clear" w:color="auto" w:fill="auto"/>
                  <w:vAlign w:val="center"/>
                  <w:hideMark/>
                </w:tcPr>
                <w:p w:rsidR="00060299" w:rsidRPr="003A0A05" w:rsidRDefault="00060299" w:rsidP="00624D0D">
                  <w:pPr>
                    <w:jc w:val="left"/>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Secundaria</w:t>
                  </w:r>
                </w:p>
              </w:tc>
              <w:tc>
                <w:tcPr>
                  <w:tcW w:w="1020" w:type="dxa"/>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0.841</w:t>
                  </w:r>
                </w:p>
              </w:tc>
              <w:tc>
                <w:tcPr>
                  <w:tcW w:w="1020" w:type="dxa"/>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0.148</w:t>
                  </w:r>
                </w:p>
              </w:tc>
              <w:tc>
                <w:tcPr>
                  <w:tcW w:w="1020" w:type="dxa"/>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0.012</w:t>
                  </w:r>
                </w:p>
              </w:tc>
            </w:tr>
            <w:tr w:rsidR="00060299" w:rsidRPr="003A0A05" w:rsidTr="00C76EF7">
              <w:trPr>
                <w:trHeight w:val="198"/>
                <w:jc w:val="center"/>
              </w:trPr>
              <w:tc>
                <w:tcPr>
                  <w:tcW w:w="2984" w:type="dxa"/>
                  <w:shd w:val="clear" w:color="auto" w:fill="auto"/>
                  <w:vAlign w:val="center"/>
                  <w:hideMark/>
                </w:tcPr>
                <w:p w:rsidR="00060299" w:rsidRPr="003A0A05" w:rsidRDefault="00060299" w:rsidP="00624D0D">
                  <w:pPr>
                    <w:jc w:val="left"/>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Superior</w:t>
                  </w:r>
                </w:p>
              </w:tc>
              <w:tc>
                <w:tcPr>
                  <w:tcW w:w="1020" w:type="dxa"/>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0.954</w:t>
                  </w:r>
                </w:p>
              </w:tc>
              <w:tc>
                <w:tcPr>
                  <w:tcW w:w="1020" w:type="dxa"/>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0.041</w:t>
                  </w:r>
                </w:p>
              </w:tc>
              <w:tc>
                <w:tcPr>
                  <w:tcW w:w="1020" w:type="dxa"/>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0.006</w:t>
                  </w:r>
                </w:p>
              </w:tc>
            </w:tr>
            <w:tr w:rsidR="00060299" w:rsidRPr="003A0A05" w:rsidTr="00C76EF7">
              <w:trPr>
                <w:trHeight w:val="198"/>
                <w:jc w:val="center"/>
              </w:trPr>
              <w:tc>
                <w:tcPr>
                  <w:tcW w:w="2984" w:type="dxa"/>
                  <w:tcBorders>
                    <w:bottom w:val="single" w:sz="4" w:space="0" w:color="auto"/>
                  </w:tcBorders>
                  <w:shd w:val="clear" w:color="auto" w:fill="auto"/>
                  <w:vAlign w:val="center"/>
                  <w:hideMark/>
                </w:tcPr>
                <w:p w:rsidR="00060299" w:rsidRPr="003A0A05" w:rsidRDefault="00060299" w:rsidP="00624D0D">
                  <w:pPr>
                    <w:jc w:val="left"/>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Se ignora</w:t>
                  </w:r>
                </w:p>
              </w:tc>
              <w:tc>
                <w:tcPr>
                  <w:tcW w:w="1020" w:type="dxa"/>
                  <w:tcBorders>
                    <w:bottom w:val="single" w:sz="4" w:space="0" w:color="auto"/>
                  </w:tcBorders>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0.355</w:t>
                  </w:r>
                </w:p>
              </w:tc>
              <w:tc>
                <w:tcPr>
                  <w:tcW w:w="1020" w:type="dxa"/>
                  <w:tcBorders>
                    <w:bottom w:val="single" w:sz="4" w:space="0" w:color="auto"/>
                  </w:tcBorders>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0.182</w:t>
                  </w:r>
                </w:p>
              </w:tc>
              <w:tc>
                <w:tcPr>
                  <w:tcW w:w="1020" w:type="dxa"/>
                  <w:tcBorders>
                    <w:bottom w:val="single" w:sz="4" w:space="0" w:color="auto"/>
                  </w:tcBorders>
                  <w:shd w:val="clear" w:color="auto" w:fill="auto"/>
                  <w:noWrap/>
                  <w:vAlign w:val="center"/>
                  <w:hideMark/>
                </w:tcPr>
                <w:p w:rsidR="00060299" w:rsidRPr="003A0A05" w:rsidRDefault="00060299" w:rsidP="003B05B6">
                  <w:pPr>
                    <w:rPr>
                      <w:rFonts w:ascii="Arial" w:eastAsia="Times New Roman" w:hAnsi="Arial" w:cs="Arial"/>
                      <w:color w:val="000000"/>
                      <w:sz w:val="16"/>
                      <w:szCs w:val="16"/>
                      <w:lang w:eastAsia="es-EC"/>
                    </w:rPr>
                  </w:pPr>
                  <w:r w:rsidRPr="003A0A05">
                    <w:rPr>
                      <w:rFonts w:ascii="Arial" w:eastAsia="Times New Roman" w:hAnsi="Arial" w:cs="Arial"/>
                      <w:color w:val="000000"/>
                      <w:sz w:val="16"/>
                      <w:szCs w:val="16"/>
                      <w:lang w:eastAsia="es-EC"/>
                    </w:rPr>
                    <w:t>0.463</w:t>
                  </w:r>
                </w:p>
              </w:tc>
            </w:tr>
          </w:tbl>
          <w:p w:rsidR="00060299" w:rsidRPr="0078148C" w:rsidRDefault="00060299" w:rsidP="003B05B6">
            <w:pPr>
              <w:rPr>
                <w:rFonts w:ascii="Arial" w:hAnsi="Arial" w:cs="Arial"/>
                <w:i/>
                <w:sz w:val="16"/>
                <w:szCs w:val="16"/>
              </w:rPr>
            </w:pPr>
          </w:p>
        </w:tc>
      </w:tr>
    </w:tbl>
    <w:p w:rsidR="00060299" w:rsidRPr="00C76EF7" w:rsidRDefault="00060299" w:rsidP="00C76EF7">
      <w:pPr>
        <w:pStyle w:val="Prrafodelista"/>
        <w:spacing w:line="276" w:lineRule="auto"/>
        <w:ind w:left="851"/>
        <w:jc w:val="both"/>
        <w:rPr>
          <w:rFonts w:ascii="Arial" w:hAnsi="Arial" w:cs="Arial"/>
          <w:sz w:val="17"/>
          <w:szCs w:val="17"/>
        </w:rPr>
      </w:pPr>
    </w:p>
    <w:p w:rsidR="00060299" w:rsidRPr="00C76EF7" w:rsidRDefault="00060299" w:rsidP="00C76EF7">
      <w:pPr>
        <w:pStyle w:val="Prrafodelista"/>
        <w:spacing w:line="276" w:lineRule="auto"/>
        <w:ind w:left="851"/>
        <w:jc w:val="both"/>
        <w:rPr>
          <w:rFonts w:ascii="Arial" w:hAnsi="Arial" w:cs="Arial"/>
          <w:sz w:val="17"/>
          <w:szCs w:val="17"/>
        </w:rPr>
      </w:pPr>
      <w:r w:rsidRPr="00C76EF7">
        <w:rPr>
          <w:rFonts w:ascii="Arial" w:hAnsi="Arial" w:cs="Arial"/>
          <w:b/>
          <w:i/>
          <w:sz w:val="17"/>
          <w:szCs w:val="17"/>
        </w:rPr>
        <w:t>Fuente:</w:t>
      </w:r>
      <w:r w:rsidRPr="00C76EF7">
        <w:rPr>
          <w:rFonts w:ascii="Arial" w:hAnsi="Arial" w:cs="Arial"/>
          <w:sz w:val="17"/>
          <w:szCs w:val="17"/>
        </w:rPr>
        <w:t xml:space="preserve"> </w:t>
      </w:r>
      <w:r w:rsidRPr="00C76EF7">
        <w:rPr>
          <w:rFonts w:ascii="Arial" w:hAnsi="Arial" w:cs="Arial"/>
          <w:b/>
          <w:sz w:val="17"/>
          <w:szCs w:val="17"/>
        </w:rPr>
        <w:t xml:space="preserve">INEC </w:t>
      </w:r>
      <w:r w:rsidRPr="00C76EF7">
        <w:rPr>
          <w:rFonts w:ascii="Arial" w:hAnsi="Arial" w:cs="Arial"/>
          <w:sz w:val="17"/>
          <w:szCs w:val="17"/>
        </w:rPr>
        <w:t>(2010), Base de Datos del VII Censo de Población y VI de Vivienda.</w:t>
      </w:r>
    </w:p>
    <w:p w:rsidR="00060299" w:rsidRPr="00C76EF7" w:rsidRDefault="00060299" w:rsidP="00C76EF7">
      <w:pPr>
        <w:pStyle w:val="Prrafodelista"/>
        <w:spacing w:line="276" w:lineRule="auto"/>
        <w:ind w:left="851"/>
        <w:jc w:val="both"/>
        <w:rPr>
          <w:rFonts w:ascii="Arial" w:hAnsi="Arial" w:cs="Arial"/>
          <w:sz w:val="17"/>
          <w:szCs w:val="17"/>
        </w:rPr>
      </w:pPr>
      <w:r w:rsidRPr="00C76EF7">
        <w:rPr>
          <w:rFonts w:ascii="Arial" w:hAnsi="Arial" w:cs="Arial"/>
          <w:b/>
          <w:i/>
          <w:sz w:val="17"/>
          <w:szCs w:val="17"/>
        </w:rPr>
        <w:t>Elaborado por:</w:t>
      </w:r>
      <w:r w:rsidRPr="00C76EF7">
        <w:rPr>
          <w:rFonts w:ascii="Arial" w:hAnsi="Arial" w:cs="Arial"/>
          <w:sz w:val="17"/>
          <w:szCs w:val="17"/>
        </w:rPr>
        <w:t xml:space="preserve"> Katherine Loor Valeriano</w:t>
      </w:r>
    </w:p>
    <w:p w:rsidR="00060299" w:rsidRDefault="00060299" w:rsidP="00060299">
      <w:pPr>
        <w:pStyle w:val="Prrafodelista"/>
        <w:spacing w:line="480" w:lineRule="auto"/>
        <w:ind w:left="567"/>
        <w:jc w:val="both"/>
        <w:rPr>
          <w:rFonts w:ascii="Arial" w:hAnsi="Arial" w:cs="Arial"/>
        </w:rPr>
      </w:pPr>
    </w:p>
    <w:p w:rsidR="00060299" w:rsidRPr="009873CA" w:rsidRDefault="00060299" w:rsidP="00C76EF7">
      <w:pPr>
        <w:pStyle w:val="TesisTitulo2"/>
        <w:ind w:left="1701" w:hanging="850"/>
      </w:pPr>
      <w:bookmarkStart w:id="467" w:name="_Toc335850608"/>
      <w:bookmarkStart w:id="468" w:name="_Toc341040654"/>
      <w:r>
        <w:t>Ha utilizado Internet</w:t>
      </w:r>
      <w:bookmarkEnd w:id="467"/>
      <w:bookmarkEnd w:id="468"/>
    </w:p>
    <w:p w:rsidR="00060299" w:rsidRPr="00CE6CFC" w:rsidRDefault="00060299" w:rsidP="00C76EF7">
      <w:pPr>
        <w:pStyle w:val="Prrafodelista"/>
        <w:spacing w:line="480" w:lineRule="auto"/>
        <w:ind w:left="851"/>
        <w:jc w:val="both"/>
        <w:rPr>
          <w:rFonts w:ascii="Arial" w:hAnsi="Arial" w:cs="Arial"/>
        </w:rPr>
      </w:pPr>
      <w:r>
        <w:rPr>
          <w:rFonts w:ascii="Arial" w:hAnsi="Arial" w:cs="Arial"/>
        </w:rPr>
        <w:t xml:space="preserve">En lo que respecta a la utilización de Internet en los últimos seis meses, se presenta un escenario similar al caso de uso del teléfono celular, pues se mantienen las tendencias que a mayor edad es menor el porcentaje de personas que lo utilizan y por lo tanto es mayor el porcentaje de personas que no utilizan Internet en las edades adultas. Por citar algunos ejemples, veamos que sucede en los extranjeros con edades comprendidas entre 15 </w:t>
      </w:r>
      <w:r>
        <w:rPr>
          <w:rFonts w:ascii="Arial" w:hAnsi="Arial" w:cs="Arial"/>
        </w:rPr>
        <w:lastRenderedPageBreak/>
        <w:t>y 20 años, para ese grupo de edad se tiene que el 56.62% ha utilizado Internet en los últimos seis meses, además hay un 37.34% que no lo utiliza y el 6.04% no respondió</w:t>
      </w:r>
      <w:r w:rsidR="00F91C02">
        <w:rPr>
          <w:rFonts w:ascii="Arial" w:hAnsi="Arial" w:cs="Arial"/>
        </w:rPr>
        <w:t>;</w:t>
      </w:r>
      <w:r>
        <w:rPr>
          <w:rFonts w:ascii="Arial" w:hAnsi="Arial" w:cs="Arial"/>
        </w:rPr>
        <w:t xml:space="preserve"> </w:t>
      </w:r>
      <w:r w:rsidR="00F91C02">
        <w:rPr>
          <w:rFonts w:ascii="Arial" w:hAnsi="Arial" w:cs="Arial"/>
        </w:rPr>
        <w:t>m</w:t>
      </w:r>
      <w:r>
        <w:rPr>
          <w:rFonts w:ascii="Arial" w:hAnsi="Arial" w:cs="Arial"/>
        </w:rPr>
        <w:t xml:space="preserve">ientras que, para los inmigrantes con edades entre 60 y 65 años se </w:t>
      </w:r>
      <w:r w:rsidR="00506BFD">
        <w:rPr>
          <w:rFonts w:ascii="Arial" w:hAnsi="Arial" w:cs="Arial"/>
        </w:rPr>
        <w:t>obtuvo</w:t>
      </w:r>
      <w:r>
        <w:rPr>
          <w:rFonts w:ascii="Arial" w:hAnsi="Arial" w:cs="Arial"/>
        </w:rPr>
        <w:t xml:space="preserve"> que el 41.03% ha utilizado Internet, más del 50% en cambio no ha utilizado Internet; y, el porcentaje restante no respondió a esta pregunta. Finalmente, para los extranjeros mayores de 100 años se </w:t>
      </w:r>
      <w:r w:rsidR="00506BFD">
        <w:rPr>
          <w:rFonts w:ascii="Arial" w:hAnsi="Arial" w:cs="Arial"/>
        </w:rPr>
        <w:t>encontró</w:t>
      </w:r>
      <w:r>
        <w:rPr>
          <w:rFonts w:ascii="Arial" w:hAnsi="Arial" w:cs="Arial"/>
        </w:rPr>
        <w:t xml:space="preserve"> que tan sólo el 8% ha utilizado Internet los últimos seis meses, el 80% no lo ha utilizado; y, por tanto el porcentaje restante (12%) son faltas de respuesta. </w:t>
      </w:r>
      <w:r>
        <w:rPr>
          <w:rFonts w:ascii="Arial" w:hAnsi="Arial" w:cs="Arial"/>
          <w:i/>
        </w:rPr>
        <w:t>Véase</w:t>
      </w:r>
      <w:r w:rsidR="00C76EF7">
        <w:rPr>
          <w:rFonts w:ascii="Arial" w:hAnsi="Arial" w:cs="Arial"/>
          <w:i/>
        </w:rPr>
        <w:t xml:space="preserve"> </w:t>
      </w:r>
      <w:r>
        <w:rPr>
          <w:rFonts w:ascii="Arial" w:hAnsi="Arial" w:cs="Arial"/>
          <w:i/>
        </w:rPr>
        <w:t>Figura 3.25</w:t>
      </w:r>
      <w:r>
        <w:rPr>
          <w:rFonts w:ascii="Arial" w:hAnsi="Arial" w:cs="Arial"/>
        </w:rPr>
        <w:t>.</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C76EF7">
        <w:trPr>
          <w:trHeight w:val="4241"/>
          <w:jc w:val="right"/>
        </w:trPr>
        <w:tc>
          <w:tcPr>
            <w:tcW w:w="7497" w:type="dxa"/>
          </w:tcPr>
          <w:p w:rsidR="00060299" w:rsidRDefault="00060299" w:rsidP="003B05B6">
            <w:pPr>
              <w:rPr>
                <w:rFonts w:ascii="Arial" w:hAnsi="Arial" w:cs="Arial"/>
                <w:b/>
                <w:sz w:val="16"/>
                <w:szCs w:val="16"/>
              </w:rPr>
            </w:pPr>
          </w:p>
          <w:p w:rsidR="00F91E1C" w:rsidRPr="00F91E1C" w:rsidRDefault="00F91E1C" w:rsidP="00F91E1C">
            <w:pPr>
              <w:pStyle w:val="Epgrafe"/>
              <w:rPr>
                <w:rFonts w:ascii="Arial" w:hAnsi="Arial" w:cs="Arial"/>
                <w:bCs w:val="0"/>
                <w:color w:val="auto"/>
                <w:sz w:val="16"/>
                <w:szCs w:val="16"/>
              </w:rPr>
            </w:pPr>
            <w:bookmarkStart w:id="469" w:name="_Toc341043424"/>
            <w:r>
              <w:rPr>
                <w:rFonts w:ascii="Arial" w:hAnsi="Arial" w:cs="Arial"/>
                <w:bCs w:val="0"/>
                <w:color w:val="auto"/>
                <w:sz w:val="16"/>
                <w:szCs w:val="16"/>
              </w:rPr>
              <w:t>Figura 3.</w:t>
            </w:r>
            <w:r w:rsidR="00990535" w:rsidRPr="00F91E1C">
              <w:rPr>
                <w:rFonts w:ascii="Arial" w:hAnsi="Arial" w:cs="Arial"/>
                <w:bCs w:val="0"/>
                <w:color w:val="auto"/>
                <w:sz w:val="16"/>
                <w:szCs w:val="16"/>
              </w:rPr>
              <w:fldChar w:fldCharType="begin"/>
            </w:r>
            <w:r w:rsidRPr="00F91E1C">
              <w:rPr>
                <w:rFonts w:ascii="Arial" w:hAnsi="Arial" w:cs="Arial"/>
                <w:bCs w:val="0"/>
                <w:color w:val="auto"/>
                <w:sz w:val="16"/>
                <w:szCs w:val="16"/>
              </w:rPr>
              <w:instrText xml:space="preserve"> SEQ Figura_3. \* ARABIC </w:instrText>
            </w:r>
            <w:r w:rsidR="00990535" w:rsidRPr="00F91E1C">
              <w:rPr>
                <w:rFonts w:ascii="Arial" w:hAnsi="Arial" w:cs="Arial"/>
                <w:bCs w:val="0"/>
                <w:color w:val="auto"/>
                <w:sz w:val="16"/>
                <w:szCs w:val="16"/>
              </w:rPr>
              <w:fldChar w:fldCharType="separate"/>
            </w:r>
            <w:r w:rsidR="00A242E0">
              <w:rPr>
                <w:rFonts w:ascii="Arial" w:hAnsi="Arial" w:cs="Arial"/>
                <w:bCs w:val="0"/>
                <w:noProof/>
                <w:color w:val="auto"/>
                <w:sz w:val="16"/>
                <w:szCs w:val="16"/>
              </w:rPr>
              <w:t>25</w:t>
            </w:r>
            <w:bookmarkEnd w:id="469"/>
            <w:r w:rsidR="00990535" w:rsidRPr="00F91E1C">
              <w:rPr>
                <w:rFonts w:ascii="Arial" w:hAnsi="Arial" w:cs="Arial"/>
                <w:bCs w:val="0"/>
                <w:color w:val="auto"/>
                <w:sz w:val="16"/>
                <w:szCs w:val="16"/>
              </w:rPr>
              <w:fldChar w:fldCharType="end"/>
            </w:r>
          </w:p>
          <w:p w:rsidR="00060299" w:rsidRDefault="00C76EF7"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 xml:space="preserve">Proporción de la Población </w:t>
            </w:r>
            <w:r>
              <w:rPr>
                <w:rFonts w:ascii="Arial" w:hAnsi="Arial" w:cs="Arial"/>
                <w:i/>
                <w:sz w:val="16"/>
                <w:szCs w:val="16"/>
              </w:rPr>
              <w:t xml:space="preserve">extranjera </w:t>
            </w:r>
            <w:r w:rsidR="00060299">
              <w:rPr>
                <w:rFonts w:ascii="Arial" w:hAnsi="Arial" w:cs="Arial"/>
                <w:i/>
                <w:sz w:val="16"/>
                <w:szCs w:val="16"/>
              </w:rPr>
              <w:t xml:space="preserve">que ha utilizado Internet en </w:t>
            </w:r>
          </w:p>
          <w:p w:rsidR="00060299" w:rsidRDefault="00060299" w:rsidP="003B05B6">
            <w:pPr>
              <w:rPr>
                <w:rFonts w:ascii="Arial" w:hAnsi="Arial" w:cs="Arial"/>
                <w:i/>
                <w:sz w:val="16"/>
                <w:szCs w:val="16"/>
              </w:rPr>
            </w:pPr>
            <w:r>
              <w:rPr>
                <w:rFonts w:ascii="Arial" w:hAnsi="Arial" w:cs="Arial"/>
                <w:i/>
                <w:sz w:val="16"/>
                <w:szCs w:val="16"/>
              </w:rPr>
              <w:t>los ú</w:t>
            </w:r>
            <w:r w:rsidR="00C76EF7">
              <w:rPr>
                <w:rFonts w:ascii="Arial" w:hAnsi="Arial" w:cs="Arial"/>
                <w:i/>
                <w:sz w:val="16"/>
                <w:szCs w:val="16"/>
              </w:rPr>
              <w:t>ltimos seis meses por Grupos etarios</w:t>
            </w:r>
          </w:p>
          <w:p w:rsidR="00060299" w:rsidRPr="004412ED" w:rsidRDefault="00436907" w:rsidP="003B05B6">
            <w:pPr>
              <w:rPr>
                <w:rFonts w:ascii="Arial" w:hAnsi="Arial" w:cs="Arial"/>
                <w:i/>
                <w:sz w:val="16"/>
                <w:szCs w:val="16"/>
              </w:rPr>
            </w:pPr>
            <w:r>
              <w:rPr>
                <w:rFonts w:ascii="Arial" w:hAnsi="Arial" w:cs="Arial"/>
                <w:noProof/>
                <w:lang w:eastAsia="es-EC"/>
              </w:rPr>
              <w:pict>
                <v:shape id="_x0000_s2125" type="#_x0000_t32" style="position:absolute;left:0;text-align:left;margin-left:205.6pt;margin-top:118.5pt;width:9.3pt;height:11.35pt;z-index:251888128" o:connectortype="straight" strokecolor="#d60093">
                  <v:stroke endarrow="block"/>
                </v:shape>
              </w:pict>
            </w:r>
            <w:r>
              <w:rPr>
                <w:rFonts w:ascii="Arial" w:hAnsi="Arial" w:cs="Arial"/>
                <w:noProof/>
                <w:lang w:eastAsia="es-EC"/>
              </w:rPr>
              <w:pict>
                <v:shape id="_x0000_s2122" type="#_x0000_t202" style="position:absolute;left:0;text-align:left;margin-left:165.4pt;margin-top:105.85pt;width:68.25pt;height:16.4pt;z-index:25188505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Pm9HgLgIAAFcEAAAOAAAAAAAAAAAAAAAAAC4CAABkcnMv&#10;ZTJvRG9jLnhtbFBLAQItABQABgAIAAAAIQD9LzLW2wAAAAUBAAAPAAAAAAAAAAAAAAAAAIgEAABk&#10;cnMvZG93bnJldi54bWxQSwUGAAAAAAQABADzAAAAkAUAAAAA&#10;" filled="f" stroked="f">
                  <v:textbox style="mso-fit-shape-to-text:t">
                    <w:txbxContent>
                      <w:p w:rsidR="006933DF" w:rsidRPr="00C76EF7" w:rsidRDefault="006933DF" w:rsidP="00C76EF7">
                        <w:pPr>
                          <w:rPr>
                            <w:rFonts w:ascii="Arial" w:hAnsi="Arial" w:cs="Arial"/>
                            <w:color w:val="D60093"/>
                            <w:sz w:val="16"/>
                            <w:szCs w:val="16"/>
                          </w:rPr>
                        </w:pPr>
                        <w:r w:rsidRPr="00C76EF7">
                          <w:rPr>
                            <w:rFonts w:ascii="Arial" w:hAnsi="Arial" w:cs="Arial"/>
                            <w:color w:val="D60093"/>
                            <w:sz w:val="16"/>
                            <w:szCs w:val="16"/>
                          </w:rPr>
                          <w:t>Se ignora</w:t>
                        </w:r>
                      </w:p>
                    </w:txbxContent>
                  </v:textbox>
                </v:shape>
              </w:pict>
            </w:r>
            <w:r>
              <w:rPr>
                <w:rFonts w:ascii="Arial" w:hAnsi="Arial" w:cs="Arial"/>
                <w:noProof/>
                <w:lang w:eastAsia="es-EC"/>
              </w:rPr>
              <w:pict>
                <v:shape id="_x0000_s2124" type="#_x0000_t32" style="position:absolute;left:0;text-align:left;margin-left:233.65pt;margin-top:43.7pt;width:12.75pt;height:14.25pt;z-index:251887104" o:connectortype="straight" strokecolor="#e36c0a [2409]">
                  <v:stroke endarrow="block"/>
                </v:shape>
              </w:pict>
            </w:r>
            <w:r>
              <w:rPr>
                <w:rFonts w:ascii="Arial" w:hAnsi="Arial" w:cs="Arial"/>
                <w:noProof/>
                <w:lang w:eastAsia="es-EC"/>
              </w:rPr>
              <w:pict>
                <v:shape id="_x0000_s2121" type="#_x0000_t202" style="position:absolute;left:0;text-align:left;margin-left:194.35pt;margin-top:32.75pt;width:68.25pt;height:16.4pt;z-index:25188403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Pm9HgLgIAAFcEAAAOAAAAAAAAAAAAAAAAAC4CAABkcnMv&#10;ZTJvRG9jLnhtbFBLAQItABQABgAIAAAAIQD9LzLW2wAAAAUBAAAPAAAAAAAAAAAAAAAAAIgEAABk&#10;cnMvZG93bnJldi54bWxQSwUGAAAAAAQABADzAAAAkAUAAAAA&#10;" filled="f" stroked="f">
                  <v:textbox style="mso-fit-shape-to-text:t">
                    <w:txbxContent>
                      <w:p w:rsidR="006933DF" w:rsidRPr="00C76EF7" w:rsidRDefault="006933DF" w:rsidP="00C76EF7">
                        <w:pPr>
                          <w:rPr>
                            <w:rFonts w:ascii="Arial" w:hAnsi="Arial" w:cs="Arial"/>
                            <w:color w:val="E36C0A" w:themeColor="accent6" w:themeShade="BF"/>
                            <w:sz w:val="16"/>
                            <w:szCs w:val="16"/>
                          </w:rPr>
                        </w:pPr>
                        <w:r w:rsidRPr="00C76EF7">
                          <w:rPr>
                            <w:rFonts w:ascii="Arial" w:hAnsi="Arial" w:cs="Arial"/>
                            <w:color w:val="E36C0A" w:themeColor="accent6" w:themeShade="BF"/>
                            <w:sz w:val="16"/>
                            <w:szCs w:val="16"/>
                          </w:rPr>
                          <w:t>No</w:t>
                        </w:r>
                      </w:p>
                    </w:txbxContent>
                  </v:textbox>
                </v:shape>
              </w:pict>
            </w:r>
            <w:r>
              <w:rPr>
                <w:rFonts w:ascii="Arial" w:hAnsi="Arial" w:cs="Arial"/>
                <w:noProof/>
                <w:lang w:eastAsia="es-EC"/>
              </w:rPr>
              <w:pict>
                <v:shape id="_x0000_s2120" type="#_x0000_t202" style="position:absolute;left:0;text-align:left;margin-left:140.35pt;margin-top:42.4pt;width:68.25pt;height:16.4pt;z-index:2518830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Pm9HgLgIAAFcEAAAOAAAAAAAAAAAAAAAAAC4CAABkcnMv&#10;ZTJvRG9jLnhtbFBLAQItABQABgAIAAAAIQD9LzLW2wAAAAUBAAAPAAAAAAAAAAAAAAAAAIgEAABk&#10;cnMvZG93bnJldi54bWxQSwUGAAAAAAQABADzAAAAkAUAAAAA&#10;" filled="f" stroked="f">
                  <v:textbox style="mso-fit-shape-to-text:t">
                    <w:txbxContent>
                      <w:p w:rsidR="006933DF" w:rsidRPr="00C76EF7" w:rsidRDefault="006933DF" w:rsidP="00C76EF7">
                        <w:pPr>
                          <w:rPr>
                            <w:rFonts w:ascii="Arial" w:hAnsi="Arial" w:cs="Arial"/>
                            <w:color w:val="0070C0"/>
                            <w:sz w:val="16"/>
                            <w:szCs w:val="16"/>
                          </w:rPr>
                        </w:pPr>
                        <w:r w:rsidRPr="00C76EF7">
                          <w:rPr>
                            <w:rFonts w:ascii="Arial" w:hAnsi="Arial" w:cs="Arial"/>
                            <w:color w:val="0070C0"/>
                            <w:sz w:val="16"/>
                            <w:szCs w:val="16"/>
                          </w:rPr>
                          <w:t>Sí</w:t>
                        </w:r>
                      </w:p>
                    </w:txbxContent>
                  </v:textbox>
                </v:shape>
              </w:pict>
            </w:r>
            <w:r>
              <w:rPr>
                <w:rFonts w:ascii="Arial" w:hAnsi="Arial" w:cs="Arial"/>
                <w:noProof/>
                <w:lang w:eastAsia="es-EC"/>
              </w:rPr>
              <w:pict>
                <v:shape id="_x0000_s2123" type="#_x0000_t32" style="position:absolute;left:0;text-align:left;margin-left:151.6pt;margin-top:53.45pt;width:19.05pt;height:18.65pt;flip:x;z-index:251886080" o:connectortype="straight" strokecolor="#0070c0">
                  <v:stroke endarrow="block"/>
                </v:shape>
              </w:pict>
            </w:r>
            <w:r w:rsidR="00060299">
              <w:rPr>
                <w:noProof/>
                <w:lang w:eastAsia="es-EC"/>
              </w:rPr>
              <w:drawing>
                <wp:inline distT="0" distB="0" distL="0" distR="0">
                  <wp:extent cx="4334400" cy="2340000"/>
                  <wp:effectExtent l="0" t="0" r="0" b="0"/>
                  <wp:docPr id="303" name="Gráfico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rsidR="00060299" w:rsidRPr="00C76EF7" w:rsidRDefault="00060299" w:rsidP="00C76EF7">
      <w:pPr>
        <w:pStyle w:val="Prrafodelista"/>
        <w:spacing w:line="276" w:lineRule="auto"/>
        <w:ind w:left="851"/>
        <w:jc w:val="both"/>
        <w:rPr>
          <w:rFonts w:ascii="Arial" w:hAnsi="Arial" w:cs="Arial"/>
          <w:sz w:val="17"/>
          <w:szCs w:val="17"/>
        </w:rPr>
      </w:pPr>
    </w:p>
    <w:p w:rsidR="00060299" w:rsidRPr="00C76EF7" w:rsidRDefault="00060299" w:rsidP="00C76EF7">
      <w:pPr>
        <w:pStyle w:val="Prrafodelista"/>
        <w:spacing w:line="276" w:lineRule="auto"/>
        <w:ind w:left="851"/>
        <w:jc w:val="both"/>
        <w:rPr>
          <w:rFonts w:ascii="Arial" w:hAnsi="Arial" w:cs="Arial"/>
          <w:sz w:val="17"/>
          <w:szCs w:val="17"/>
        </w:rPr>
      </w:pPr>
      <w:r w:rsidRPr="00C76EF7">
        <w:rPr>
          <w:rFonts w:ascii="Arial" w:hAnsi="Arial" w:cs="Arial"/>
          <w:b/>
          <w:i/>
          <w:sz w:val="17"/>
          <w:szCs w:val="17"/>
        </w:rPr>
        <w:t>Fuente:</w:t>
      </w:r>
      <w:r w:rsidRPr="00C76EF7">
        <w:rPr>
          <w:rFonts w:ascii="Arial" w:hAnsi="Arial" w:cs="Arial"/>
          <w:sz w:val="17"/>
          <w:szCs w:val="17"/>
        </w:rPr>
        <w:t xml:space="preserve"> </w:t>
      </w:r>
      <w:r w:rsidRPr="00C76EF7">
        <w:rPr>
          <w:rFonts w:ascii="Arial" w:hAnsi="Arial" w:cs="Arial"/>
          <w:b/>
          <w:sz w:val="17"/>
          <w:szCs w:val="17"/>
        </w:rPr>
        <w:t xml:space="preserve">INEC </w:t>
      </w:r>
      <w:r w:rsidRPr="00C76EF7">
        <w:rPr>
          <w:rFonts w:ascii="Arial" w:hAnsi="Arial" w:cs="Arial"/>
          <w:sz w:val="17"/>
          <w:szCs w:val="17"/>
        </w:rPr>
        <w:t>(2010), Base de Datos del VII Censo de Población y VI de Vivienda.</w:t>
      </w:r>
    </w:p>
    <w:p w:rsidR="00060299" w:rsidRDefault="00060299" w:rsidP="00C76EF7">
      <w:pPr>
        <w:pStyle w:val="Prrafodelista"/>
        <w:spacing w:line="276" w:lineRule="auto"/>
        <w:ind w:left="851"/>
        <w:jc w:val="both"/>
        <w:rPr>
          <w:rFonts w:ascii="Arial" w:hAnsi="Arial" w:cs="Arial"/>
          <w:sz w:val="18"/>
          <w:szCs w:val="18"/>
        </w:rPr>
      </w:pPr>
      <w:r w:rsidRPr="00C76EF7">
        <w:rPr>
          <w:rFonts w:ascii="Arial" w:hAnsi="Arial" w:cs="Arial"/>
          <w:b/>
          <w:i/>
          <w:sz w:val="17"/>
          <w:szCs w:val="17"/>
        </w:rPr>
        <w:t>Elaborado por:</w:t>
      </w:r>
      <w:r w:rsidRPr="00C76EF7">
        <w:rPr>
          <w:rFonts w:ascii="Arial" w:hAnsi="Arial" w:cs="Arial"/>
          <w:sz w:val="17"/>
          <w:szCs w:val="17"/>
        </w:rPr>
        <w:t xml:space="preserve"> Katherine Loor Valeriano</w:t>
      </w:r>
    </w:p>
    <w:p w:rsidR="00060299" w:rsidRDefault="00060299" w:rsidP="00345D8D">
      <w:pPr>
        <w:pStyle w:val="Prrafodelista"/>
        <w:spacing w:line="480" w:lineRule="auto"/>
        <w:ind w:left="851"/>
        <w:jc w:val="both"/>
        <w:rPr>
          <w:rFonts w:ascii="Arial" w:hAnsi="Arial" w:cs="Arial"/>
        </w:rPr>
      </w:pPr>
    </w:p>
    <w:p w:rsidR="00060299" w:rsidRPr="00CA7642" w:rsidRDefault="00060299" w:rsidP="00345D8D">
      <w:pPr>
        <w:pStyle w:val="Prrafodelista"/>
        <w:spacing w:line="480" w:lineRule="auto"/>
        <w:ind w:left="851"/>
        <w:jc w:val="both"/>
        <w:rPr>
          <w:rFonts w:ascii="Arial" w:hAnsi="Arial" w:cs="Arial"/>
          <w:i/>
        </w:rPr>
      </w:pPr>
      <w:r>
        <w:rPr>
          <w:rFonts w:ascii="Arial" w:hAnsi="Arial" w:cs="Arial"/>
        </w:rPr>
        <w:t xml:space="preserve">Adicionalmente, del cruce de la variable ha utilizado Internet en los últimos seis meses y el nivel más alto de instrucción, se ha obtenido que de los extranjeros que tienen hasta instrucción primaria el 20.07% ha utilizado Internet, mientras que el 71.01% no lo ha utilizado; y, por tanto el </w:t>
      </w:r>
      <w:r>
        <w:rPr>
          <w:rFonts w:ascii="Arial" w:hAnsi="Arial" w:cs="Arial"/>
        </w:rPr>
        <w:lastRenderedPageBreak/>
        <w:t>porcentaje restante (8.92%) no respondieron. En cambio, de quienes tienen hasta instrucción secundaria, más del 50% ha utilizado Internet, un porcentaje cercano no ha utilizado (el 43.49%); y, alrededor del 5.90% son datos faltantes</w:t>
      </w:r>
      <w:r w:rsidR="00F91C02">
        <w:rPr>
          <w:rFonts w:ascii="Arial" w:hAnsi="Arial" w:cs="Arial"/>
        </w:rPr>
        <w:t>;</w:t>
      </w:r>
      <w:r>
        <w:rPr>
          <w:rFonts w:ascii="Arial" w:hAnsi="Arial" w:cs="Arial"/>
        </w:rPr>
        <w:t xml:space="preserve"> </w:t>
      </w:r>
      <w:r w:rsidR="00F91C02">
        <w:rPr>
          <w:rFonts w:ascii="Arial" w:hAnsi="Arial" w:cs="Arial"/>
        </w:rPr>
        <w:t>m</w:t>
      </w:r>
      <w:r>
        <w:rPr>
          <w:rFonts w:ascii="Arial" w:hAnsi="Arial" w:cs="Arial"/>
        </w:rPr>
        <w:t xml:space="preserve">ientras que, los extranjeros que tienen hasta nivel superior o postgrado, el 86.57% ha utilizado Internet en los últimos seis meses, el 11.30% no ha utilizado; y, los restantes (el 2.13%) no respondieron. Para más detalles acerca de otros niveles de instrucción </w:t>
      </w:r>
      <w:r>
        <w:rPr>
          <w:rFonts w:ascii="Arial" w:hAnsi="Arial" w:cs="Arial"/>
          <w:i/>
        </w:rPr>
        <w:t>véase Tabla 3.4.</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345D8D">
        <w:trPr>
          <w:trHeight w:val="2891"/>
          <w:jc w:val="right"/>
        </w:trPr>
        <w:tc>
          <w:tcPr>
            <w:tcW w:w="7497" w:type="dxa"/>
          </w:tcPr>
          <w:p w:rsidR="00060299" w:rsidRDefault="00060299" w:rsidP="003B05B6">
            <w:pPr>
              <w:rPr>
                <w:rFonts w:ascii="Arial" w:hAnsi="Arial" w:cs="Arial"/>
                <w:b/>
                <w:sz w:val="16"/>
                <w:szCs w:val="16"/>
              </w:rPr>
            </w:pPr>
          </w:p>
          <w:p w:rsidR="00F91E1C" w:rsidRPr="00F91E1C" w:rsidRDefault="00F91E1C" w:rsidP="00F91E1C">
            <w:pPr>
              <w:pStyle w:val="Epgrafe"/>
              <w:rPr>
                <w:rFonts w:ascii="Arial" w:hAnsi="Arial" w:cs="Arial"/>
                <w:bCs w:val="0"/>
                <w:color w:val="auto"/>
                <w:sz w:val="16"/>
                <w:szCs w:val="16"/>
              </w:rPr>
            </w:pPr>
            <w:bookmarkStart w:id="470" w:name="_Toc341041915"/>
            <w:r w:rsidRPr="00F91E1C">
              <w:rPr>
                <w:rFonts w:ascii="Arial" w:hAnsi="Arial" w:cs="Arial"/>
                <w:bCs w:val="0"/>
                <w:color w:val="auto"/>
                <w:sz w:val="16"/>
                <w:szCs w:val="16"/>
              </w:rPr>
              <w:t>Tabla 3.</w:t>
            </w:r>
            <w:r w:rsidR="00990535" w:rsidRPr="00F91E1C">
              <w:rPr>
                <w:rFonts w:ascii="Arial" w:hAnsi="Arial" w:cs="Arial"/>
                <w:bCs w:val="0"/>
                <w:color w:val="auto"/>
                <w:sz w:val="16"/>
                <w:szCs w:val="16"/>
              </w:rPr>
              <w:fldChar w:fldCharType="begin"/>
            </w:r>
            <w:r w:rsidRPr="00F91E1C">
              <w:rPr>
                <w:rFonts w:ascii="Arial" w:hAnsi="Arial" w:cs="Arial"/>
                <w:bCs w:val="0"/>
                <w:color w:val="auto"/>
                <w:sz w:val="16"/>
                <w:szCs w:val="16"/>
              </w:rPr>
              <w:instrText xml:space="preserve"> SEQ Tabla_3. \* ARABIC </w:instrText>
            </w:r>
            <w:r w:rsidR="00990535" w:rsidRPr="00F91E1C">
              <w:rPr>
                <w:rFonts w:ascii="Arial" w:hAnsi="Arial" w:cs="Arial"/>
                <w:bCs w:val="0"/>
                <w:color w:val="auto"/>
                <w:sz w:val="16"/>
                <w:szCs w:val="16"/>
              </w:rPr>
              <w:fldChar w:fldCharType="separate"/>
            </w:r>
            <w:r w:rsidR="00A242E0">
              <w:rPr>
                <w:rFonts w:ascii="Arial" w:hAnsi="Arial" w:cs="Arial"/>
                <w:bCs w:val="0"/>
                <w:noProof/>
                <w:color w:val="auto"/>
                <w:sz w:val="16"/>
                <w:szCs w:val="16"/>
              </w:rPr>
              <w:t>4</w:t>
            </w:r>
            <w:bookmarkEnd w:id="470"/>
            <w:r w:rsidR="00990535" w:rsidRPr="00F91E1C">
              <w:rPr>
                <w:rFonts w:ascii="Arial" w:hAnsi="Arial" w:cs="Arial"/>
                <w:bCs w:val="0"/>
                <w:color w:val="auto"/>
                <w:sz w:val="16"/>
                <w:szCs w:val="16"/>
              </w:rPr>
              <w:fldChar w:fldCharType="end"/>
            </w:r>
          </w:p>
          <w:p w:rsidR="00060299" w:rsidRDefault="00345D8D" w:rsidP="003B05B6">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Distribución condicional de los extranjeros</w:t>
            </w:r>
            <w:r w:rsidR="00060299">
              <w:rPr>
                <w:rFonts w:ascii="Arial" w:hAnsi="Arial" w:cs="Arial"/>
                <w:i/>
                <w:sz w:val="16"/>
                <w:szCs w:val="16"/>
              </w:rPr>
              <w:t xml:space="preserve"> que ha</w:t>
            </w:r>
            <w:r>
              <w:rPr>
                <w:rFonts w:ascii="Arial" w:hAnsi="Arial" w:cs="Arial"/>
                <w:i/>
                <w:sz w:val="16"/>
                <w:szCs w:val="16"/>
              </w:rPr>
              <w:t>n</w:t>
            </w:r>
            <w:r w:rsidR="00060299">
              <w:rPr>
                <w:rFonts w:ascii="Arial" w:hAnsi="Arial" w:cs="Arial"/>
                <w:i/>
                <w:sz w:val="16"/>
                <w:szCs w:val="16"/>
              </w:rPr>
              <w:t xml:space="preserve"> utilizado Internet en </w:t>
            </w:r>
          </w:p>
          <w:p w:rsidR="00060299" w:rsidRDefault="00060299" w:rsidP="003B05B6">
            <w:pPr>
              <w:rPr>
                <w:rFonts w:ascii="Arial" w:hAnsi="Arial" w:cs="Arial"/>
                <w:i/>
                <w:sz w:val="16"/>
                <w:szCs w:val="16"/>
              </w:rPr>
            </w:pPr>
            <w:r>
              <w:rPr>
                <w:rFonts w:ascii="Arial" w:hAnsi="Arial" w:cs="Arial"/>
                <w:i/>
                <w:sz w:val="16"/>
                <w:szCs w:val="16"/>
              </w:rPr>
              <w:t>los últimos seis meses</w:t>
            </w:r>
            <w:r w:rsidR="00345D8D">
              <w:rPr>
                <w:rFonts w:ascii="Arial" w:hAnsi="Arial" w:cs="Arial"/>
                <w:i/>
                <w:sz w:val="16"/>
                <w:szCs w:val="16"/>
              </w:rPr>
              <w:t xml:space="preserve"> dado que se conoce</w:t>
            </w:r>
            <w:r>
              <w:rPr>
                <w:rFonts w:ascii="Arial" w:hAnsi="Arial" w:cs="Arial"/>
                <w:i/>
                <w:sz w:val="16"/>
                <w:szCs w:val="16"/>
              </w:rPr>
              <w:t xml:space="preserve"> </w:t>
            </w:r>
            <w:r w:rsidR="00345D8D">
              <w:rPr>
                <w:rFonts w:ascii="Arial" w:hAnsi="Arial" w:cs="Arial"/>
                <w:i/>
                <w:sz w:val="16"/>
                <w:szCs w:val="16"/>
              </w:rPr>
              <w:t xml:space="preserve">el </w:t>
            </w:r>
            <w:r>
              <w:rPr>
                <w:rFonts w:ascii="Arial" w:hAnsi="Arial" w:cs="Arial"/>
                <w:i/>
                <w:sz w:val="16"/>
                <w:szCs w:val="16"/>
              </w:rPr>
              <w:t>Nivel más alto de Instrucción</w:t>
            </w:r>
          </w:p>
          <w:p w:rsidR="00060299" w:rsidRDefault="00060299" w:rsidP="003B05B6">
            <w:pPr>
              <w:rPr>
                <w:rFonts w:ascii="Arial" w:hAnsi="Arial" w:cs="Arial"/>
                <w:i/>
                <w:sz w:val="16"/>
                <w:szCs w:val="16"/>
              </w:rPr>
            </w:pPr>
          </w:p>
          <w:tbl>
            <w:tblPr>
              <w:tblW w:w="572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65"/>
              <w:gridCol w:w="1020"/>
              <w:gridCol w:w="1020"/>
              <w:gridCol w:w="1020"/>
            </w:tblGrid>
            <w:tr w:rsidR="00060299" w:rsidRPr="00826745" w:rsidTr="003B05B6">
              <w:trPr>
                <w:trHeight w:val="198"/>
                <w:jc w:val="center"/>
              </w:trPr>
              <w:tc>
                <w:tcPr>
                  <w:tcW w:w="2665" w:type="dxa"/>
                  <w:vMerge w:val="restart"/>
                  <w:tcBorders>
                    <w:top w:val="single" w:sz="4" w:space="0" w:color="auto"/>
                    <w:bottom w:val="nil"/>
                  </w:tcBorders>
                  <w:shd w:val="clear" w:color="auto" w:fill="auto"/>
                  <w:noWrap/>
                  <w:vAlign w:val="center"/>
                  <w:hideMark/>
                </w:tcPr>
                <w:p w:rsidR="00060299" w:rsidRPr="00826745" w:rsidRDefault="00060299" w:rsidP="003B05B6">
                  <w:pPr>
                    <w:rPr>
                      <w:rFonts w:ascii="Arial" w:eastAsia="Times New Roman" w:hAnsi="Arial" w:cs="Arial"/>
                      <w:b/>
                      <w:color w:val="000000"/>
                      <w:sz w:val="16"/>
                      <w:szCs w:val="16"/>
                      <w:lang w:eastAsia="es-EC"/>
                    </w:rPr>
                  </w:pPr>
                  <w:r w:rsidRPr="00826745">
                    <w:rPr>
                      <w:rFonts w:ascii="Arial" w:eastAsia="Times New Roman" w:hAnsi="Arial" w:cs="Arial"/>
                      <w:b/>
                      <w:color w:val="000000"/>
                      <w:sz w:val="16"/>
                      <w:szCs w:val="16"/>
                      <w:lang w:eastAsia="es-EC"/>
                    </w:rPr>
                    <w:t>Nivel más alto de Instrucción</w:t>
                  </w:r>
                </w:p>
              </w:tc>
              <w:tc>
                <w:tcPr>
                  <w:tcW w:w="3060" w:type="dxa"/>
                  <w:gridSpan w:val="3"/>
                  <w:tcBorders>
                    <w:top w:val="single" w:sz="4" w:space="0" w:color="auto"/>
                    <w:bottom w:val="single" w:sz="4" w:space="0" w:color="auto"/>
                  </w:tcBorders>
                  <w:shd w:val="clear" w:color="auto" w:fill="auto"/>
                  <w:vAlign w:val="center"/>
                  <w:hideMark/>
                </w:tcPr>
                <w:p w:rsidR="00060299" w:rsidRPr="00826745" w:rsidRDefault="00060299" w:rsidP="003B05B6">
                  <w:pPr>
                    <w:rPr>
                      <w:rFonts w:ascii="Arial" w:eastAsia="Times New Roman" w:hAnsi="Arial" w:cs="Arial"/>
                      <w:b/>
                      <w:color w:val="000000"/>
                      <w:sz w:val="16"/>
                      <w:szCs w:val="16"/>
                      <w:lang w:eastAsia="es-EC"/>
                    </w:rPr>
                  </w:pPr>
                  <w:r w:rsidRPr="00826745">
                    <w:rPr>
                      <w:rFonts w:ascii="Arial" w:eastAsia="Times New Roman" w:hAnsi="Arial" w:cs="Arial"/>
                      <w:b/>
                      <w:color w:val="000000"/>
                      <w:sz w:val="16"/>
                      <w:szCs w:val="16"/>
                      <w:lang w:eastAsia="es-EC"/>
                    </w:rPr>
                    <w:t>En los últimos 6 meses ha utilizado Internet</w:t>
                  </w:r>
                </w:p>
              </w:tc>
            </w:tr>
            <w:tr w:rsidR="00060299" w:rsidRPr="00826745" w:rsidTr="003B05B6">
              <w:trPr>
                <w:trHeight w:val="198"/>
                <w:jc w:val="center"/>
              </w:trPr>
              <w:tc>
                <w:tcPr>
                  <w:tcW w:w="2665" w:type="dxa"/>
                  <w:vMerge/>
                  <w:tcBorders>
                    <w:top w:val="nil"/>
                    <w:bottom w:val="single" w:sz="4" w:space="0" w:color="auto"/>
                  </w:tcBorders>
                  <w:shd w:val="clear" w:color="auto" w:fill="auto"/>
                  <w:noWrap/>
                  <w:vAlign w:val="center"/>
                  <w:hideMark/>
                </w:tcPr>
                <w:p w:rsidR="00060299" w:rsidRPr="00826745" w:rsidRDefault="00060299" w:rsidP="003B05B6">
                  <w:pPr>
                    <w:rPr>
                      <w:rFonts w:ascii="Arial" w:eastAsia="Times New Roman" w:hAnsi="Arial" w:cs="Arial"/>
                      <w:b/>
                      <w:color w:val="000000"/>
                      <w:sz w:val="16"/>
                      <w:szCs w:val="16"/>
                      <w:lang w:eastAsia="es-EC"/>
                    </w:rPr>
                  </w:pPr>
                </w:p>
              </w:tc>
              <w:tc>
                <w:tcPr>
                  <w:tcW w:w="1020" w:type="dxa"/>
                  <w:tcBorders>
                    <w:top w:val="single" w:sz="4" w:space="0" w:color="auto"/>
                    <w:bottom w:val="single" w:sz="4" w:space="0" w:color="auto"/>
                  </w:tcBorders>
                  <w:shd w:val="clear" w:color="auto" w:fill="auto"/>
                  <w:vAlign w:val="center"/>
                  <w:hideMark/>
                </w:tcPr>
                <w:p w:rsidR="00060299" w:rsidRPr="00826745" w:rsidRDefault="00060299" w:rsidP="003B05B6">
                  <w:pPr>
                    <w:rPr>
                      <w:rFonts w:ascii="Arial" w:eastAsia="Times New Roman" w:hAnsi="Arial" w:cs="Arial"/>
                      <w:b/>
                      <w:color w:val="000000"/>
                      <w:sz w:val="16"/>
                      <w:szCs w:val="16"/>
                      <w:lang w:eastAsia="es-EC"/>
                    </w:rPr>
                  </w:pPr>
                  <w:r>
                    <w:rPr>
                      <w:rFonts w:ascii="Arial" w:eastAsia="Times New Roman" w:hAnsi="Arial" w:cs="Arial"/>
                      <w:b/>
                      <w:color w:val="000000"/>
                      <w:sz w:val="16"/>
                      <w:szCs w:val="16"/>
                      <w:lang w:eastAsia="es-EC"/>
                    </w:rPr>
                    <w:t>Sí</w:t>
                  </w:r>
                </w:p>
              </w:tc>
              <w:tc>
                <w:tcPr>
                  <w:tcW w:w="1020" w:type="dxa"/>
                  <w:tcBorders>
                    <w:top w:val="single" w:sz="4" w:space="0" w:color="auto"/>
                    <w:bottom w:val="single" w:sz="4" w:space="0" w:color="auto"/>
                  </w:tcBorders>
                  <w:shd w:val="clear" w:color="auto" w:fill="auto"/>
                  <w:vAlign w:val="center"/>
                  <w:hideMark/>
                </w:tcPr>
                <w:p w:rsidR="00060299" w:rsidRPr="00826745" w:rsidRDefault="00060299" w:rsidP="003B05B6">
                  <w:pPr>
                    <w:rPr>
                      <w:rFonts w:ascii="Arial" w:eastAsia="Times New Roman" w:hAnsi="Arial" w:cs="Arial"/>
                      <w:b/>
                      <w:color w:val="000000"/>
                      <w:sz w:val="16"/>
                      <w:szCs w:val="16"/>
                      <w:lang w:eastAsia="es-EC"/>
                    </w:rPr>
                  </w:pPr>
                  <w:r w:rsidRPr="00826745">
                    <w:rPr>
                      <w:rFonts w:ascii="Arial" w:eastAsia="Times New Roman" w:hAnsi="Arial" w:cs="Arial"/>
                      <w:b/>
                      <w:color w:val="000000"/>
                      <w:sz w:val="16"/>
                      <w:szCs w:val="16"/>
                      <w:lang w:eastAsia="es-EC"/>
                    </w:rPr>
                    <w:t>No</w:t>
                  </w:r>
                </w:p>
              </w:tc>
              <w:tc>
                <w:tcPr>
                  <w:tcW w:w="1020" w:type="dxa"/>
                  <w:tcBorders>
                    <w:top w:val="single" w:sz="4" w:space="0" w:color="auto"/>
                    <w:bottom w:val="single" w:sz="4" w:space="0" w:color="auto"/>
                  </w:tcBorders>
                  <w:shd w:val="clear" w:color="auto" w:fill="auto"/>
                  <w:vAlign w:val="center"/>
                  <w:hideMark/>
                </w:tcPr>
                <w:p w:rsidR="00060299" w:rsidRPr="00826745" w:rsidRDefault="00060299" w:rsidP="003B05B6">
                  <w:pPr>
                    <w:rPr>
                      <w:rFonts w:ascii="Arial" w:eastAsia="Times New Roman" w:hAnsi="Arial" w:cs="Arial"/>
                      <w:b/>
                      <w:color w:val="000000"/>
                      <w:sz w:val="16"/>
                      <w:szCs w:val="16"/>
                      <w:lang w:eastAsia="es-EC"/>
                    </w:rPr>
                  </w:pPr>
                  <w:r w:rsidRPr="00826745">
                    <w:rPr>
                      <w:rFonts w:ascii="Arial" w:eastAsia="Times New Roman" w:hAnsi="Arial" w:cs="Arial"/>
                      <w:b/>
                      <w:color w:val="000000"/>
                      <w:sz w:val="16"/>
                      <w:szCs w:val="16"/>
                      <w:lang w:eastAsia="es-EC"/>
                    </w:rPr>
                    <w:t>Se ignora</w:t>
                  </w:r>
                </w:p>
              </w:tc>
            </w:tr>
            <w:tr w:rsidR="00060299" w:rsidRPr="00826745" w:rsidTr="003B05B6">
              <w:trPr>
                <w:trHeight w:val="198"/>
                <w:jc w:val="center"/>
              </w:trPr>
              <w:tc>
                <w:tcPr>
                  <w:tcW w:w="2665" w:type="dxa"/>
                  <w:tcBorders>
                    <w:top w:val="single" w:sz="4" w:space="0" w:color="auto"/>
                  </w:tcBorders>
                  <w:shd w:val="clear" w:color="auto" w:fill="auto"/>
                  <w:vAlign w:val="center"/>
                  <w:hideMark/>
                </w:tcPr>
                <w:p w:rsidR="00060299" w:rsidRPr="00826745" w:rsidRDefault="00060299" w:rsidP="00624D0D">
                  <w:pPr>
                    <w:jc w:val="left"/>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Ninguno</w:t>
                  </w:r>
                </w:p>
              </w:tc>
              <w:tc>
                <w:tcPr>
                  <w:tcW w:w="1020" w:type="dxa"/>
                  <w:tcBorders>
                    <w:top w:val="single" w:sz="4" w:space="0" w:color="auto"/>
                  </w:tcBorders>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0.072</w:t>
                  </w:r>
                </w:p>
              </w:tc>
              <w:tc>
                <w:tcPr>
                  <w:tcW w:w="1020" w:type="dxa"/>
                  <w:tcBorders>
                    <w:top w:val="single" w:sz="4" w:space="0" w:color="auto"/>
                  </w:tcBorders>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0.842</w:t>
                  </w:r>
                </w:p>
              </w:tc>
              <w:tc>
                <w:tcPr>
                  <w:tcW w:w="1020" w:type="dxa"/>
                  <w:tcBorders>
                    <w:top w:val="single" w:sz="4" w:space="0" w:color="auto"/>
                  </w:tcBorders>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0.086</w:t>
                  </w:r>
                </w:p>
              </w:tc>
            </w:tr>
            <w:tr w:rsidR="00060299" w:rsidRPr="00826745" w:rsidTr="003B05B6">
              <w:trPr>
                <w:trHeight w:val="198"/>
                <w:jc w:val="center"/>
              </w:trPr>
              <w:tc>
                <w:tcPr>
                  <w:tcW w:w="2665" w:type="dxa"/>
                  <w:shd w:val="clear" w:color="auto" w:fill="auto"/>
                  <w:vAlign w:val="center"/>
                  <w:hideMark/>
                </w:tcPr>
                <w:p w:rsidR="00060299" w:rsidRPr="00826745" w:rsidRDefault="00060299" w:rsidP="00624D0D">
                  <w:pPr>
                    <w:jc w:val="left"/>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Centro de Alfabetización/(EBA)</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0.027</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0.893</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0.080</w:t>
                  </w:r>
                </w:p>
              </w:tc>
            </w:tr>
            <w:tr w:rsidR="00060299" w:rsidRPr="00826745" w:rsidTr="003B05B6">
              <w:trPr>
                <w:trHeight w:val="198"/>
                <w:jc w:val="center"/>
              </w:trPr>
              <w:tc>
                <w:tcPr>
                  <w:tcW w:w="2665" w:type="dxa"/>
                  <w:shd w:val="clear" w:color="auto" w:fill="auto"/>
                  <w:vAlign w:val="center"/>
                  <w:hideMark/>
                </w:tcPr>
                <w:p w:rsidR="00060299" w:rsidRPr="00826745" w:rsidRDefault="00060299" w:rsidP="00624D0D">
                  <w:pPr>
                    <w:jc w:val="left"/>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Primaria</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0.201</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0.710</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0.089</w:t>
                  </w:r>
                </w:p>
              </w:tc>
            </w:tr>
            <w:tr w:rsidR="00060299" w:rsidRPr="00826745" w:rsidTr="003B05B6">
              <w:trPr>
                <w:trHeight w:val="198"/>
                <w:jc w:val="center"/>
              </w:trPr>
              <w:tc>
                <w:tcPr>
                  <w:tcW w:w="2665" w:type="dxa"/>
                  <w:shd w:val="clear" w:color="auto" w:fill="auto"/>
                  <w:vAlign w:val="center"/>
                  <w:hideMark/>
                </w:tcPr>
                <w:p w:rsidR="00060299" w:rsidRPr="00826745" w:rsidRDefault="00060299" w:rsidP="00624D0D">
                  <w:pPr>
                    <w:jc w:val="left"/>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Secundaria</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0.506</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0.435</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0.059</w:t>
                  </w:r>
                </w:p>
              </w:tc>
            </w:tr>
            <w:tr w:rsidR="00060299" w:rsidRPr="00826745" w:rsidTr="003B05B6">
              <w:trPr>
                <w:trHeight w:val="198"/>
                <w:jc w:val="center"/>
              </w:trPr>
              <w:tc>
                <w:tcPr>
                  <w:tcW w:w="2665" w:type="dxa"/>
                  <w:shd w:val="clear" w:color="auto" w:fill="auto"/>
                  <w:vAlign w:val="center"/>
                  <w:hideMark/>
                </w:tcPr>
                <w:p w:rsidR="00060299" w:rsidRPr="00826745" w:rsidRDefault="00060299" w:rsidP="00624D0D">
                  <w:pPr>
                    <w:jc w:val="left"/>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Superior</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0.866</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0.113</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0.021</w:t>
                  </w:r>
                </w:p>
              </w:tc>
            </w:tr>
            <w:tr w:rsidR="00060299" w:rsidRPr="00826745" w:rsidTr="003B05B6">
              <w:trPr>
                <w:trHeight w:val="198"/>
                <w:jc w:val="center"/>
              </w:trPr>
              <w:tc>
                <w:tcPr>
                  <w:tcW w:w="2665" w:type="dxa"/>
                  <w:shd w:val="clear" w:color="auto" w:fill="auto"/>
                  <w:vAlign w:val="center"/>
                  <w:hideMark/>
                </w:tcPr>
                <w:p w:rsidR="00060299" w:rsidRPr="00826745" w:rsidRDefault="00060299" w:rsidP="00624D0D">
                  <w:pPr>
                    <w:jc w:val="left"/>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Se ignora</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0.171</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0.305</w:t>
                  </w:r>
                </w:p>
              </w:tc>
              <w:tc>
                <w:tcPr>
                  <w:tcW w:w="1020" w:type="dxa"/>
                  <w:shd w:val="clear" w:color="auto" w:fill="auto"/>
                  <w:noWrap/>
                  <w:vAlign w:val="center"/>
                  <w:hideMark/>
                </w:tcPr>
                <w:p w:rsidR="00060299" w:rsidRPr="00826745" w:rsidRDefault="00060299" w:rsidP="003B05B6">
                  <w:pPr>
                    <w:rPr>
                      <w:rFonts w:ascii="Arial" w:eastAsia="Times New Roman" w:hAnsi="Arial" w:cs="Arial"/>
                      <w:color w:val="000000"/>
                      <w:sz w:val="16"/>
                      <w:szCs w:val="16"/>
                      <w:lang w:eastAsia="es-EC"/>
                    </w:rPr>
                  </w:pPr>
                  <w:r w:rsidRPr="00826745">
                    <w:rPr>
                      <w:rFonts w:ascii="Arial" w:eastAsia="Times New Roman" w:hAnsi="Arial" w:cs="Arial"/>
                      <w:color w:val="000000"/>
                      <w:sz w:val="16"/>
                      <w:szCs w:val="16"/>
                      <w:lang w:eastAsia="es-EC"/>
                    </w:rPr>
                    <w:t>0.523</w:t>
                  </w:r>
                </w:p>
              </w:tc>
            </w:tr>
          </w:tbl>
          <w:p w:rsidR="00060299" w:rsidRPr="0078148C" w:rsidRDefault="00060299" w:rsidP="003B05B6">
            <w:pPr>
              <w:rPr>
                <w:rFonts w:ascii="Arial" w:hAnsi="Arial" w:cs="Arial"/>
                <w:i/>
                <w:sz w:val="16"/>
                <w:szCs w:val="16"/>
              </w:rPr>
            </w:pPr>
          </w:p>
        </w:tc>
      </w:tr>
    </w:tbl>
    <w:p w:rsidR="00060299" w:rsidRPr="00345D8D" w:rsidRDefault="00060299" w:rsidP="00345D8D">
      <w:pPr>
        <w:pStyle w:val="Prrafodelista"/>
        <w:spacing w:line="276" w:lineRule="auto"/>
        <w:ind w:left="851"/>
        <w:jc w:val="both"/>
        <w:rPr>
          <w:rFonts w:ascii="Arial" w:hAnsi="Arial" w:cs="Arial"/>
          <w:sz w:val="17"/>
          <w:szCs w:val="17"/>
        </w:rPr>
      </w:pPr>
    </w:p>
    <w:p w:rsidR="00060299" w:rsidRPr="00345D8D" w:rsidRDefault="00060299" w:rsidP="00345D8D">
      <w:pPr>
        <w:pStyle w:val="Prrafodelista"/>
        <w:spacing w:line="276" w:lineRule="auto"/>
        <w:ind w:left="851"/>
        <w:jc w:val="both"/>
        <w:rPr>
          <w:rFonts w:ascii="Arial" w:hAnsi="Arial" w:cs="Arial"/>
          <w:sz w:val="17"/>
          <w:szCs w:val="17"/>
        </w:rPr>
      </w:pPr>
      <w:r w:rsidRPr="00345D8D">
        <w:rPr>
          <w:rFonts w:ascii="Arial" w:hAnsi="Arial" w:cs="Arial"/>
          <w:b/>
          <w:i/>
          <w:sz w:val="17"/>
          <w:szCs w:val="17"/>
        </w:rPr>
        <w:t>Fuente:</w:t>
      </w:r>
      <w:r w:rsidRPr="00345D8D">
        <w:rPr>
          <w:rFonts w:ascii="Arial" w:hAnsi="Arial" w:cs="Arial"/>
          <w:sz w:val="17"/>
          <w:szCs w:val="17"/>
        </w:rPr>
        <w:t xml:space="preserve"> </w:t>
      </w:r>
      <w:r w:rsidRPr="00345D8D">
        <w:rPr>
          <w:rFonts w:ascii="Arial" w:hAnsi="Arial" w:cs="Arial"/>
          <w:b/>
          <w:sz w:val="17"/>
          <w:szCs w:val="17"/>
        </w:rPr>
        <w:t xml:space="preserve">INEC </w:t>
      </w:r>
      <w:r w:rsidRPr="00345D8D">
        <w:rPr>
          <w:rFonts w:ascii="Arial" w:hAnsi="Arial" w:cs="Arial"/>
          <w:sz w:val="17"/>
          <w:szCs w:val="17"/>
        </w:rPr>
        <w:t>(2010), Base de Datos del VII Censo de Población y VI de Vivienda.</w:t>
      </w:r>
    </w:p>
    <w:p w:rsidR="00060299" w:rsidRPr="00345D8D" w:rsidRDefault="00060299" w:rsidP="00345D8D">
      <w:pPr>
        <w:pStyle w:val="Prrafodelista"/>
        <w:spacing w:line="276" w:lineRule="auto"/>
        <w:ind w:left="851"/>
        <w:jc w:val="both"/>
        <w:rPr>
          <w:rFonts w:ascii="Arial" w:hAnsi="Arial" w:cs="Arial"/>
          <w:sz w:val="17"/>
          <w:szCs w:val="17"/>
        </w:rPr>
      </w:pPr>
      <w:r w:rsidRPr="00345D8D">
        <w:rPr>
          <w:rFonts w:ascii="Arial" w:hAnsi="Arial" w:cs="Arial"/>
          <w:b/>
          <w:i/>
          <w:sz w:val="17"/>
          <w:szCs w:val="17"/>
        </w:rPr>
        <w:t>Elaborado por:</w:t>
      </w:r>
      <w:r w:rsidRPr="00345D8D">
        <w:rPr>
          <w:rFonts w:ascii="Arial" w:hAnsi="Arial" w:cs="Arial"/>
          <w:sz w:val="17"/>
          <w:szCs w:val="17"/>
        </w:rPr>
        <w:t xml:space="preserve"> Katherine Loor Valeriano</w:t>
      </w:r>
    </w:p>
    <w:p w:rsidR="00060299" w:rsidRDefault="00060299" w:rsidP="00345D8D">
      <w:pPr>
        <w:pStyle w:val="Prrafodelista"/>
        <w:spacing w:line="480" w:lineRule="auto"/>
        <w:ind w:left="851"/>
        <w:jc w:val="both"/>
        <w:rPr>
          <w:rFonts w:ascii="Arial" w:hAnsi="Arial" w:cs="Arial"/>
        </w:rPr>
      </w:pPr>
    </w:p>
    <w:p w:rsidR="00060299" w:rsidRPr="00BC38AE" w:rsidRDefault="00060299" w:rsidP="00345D8D">
      <w:pPr>
        <w:pStyle w:val="TesisTitulo2"/>
        <w:ind w:left="1701" w:hanging="850"/>
      </w:pPr>
      <w:bookmarkStart w:id="471" w:name="_Toc335850609"/>
      <w:bookmarkStart w:id="472" w:name="_Toc341040655"/>
      <w:r>
        <w:t>Ha utilizado Computadora</w:t>
      </w:r>
      <w:bookmarkEnd w:id="471"/>
      <w:bookmarkEnd w:id="472"/>
    </w:p>
    <w:p w:rsidR="00060299" w:rsidRPr="004F6993" w:rsidRDefault="00060299" w:rsidP="00345D8D">
      <w:pPr>
        <w:spacing w:line="480" w:lineRule="auto"/>
        <w:ind w:left="851"/>
        <w:jc w:val="both"/>
        <w:rPr>
          <w:rFonts w:ascii="Arial" w:hAnsi="Arial" w:cs="Arial"/>
        </w:rPr>
      </w:pPr>
      <w:r>
        <w:rPr>
          <w:rFonts w:ascii="Arial" w:hAnsi="Arial" w:cs="Arial"/>
        </w:rPr>
        <w:t xml:space="preserve">En lo que respecta a la utilización de la Computadora, se tiene que en los primeros grupos de edad es mayor el porcentaje de extranjeros que han utilizado el computador, aunque a partir de los 50 años se nota un cambio en la tendencia pues empieza a aumentar la cantidad de quienes no han utilizado el computador. Por otra parte, si consideramos un grupo de edad en específico como los extranjeros que tienen edades entre 15 y 20 años, tenemos que el 58.62% ha utilizado una computadora en los últimos seis </w:t>
      </w:r>
      <w:r>
        <w:rPr>
          <w:rFonts w:ascii="Arial" w:hAnsi="Arial" w:cs="Arial"/>
        </w:rPr>
        <w:lastRenderedPageBreak/>
        <w:t xml:space="preserve">meses, existe un 35.40% que no lo ha utilizado; y, el 5.98% que no respondieron. Por otra parte, de los inmigrantes con edades comprendidas entre 50 y 55 años, se tiene que el 46.72% ha utilizado esta herramienta informática, el 46.87% por su parte no la ha utilizado; y, el porcentaje restante (6.41%) representan los datos faltantes o ignorados. Para más detalles sobre otros grupos de edad </w:t>
      </w:r>
      <w:r>
        <w:rPr>
          <w:rFonts w:ascii="Arial" w:hAnsi="Arial" w:cs="Arial"/>
          <w:i/>
        </w:rPr>
        <w:t>véase Figura 3.26</w:t>
      </w:r>
      <w:r>
        <w:rPr>
          <w:rFonts w:ascii="Arial" w:hAnsi="Arial" w:cs="Arial"/>
        </w:rPr>
        <w:t>.</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345D8D">
        <w:trPr>
          <w:trHeight w:val="4241"/>
          <w:jc w:val="right"/>
        </w:trPr>
        <w:tc>
          <w:tcPr>
            <w:tcW w:w="7497" w:type="dxa"/>
          </w:tcPr>
          <w:p w:rsidR="00060299" w:rsidRDefault="00060299" w:rsidP="003B05B6">
            <w:pPr>
              <w:rPr>
                <w:rFonts w:ascii="Arial" w:hAnsi="Arial" w:cs="Arial"/>
                <w:b/>
                <w:sz w:val="16"/>
                <w:szCs w:val="16"/>
              </w:rPr>
            </w:pPr>
          </w:p>
          <w:p w:rsidR="00951D7D" w:rsidRPr="00951D7D" w:rsidRDefault="00951D7D" w:rsidP="00951D7D">
            <w:pPr>
              <w:pStyle w:val="Epgrafe"/>
              <w:rPr>
                <w:rFonts w:ascii="Arial" w:hAnsi="Arial" w:cs="Arial"/>
                <w:bCs w:val="0"/>
                <w:color w:val="auto"/>
                <w:sz w:val="16"/>
                <w:szCs w:val="16"/>
              </w:rPr>
            </w:pPr>
            <w:bookmarkStart w:id="473" w:name="_Toc341043425"/>
            <w:r>
              <w:rPr>
                <w:rFonts w:ascii="Arial" w:hAnsi="Arial" w:cs="Arial"/>
                <w:bCs w:val="0"/>
                <w:color w:val="auto"/>
                <w:sz w:val="16"/>
                <w:szCs w:val="16"/>
              </w:rPr>
              <w:t>Figura 3.</w:t>
            </w:r>
            <w:r w:rsidR="00990535" w:rsidRPr="00951D7D">
              <w:rPr>
                <w:rFonts w:ascii="Arial" w:hAnsi="Arial" w:cs="Arial"/>
                <w:bCs w:val="0"/>
                <w:color w:val="auto"/>
                <w:sz w:val="16"/>
                <w:szCs w:val="16"/>
              </w:rPr>
              <w:fldChar w:fldCharType="begin"/>
            </w:r>
            <w:r w:rsidRPr="00951D7D">
              <w:rPr>
                <w:rFonts w:ascii="Arial" w:hAnsi="Arial" w:cs="Arial"/>
                <w:bCs w:val="0"/>
                <w:color w:val="auto"/>
                <w:sz w:val="16"/>
                <w:szCs w:val="16"/>
              </w:rPr>
              <w:instrText xml:space="preserve"> SEQ Figura_3. \* ARABIC </w:instrText>
            </w:r>
            <w:r w:rsidR="00990535" w:rsidRPr="00951D7D">
              <w:rPr>
                <w:rFonts w:ascii="Arial" w:hAnsi="Arial" w:cs="Arial"/>
                <w:bCs w:val="0"/>
                <w:color w:val="auto"/>
                <w:sz w:val="16"/>
                <w:szCs w:val="16"/>
              </w:rPr>
              <w:fldChar w:fldCharType="separate"/>
            </w:r>
            <w:r w:rsidR="00A242E0">
              <w:rPr>
                <w:rFonts w:ascii="Arial" w:hAnsi="Arial" w:cs="Arial"/>
                <w:bCs w:val="0"/>
                <w:noProof/>
                <w:color w:val="auto"/>
                <w:sz w:val="16"/>
                <w:szCs w:val="16"/>
              </w:rPr>
              <w:t>26</w:t>
            </w:r>
            <w:bookmarkEnd w:id="473"/>
            <w:r w:rsidR="00990535" w:rsidRPr="00951D7D">
              <w:rPr>
                <w:rFonts w:ascii="Arial" w:hAnsi="Arial" w:cs="Arial"/>
                <w:bCs w:val="0"/>
                <w:color w:val="auto"/>
                <w:sz w:val="16"/>
                <w:szCs w:val="16"/>
              </w:rPr>
              <w:fldChar w:fldCharType="end"/>
            </w:r>
          </w:p>
          <w:p w:rsidR="00060299" w:rsidRDefault="00345D8D"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 xml:space="preserve">Proporción de la Población </w:t>
            </w:r>
            <w:r>
              <w:rPr>
                <w:rFonts w:ascii="Arial" w:hAnsi="Arial" w:cs="Arial"/>
                <w:i/>
                <w:sz w:val="16"/>
                <w:szCs w:val="16"/>
              </w:rPr>
              <w:t xml:space="preserve">extranjera </w:t>
            </w:r>
            <w:r w:rsidR="00060299">
              <w:rPr>
                <w:rFonts w:ascii="Arial" w:hAnsi="Arial" w:cs="Arial"/>
                <w:i/>
                <w:sz w:val="16"/>
                <w:szCs w:val="16"/>
              </w:rPr>
              <w:t xml:space="preserve">que ha utilizado Computadora en </w:t>
            </w:r>
          </w:p>
          <w:p w:rsidR="00060299" w:rsidRDefault="00060299" w:rsidP="003B05B6">
            <w:pPr>
              <w:rPr>
                <w:rFonts w:ascii="Arial" w:hAnsi="Arial" w:cs="Arial"/>
                <w:i/>
                <w:sz w:val="16"/>
                <w:szCs w:val="16"/>
              </w:rPr>
            </w:pPr>
            <w:r>
              <w:rPr>
                <w:rFonts w:ascii="Arial" w:hAnsi="Arial" w:cs="Arial"/>
                <w:i/>
                <w:sz w:val="16"/>
                <w:szCs w:val="16"/>
              </w:rPr>
              <w:t>los ú</w:t>
            </w:r>
            <w:r w:rsidR="00345D8D">
              <w:rPr>
                <w:rFonts w:ascii="Arial" w:hAnsi="Arial" w:cs="Arial"/>
                <w:i/>
                <w:sz w:val="16"/>
                <w:szCs w:val="16"/>
              </w:rPr>
              <w:t>ltimos seis meses por Grupos etarios</w:t>
            </w:r>
          </w:p>
          <w:p w:rsidR="00060299" w:rsidRPr="004412ED" w:rsidRDefault="00436907" w:rsidP="003B05B6">
            <w:pPr>
              <w:rPr>
                <w:rFonts w:ascii="Arial" w:hAnsi="Arial" w:cs="Arial"/>
                <w:i/>
                <w:sz w:val="16"/>
                <w:szCs w:val="16"/>
              </w:rPr>
            </w:pPr>
            <w:r>
              <w:rPr>
                <w:rFonts w:ascii="Arial" w:hAnsi="Arial" w:cs="Arial"/>
                <w:noProof/>
                <w:lang w:eastAsia="es-EC"/>
              </w:rPr>
              <w:pict>
                <v:shape id="_x0000_s2133" type="#_x0000_t202" style="position:absolute;left:0;text-align:left;margin-left:203.8pt;margin-top:23.55pt;width:68.25pt;height:16.4pt;z-index:25189017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Pm9HgLgIAAFcEAAAOAAAAAAAAAAAAAAAAAC4CAABkcnMv&#10;ZTJvRG9jLnhtbFBLAQItABQABgAIAAAAIQD9LzLW2wAAAAUBAAAPAAAAAAAAAAAAAAAAAIgEAABk&#10;cnMvZG93bnJldi54bWxQSwUGAAAAAAQABADzAAAAkAUAAAAA&#10;" filled="f" stroked="f">
                  <v:textbox style="mso-fit-shape-to-text:t">
                    <w:txbxContent>
                      <w:p w:rsidR="006933DF" w:rsidRPr="00C76EF7" w:rsidRDefault="006933DF" w:rsidP="00345D8D">
                        <w:pPr>
                          <w:rPr>
                            <w:rFonts w:ascii="Arial" w:hAnsi="Arial" w:cs="Arial"/>
                            <w:color w:val="E36C0A" w:themeColor="accent6" w:themeShade="BF"/>
                            <w:sz w:val="16"/>
                            <w:szCs w:val="16"/>
                          </w:rPr>
                        </w:pPr>
                        <w:r w:rsidRPr="00C76EF7">
                          <w:rPr>
                            <w:rFonts w:ascii="Arial" w:hAnsi="Arial" w:cs="Arial"/>
                            <w:color w:val="E36C0A" w:themeColor="accent6" w:themeShade="BF"/>
                            <w:sz w:val="16"/>
                            <w:szCs w:val="16"/>
                          </w:rPr>
                          <w:t>No</w:t>
                        </w:r>
                      </w:p>
                    </w:txbxContent>
                  </v:textbox>
                </v:shape>
              </w:pict>
            </w:r>
            <w:r>
              <w:rPr>
                <w:rFonts w:ascii="Arial" w:hAnsi="Arial" w:cs="Arial"/>
                <w:noProof/>
                <w:lang w:eastAsia="es-EC"/>
              </w:rPr>
              <w:pict>
                <v:shape id="_x0000_s2136" type="#_x0000_t32" style="position:absolute;left:0;text-align:left;margin-left:243.1pt;margin-top:34.5pt;width:12.75pt;height:14.25pt;z-index:251893248" o:connectortype="straight" strokecolor="#e36c0a [2409]">
                  <v:stroke endarrow="block"/>
                </v:shape>
              </w:pict>
            </w:r>
            <w:r>
              <w:rPr>
                <w:rFonts w:ascii="Arial" w:hAnsi="Arial" w:cs="Arial"/>
                <w:noProof/>
                <w:lang w:eastAsia="es-EC"/>
              </w:rPr>
              <w:pict>
                <v:shape id="_x0000_s2134" type="#_x0000_t202" style="position:absolute;left:0;text-align:left;margin-left:156.95pt;margin-top:97.4pt;width:68.25pt;height:16.4pt;z-index:25189120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Pm9HgLgIAAFcEAAAOAAAAAAAAAAAAAAAAAC4CAABkcnMv&#10;ZTJvRG9jLnhtbFBLAQItABQABgAIAAAAIQD9LzLW2wAAAAUBAAAPAAAAAAAAAAAAAAAAAIgEAABk&#10;cnMvZG93bnJldi54bWxQSwUGAAAAAAQABADzAAAAkAUAAAAA&#10;" filled="f" stroked="f">
                  <v:textbox style="mso-fit-shape-to-text:t">
                    <w:txbxContent>
                      <w:p w:rsidR="006933DF" w:rsidRPr="00C76EF7" w:rsidRDefault="006933DF" w:rsidP="00345D8D">
                        <w:pPr>
                          <w:rPr>
                            <w:rFonts w:ascii="Arial" w:hAnsi="Arial" w:cs="Arial"/>
                            <w:color w:val="D60093"/>
                            <w:sz w:val="16"/>
                            <w:szCs w:val="16"/>
                          </w:rPr>
                        </w:pPr>
                        <w:r w:rsidRPr="00C76EF7">
                          <w:rPr>
                            <w:rFonts w:ascii="Arial" w:hAnsi="Arial" w:cs="Arial"/>
                            <w:color w:val="D60093"/>
                            <w:sz w:val="16"/>
                            <w:szCs w:val="16"/>
                          </w:rPr>
                          <w:t>Se ignora</w:t>
                        </w:r>
                      </w:p>
                    </w:txbxContent>
                  </v:textbox>
                </v:shape>
              </w:pict>
            </w:r>
            <w:r>
              <w:rPr>
                <w:rFonts w:ascii="Arial" w:hAnsi="Arial" w:cs="Arial"/>
                <w:noProof/>
                <w:lang w:eastAsia="es-EC"/>
              </w:rPr>
              <w:pict>
                <v:shape id="_x0000_s2137" type="#_x0000_t32" style="position:absolute;left:0;text-align:left;margin-left:197.05pt;margin-top:110.05pt;width:9.3pt;height:11.35pt;z-index:251894272" o:connectortype="straight" strokecolor="#d60093">
                  <v:stroke endarrow="block"/>
                </v:shape>
              </w:pict>
            </w:r>
            <w:r>
              <w:rPr>
                <w:rFonts w:ascii="Arial" w:hAnsi="Arial" w:cs="Arial"/>
                <w:noProof/>
                <w:lang w:eastAsia="es-EC"/>
              </w:rPr>
              <w:pict>
                <v:shape id="_x0000_s2135" type="#_x0000_t32" style="position:absolute;left:0;text-align:left;margin-left:143.05pt;margin-top:44.25pt;width:19.05pt;height:18.65pt;flip:x;z-index:251892224" o:connectortype="straight" strokecolor="#0070c0">
                  <v:stroke endarrow="block"/>
                </v:shape>
              </w:pict>
            </w:r>
            <w:r>
              <w:rPr>
                <w:rFonts w:ascii="Arial" w:hAnsi="Arial" w:cs="Arial"/>
                <w:noProof/>
                <w:lang w:eastAsia="es-EC"/>
              </w:rPr>
              <w:pict>
                <v:shape id="_x0000_s2132" type="#_x0000_t202" style="position:absolute;left:0;text-align:left;margin-left:131.8pt;margin-top:33.5pt;width:68.25pt;height:16.4pt;z-index:25188915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Pm9HgLgIAAFcEAAAOAAAAAAAAAAAAAAAAAC4CAABkcnMv&#10;ZTJvRG9jLnhtbFBLAQItABQABgAIAAAAIQD9LzLW2wAAAAUBAAAPAAAAAAAAAAAAAAAAAIgEAABk&#10;cnMvZG93bnJldi54bWxQSwUGAAAAAAQABADzAAAAkAUAAAAA&#10;" filled="f" stroked="f">
                  <v:textbox style="mso-fit-shape-to-text:t">
                    <w:txbxContent>
                      <w:p w:rsidR="006933DF" w:rsidRPr="00C76EF7" w:rsidRDefault="006933DF" w:rsidP="00345D8D">
                        <w:pPr>
                          <w:rPr>
                            <w:rFonts w:ascii="Arial" w:hAnsi="Arial" w:cs="Arial"/>
                            <w:color w:val="0070C0"/>
                            <w:sz w:val="16"/>
                            <w:szCs w:val="16"/>
                          </w:rPr>
                        </w:pPr>
                        <w:r w:rsidRPr="00C76EF7">
                          <w:rPr>
                            <w:rFonts w:ascii="Arial" w:hAnsi="Arial" w:cs="Arial"/>
                            <w:color w:val="0070C0"/>
                            <w:sz w:val="16"/>
                            <w:szCs w:val="16"/>
                          </w:rPr>
                          <w:t>Sí</w:t>
                        </w:r>
                      </w:p>
                    </w:txbxContent>
                  </v:textbox>
                </v:shape>
              </w:pict>
            </w:r>
            <w:r w:rsidR="00060299">
              <w:rPr>
                <w:noProof/>
                <w:lang w:eastAsia="es-EC"/>
              </w:rPr>
              <w:drawing>
                <wp:inline distT="0" distB="0" distL="0" distR="0">
                  <wp:extent cx="4334400" cy="2185989"/>
                  <wp:effectExtent l="0" t="0" r="0" b="0"/>
                  <wp:docPr id="304" name="Gráfico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rsidR="00060299" w:rsidRPr="00345D8D" w:rsidRDefault="00060299" w:rsidP="00345D8D">
      <w:pPr>
        <w:pStyle w:val="Prrafodelista"/>
        <w:spacing w:line="276" w:lineRule="auto"/>
        <w:ind w:left="851"/>
        <w:jc w:val="both"/>
        <w:rPr>
          <w:rFonts w:ascii="Arial" w:hAnsi="Arial" w:cs="Arial"/>
          <w:sz w:val="17"/>
          <w:szCs w:val="17"/>
        </w:rPr>
      </w:pPr>
    </w:p>
    <w:p w:rsidR="00060299" w:rsidRPr="00345D8D" w:rsidRDefault="00060299" w:rsidP="00345D8D">
      <w:pPr>
        <w:pStyle w:val="Prrafodelista"/>
        <w:spacing w:line="276" w:lineRule="auto"/>
        <w:ind w:left="851"/>
        <w:jc w:val="both"/>
        <w:rPr>
          <w:rFonts w:ascii="Arial" w:hAnsi="Arial" w:cs="Arial"/>
          <w:sz w:val="17"/>
          <w:szCs w:val="17"/>
        </w:rPr>
      </w:pPr>
      <w:r w:rsidRPr="00345D8D">
        <w:rPr>
          <w:rFonts w:ascii="Arial" w:hAnsi="Arial" w:cs="Arial"/>
          <w:b/>
          <w:i/>
          <w:sz w:val="17"/>
          <w:szCs w:val="17"/>
        </w:rPr>
        <w:t>Fuente:</w:t>
      </w:r>
      <w:r w:rsidRPr="00345D8D">
        <w:rPr>
          <w:rFonts w:ascii="Arial" w:hAnsi="Arial" w:cs="Arial"/>
          <w:sz w:val="17"/>
          <w:szCs w:val="17"/>
        </w:rPr>
        <w:t xml:space="preserve"> </w:t>
      </w:r>
      <w:r w:rsidRPr="00345D8D">
        <w:rPr>
          <w:rFonts w:ascii="Arial" w:hAnsi="Arial" w:cs="Arial"/>
          <w:b/>
          <w:sz w:val="17"/>
          <w:szCs w:val="17"/>
        </w:rPr>
        <w:t xml:space="preserve">INEC </w:t>
      </w:r>
      <w:r w:rsidRPr="00345D8D">
        <w:rPr>
          <w:rFonts w:ascii="Arial" w:hAnsi="Arial" w:cs="Arial"/>
          <w:sz w:val="17"/>
          <w:szCs w:val="17"/>
        </w:rPr>
        <w:t>(2010), Base de Datos del VII Censo de Población y VI de Vivienda.</w:t>
      </w:r>
    </w:p>
    <w:p w:rsidR="00060299" w:rsidRPr="00345D8D" w:rsidRDefault="00060299" w:rsidP="00345D8D">
      <w:pPr>
        <w:pStyle w:val="Prrafodelista"/>
        <w:spacing w:line="276" w:lineRule="auto"/>
        <w:ind w:left="851"/>
        <w:jc w:val="both"/>
        <w:rPr>
          <w:rFonts w:ascii="Arial" w:hAnsi="Arial" w:cs="Arial"/>
          <w:sz w:val="17"/>
          <w:szCs w:val="17"/>
        </w:rPr>
      </w:pPr>
      <w:r w:rsidRPr="00345D8D">
        <w:rPr>
          <w:rFonts w:ascii="Arial" w:hAnsi="Arial" w:cs="Arial"/>
          <w:b/>
          <w:i/>
          <w:sz w:val="17"/>
          <w:szCs w:val="17"/>
        </w:rPr>
        <w:t>Elaborado por:</w:t>
      </w:r>
      <w:r w:rsidRPr="00345D8D">
        <w:rPr>
          <w:rFonts w:ascii="Arial" w:hAnsi="Arial" w:cs="Arial"/>
          <w:sz w:val="17"/>
          <w:szCs w:val="17"/>
        </w:rPr>
        <w:t xml:space="preserve"> Katherine Loor Valeriano</w:t>
      </w:r>
    </w:p>
    <w:p w:rsidR="00060299" w:rsidRDefault="00060299" w:rsidP="00345D8D">
      <w:pPr>
        <w:pStyle w:val="Prrafodelista"/>
        <w:spacing w:line="480" w:lineRule="auto"/>
        <w:ind w:left="851"/>
        <w:jc w:val="both"/>
        <w:rPr>
          <w:rFonts w:ascii="Arial" w:hAnsi="Arial" w:cs="Arial"/>
        </w:rPr>
      </w:pPr>
    </w:p>
    <w:p w:rsidR="00060299" w:rsidRPr="00696BFC" w:rsidRDefault="00060299" w:rsidP="00345D8D">
      <w:pPr>
        <w:pStyle w:val="Prrafodelista"/>
        <w:spacing w:line="480" w:lineRule="auto"/>
        <w:ind w:left="851"/>
        <w:jc w:val="both"/>
        <w:rPr>
          <w:rFonts w:ascii="Arial" w:hAnsi="Arial" w:cs="Arial"/>
          <w:i/>
        </w:rPr>
      </w:pPr>
      <w:r>
        <w:rPr>
          <w:rFonts w:ascii="Arial" w:hAnsi="Arial" w:cs="Arial"/>
        </w:rPr>
        <w:t>Al analizar por nivel de instrucción, se obtiene que de los extranjeros que no tienen instrucción alguna el 7.92% han utilizado una computadora, el 83.45% no la han utilizado, y los</w:t>
      </w:r>
      <w:r w:rsidR="00345D8D">
        <w:rPr>
          <w:rFonts w:ascii="Arial" w:hAnsi="Arial" w:cs="Arial"/>
        </w:rPr>
        <w:t xml:space="preserve"> restantes son datos ignorados; m</w:t>
      </w:r>
      <w:r>
        <w:rPr>
          <w:rFonts w:ascii="Arial" w:hAnsi="Arial" w:cs="Arial"/>
        </w:rPr>
        <w:t xml:space="preserve">ientras que los inmigrantes que tienen hasta instrucción primaria el 27.36% han utilizado el computador en los últimos seis meses, el 64.30% no la han usado; y, el 8.33% no respondieron. Adicionalmente, los extranjeros que tienen hasta instrucción superior, el 88.06% han utilizado un ordenador en </w:t>
      </w:r>
      <w:r>
        <w:rPr>
          <w:rFonts w:ascii="Arial" w:hAnsi="Arial" w:cs="Arial"/>
        </w:rPr>
        <w:lastRenderedPageBreak/>
        <w:t xml:space="preserve">los últimos seis meses, el 9.72% no lo han utilizado, y tan sólo el 2.22% no respondieron a esta pregunta. </w:t>
      </w:r>
      <w:r w:rsidR="00345D8D">
        <w:rPr>
          <w:rFonts w:ascii="Arial" w:hAnsi="Arial" w:cs="Arial"/>
          <w:i/>
        </w:rPr>
        <w:t>Véase</w:t>
      </w:r>
      <w:r>
        <w:rPr>
          <w:rFonts w:ascii="Arial" w:hAnsi="Arial" w:cs="Arial"/>
          <w:i/>
        </w:rPr>
        <w:t xml:space="preserve"> Tabla 3.5.</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345D8D">
        <w:trPr>
          <w:trHeight w:val="2891"/>
          <w:jc w:val="right"/>
        </w:trPr>
        <w:tc>
          <w:tcPr>
            <w:tcW w:w="7497" w:type="dxa"/>
          </w:tcPr>
          <w:p w:rsidR="00060299" w:rsidRDefault="00060299" w:rsidP="003B05B6">
            <w:pPr>
              <w:rPr>
                <w:rFonts w:ascii="Arial" w:hAnsi="Arial" w:cs="Arial"/>
                <w:b/>
                <w:sz w:val="16"/>
                <w:szCs w:val="16"/>
              </w:rPr>
            </w:pPr>
          </w:p>
          <w:p w:rsidR="00951D7D" w:rsidRPr="00951D7D" w:rsidRDefault="00951D7D" w:rsidP="00951D7D">
            <w:pPr>
              <w:pStyle w:val="Epgrafe"/>
              <w:rPr>
                <w:rFonts w:ascii="Arial" w:hAnsi="Arial" w:cs="Arial"/>
                <w:bCs w:val="0"/>
                <w:color w:val="auto"/>
                <w:sz w:val="16"/>
                <w:szCs w:val="16"/>
              </w:rPr>
            </w:pPr>
            <w:bookmarkStart w:id="474" w:name="_Toc341041916"/>
            <w:r>
              <w:rPr>
                <w:rFonts w:ascii="Arial" w:hAnsi="Arial" w:cs="Arial"/>
                <w:bCs w:val="0"/>
                <w:color w:val="auto"/>
                <w:sz w:val="16"/>
                <w:szCs w:val="16"/>
              </w:rPr>
              <w:t>Tabla 3.</w:t>
            </w:r>
            <w:r w:rsidR="00990535" w:rsidRPr="00951D7D">
              <w:rPr>
                <w:rFonts w:ascii="Arial" w:hAnsi="Arial" w:cs="Arial"/>
                <w:bCs w:val="0"/>
                <w:color w:val="auto"/>
                <w:sz w:val="16"/>
                <w:szCs w:val="16"/>
              </w:rPr>
              <w:fldChar w:fldCharType="begin"/>
            </w:r>
            <w:r w:rsidRPr="00951D7D">
              <w:rPr>
                <w:rFonts w:ascii="Arial" w:hAnsi="Arial" w:cs="Arial"/>
                <w:bCs w:val="0"/>
                <w:color w:val="auto"/>
                <w:sz w:val="16"/>
                <w:szCs w:val="16"/>
              </w:rPr>
              <w:instrText xml:space="preserve"> SEQ Tabla_3. \* ARABIC </w:instrText>
            </w:r>
            <w:r w:rsidR="00990535" w:rsidRPr="00951D7D">
              <w:rPr>
                <w:rFonts w:ascii="Arial" w:hAnsi="Arial" w:cs="Arial"/>
                <w:bCs w:val="0"/>
                <w:color w:val="auto"/>
                <w:sz w:val="16"/>
                <w:szCs w:val="16"/>
              </w:rPr>
              <w:fldChar w:fldCharType="separate"/>
            </w:r>
            <w:r w:rsidR="00A242E0">
              <w:rPr>
                <w:rFonts w:ascii="Arial" w:hAnsi="Arial" w:cs="Arial"/>
                <w:bCs w:val="0"/>
                <w:noProof/>
                <w:color w:val="auto"/>
                <w:sz w:val="16"/>
                <w:szCs w:val="16"/>
              </w:rPr>
              <w:t>5</w:t>
            </w:r>
            <w:bookmarkEnd w:id="474"/>
            <w:r w:rsidR="00990535" w:rsidRPr="00951D7D">
              <w:rPr>
                <w:rFonts w:ascii="Arial" w:hAnsi="Arial" w:cs="Arial"/>
                <w:bCs w:val="0"/>
                <w:color w:val="auto"/>
                <w:sz w:val="16"/>
                <w:szCs w:val="16"/>
              </w:rPr>
              <w:fldChar w:fldCharType="end"/>
            </w:r>
          </w:p>
          <w:p w:rsidR="00060299" w:rsidRDefault="00345D8D" w:rsidP="003B05B6">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Distribución condicional de los extranjeros</w:t>
            </w:r>
            <w:r w:rsidR="00060299">
              <w:rPr>
                <w:rFonts w:ascii="Arial" w:hAnsi="Arial" w:cs="Arial"/>
                <w:i/>
                <w:sz w:val="16"/>
                <w:szCs w:val="16"/>
              </w:rPr>
              <w:t xml:space="preserve"> que ha</w:t>
            </w:r>
            <w:r>
              <w:rPr>
                <w:rFonts w:ascii="Arial" w:hAnsi="Arial" w:cs="Arial"/>
                <w:i/>
                <w:sz w:val="16"/>
                <w:szCs w:val="16"/>
              </w:rPr>
              <w:t>n</w:t>
            </w:r>
            <w:r w:rsidR="00060299">
              <w:rPr>
                <w:rFonts w:ascii="Arial" w:hAnsi="Arial" w:cs="Arial"/>
                <w:i/>
                <w:sz w:val="16"/>
                <w:szCs w:val="16"/>
              </w:rPr>
              <w:t xml:space="preserve"> utilizado Computadora en </w:t>
            </w:r>
          </w:p>
          <w:p w:rsidR="00060299" w:rsidRDefault="00060299" w:rsidP="003B05B6">
            <w:pPr>
              <w:rPr>
                <w:rFonts w:ascii="Arial" w:hAnsi="Arial" w:cs="Arial"/>
                <w:i/>
                <w:sz w:val="16"/>
                <w:szCs w:val="16"/>
              </w:rPr>
            </w:pPr>
            <w:r>
              <w:rPr>
                <w:rFonts w:ascii="Arial" w:hAnsi="Arial" w:cs="Arial"/>
                <w:i/>
                <w:sz w:val="16"/>
                <w:szCs w:val="16"/>
              </w:rPr>
              <w:t xml:space="preserve">los últimos seis meses </w:t>
            </w:r>
            <w:r w:rsidR="00345D8D">
              <w:rPr>
                <w:rFonts w:ascii="Arial" w:hAnsi="Arial" w:cs="Arial"/>
                <w:i/>
                <w:sz w:val="16"/>
                <w:szCs w:val="16"/>
              </w:rPr>
              <w:t>dado que se conoce el</w:t>
            </w:r>
            <w:r>
              <w:rPr>
                <w:rFonts w:ascii="Arial" w:hAnsi="Arial" w:cs="Arial"/>
                <w:i/>
                <w:sz w:val="16"/>
                <w:szCs w:val="16"/>
              </w:rPr>
              <w:t xml:space="preserve"> Nivel más alto de Instrucción</w:t>
            </w:r>
          </w:p>
          <w:p w:rsidR="00060299" w:rsidRDefault="00060299" w:rsidP="003B05B6">
            <w:pPr>
              <w:rPr>
                <w:rFonts w:ascii="Arial" w:hAnsi="Arial" w:cs="Arial"/>
                <w:i/>
                <w:sz w:val="16"/>
                <w:szCs w:val="16"/>
              </w:rPr>
            </w:pPr>
          </w:p>
          <w:tbl>
            <w:tblPr>
              <w:tblW w:w="572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65"/>
              <w:gridCol w:w="1020"/>
              <w:gridCol w:w="1020"/>
              <w:gridCol w:w="1020"/>
            </w:tblGrid>
            <w:tr w:rsidR="00060299" w:rsidRPr="008252B7" w:rsidTr="003B05B6">
              <w:trPr>
                <w:trHeight w:val="198"/>
                <w:jc w:val="center"/>
              </w:trPr>
              <w:tc>
                <w:tcPr>
                  <w:tcW w:w="2665" w:type="dxa"/>
                  <w:vMerge w:val="restart"/>
                  <w:tcBorders>
                    <w:top w:val="single" w:sz="4" w:space="0" w:color="auto"/>
                    <w:bottom w:val="nil"/>
                  </w:tcBorders>
                  <w:shd w:val="clear" w:color="auto" w:fill="auto"/>
                  <w:noWrap/>
                  <w:vAlign w:val="center"/>
                  <w:hideMark/>
                </w:tcPr>
                <w:p w:rsidR="00060299" w:rsidRPr="008252B7" w:rsidRDefault="00060299" w:rsidP="003B05B6">
                  <w:pPr>
                    <w:rPr>
                      <w:rFonts w:ascii="Arial" w:eastAsia="Times New Roman" w:hAnsi="Arial" w:cs="Arial"/>
                      <w:b/>
                      <w:color w:val="000000"/>
                      <w:sz w:val="16"/>
                      <w:szCs w:val="16"/>
                      <w:lang w:eastAsia="es-EC"/>
                    </w:rPr>
                  </w:pPr>
                  <w:r w:rsidRPr="008252B7">
                    <w:rPr>
                      <w:rFonts w:ascii="Arial" w:eastAsia="Times New Roman" w:hAnsi="Arial" w:cs="Arial"/>
                      <w:b/>
                      <w:color w:val="000000"/>
                      <w:sz w:val="16"/>
                      <w:szCs w:val="16"/>
                      <w:lang w:eastAsia="es-EC"/>
                    </w:rPr>
                    <w:t>Nivel más alto de Instrucción</w:t>
                  </w:r>
                </w:p>
              </w:tc>
              <w:tc>
                <w:tcPr>
                  <w:tcW w:w="3060" w:type="dxa"/>
                  <w:gridSpan w:val="3"/>
                  <w:tcBorders>
                    <w:top w:val="single" w:sz="4" w:space="0" w:color="auto"/>
                    <w:bottom w:val="single" w:sz="4" w:space="0" w:color="auto"/>
                  </w:tcBorders>
                  <w:shd w:val="clear" w:color="auto" w:fill="auto"/>
                  <w:vAlign w:val="center"/>
                  <w:hideMark/>
                </w:tcPr>
                <w:p w:rsidR="00060299" w:rsidRPr="008252B7" w:rsidRDefault="00060299" w:rsidP="003B05B6">
                  <w:pPr>
                    <w:rPr>
                      <w:rFonts w:ascii="Arial" w:eastAsia="Times New Roman" w:hAnsi="Arial" w:cs="Arial"/>
                      <w:b/>
                      <w:bCs/>
                      <w:color w:val="000000"/>
                      <w:sz w:val="16"/>
                      <w:szCs w:val="16"/>
                      <w:lang w:eastAsia="es-EC"/>
                    </w:rPr>
                  </w:pPr>
                  <w:r w:rsidRPr="008252B7">
                    <w:rPr>
                      <w:rFonts w:ascii="Arial" w:eastAsia="Times New Roman" w:hAnsi="Arial" w:cs="Arial"/>
                      <w:b/>
                      <w:color w:val="000000"/>
                      <w:sz w:val="16"/>
                      <w:szCs w:val="16"/>
                      <w:lang w:eastAsia="es-EC"/>
                    </w:rPr>
                    <w:t xml:space="preserve">En los últimos 6 meses ha utilizado </w:t>
                  </w:r>
                  <w:r>
                    <w:rPr>
                      <w:rFonts w:ascii="Arial" w:eastAsia="Times New Roman" w:hAnsi="Arial" w:cs="Arial"/>
                      <w:b/>
                      <w:color w:val="000000"/>
                      <w:sz w:val="16"/>
                      <w:szCs w:val="16"/>
                      <w:lang w:eastAsia="es-EC"/>
                    </w:rPr>
                    <w:t>Computadora</w:t>
                  </w:r>
                </w:p>
              </w:tc>
            </w:tr>
            <w:tr w:rsidR="00060299" w:rsidRPr="008252B7" w:rsidTr="003B05B6">
              <w:trPr>
                <w:trHeight w:val="198"/>
                <w:jc w:val="center"/>
              </w:trPr>
              <w:tc>
                <w:tcPr>
                  <w:tcW w:w="2665" w:type="dxa"/>
                  <w:vMerge/>
                  <w:tcBorders>
                    <w:top w:val="nil"/>
                    <w:bottom w:val="single" w:sz="4" w:space="0" w:color="auto"/>
                  </w:tcBorders>
                  <w:shd w:val="clear" w:color="auto" w:fill="auto"/>
                  <w:noWrap/>
                  <w:vAlign w:val="center"/>
                  <w:hideMark/>
                </w:tcPr>
                <w:p w:rsidR="00060299" w:rsidRPr="008252B7" w:rsidRDefault="00060299" w:rsidP="003B05B6">
                  <w:pPr>
                    <w:rPr>
                      <w:rFonts w:ascii="Arial" w:eastAsia="Times New Roman" w:hAnsi="Arial" w:cs="Arial"/>
                      <w:b/>
                      <w:color w:val="000000"/>
                      <w:sz w:val="16"/>
                      <w:szCs w:val="16"/>
                      <w:lang w:eastAsia="es-EC"/>
                    </w:rPr>
                  </w:pPr>
                </w:p>
              </w:tc>
              <w:tc>
                <w:tcPr>
                  <w:tcW w:w="1020" w:type="dxa"/>
                  <w:tcBorders>
                    <w:top w:val="single" w:sz="4" w:space="0" w:color="auto"/>
                    <w:bottom w:val="single" w:sz="4" w:space="0" w:color="auto"/>
                  </w:tcBorders>
                  <w:shd w:val="clear" w:color="auto" w:fill="auto"/>
                  <w:vAlign w:val="center"/>
                  <w:hideMark/>
                </w:tcPr>
                <w:p w:rsidR="00060299" w:rsidRPr="008252B7" w:rsidRDefault="00060299" w:rsidP="003B05B6">
                  <w:pPr>
                    <w:rPr>
                      <w:rFonts w:ascii="Arial" w:eastAsia="Times New Roman" w:hAnsi="Arial" w:cs="Arial"/>
                      <w:b/>
                      <w:color w:val="000000"/>
                      <w:sz w:val="16"/>
                      <w:szCs w:val="16"/>
                      <w:lang w:eastAsia="es-EC"/>
                    </w:rPr>
                  </w:pPr>
                  <w:r w:rsidRPr="008252B7">
                    <w:rPr>
                      <w:rFonts w:ascii="Arial" w:eastAsia="Times New Roman" w:hAnsi="Arial" w:cs="Arial"/>
                      <w:b/>
                      <w:color w:val="000000"/>
                      <w:sz w:val="16"/>
                      <w:szCs w:val="16"/>
                      <w:lang w:eastAsia="es-EC"/>
                    </w:rPr>
                    <w:t>S</w:t>
                  </w:r>
                  <w:r>
                    <w:rPr>
                      <w:rFonts w:ascii="Arial" w:eastAsia="Times New Roman" w:hAnsi="Arial" w:cs="Arial"/>
                      <w:b/>
                      <w:color w:val="000000"/>
                      <w:sz w:val="16"/>
                      <w:szCs w:val="16"/>
                      <w:lang w:eastAsia="es-EC"/>
                    </w:rPr>
                    <w:t>í</w:t>
                  </w:r>
                </w:p>
              </w:tc>
              <w:tc>
                <w:tcPr>
                  <w:tcW w:w="1020" w:type="dxa"/>
                  <w:tcBorders>
                    <w:top w:val="single" w:sz="4" w:space="0" w:color="auto"/>
                    <w:bottom w:val="single" w:sz="4" w:space="0" w:color="auto"/>
                  </w:tcBorders>
                  <w:shd w:val="clear" w:color="auto" w:fill="auto"/>
                  <w:vAlign w:val="center"/>
                  <w:hideMark/>
                </w:tcPr>
                <w:p w:rsidR="00060299" w:rsidRPr="008252B7" w:rsidRDefault="00060299" w:rsidP="003B05B6">
                  <w:pPr>
                    <w:rPr>
                      <w:rFonts w:ascii="Arial" w:eastAsia="Times New Roman" w:hAnsi="Arial" w:cs="Arial"/>
                      <w:b/>
                      <w:color w:val="000000"/>
                      <w:sz w:val="16"/>
                      <w:szCs w:val="16"/>
                      <w:lang w:eastAsia="es-EC"/>
                    </w:rPr>
                  </w:pPr>
                  <w:r w:rsidRPr="008252B7">
                    <w:rPr>
                      <w:rFonts w:ascii="Arial" w:eastAsia="Times New Roman" w:hAnsi="Arial" w:cs="Arial"/>
                      <w:b/>
                      <w:color w:val="000000"/>
                      <w:sz w:val="16"/>
                      <w:szCs w:val="16"/>
                      <w:lang w:eastAsia="es-EC"/>
                    </w:rPr>
                    <w:t>No</w:t>
                  </w:r>
                </w:p>
              </w:tc>
              <w:tc>
                <w:tcPr>
                  <w:tcW w:w="1020" w:type="dxa"/>
                  <w:tcBorders>
                    <w:top w:val="single" w:sz="4" w:space="0" w:color="auto"/>
                    <w:bottom w:val="single" w:sz="4" w:space="0" w:color="auto"/>
                  </w:tcBorders>
                  <w:shd w:val="clear" w:color="auto" w:fill="auto"/>
                  <w:vAlign w:val="center"/>
                  <w:hideMark/>
                </w:tcPr>
                <w:p w:rsidR="00060299" w:rsidRPr="008252B7" w:rsidRDefault="00060299" w:rsidP="003B05B6">
                  <w:pPr>
                    <w:rPr>
                      <w:rFonts w:ascii="Arial" w:eastAsia="Times New Roman" w:hAnsi="Arial" w:cs="Arial"/>
                      <w:b/>
                      <w:color w:val="000000"/>
                      <w:sz w:val="16"/>
                      <w:szCs w:val="16"/>
                      <w:lang w:eastAsia="es-EC"/>
                    </w:rPr>
                  </w:pPr>
                  <w:r w:rsidRPr="008252B7">
                    <w:rPr>
                      <w:rFonts w:ascii="Arial" w:eastAsia="Times New Roman" w:hAnsi="Arial" w:cs="Arial"/>
                      <w:b/>
                      <w:color w:val="000000"/>
                      <w:sz w:val="16"/>
                      <w:szCs w:val="16"/>
                      <w:lang w:eastAsia="es-EC"/>
                    </w:rPr>
                    <w:t>Se ignora</w:t>
                  </w:r>
                </w:p>
              </w:tc>
            </w:tr>
            <w:tr w:rsidR="00060299" w:rsidRPr="008252B7" w:rsidTr="003B05B6">
              <w:trPr>
                <w:trHeight w:val="198"/>
                <w:jc w:val="center"/>
              </w:trPr>
              <w:tc>
                <w:tcPr>
                  <w:tcW w:w="2665" w:type="dxa"/>
                  <w:tcBorders>
                    <w:top w:val="single" w:sz="4" w:space="0" w:color="auto"/>
                  </w:tcBorders>
                  <w:shd w:val="clear" w:color="auto" w:fill="auto"/>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Ninguno</w:t>
                  </w:r>
                </w:p>
              </w:tc>
              <w:tc>
                <w:tcPr>
                  <w:tcW w:w="1020" w:type="dxa"/>
                  <w:tcBorders>
                    <w:top w:val="single" w:sz="4" w:space="0" w:color="auto"/>
                  </w:tcBorders>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0.079</w:t>
                  </w:r>
                </w:p>
              </w:tc>
              <w:tc>
                <w:tcPr>
                  <w:tcW w:w="1020" w:type="dxa"/>
                  <w:tcBorders>
                    <w:top w:val="single" w:sz="4" w:space="0" w:color="auto"/>
                  </w:tcBorders>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0.835</w:t>
                  </w:r>
                </w:p>
              </w:tc>
              <w:tc>
                <w:tcPr>
                  <w:tcW w:w="1020" w:type="dxa"/>
                  <w:tcBorders>
                    <w:top w:val="single" w:sz="4" w:space="0" w:color="auto"/>
                  </w:tcBorders>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0.086</w:t>
                  </w:r>
                </w:p>
              </w:tc>
            </w:tr>
            <w:tr w:rsidR="00060299" w:rsidRPr="008252B7" w:rsidTr="003B05B6">
              <w:trPr>
                <w:trHeight w:val="198"/>
                <w:jc w:val="center"/>
              </w:trPr>
              <w:tc>
                <w:tcPr>
                  <w:tcW w:w="2665" w:type="dxa"/>
                  <w:shd w:val="clear" w:color="auto" w:fill="auto"/>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Centro de Alfabetización/(EBA)</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0.033</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0.885</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0.082</w:t>
                  </w:r>
                </w:p>
              </w:tc>
            </w:tr>
            <w:tr w:rsidR="00060299" w:rsidRPr="008252B7" w:rsidTr="003B05B6">
              <w:trPr>
                <w:trHeight w:val="198"/>
                <w:jc w:val="center"/>
              </w:trPr>
              <w:tc>
                <w:tcPr>
                  <w:tcW w:w="2665" w:type="dxa"/>
                  <w:shd w:val="clear" w:color="auto" w:fill="auto"/>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Primaria</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0.274</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0.643</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0.083</w:t>
                  </w:r>
                </w:p>
              </w:tc>
            </w:tr>
            <w:tr w:rsidR="00060299" w:rsidRPr="008252B7" w:rsidTr="003B05B6">
              <w:trPr>
                <w:trHeight w:val="198"/>
                <w:jc w:val="center"/>
              </w:trPr>
              <w:tc>
                <w:tcPr>
                  <w:tcW w:w="2665" w:type="dxa"/>
                  <w:shd w:val="clear" w:color="auto" w:fill="auto"/>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Secundaria</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0.531</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0.410</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0.059</w:t>
                  </w:r>
                </w:p>
              </w:tc>
            </w:tr>
            <w:tr w:rsidR="00060299" w:rsidRPr="008252B7" w:rsidTr="003B05B6">
              <w:trPr>
                <w:trHeight w:val="198"/>
                <w:jc w:val="center"/>
              </w:trPr>
              <w:tc>
                <w:tcPr>
                  <w:tcW w:w="2665" w:type="dxa"/>
                  <w:shd w:val="clear" w:color="auto" w:fill="auto"/>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Superior</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0.881</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0.097</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0.022</w:t>
                  </w:r>
                </w:p>
              </w:tc>
            </w:tr>
            <w:tr w:rsidR="00060299" w:rsidRPr="008252B7" w:rsidTr="003B05B6">
              <w:trPr>
                <w:trHeight w:val="198"/>
                <w:jc w:val="center"/>
              </w:trPr>
              <w:tc>
                <w:tcPr>
                  <w:tcW w:w="2665" w:type="dxa"/>
                  <w:shd w:val="clear" w:color="auto" w:fill="auto"/>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Se ignora</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0.175</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0.299</w:t>
                  </w:r>
                </w:p>
              </w:tc>
              <w:tc>
                <w:tcPr>
                  <w:tcW w:w="1020" w:type="dxa"/>
                  <w:shd w:val="clear" w:color="auto" w:fill="auto"/>
                  <w:noWrap/>
                  <w:vAlign w:val="center"/>
                  <w:hideMark/>
                </w:tcPr>
                <w:p w:rsidR="00060299" w:rsidRPr="008252B7" w:rsidRDefault="00060299" w:rsidP="003B05B6">
                  <w:pPr>
                    <w:rPr>
                      <w:rFonts w:ascii="Arial" w:eastAsia="Times New Roman" w:hAnsi="Arial" w:cs="Arial"/>
                      <w:color w:val="000000"/>
                      <w:sz w:val="16"/>
                      <w:szCs w:val="16"/>
                      <w:lang w:eastAsia="es-EC"/>
                    </w:rPr>
                  </w:pPr>
                  <w:r w:rsidRPr="008252B7">
                    <w:rPr>
                      <w:rFonts w:ascii="Arial" w:eastAsia="Times New Roman" w:hAnsi="Arial" w:cs="Arial"/>
                      <w:color w:val="000000"/>
                      <w:sz w:val="16"/>
                      <w:szCs w:val="16"/>
                      <w:lang w:eastAsia="es-EC"/>
                    </w:rPr>
                    <w:t>0.526</w:t>
                  </w:r>
                </w:p>
              </w:tc>
            </w:tr>
          </w:tbl>
          <w:p w:rsidR="00060299" w:rsidRPr="0078148C" w:rsidRDefault="00060299" w:rsidP="003B05B6">
            <w:pPr>
              <w:rPr>
                <w:rFonts w:ascii="Arial" w:hAnsi="Arial" w:cs="Arial"/>
                <w:i/>
                <w:sz w:val="16"/>
                <w:szCs w:val="16"/>
              </w:rPr>
            </w:pPr>
          </w:p>
        </w:tc>
      </w:tr>
    </w:tbl>
    <w:p w:rsidR="00060299" w:rsidRPr="00345D8D" w:rsidRDefault="00060299" w:rsidP="00345D8D">
      <w:pPr>
        <w:pStyle w:val="Prrafodelista"/>
        <w:spacing w:line="276" w:lineRule="auto"/>
        <w:ind w:left="851"/>
        <w:jc w:val="both"/>
        <w:rPr>
          <w:rFonts w:ascii="Arial" w:hAnsi="Arial" w:cs="Arial"/>
          <w:sz w:val="17"/>
          <w:szCs w:val="17"/>
        </w:rPr>
      </w:pPr>
    </w:p>
    <w:p w:rsidR="00060299" w:rsidRPr="00345D8D" w:rsidRDefault="00060299" w:rsidP="00345D8D">
      <w:pPr>
        <w:pStyle w:val="Prrafodelista"/>
        <w:spacing w:line="276" w:lineRule="auto"/>
        <w:ind w:left="851"/>
        <w:jc w:val="both"/>
        <w:rPr>
          <w:rFonts w:ascii="Arial" w:hAnsi="Arial" w:cs="Arial"/>
          <w:sz w:val="17"/>
          <w:szCs w:val="17"/>
        </w:rPr>
      </w:pPr>
      <w:r w:rsidRPr="00345D8D">
        <w:rPr>
          <w:rFonts w:ascii="Arial" w:hAnsi="Arial" w:cs="Arial"/>
          <w:b/>
          <w:i/>
          <w:sz w:val="17"/>
          <w:szCs w:val="17"/>
        </w:rPr>
        <w:t>Fuente:</w:t>
      </w:r>
      <w:r w:rsidRPr="00345D8D">
        <w:rPr>
          <w:rFonts w:ascii="Arial" w:hAnsi="Arial" w:cs="Arial"/>
          <w:sz w:val="17"/>
          <w:szCs w:val="17"/>
        </w:rPr>
        <w:t xml:space="preserve"> </w:t>
      </w:r>
      <w:r w:rsidRPr="00345D8D">
        <w:rPr>
          <w:rFonts w:ascii="Arial" w:hAnsi="Arial" w:cs="Arial"/>
          <w:b/>
          <w:sz w:val="17"/>
          <w:szCs w:val="17"/>
        </w:rPr>
        <w:t xml:space="preserve">INEC </w:t>
      </w:r>
      <w:r w:rsidRPr="00345D8D">
        <w:rPr>
          <w:rFonts w:ascii="Arial" w:hAnsi="Arial" w:cs="Arial"/>
          <w:sz w:val="17"/>
          <w:szCs w:val="17"/>
        </w:rPr>
        <w:t>(2010), Base de Datos del VII Censo de Población y VI de Vivienda.</w:t>
      </w:r>
    </w:p>
    <w:p w:rsidR="00060299" w:rsidRDefault="00060299" w:rsidP="00345D8D">
      <w:pPr>
        <w:pStyle w:val="Prrafodelista"/>
        <w:spacing w:line="276" w:lineRule="auto"/>
        <w:ind w:left="851"/>
        <w:jc w:val="both"/>
        <w:rPr>
          <w:rFonts w:ascii="Arial" w:hAnsi="Arial" w:cs="Arial"/>
          <w:sz w:val="18"/>
          <w:szCs w:val="18"/>
        </w:rPr>
      </w:pPr>
      <w:r w:rsidRPr="00345D8D">
        <w:rPr>
          <w:rFonts w:ascii="Arial" w:hAnsi="Arial" w:cs="Arial"/>
          <w:b/>
          <w:i/>
          <w:sz w:val="17"/>
          <w:szCs w:val="17"/>
        </w:rPr>
        <w:t>Elaborado por:</w:t>
      </w:r>
      <w:r w:rsidRPr="00345D8D">
        <w:rPr>
          <w:rFonts w:ascii="Arial" w:hAnsi="Arial" w:cs="Arial"/>
          <w:sz w:val="17"/>
          <w:szCs w:val="17"/>
        </w:rPr>
        <w:t xml:space="preserve"> Katherine Loor Valeriano</w:t>
      </w:r>
    </w:p>
    <w:p w:rsidR="00060299" w:rsidRPr="008A6DED" w:rsidRDefault="00060299" w:rsidP="00060299">
      <w:pPr>
        <w:pStyle w:val="Prrafodelista"/>
        <w:spacing w:line="480" w:lineRule="auto"/>
        <w:ind w:left="567"/>
        <w:jc w:val="both"/>
        <w:rPr>
          <w:rFonts w:ascii="Arial" w:hAnsi="Arial" w:cs="Arial"/>
        </w:rPr>
      </w:pPr>
    </w:p>
    <w:p w:rsidR="00060299" w:rsidRDefault="00060299" w:rsidP="00D377FE">
      <w:pPr>
        <w:pStyle w:val="TesisTitulo1"/>
        <w:ind w:left="851"/>
      </w:pPr>
      <w:bookmarkStart w:id="475" w:name="_Toc335850610"/>
      <w:bookmarkStart w:id="476" w:name="_Toc341040656"/>
      <w:r>
        <w:t>Población extranjeros económicamente activa e inactiva</w:t>
      </w:r>
      <w:bookmarkEnd w:id="475"/>
      <w:bookmarkEnd w:id="476"/>
    </w:p>
    <w:p w:rsidR="00060299" w:rsidRPr="001520A8" w:rsidRDefault="00060299" w:rsidP="00D377FE">
      <w:pPr>
        <w:pStyle w:val="Prrafodelista"/>
        <w:spacing w:line="480" w:lineRule="auto"/>
        <w:ind w:left="851"/>
        <w:jc w:val="both"/>
        <w:rPr>
          <w:rFonts w:ascii="Arial" w:hAnsi="Arial" w:cs="Arial"/>
        </w:rPr>
      </w:pPr>
      <w:r>
        <w:rPr>
          <w:rFonts w:ascii="Arial" w:hAnsi="Arial" w:cs="Arial"/>
        </w:rPr>
        <w:t>Como se mencionó a inicios de este capítulo, el total de inmigrantes residentes en Ecuador al 28 de noviembre de 2010 era de 181848 extranjeros; de esta población el 82.51% son personas en edad de trabajar, es decir, son mayores de 10 años que en términos absolutos son 150049 personas. Además, de los mayores de 10 años, el 63.13% constituyen la población económicamente activa, es decir, son personas que trabajan, cesantes, trabajadores nuevos o quienes están buscando empleo; que respecto a la población inmigrante total representan el 52.09%</w:t>
      </w:r>
      <w:r w:rsidR="00F91C02">
        <w:rPr>
          <w:rFonts w:ascii="Arial" w:hAnsi="Arial" w:cs="Arial"/>
        </w:rPr>
        <w:t>;</w:t>
      </w:r>
      <w:r>
        <w:rPr>
          <w:rFonts w:ascii="Arial" w:hAnsi="Arial" w:cs="Arial"/>
        </w:rPr>
        <w:t xml:space="preserve"> </w:t>
      </w:r>
      <w:r w:rsidR="00F91C02">
        <w:rPr>
          <w:rFonts w:ascii="Arial" w:hAnsi="Arial" w:cs="Arial"/>
        </w:rPr>
        <w:t>m</w:t>
      </w:r>
      <w:r>
        <w:rPr>
          <w:rFonts w:ascii="Arial" w:hAnsi="Arial" w:cs="Arial"/>
        </w:rPr>
        <w:t xml:space="preserve">ientras que, el 36.87% de los mayores de 10 años son parte de la población económicamente inactiva, los mismos que en términos absolutos son 55328 extranjeros; aunque, respecto a la población inmigrante total, </w:t>
      </w:r>
      <w:r>
        <w:rPr>
          <w:rFonts w:ascii="Arial" w:hAnsi="Arial" w:cs="Arial"/>
        </w:rPr>
        <w:lastRenderedPageBreak/>
        <w:t xml:space="preserve">tendríamos que el 30.43% son parte de la población económicamente inactiva. </w:t>
      </w:r>
      <w:r>
        <w:rPr>
          <w:rFonts w:ascii="Arial" w:hAnsi="Arial" w:cs="Arial"/>
          <w:i/>
        </w:rPr>
        <w:t>Véase Figura 3.27.</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D377FE">
        <w:trPr>
          <w:trHeight w:val="2772"/>
          <w:jc w:val="right"/>
        </w:trPr>
        <w:tc>
          <w:tcPr>
            <w:tcW w:w="7497" w:type="dxa"/>
          </w:tcPr>
          <w:p w:rsidR="00060299" w:rsidRDefault="00060299" w:rsidP="003B05B6">
            <w:pPr>
              <w:rPr>
                <w:rFonts w:ascii="Arial" w:hAnsi="Arial" w:cs="Arial"/>
                <w:b/>
                <w:sz w:val="16"/>
                <w:szCs w:val="16"/>
              </w:rPr>
            </w:pPr>
          </w:p>
          <w:p w:rsidR="00951D7D" w:rsidRPr="00951D7D" w:rsidRDefault="00951D7D" w:rsidP="00951D7D">
            <w:pPr>
              <w:pStyle w:val="Epgrafe"/>
              <w:rPr>
                <w:rFonts w:ascii="Arial" w:hAnsi="Arial" w:cs="Arial"/>
                <w:bCs w:val="0"/>
                <w:color w:val="auto"/>
                <w:sz w:val="16"/>
                <w:szCs w:val="16"/>
              </w:rPr>
            </w:pPr>
            <w:bookmarkStart w:id="477" w:name="_Toc341043426"/>
            <w:r w:rsidRPr="00951D7D">
              <w:rPr>
                <w:rFonts w:ascii="Arial" w:hAnsi="Arial" w:cs="Arial"/>
                <w:bCs w:val="0"/>
                <w:color w:val="auto"/>
                <w:sz w:val="16"/>
                <w:szCs w:val="16"/>
              </w:rPr>
              <w:t xml:space="preserve">Figura 3. </w:t>
            </w:r>
            <w:r w:rsidR="00990535" w:rsidRPr="00951D7D">
              <w:rPr>
                <w:rFonts w:ascii="Arial" w:hAnsi="Arial" w:cs="Arial"/>
                <w:bCs w:val="0"/>
                <w:color w:val="auto"/>
                <w:sz w:val="16"/>
                <w:szCs w:val="16"/>
              </w:rPr>
              <w:fldChar w:fldCharType="begin"/>
            </w:r>
            <w:r w:rsidRPr="00951D7D">
              <w:rPr>
                <w:rFonts w:ascii="Arial" w:hAnsi="Arial" w:cs="Arial"/>
                <w:bCs w:val="0"/>
                <w:color w:val="auto"/>
                <w:sz w:val="16"/>
                <w:szCs w:val="16"/>
              </w:rPr>
              <w:instrText xml:space="preserve"> SEQ Figura_3. \* ARABIC </w:instrText>
            </w:r>
            <w:r w:rsidR="00990535" w:rsidRPr="00951D7D">
              <w:rPr>
                <w:rFonts w:ascii="Arial" w:hAnsi="Arial" w:cs="Arial"/>
                <w:bCs w:val="0"/>
                <w:color w:val="auto"/>
                <w:sz w:val="16"/>
                <w:szCs w:val="16"/>
              </w:rPr>
              <w:fldChar w:fldCharType="separate"/>
            </w:r>
            <w:r w:rsidR="00A242E0">
              <w:rPr>
                <w:rFonts w:ascii="Arial" w:hAnsi="Arial" w:cs="Arial"/>
                <w:bCs w:val="0"/>
                <w:noProof/>
                <w:color w:val="auto"/>
                <w:sz w:val="16"/>
                <w:szCs w:val="16"/>
              </w:rPr>
              <w:t>27</w:t>
            </w:r>
            <w:bookmarkEnd w:id="477"/>
            <w:r w:rsidR="00990535" w:rsidRPr="00951D7D">
              <w:rPr>
                <w:rFonts w:ascii="Arial" w:hAnsi="Arial" w:cs="Arial"/>
                <w:bCs w:val="0"/>
                <w:color w:val="auto"/>
                <w:sz w:val="16"/>
                <w:szCs w:val="16"/>
              </w:rPr>
              <w:fldChar w:fldCharType="end"/>
            </w:r>
          </w:p>
          <w:p w:rsidR="00060299" w:rsidRDefault="00D377FE"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 xml:space="preserve">Población Extranjera Económicamente Activa e Inactiva residente en </w:t>
            </w:r>
            <w:r>
              <w:rPr>
                <w:rFonts w:ascii="Arial" w:hAnsi="Arial" w:cs="Arial"/>
                <w:i/>
                <w:sz w:val="16"/>
                <w:szCs w:val="16"/>
              </w:rPr>
              <w:t>el país</w:t>
            </w:r>
          </w:p>
          <w:p w:rsidR="00060299" w:rsidRDefault="00060299" w:rsidP="003B05B6">
            <w:pPr>
              <w:rPr>
                <w:rFonts w:ascii="Arial" w:hAnsi="Arial" w:cs="Arial"/>
                <w:i/>
                <w:sz w:val="16"/>
                <w:szCs w:val="16"/>
              </w:rPr>
            </w:pPr>
          </w:p>
          <w:tbl>
            <w:tblPr>
              <w:tblStyle w:val="Tablaconcuadrcula"/>
              <w:tblW w:w="0" w:type="auto"/>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2474"/>
            </w:tblGrid>
            <w:tr w:rsidR="00060299" w:rsidTr="00D377FE">
              <w:tc>
                <w:tcPr>
                  <w:tcW w:w="4678" w:type="dxa"/>
                </w:tcPr>
                <w:p w:rsidR="00060299" w:rsidRDefault="00060299" w:rsidP="003B05B6">
                  <w:pPr>
                    <w:rPr>
                      <w:rFonts w:ascii="Arial" w:hAnsi="Arial" w:cs="Arial"/>
                      <w:i/>
                      <w:sz w:val="16"/>
                      <w:szCs w:val="16"/>
                    </w:rPr>
                  </w:pPr>
                  <w:r>
                    <w:rPr>
                      <w:noProof/>
                      <w:lang w:eastAsia="es-EC"/>
                    </w:rPr>
                    <w:drawing>
                      <wp:inline distT="0" distB="0" distL="0" distR="0">
                        <wp:extent cx="2790825" cy="1404937"/>
                        <wp:effectExtent l="0" t="0" r="0" b="0"/>
                        <wp:docPr id="305" name="Gráfico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2749" w:type="dxa"/>
                </w:tcPr>
                <w:p w:rsidR="00060299" w:rsidRDefault="00060299" w:rsidP="003B05B6">
                  <w:pPr>
                    <w:rPr>
                      <w:rFonts w:ascii="Arial" w:hAnsi="Arial" w:cs="Arial"/>
                      <w: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tblGrid>
                  <w:tr w:rsidR="00060299" w:rsidTr="003B05B6">
                    <w:trPr>
                      <w:trHeight w:val="340"/>
                    </w:trPr>
                    <w:tc>
                      <w:tcPr>
                        <w:tcW w:w="2619" w:type="dxa"/>
                        <w:vAlign w:val="center"/>
                      </w:tcPr>
                      <w:p w:rsidR="00060299" w:rsidRPr="0058758E" w:rsidRDefault="00436907" w:rsidP="003B05B6">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57" style="width:7.1pt;height:7.15pt;mso-left-percent:-10001;mso-top-percent:-10001;mso-position-horizontal:absolute;mso-position-horizontal-relative:char;mso-position-vertical:absolute;mso-position-vertical-relative:line;mso-left-percent:-10001;mso-top-percent:-10001" fillcolor="#fc0" stroked="f">
                              <w10:wrap type="none"/>
                              <w10:anchorlock/>
                            </v:rect>
                          </w:pict>
                        </w:r>
                        <w:r w:rsidR="00060299">
                          <w:rPr>
                            <w:rFonts w:ascii="Arial" w:hAnsi="Arial" w:cs="Arial"/>
                            <w:sz w:val="16"/>
                            <w:szCs w:val="16"/>
                          </w:rPr>
                          <w:t xml:space="preserve"> </w:t>
                        </w:r>
                        <w:r w:rsidR="00060299" w:rsidRPr="0058758E">
                          <w:rPr>
                            <w:rFonts w:ascii="Arial" w:hAnsi="Arial" w:cs="Arial"/>
                            <w:sz w:val="16"/>
                            <w:szCs w:val="16"/>
                          </w:rPr>
                          <w:t>Población Extranjera Total</w:t>
                        </w:r>
                      </w:p>
                    </w:tc>
                  </w:tr>
                  <w:tr w:rsidR="00060299" w:rsidTr="003B05B6">
                    <w:trPr>
                      <w:trHeight w:val="510"/>
                    </w:trPr>
                    <w:tc>
                      <w:tcPr>
                        <w:tcW w:w="2619" w:type="dxa"/>
                        <w:vAlign w:val="center"/>
                      </w:tcPr>
                      <w:p w:rsidR="00060299" w:rsidRPr="0058758E" w:rsidRDefault="00436907" w:rsidP="003B05B6">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56" style="width:7.1pt;height:7.15pt;mso-left-percent:-10001;mso-top-percent:-10001;mso-position-horizontal:absolute;mso-position-horizontal-relative:char;mso-position-vertical:absolute;mso-position-vertical-relative:line;mso-left-percent:-10001;mso-top-percent:-10001" fillcolor="#e36c0a [2409]" stroked="f">
                              <w10:wrap type="none"/>
                              <w10:anchorlock/>
                            </v:rect>
                          </w:pict>
                        </w:r>
                        <w:r w:rsidR="00060299">
                          <w:rPr>
                            <w:rFonts w:ascii="Arial" w:hAnsi="Arial" w:cs="Arial"/>
                            <w:sz w:val="16"/>
                            <w:szCs w:val="16"/>
                          </w:rPr>
                          <w:t xml:space="preserve"> </w:t>
                        </w:r>
                        <w:r w:rsidR="00060299" w:rsidRPr="0058758E">
                          <w:rPr>
                            <w:rFonts w:ascii="Arial" w:hAnsi="Arial" w:cs="Arial"/>
                            <w:sz w:val="16"/>
                            <w:szCs w:val="16"/>
                          </w:rPr>
                          <w:t>Población en Edad de Trabajar</w:t>
                        </w:r>
                      </w:p>
                    </w:tc>
                  </w:tr>
                  <w:tr w:rsidR="00060299" w:rsidTr="003B05B6">
                    <w:trPr>
                      <w:trHeight w:val="510"/>
                    </w:trPr>
                    <w:tc>
                      <w:tcPr>
                        <w:tcW w:w="2619" w:type="dxa"/>
                        <w:vAlign w:val="center"/>
                      </w:tcPr>
                      <w:p w:rsidR="00060299" w:rsidRPr="0058758E" w:rsidRDefault="00436907" w:rsidP="003B05B6">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55" style="width:7.1pt;height:7.15pt;mso-left-percent:-10001;mso-top-percent:-10001;mso-position-horizontal:absolute;mso-position-horizontal-relative:char;mso-position-vertical:absolute;mso-position-vertical-relative:line;mso-left-percent:-10001;mso-top-percent:-10001" fillcolor="fuchsia" stroked="f">
                              <w10:wrap type="none"/>
                              <w10:anchorlock/>
                            </v:rect>
                          </w:pict>
                        </w:r>
                        <w:r w:rsidR="00060299">
                          <w:rPr>
                            <w:rFonts w:ascii="Arial" w:hAnsi="Arial" w:cs="Arial"/>
                            <w:sz w:val="16"/>
                            <w:szCs w:val="16"/>
                          </w:rPr>
                          <w:t xml:space="preserve"> </w:t>
                        </w:r>
                        <w:r w:rsidR="00060299" w:rsidRPr="0058758E">
                          <w:rPr>
                            <w:rFonts w:ascii="Arial" w:hAnsi="Arial" w:cs="Arial"/>
                            <w:sz w:val="16"/>
                            <w:szCs w:val="16"/>
                          </w:rPr>
                          <w:t>Población Económicamente Activa</w:t>
                        </w:r>
                      </w:p>
                    </w:tc>
                  </w:tr>
                  <w:tr w:rsidR="00060299" w:rsidTr="003B05B6">
                    <w:trPr>
                      <w:trHeight w:val="510"/>
                    </w:trPr>
                    <w:tc>
                      <w:tcPr>
                        <w:tcW w:w="2619" w:type="dxa"/>
                        <w:vAlign w:val="center"/>
                      </w:tcPr>
                      <w:p w:rsidR="00060299" w:rsidRPr="0058758E" w:rsidRDefault="00436907" w:rsidP="003B05B6">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54" style="width:7.1pt;height:7.15pt;mso-left-percent:-10001;mso-top-percent:-10001;mso-position-horizontal:absolute;mso-position-horizontal-relative:char;mso-position-vertical:absolute;mso-position-vertical-relative:line;mso-left-percent:-10001;mso-top-percent:-10001" fillcolor="#00b0f0" stroked="f">
                              <w10:wrap type="none"/>
                              <w10:anchorlock/>
                            </v:rect>
                          </w:pict>
                        </w:r>
                        <w:r w:rsidR="00060299">
                          <w:rPr>
                            <w:rFonts w:ascii="Arial" w:hAnsi="Arial" w:cs="Arial"/>
                            <w:sz w:val="16"/>
                            <w:szCs w:val="16"/>
                          </w:rPr>
                          <w:t xml:space="preserve"> </w:t>
                        </w:r>
                        <w:r w:rsidR="00060299" w:rsidRPr="0058758E">
                          <w:rPr>
                            <w:rFonts w:ascii="Arial" w:hAnsi="Arial" w:cs="Arial"/>
                            <w:sz w:val="16"/>
                            <w:szCs w:val="16"/>
                          </w:rPr>
                          <w:t>Población Económicamente Inactiva</w:t>
                        </w:r>
                      </w:p>
                    </w:tc>
                  </w:tr>
                </w:tbl>
                <w:p w:rsidR="00060299" w:rsidRDefault="00060299" w:rsidP="003B05B6">
                  <w:pPr>
                    <w:rPr>
                      <w:rFonts w:ascii="Arial" w:hAnsi="Arial" w:cs="Arial"/>
                      <w:i/>
                      <w:sz w:val="16"/>
                      <w:szCs w:val="16"/>
                    </w:rPr>
                  </w:pPr>
                </w:p>
              </w:tc>
            </w:tr>
          </w:tbl>
          <w:p w:rsidR="00060299" w:rsidRPr="0078148C" w:rsidRDefault="00060299" w:rsidP="003B05B6">
            <w:pPr>
              <w:jc w:val="left"/>
              <w:rPr>
                <w:rFonts w:ascii="Arial" w:hAnsi="Arial" w:cs="Arial"/>
                <w:i/>
                <w:sz w:val="16"/>
                <w:szCs w:val="16"/>
              </w:rPr>
            </w:pPr>
          </w:p>
        </w:tc>
      </w:tr>
    </w:tbl>
    <w:p w:rsidR="00060299" w:rsidRPr="00D377FE" w:rsidRDefault="00060299" w:rsidP="00D377FE">
      <w:pPr>
        <w:pStyle w:val="Prrafodelista"/>
        <w:spacing w:line="276" w:lineRule="auto"/>
        <w:ind w:left="851"/>
        <w:jc w:val="both"/>
        <w:rPr>
          <w:rFonts w:ascii="Arial" w:hAnsi="Arial" w:cs="Arial"/>
          <w:sz w:val="17"/>
          <w:szCs w:val="17"/>
        </w:rPr>
      </w:pPr>
    </w:p>
    <w:p w:rsidR="00060299" w:rsidRPr="00D377FE" w:rsidRDefault="00060299" w:rsidP="00D377FE">
      <w:pPr>
        <w:pStyle w:val="Prrafodelista"/>
        <w:spacing w:line="276" w:lineRule="auto"/>
        <w:ind w:left="851"/>
        <w:jc w:val="both"/>
        <w:rPr>
          <w:rFonts w:ascii="Arial" w:hAnsi="Arial" w:cs="Arial"/>
          <w:sz w:val="17"/>
          <w:szCs w:val="17"/>
        </w:rPr>
      </w:pPr>
      <w:r w:rsidRPr="00D377FE">
        <w:rPr>
          <w:rFonts w:ascii="Arial" w:hAnsi="Arial" w:cs="Arial"/>
          <w:b/>
          <w:i/>
          <w:sz w:val="17"/>
          <w:szCs w:val="17"/>
        </w:rPr>
        <w:t>Fuente:</w:t>
      </w:r>
      <w:r w:rsidRPr="00D377FE">
        <w:rPr>
          <w:rFonts w:ascii="Arial" w:hAnsi="Arial" w:cs="Arial"/>
          <w:sz w:val="17"/>
          <w:szCs w:val="17"/>
        </w:rPr>
        <w:t xml:space="preserve"> </w:t>
      </w:r>
      <w:r w:rsidRPr="00D377FE">
        <w:rPr>
          <w:rFonts w:ascii="Arial" w:hAnsi="Arial" w:cs="Arial"/>
          <w:b/>
          <w:sz w:val="17"/>
          <w:szCs w:val="17"/>
        </w:rPr>
        <w:t xml:space="preserve">INEC </w:t>
      </w:r>
      <w:r w:rsidRPr="00D377FE">
        <w:rPr>
          <w:rFonts w:ascii="Arial" w:hAnsi="Arial" w:cs="Arial"/>
          <w:sz w:val="17"/>
          <w:szCs w:val="17"/>
        </w:rPr>
        <w:t>(2010), Base de Datos del VII Censo de Población y VI de Vivienda.</w:t>
      </w:r>
    </w:p>
    <w:p w:rsidR="00060299" w:rsidRPr="00D377FE" w:rsidRDefault="00060299" w:rsidP="00D377FE">
      <w:pPr>
        <w:pStyle w:val="Prrafodelista"/>
        <w:spacing w:line="276" w:lineRule="auto"/>
        <w:ind w:left="851"/>
        <w:jc w:val="both"/>
        <w:rPr>
          <w:rFonts w:ascii="Arial" w:hAnsi="Arial" w:cs="Arial"/>
          <w:sz w:val="17"/>
          <w:szCs w:val="17"/>
        </w:rPr>
      </w:pPr>
      <w:r w:rsidRPr="00D377FE">
        <w:rPr>
          <w:rFonts w:ascii="Arial" w:hAnsi="Arial" w:cs="Arial"/>
          <w:b/>
          <w:i/>
          <w:sz w:val="17"/>
          <w:szCs w:val="17"/>
        </w:rPr>
        <w:t>Elaborado por:</w:t>
      </w:r>
      <w:r w:rsidRPr="00D377FE">
        <w:rPr>
          <w:rFonts w:ascii="Arial" w:hAnsi="Arial" w:cs="Arial"/>
          <w:sz w:val="17"/>
          <w:szCs w:val="17"/>
        </w:rPr>
        <w:t xml:space="preserve"> Katherine Loor Valeriano</w:t>
      </w:r>
    </w:p>
    <w:p w:rsidR="00060299" w:rsidRDefault="00060299" w:rsidP="00D377FE">
      <w:pPr>
        <w:pStyle w:val="Prrafodelista"/>
        <w:spacing w:line="480" w:lineRule="auto"/>
        <w:ind w:left="851"/>
        <w:jc w:val="both"/>
        <w:rPr>
          <w:rFonts w:ascii="Arial" w:hAnsi="Arial" w:cs="Arial"/>
        </w:rPr>
      </w:pPr>
    </w:p>
    <w:p w:rsidR="00060299" w:rsidRDefault="00060299" w:rsidP="00D377FE">
      <w:pPr>
        <w:pStyle w:val="Prrafodelista"/>
        <w:spacing w:line="480" w:lineRule="auto"/>
        <w:ind w:left="851"/>
        <w:jc w:val="both"/>
        <w:rPr>
          <w:rFonts w:ascii="Arial" w:hAnsi="Arial" w:cs="Arial"/>
        </w:rPr>
      </w:pPr>
      <w:r>
        <w:rPr>
          <w:rFonts w:ascii="Arial" w:hAnsi="Arial" w:cs="Arial"/>
        </w:rPr>
        <w:t xml:space="preserve">Lo expuesto en líneas previas también puede ser analizado por género; en la </w:t>
      </w:r>
      <w:r>
        <w:rPr>
          <w:rFonts w:ascii="Arial" w:hAnsi="Arial" w:cs="Arial"/>
          <w:i/>
        </w:rPr>
        <w:t>Figura 3.28</w:t>
      </w:r>
      <w:r>
        <w:rPr>
          <w:rFonts w:ascii="Arial" w:hAnsi="Arial" w:cs="Arial"/>
        </w:rPr>
        <w:t>, se presentan los totales de la población extranjera para cada género, así como también los totales de la población económicamente activa e inactiva. De donde podemos notar que, en Ecuador al 28 de noviembre de 2010 habían 92310 extranjeros de género masculino, de los cuales el 82.35% eran mayores a 10 años que en términos absolutos son 76016 personas; de esta última población, es decir de los hombres mayores de 10 años, el 77.18% son parte de la población económicamente activa, mientras que el 22.82% constituyen a la población económicamente inactiva.</w:t>
      </w:r>
    </w:p>
    <w:p w:rsidR="00060299" w:rsidRDefault="00060299" w:rsidP="00D377FE">
      <w:pPr>
        <w:pStyle w:val="Prrafodelista"/>
        <w:spacing w:line="480" w:lineRule="auto"/>
        <w:ind w:left="851"/>
        <w:jc w:val="both"/>
        <w:rPr>
          <w:rFonts w:ascii="Arial" w:hAnsi="Arial" w:cs="Arial"/>
        </w:rPr>
      </w:pPr>
    </w:p>
    <w:p w:rsidR="00060299" w:rsidRPr="00B07DD8" w:rsidRDefault="00D377FE" w:rsidP="00D377FE">
      <w:pPr>
        <w:pStyle w:val="Prrafodelista"/>
        <w:spacing w:line="480" w:lineRule="auto"/>
        <w:ind w:left="851"/>
        <w:jc w:val="both"/>
        <w:rPr>
          <w:rFonts w:ascii="Arial" w:hAnsi="Arial" w:cs="Arial"/>
          <w:i/>
        </w:rPr>
      </w:pPr>
      <w:r>
        <w:rPr>
          <w:rFonts w:ascii="Arial" w:hAnsi="Arial" w:cs="Arial"/>
        </w:rPr>
        <w:t>A</w:t>
      </w:r>
      <w:r w:rsidR="00060299">
        <w:rPr>
          <w:rFonts w:ascii="Arial" w:hAnsi="Arial" w:cs="Arial"/>
        </w:rPr>
        <w:t xml:space="preserve"> la fecha del empadronamiento (noviembre de 2010) habían 89538 mujeres extranjeras que respondieron residir habitualmente en el Ecuador, de las cuales el 82.68% son mujeres de 10 años y más, es decir mujeres en </w:t>
      </w:r>
      <w:r w:rsidR="00060299">
        <w:rPr>
          <w:rFonts w:ascii="Arial" w:hAnsi="Arial" w:cs="Arial"/>
        </w:rPr>
        <w:lastRenderedPageBreak/>
        <w:t xml:space="preserve">edad de trabajar, que en términos absolutos son 74033 personas; además se tiene que hay 36050 mujeres que trabajan o buscan empleo (población extranjera femenina económicamente activa); y por tanto el 51.31% de éstas son parte de la población económicamente inactiva. Cabe destacar que en el caso de las mujeres, es mayor el porcentaje de las que no trabajan o no buscan empleo. Para más detalles </w:t>
      </w:r>
      <w:r w:rsidR="00060299">
        <w:rPr>
          <w:rFonts w:ascii="Arial" w:hAnsi="Arial" w:cs="Arial"/>
          <w:i/>
        </w:rPr>
        <w:t>véase Figura 3.28.</w:t>
      </w:r>
    </w:p>
    <w:tbl>
      <w:tblPr>
        <w:tblStyle w:val="Tablaconcuadrcula"/>
        <w:tblW w:w="7497" w:type="dxa"/>
        <w:jc w:val="right"/>
        <w:tblInd w:w="1732"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23"/>
      </w:tblGrid>
      <w:tr w:rsidR="00060299" w:rsidRPr="00840530" w:rsidTr="00122F06">
        <w:trPr>
          <w:trHeight w:val="3231"/>
          <w:jc w:val="right"/>
        </w:trPr>
        <w:tc>
          <w:tcPr>
            <w:tcW w:w="7497" w:type="dxa"/>
          </w:tcPr>
          <w:p w:rsidR="00060299" w:rsidRDefault="00060299" w:rsidP="003B05B6">
            <w:pPr>
              <w:rPr>
                <w:rFonts w:ascii="Arial" w:hAnsi="Arial" w:cs="Arial"/>
                <w:b/>
                <w:sz w:val="16"/>
                <w:szCs w:val="16"/>
              </w:rPr>
            </w:pPr>
          </w:p>
          <w:p w:rsidR="00F51119" w:rsidRPr="00F51119" w:rsidRDefault="00F51119" w:rsidP="00F51119">
            <w:pPr>
              <w:pStyle w:val="Epgrafe"/>
              <w:rPr>
                <w:rFonts w:ascii="Arial" w:hAnsi="Arial" w:cs="Arial"/>
                <w:bCs w:val="0"/>
                <w:color w:val="auto"/>
                <w:sz w:val="16"/>
                <w:szCs w:val="16"/>
              </w:rPr>
            </w:pPr>
            <w:bookmarkStart w:id="478" w:name="_Toc341043427"/>
            <w:r>
              <w:rPr>
                <w:rFonts w:ascii="Arial" w:hAnsi="Arial" w:cs="Arial"/>
                <w:bCs w:val="0"/>
                <w:color w:val="auto"/>
                <w:sz w:val="16"/>
                <w:szCs w:val="16"/>
              </w:rPr>
              <w:t>Figura 3.</w:t>
            </w:r>
            <w:r w:rsidR="00990535" w:rsidRPr="00F51119">
              <w:rPr>
                <w:rFonts w:ascii="Arial" w:hAnsi="Arial" w:cs="Arial"/>
                <w:bCs w:val="0"/>
                <w:color w:val="auto"/>
                <w:sz w:val="16"/>
                <w:szCs w:val="16"/>
              </w:rPr>
              <w:fldChar w:fldCharType="begin"/>
            </w:r>
            <w:r w:rsidRPr="00F51119">
              <w:rPr>
                <w:rFonts w:ascii="Arial" w:hAnsi="Arial" w:cs="Arial"/>
                <w:bCs w:val="0"/>
                <w:color w:val="auto"/>
                <w:sz w:val="16"/>
                <w:szCs w:val="16"/>
              </w:rPr>
              <w:instrText xml:space="preserve"> SEQ Figura_3. \* ARABIC </w:instrText>
            </w:r>
            <w:r w:rsidR="00990535" w:rsidRPr="00F51119">
              <w:rPr>
                <w:rFonts w:ascii="Arial" w:hAnsi="Arial" w:cs="Arial"/>
                <w:bCs w:val="0"/>
                <w:color w:val="auto"/>
                <w:sz w:val="16"/>
                <w:szCs w:val="16"/>
              </w:rPr>
              <w:fldChar w:fldCharType="separate"/>
            </w:r>
            <w:r w:rsidR="00A242E0">
              <w:rPr>
                <w:rFonts w:ascii="Arial" w:hAnsi="Arial" w:cs="Arial"/>
                <w:bCs w:val="0"/>
                <w:noProof/>
                <w:color w:val="auto"/>
                <w:sz w:val="16"/>
                <w:szCs w:val="16"/>
              </w:rPr>
              <w:t>28</w:t>
            </w:r>
            <w:bookmarkEnd w:id="478"/>
            <w:r w:rsidR="00990535" w:rsidRPr="00F51119">
              <w:rPr>
                <w:rFonts w:ascii="Arial" w:hAnsi="Arial" w:cs="Arial"/>
                <w:bCs w:val="0"/>
                <w:color w:val="auto"/>
                <w:sz w:val="16"/>
                <w:szCs w:val="16"/>
              </w:rPr>
              <w:fldChar w:fldCharType="end"/>
            </w:r>
          </w:p>
          <w:p w:rsidR="00060299" w:rsidRDefault="00BF3C5B"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Población Extranjera Económicamente Activa e Inactiva por Género</w:t>
            </w:r>
          </w:p>
          <w:tbl>
            <w:tblPr>
              <w:tblStyle w:val="Tablaconcuadrcula"/>
              <w:tblW w:w="0" w:type="auto"/>
              <w:jc w:val="center"/>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594"/>
              <w:gridCol w:w="3575"/>
            </w:tblGrid>
            <w:tr w:rsidR="00122F06" w:rsidTr="00122F06">
              <w:trPr>
                <w:jc w:val="center"/>
              </w:trPr>
              <w:tc>
                <w:tcPr>
                  <w:tcW w:w="3796" w:type="dxa"/>
                </w:tcPr>
                <w:p w:rsidR="00122F06" w:rsidRDefault="00436907" w:rsidP="00AC14FD">
                  <w:pPr>
                    <w:rPr>
                      <w:rFonts w:ascii="Arial" w:hAnsi="Arial" w:cs="Arial"/>
                      <w:i/>
                      <w:sz w:val="16"/>
                      <w:szCs w:val="16"/>
                    </w:rPr>
                  </w:pPr>
                  <w:r>
                    <w:rPr>
                      <w:noProof/>
                    </w:rPr>
                    <w:pict>
                      <v:shape id="_x0000_s2148" type="#_x0000_t202" style="position:absolute;left:0;text-align:left;margin-left:87.85pt;margin-top:12.65pt;width:62.45pt;height:16.05pt;z-index:25131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LT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Mk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e+bi0y8CAABWBAAADgAAAAAAAAAAAAAAAAAuAgAAZHJz&#10;L2Uyb0RvYy54bWxQSwECLQAUAAYACAAAACEA/S8y1tsAAAAFAQAADwAAAAAAAAAAAAAAAACJBAAA&#10;ZHJzL2Rvd25yZXYueG1sUEsFBgAAAAAEAAQA8wAAAJEFAAAAAA==&#10;" filled="f" stroked="f">
                        <v:textbox style="mso-next-textbox:#_x0000_s2148">
                          <w:txbxContent>
                            <w:p w:rsidR="006933DF" w:rsidRPr="003622AA" w:rsidRDefault="006933DF" w:rsidP="00122F06">
                              <w:pPr>
                                <w:rPr>
                                  <w:rFonts w:ascii="Arial" w:hAnsi="Arial" w:cs="Arial"/>
                                  <w:color w:val="0070C0"/>
                                  <w:sz w:val="16"/>
                                  <w:szCs w:val="16"/>
                                </w:rPr>
                              </w:pPr>
                              <w:r>
                                <w:rPr>
                                  <w:rFonts w:ascii="Arial" w:hAnsi="Arial" w:cs="Arial"/>
                                  <w:color w:val="0070C0"/>
                                  <w:sz w:val="16"/>
                                  <w:szCs w:val="16"/>
                                </w:rPr>
                                <w:t>Hombre</w:t>
                              </w:r>
                            </w:p>
                          </w:txbxContent>
                        </v:textbox>
                      </v:shape>
                    </w:pict>
                  </w:r>
                  <w:r w:rsidR="00122F06">
                    <w:rPr>
                      <w:noProof/>
                      <w:lang w:eastAsia="es-EC"/>
                    </w:rPr>
                    <w:drawing>
                      <wp:inline distT="0" distB="0" distL="0" distR="0">
                        <wp:extent cx="2160000" cy="1400175"/>
                        <wp:effectExtent l="0" t="0" r="0" b="0"/>
                        <wp:docPr id="307" name="Gráfico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3487" w:type="dxa"/>
                </w:tcPr>
                <w:p w:rsidR="00122F06" w:rsidRDefault="00436907" w:rsidP="00AC14FD">
                  <w:pPr>
                    <w:rPr>
                      <w:rFonts w:ascii="Arial" w:hAnsi="Arial" w:cs="Arial"/>
                      <w:i/>
                      <w:sz w:val="16"/>
                      <w:szCs w:val="16"/>
                    </w:rPr>
                  </w:pPr>
                  <w:r>
                    <w:rPr>
                      <w:rFonts w:ascii="Arial" w:hAnsi="Arial" w:cs="Arial"/>
                      <w:noProof/>
                      <w:lang w:eastAsia="es-EC"/>
                    </w:rPr>
                    <w:pict>
                      <v:shape id="_x0000_s2149" type="#_x0000_t202" style="position:absolute;left:0;text-align:left;margin-left:82.9pt;margin-top:12.65pt;width:62.45pt;height:16.05pt;z-index:251320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LT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Mk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e+bi0y8CAABWBAAADgAAAAAAAAAAAAAAAAAuAgAAZHJz&#10;L2Uyb0RvYy54bWxQSwECLQAUAAYACAAAACEA/S8y1tsAAAAFAQAADwAAAAAAAAAAAAAAAACJBAAA&#10;ZHJzL2Rvd25yZXYueG1sUEsFBgAAAAAEAAQA8wAAAJEFAAAAAA==&#10;" filled="f" stroked="f">
                        <v:textbox style="mso-next-textbox:#_x0000_s2149">
                          <w:txbxContent>
                            <w:p w:rsidR="006933DF" w:rsidRPr="003622AA" w:rsidRDefault="006933DF" w:rsidP="00122F06">
                              <w:pPr>
                                <w:rPr>
                                  <w:rFonts w:ascii="Arial" w:hAnsi="Arial" w:cs="Arial"/>
                                  <w:color w:val="FF00FF"/>
                                  <w:sz w:val="16"/>
                                  <w:szCs w:val="16"/>
                                </w:rPr>
                              </w:pPr>
                              <w:r>
                                <w:rPr>
                                  <w:rFonts w:ascii="Arial" w:hAnsi="Arial" w:cs="Arial"/>
                                  <w:color w:val="FF00FF"/>
                                  <w:sz w:val="16"/>
                                  <w:szCs w:val="16"/>
                                </w:rPr>
                                <w:t>Mujer</w:t>
                              </w:r>
                            </w:p>
                          </w:txbxContent>
                        </v:textbox>
                      </v:shape>
                    </w:pict>
                  </w:r>
                  <w:r w:rsidR="00122F06">
                    <w:rPr>
                      <w:noProof/>
                      <w:lang w:eastAsia="es-EC"/>
                    </w:rPr>
                    <w:drawing>
                      <wp:inline distT="0" distB="0" distL="0" distR="0">
                        <wp:extent cx="2160000" cy="1406403"/>
                        <wp:effectExtent l="0" t="0" r="0" b="0"/>
                        <wp:docPr id="310" name="Gráfico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122F06" w:rsidTr="00122F06">
              <w:trPr>
                <w:jc w:val="center"/>
              </w:trPr>
              <w:tc>
                <w:tcPr>
                  <w:tcW w:w="7283" w:type="dxa"/>
                  <w:gridSpan w:val="2"/>
                </w:tcPr>
                <w:tbl>
                  <w:tblPr>
                    <w:tblStyle w:val="Tablaconcuadrcula"/>
                    <w:tblW w:w="7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1"/>
                    <w:gridCol w:w="1757"/>
                    <w:gridCol w:w="1757"/>
                    <w:gridCol w:w="1814"/>
                  </w:tblGrid>
                  <w:tr w:rsidR="00122F06" w:rsidTr="00AC14FD">
                    <w:trPr>
                      <w:trHeight w:val="340"/>
                    </w:trPr>
                    <w:tc>
                      <w:tcPr>
                        <w:tcW w:w="1701" w:type="dxa"/>
                        <w:vAlign w:val="center"/>
                      </w:tcPr>
                      <w:p w:rsidR="00122F06" w:rsidRPr="00D377FE" w:rsidRDefault="00436907" w:rsidP="00AC14FD">
                        <w:pPr>
                          <w:jc w:val="left"/>
                          <w:rPr>
                            <w:rFonts w:ascii="Arial" w:hAnsi="Arial" w:cs="Arial"/>
                            <w:sz w:val="15"/>
                            <w:szCs w:val="15"/>
                          </w:rPr>
                        </w:pPr>
                        <w:r>
                          <w:rPr>
                            <w:rFonts w:ascii="Arial" w:hAnsi="Arial" w:cs="Arial"/>
                            <w:sz w:val="15"/>
                            <w:szCs w:val="15"/>
                          </w:rPr>
                        </w:r>
                        <w:r>
                          <w:rPr>
                            <w:rFonts w:ascii="Arial" w:hAnsi="Arial" w:cs="Arial"/>
                            <w:sz w:val="15"/>
                            <w:szCs w:val="15"/>
                          </w:rPr>
                          <w:pict>
                            <v:rect id="_x0000_s2453" style="width:7.1pt;height:7.15pt;mso-left-percent:-10001;mso-top-percent:-10001;mso-position-horizontal:absolute;mso-position-horizontal-relative:char;mso-position-vertical:absolute;mso-position-vertical-relative:line;mso-left-percent:-10001;mso-top-percent:-10001" fillcolor="#fc0" stroked="f">
                              <w10:wrap type="none"/>
                              <w10:anchorlock/>
                            </v:rect>
                          </w:pict>
                        </w:r>
                        <w:r w:rsidR="00122F06" w:rsidRPr="00D377FE">
                          <w:rPr>
                            <w:rFonts w:ascii="Arial" w:hAnsi="Arial" w:cs="Arial"/>
                            <w:sz w:val="15"/>
                            <w:szCs w:val="15"/>
                          </w:rPr>
                          <w:t xml:space="preserve"> Población Extranjera      </w:t>
                        </w:r>
                      </w:p>
                      <w:p w:rsidR="00122F06" w:rsidRPr="00D377FE" w:rsidRDefault="00122F06" w:rsidP="00AC14FD">
                        <w:pPr>
                          <w:jc w:val="left"/>
                          <w:rPr>
                            <w:rFonts w:ascii="Arial" w:hAnsi="Arial" w:cs="Arial"/>
                            <w:sz w:val="15"/>
                            <w:szCs w:val="15"/>
                          </w:rPr>
                        </w:pPr>
                        <w:r w:rsidRPr="00D377FE">
                          <w:rPr>
                            <w:rFonts w:ascii="Arial" w:hAnsi="Arial" w:cs="Arial"/>
                            <w:sz w:val="15"/>
                            <w:szCs w:val="15"/>
                          </w:rPr>
                          <w:t xml:space="preserve">    Total</w:t>
                        </w:r>
                      </w:p>
                    </w:tc>
                    <w:tc>
                      <w:tcPr>
                        <w:tcW w:w="1757" w:type="dxa"/>
                        <w:vAlign w:val="center"/>
                      </w:tcPr>
                      <w:p w:rsidR="00122F06" w:rsidRPr="00D377FE" w:rsidRDefault="00436907" w:rsidP="00AC14FD">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52" style="width:7.1pt;height:7.15pt;mso-left-percent:-10001;mso-top-percent:-10001;mso-position-horizontal:absolute;mso-position-horizontal-relative:char;mso-position-vertical:absolute;mso-position-vertical-relative:line;mso-left-percent:-10001;mso-top-percent:-10001" fillcolor="#e36c0a [2409]" stroked="f">
                              <w10:wrap type="none"/>
                              <w10:anchorlock/>
                            </v:rect>
                          </w:pict>
                        </w:r>
                        <w:r w:rsidR="00122F06" w:rsidRPr="00D377FE">
                          <w:rPr>
                            <w:rFonts w:ascii="Arial" w:hAnsi="Arial" w:cs="Arial"/>
                            <w:sz w:val="15"/>
                            <w:szCs w:val="15"/>
                          </w:rPr>
                          <w:t xml:space="preserve"> Población en Edad de </w:t>
                        </w:r>
                      </w:p>
                      <w:p w:rsidR="00122F06" w:rsidRPr="00D377FE" w:rsidRDefault="00122F06" w:rsidP="00AC14FD">
                        <w:pPr>
                          <w:tabs>
                            <w:tab w:val="left" w:pos="675"/>
                          </w:tabs>
                          <w:jc w:val="left"/>
                          <w:rPr>
                            <w:rFonts w:ascii="Arial" w:hAnsi="Arial" w:cs="Arial"/>
                            <w:sz w:val="15"/>
                            <w:szCs w:val="15"/>
                          </w:rPr>
                        </w:pPr>
                        <w:r w:rsidRPr="00D377FE">
                          <w:rPr>
                            <w:rFonts w:ascii="Arial" w:hAnsi="Arial" w:cs="Arial"/>
                            <w:sz w:val="15"/>
                            <w:szCs w:val="15"/>
                          </w:rPr>
                          <w:t xml:space="preserve">    Trabajar</w:t>
                        </w:r>
                        <w:r w:rsidRPr="00D377FE">
                          <w:rPr>
                            <w:rFonts w:ascii="Arial" w:hAnsi="Arial" w:cs="Arial"/>
                            <w:sz w:val="15"/>
                            <w:szCs w:val="15"/>
                          </w:rPr>
                          <w:tab/>
                        </w:r>
                      </w:p>
                    </w:tc>
                    <w:tc>
                      <w:tcPr>
                        <w:tcW w:w="1757" w:type="dxa"/>
                        <w:vAlign w:val="center"/>
                      </w:tcPr>
                      <w:p w:rsidR="00122F06" w:rsidRPr="00D377FE" w:rsidRDefault="00436907" w:rsidP="00AC14FD">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51" style="width:7.1pt;height:7.15pt;mso-left-percent:-10001;mso-top-percent:-10001;mso-position-horizontal:absolute;mso-position-horizontal-relative:char;mso-position-vertical:absolute;mso-position-vertical-relative:line;mso-left-percent:-10001;mso-top-percent:-10001" fillcolor="fuchsia" stroked="f">
                              <w10:wrap type="none"/>
                              <w10:anchorlock/>
                            </v:rect>
                          </w:pict>
                        </w:r>
                        <w:r w:rsidR="00122F06" w:rsidRPr="00D377FE">
                          <w:rPr>
                            <w:rFonts w:ascii="Arial" w:hAnsi="Arial" w:cs="Arial"/>
                            <w:sz w:val="15"/>
                            <w:szCs w:val="15"/>
                          </w:rPr>
                          <w:t xml:space="preserve"> Población Económicamente Activa</w:t>
                        </w:r>
                      </w:p>
                    </w:tc>
                    <w:tc>
                      <w:tcPr>
                        <w:tcW w:w="1814" w:type="dxa"/>
                        <w:vAlign w:val="center"/>
                      </w:tcPr>
                      <w:p w:rsidR="00122F06" w:rsidRPr="00D377FE" w:rsidRDefault="00436907" w:rsidP="00AC14FD">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50" style="width:7.1pt;height:7.15pt;mso-left-percent:-10001;mso-top-percent:-10001;mso-position-horizontal:absolute;mso-position-horizontal-relative:char;mso-position-vertical:absolute;mso-position-vertical-relative:line;mso-left-percent:-10001;mso-top-percent:-10001" fillcolor="#00b0f0" stroked="f">
                              <w10:wrap type="none"/>
                              <w10:anchorlock/>
                            </v:rect>
                          </w:pict>
                        </w:r>
                        <w:r w:rsidR="00122F06" w:rsidRPr="00D377FE">
                          <w:rPr>
                            <w:rFonts w:ascii="Arial" w:hAnsi="Arial" w:cs="Arial"/>
                            <w:sz w:val="15"/>
                            <w:szCs w:val="15"/>
                          </w:rPr>
                          <w:t xml:space="preserve"> Población Económicamente Inactiva</w:t>
                        </w:r>
                      </w:p>
                    </w:tc>
                  </w:tr>
                </w:tbl>
                <w:p w:rsidR="00122F06" w:rsidRDefault="00122F06" w:rsidP="00AC14FD">
                  <w:pPr>
                    <w:rPr>
                      <w:noProof/>
                      <w:lang w:eastAsia="es-EC"/>
                    </w:rPr>
                  </w:pPr>
                </w:p>
              </w:tc>
            </w:tr>
          </w:tbl>
          <w:p w:rsidR="00060299" w:rsidRPr="0078148C" w:rsidRDefault="00060299" w:rsidP="00122F06">
            <w:pPr>
              <w:rPr>
                <w:rFonts w:ascii="Arial" w:hAnsi="Arial" w:cs="Arial"/>
                <w:i/>
                <w:sz w:val="16"/>
                <w:szCs w:val="16"/>
              </w:rPr>
            </w:pPr>
          </w:p>
        </w:tc>
      </w:tr>
    </w:tbl>
    <w:p w:rsidR="00060299" w:rsidRPr="00122F06" w:rsidRDefault="00060299" w:rsidP="00122F06">
      <w:pPr>
        <w:pStyle w:val="Prrafodelista"/>
        <w:spacing w:line="276" w:lineRule="auto"/>
        <w:ind w:left="851"/>
        <w:jc w:val="both"/>
        <w:rPr>
          <w:rFonts w:ascii="Arial" w:hAnsi="Arial" w:cs="Arial"/>
          <w:sz w:val="17"/>
          <w:szCs w:val="17"/>
        </w:rPr>
      </w:pPr>
    </w:p>
    <w:p w:rsidR="00060299" w:rsidRPr="00122F06" w:rsidRDefault="00060299" w:rsidP="00122F06">
      <w:pPr>
        <w:pStyle w:val="Prrafodelista"/>
        <w:spacing w:line="276" w:lineRule="auto"/>
        <w:ind w:left="851"/>
        <w:jc w:val="both"/>
        <w:rPr>
          <w:rFonts w:ascii="Arial" w:hAnsi="Arial" w:cs="Arial"/>
          <w:sz w:val="17"/>
          <w:szCs w:val="17"/>
        </w:rPr>
      </w:pPr>
      <w:r w:rsidRPr="00122F06">
        <w:rPr>
          <w:rFonts w:ascii="Arial" w:hAnsi="Arial" w:cs="Arial"/>
          <w:b/>
          <w:i/>
          <w:sz w:val="17"/>
          <w:szCs w:val="17"/>
        </w:rPr>
        <w:t>Fuente:</w:t>
      </w:r>
      <w:r w:rsidRPr="00122F06">
        <w:rPr>
          <w:rFonts w:ascii="Arial" w:hAnsi="Arial" w:cs="Arial"/>
          <w:sz w:val="17"/>
          <w:szCs w:val="17"/>
        </w:rPr>
        <w:t xml:space="preserve"> </w:t>
      </w:r>
      <w:r w:rsidRPr="00122F06">
        <w:rPr>
          <w:rFonts w:ascii="Arial" w:hAnsi="Arial" w:cs="Arial"/>
          <w:b/>
          <w:sz w:val="17"/>
          <w:szCs w:val="17"/>
        </w:rPr>
        <w:t xml:space="preserve">INEC </w:t>
      </w:r>
      <w:r w:rsidRPr="00122F06">
        <w:rPr>
          <w:rFonts w:ascii="Arial" w:hAnsi="Arial" w:cs="Arial"/>
          <w:sz w:val="17"/>
          <w:szCs w:val="17"/>
        </w:rPr>
        <w:t>(2010), Base de Datos del VII Censo de Población y VI de Vivienda.</w:t>
      </w:r>
    </w:p>
    <w:p w:rsidR="00060299" w:rsidRPr="00122F06" w:rsidRDefault="00060299" w:rsidP="00122F06">
      <w:pPr>
        <w:pStyle w:val="Prrafodelista"/>
        <w:spacing w:line="276" w:lineRule="auto"/>
        <w:ind w:left="851"/>
        <w:jc w:val="both"/>
        <w:rPr>
          <w:rFonts w:ascii="Arial" w:hAnsi="Arial" w:cs="Arial"/>
          <w:sz w:val="17"/>
          <w:szCs w:val="17"/>
        </w:rPr>
      </w:pPr>
      <w:r w:rsidRPr="00122F06">
        <w:rPr>
          <w:rFonts w:ascii="Arial" w:hAnsi="Arial" w:cs="Arial"/>
          <w:b/>
          <w:i/>
          <w:sz w:val="17"/>
          <w:szCs w:val="17"/>
        </w:rPr>
        <w:t>Elaborado por:</w:t>
      </w:r>
      <w:r w:rsidRPr="00122F06">
        <w:rPr>
          <w:rFonts w:ascii="Arial" w:hAnsi="Arial" w:cs="Arial"/>
          <w:sz w:val="17"/>
          <w:szCs w:val="17"/>
        </w:rPr>
        <w:t xml:space="preserve"> Katherine Loor Valeriano</w:t>
      </w:r>
    </w:p>
    <w:p w:rsidR="00060299" w:rsidRDefault="00060299" w:rsidP="00122F06">
      <w:pPr>
        <w:pStyle w:val="Prrafodelista"/>
        <w:spacing w:line="480" w:lineRule="auto"/>
        <w:ind w:left="851"/>
        <w:jc w:val="both"/>
        <w:rPr>
          <w:rFonts w:ascii="Arial" w:hAnsi="Arial" w:cs="Arial"/>
        </w:rPr>
      </w:pPr>
    </w:p>
    <w:p w:rsidR="00060299" w:rsidRDefault="00060299" w:rsidP="00122F06">
      <w:pPr>
        <w:pStyle w:val="Prrafodelista"/>
        <w:spacing w:line="480" w:lineRule="auto"/>
        <w:ind w:left="851"/>
        <w:jc w:val="both"/>
        <w:rPr>
          <w:rFonts w:ascii="Arial" w:hAnsi="Arial" w:cs="Arial"/>
        </w:rPr>
      </w:pPr>
      <w:r>
        <w:rPr>
          <w:rFonts w:ascii="Arial" w:hAnsi="Arial" w:cs="Arial"/>
        </w:rPr>
        <w:t xml:space="preserve">Como dato adicional, recordemos que en Ecuador hay 14483499 habitantes, de los cuales el 79.36% son mayores de 10 años; de éstos últimos el 53.01% son parte de la población económicamente activa y el porcentaje restante conforman a la población económicamente inactiva (46.99%). Pero, si consideramos solamente a la población que trabaja, es cesante o busca empleo (económicamente activa), de éstos el 1.55% son extranjeros, de igual manera si solamente consideramos a la población económicamente inactiva el 1.02% son extranjeros. </w:t>
      </w:r>
    </w:p>
    <w:p w:rsidR="00060299" w:rsidRDefault="00060299" w:rsidP="00122F06">
      <w:pPr>
        <w:pStyle w:val="Prrafodelista"/>
        <w:spacing w:line="480" w:lineRule="auto"/>
        <w:ind w:left="851"/>
        <w:jc w:val="both"/>
        <w:rPr>
          <w:rFonts w:ascii="Arial" w:hAnsi="Arial" w:cs="Arial"/>
        </w:rPr>
      </w:pPr>
    </w:p>
    <w:p w:rsidR="00060299" w:rsidRPr="004D28F3" w:rsidRDefault="00122F06" w:rsidP="00122F06">
      <w:pPr>
        <w:pStyle w:val="Prrafodelista"/>
        <w:spacing w:line="480" w:lineRule="auto"/>
        <w:ind w:left="851"/>
        <w:jc w:val="both"/>
        <w:rPr>
          <w:rFonts w:ascii="Arial" w:hAnsi="Arial" w:cs="Arial"/>
        </w:rPr>
      </w:pPr>
      <w:r>
        <w:rPr>
          <w:rFonts w:ascii="Arial" w:hAnsi="Arial" w:cs="Arial"/>
        </w:rPr>
        <w:lastRenderedPageBreak/>
        <w:t>A</w:t>
      </w:r>
      <w:r w:rsidR="00060299">
        <w:rPr>
          <w:rFonts w:ascii="Arial" w:hAnsi="Arial" w:cs="Arial"/>
        </w:rPr>
        <w:t xml:space="preserve"> nivel nacional el 78.85% de los hombres son mayores de 10 años, de éstos últimos el 68.03% son parte de la población económicamente activa y el 31.97% son parte de la población inactiva; de la población masculina económicamente activa del Ecuador, el 1.52% son extranjeros, y de la inactiva el 0.96% son inmigrantes extranjeros que residen en el país. </w:t>
      </w:r>
      <w:r w:rsidR="00060299" w:rsidRPr="004D28F3">
        <w:rPr>
          <w:rFonts w:ascii="Arial" w:hAnsi="Arial" w:cs="Arial"/>
        </w:rPr>
        <w:t>Además, si consideramos solamente a las mujeres, en nuestro país hay 5834928 mujeres de 10 años y más, de éstas el 38.44% son parte de la población económicamente activa y por tanto el porcentaje restante conforman la población femenina econ</w:t>
      </w:r>
      <w:r w:rsidR="00060299">
        <w:rPr>
          <w:rFonts w:ascii="Arial" w:hAnsi="Arial" w:cs="Arial"/>
        </w:rPr>
        <w:t xml:space="preserve">ómicamente inactiva; de donde se tiene también que el 1.61% de la población que trabaja, es cesante o busca empleo son extranjeros que residen en Ecuador; y, el 1.06% de la población que no trabaja son inmigrantes nativos de otros países. </w:t>
      </w:r>
    </w:p>
    <w:p w:rsidR="00060299" w:rsidRPr="008A6DED" w:rsidRDefault="00060299" w:rsidP="00060299">
      <w:pPr>
        <w:pStyle w:val="Prrafodelista"/>
        <w:spacing w:line="480" w:lineRule="auto"/>
        <w:ind w:left="567"/>
        <w:jc w:val="both"/>
        <w:rPr>
          <w:rFonts w:ascii="Arial" w:hAnsi="Arial" w:cs="Arial"/>
        </w:rPr>
      </w:pPr>
    </w:p>
    <w:p w:rsidR="00060299" w:rsidRDefault="00060299" w:rsidP="00122F06">
      <w:pPr>
        <w:pStyle w:val="TesisTitulo1"/>
        <w:ind w:left="851"/>
      </w:pPr>
      <w:bookmarkStart w:id="479" w:name="_Toc335850611"/>
      <w:bookmarkStart w:id="480" w:name="_Toc341040657"/>
      <w:r>
        <w:t>Trabajo que desempeñan los extranjeros residentes en Ecuador</w:t>
      </w:r>
      <w:bookmarkEnd w:id="479"/>
      <w:bookmarkEnd w:id="480"/>
    </w:p>
    <w:p w:rsidR="00060299" w:rsidRPr="00202BC3" w:rsidRDefault="00060299" w:rsidP="00122F06">
      <w:pPr>
        <w:pStyle w:val="Prrafodelista"/>
        <w:spacing w:line="480" w:lineRule="auto"/>
        <w:ind w:left="851"/>
        <w:jc w:val="both"/>
        <w:rPr>
          <w:rFonts w:ascii="Arial" w:hAnsi="Arial" w:cs="Arial"/>
        </w:rPr>
      </w:pPr>
      <w:r>
        <w:rPr>
          <w:rFonts w:ascii="Arial" w:hAnsi="Arial" w:cs="Arial"/>
        </w:rPr>
        <w:t xml:space="preserve">A mas de conocer las frecuencias absolutas o relativas de la población extranjera que trabaja, también vamos a considerar el trabajo que los extranjeros residentes en el país desempeñan en su lugar de trabajo, esta característica fue medida a la población mayor de 5 años. En la </w:t>
      </w:r>
      <w:r>
        <w:rPr>
          <w:rFonts w:ascii="Arial" w:hAnsi="Arial" w:cs="Arial"/>
          <w:i/>
        </w:rPr>
        <w:t>Figura 3.29</w:t>
      </w:r>
      <w:r>
        <w:rPr>
          <w:rFonts w:ascii="Arial" w:hAnsi="Arial" w:cs="Arial"/>
        </w:rPr>
        <w:t xml:space="preserve">, se presentan las frecuencias relativas de los diferentes trabajos desempañados por los inmigrantes, donde podemos notar que la mayoría, el 41.19% de los extranjeros, son empleados u obreros privados; además, el 24.81% trabaja por cuenta propia, el 10.95% se desempeña como jornalero o peón, hay un 6.18% de éstos que son patrones, el 4.96% son </w:t>
      </w:r>
      <w:r>
        <w:rPr>
          <w:rFonts w:ascii="Arial" w:hAnsi="Arial" w:cs="Arial"/>
        </w:rPr>
        <w:lastRenderedPageBreak/>
        <w:t xml:space="preserve">empleados del Gobierno, Municipio, Consejo provincial, o Juntas parroquiales, el 3.58% son empleados domésticos, el 2.69% trabajan en sociedad, el 2.32% de los inmigrantes residentes en el país tienen un trabajo no remunerado; y, el 3.31% son faltas de respuestas que se categorizan como </w:t>
      </w:r>
      <w:r w:rsidRPr="00F23C49">
        <w:rPr>
          <w:rFonts w:ascii="Arial" w:hAnsi="Arial" w:cs="Arial"/>
          <w:i/>
        </w:rPr>
        <w:t>“se ignora”</w:t>
      </w:r>
      <w:r>
        <w:rPr>
          <w:rFonts w:ascii="Arial" w:hAnsi="Arial" w:cs="Arial"/>
        </w:rPr>
        <w:t>.</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122F06">
        <w:trPr>
          <w:trHeight w:val="2772"/>
          <w:jc w:val="right"/>
        </w:trPr>
        <w:tc>
          <w:tcPr>
            <w:tcW w:w="7497" w:type="dxa"/>
          </w:tcPr>
          <w:p w:rsidR="00060299" w:rsidRDefault="00060299" w:rsidP="003B05B6">
            <w:pPr>
              <w:rPr>
                <w:rFonts w:ascii="Arial" w:hAnsi="Arial" w:cs="Arial"/>
                <w:b/>
                <w:sz w:val="16"/>
                <w:szCs w:val="16"/>
              </w:rPr>
            </w:pPr>
          </w:p>
          <w:p w:rsidR="00F51119" w:rsidRPr="00F51119" w:rsidRDefault="00F51119" w:rsidP="00F51119">
            <w:pPr>
              <w:pStyle w:val="Epgrafe"/>
              <w:rPr>
                <w:rFonts w:ascii="Arial" w:hAnsi="Arial" w:cs="Arial"/>
                <w:bCs w:val="0"/>
                <w:color w:val="auto"/>
                <w:sz w:val="16"/>
                <w:szCs w:val="16"/>
              </w:rPr>
            </w:pPr>
            <w:bookmarkStart w:id="481" w:name="_Toc341043428"/>
            <w:r>
              <w:rPr>
                <w:rFonts w:ascii="Arial" w:hAnsi="Arial" w:cs="Arial"/>
                <w:bCs w:val="0"/>
                <w:color w:val="auto"/>
                <w:sz w:val="16"/>
                <w:szCs w:val="16"/>
              </w:rPr>
              <w:t>Figura 3.</w:t>
            </w:r>
            <w:r w:rsidR="00990535" w:rsidRPr="00F51119">
              <w:rPr>
                <w:rFonts w:ascii="Arial" w:hAnsi="Arial" w:cs="Arial"/>
                <w:bCs w:val="0"/>
                <w:color w:val="auto"/>
                <w:sz w:val="16"/>
                <w:szCs w:val="16"/>
              </w:rPr>
              <w:fldChar w:fldCharType="begin"/>
            </w:r>
            <w:r w:rsidRPr="00F51119">
              <w:rPr>
                <w:rFonts w:ascii="Arial" w:hAnsi="Arial" w:cs="Arial"/>
                <w:bCs w:val="0"/>
                <w:color w:val="auto"/>
                <w:sz w:val="16"/>
                <w:szCs w:val="16"/>
              </w:rPr>
              <w:instrText xml:space="preserve"> SEQ Figura_3. \* ARABIC </w:instrText>
            </w:r>
            <w:r w:rsidR="00990535" w:rsidRPr="00F51119">
              <w:rPr>
                <w:rFonts w:ascii="Arial" w:hAnsi="Arial" w:cs="Arial"/>
                <w:bCs w:val="0"/>
                <w:color w:val="auto"/>
                <w:sz w:val="16"/>
                <w:szCs w:val="16"/>
              </w:rPr>
              <w:fldChar w:fldCharType="separate"/>
            </w:r>
            <w:r w:rsidR="00A242E0">
              <w:rPr>
                <w:rFonts w:ascii="Arial" w:hAnsi="Arial" w:cs="Arial"/>
                <w:bCs w:val="0"/>
                <w:noProof/>
                <w:color w:val="auto"/>
                <w:sz w:val="16"/>
                <w:szCs w:val="16"/>
              </w:rPr>
              <w:t>29</w:t>
            </w:r>
            <w:bookmarkEnd w:id="481"/>
            <w:r w:rsidR="00990535" w:rsidRPr="00F51119">
              <w:rPr>
                <w:rFonts w:ascii="Arial" w:hAnsi="Arial" w:cs="Arial"/>
                <w:bCs w:val="0"/>
                <w:color w:val="auto"/>
                <w:sz w:val="16"/>
                <w:szCs w:val="16"/>
              </w:rPr>
              <w:fldChar w:fldCharType="end"/>
            </w:r>
          </w:p>
          <w:p w:rsidR="00060299" w:rsidRPr="0078148C" w:rsidRDefault="00122F06" w:rsidP="00122F0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 xml:space="preserve">Frecuencia Relativa del trabajo que desempeñan los extranjeros </w:t>
            </w:r>
            <w:r w:rsidR="00060299">
              <w:rPr>
                <w:noProof/>
                <w:lang w:eastAsia="es-EC"/>
              </w:rPr>
              <w:drawing>
                <wp:inline distT="0" distB="0" distL="0" distR="0">
                  <wp:extent cx="4324350" cy="2676525"/>
                  <wp:effectExtent l="0" t="0" r="0" b="0"/>
                  <wp:docPr id="311" name="Gráfico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rsidR="00060299" w:rsidRPr="00122F06" w:rsidRDefault="00060299" w:rsidP="00122F06">
      <w:pPr>
        <w:pStyle w:val="Prrafodelista"/>
        <w:spacing w:line="276" w:lineRule="auto"/>
        <w:ind w:left="851"/>
        <w:jc w:val="both"/>
        <w:rPr>
          <w:rFonts w:ascii="Arial" w:hAnsi="Arial" w:cs="Arial"/>
          <w:sz w:val="17"/>
          <w:szCs w:val="17"/>
        </w:rPr>
      </w:pPr>
    </w:p>
    <w:p w:rsidR="00060299" w:rsidRPr="00122F06" w:rsidRDefault="00060299" w:rsidP="00122F06">
      <w:pPr>
        <w:pStyle w:val="Prrafodelista"/>
        <w:spacing w:line="276" w:lineRule="auto"/>
        <w:ind w:left="851"/>
        <w:jc w:val="both"/>
        <w:rPr>
          <w:rFonts w:ascii="Arial" w:hAnsi="Arial" w:cs="Arial"/>
          <w:sz w:val="17"/>
          <w:szCs w:val="17"/>
        </w:rPr>
      </w:pPr>
      <w:r w:rsidRPr="00122F06">
        <w:rPr>
          <w:rFonts w:ascii="Arial" w:hAnsi="Arial" w:cs="Arial"/>
          <w:b/>
          <w:i/>
          <w:sz w:val="17"/>
          <w:szCs w:val="17"/>
        </w:rPr>
        <w:t>Fuente:</w:t>
      </w:r>
      <w:r w:rsidRPr="00122F06">
        <w:rPr>
          <w:rFonts w:ascii="Arial" w:hAnsi="Arial" w:cs="Arial"/>
          <w:sz w:val="17"/>
          <w:szCs w:val="17"/>
        </w:rPr>
        <w:t xml:space="preserve"> </w:t>
      </w:r>
      <w:r w:rsidRPr="00122F06">
        <w:rPr>
          <w:rFonts w:ascii="Arial" w:hAnsi="Arial" w:cs="Arial"/>
          <w:b/>
          <w:sz w:val="17"/>
          <w:szCs w:val="17"/>
        </w:rPr>
        <w:t xml:space="preserve">INEC </w:t>
      </w:r>
      <w:r w:rsidRPr="00122F06">
        <w:rPr>
          <w:rFonts w:ascii="Arial" w:hAnsi="Arial" w:cs="Arial"/>
          <w:sz w:val="17"/>
          <w:szCs w:val="17"/>
        </w:rPr>
        <w:t>(2010), Base de Datos del VII Censo de Población y VI de Vivienda.</w:t>
      </w:r>
    </w:p>
    <w:p w:rsidR="00060299" w:rsidRPr="00122F06" w:rsidRDefault="00060299" w:rsidP="00122F06">
      <w:pPr>
        <w:pStyle w:val="Prrafodelista"/>
        <w:spacing w:line="276" w:lineRule="auto"/>
        <w:ind w:left="851"/>
        <w:jc w:val="both"/>
        <w:rPr>
          <w:rFonts w:ascii="Arial" w:hAnsi="Arial" w:cs="Arial"/>
          <w:sz w:val="17"/>
          <w:szCs w:val="17"/>
        </w:rPr>
      </w:pPr>
      <w:r w:rsidRPr="00122F06">
        <w:rPr>
          <w:rFonts w:ascii="Arial" w:hAnsi="Arial" w:cs="Arial"/>
          <w:b/>
          <w:i/>
          <w:sz w:val="17"/>
          <w:szCs w:val="17"/>
        </w:rPr>
        <w:t>Elaborado por:</w:t>
      </w:r>
      <w:r w:rsidRPr="00122F06">
        <w:rPr>
          <w:rFonts w:ascii="Arial" w:hAnsi="Arial" w:cs="Arial"/>
          <w:sz w:val="17"/>
          <w:szCs w:val="17"/>
        </w:rPr>
        <w:t xml:space="preserve"> Katherine Loor Valeriano</w:t>
      </w:r>
    </w:p>
    <w:p w:rsidR="00060299" w:rsidRPr="008A6DED" w:rsidRDefault="00060299" w:rsidP="00122F06">
      <w:pPr>
        <w:pStyle w:val="Prrafodelista"/>
        <w:spacing w:line="480" w:lineRule="auto"/>
        <w:ind w:left="851"/>
        <w:jc w:val="both"/>
        <w:rPr>
          <w:rFonts w:ascii="Arial" w:hAnsi="Arial" w:cs="Arial"/>
        </w:rPr>
      </w:pPr>
    </w:p>
    <w:p w:rsidR="00060299" w:rsidRPr="00592EE4" w:rsidRDefault="00060299" w:rsidP="00122F06">
      <w:pPr>
        <w:pStyle w:val="Prrafodelista"/>
        <w:spacing w:line="480" w:lineRule="auto"/>
        <w:ind w:left="851"/>
        <w:jc w:val="both"/>
        <w:rPr>
          <w:rFonts w:ascii="Arial" w:hAnsi="Arial" w:cs="Arial"/>
          <w:i/>
        </w:rPr>
      </w:pPr>
      <w:r>
        <w:rPr>
          <w:rFonts w:ascii="Arial" w:hAnsi="Arial" w:cs="Arial"/>
        </w:rPr>
        <w:t xml:space="preserve">En la </w:t>
      </w:r>
      <w:r>
        <w:rPr>
          <w:rFonts w:ascii="Arial" w:hAnsi="Arial" w:cs="Arial"/>
          <w:i/>
        </w:rPr>
        <w:t>Figura 3.30</w:t>
      </w:r>
      <w:r>
        <w:rPr>
          <w:rFonts w:ascii="Arial" w:hAnsi="Arial" w:cs="Arial"/>
        </w:rPr>
        <w:t xml:space="preserve">, se presenta la frecuencia relativa de los diferentes trabajos que desempeñan los extranjeros residentes en el país para cada género; en donde tenemos que de los hombres el 40.98% trabajan como empleados u obreros privados, mientras que el 41.53% de las mujeres realizan la misma actividad. Por otra parte, en lo que respecta a trabajos por cuenta propia es mayor el porcentaje de mujeres que se desempeñan de esa manera, pues el 25.07% de las mujeres trabajan por cuenta propia y </w:t>
      </w:r>
      <w:r>
        <w:rPr>
          <w:rFonts w:ascii="Arial" w:hAnsi="Arial" w:cs="Arial"/>
        </w:rPr>
        <w:lastRenderedPageBreak/>
        <w:t>el 24.66% de los hombres también. En lo respecta a trabajar como jornaleros o peones, podemos notar que esta labor es mayoritariamente realizado por hombres, pues el 15.13% de los hombres realizan esta actividad y tan sólo el 4.02% de las mujeres se dedican a lo mismo; mientras que si consideráramos las actividades domésticas, tenemos que el 8.94% de las mujeres realizan este tipo de actividades, en cambio solamente el 0.35% de los hombres extranjeros que residen en el país realizan actividades domésticas.</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3409FF">
        <w:trPr>
          <w:trHeight w:val="2772"/>
          <w:jc w:val="right"/>
        </w:trPr>
        <w:tc>
          <w:tcPr>
            <w:tcW w:w="7497" w:type="dxa"/>
          </w:tcPr>
          <w:p w:rsidR="00060299" w:rsidRDefault="00060299" w:rsidP="003B05B6">
            <w:pPr>
              <w:rPr>
                <w:rFonts w:ascii="Arial" w:hAnsi="Arial" w:cs="Arial"/>
                <w:b/>
                <w:sz w:val="16"/>
                <w:szCs w:val="16"/>
              </w:rPr>
            </w:pPr>
          </w:p>
          <w:p w:rsidR="00E674B4" w:rsidRPr="00E674B4" w:rsidRDefault="00E674B4" w:rsidP="00E674B4">
            <w:pPr>
              <w:pStyle w:val="Epgrafe"/>
              <w:rPr>
                <w:rFonts w:ascii="Arial" w:hAnsi="Arial" w:cs="Arial"/>
                <w:bCs w:val="0"/>
                <w:color w:val="auto"/>
                <w:sz w:val="16"/>
                <w:szCs w:val="16"/>
              </w:rPr>
            </w:pPr>
            <w:bookmarkStart w:id="482" w:name="_Toc341043429"/>
            <w:r>
              <w:rPr>
                <w:rFonts w:ascii="Arial" w:hAnsi="Arial" w:cs="Arial"/>
                <w:bCs w:val="0"/>
                <w:color w:val="auto"/>
                <w:sz w:val="16"/>
                <w:szCs w:val="16"/>
              </w:rPr>
              <w:t>Figura 3.</w:t>
            </w:r>
            <w:r w:rsidR="00990535" w:rsidRPr="00E674B4">
              <w:rPr>
                <w:rFonts w:ascii="Arial" w:hAnsi="Arial" w:cs="Arial"/>
                <w:bCs w:val="0"/>
                <w:color w:val="auto"/>
                <w:sz w:val="16"/>
                <w:szCs w:val="16"/>
              </w:rPr>
              <w:fldChar w:fldCharType="begin"/>
            </w:r>
            <w:r w:rsidRPr="00E674B4">
              <w:rPr>
                <w:rFonts w:ascii="Arial" w:hAnsi="Arial" w:cs="Arial"/>
                <w:bCs w:val="0"/>
                <w:color w:val="auto"/>
                <w:sz w:val="16"/>
                <w:szCs w:val="16"/>
              </w:rPr>
              <w:instrText xml:space="preserve"> SEQ Figura_3. \* ARABIC </w:instrText>
            </w:r>
            <w:r w:rsidR="00990535" w:rsidRPr="00E674B4">
              <w:rPr>
                <w:rFonts w:ascii="Arial" w:hAnsi="Arial" w:cs="Arial"/>
                <w:bCs w:val="0"/>
                <w:color w:val="auto"/>
                <w:sz w:val="16"/>
                <w:szCs w:val="16"/>
              </w:rPr>
              <w:fldChar w:fldCharType="separate"/>
            </w:r>
            <w:r w:rsidR="00A242E0">
              <w:rPr>
                <w:rFonts w:ascii="Arial" w:hAnsi="Arial" w:cs="Arial"/>
                <w:bCs w:val="0"/>
                <w:noProof/>
                <w:color w:val="auto"/>
                <w:sz w:val="16"/>
                <w:szCs w:val="16"/>
              </w:rPr>
              <w:t>30</w:t>
            </w:r>
            <w:bookmarkEnd w:id="482"/>
            <w:r w:rsidR="00990535" w:rsidRPr="00E674B4">
              <w:rPr>
                <w:rFonts w:ascii="Arial" w:hAnsi="Arial" w:cs="Arial"/>
                <w:bCs w:val="0"/>
                <w:color w:val="auto"/>
                <w:sz w:val="16"/>
                <w:szCs w:val="16"/>
              </w:rPr>
              <w:fldChar w:fldCharType="end"/>
            </w:r>
          </w:p>
          <w:p w:rsidR="00060299" w:rsidRDefault="00122F06" w:rsidP="003B05B6">
            <w:pPr>
              <w:rPr>
                <w:rFonts w:ascii="Arial" w:hAnsi="Arial" w:cs="Arial"/>
                <w:i/>
                <w:sz w:val="16"/>
                <w:szCs w:val="16"/>
              </w:rPr>
            </w:pPr>
            <w:r>
              <w:rPr>
                <w:rFonts w:ascii="Arial" w:hAnsi="Arial" w:cs="Arial"/>
                <w:b/>
                <w:i/>
                <w:sz w:val="16"/>
                <w:szCs w:val="16"/>
              </w:rPr>
              <w:t xml:space="preserve">Ecuador 2010: </w:t>
            </w:r>
            <w:r w:rsidR="002F0F53">
              <w:rPr>
                <w:rFonts w:ascii="Arial" w:hAnsi="Arial" w:cs="Arial"/>
                <w:i/>
                <w:sz w:val="16"/>
                <w:szCs w:val="16"/>
              </w:rPr>
              <w:t>Distribución condicional</w:t>
            </w:r>
            <w:r w:rsidR="00060299">
              <w:rPr>
                <w:rFonts w:ascii="Arial" w:hAnsi="Arial" w:cs="Arial"/>
                <w:i/>
                <w:sz w:val="16"/>
                <w:szCs w:val="16"/>
              </w:rPr>
              <w:t xml:space="preserve"> del Trabajo desempeñado por los extranjeros </w:t>
            </w:r>
            <w:r w:rsidR="002F0F53">
              <w:rPr>
                <w:rFonts w:ascii="Arial" w:hAnsi="Arial" w:cs="Arial"/>
                <w:i/>
                <w:sz w:val="16"/>
                <w:szCs w:val="16"/>
              </w:rPr>
              <w:t xml:space="preserve">dado que se conoce el </w:t>
            </w:r>
            <w:r w:rsidR="00060299">
              <w:rPr>
                <w:rFonts w:ascii="Arial" w:hAnsi="Arial" w:cs="Arial"/>
                <w:i/>
                <w:sz w:val="16"/>
                <w:szCs w:val="16"/>
              </w:rPr>
              <w:t>Género</w:t>
            </w:r>
          </w:p>
          <w:p w:rsidR="00060299" w:rsidRPr="0078148C" w:rsidRDefault="00436907" w:rsidP="003B05B6">
            <w:pPr>
              <w:rPr>
                <w:rFonts w:ascii="Arial" w:hAnsi="Arial" w:cs="Arial"/>
                <w:i/>
                <w:sz w:val="16"/>
                <w:szCs w:val="16"/>
              </w:rPr>
            </w:pPr>
            <w:r>
              <w:rPr>
                <w:rFonts w:ascii="Arial" w:hAnsi="Arial" w:cs="Arial"/>
                <w:b/>
                <w:i/>
                <w:noProof/>
                <w:sz w:val="18"/>
                <w:szCs w:val="18"/>
                <w:lang w:eastAsia="es-EC"/>
              </w:rPr>
              <w:pict>
                <v:line id="60 Conector recto" o:spid="_x0000_s1367" style="position:absolute;left:0;text-align:left;z-index:251478528;visibility:visible" from="257.25pt,11.25pt" to="257.2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" strokecolor="black [3213]"/>
              </w:pict>
            </w:r>
            <w:r w:rsidR="003409FF">
              <w:rPr>
                <w:noProof/>
                <w:lang w:eastAsia="es-EC"/>
              </w:rPr>
              <w:t xml:space="preserve"> </w:t>
            </w:r>
            <w:r w:rsidR="003409FF">
              <w:rPr>
                <w:noProof/>
                <w:lang w:eastAsia="es-EC"/>
              </w:rPr>
              <w:drawing>
                <wp:inline distT="0" distB="0" distL="0" distR="0">
                  <wp:extent cx="4525200" cy="2628000"/>
                  <wp:effectExtent l="0" t="0" r="0" b="0"/>
                  <wp:docPr id="406" name="Gráfico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bl>
    <w:p w:rsidR="00060299" w:rsidRPr="003409FF" w:rsidRDefault="00060299" w:rsidP="003409FF">
      <w:pPr>
        <w:pStyle w:val="Prrafodelista"/>
        <w:spacing w:line="276" w:lineRule="auto"/>
        <w:ind w:left="851"/>
        <w:jc w:val="both"/>
        <w:rPr>
          <w:rFonts w:ascii="Arial" w:hAnsi="Arial" w:cs="Arial"/>
          <w:sz w:val="17"/>
          <w:szCs w:val="17"/>
        </w:rPr>
      </w:pPr>
    </w:p>
    <w:p w:rsidR="00060299" w:rsidRPr="003409FF" w:rsidRDefault="00060299" w:rsidP="003409FF">
      <w:pPr>
        <w:pStyle w:val="Prrafodelista"/>
        <w:spacing w:line="276" w:lineRule="auto"/>
        <w:ind w:left="851"/>
        <w:jc w:val="both"/>
        <w:rPr>
          <w:rFonts w:ascii="Arial" w:hAnsi="Arial" w:cs="Arial"/>
          <w:sz w:val="17"/>
          <w:szCs w:val="17"/>
        </w:rPr>
      </w:pPr>
      <w:r w:rsidRPr="003409FF">
        <w:rPr>
          <w:rFonts w:ascii="Arial" w:hAnsi="Arial" w:cs="Arial"/>
          <w:b/>
          <w:i/>
          <w:sz w:val="17"/>
          <w:szCs w:val="17"/>
        </w:rPr>
        <w:t>Fuente:</w:t>
      </w:r>
      <w:r w:rsidRPr="003409FF">
        <w:rPr>
          <w:rFonts w:ascii="Arial" w:hAnsi="Arial" w:cs="Arial"/>
          <w:sz w:val="17"/>
          <w:szCs w:val="17"/>
        </w:rPr>
        <w:t xml:space="preserve"> </w:t>
      </w:r>
      <w:r w:rsidRPr="003409FF">
        <w:rPr>
          <w:rFonts w:ascii="Arial" w:hAnsi="Arial" w:cs="Arial"/>
          <w:b/>
          <w:sz w:val="17"/>
          <w:szCs w:val="17"/>
        </w:rPr>
        <w:t xml:space="preserve">INEC </w:t>
      </w:r>
      <w:r w:rsidRPr="003409FF">
        <w:rPr>
          <w:rFonts w:ascii="Arial" w:hAnsi="Arial" w:cs="Arial"/>
          <w:sz w:val="17"/>
          <w:szCs w:val="17"/>
        </w:rPr>
        <w:t>(2010), Base de Datos del VII Censo de Población y VI de Vivienda.</w:t>
      </w:r>
    </w:p>
    <w:p w:rsidR="00060299" w:rsidRPr="003409FF" w:rsidRDefault="00060299" w:rsidP="003409FF">
      <w:pPr>
        <w:pStyle w:val="Prrafodelista"/>
        <w:spacing w:line="276" w:lineRule="auto"/>
        <w:ind w:left="851"/>
        <w:jc w:val="both"/>
        <w:rPr>
          <w:rFonts w:ascii="Arial" w:hAnsi="Arial" w:cs="Arial"/>
          <w:sz w:val="17"/>
          <w:szCs w:val="17"/>
        </w:rPr>
      </w:pPr>
      <w:r w:rsidRPr="003409FF">
        <w:rPr>
          <w:rFonts w:ascii="Arial" w:hAnsi="Arial" w:cs="Arial"/>
          <w:b/>
          <w:i/>
          <w:sz w:val="17"/>
          <w:szCs w:val="17"/>
        </w:rPr>
        <w:t>Elaborado por:</w:t>
      </w:r>
      <w:r w:rsidRPr="003409FF">
        <w:rPr>
          <w:rFonts w:ascii="Arial" w:hAnsi="Arial" w:cs="Arial"/>
          <w:sz w:val="17"/>
          <w:szCs w:val="17"/>
        </w:rPr>
        <w:t xml:space="preserve"> Katherine Loor Valeriano</w:t>
      </w:r>
    </w:p>
    <w:p w:rsidR="00060299" w:rsidRDefault="00060299" w:rsidP="003409FF">
      <w:pPr>
        <w:pStyle w:val="Prrafodelista"/>
        <w:spacing w:line="480" w:lineRule="auto"/>
        <w:ind w:left="851"/>
        <w:jc w:val="both"/>
        <w:rPr>
          <w:rFonts w:ascii="Arial" w:hAnsi="Arial" w:cs="Arial"/>
        </w:rPr>
      </w:pPr>
    </w:p>
    <w:p w:rsidR="003409FF" w:rsidRDefault="00060299" w:rsidP="003409FF">
      <w:pPr>
        <w:pStyle w:val="Prrafodelista"/>
        <w:spacing w:line="480" w:lineRule="auto"/>
        <w:ind w:left="851"/>
        <w:jc w:val="both"/>
        <w:rPr>
          <w:rFonts w:ascii="Arial" w:hAnsi="Arial" w:cs="Arial"/>
        </w:rPr>
      </w:pPr>
      <w:r>
        <w:rPr>
          <w:rFonts w:ascii="Arial" w:hAnsi="Arial" w:cs="Arial"/>
        </w:rPr>
        <w:t xml:space="preserve">Ahora veamos qué trabajos son predominantes a determinadas edades, primero consideremos las tendencias antes de adentrarnos a hablar de porcentajes por cada trabajo desempeñado para un grupo de edad en específico. Como se puede notar en la </w:t>
      </w:r>
      <w:r>
        <w:rPr>
          <w:rFonts w:ascii="Arial" w:hAnsi="Arial" w:cs="Arial"/>
          <w:i/>
        </w:rPr>
        <w:t>Figura 3.31</w:t>
      </w:r>
      <w:r>
        <w:rPr>
          <w:rFonts w:ascii="Arial" w:hAnsi="Arial" w:cs="Arial"/>
        </w:rPr>
        <w:t xml:space="preserve">, los trabajos como </w:t>
      </w:r>
      <w:r>
        <w:rPr>
          <w:rFonts w:ascii="Arial" w:hAnsi="Arial" w:cs="Arial"/>
        </w:rPr>
        <w:lastRenderedPageBreak/>
        <w:t xml:space="preserve">empleados u obreros del Estado, Gobierno, Municipio, Consejo provincial, o Juntas parroquiales son predominantes en extranjeros con edades entre 15 y 80 años; mientras que, en lo que se refiere a empleados u obreros privados se puede observar que a mayor edad es mayor el porcentaje de personas que realizan esta actividad, aunque a los 75 años se tiene un descenso en dichos porcentajes, que nuevamente a partir de los 95 años vuelve a crecer hasta llegar a tener que aproximadamente el 66.67% de los extranjeros mayores a 100 años se desempeñan como empleados u obreros privados. </w:t>
      </w:r>
      <w:r w:rsidR="00F91C02">
        <w:rPr>
          <w:rFonts w:ascii="Arial" w:hAnsi="Arial" w:cs="Arial"/>
        </w:rPr>
        <w:t>L</w:t>
      </w:r>
      <w:r>
        <w:rPr>
          <w:rFonts w:ascii="Arial" w:hAnsi="Arial" w:cs="Arial"/>
        </w:rPr>
        <w:t xml:space="preserve">os trabajos como jornaleros o peones son predominantes en inmigrantes con edades comprendidas entre 10 y 20 años, y que a partir de esta edad empieza a descender el porcentaje de la población extranjera que la realiza. </w:t>
      </w:r>
    </w:p>
    <w:p w:rsidR="003409FF" w:rsidRDefault="003409FF" w:rsidP="003409FF">
      <w:pPr>
        <w:pStyle w:val="Prrafodelista"/>
        <w:spacing w:line="480" w:lineRule="auto"/>
        <w:ind w:left="851"/>
        <w:jc w:val="both"/>
        <w:rPr>
          <w:rFonts w:ascii="Arial" w:hAnsi="Arial" w:cs="Arial"/>
        </w:rPr>
      </w:pPr>
    </w:p>
    <w:p w:rsidR="00060299" w:rsidRPr="00D277D1" w:rsidRDefault="00060299" w:rsidP="003409FF">
      <w:pPr>
        <w:pStyle w:val="Prrafodelista"/>
        <w:spacing w:line="480" w:lineRule="auto"/>
        <w:ind w:left="851"/>
        <w:jc w:val="both"/>
        <w:rPr>
          <w:rFonts w:ascii="Arial" w:hAnsi="Arial" w:cs="Arial"/>
        </w:rPr>
      </w:pPr>
      <w:r>
        <w:rPr>
          <w:rFonts w:ascii="Arial" w:hAnsi="Arial" w:cs="Arial"/>
        </w:rPr>
        <w:t xml:space="preserve">Por otra parte, en los trabajos por cuenta propia tenemos que a mayor edad es mayor el porcentaje de la población que tiene esta modalidad de trabajo; como observamos en la </w:t>
      </w:r>
      <w:r>
        <w:rPr>
          <w:rFonts w:ascii="Arial" w:hAnsi="Arial" w:cs="Arial"/>
          <w:i/>
        </w:rPr>
        <w:t>Figura 3.31</w:t>
      </w:r>
      <w:r>
        <w:rPr>
          <w:rFonts w:ascii="Arial" w:hAnsi="Arial" w:cs="Arial"/>
        </w:rPr>
        <w:t>, el porcentaje de la población extranjera que trabaja por cuenta propia aumenta hasta llegar al 66.67% para los inmigrantes con edades comprendidas entre 95 y 100 años, pero que en los mayores de 100 años ninguno de el</w:t>
      </w:r>
      <w:r w:rsidR="00BF3C5B">
        <w:rPr>
          <w:rFonts w:ascii="Arial" w:hAnsi="Arial" w:cs="Arial"/>
        </w:rPr>
        <w:t>los tiene algún trabajo propio;</w:t>
      </w:r>
      <w:r>
        <w:rPr>
          <w:rFonts w:ascii="Arial" w:hAnsi="Arial" w:cs="Arial"/>
        </w:rPr>
        <w:t xml:space="preserve"> </w:t>
      </w:r>
      <w:r w:rsidR="00BF3C5B">
        <w:rPr>
          <w:rFonts w:ascii="Arial" w:hAnsi="Arial" w:cs="Arial"/>
        </w:rPr>
        <w:t>m</w:t>
      </w:r>
      <w:r>
        <w:rPr>
          <w:rFonts w:ascii="Arial" w:hAnsi="Arial" w:cs="Arial"/>
        </w:rPr>
        <w:t xml:space="preserve">ientras que en los trabajos no remunerados y a los trabajos domésticos, es pequeño el porcentaje de extranjeros que se dedican a cada una de estas actividades respectivamente. Finalmente, en lo que se refiere a datos ignorados o faltas de respuestas, tenemos que esto se da mayoritariamente en los extranjeros menores de 10 años y mayores de 100 </w:t>
      </w:r>
      <w:r>
        <w:rPr>
          <w:rFonts w:ascii="Arial" w:hAnsi="Arial" w:cs="Arial"/>
        </w:rPr>
        <w:lastRenderedPageBreak/>
        <w:t>años.</w:t>
      </w:r>
      <w:r w:rsidR="003409FF">
        <w:rPr>
          <w:rFonts w:ascii="Arial" w:hAnsi="Arial" w:cs="Arial"/>
        </w:rPr>
        <w:t xml:space="preserve"> </w:t>
      </w:r>
      <w:r>
        <w:rPr>
          <w:rFonts w:ascii="Arial" w:hAnsi="Arial" w:cs="Arial"/>
        </w:rPr>
        <w:t>Consideremos ahora, a los extranjeros con edades entre 15 y 20 años, tenemos que para ese grupo de edad el 2.32% son e</w:t>
      </w:r>
      <w:r w:rsidRPr="00122DCF">
        <w:rPr>
          <w:rFonts w:ascii="Arial" w:hAnsi="Arial" w:cs="Arial"/>
        </w:rPr>
        <w:t>mpleado</w:t>
      </w:r>
      <w:r>
        <w:rPr>
          <w:rFonts w:ascii="Arial" w:hAnsi="Arial" w:cs="Arial"/>
        </w:rPr>
        <w:t>s</w:t>
      </w:r>
      <w:r w:rsidRPr="00122DCF">
        <w:rPr>
          <w:rFonts w:ascii="Arial" w:hAnsi="Arial" w:cs="Arial"/>
        </w:rPr>
        <w:t xml:space="preserve"> u obrero</w:t>
      </w:r>
      <w:r>
        <w:rPr>
          <w:rFonts w:ascii="Arial" w:hAnsi="Arial" w:cs="Arial"/>
        </w:rPr>
        <w:t>s</w:t>
      </w:r>
      <w:r w:rsidRPr="00122DCF">
        <w:rPr>
          <w:rFonts w:ascii="Arial" w:hAnsi="Arial" w:cs="Arial"/>
        </w:rPr>
        <w:t xml:space="preserve"> del Estado, Gobierno, Municipio, Consejo Provincial,</w:t>
      </w:r>
      <w:r>
        <w:rPr>
          <w:rFonts w:ascii="Arial" w:hAnsi="Arial" w:cs="Arial"/>
        </w:rPr>
        <w:t xml:space="preserve"> o</w:t>
      </w:r>
      <w:r w:rsidRPr="00122DCF">
        <w:rPr>
          <w:rFonts w:ascii="Arial" w:hAnsi="Arial" w:cs="Arial"/>
        </w:rPr>
        <w:t xml:space="preserve"> Juntas Parroquiales</w:t>
      </w:r>
      <w:r>
        <w:rPr>
          <w:rFonts w:ascii="Arial" w:hAnsi="Arial" w:cs="Arial"/>
        </w:rPr>
        <w:t xml:space="preserve">, el 40.45% son empleados u obreros privados, 23.06% son jornaleros o peones, el 0.70% son patrones, el 1.35% trabajan en sociedad con otras personas, el 19.63% trabajan por cuenta propia, el 3.52% realizan trabajos por los cuales no reciben remuneración alguna el 4.78% desempeñan actividades domésticas y el 4.20% no respondieron a esta pregunta el día del empadronamiento. </w:t>
      </w:r>
      <w:r w:rsidR="00F91C02">
        <w:rPr>
          <w:rFonts w:ascii="Arial" w:hAnsi="Arial" w:cs="Arial"/>
        </w:rPr>
        <w:t>L</w:t>
      </w:r>
      <w:r>
        <w:rPr>
          <w:rFonts w:ascii="Arial" w:hAnsi="Arial" w:cs="Arial"/>
        </w:rPr>
        <w:t xml:space="preserve">os extranjeros con edades comprendidas entre 95 y 100 años se tiene que el 33.33% son empleados u obreros privados; y, el 66.67% trabajan por cuenta propia. El mismo análisis se puede realizar para los grupos </w:t>
      </w:r>
      <w:r w:rsidR="003409FF">
        <w:rPr>
          <w:rFonts w:ascii="Arial" w:hAnsi="Arial" w:cs="Arial"/>
        </w:rPr>
        <w:t>etarios</w:t>
      </w:r>
      <w:r>
        <w:rPr>
          <w:rFonts w:ascii="Arial" w:hAnsi="Arial" w:cs="Arial"/>
        </w:rPr>
        <w:t xml:space="preserve"> restantes, </w:t>
      </w:r>
      <w:r>
        <w:rPr>
          <w:rFonts w:ascii="Arial" w:hAnsi="Arial" w:cs="Arial"/>
          <w:i/>
        </w:rPr>
        <w:t>véase Figura 3.31</w:t>
      </w:r>
      <w:r>
        <w:rPr>
          <w:rFonts w:ascii="Arial" w:hAnsi="Arial" w:cs="Arial"/>
        </w:rPr>
        <w:t>.</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3409FF">
        <w:trPr>
          <w:trHeight w:val="2772"/>
          <w:jc w:val="right"/>
        </w:trPr>
        <w:tc>
          <w:tcPr>
            <w:tcW w:w="7497" w:type="dxa"/>
          </w:tcPr>
          <w:p w:rsidR="00060299" w:rsidRDefault="00060299" w:rsidP="003B05B6">
            <w:pPr>
              <w:rPr>
                <w:rFonts w:ascii="Arial" w:hAnsi="Arial" w:cs="Arial"/>
                <w:b/>
                <w:sz w:val="16"/>
                <w:szCs w:val="16"/>
              </w:rPr>
            </w:pPr>
          </w:p>
          <w:p w:rsidR="00E674B4" w:rsidRPr="00E674B4" w:rsidRDefault="00E674B4" w:rsidP="00E674B4">
            <w:pPr>
              <w:pStyle w:val="Epgrafe"/>
              <w:rPr>
                <w:rFonts w:ascii="Arial" w:hAnsi="Arial" w:cs="Arial"/>
                <w:bCs w:val="0"/>
                <w:color w:val="auto"/>
                <w:sz w:val="16"/>
                <w:szCs w:val="16"/>
              </w:rPr>
            </w:pPr>
            <w:bookmarkStart w:id="483" w:name="_Toc341043430"/>
            <w:r w:rsidRPr="00E674B4">
              <w:rPr>
                <w:rFonts w:ascii="Arial" w:hAnsi="Arial" w:cs="Arial"/>
                <w:bCs w:val="0"/>
                <w:color w:val="auto"/>
                <w:sz w:val="16"/>
                <w:szCs w:val="16"/>
              </w:rPr>
              <w:t xml:space="preserve">Figura 3. </w:t>
            </w:r>
            <w:r w:rsidR="00990535" w:rsidRPr="00E674B4">
              <w:rPr>
                <w:rFonts w:ascii="Arial" w:hAnsi="Arial" w:cs="Arial"/>
                <w:bCs w:val="0"/>
                <w:color w:val="auto"/>
                <w:sz w:val="16"/>
                <w:szCs w:val="16"/>
              </w:rPr>
              <w:fldChar w:fldCharType="begin"/>
            </w:r>
            <w:r w:rsidRPr="00E674B4">
              <w:rPr>
                <w:rFonts w:ascii="Arial" w:hAnsi="Arial" w:cs="Arial"/>
                <w:bCs w:val="0"/>
                <w:color w:val="auto"/>
                <w:sz w:val="16"/>
                <w:szCs w:val="16"/>
              </w:rPr>
              <w:instrText xml:space="preserve"> SEQ Figura_3. \* ARABIC </w:instrText>
            </w:r>
            <w:r w:rsidR="00990535" w:rsidRPr="00E674B4">
              <w:rPr>
                <w:rFonts w:ascii="Arial" w:hAnsi="Arial" w:cs="Arial"/>
                <w:bCs w:val="0"/>
                <w:color w:val="auto"/>
                <w:sz w:val="16"/>
                <w:szCs w:val="16"/>
              </w:rPr>
              <w:fldChar w:fldCharType="separate"/>
            </w:r>
            <w:r w:rsidR="00A242E0">
              <w:rPr>
                <w:rFonts w:ascii="Arial" w:hAnsi="Arial" w:cs="Arial"/>
                <w:bCs w:val="0"/>
                <w:noProof/>
                <w:color w:val="auto"/>
                <w:sz w:val="16"/>
                <w:szCs w:val="16"/>
              </w:rPr>
              <w:t>31</w:t>
            </w:r>
            <w:bookmarkEnd w:id="483"/>
            <w:r w:rsidR="00990535" w:rsidRPr="00E674B4">
              <w:rPr>
                <w:rFonts w:ascii="Arial" w:hAnsi="Arial" w:cs="Arial"/>
                <w:bCs w:val="0"/>
                <w:color w:val="auto"/>
                <w:sz w:val="16"/>
                <w:szCs w:val="16"/>
              </w:rPr>
              <w:fldChar w:fldCharType="end"/>
            </w:r>
          </w:p>
          <w:p w:rsidR="00060299" w:rsidRDefault="003409FF" w:rsidP="003B05B6">
            <w:pPr>
              <w:rPr>
                <w:rFonts w:ascii="Arial" w:hAnsi="Arial" w:cs="Arial"/>
                <w:i/>
                <w:sz w:val="16"/>
                <w:szCs w:val="16"/>
              </w:rPr>
            </w:pPr>
            <w:r>
              <w:rPr>
                <w:rFonts w:ascii="Arial" w:hAnsi="Arial" w:cs="Arial"/>
                <w:b/>
                <w:i/>
                <w:sz w:val="16"/>
                <w:szCs w:val="16"/>
              </w:rPr>
              <w:t xml:space="preserve">Ecuador 2010: </w:t>
            </w:r>
            <w:r w:rsidR="002F0F53">
              <w:rPr>
                <w:rFonts w:ascii="Arial" w:hAnsi="Arial" w:cs="Arial"/>
                <w:i/>
                <w:sz w:val="16"/>
                <w:szCs w:val="16"/>
              </w:rPr>
              <w:t>Distribución condicional</w:t>
            </w:r>
            <w:r w:rsidR="00060299">
              <w:rPr>
                <w:rFonts w:ascii="Arial" w:hAnsi="Arial" w:cs="Arial"/>
                <w:i/>
                <w:sz w:val="16"/>
                <w:szCs w:val="16"/>
              </w:rPr>
              <w:t xml:space="preserve"> del trabajo desempeñado por los extranjeros </w:t>
            </w:r>
            <w:r w:rsidR="002F0F53">
              <w:rPr>
                <w:rFonts w:ascii="Arial" w:hAnsi="Arial" w:cs="Arial"/>
                <w:i/>
                <w:sz w:val="16"/>
                <w:szCs w:val="16"/>
              </w:rPr>
              <w:t>dado que se conoce el</w:t>
            </w:r>
            <w:r w:rsidR="00060299">
              <w:rPr>
                <w:rFonts w:ascii="Arial" w:hAnsi="Arial" w:cs="Arial"/>
                <w:i/>
                <w:sz w:val="16"/>
                <w:szCs w:val="16"/>
              </w:rPr>
              <w:t xml:space="preserve"> Grupo </w:t>
            </w:r>
            <w:r w:rsidR="002F0F53">
              <w:rPr>
                <w:rFonts w:ascii="Arial" w:hAnsi="Arial" w:cs="Arial"/>
                <w:i/>
                <w:sz w:val="16"/>
                <w:szCs w:val="16"/>
              </w:rPr>
              <w:t>etario</w:t>
            </w:r>
          </w:p>
          <w:p w:rsidR="00060299" w:rsidRPr="0078148C" w:rsidRDefault="00060299" w:rsidP="003B05B6">
            <w:pPr>
              <w:rPr>
                <w:rFonts w:ascii="Arial" w:hAnsi="Arial" w:cs="Arial"/>
                <w:i/>
                <w:sz w:val="16"/>
                <w:szCs w:val="16"/>
              </w:rPr>
            </w:pPr>
            <w:r>
              <w:rPr>
                <w:noProof/>
                <w:lang w:eastAsia="es-EC"/>
              </w:rPr>
              <w:drawing>
                <wp:inline distT="0" distB="0" distL="0" distR="0">
                  <wp:extent cx="4572000" cy="3038475"/>
                  <wp:effectExtent l="0" t="0" r="0" b="0"/>
                  <wp:docPr id="313" name="Gráfico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bl>
    <w:p w:rsidR="00060299" w:rsidRPr="003409FF" w:rsidRDefault="00060299" w:rsidP="003409FF">
      <w:pPr>
        <w:pStyle w:val="Prrafodelista"/>
        <w:spacing w:line="276" w:lineRule="auto"/>
        <w:ind w:left="851"/>
        <w:jc w:val="both"/>
        <w:rPr>
          <w:rFonts w:ascii="Arial" w:hAnsi="Arial" w:cs="Arial"/>
          <w:sz w:val="17"/>
          <w:szCs w:val="17"/>
        </w:rPr>
      </w:pPr>
    </w:p>
    <w:p w:rsidR="00060299" w:rsidRPr="003409FF" w:rsidRDefault="00060299" w:rsidP="003409FF">
      <w:pPr>
        <w:pStyle w:val="Prrafodelista"/>
        <w:spacing w:line="276" w:lineRule="auto"/>
        <w:ind w:left="851"/>
        <w:jc w:val="both"/>
        <w:rPr>
          <w:rFonts w:ascii="Arial" w:hAnsi="Arial" w:cs="Arial"/>
          <w:sz w:val="17"/>
          <w:szCs w:val="17"/>
        </w:rPr>
      </w:pPr>
      <w:r w:rsidRPr="003409FF">
        <w:rPr>
          <w:rFonts w:ascii="Arial" w:hAnsi="Arial" w:cs="Arial"/>
          <w:b/>
          <w:i/>
          <w:sz w:val="17"/>
          <w:szCs w:val="17"/>
        </w:rPr>
        <w:t>Fuente:</w:t>
      </w:r>
      <w:r w:rsidRPr="003409FF">
        <w:rPr>
          <w:rFonts w:ascii="Arial" w:hAnsi="Arial" w:cs="Arial"/>
          <w:sz w:val="17"/>
          <w:szCs w:val="17"/>
        </w:rPr>
        <w:t xml:space="preserve"> </w:t>
      </w:r>
      <w:r w:rsidRPr="003409FF">
        <w:rPr>
          <w:rFonts w:ascii="Arial" w:hAnsi="Arial" w:cs="Arial"/>
          <w:b/>
          <w:sz w:val="17"/>
          <w:szCs w:val="17"/>
        </w:rPr>
        <w:t xml:space="preserve">INEC </w:t>
      </w:r>
      <w:r w:rsidRPr="003409FF">
        <w:rPr>
          <w:rFonts w:ascii="Arial" w:hAnsi="Arial" w:cs="Arial"/>
          <w:sz w:val="17"/>
          <w:szCs w:val="17"/>
        </w:rPr>
        <w:t>(2010), Base de Datos del VII Censo de Población y VI de Vivienda.</w:t>
      </w:r>
    </w:p>
    <w:p w:rsidR="00060299" w:rsidRPr="003409FF" w:rsidRDefault="00060299" w:rsidP="003409FF">
      <w:pPr>
        <w:pStyle w:val="Prrafodelista"/>
        <w:spacing w:line="276" w:lineRule="auto"/>
        <w:ind w:left="851"/>
        <w:jc w:val="both"/>
        <w:rPr>
          <w:rFonts w:ascii="Arial" w:hAnsi="Arial" w:cs="Arial"/>
          <w:sz w:val="17"/>
          <w:szCs w:val="17"/>
        </w:rPr>
      </w:pPr>
      <w:r w:rsidRPr="003409FF">
        <w:rPr>
          <w:rFonts w:ascii="Arial" w:hAnsi="Arial" w:cs="Arial"/>
          <w:b/>
          <w:i/>
          <w:sz w:val="17"/>
          <w:szCs w:val="17"/>
        </w:rPr>
        <w:t>Elaborado por:</w:t>
      </w:r>
      <w:r w:rsidRPr="003409FF">
        <w:rPr>
          <w:rFonts w:ascii="Arial" w:hAnsi="Arial" w:cs="Arial"/>
          <w:sz w:val="17"/>
          <w:szCs w:val="17"/>
        </w:rPr>
        <w:t xml:space="preserve"> Katherine Loor Valeriano</w:t>
      </w:r>
    </w:p>
    <w:p w:rsidR="00060299" w:rsidRDefault="00060299" w:rsidP="003409FF">
      <w:pPr>
        <w:pStyle w:val="TesisTitulo1"/>
        <w:ind w:left="851"/>
      </w:pPr>
      <w:bookmarkStart w:id="484" w:name="_Toc335850612"/>
      <w:bookmarkStart w:id="485" w:name="_Toc341040658"/>
      <w:r>
        <w:lastRenderedPageBreak/>
        <w:t>Ocupación de los extranjeros residentes en Ecuador</w:t>
      </w:r>
      <w:bookmarkEnd w:id="484"/>
      <w:bookmarkEnd w:id="485"/>
    </w:p>
    <w:p w:rsidR="00060299" w:rsidRPr="00A87C74" w:rsidRDefault="00060299" w:rsidP="003409FF">
      <w:pPr>
        <w:pStyle w:val="Prrafodelista"/>
        <w:spacing w:line="480" w:lineRule="auto"/>
        <w:ind w:left="851"/>
        <w:jc w:val="both"/>
        <w:rPr>
          <w:rFonts w:ascii="Arial" w:hAnsi="Arial" w:cs="Arial"/>
        </w:rPr>
      </w:pPr>
      <w:r>
        <w:rPr>
          <w:rFonts w:ascii="Arial" w:hAnsi="Arial" w:cs="Arial"/>
        </w:rPr>
        <w:t xml:space="preserve">Una de las variables existentes en la boleta censal es ¿qué hace o qué es donde trabaja o trabajó?, esta característica fue consultada solamente a los mayores de 5 años, los resultados obtenidos para la población extranjera se muestra en la </w:t>
      </w:r>
      <w:r>
        <w:rPr>
          <w:rFonts w:ascii="Arial" w:hAnsi="Arial" w:cs="Arial"/>
          <w:i/>
        </w:rPr>
        <w:t>Figura 3.32</w:t>
      </w:r>
      <w:r>
        <w:rPr>
          <w:rFonts w:ascii="Arial" w:hAnsi="Arial" w:cs="Arial"/>
        </w:rPr>
        <w:t>; donde se tiene que el 22.31% son trabajadores de servicio o vendedores, el 17.66% tienen ocupaciones elementales, el 11.06% son profesionales científicos e intelectuales, el 10.37% son oficiales, operarios y artesanos, el 7.40% son directores o gerentes, el 6.67% son agricultores o trabajadores calificados; mientras que, dentro de la ocupación que un pequeño porcentaje de extranjeros tienen están o</w:t>
      </w:r>
      <w:r w:rsidRPr="008C4A3E">
        <w:rPr>
          <w:rFonts w:ascii="Arial" w:hAnsi="Arial" w:cs="Arial"/>
        </w:rPr>
        <w:t>peradores de instalaciones y maquinaria</w:t>
      </w:r>
      <w:r>
        <w:rPr>
          <w:rFonts w:ascii="Arial" w:hAnsi="Arial" w:cs="Arial"/>
        </w:rPr>
        <w:t>; y, o</w:t>
      </w:r>
      <w:r w:rsidRPr="008C4A3E">
        <w:rPr>
          <w:rFonts w:ascii="Arial" w:hAnsi="Arial" w:cs="Arial"/>
        </w:rPr>
        <w:t>cupaciones militares</w:t>
      </w:r>
      <w:r>
        <w:rPr>
          <w:rFonts w:ascii="Arial" w:hAnsi="Arial" w:cs="Arial"/>
        </w:rPr>
        <w:t xml:space="preserve">. </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3409FF">
        <w:trPr>
          <w:trHeight w:val="2772"/>
          <w:jc w:val="right"/>
        </w:trPr>
        <w:tc>
          <w:tcPr>
            <w:tcW w:w="7497" w:type="dxa"/>
          </w:tcPr>
          <w:p w:rsidR="00060299" w:rsidRDefault="00060299" w:rsidP="003B05B6">
            <w:pPr>
              <w:rPr>
                <w:rFonts w:ascii="Arial" w:hAnsi="Arial" w:cs="Arial"/>
                <w:b/>
                <w:sz w:val="16"/>
                <w:szCs w:val="16"/>
              </w:rPr>
            </w:pPr>
          </w:p>
          <w:p w:rsidR="00F36B04" w:rsidRPr="00F36B04" w:rsidRDefault="00F36B04" w:rsidP="00F36B04">
            <w:pPr>
              <w:pStyle w:val="Epgrafe"/>
              <w:rPr>
                <w:rFonts w:ascii="Arial" w:hAnsi="Arial" w:cs="Arial"/>
                <w:bCs w:val="0"/>
                <w:color w:val="auto"/>
                <w:sz w:val="16"/>
                <w:szCs w:val="16"/>
              </w:rPr>
            </w:pPr>
            <w:bookmarkStart w:id="486" w:name="_Toc341043431"/>
            <w:r>
              <w:rPr>
                <w:rFonts w:ascii="Arial" w:hAnsi="Arial" w:cs="Arial"/>
                <w:bCs w:val="0"/>
                <w:color w:val="auto"/>
                <w:sz w:val="16"/>
                <w:szCs w:val="16"/>
              </w:rPr>
              <w:t>Figura 3.</w:t>
            </w:r>
            <w:r w:rsidR="00990535" w:rsidRPr="00F36B04">
              <w:rPr>
                <w:rFonts w:ascii="Arial" w:hAnsi="Arial" w:cs="Arial"/>
                <w:bCs w:val="0"/>
                <w:color w:val="auto"/>
                <w:sz w:val="16"/>
                <w:szCs w:val="16"/>
              </w:rPr>
              <w:fldChar w:fldCharType="begin"/>
            </w:r>
            <w:r w:rsidRPr="00F36B04">
              <w:rPr>
                <w:rFonts w:ascii="Arial" w:hAnsi="Arial" w:cs="Arial"/>
                <w:bCs w:val="0"/>
                <w:color w:val="auto"/>
                <w:sz w:val="16"/>
                <w:szCs w:val="16"/>
              </w:rPr>
              <w:instrText xml:space="preserve"> SEQ Figura_3. \* ARABIC </w:instrText>
            </w:r>
            <w:r w:rsidR="00990535" w:rsidRPr="00F36B04">
              <w:rPr>
                <w:rFonts w:ascii="Arial" w:hAnsi="Arial" w:cs="Arial"/>
                <w:bCs w:val="0"/>
                <w:color w:val="auto"/>
                <w:sz w:val="16"/>
                <w:szCs w:val="16"/>
              </w:rPr>
              <w:fldChar w:fldCharType="separate"/>
            </w:r>
            <w:r w:rsidR="00A242E0">
              <w:rPr>
                <w:rFonts w:ascii="Arial" w:hAnsi="Arial" w:cs="Arial"/>
                <w:bCs w:val="0"/>
                <w:noProof/>
                <w:color w:val="auto"/>
                <w:sz w:val="16"/>
                <w:szCs w:val="16"/>
              </w:rPr>
              <w:t>32</w:t>
            </w:r>
            <w:bookmarkEnd w:id="486"/>
            <w:r w:rsidR="00990535" w:rsidRPr="00F36B04">
              <w:rPr>
                <w:rFonts w:ascii="Arial" w:hAnsi="Arial" w:cs="Arial"/>
                <w:bCs w:val="0"/>
                <w:color w:val="auto"/>
                <w:sz w:val="16"/>
                <w:szCs w:val="16"/>
              </w:rPr>
              <w:fldChar w:fldCharType="end"/>
            </w:r>
          </w:p>
          <w:p w:rsidR="00060299" w:rsidRDefault="002F0F53"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 xml:space="preserve">Frecuencia Relativa de la ocupación de los extranjeros </w:t>
            </w:r>
          </w:p>
          <w:p w:rsidR="00060299" w:rsidRPr="0078148C" w:rsidRDefault="00060299" w:rsidP="003B05B6">
            <w:pPr>
              <w:rPr>
                <w:rFonts w:ascii="Arial" w:hAnsi="Arial" w:cs="Arial"/>
                <w:i/>
                <w:sz w:val="16"/>
                <w:szCs w:val="16"/>
              </w:rPr>
            </w:pPr>
            <w:r>
              <w:rPr>
                <w:noProof/>
                <w:lang w:eastAsia="es-EC"/>
              </w:rPr>
              <w:drawing>
                <wp:inline distT="0" distB="0" distL="0" distR="0">
                  <wp:extent cx="4371975" cy="26280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rsidR="00060299" w:rsidRPr="003409FF" w:rsidRDefault="00060299" w:rsidP="003409FF">
      <w:pPr>
        <w:pStyle w:val="Prrafodelista"/>
        <w:spacing w:line="276" w:lineRule="auto"/>
        <w:ind w:left="851"/>
        <w:jc w:val="both"/>
        <w:rPr>
          <w:rFonts w:ascii="Arial" w:hAnsi="Arial" w:cs="Arial"/>
          <w:sz w:val="17"/>
          <w:szCs w:val="17"/>
        </w:rPr>
      </w:pPr>
    </w:p>
    <w:p w:rsidR="00060299" w:rsidRPr="003409FF" w:rsidRDefault="00060299" w:rsidP="003409FF">
      <w:pPr>
        <w:pStyle w:val="Prrafodelista"/>
        <w:spacing w:line="276" w:lineRule="auto"/>
        <w:ind w:left="851"/>
        <w:jc w:val="both"/>
        <w:rPr>
          <w:rFonts w:ascii="Arial" w:hAnsi="Arial" w:cs="Arial"/>
          <w:sz w:val="17"/>
          <w:szCs w:val="17"/>
        </w:rPr>
      </w:pPr>
      <w:r w:rsidRPr="003409FF">
        <w:rPr>
          <w:rFonts w:ascii="Arial" w:hAnsi="Arial" w:cs="Arial"/>
          <w:b/>
          <w:i/>
          <w:sz w:val="17"/>
          <w:szCs w:val="17"/>
        </w:rPr>
        <w:t>Fuente:</w:t>
      </w:r>
      <w:r w:rsidRPr="003409FF">
        <w:rPr>
          <w:rFonts w:ascii="Arial" w:hAnsi="Arial" w:cs="Arial"/>
          <w:sz w:val="17"/>
          <w:szCs w:val="17"/>
        </w:rPr>
        <w:t xml:space="preserve"> </w:t>
      </w:r>
      <w:r w:rsidRPr="003409FF">
        <w:rPr>
          <w:rFonts w:ascii="Arial" w:hAnsi="Arial" w:cs="Arial"/>
          <w:b/>
          <w:sz w:val="17"/>
          <w:szCs w:val="17"/>
        </w:rPr>
        <w:t xml:space="preserve">INEC </w:t>
      </w:r>
      <w:r w:rsidRPr="003409FF">
        <w:rPr>
          <w:rFonts w:ascii="Arial" w:hAnsi="Arial" w:cs="Arial"/>
          <w:sz w:val="17"/>
          <w:szCs w:val="17"/>
        </w:rPr>
        <w:t>(2010), Base de Datos del VII Censo de Población y VI de Vivienda.</w:t>
      </w:r>
    </w:p>
    <w:p w:rsidR="00060299" w:rsidRPr="003409FF" w:rsidRDefault="00060299" w:rsidP="003409FF">
      <w:pPr>
        <w:pStyle w:val="Prrafodelista"/>
        <w:spacing w:line="276" w:lineRule="auto"/>
        <w:ind w:left="851"/>
        <w:jc w:val="both"/>
        <w:rPr>
          <w:rFonts w:ascii="Arial" w:hAnsi="Arial" w:cs="Arial"/>
          <w:sz w:val="17"/>
          <w:szCs w:val="17"/>
        </w:rPr>
      </w:pPr>
      <w:r w:rsidRPr="003409FF">
        <w:rPr>
          <w:rFonts w:ascii="Arial" w:hAnsi="Arial" w:cs="Arial"/>
          <w:b/>
          <w:i/>
          <w:sz w:val="17"/>
          <w:szCs w:val="17"/>
        </w:rPr>
        <w:t>Elaborado por:</w:t>
      </w:r>
      <w:r w:rsidRPr="003409FF">
        <w:rPr>
          <w:rFonts w:ascii="Arial" w:hAnsi="Arial" w:cs="Arial"/>
          <w:sz w:val="17"/>
          <w:szCs w:val="17"/>
        </w:rPr>
        <w:t xml:space="preserve"> Katherine Loor Valeriano</w:t>
      </w:r>
    </w:p>
    <w:p w:rsidR="00060299" w:rsidRDefault="00060299" w:rsidP="003409FF">
      <w:pPr>
        <w:pStyle w:val="Prrafodelista"/>
        <w:spacing w:line="480" w:lineRule="auto"/>
        <w:ind w:left="851"/>
        <w:jc w:val="both"/>
        <w:rPr>
          <w:rFonts w:ascii="Arial" w:hAnsi="Arial" w:cs="Arial"/>
        </w:rPr>
      </w:pPr>
      <w:r>
        <w:rPr>
          <w:rFonts w:ascii="Arial" w:hAnsi="Arial" w:cs="Arial"/>
        </w:rPr>
        <w:lastRenderedPageBreak/>
        <w:t>Ahora consideremos la ocupación de los inmigrantes extranjeros residentes en Ecuador para cada género; donde tenemos que el 19.18% de los hombres son trabajadores de servicios y vendedores, el 17.33% realizan actividades elementales, el 13.91% son o</w:t>
      </w:r>
      <w:r w:rsidRPr="00A70041">
        <w:rPr>
          <w:rFonts w:ascii="Arial" w:hAnsi="Arial" w:cs="Arial"/>
        </w:rPr>
        <w:t xml:space="preserve">ficiales, operarios </w:t>
      </w:r>
      <w:r>
        <w:rPr>
          <w:rFonts w:ascii="Arial" w:hAnsi="Arial" w:cs="Arial"/>
        </w:rPr>
        <w:t>o</w:t>
      </w:r>
      <w:r w:rsidRPr="00A70041">
        <w:rPr>
          <w:rFonts w:ascii="Arial" w:hAnsi="Arial" w:cs="Arial"/>
        </w:rPr>
        <w:t xml:space="preserve"> artesanos</w:t>
      </w:r>
      <w:r>
        <w:rPr>
          <w:rFonts w:ascii="Arial" w:hAnsi="Arial" w:cs="Arial"/>
        </w:rPr>
        <w:t>, el 9.77% son p</w:t>
      </w:r>
      <w:r w:rsidRPr="00361282">
        <w:rPr>
          <w:rFonts w:ascii="Arial" w:hAnsi="Arial" w:cs="Arial"/>
        </w:rPr>
        <w:t>rofesionales científicos e intelectuales</w:t>
      </w:r>
      <w:r>
        <w:rPr>
          <w:rFonts w:ascii="Arial" w:hAnsi="Arial" w:cs="Arial"/>
        </w:rPr>
        <w:t>, el 8.73% son agricultores o trabajadores calificados, el 5.74% son t</w:t>
      </w:r>
      <w:r w:rsidRPr="00431494">
        <w:rPr>
          <w:rFonts w:ascii="Arial" w:hAnsi="Arial" w:cs="Arial"/>
        </w:rPr>
        <w:t xml:space="preserve">écnicos </w:t>
      </w:r>
      <w:r>
        <w:rPr>
          <w:rFonts w:ascii="Arial" w:hAnsi="Arial" w:cs="Arial"/>
        </w:rPr>
        <w:t>o profesionales de</w:t>
      </w:r>
      <w:r w:rsidRPr="00431494">
        <w:rPr>
          <w:rFonts w:ascii="Arial" w:hAnsi="Arial" w:cs="Arial"/>
        </w:rPr>
        <w:t xml:space="preserve"> nivel medio</w:t>
      </w:r>
      <w:r>
        <w:rPr>
          <w:rFonts w:ascii="Arial" w:hAnsi="Arial" w:cs="Arial"/>
        </w:rPr>
        <w:t xml:space="preserve">, el 4.94% trabajan como personal de apoyo administrativo; y el 0.07% tienen alguna ocupación militar. </w:t>
      </w:r>
    </w:p>
    <w:p w:rsidR="00060299" w:rsidRDefault="00060299" w:rsidP="003409FF">
      <w:pPr>
        <w:pStyle w:val="Prrafodelista"/>
        <w:spacing w:line="480" w:lineRule="auto"/>
        <w:ind w:left="851"/>
        <w:jc w:val="both"/>
        <w:rPr>
          <w:rFonts w:ascii="Arial" w:hAnsi="Arial" w:cs="Arial"/>
        </w:rPr>
      </w:pPr>
    </w:p>
    <w:p w:rsidR="00060299" w:rsidRDefault="003409FF" w:rsidP="003409FF">
      <w:pPr>
        <w:pStyle w:val="Prrafodelista"/>
        <w:spacing w:line="480" w:lineRule="auto"/>
        <w:ind w:left="851"/>
        <w:jc w:val="both"/>
        <w:rPr>
          <w:rFonts w:ascii="Arial" w:hAnsi="Arial" w:cs="Arial"/>
          <w:i/>
        </w:rPr>
      </w:pPr>
      <w:r>
        <w:rPr>
          <w:rFonts w:ascii="Arial" w:hAnsi="Arial" w:cs="Arial"/>
        </w:rPr>
        <w:t>S</w:t>
      </w:r>
      <w:r w:rsidR="00060299">
        <w:rPr>
          <w:rFonts w:ascii="Arial" w:hAnsi="Arial" w:cs="Arial"/>
        </w:rPr>
        <w:t>i solamente consideráramos a la población extranjera femenina, tendríamos que el 27.40% son trabajadoras de servicios o empleadas, el 18.20% tienen alguna ocupación elemental, el 13.17% son profesionales científicos e intelectuales, como se puede notar en términos porcentuales es mayor el porcentaje de mujeres que realizan esta actividad frente a los hombres, pero en términos absolutos realmente es mayor la cantidad de hombres que de mujeres que tienen ese cargo. El 7.51% de las mujeres inmigrantes trabajan como p</w:t>
      </w:r>
      <w:r w:rsidR="00060299" w:rsidRPr="0024721A">
        <w:rPr>
          <w:rFonts w:ascii="Arial" w:hAnsi="Arial" w:cs="Arial"/>
        </w:rPr>
        <w:t>ersonal de apoyo administrativo</w:t>
      </w:r>
      <w:r w:rsidR="00060299">
        <w:rPr>
          <w:rFonts w:ascii="Arial" w:hAnsi="Arial" w:cs="Arial"/>
        </w:rPr>
        <w:t xml:space="preserve">, el 6.24% son directores o gerentes, el 5.76% son trabajadoras nuevas. Además, en lo que respecta a las ocupaciones militares, solamente una mujer extranjera realiza esta actividad, por tal motivo la frecuencia relativa que aparece en la figura que se muestra a continuación es cero. Finalmente, en lo que se refiere a falto de respuestas o no declarado, se tiene que el 4.62% de los hombres no respondieron a esta pregunta y el 7.23% de las mujeres tampoco lo hizo. Para más detalles, </w:t>
      </w:r>
      <w:r w:rsidR="00060299">
        <w:rPr>
          <w:rFonts w:ascii="Arial" w:hAnsi="Arial" w:cs="Arial"/>
          <w:i/>
        </w:rPr>
        <w:t>véase Figura 3.33.</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3409FF">
        <w:trPr>
          <w:trHeight w:val="2772"/>
          <w:jc w:val="right"/>
        </w:trPr>
        <w:tc>
          <w:tcPr>
            <w:tcW w:w="7497" w:type="dxa"/>
          </w:tcPr>
          <w:p w:rsidR="00060299" w:rsidRDefault="00060299" w:rsidP="003B05B6">
            <w:pPr>
              <w:rPr>
                <w:rFonts w:ascii="Arial" w:hAnsi="Arial" w:cs="Arial"/>
                <w:b/>
                <w:sz w:val="16"/>
                <w:szCs w:val="16"/>
              </w:rPr>
            </w:pPr>
          </w:p>
          <w:p w:rsidR="00DA16D2" w:rsidRPr="00DA16D2" w:rsidRDefault="00DA16D2" w:rsidP="00DA16D2">
            <w:pPr>
              <w:pStyle w:val="Epgrafe"/>
              <w:rPr>
                <w:rFonts w:ascii="Arial" w:hAnsi="Arial" w:cs="Arial"/>
                <w:bCs w:val="0"/>
                <w:color w:val="auto"/>
                <w:sz w:val="16"/>
                <w:szCs w:val="16"/>
              </w:rPr>
            </w:pPr>
            <w:bookmarkStart w:id="487" w:name="_Toc341043432"/>
            <w:r>
              <w:rPr>
                <w:rFonts w:ascii="Arial" w:hAnsi="Arial" w:cs="Arial"/>
                <w:bCs w:val="0"/>
                <w:color w:val="auto"/>
                <w:sz w:val="16"/>
                <w:szCs w:val="16"/>
              </w:rPr>
              <w:t>Figura 3.</w:t>
            </w:r>
            <w:r w:rsidR="00990535" w:rsidRPr="00DA16D2">
              <w:rPr>
                <w:rFonts w:ascii="Arial" w:hAnsi="Arial" w:cs="Arial"/>
                <w:bCs w:val="0"/>
                <w:color w:val="auto"/>
                <w:sz w:val="16"/>
                <w:szCs w:val="16"/>
              </w:rPr>
              <w:fldChar w:fldCharType="begin"/>
            </w:r>
            <w:r w:rsidRPr="00DA16D2">
              <w:rPr>
                <w:rFonts w:ascii="Arial" w:hAnsi="Arial" w:cs="Arial"/>
                <w:bCs w:val="0"/>
                <w:color w:val="auto"/>
                <w:sz w:val="16"/>
                <w:szCs w:val="16"/>
              </w:rPr>
              <w:instrText xml:space="preserve"> SEQ Figura_3. \* ARABIC </w:instrText>
            </w:r>
            <w:r w:rsidR="00990535" w:rsidRPr="00DA16D2">
              <w:rPr>
                <w:rFonts w:ascii="Arial" w:hAnsi="Arial" w:cs="Arial"/>
                <w:bCs w:val="0"/>
                <w:color w:val="auto"/>
                <w:sz w:val="16"/>
                <w:szCs w:val="16"/>
              </w:rPr>
              <w:fldChar w:fldCharType="separate"/>
            </w:r>
            <w:r w:rsidR="00A242E0">
              <w:rPr>
                <w:rFonts w:ascii="Arial" w:hAnsi="Arial" w:cs="Arial"/>
                <w:bCs w:val="0"/>
                <w:noProof/>
                <w:color w:val="auto"/>
                <w:sz w:val="16"/>
                <w:szCs w:val="16"/>
              </w:rPr>
              <w:t>33</w:t>
            </w:r>
            <w:bookmarkEnd w:id="487"/>
            <w:r w:rsidR="00990535" w:rsidRPr="00DA16D2">
              <w:rPr>
                <w:rFonts w:ascii="Arial" w:hAnsi="Arial" w:cs="Arial"/>
                <w:bCs w:val="0"/>
                <w:color w:val="auto"/>
                <w:sz w:val="16"/>
                <w:szCs w:val="16"/>
              </w:rPr>
              <w:fldChar w:fldCharType="end"/>
            </w:r>
          </w:p>
          <w:p w:rsidR="002F0F53" w:rsidRDefault="003409FF" w:rsidP="003B05B6">
            <w:pPr>
              <w:rPr>
                <w:rFonts w:ascii="Arial" w:hAnsi="Arial" w:cs="Arial"/>
                <w:i/>
                <w:sz w:val="16"/>
                <w:szCs w:val="16"/>
              </w:rPr>
            </w:pPr>
            <w:r>
              <w:rPr>
                <w:rFonts w:ascii="Arial" w:hAnsi="Arial" w:cs="Arial"/>
                <w:b/>
                <w:i/>
                <w:sz w:val="16"/>
                <w:szCs w:val="16"/>
              </w:rPr>
              <w:t xml:space="preserve">Ecuador 2010: </w:t>
            </w:r>
            <w:r w:rsidR="002F0F53">
              <w:rPr>
                <w:rFonts w:ascii="Arial" w:hAnsi="Arial" w:cs="Arial"/>
                <w:i/>
                <w:sz w:val="16"/>
                <w:szCs w:val="16"/>
              </w:rPr>
              <w:t>Distribución condicional</w:t>
            </w:r>
            <w:r w:rsidR="00060299">
              <w:rPr>
                <w:rFonts w:ascii="Arial" w:hAnsi="Arial" w:cs="Arial"/>
                <w:i/>
                <w:sz w:val="16"/>
                <w:szCs w:val="16"/>
              </w:rPr>
              <w:t xml:space="preserve"> de la ocupación de los extranjeros </w:t>
            </w:r>
          </w:p>
          <w:p w:rsidR="00060299" w:rsidRDefault="002F0F53" w:rsidP="003B05B6">
            <w:pPr>
              <w:rPr>
                <w:rFonts w:ascii="Arial" w:hAnsi="Arial" w:cs="Arial"/>
                <w:i/>
                <w:sz w:val="16"/>
                <w:szCs w:val="16"/>
              </w:rPr>
            </w:pPr>
            <w:r>
              <w:rPr>
                <w:rFonts w:ascii="Arial" w:hAnsi="Arial" w:cs="Arial"/>
                <w:i/>
                <w:sz w:val="16"/>
                <w:szCs w:val="16"/>
              </w:rPr>
              <w:t>dado que se conoce el</w:t>
            </w:r>
            <w:r w:rsidR="00060299">
              <w:rPr>
                <w:rFonts w:ascii="Arial" w:hAnsi="Arial" w:cs="Arial"/>
                <w:i/>
                <w:sz w:val="16"/>
                <w:szCs w:val="16"/>
              </w:rPr>
              <w:t xml:space="preserve"> Género</w:t>
            </w:r>
          </w:p>
          <w:p w:rsidR="00060299" w:rsidRPr="0078148C" w:rsidRDefault="00436907" w:rsidP="003B05B6">
            <w:pPr>
              <w:rPr>
                <w:rFonts w:ascii="Arial" w:hAnsi="Arial" w:cs="Arial"/>
                <w:i/>
                <w:sz w:val="16"/>
                <w:szCs w:val="16"/>
              </w:rPr>
            </w:pPr>
            <w:r>
              <w:rPr>
                <w:rFonts w:ascii="Arial" w:hAnsi="Arial" w:cs="Arial"/>
                <w:noProof/>
                <w:sz w:val="18"/>
                <w:szCs w:val="18"/>
                <w:lang w:eastAsia="es-EC"/>
              </w:rPr>
              <w:pict>
                <v:line id="18 Conector recto" o:spid="_x0000_s1368" style="position:absolute;left:0;text-align:left;z-index:251479552;visibility:visible" from="258.75pt,11.65pt" to="258.75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" strokecolor="black [3213]"/>
              </w:pict>
            </w:r>
            <w:r w:rsidR="003409FF">
              <w:rPr>
                <w:noProof/>
                <w:lang w:eastAsia="es-EC"/>
              </w:rPr>
              <w:t xml:space="preserve"> </w:t>
            </w:r>
            <w:r w:rsidR="003409FF">
              <w:rPr>
                <w:noProof/>
                <w:lang w:eastAsia="es-EC"/>
              </w:rPr>
              <w:drawing>
                <wp:inline distT="0" distB="0" distL="0" distR="0">
                  <wp:extent cx="4572000" cy="3028950"/>
                  <wp:effectExtent l="0" t="0" r="0" b="0"/>
                  <wp:docPr id="407" name="Gráfico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rsidR="00060299" w:rsidRPr="003409FF" w:rsidRDefault="00060299" w:rsidP="003409FF">
      <w:pPr>
        <w:pStyle w:val="Prrafodelista"/>
        <w:spacing w:line="276" w:lineRule="auto"/>
        <w:ind w:left="851"/>
        <w:jc w:val="both"/>
        <w:rPr>
          <w:rFonts w:ascii="Arial" w:hAnsi="Arial" w:cs="Arial"/>
          <w:sz w:val="17"/>
          <w:szCs w:val="17"/>
        </w:rPr>
      </w:pPr>
    </w:p>
    <w:p w:rsidR="00060299" w:rsidRPr="003409FF" w:rsidRDefault="00060299" w:rsidP="003409FF">
      <w:pPr>
        <w:pStyle w:val="Prrafodelista"/>
        <w:spacing w:line="276" w:lineRule="auto"/>
        <w:ind w:left="851"/>
        <w:jc w:val="both"/>
        <w:rPr>
          <w:rFonts w:ascii="Arial" w:hAnsi="Arial" w:cs="Arial"/>
          <w:sz w:val="17"/>
          <w:szCs w:val="17"/>
        </w:rPr>
      </w:pPr>
      <w:r w:rsidRPr="003409FF">
        <w:rPr>
          <w:rFonts w:ascii="Arial" w:hAnsi="Arial" w:cs="Arial"/>
          <w:b/>
          <w:i/>
          <w:sz w:val="17"/>
          <w:szCs w:val="17"/>
        </w:rPr>
        <w:t>Fuente:</w:t>
      </w:r>
      <w:r w:rsidRPr="003409FF">
        <w:rPr>
          <w:rFonts w:ascii="Arial" w:hAnsi="Arial" w:cs="Arial"/>
          <w:sz w:val="17"/>
          <w:szCs w:val="17"/>
        </w:rPr>
        <w:t xml:space="preserve"> </w:t>
      </w:r>
      <w:r w:rsidRPr="003409FF">
        <w:rPr>
          <w:rFonts w:ascii="Arial" w:hAnsi="Arial" w:cs="Arial"/>
          <w:b/>
          <w:sz w:val="17"/>
          <w:szCs w:val="17"/>
        </w:rPr>
        <w:t xml:space="preserve">INEC </w:t>
      </w:r>
      <w:r w:rsidRPr="003409FF">
        <w:rPr>
          <w:rFonts w:ascii="Arial" w:hAnsi="Arial" w:cs="Arial"/>
          <w:sz w:val="17"/>
          <w:szCs w:val="17"/>
        </w:rPr>
        <w:t>(2010), Base de Datos del VII Censo de Población y VI de Vivienda.</w:t>
      </w:r>
    </w:p>
    <w:p w:rsidR="00060299" w:rsidRPr="003409FF" w:rsidRDefault="00060299" w:rsidP="003409FF">
      <w:pPr>
        <w:pStyle w:val="Prrafodelista"/>
        <w:spacing w:line="276" w:lineRule="auto"/>
        <w:ind w:left="851"/>
        <w:jc w:val="both"/>
        <w:rPr>
          <w:rFonts w:ascii="Arial" w:hAnsi="Arial" w:cs="Arial"/>
          <w:sz w:val="17"/>
          <w:szCs w:val="17"/>
        </w:rPr>
      </w:pPr>
      <w:r w:rsidRPr="003409FF">
        <w:rPr>
          <w:rFonts w:ascii="Arial" w:hAnsi="Arial" w:cs="Arial"/>
          <w:b/>
          <w:i/>
          <w:sz w:val="17"/>
          <w:szCs w:val="17"/>
        </w:rPr>
        <w:t>Elaborado por:</w:t>
      </w:r>
      <w:r w:rsidRPr="003409FF">
        <w:rPr>
          <w:rFonts w:ascii="Arial" w:hAnsi="Arial" w:cs="Arial"/>
          <w:sz w:val="17"/>
          <w:szCs w:val="17"/>
        </w:rPr>
        <w:t xml:space="preserve"> Katherine Loor Valeriano</w:t>
      </w:r>
    </w:p>
    <w:p w:rsidR="00060299" w:rsidRDefault="00060299" w:rsidP="004135FA">
      <w:pPr>
        <w:pStyle w:val="Prrafodelista"/>
        <w:spacing w:line="480" w:lineRule="auto"/>
        <w:ind w:left="851"/>
        <w:jc w:val="both"/>
        <w:rPr>
          <w:rFonts w:ascii="Arial" w:hAnsi="Arial" w:cs="Arial"/>
        </w:rPr>
      </w:pPr>
    </w:p>
    <w:p w:rsidR="00060299" w:rsidRDefault="00060299" w:rsidP="004135FA">
      <w:pPr>
        <w:pStyle w:val="Prrafodelista"/>
        <w:spacing w:line="480" w:lineRule="auto"/>
        <w:ind w:left="851"/>
        <w:jc w:val="both"/>
        <w:rPr>
          <w:rFonts w:ascii="Arial" w:hAnsi="Arial" w:cs="Arial"/>
        </w:rPr>
      </w:pPr>
      <w:r>
        <w:rPr>
          <w:rFonts w:ascii="Arial" w:hAnsi="Arial" w:cs="Arial"/>
        </w:rPr>
        <w:t xml:space="preserve">Ahora veremos como se comporta esta variable dependiendo de la edad de los inmigrantes; en la </w:t>
      </w:r>
      <w:r>
        <w:rPr>
          <w:rFonts w:ascii="Arial" w:hAnsi="Arial" w:cs="Arial"/>
          <w:i/>
        </w:rPr>
        <w:t>Figura 3.34</w:t>
      </w:r>
      <w:r>
        <w:rPr>
          <w:rFonts w:ascii="Arial" w:hAnsi="Arial" w:cs="Arial"/>
        </w:rPr>
        <w:t xml:space="preserve">, podemos notar que quienes se trabajan como directores o gerentes son extranjeros con edades comprendidas entre 20 y 95 años, mientras que quienes trabajan como profesionales o científicos tienen edades entre 20 y 100 años, los técnicos o profesionales del nivel medio tienen edades entre 20 y 90 años, en lo que respecta al personal de apoyo administrativo se tiene que esta actividad es realizada por personas que tienen desde 5 hasta 90 años, mientras que para todos los grupos de edad existen algún extranjero que se desempeña como personal de servicio o vendedor, la ocupación de agricultores o trabajadores calificados es realizada por inmigrantes con edades entre 15 y </w:t>
      </w:r>
      <w:r>
        <w:rPr>
          <w:rFonts w:ascii="Arial" w:hAnsi="Arial" w:cs="Arial"/>
        </w:rPr>
        <w:lastRenderedPageBreak/>
        <w:t xml:space="preserve">100 años. Además, el mayor porcentaje de personas que no respondieron a esta variable corresponden a la población con edades entre 5 y 10 años. </w:t>
      </w:r>
    </w:p>
    <w:p w:rsidR="00060299" w:rsidRDefault="00060299" w:rsidP="004135FA">
      <w:pPr>
        <w:pStyle w:val="Prrafodelista"/>
        <w:spacing w:line="480" w:lineRule="auto"/>
        <w:ind w:left="851"/>
        <w:jc w:val="both"/>
        <w:rPr>
          <w:rFonts w:ascii="Arial" w:hAnsi="Arial" w:cs="Arial"/>
        </w:rPr>
      </w:pPr>
    </w:p>
    <w:p w:rsidR="00060299" w:rsidRDefault="00060299" w:rsidP="004135FA">
      <w:pPr>
        <w:pStyle w:val="Prrafodelista"/>
        <w:spacing w:line="480" w:lineRule="auto"/>
        <w:ind w:left="851"/>
        <w:jc w:val="both"/>
        <w:rPr>
          <w:rFonts w:ascii="Arial" w:hAnsi="Arial" w:cs="Arial"/>
        </w:rPr>
      </w:pPr>
      <w:r>
        <w:rPr>
          <w:rFonts w:ascii="Arial" w:hAnsi="Arial" w:cs="Arial"/>
        </w:rPr>
        <w:t xml:space="preserve">Realicemos esta análisis para el caso de los extranjeros con edades comprendidas entre 15 y 20 años, se tiene que el 0.39% son directores o gerentes, el 6.20% trabajan como personal de apoyo administrativo, el 21.47% son trabajadores de servicios o vendedores, el 5.21% son agricultores o trabajadores calificados, el 12.23% son oficiales, operarios o artesanos, el 2.78% operadores de instalaciones y maquinarias, el 36.35% tienen ocupaciones elementales, el 0.11% tienen ocupaciones militares, el 9.16% son trabajadores nuevos; y, el 6.09% son datos no declarados. </w:t>
      </w:r>
      <w:r w:rsidR="00F91C02">
        <w:rPr>
          <w:rFonts w:ascii="Arial" w:hAnsi="Arial" w:cs="Arial"/>
        </w:rPr>
        <w:t>L</w:t>
      </w:r>
      <w:r>
        <w:rPr>
          <w:rFonts w:ascii="Arial" w:hAnsi="Arial" w:cs="Arial"/>
        </w:rPr>
        <w:t>os extranjeros con edades entre 95 y 100 años, el 33.33% son profesionales científicos e intelectuales, el 33.33% son agricultores o trabajadores calificados, y el porcentaje restante realizan ocupaciones elementales; y, los mayores de 100 años son trabajadores de servicios y vendedores, u oficiales, operarios y artesanos.</w:t>
      </w:r>
    </w:p>
    <w:p w:rsidR="00060299" w:rsidRDefault="00060299" w:rsidP="004135FA">
      <w:pPr>
        <w:pStyle w:val="Prrafodelista"/>
        <w:spacing w:line="480" w:lineRule="auto"/>
        <w:ind w:left="851"/>
        <w:jc w:val="both"/>
        <w:rPr>
          <w:rFonts w:ascii="Arial" w:hAnsi="Arial" w:cs="Arial"/>
        </w:rPr>
      </w:pPr>
    </w:p>
    <w:p w:rsidR="00060299" w:rsidRDefault="00060299" w:rsidP="004135FA">
      <w:pPr>
        <w:pStyle w:val="Prrafodelista"/>
        <w:spacing w:line="480" w:lineRule="auto"/>
        <w:ind w:left="851"/>
        <w:jc w:val="both"/>
        <w:rPr>
          <w:rFonts w:ascii="Arial" w:hAnsi="Arial" w:cs="Arial"/>
        </w:rPr>
      </w:pPr>
      <w:r>
        <w:rPr>
          <w:rFonts w:ascii="Arial" w:hAnsi="Arial" w:cs="Arial"/>
        </w:rPr>
        <w:t xml:space="preserve">Adicionalmente, podemos notar que no hay algún extranjero con edades mayores a 75 años que tenga alguna ocupación militar; de los mayores de 65 años tampoco existe alguno que sea trabajador nuevo; los mayores de 90 años ninguno trabaja como técnicos o profesionales de nivel medio, personal de apoyo administrativo, u operadores de instalaciones y maquinaria; de los mayores de 95 años todos respondieron a esta pregunta. Para más detalles </w:t>
      </w:r>
      <w:r>
        <w:rPr>
          <w:rFonts w:ascii="Arial" w:hAnsi="Arial" w:cs="Arial"/>
          <w:i/>
        </w:rPr>
        <w:t>véase Figura 3.34</w:t>
      </w:r>
      <w:r>
        <w:rPr>
          <w:rFonts w:ascii="Arial" w:hAnsi="Arial" w:cs="Arial"/>
        </w:rPr>
        <w:t xml:space="preserve">. </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4135FA">
        <w:trPr>
          <w:trHeight w:val="2772"/>
          <w:jc w:val="right"/>
        </w:trPr>
        <w:tc>
          <w:tcPr>
            <w:tcW w:w="7497" w:type="dxa"/>
          </w:tcPr>
          <w:p w:rsidR="00060299" w:rsidRDefault="00060299" w:rsidP="003B05B6">
            <w:pPr>
              <w:rPr>
                <w:rFonts w:ascii="Arial" w:hAnsi="Arial" w:cs="Arial"/>
                <w:b/>
                <w:sz w:val="16"/>
                <w:szCs w:val="16"/>
              </w:rPr>
            </w:pPr>
          </w:p>
          <w:p w:rsidR="00DA16D2" w:rsidRPr="00DA16D2" w:rsidRDefault="00DA16D2" w:rsidP="00DA16D2">
            <w:pPr>
              <w:pStyle w:val="Epgrafe"/>
              <w:rPr>
                <w:rFonts w:ascii="Arial" w:hAnsi="Arial" w:cs="Arial"/>
                <w:bCs w:val="0"/>
                <w:color w:val="auto"/>
                <w:sz w:val="16"/>
                <w:szCs w:val="16"/>
              </w:rPr>
            </w:pPr>
            <w:bookmarkStart w:id="488" w:name="_Toc341043433"/>
            <w:r w:rsidRPr="00DA16D2">
              <w:rPr>
                <w:rFonts w:ascii="Arial" w:hAnsi="Arial" w:cs="Arial"/>
                <w:bCs w:val="0"/>
                <w:color w:val="auto"/>
                <w:sz w:val="16"/>
                <w:szCs w:val="16"/>
              </w:rPr>
              <w:t>Figura 3.</w:t>
            </w:r>
            <w:r w:rsidR="00990535" w:rsidRPr="00DA16D2">
              <w:rPr>
                <w:rFonts w:ascii="Arial" w:hAnsi="Arial" w:cs="Arial"/>
                <w:bCs w:val="0"/>
                <w:color w:val="auto"/>
                <w:sz w:val="16"/>
                <w:szCs w:val="16"/>
              </w:rPr>
              <w:fldChar w:fldCharType="begin"/>
            </w:r>
            <w:r w:rsidRPr="00DA16D2">
              <w:rPr>
                <w:rFonts w:ascii="Arial" w:hAnsi="Arial" w:cs="Arial"/>
                <w:bCs w:val="0"/>
                <w:color w:val="auto"/>
                <w:sz w:val="16"/>
                <w:szCs w:val="16"/>
              </w:rPr>
              <w:instrText xml:space="preserve"> SEQ Figura_3. \* ARABIC </w:instrText>
            </w:r>
            <w:r w:rsidR="00990535" w:rsidRPr="00DA16D2">
              <w:rPr>
                <w:rFonts w:ascii="Arial" w:hAnsi="Arial" w:cs="Arial"/>
                <w:bCs w:val="0"/>
                <w:color w:val="auto"/>
                <w:sz w:val="16"/>
                <w:szCs w:val="16"/>
              </w:rPr>
              <w:fldChar w:fldCharType="separate"/>
            </w:r>
            <w:r w:rsidR="00A242E0">
              <w:rPr>
                <w:rFonts w:ascii="Arial" w:hAnsi="Arial" w:cs="Arial"/>
                <w:bCs w:val="0"/>
                <w:noProof/>
                <w:color w:val="auto"/>
                <w:sz w:val="16"/>
                <w:szCs w:val="16"/>
              </w:rPr>
              <w:t>34</w:t>
            </w:r>
            <w:bookmarkEnd w:id="488"/>
            <w:r w:rsidR="00990535" w:rsidRPr="00DA16D2">
              <w:rPr>
                <w:rFonts w:ascii="Arial" w:hAnsi="Arial" w:cs="Arial"/>
                <w:bCs w:val="0"/>
                <w:color w:val="auto"/>
                <w:sz w:val="16"/>
                <w:szCs w:val="16"/>
              </w:rPr>
              <w:fldChar w:fldCharType="end"/>
            </w:r>
          </w:p>
          <w:p w:rsidR="002F0F53" w:rsidRDefault="004135FA" w:rsidP="003B05B6">
            <w:pPr>
              <w:rPr>
                <w:rFonts w:ascii="Arial" w:hAnsi="Arial" w:cs="Arial"/>
                <w:i/>
                <w:sz w:val="16"/>
                <w:szCs w:val="16"/>
              </w:rPr>
            </w:pPr>
            <w:r>
              <w:rPr>
                <w:rFonts w:ascii="Arial" w:hAnsi="Arial" w:cs="Arial"/>
                <w:b/>
                <w:i/>
                <w:sz w:val="16"/>
                <w:szCs w:val="16"/>
              </w:rPr>
              <w:t xml:space="preserve">Ecuador 2010: </w:t>
            </w:r>
            <w:r w:rsidR="002F0F53">
              <w:rPr>
                <w:rFonts w:ascii="Arial" w:hAnsi="Arial" w:cs="Arial"/>
                <w:i/>
                <w:sz w:val="16"/>
                <w:szCs w:val="16"/>
              </w:rPr>
              <w:t>Distribución condicional</w:t>
            </w:r>
            <w:r w:rsidR="00060299">
              <w:rPr>
                <w:rFonts w:ascii="Arial" w:hAnsi="Arial" w:cs="Arial"/>
                <w:i/>
                <w:sz w:val="16"/>
                <w:szCs w:val="16"/>
              </w:rPr>
              <w:t xml:space="preserve"> de la ocupación de los extranjeros </w:t>
            </w:r>
          </w:p>
          <w:p w:rsidR="00060299" w:rsidRDefault="002F0F53" w:rsidP="003B05B6">
            <w:pPr>
              <w:rPr>
                <w:rFonts w:ascii="Arial" w:hAnsi="Arial" w:cs="Arial"/>
                <w:i/>
                <w:sz w:val="16"/>
                <w:szCs w:val="16"/>
              </w:rPr>
            </w:pPr>
            <w:r>
              <w:rPr>
                <w:rFonts w:ascii="Arial" w:hAnsi="Arial" w:cs="Arial"/>
                <w:i/>
                <w:sz w:val="16"/>
                <w:szCs w:val="16"/>
              </w:rPr>
              <w:t>dado que se conoce el</w:t>
            </w:r>
            <w:r w:rsidR="00060299">
              <w:rPr>
                <w:rFonts w:ascii="Arial" w:hAnsi="Arial" w:cs="Arial"/>
                <w:i/>
                <w:sz w:val="16"/>
                <w:szCs w:val="16"/>
              </w:rPr>
              <w:t xml:space="preserve"> Grupo </w:t>
            </w:r>
            <w:r>
              <w:rPr>
                <w:rFonts w:ascii="Arial" w:hAnsi="Arial" w:cs="Arial"/>
                <w:i/>
                <w:sz w:val="16"/>
                <w:szCs w:val="16"/>
              </w:rPr>
              <w:t>etario</w:t>
            </w:r>
          </w:p>
          <w:p w:rsidR="00060299" w:rsidRPr="0078148C" w:rsidRDefault="00060299" w:rsidP="003B05B6">
            <w:pPr>
              <w:rPr>
                <w:rFonts w:ascii="Arial" w:hAnsi="Arial" w:cs="Arial"/>
                <w:i/>
                <w:sz w:val="16"/>
                <w:szCs w:val="16"/>
              </w:rPr>
            </w:pPr>
            <w:r>
              <w:rPr>
                <w:noProof/>
                <w:lang w:eastAsia="es-EC"/>
              </w:rPr>
              <w:drawing>
                <wp:inline distT="0" distB="0" distL="0" distR="0">
                  <wp:extent cx="4572000" cy="3143250"/>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bl>
    <w:p w:rsidR="00060299" w:rsidRPr="004135FA" w:rsidRDefault="00060299" w:rsidP="004135FA">
      <w:pPr>
        <w:pStyle w:val="Prrafodelista"/>
        <w:spacing w:line="276" w:lineRule="auto"/>
        <w:ind w:left="851"/>
        <w:jc w:val="both"/>
        <w:rPr>
          <w:rFonts w:ascii="Arial" w:hAnsi="Arial" w:cs="Arial"/>
          <w:sz w:val="17"/>
          <w:szCs w:val="17"/>
        </w:rPr>
      </w:pPr>
    </w:p>
    <w:p w:rsidR="00060299" w:rsidRPr="004135FA" w:rsidRDefault="00060299" w:rsidP="004135FA">
      <w:pPr>
        <w:pStyle w:val="Prrafodelista"/>
        <w:spacing w:line="276" w:lineRule="auto"/>
        <w:ind w:left="851"/>
        <w:jc w:val="both"/>
        <w:rPr>
          <w:rFonts w:ascii="Arial" w:hAnsi="Arial" w:cs="Arial"/>
          <w:sz w:val="17"/>
          <w:szCs w:val="17"/>
        </w:rPr>
      </w:pPr>
      <w:r w:rsidRPr="004135FA">
        <w:rPr>
          <w:rFonts w:ascii="Arial" w:hAnsi="Arial" w:cs="Arial"/>
          <w:b/>
          <w:i/>
          <w:sz w:val="17"/>
          <w:szCs w:val="17"/>
        </w:rPr>
        <w:t>Fuente:</w:t>
      </w:r>
      <w:r w:rsidRPr="004135FA">
        <w:rPr>
          <w:rFonts w:ascii="Arial" w:hAnsi="Arial" w:cs="Arial"/>
          <w:sz w:val="17"/>
          <w:szCs w:val="17"/>
        </w:rPr>
        <w:t xml:space="preserve"> </w:t>
      </w:r>
      <w:r w:rsidRPr="004135FA">
        <w:rPr>
          <w:rFonts w:ascii="Arial" w:hAnsi="Arial" w:cs="Arial"/>
          <w:b/>
          <w:sz w:val="17"/>
          <w:szCs w:val="17"/>
        </w:rPr>
        <w:t xml:space="preserve">INEC </w:t>
      </w:r>
      <w:r w:rsidRPr="004135FA">
        <w:rPr>
          <w:rFonts w:ascii="Arial" w:hAnsi="Arial" w:cs="Arial"/>
          <w:sz w:val="17"/>
          <w:szCs w:val="17"/>
        </w:rPr>
        <w:t>(2010), Base de Datos del VII Censo de Población y VI de Vivienda.</w:t>
      </w:r>
    </w:p>
    <w:p w:rsidR="00060299" w:rsidRDefault="00060299" w:rsidP="004135FA">
      <w:pPr>
        <w:pStyle w:val="Prrafodelista"/>
        <w:spacing w:line="276" w:lineRule="auto"/>
        <w:ind w:left="851"/>
        <w:jc w:val="both"/>
        <w:rPr>
          <w:rFonts w:ascii="Arial" w:hAnsi="Arial" w:cs="Arial"/>
          <w:sz w:val="18"/>
          <w:szCs w:val="18"/>
        </w:rPr>
      </w:pPr>
      <w:r w:rsidRPr="004135FA">
        <w:rPr>
          <w:rFonts w:ascii="Arial" w:hAnsi="Arial" w:cs="Arial"/>
          <w:b/>
          <w:i/>
          <w:sz w:val="17"/>
          <w:szCs w:val="17"/>
        </w:rPr>
        <w:t>Elaborado por:</w:t>
      </w:r>
      <w:r w:rsidRPr="004135FA">
        <w:rPr>
          <w:rFonts w:ascii="Arial" w:hAnsi="Arial" w:cs="Arial"/>
          <w:sz w:val="17"/>
          <w:szCs w:val="17"/>
        </w:rPr>
        <w:t xml:space="preserve"> Katherine Loor Valeriano</w:t>
      </w:r>
    </w:p>
    <w:p w:rsidR="00060299" w:rsidRDefault="00060299" w:rsidP="004135FA">
      <w:pPr>
        <w:pStyle w:val="Prrafodelista"/>
        <w:spacing w:line="480" w:lineRule="auto"/>
        <w:ind w:left="851"/>
        <w:jc w:val="both"/>
        <w:rPr>
          <w:rFonts w:ascii="Arial" w:hAnsi="Arial" w:cs="Arial"/>
        </w:rPr>
      </w:pPr>
    </w:p>
    <w:p w:rsidR="00060299" w:rsidRDefault="00060299" w:rsidP="004135FA">
      <w:pPr>
        <w:pStyle w:val="TesisTitulo1"/>
        <w:ind w:left="993" w:hanging="709"/>
      </w:pPr>
      <w:bookmarkStart w:id="489" w:name="_Toc335850613"/>
      <w:bookmarkStart w:id="490" w:name="_Toc341040659"/>
      <w:r>
        <w:t>Tipo de vivienda</w:t>
      </w:r>
      <w:bookmarkEnd w:id="489"/>
      <w:bookmarkEnd w:id="490"/>
    </w:p>
    <w:p w:rsidR="00060299" w:rsidRPr="00BB327B" w:rsidRDefault="00060299" w:rsidP="004135FA">
      <w:pPr>
        <w:pStyle w:val="Prrafodelista"/>
        <w:spacing w:line="480" w:lineRule="auto"/>
        <w:ind w:left="851"/>
        <w:jc w:val="both"/>
        <w:rPr>
          <w:rFonts w:ascii="Arial" w:hAnsi="Arial" w:cs="Arial"/>
          <w:i/>
        </w:rPr>
      </w:pPr>
      <w:r>
        <w:rPr>
          <w:rFonts w:ascii="Arial" w:hAnsi="Arial" w:cs="Arial"/>
        </w:rPr>
        <w:t xml:space="preserve">Una de las variables que también está incluida en la boleta censal es el tipo de vivienda, en donde el 55.16% de las viviendas en las cuales viven los extranjeros residentes en el país es una casa o villa, el 28.39% son departamentos en casa o edificio, el 10.01% de las viviendas son cuartos en casas de inquilinato, el 5.94% son otros tipos de vivienda que pueden ser mediagua, rancho, covacha, choza u otro tipo de vivienda particular, el 0.78% son viviendas colectivas las cuales pueden ser hotel, cuartel militar, centro de rehabilitación social, hospital, clínica, asilos de anciano, </w:t>
      </w:r>
      <w:r>
        <w:rPr>
          <w:rFonts w:ascii="Arial" w:hAnsi="Arial" w:cs="Arial"/>
        </w:rPr>
        <w:lastRenderedPageBreak/>
        <w:t xml:space="preserve">orfanatos, entre otros; y, el 0.01% no tiene vivienda. Para más detalles </w:t>
      </w:r>
      <w:r w:rsidR="004135FA">
        <w:rPr>
          <w:rFonts w:ascii="Arial" w:hAnsi="Arial" w:cs="Arial"/>
          <w:i/>
        </w:rPr>
        <w:t>véase Figura 3.35.</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4135FA">
        <w:trPr>
          <w:trHeight w:val="2772"/>
          <w:jc w:val="right"/>
        </w:trPr>
        <w:tc>
          <w:tcPr>
            <w:tcW w:w="7497" w:type="dxa"/>
          </w:tcPr>
          <w:p w:rsidR="00060299" w:rsidRDefault="00060299" w:rsidP="003B05B6">
            <w:pPr>
              <w:rPr>
                <w:rFonts w:ascii="Arial" w:hAnsi="Arial" w:cs="Arial"/>
                <w:b/>
                <w:sz w:val="16"/>
                <w:szCs w:val="16"/>
              </w:rPr>
            </w:pPr>
          </w:p>
          <w:p w:rsidR="00DA16D2" w:rsidRPr="00DA16D2" w:rsidRDefault="00DA16D2" w:rsidP="00DA16D2">
            <w:pPr>
              <w:pStyle w:val="Epgrafe"/>
              <w:rPr>
                <w:rFonts w:ascii="Arial" w:hAnsi="Arial" w:cs="Arial"/>
                <w:bCs w:val="0"/>
                <w:color w:val="auto"/>
                <w:sz w:val="16"/>
                <w:szCs w:val="16"/>
              </w:rPr>
            </w:pPr>
            <w:bookmarkStart w:id="491" w:name="_Toc341043434"/>
            <w:r>
              <w:rPr>
                <w:rFonts w:ascii="Arial" w:hAnsi="Arial" w:cs="Arial"/>
                <w:bCs w:val="0"/>
                <w:color w:val="auto"/>
                <w:sz w:val="16"/>
                <w:szCs w:val="16"/>
              </w:rPr>
              <w:t>Figura 3.</w:t>
            </w:r>
            <w:r w:rsidR="00990535" w:rsidRPr="00DA16D2">
              <w:rPr>
                <w:rFonts w:ascii="Arial" w:hAnsi="Arial" w:cs="Arial"/>
                <w:bCs w:val="0"/>
                <w:color w:val="auto"/>
                <w:sz w:val="16"/>
                <w:szCs w:val="16"/>
              </w:rPr>
              <w:fldChar w:fldCharType="begin"/>
            </w:r>
            <w:r w:rsidRPr="00DA16D2">
              <w:rPr>
                <w:rFonts w:ascii="Arial" w:hAnsi="Arial" w:cs="Arial"/>
                <w:bCs w:val="0"/>
                <w:color w:val="auto"/>
                <w:sz w:val="16"/>
                <w:szCs w:val="16"/>
              </w:rPr>
              <w:instrText xml:space="preserve"> SEQ Figura_3. \* ARABIC </w:instrText>
            </w:r>
            <w:r w:rsidR="00990535" w:rsidRPr="00DA16D2">
              <w:rPr>
                <w:rFonts w:ascii="Arial" w:hAnsi="Arial" w:cs="Arial"/>
                <w:bCs w:val="0"/>
                <w:color w:val="auto"/>
                <w:sz w:val="16"/>
                <w:szCs w:val="16"/>
              </w:rPr>
              <w:fldChar w:fldCharType="separate"/>
            </w:r>
            <w:r w:rsidR="00A242E0">
              <w:rPr>
                <w:rFonts w:ascii="Arial" w:hAnsi="Arial" w:cs="Arial"/>
                <w:bCs w:val="0"/>
                <w:noProof/>
                <w:color w:val="auto"/>
                <w:sz w:val="16"/>
                <w:szCs w:val="16"/>
              </w:rPr>
              <w:t>35</w:t>
            </w:r>
            <w:bookmarkEnd w:id="491"/>
            <w:r w:rsidR="00990535" w:rsidRPr="00DA16D2">
              <w:rPr>
                <w:rFonts w:ascii="Arial" w:hAnsi="Arial" w:cs="Arial"/>
                <w:bCs w:val="0"/>
                <w:color w:val="auto"/>
                <w:sz w:val="16"/>
                <w:szCs w:val="16"/>
              </w:rPr>
              <w:fldChar w:fldCharType="end"/>
            </w:r>
          </w:p>
          <w:p w:rsidR="00060299" w:rsidRDefault="004135FA"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Frecuencia Relativa del Tipo de Vivienda</w:t>
            </w:r>
            <w:r>
              <w:rPr>
                <w:rFonts w:ascii="Arial" w:hAnsi="Arial" w:cs="Arial"/>
                <w:i/>
                <w:sz w:val="16"/>
                <w:szCs w:val="16"/>
              </w:rPr>
              <w:t xml:space="preserve"> de los extranjeros</w:t>
            </w:r>
          </w:p>
          <w:p w:rsidR="00060299" w:rsidRPr="0078148C" w:rsidRDefault="00060299" w:rsidP="003B05B6">
            <w:pPr>
              <w:rPr>
                <w:rFonts w:ascii="Arial" w:hAnsi="Arial" w:cs="Arial"/>
                <w:i/>
                <w:sz w:val="16"/>
                <w:szCs w:val="16"/>
              </w:rPr>
            </w:pPr>
            <w:r>
              <w:rPr>
                <w:noProof/>
                <w:lang w:eastAsia="es-EC"/>
              </w:rPr>
              <w:drawing>
                <wp:inline distT="0" distB="0" distL="0" distR="0">
                  <wp:extent cx="4438650" cy="2447925"/>
                  <wp:effectExtent l="0" t="0" r="0" b="0"/>
                  <wp:docPr id="314" name="Gráfico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bl>
    <w:p w:rsidR="00060299" w:rsidRPr="004135FA" w:rsidRDefault="00060299" w:rsidP="004135FA">
      <w:pPr>
        <w:pStyle w:val="Prrafodelista"/>
        <w:spacing w:line="276" w:lineRule="auto"/>
        <w:ind w:left="851"/>
        <w:jc w:val="both"/>
        <w:rPr>
          <w:rFonts w:ascii="Arial" w:hAnsi="Arial" w:cs="Arial"/>
          <w:sz w:val="17"/>
          <w:szCs w:val="17"/>
        </w:rPr>
      </w:pPr>
    </w:p>
    <w:p w:rsidR="00060299" w:rsidRPr="004135FA" w:rsidRDefault="00060299" w:rsidP="004135FA">
      <w:pPr>
        <w:pStyle w:val="Prrafodelista"/>
        <w:spacing w:line="276" w:lineRule="auto"/>
        <w:ind w:left="851"/>
        <w:jc w:val="both"/>
        <w:rPr>
          <w:rFonts w:ascii="Arial" w:hAnsi="Arial" w:cs="Arial"/>
          <w:sz w:val="17"/>
          <w:szCs w:val="17"/>
        </w:rPr>
      </w:pPr>
      <w:r w:rsidRPr="004135FA">
        <w:rPr>
          <w:rFonts w:ascii="Arial" w:hAnsi="Arial" w:cs="Arial"/>
          <w:b/>
          <w:i/>
          <w:sz w:val="17"/>
          <w:szCs w:val="17"/>
        </w:rPr>
        <w:t>Fuente:</w:t>
      </w:r>
      <w:r w:rsidRPr="004135FA">
        <w:rPr>
          <w:rFonts w:ascii="Arial" w:hAnsi="Arial" w:cs="Arial"/>
          <w:sz w:val="17"/>
          <w:szCs w:val="17"/>
        </w:rPr>
        <w:t xml:space="preserve"> </w:t>
      </w:r>
      <w:r w:rsidRPr="004135FA">
        <w:rPr>
          <w:rFonts w:ascii="Arial" w:hAnsi="Arial" w:cs="Arial"/>
          <w:b/>
          <w:sz w:val="17"/>
          <w:szCs w:val="17"/>
        </w:rPr>
        <w:t xml:space="preserve">INEC </w:t>
      </w:r>
      <w:r w:rsidRPr="004135FA">
        <w:rPr>
          <w:rFonts w:ascii="Arial" w:hAnsi="Arial" w:cs="Arial"/>
          <w:sz w:val="17"/>
          <w:szCs w:val="17"/>
        </w:rPr>
        <w:t>(2010), Base de Datos del VII Censo de Población y VI de Vivienda.</w:t>
      </w:r>
    </w:p>
    <w:p w:rsidR="00060299" w:rsidRPr="004135FA" w:rsidRDefault="00060299" w:rsidP="004135FA">
      <w:pPr>
        <w:pStyle w:val="Prrafodelista"/>
        <w:spacing w:line="276" w:lineRule="auto"/>
        <w:ind w:left="851"/>
        <w:jc w:val="both"/>
        <w:rPr>
          <w:rFonts w:ascii="Arial" w:hAnsi="Arial" w:cs="Arial"/>
          <w:sz w:val="17"/>
          <w:szCs w:val="17"/>
        </w:rPr>
      </w:pPr>
      <w:r w:rsidRPr="004135FA">
        <w:rPr>
          <w:rFonts w:ascii="Arial" w:hAnsi="Arial" w:cs="Arial"/>
          <w:b/>
          <w:i/>
          <w:sz w:val="17"/>
          <w:szCs w:val="17"/>
        </w:rPr>
        <w:t>Elaborado por:</w:t>
      </w:r>
      <w:r w:rsidRPr="004135FA">
        <w:rPr>
          <w:rFonts w:ascii="Arial" w:hAnsi="Arial" w:cs="Arial"/>
          <w:sz w:val="17"/>
          <w:szCs w:val="17"/>
        </w:rPr>
        <w:t xml:space="preserve"> Katherine Loor Valeriano</w:t>
      </w:r>
    </w:p>
    <w:p w:rsidR="00060299" w:rsidRDefault="00060299" w:rsidP="004135FA">
      <w:pPr>
        <w:pStyle w:val="Prrafodelista"/>
        <w:spacing w:line="480" w:lineRule="auto"/>
        <w:ind w:left="851"/>
        <w:jc w:val="both"/>
        <w:rPr>
          <w:rFonts w:ascii="Arial" w:hAnsi="Arial" w:cs="Arial"/>
        </w:rPr>
      </w:pPr>
    </w:p>
    <w:p w:rsidR="00060299" w:rsidRDefault="00060299" w:rsidP="004135FA">
      <w:pPr>
        <w:pStyle w:val="Prrafodelista"/>
        <w:spacing w:line="480" w:lineRule="auto"/>
        <w:ind w:left="851"/>
        <w:jc w:val="both"/>
        <w:rPr>
          <w:rFonts w:ascii="Arial" w:hAnsi="Arial" w:cs="Arial"/>
        </w:rPr>
      </w:pPr>
      <w:r>
        <w:rPr>
          <w:rFonts w:ascii="Arial" w:hAnsi="Arial" w:cs="Arial"/>
        </w:rPr>
        <w:t xml:space="preserve">Otra de las preguntas consultadas trata acerca de la pertenencia de la vivienda, en donde se busca conocer si la vivienda es propia, donada, arrendada, entre otros. En la </w:t>
      </w:r>
      <w:r>
        <w:rPr>
          <w:rFonts w:ascii="Arial" w:hAnsi="Arial" w:cs="Arial"/>
          <w:i/>
        </w:rPr>
        <w:t>Figura 3.36</w:t>
      </w:r>
      <w:r>
        <w:rPr>
          <w:rFonts w:ascii="Arial" w:hAnsi="Arial" w:cs="Arial"/>
        </w:rPr>
        <w:t>, se observa que el 55.57% de las viviendas en las cuales viven los inmigrantes extranjeros son arrendadas, el 24.17% son propias y totalmente pagadas, el 8.26% son prestadas o cedidas (no pagadas), el 5.47% son viviendas propias que aún las están pagando, el 3.28% son viviendas propias que fueron regaladas, donadas, heredadas, o por posesión, el 3.05% son por servicios; y, el 0.20% son en anticresis.</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0299" w:rsidRPr="00840530" w:rsidTr="004135FA">
        <w:trPr>
          <w:trHeight w:val="2772"/>
          <w:jc w:val="right"/>
        </w:trPr>
        <w:tc>
          <w:tcPr>
            <w:tcW w:w="7497" w:type="dxa"/>
          </w:tcPr>
          <w:p w:rsidR="00060299" w:rsidRDefault="00060299" w:rsidP="003B05B6">
            <w:pPr>
              <w:rPr>
                <w:rFonts w:ascii="Arial" w:hAnsi="Arial" w:cs="Arial"/>
                <w:b/>
                <w:sz w:val="16"/>
                <w:szCs w:val="16"/>
              </w:rPr>
            </w:pPr>
          </w:p>
          <w:p w:rsidR="00DA16D2" w:rsidRPr="00DA16D2" w:rsidRDefault="00DA16D2" w:rsidP="00DA16D2">
            <w:pPr>
              <w:keepNext/>
              <w:rPr>
                <w:rFonts w:ascii="Arial" w:hAnsi="Arial" w:cs="Arial"/>
                <w:b/>
                <w:sz w:val="16"/>
                <w:szCs w:val="16"/>
              </w:rPr>
            </w:pPr>
            <w:bookmarkStart w:id="492" w:name="_Toc341043435"/>
            <w:r>
              <w:rPr>
                <w:rFonts w:ascii="Arial" w:hAnsi="Arial" w:cs="Arial"/>
                <w:b/>
                <w:sz w:val="16"/>
                <w:szCs w:val="16"/>
              </w:rPr>
              <w:t>Figura 3.</w:t>
            </w:r>
            <w:r w:rsidR="00990535" w:rsidRPr="00DA16D2">
              <w:rPr>
                <w:rFonts w:ascii="Arial" w:hAnsi="Arial" w:cs="Arial"/>
                <w:b/>
                <w:sz w:val="16"/>
                <w:szCs w:val="16"/>
              </w:rPr>
              <w:fldChar w:fldCharType="begin"/>
            </w:r>
            <w:r w:rsidRPr="00DA16D2">
              <w:rPr>
                <w:rFonts w:ascii="Arial" w:hAnsi="Arial" w:cs="Arial"/>
                <w:b/>
                <w:sz w:val="16"/>
                <w:szCs w:val="16"/>
              </w:rPr>
              <w:instrText xml:space="preserve"> SEQ Figura_3. \* ARABIC </w:instrText>
            </w:r>
            <w:r w:rsidR="00990535" w:rsidRPr="00DA16D2">
              <w:rPr>
                <w:rFonts w:ascii="Arial" w:hAnsi="Arial" w:cs="Arial"/>
                <w:b/>
                <w:sz w:val="16"/>
                <w:szCs w:val="16"/>
              </w:rPr>
              <w:fldChar w:fldCharType="separate"/>
            </w:r>
            <w:r w:rsidR="00A242E0">
              <w:rPr>
                <w:rFonts w:ascii="Arial" w:hAnsi="Arial" w:cs="Arial"/>
                <w:b/>
                <w:noProof/>
                <w:sz w:val="16"/>
                <w:szCs w:val="16"/>
              </w:rPr>
              <w:t>36</w:t>
            </w:r>
            <w:bookmarkEnd w:id="492"/>
            <w:r w:rsidR="00990535" w:rsidRPr="00DA16D2">
              <w:rPr>
                <w:rFonts w:ascii="Arial" w:hAnsi="Arial" w:cs="Arial"/>
                <w:b/>
                <w:sz w:val="16"/>
                <w:szCs w:val="16"/>
              </w:rPr>
              <w:fldChar w:fldCharType="end"/>
            </w:r>
          </w:p>
          <w:p w:rsidR="00060299" w:rsidRPr="0078148C" w:rsidRDefault="004135FA" w:rsidP="004135FA">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Frecuencia Relativa de pertenencia de la vivienda del inmigrante extranjero</w:t>
            </w:r>
            <w:r w:rsidR="00060299">
              <w:rPr>
                <w:noProof/>
                <w:lang w:eastAsia="es-EC"/>
              </w:rPr>
              <w:drawing>
                <wp:inline distT="0" distB="0" distL="0" distR="0">
                  <wp:extent cx="4438651" cy="219075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bl>
    <w:p w:rsidR="00060299" w:rsidRPr="004135FA" w:rsidRDefault="00060299" w:rsidP="004135FA">
      <w:pPr>
        <w:pStyle w:val="Prrafodelista"/>
        <w:spacing w:line="276" w:lineRule="auto"/>
        <w:ind w:left="851"/>
        <w:jc w:val="both"/>
        <w:rPr>
          <w:rFonts w:ascii="Arial" w:hAnsi="Arial" w:cs="Arial"/>
          <w:sz w:val="17"/>
          <w:szCs w:val="17"/>
        </w:rPr>
      </w:pPr>
    </w:p>
    <w:p w:rsidR="00060299" w:rsidRPr="004135FA" w:rsidRDefault="00060299" w:rsidP="004135FA">
      <w:pPr>
        <w:pStyle w:val="Prrafodelista"/>
        <w:spacing w:line="276" w:lineRule="auto"/>
        <w:ind w:left="851"/>
        <w:jc w:val="both"/>
        <w:rPr>
          <w:rFonts w:ascii="Arial" w:hAnsi="Arial" w:cs="Arial"/>
          <w:sz w:val="17"/>
          <w:szCs w:val="17"/>
        </w:rPr>
      </w:pPr>
      <w:r w:rsidRPr="004135FA">
        <w:rPr>
          <w:rFonts w:ascii="Arial" w:hAnsi="Arial" w:cs="Arial"/>
          <w:b/>
          <w:i/>
          <w:sz w:val="17"/>
          <w:szCs w:val="17"/>
        </w:rPr>
        <w:t>Fuente:</w:t>
      </w:r>
      <w:r w:rsidRPr="004135FA">
        <w:rPr>
          <w:rFonts w:ascii="Arial" w:hAnsi="Arial" w:cs="Arial"/>
          <w:sz w:val="17"/>
          <w:szCs w:val="17"/>
        </w:rPr>
        <w:t xml:space="preserve"> </w:t>
      </w:r>
      <w:r w:rsidRPr="004135FA">
        <w:rPr>
          <w:rFonts w:ascii="Arial" w:hAnsi="Arial" w:cs="Arial"/>
          <w:b/>
          <w:sz w:val="17"/>
          <w:szCs w:val="17"/>
        </w:rPr>
        <w:t xml:space="preserve">INEC </w:t>
      </w:r>
      <w:r w:rsidRPr="004135FA">
        <w:rPr>
          <w:rFonts w:ascii="Arial" w:hAnsi="Arial" w:cs="Arial"/>
          <w:sz w:val="17"/>
          <w:szCs w:val="17"/>
        </w:rPr>
        <w:t>(2010), Base de Datos del VII Censo de Población y VI de Vivienda.</w:t>
      </w:r>
    </w:p>
    <w:p w:rsidR="00060299" w:rsidRDefault="00060299" w:rsidP="004135FA">
      <w:pPr>
        <w:pStyle w:val="Prrafodelista"/>
        <w:spacing w:line="276" w:lineRule="auto"/>
        <w:ind w:left="851"/>
        <w:jc w:val="both"/>
        <w:rPr>
          <w:rFonts w:ascii="Arial" w:hAnsi="Arial" w:cs="Arial"/>
          <w:sz w:val="18"/>
          <w:szCs w:val="18"/>
        </w:rPr>
      </w:pPr>
      <w:r w:rsidRPr="004135FA">
        <w:rPr>
          <w:rFonts w:ascii="Arial" w:hAnsi="Arial" w:cs="Arial"/>
          <w:b/>
          <w:i/>
          <w:sz w:val="17"/>
          <w:szCs w:val="17"/>
        </w:rPr>
        <w:t>Elaborado por:</w:t>
      </w:r>
      <w:r w:rsidRPr="004135FA">
        <w:rPr>
          <w:rFonts w:ascii="Arial" w:hAnsi="Arial" w:cs="Arial"/>
          <w:sz w:val="17"/>
          <w:szCs w:val="17"/>
        </w:rPr>
        <w:t xml:space="preserve"> Katherine Loor Valeriano</w:t>
      </w:r>
    </w:p>
    <w:p w:rsidR="00060299" w:rsidRDefault="00060299" w:rsidP="004135FA">
      <w:pPr>
        <w:pStyle w:val="Prrafodelista"/>
        <w:spacing w:line="480" w:lineRule="auto"/>
        <w:ind w:left="851"/>
        <w:jc w:val="both"/>
        <w:rPr>
          <w:rFonts w:ascii="Arial" w:hAnsi="Arial" w:cs="Arial"/>
        </w:rPr>
      </w:pPr>
    </w:p>
    <w:p w:rsidR="00060299" w:rsidRDefault="00060299" w:rsidP="004135FA">
      <w:pPr>
        <w:pStyle w:val="Prrafodelista"/>
        <w:spacing w:line="480" w:lineRule="auto"/>
        <w:ind w:left="851"/>
        <w:jc w:val="both"/>
        <w:rPr>
          <w:rFonts w:ascii="Arial" w:hAnsi="Arial" w:cs="Arial"/>
        </w:rPr>
      </w:pPr>
      <w:r>
        <w:rPr>
          <w:rFonts w:ascii="Arial" w:hAnsi="Arial" w:cs="Arial"/>
        </w:rPr>
        <w:t xml:space="preserve">Pero ahora también analicemos la variable anterior por país de nacimiento, en la </w:t>
      </w:r>
      <w:r>
        <w:rPr>
          <w:rFonts w:ascii="Arial" w:hAnsi="Arial" w:cs="Arial"/>
          <w:i/>
        </w:rPr>
        <w:t>Figura 3.37</w:t>
      </w:r>
      <w:r>
        <w:rPr>
          <w:rFonts w:ascii="Arial" w:hAnsi="Arial" w:cs="Arial"/>
        </w:rPr>
        <w:t xml:space="preserve">, podemos notar que la mayoría de los extranjeros viven en casas arrendadas, otro gran porcentaje residen en viviendas propias y totalmente pagadas. Además, de los colombianos que residen en Ecuador, el 22.57% de las viviendas en las cuales residen son propias y totalmente pagadas, el 4.78% son propias y las están pagando, el 3.58% son regaladas, donadas o heredadas, el 10.07% son prestadas o cedidas, el 54.97% son arrendadas; y, el porcentaje restantes son por servicio o anticresis. </w:t>
      </w:r>
    </w:p>
    <w:p w:rsidR="00060299" w:rsidRDefault="00060299" w:rsidP="004135FA">
      <w:pPr>
        <w:pStyle w:val="Prrafodelista"/>
        <w:spacing w:line="480" w:lineRule="auto"/>
        <w:ind w:left="851"/>
        <w:jc w:val="both"/>
        <w:rPr>
          <w:rFonts w:ascii="Arial" w:hAnsi="Arial" w:cs="Arial"/>
        </w:rPr>
      </w:pPr>
    </w:p>
    <w:p w:rsidR="00060299" w:rsidRPr="00A23EE8" w:rsidRDefault="004135FA" w:rsidP="004135FA">
      <w:pPr>
        <w:pStyle w:val="Prrafodelista"/>
        <w:spacing w:line="480" w:lineRule="auto"/>
        <w:ind w:left="851"/>
        <w:jc w:val="both"/>
        <w:rPr>
          <w:rFonts w:ascii="Arial" w:hAnsi="Arial" w:cs="Arial"/>
          <w:i/>
        </w:rPr>
      </w:pPr>
      <w:r>
        <w:rPr>
          <w:rFonts w:ascii="Arial" w:hAnsi="Arial" w:cs="Arial"/>
        </w:rPr>
        <w:t>De l</w:t>
      </w:r>
      <w:r w:rsidR="00060299">
        <w:rPr>
          <w:rFonts w:ascii="Arial" w:hAnsi="Arial" w:cs="Arial"/>
        </w:rPr>
        <w:t xml:space="preserve">as viviendas en las cuales residen los peruanos, el 65.30% son arrendadas, el 13.81% son propias y totalmente pagadas, el 8.79% son prestadas o cedidas, el 3.65% son propias y las están pagando; y, el porcentaje restante son heredadas, regaladas, donadas, por servicio o </w:t>
      </w:r>
      <w:r w:rsidR="00060299">
        <w:rPr>
          <w:rFonts w:ascii="Arial" w:hAnsi="Arial" w:cs="Arial"/>
        </w:rPr>
        <w:lastRenderedPageBreak/>
        <w:t xml:space="preserve">anticresis. Y, en el caso de las viviendas de los estadounidenses, el 50.44% son arrendadas, el 32.69% son propias y totalmente pagadas, el 8.57% son propias y las están pagando, el 4.66% son prestadas o cedidas, el 2.37% son heredadas, regaladas o donadas; y, el 1.27% son por servicios o anticresis. El mismo análisis se puede realizar para las viviendas en las cuales residen los extranjeros de las otras nacionalidades que se presentan en la </w:t>
      </w:r>
      <w:r w:rsidR="00060299">
        <w:rPr>
          <w:rFonts w:ascii="Arial" w:hAnsi="Arial" w:cs="Arial"/>
          <w:i/>
        </w:rPr>
        <w:t>Figura 3.37.</w:t>
      </w:r>
    </w:p>
    <w:tbl>
      <w:tblPr>
        <w:tblStyle w:val="Tablaconcuadrcula"/>
        <w:tblW w:w="7527" w:type="dxa"/>
        <w:jc w:val="right"/>
        <w:tblInd w:w="114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27"/>
      </w:tblGrid>
      <w:tr w:rsidR="00060299" w:rsidRPr="00840530" w:rsidTr="004135FA">
        <w:trPr>
          <w:trHeight w:val="2772"/>
          <w:jc w:val="right"/>
        </w:trPr>
        <w:tc>
          <w:tcPr>
            <w:tcW w:w="7527" w:type="dxa"/>
          </w:tcPr>
          <w:p w:rsidR="00060299" w:rsidRDefault="00060299" w:rsidP="003B05B6">
            <w:pPr>
              <w:rPr>
                <w:rFonts w:ascii="Arial" w:hAnsi="Arial" w:cs="Arial"/>
                <w:b/>
                <w:sz w:val="16"/>
                <w:szCs w:val="16"/>
              </w:rPr>
            </w:pPr>
          </w:p>
          <w:p w:rsidR="00DA16D2" w:rsidRPr="00DA16D2" w:rsidRDefault="00DA16D2" w:rsidP="00DA16D2">
            <w:pPr>
              <w:pStyle w:val="Epgrafe"/>
              <w:rPr>
                <w:rFonts w:ascii="Arial" w:hAnsi="Arial" w:cs="Arial"/>
                <w:bCs w:val="0"/>
                <w:color w:val="auto"/>
                <w:sz w:val="16"/>
                <w:szCs w:val="16"/>
              </w:rPr>
            </w:pPr>
            <w:bookmarkStart w:id="493" w:name="_Toc341043436"/>
            <w:r>
              <w:rPr>
                <w:rFonts w:ascii="Arial" w:hAnsi="Arial" w:cs="Arial"/>
                <w:bCs w:val="0"/>
                <w:color w:val="auto"/>
                <w:sz w:val="16"/>
                <w:szCs w:val="16"/>
              </w:rPr>
              <w:t>Figura 3.</w:t>
            </w:r>
            <w:r w:rsidR="00990535" w:rsidRPr="00DA16D2">
              <w:rPr>
                <w:rFonts w:ascii="Arial" w:hAnsi="Arial" w:cs="Arial"/>
                <w:bCs w:val="0"/>
                <w:color w:val="auto"/>
                <w:sz w:val="16"/>
                <w:szCs w:val="16"/>
              </w:rPr>
              <w:fldChar w:fldCharType="begin"/>
            </w:r>
            <w:r w:rsidRPr="00DA16D2">
              <w:rPr>
                <w:rFonts w:ascii="Arial" w:hAnsi="Arial" w:cs="Arial"/>
                <w:bCs w:val="0"/>
                <w:color w:val="auto"/>
                <w:sz w:val="16"/>
                <w:szCs w:val="16"/>
              </w:rPr>
              <w:instrText xml:space="preserve"> SEQ Figura_3. \* ARABIC </w:instrText>
            </w:r>
            <w:r w:rsidR="00990535" w:rsidRPr="00DA16D2">
              <w:rPr>
                <w:rFonts w:ascii="Arial" w:hAnsi="Arial" w:cs="Arial"/>
                <w:bCs w:val="0"/>
                <w:color w:val="auto"/>
                <w:sz w:val="16"/>
                <w:szCs w:val="16"/>
              </w:rPr>
              <w:fldChar w:fldCharType="separate"/>
            </w:r>
            <w:r w:rsidR="00A242E0">
              <w:rPr>
                <w:rFonts w:ascii="Arial" w:hAnsi="Arial" w:cs="Arial"/>
                <w:bCs w:val="0"/>
                <w:noProof/>
                <w:color w:val="auto"/>
                <w:sz w:val="16"/>
                <w:szCs w:val="16"/>
              </w:rPr>
              <w:t>37</w:t>
            </w:r>
            <w:bookmarkEnd w:id="493"/>
            <w:r w:rsidR="00990535" w:rsidRPr="00DA16D2">
              <w:rPr>
                <w:rFonts w:ascii="Arial" w:hAnsi="Arial" w:cs="Arial"/>
                <w:bCs w:val="0"/>
                <w:color w:val="auto"/>
                <w:sz w:val="16"/>
                <w:szCs w:val="16"/>
              </w:rPr>
              <w:fldChar w:fldCharType="end"/>
            </w:r>
          </w:p>
          <w:p w:rsidR="004135FA" w:rsidRDefault="004135FA" w:rsidP="003B05B6">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Distribución condicional de pertenencia de la vivienda dado que se </w:t>
            </w:r>
          </w:p>
          <w:p w:rsidR="00060299" w:rsidRDefault="004135FA" w:rsidP="003B05B6">
            <w:pPr>
              <w:rPr>
                <w:rFonts w:ascii="Arial" w:hAnsi="Arial" w:cs="Arial"/>
                <w:i/>
                <w:sz w:val="16"/>
                <w:szCs w:val="16"/>
              </w:rPr>
            </w:pPr>
            <w:r>
              <w:rPr>
                <w:rFonts w:ascii="Arial" w:hAnsi="Arial" w:cs="Arial"/>
                <w:i/>
                <w:sz w:val="16"/>
                <w:szCs w:val="16"/>
              </w:rPr>
              <w:t>conoce el país de nacimiento del inmigrante extranjero</w:t>
            </w:r>
          </w:p>
          <w:p w:rsidR="00060299" w:rsidRPr="0078148C" w:rsidRDefault="00060299" w:rsidP="003B05B6">
            <w:pPr>
              <w:rPr>
                <w:rFonts w:ascii="Arial" w:hAnsi="Arial" w:cs="Arial"/>
                <w:i/>
                <w:sz w:val="16"/>
                <w:szCs w:val="16"/>
              </w:rPr>
            </w:pPr>
            <w:r>
              <w:rPr>
                <w:noProof/>
                <w:lang w:eastAsia="es-EC"/>
              </w:rPr>
              <w:drawing>
                <wp:inline distT="0" distB="0" distL="0" distR="0">
                  <wp:extent cx="4600575" cy="1990725"/>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bl>
    <w:p w:rsidR="00060299" w:rsidRPr="004135FA" w:rsidRDefault="00060299" w:rsidP="004135FA">
      <w:pPr>
        <w:pStyle w:val="Prrafodelista"/>
        <w:spacing w:line="276" w:lineRule="auto"/>
        <w:ind w:left="851"/>
        <w:jc w:val="both"/>
        <w:rPr>
          <w:rFonts w:ascii="Arial" w:hAnsi="Arial" w:cs="Arial"/>
          <w:sz w:val="17"/>
          <w:szCs w:val="17"/>
        </w:rPr>
      </w:pPr>
    </w:p>
    <w:p w:rsidR="00060299" w:rsidRPr="004135FA" w:rsidRDefault="00060299" w:rsidP="004135FA">
      <w:pPr>
        <w:pStyle w:val="Prrafodelista"/>
        <w:spacing w:line="276" w:lineRule="auto"/>
        <w:ind w:left="851"/>
        <w:jc w:val="both"/>
        <w:rPr>
          <w:rFonts w:ascii="Arial" w:hAnsi="Arial" w:cs="Arial"/>
          <w:sz w:val="17"/>
          <w:szCs w:val="17"/>
        </w:rPr>
      </w:pPr>
      <w:r w:rsidRPr="004135FA">
        <w:rPr>
          <w:rFonts w:ascii="Arial" w:hAnsi="Arial" w:cs="Arial"/>
          <w:b/>
          <w:i/>
          <w:sz w:val="17"/>
          <w:szCs w:val="17"/>
        </w:rPr>
        <w:t>Fuente:</w:t>
      </w:r>
      <w:r w:rsidRPr="004135FA">
        <w:rPr>
          <w:rFonts w:ascii="Arial" w:hAnsi="Arial" w:cs="Arial"/>
          <w:sz w:val="17"/>
          <w:szCs w:val="17"/>
        </w:rPr>
        <w:t xml:space="preserve"> </w:t>
      </w:r>
      <w:r w:rsidRPr="004135FA">
        <w:rPr>
          <w:rFonts w:ascii="Arial" w:hAnsi="Arial" w:cs="Arial"/>
          <w:b/>
          <w:sz w:val="17"/>
          <w:szCs w:val="17"/>
        </w:rPr>
        <w:t xml:space="preserve">INEC </w:t>
      </w:r>
      <w:r w:rsidRPr="004135FA">
        <w:rPr>
          <w:rFonts w:ascii="Arial" w:hAnsi="Arial" w:cs="Arial"/>
          <w:sz w:val="17"/>
          <w:szCs w:val="17"/>
        </w:rPr>
        <w:t>(2010), Base de Datos del VII Censo de Población y VI de Vivienda.</w:t>
      </w:r>
    </w:p>
    <w:p w:rsidR="00060299" w:rsidRPr="004135FA" w:rsidRDefault="00060299" w:rsidP="004135FA">
      <w:pPr>
        <w:pStyle w:val="Prrafodelista"/>
        <w:spacing w:line="276" w:lineRule="auto"/>
        <w:ind w:left="851"/>
        <w:jc w:val="both"/>
        <w:rPr>
          <w:rFonts w:ascii="Arial" w:hAnsi="Arial" w:cs="Arial"/>
          <w:sz w:val="17"/>
          <w:szCs w:val="17"/>
        </w:rPr>
      </w:pPr>
      <w:r w:rsidRPr="004135FA">
        <w:rPr>
          <w:rFonts w:ascii="Arial" w:hAnsi="Arial" w:cs="Arial"/>
          <w:b/>
          <w:i/>
          <w:sz w:val="17"/>
          <w:szCs w:val="17"/>
        </w:rPr>
        <w:t>Elaborado por:</w:t>
      </w:r>
      <w:r w:rsidRPr="004135FA">
        <w:rPr>
          <w:rFonts w:ascii="Arial" w:hAnsi="Arial" w:cs="Arial"/>
          <w:sz w:val="17"/>
          <w:szCs w:val="17"/>
        </w:rPr>
        <w:t xml:space="preserve"> Katherine Loor Valeriano</w:t>
      </w:r>
    </w:p>
    <w:p w:rsidR="00060299" w:rsidRDefault="00060299" w:rsidP="00060299">
      <w:pPr>
        <w:pStyle w:val="Prrafodelista"/>
        <w:spacing w:line="480" w:lineRule="auto"/>
        <w:ind w:left="567"/>
        <w:jc w:val="both"/>
        <w:rPr>
          <w:rFonts w:ascii="Arial" w:hAnsi="Arial" w:cs="Arial"/>
        </w:rPr>
      </w:pPr>
    </w:p>
    <w:p w:rsidR="00060299" w:rsidRDefault="00060299" w:rsidP="004135FA">
      <w:pPr>
        <w:pStyle w:val="TesisTitulo1"/>
        <w:ind w:left="993" w:hanging="709"/>
      </w:pPr>
      <w:bookmarkStart w:id="494" w:name="_Toc335850614"/>
      <w:bookmarkStart w:id="495" w:name="_Toc341040660"/>
      <w:r>
        <w:t>Número de personas por dormitorio</w:t>
      </w:r>
      <w:bookmarkEnd w:id="494"/>
      <w:bookmarkEnd w:id="495"/>
      <w:r>
        <w:t xml:space="preserve">  </w:t>
      </w:r>
    </w:p>
    <w:p w:rsidR="00060299" w:rsidRDefault="00060299" w:rsidP="004135FA">
      <w:pPr>
        <w:pStyle w:val="Prrafodelista"/>
        <w:spacing w:line="480" w:lineRule="auto"/>
        <w:ind w:left="851"/>
        <w:jc w:val="both"/>
        <w:rPr>
          <w:rFonts w:ascii="Arial" w:hAnsi="Arial" w:cs="Arial"/>
          <w:i/>
        </w:rPr>
      </w:pPr>
      <w:r>
        <w:rPr>
          <w:rFonts w:ascii="Arial" w:hAnsi="Arial" w:cs="Arial"/>
        </w:rPr>
        <w:t xml:space="preserve">El 3.05% de las viviendas en las cuales viven los extranjeros residentes en el Ecuador no tienen dormitorios, en el 57.32% de las viviendas hay menos de 2 personas por dormitorios, en el 29.17% de las casas corresponden entre 2 y tres personas por dormitorio, en cambio en el 8.28% y 2.16% hay entre 4 y 5 personas y más de 5 personas por dormitorio respectivamente. Para más detalles </w:t>
      </w:r>
      <w:r>
        <w:rPr>
          <w:rFonts w:ascii="Arial" w:hAnsi="Arial" w:cs="Arial"/>
          <w:i/>
        </w:rPr>
        <w:t>véase Figura 3.38.</w:t>
      </w:r>
    </w:p>
    <w:tbl>
      <w:tblPr>
        <w:tblStyle w:val="Tablaconcuadrcula"/>
        <w:tblW w:w="7527" w:type="dxa"/>
        <w:jc w:val="right"/>
        <w:tblInd w:w="114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27"/>
      </w:tblGrid>
      <w:tr w:rsidR="00060299" w:rsidRPr="00840530" w:rsidTr="004135FA">
        <w:trPr>
          <w:trHeight w:val="2772"/>
          <w:jc w:val="right"/>
        </w:trPr>
        <w:tc>
          <w:tcPr>
            <w:tcW w:w="7527" w:type="dxa"/>
          </w:tcPr>
          <w:p w:rsidR="00060299" w:rsidRDefault="00060299" w:rsidP="003B05B6">
            <w:pPr>
              <w:rPr>
                <w:rFonts w:ascii="Arial" w:hAnsi="Arial" w:cs="Arial"/>
                <w:b/>
                <w:sz w:val="16"/>
                <w:szCs w:val="16"/>
              </w:rPr>
            </w:pPr>
          </w:p>
          <w:p w:rsidR="00060299" w:rsidRPr="00840530" w:rsidRDefault="00DA16D2" w:rsidP="00DA16D2">
            <w:pPr>
              <w:keepNext/>
              <w:rPr>
                <w:rFonts w:ascii="Arial" w:hAnsi="Arial" w:cs="Arial"/>
                <w:b/>
                <w:sz w:val="16"/>
                <w:szCs w:val="16"/>
              </w:rPr>
            </w:pPr>
            <w:bookmarkStart w:id="496" w:name="_Toc341043437"/>
            <w:r w:rsidRPr="00DA16D2">
              <w:rPr>
                <w:rFonts w:ascii="Arial" w:hAnsi="Arial" w:cs="Arial"/>
                <w:b/>
                <w:sz w:val="16"/>
                <w:szCs w:val="16"/>
              </w:rPr>
              <w:t>Figura 3.</w:t>
            </w:r>
            <w:r w:rsidR="00990535" w:rsidRPr="00DA16D2">
              <w:rPr>
                <w:rFonts w:ascii="Arial" w:hAnsi="Arial" w:cs="Arial"/>
                <w:b/>
                <w:sz w:val="16"/>
                <w:szCs w:val="16"/>
              </w:rPr>
              <w:fldChar w:fldCharType="begin"/>
            </w:r>
            <w:r w:rsidRPr="00DA16D2">
              <w:rPr>
                <w:rFonts w:ascii="Arial" w:hAnsi="Arial" w:cs="Arial"/>
                <w:b/>
                <w:sz w:val="16"/>
                <w:szCs w:val="16"/>
              </w:rPr>
              <w:instrText xml:space="preserve"> SEQ Figura_3. \* ARABIC </w:instrText>
            </w:r>
            <w:r w:rsidR="00990535" w:rsidRPr="00DA16D2">
              <w:rPr>
                <w:rFonts w:ascii="Arial" w:hAnsi="Arial" w:cs="Arial"/>
                <w:b/>
                <w:sz w:val="16"/>
                <w:szCs w:val="16"/>
              </w:rPr>
              <w:fldChar w:fldCharType="separate"/>
            </w:r>
            <w:r w:rsidR="00A242E0">
              <w:rPr>
                <w:rFonts w:ascii="Arial" w:hAnsi="Arial" w:cs="Arial"/>
                <w:b/>
                <w:noProof/>
                <w:sz w:val="16"/>
                <w:szCs w:val="16"/>
              </w:rPr>
              <w:t>38</w:t>
            </w:r>
            <w:bookmarkEnd w:id="496"/>
            <w:r w:rsidR="00990535" w:rsidRPr="00DA16D2">
              <w:rPr>
                <w:rFonts w:ascii="Arial" w:hAnsi="Arial" w:cs="Arial"/>
                <w:b/>
                <w:sz w:val="16"/>
                <w:szCs w:val="16"/>
              </w:rPr>
              <w:fldChar w:fldCharType="end"/>
            </w:r>
          </w:p>
          <w:p w:rsidR="004135FA" w:rsidRDefault="004135FA" w:rsidP="003B05B6">
            <w:pPr>
              <w:rPr>
                <w:rFonts w:ascii="Arial" w:hAnsi="Arial" w:cs="Arial"/>
                <w:i/>
                <w:sz w:val="16"/>
                <w:szCs w:val="16"/>
              </w:rPr>
            </w:pPr>
            <w:r>
              <w:rPr>
                <w:rFonts w:ascii="Arial" w:hAnsi="Arial" w:cs="Arial"/>
                <w:b/>
                <w:i/>
                <w:sz w:val="16"/>
                <w:szCs w:val="16"/>
              </w:rPr>
              <w:t xml:space="preserve">Ecuador 2010: </w:t>
            </w:r>
            <w:r w:rsidR="00060299">
              <w:rPr>
                <w:rFonts w:ascii="Arial" w:hAnsi="Arial" w:cs="Arial"/>
                <w:i/>
                <w:sz w:val="16"/>
                <w:szCs w:val="16"/>
              </w:rPr>
              <w:t>Frecuencia Relativa del Número de personas por dormitorio</w:t>
            </w:r>
            <w:r>
              <w:rPr>
                <w:rFonts w:ascii="Arial" w:hAnsi="Arial" w:cs="Arial"/>
                <w:i/>
                <w:sz w:val="16"/>
                <w:szCs w:val="16"/>
              </w:rPr>
              <w:t xml:space="preserve"> en </w:t>
            </w:r>
          </w:p>
          <w:p w:rsidR="00060299" w:rsidRDefault="004135FA" w:rsidP="003B05B6">
            <w:pPr>
              <w:rPr>
                <w:rFonts w:ascii="Arial" w:hAnsi="Arial" w:cs="Arial"/>
                <w:i/>
                <w:sz w:val="16"/>
                <w:szCs w:val="16"/>
              </w:rPr>
            </w:pPr>
            <w:r>
              <w:rPr>
                <w:rFonts w:ascii="Arial" w:hAnsi="Arial" w:cs="Arial"/>
                <w:i/>
                <w:sz w:val="16"/>
                <w:szCs w:val="16"/>
              </w:rPr>
              <w:t>la vivienda donde reside al menos un extranjero</w:t>
            </w:r>
          </w:p>
          <w:p w:rsidR="00060299" w:rsidRPr="0078148C" w:rsidRDefault="00060299" w:rsidP="003B05B6">
            <w:pPr>
              <w:rPr>
                <w:rFonts w:ascii="Arial" w:hAnsi="Arial" w:cs="Arial"/>
                <w:i/>
                <w:sz w:val="16"/>
                <w:szCs w:val="16"/>
              </w:rPr>
            </w:pPr>
            <w:r>
              <w:rPr>
                <w:noProof/>
                <w:lang w:eastAsia="es-EC"/>
              </w:rPr>
              <w:drawing>
                <wp:inline distT="0" distB="0" distL="0" distR="0">
                  <wp:extent cx="4438651" cy="219075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bl>
    <w:p w:rsidR="00060299" w:rsidRPr="004135FA" w:rsidRDefault="00060299" w:rsidP="004135FA">
      <w:pPr>
        <w:pStyle w:val="Prrafodelista"/>
        <w:spacing w:line="276" w:lineRule="auto"/>
        <w:ind w:left="851"/>
        <w:jc w:val="both"/>
        <w:rPr>
          <w:rFonts w:ascii="Arial" w:hAnsi="Arial" w:cs="Arial"/>
          <w:sz w:val="17"/>
          <w:szCs w:val="17"/>
        </w:rPr>
      </w:pPr>
    </w:p>
    <w:p w:rsidR="00060299" w:rsidRPr="004135FA" w:rsidRDefault="00060299" w:rsidP="004135FA">
      <w:pPr>
        <w:pStyle w:val="Prrafodelista"/>
        <w:spacing w:line="276" w:lineRule="auto"/>
        <w:ind w:left="851"/>
        <w:jc w:val="both"/>
        <w:rPr>
          <w:rFonts w:ascii="Arial" w:hAnsi="Arial" w:cs="Arial"/>
          <w:sz w:val="17"/>
          <w:szCs w:val="17"/>
        </w:rPr>
      </w:pPr>
      <w:r w:rsidRPr="004135FA">
        <w:rPr>
          <w:rFonts w:ascii="Arial" w:hAnsi="Arial" w:cs="Arial"/>
          <w:b/>
          <w:i/>
          <w:sz w:val="17"/>
          <w:szCs w:val="17"/>
        </w:rPr>
        <w:t>Fuente:</w:t>
      </w:r>
      <w:r w:rsidRPr="004135FA">
        <w:rPr>
          <w:rFonts w:ascii="Arial" w:hAnsi="Arial" w:cs="Arial"/>
          <w:sz w:val="17"/>
          <w:szCs w:val="17"/>
        </w:rPr>
        <w:t xml:space="preserve"> </w:t>
      </w:r>
      <w:r w:rsidRPr="004135FA">
        <w:rPr>
          <w:rFonts w:ascii="Arial" w:hAnsi="Arial" w:cs="Arial"/>
          <w:b/>
          <w:sz w:val="17"/>
          <w:szCs w:val="17"/>
        </w:rPr>
        <w:t xml:space="preserve">INEC </w:t>
      </w:r>
      <w:r w:rsidRPr="004135FA">
        <w:rPr>
          <w:rFonts w:ascii="Arial" w:hAnsi="Arial" w:cs="Arial"/>
          <w:sz w:val="17"/>
          <w:szCs w:val="17"/>
        </w:rPr>
        <w:t>(2010), Base de Datos del VII Censo de Población y VI de Vivienda.</w:t>
      </w:r>
    </w:p>
    <w:p w:rsidR="00060299" w:rsidRPr="004135FA" w:rsidRDefault="00060299" w:rsidP="002F0F53">
      <w:pPr>
        <w:pStyle w:val="Prrafodelista"/>
        <w:tabs>
          <w:tab w:val="left" w:pos="4253"/>
        </w:tabs>
        <w:spacing w:line="276" w:lineRule="auto"/>
        <w:ind w:left="851"/>
        <w:jc w:val="both"/>
        <w:rPr>
          <w:rFonts w:ascii="Arial" w:hAnsi="Arial" w:cs="Arial"/>
          <w:sz w:val="17"/>
          <w:szCs w:val="17"/>
        </w:rPr>
      </w:pPr>
      <w:r w:rsidRPr="004135FA">
        <w:rPr>
          <w:rFonts w:ascii="Arial" w:hAnsi="Arial" w:cs="Arial"/>
          <w:b/>
          <w:i/>
          <w:sz w:val="17"/>
          <w:szCs w:val="17"/>
        </w:rPr>
        <w:t>Elaborado por:</w:t>
      </w:r>
      <w:r w:rsidRPr="004135FA">
        <w:rPr>
          <w:rFonts w:ascii="Arial" w:hAnsi="Arial" w:cs="Arial"/>
          <w:sz w:val="17"/>
          <w:szCs w:val="17"/>
        </w:rPr>
        <w:t xml:space="preserve"> Katherine Loor Valeriano</w:t>
      </w:r>
    </w:p>
    <w:p w:rsidR="00060299" w:rsidRDefault="00060299" w:rsidP="004135FA">
      <w:pPr>
        <w:pStyle w:val="Prrafodelista"/>
        <w:spacing w:line="480" w:lineRule="auto"/>
        <w:ind w:left="851"/>
        <w:jc w:val="both"/>
        <w:rPr>
          <w:rFonts w:ascii="Arial" w:hAnsi="Arial" w:cs="Arial"/>
        </w:rPr>
      </w:pPr>
    </w:p>
    <w:p w:rsidR="00060299" w:rsidRDefault="00060299" w:rsidP="004135FA">
      <w:pPr>
        <w:pStyle w:val="Prrafodelista"/>
        <w:spacing w:line="480" w:lineRule="auto"/>
        <w:ind w:left="851"/>
        <w:jc w:val="both"/>
        <w:rPr>
          <w:rFonts w:ascii="Arial" w:hAnsi="Arial" w:cs="Arial"/>
        </w:rPr>
      </w:pPr>
      <w:r>
        <w:rPr>
          <w:rFonts w:ascii="Arial" w:hAnsi="Arial" w:cs="Arial"/>
        </w:rPr>
        <w:t xml:space="preserve">Ahora consideremos la variable anterior pero por nacionalidad del inmigrante extranjero residente en el Ecuador; de donde obtenemos que de los colombianos que viven en el país, el 3.42% de las viviendas en las que ellos residen no tienen dormitorio alguno, en el 48.86% de las casas hay menos de 2 personas por dormitorio, en el 33.40% hay entre 2 y 3 personas por dormitorio, en el 11.19% hay entre 4 y 5 personas por dormitorio; y, en el 3.14% de las viviendas corresponden más de 5 personas por dormitorio. </w:t>
      </w:r>
    </w:p>
    <w:p w:rsidR="00060299" w:rsidRDefault="00060299" w:rsidP="004135FA">
      <w:pPr>
        <w:pStyle w:val="Prrafodelista"/>
        <w:spacing w:line="480" w:lineRule="auto"/>
        <w:ind w:left="851"/>
        <w:jc w:val="both"/>
        <w:rPr>
          <w:rFonts w:ascii="Arial" w:hAnsi="Arial" w:cs="Arial"/>
        </w:rPr>
      </w:pPr>
    </w:p>
    <w:p w:rsidR="00060299" w:rsidRDefault="004135FA" w:rsidP="004135FA">
      <w:pPr>
        <w:pStyle w:val="Prrafodelista"/>
        <w:spacing w:line="480" w:lineRule="auto"/>
        <w:ind w:left="851"/>
        <w:jc w:val="both"/>
        <w:rPr>
          <w:rFonts w:ascii="Arial" w:hAnsi="Arial" w:cs="Arial"/>
          <w:i/>
        </w:rPr>
      </w:pPr>
      <w:r>
        <w:rPr>
          <w:rFonts w:ascii="Arial" w:hAnsi="Arial" w:cs="Arial"/>
        </w:rPr>
        <w:t>D</w:t>
      </w:r>
      <w:r w:rsidR="00060299">
        <w:rPr>
          <w:rFonts w:ascii="Arial" w:hAnsi="Arial" w:cs="Arial"/>
        </w:rPr>
        <w:t xml:space="preserve">e los españoles residentes en el país, en el 79.68% de las viviendas en las cuales ellos residen hay menos de dos personas por dormitorio, en el 17.24% hay entre 2 y 3 personas por dormitorio, en el 1.77% de las casas hay entre 4 y 5 personas por dormitorio; y, en el 0.19% y 1.12% de las viviendas corresponden más de 5 personas por dormitorio o son viviendas que no cuentan con un cuarto destinado para dormir. Además, de los </w:t>
      </w:r>
      <w:r w:rsidR="00060299">
        <w:rPr>
          <w:rFonts w:ascii="Arial" w:hAnsi="Arial" w:cs="Arial"/>
        </w:rPr>
        <w:lastRenderedPageBreak/>
        <w:t xml:space="preserve">cubanos residentes en Ecuador, el 1.44% de las viviendas en las cuales ellos viven no tienen dormitorio alguno, el 64.01% en casas donde corresponden menos de 2 personas por dormitorio, en el 32.18% hay entre 2 y 3 personas por dormitorio; y, en el 2.27% y 0.11% de las casas hay entre 4 y 5 y más de 5 personas por dormitorio respectivamente. </w:t>
      </w:r>
      <w:r w:rsidR="00060299">
        <w:rPr>
          <w:rFonts w:ascii="Arial" w:hAnsi="Arial" w:cs="Arial"/>
          <w:i/>
        </w:rPr>
        <w:t>Véase Figura 3.39.</w:t>
      </w:r>
    </w:p>
    <w:tbl>
      <w:tblPr>
        <w:tblStyle w:val="Tablaconcuadrcula"/>
        <w:tblW w:w="7527" w:type="dxa"/>
        <w:jc w:val="right"/>
        <w:tblInd w:w="114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27"/>
      </w:tblGrid>
      <w:tr w:rsidR="00060299" w:rsidRPr="00840530" w:rsidTr="004135FA">
        <w:trPr>
          <w:trHeight w:val="2772"/>
          <w:jc w:val="right"/>
        </w:trPr>
        <w:tc>
          <w:tcPr>
            <w:tcW w:w="7527" w:type="dxa"/>
          </w:tcPr>
          <w:p w:rsidR="00060299" w:rsidRDefault="00060299" w:rsidP="003B05B6">
            <w:pPr>
              <w:rPr>
                <w:rFonts w:ascii="Arial" w:hAnsi="Arial" w:cs="Arial"/>
                <w:b/>
                <w:sz w:val="16"/>
                <w:szCs w:val="16"/>
              </w:rPr>
            </w:pPr>
          </w:p>
          <w:p w:rsidR="00DA16D2" w:rsidRPr="00DA16D2" w:rsidRDefault="00DA16D2" w:rsidP="00DA16D2">
            <w:pPr>
              <w:pStyle w:val="Epgrafe"/>
              <w:rPr>
                <w:rFonts w:ascii="Arial" w:hAnsi="Arial" w:cs="Arial"/>
                <w:bCs w:val="0"/>
                <w:color w:val="auto"/>
                <w:sz w:val="16"/>
                <w:szCs w:val="16"/>
              </w:rPr>
            </w:pPr>
            <w:bookmarkStart w:id="497" w:name="_Toc341043438"/>
            <w:r w:rsidRPr="00DA16D2">
              <w:rPr>
                <w:rFonts w:ascii="Arial" w:hAnsi="Arial" w:cs="Arial"/>
                <w:bCs w:val="0"/>
                <w:color w:val="auto"/>
                <w:sz w:val="16"/>
                <w:szCs w:val="16"/>
              </w:rPr>
              <w:t>Figura 3.</w:t>
            </w:r>
            <w:r w:rsidR="00990535" w:rsidRPr="00DA16D2">
              <w:rPr>
                <w:rFonts w:ascii="Arial" w:hAnsi="Arial" w:cs="Arial"/>
                <w:bCs w:val="0"/>
                <w:color w:val="auto"/>
                <w:sz w:val="16"/>
                <w:szCs w:val="16"/>
              </w:rPr>
              <w:fldChar w:fldCharType="begin"/>
            </w:r>
            <w:r w:rsidRPr="00DA16D2">
              <w:rPr>
                <w:rFonts w:ascii="Arial" w:hAnsi="Arial" w:cs="Arial"/>
                <w:bCs w:val="0"/>
                <w:color w:val="auto"/>
                <w:sz w:val="16"/>
                <w:szCs w:val="16"/>
              </w:rPr>
              <w:instrText xml:space="preserve"> SEQ Figura_3. \* ARABIC </w:instrText>
            </w:r>
            <w:r w:rsidR="00990535" w:rsidRPr="00DA16D2">
              <w:rPr>
                <w:rFonts w:ascii="Arial" w:hAnsi="Arial" w:cs="Arial"/>
                <w:bCs w:val="0"/>
                <w:color w:val="auto"/>
                <w:sz w:val="16"/>
                <w:szCs w:val="16"/>
              </w:rPr>
              <w:fldChar w:fldCharType="separate"/>
            </w:r>
            <w:r w:rsidR="00A242E0">
              <w:rPr>
                <w:rFonts w:ascii="Arial" w:hAnsi="Arial" w:cs="Arial"/>
                <w:bCs w:val="0"/>
                <w:noProof/>
                <w:color w:val="auto"/>
                <w:sz w:val="16"/>
                <w:szCs w:val="16"/>
              </w:rPr>
              <w:t>39</w:t>
            </w:r>
            <w:bookmarkEnd w:id="497"/>
            <w:r w:rsidR="00990535" w:rsidRPr="00DA16D2">
              <w:rPr>
                <w:rFonts w:ascii="Arial" w:hAnsi="Arial" w:cs="Arial"/>
                <w:bCs w:val="0"/>
                <w:color w:val="auto"/>
                <w:sz w:val="16"/>
                <w:szCs w:val="16"/>
              </w:rPr>
              <w:fldChar w:fldCharType="end"/>
            </w:r>
          </w:p>
          <w:p w:rsidR="004135FA" w:rsidRDefault="004135FA" w:rsidP="003B05B6">
            <w:pPr>
              <w:rPr>
                <w:rFonts w:ascii="Arial" w:hAnsi="Arial" w:cs="Arial"/>
                <w:i/>
                <w:sz w:val="16"/>
                <w:szCs w:val="16"/>
              </w:rPr>
            </w:pPr>
            <w:r>
              <w:rPr>
                <w:rFonts w:ascii="Arial" w:hAnsi="Arial" w:cs="Arial"/>
                <w:b/>
                <w:i/>
                <w:sz w:val="16"/>
                <w:szCs w:val="16"/>
              </w:rPr>
              <w:t xml:space="preserve">Ecuador 2010: </w:t>
            </w:r>
            <w:r w:rsidR="002F0F53">
              <w:rPr>
                <w:rFonts w:ascii="Arial" w:hAnsi="Arial" w:cs="Arial"/>
                <w:i/>
                <w:sz w:val="16"/>
                <w:szCs w:val="16"/>
              </w:rPr>
              <w:t>Distribución condicional</w:t>
            </w:r>
            <w:r w:rsidR="00060299">
              <w:rPr>
                <w:rFonts w:ascii="Arial" w:hAnsi="Arial" w:cs="Arial"/>
                <w:i/>
                <w:sz w:val="16"/>
                <w:szCs w:val="16"/>
              </w:rPr>
              <w:t xml:space="preserve"> del Número de personas por dormitorio </w:t>
            </w:r>
            <w:r>
              <w:rPr>
                <w:rFonts w:ascii="Arial" w:hAnsi="Arial" w:cs="Arial"/>
                <w:i/>
                <w:sz w:val="16"/>
                <w:szCs w:val="16"/>
              </w:rPr>
              <w:t xml:space="preserve">en la </w:t>
            </w:r>
          </w:p>
          <w:p w:rsidR="00060299" w:rsidRDefault="004135FA" w:rsidP="003B05B6">
            <w:pPr>
              <w:rPr>
                <w:rFonts w:ascii="Arial" w:hAnsi="Arial" w:cs="Arial"/>
                <w:i/>
                <w:sz w:val="16"/>
                <w:szCs w:val="16"/>
              </w:rPr>
            </w:pPr>
            <w:r>
              <w:rPr>
                <w:rFonts w:ascii="Arial" w:hAnsi="Arial" w:cs="Arial"/>
                <w:i/>
                <w:sz w:val="16"/>
                <w:szCs w:val="16"/>
              </w:rPr>
              <w:t>vivienda donde reside al menos un extranjero</w:t>
            </w:r>
            <w:r w:rsidR="00447019">
              <w:rPr>
                <w:rFonts w:ascii="Arial" w:hAnsi="Arial" w:cs="Arial"/>
                <w:i/>
                <w:sz w:val="16"/>
                <w:szCs w:val="16"/>
              </w:rPr>
              <w:t xml:space="preserve"> dado que se conoce el país de nacimiento</w:t>
            </w:r>
          </w:p>
          <w:p w:rsidR="00060299" w:rsidRPr="0078148C" w:rsidRDefault="00060299" w:rsidP="003B05B6">
            <w:pPr>
              <w:rPr>
                <w:rFonts w:ascii="Arial" w:hAnsi="Arial" w:cs="Arial"/>
                <w:i/>
                <w:sz w:val="16"/>
                <w:szCs w:val="16"/>
              </w:rPr>
            </w:pPr>
            <w:r>
              <w:rPr>
                <w:noProof/>
                <w:lang w:eastAsia="es-EC"/>
              </w:rPr>
              <w:drawing>
                <wp:inline distT="0" distB="0" distL="0" distR="0">
                  <wp:extent cx="4476750" cy="1819275"/>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rsidR="00060299" w:rsidRPr="004135FA" w:rsidRDefault="00060299" w:rsidP="004135FA">
      <w:pPr>
        <w:pStyle w:val="Prrafodelista"/>
        <w:spacing w:line="276" w:lineRule="auto"/>
        <w:ind w:left="851"/>
        <w:jc w:val="both"/>
        <w:rPr>
          <w:rFonts w:ascii="Arial" w:hAnsi="Arial" w:cs="Arial"/>
          <w:sz w:val="17"/>
          <w:szCs w:val="17"/>
        </w:rPr>
      </w:pPr>
    </w:p>
    <w:p w:rsidR="00060299" w:rsidRPr="004135FA" w:rsidRDefault="00060299" w:rsidP="004135FA">
      <w:pPr>
        <w:pStyle w:val="Prrafodelista"/>
        <w:spacing w:line="276" w:lineRule="auto"/>
        <w:ind w:left="851"/>
        <w:jc w:val="both"/>
        <w:rPr>
          <w:rFonts w:ascii="Arial" w:hAnsi="Arial" w:cs="Arial"/>
          <w:sz w:val="17"/>
          <w:szCs w:val="17"/>
        </w:rPr>
      </w:pPr>
      <w:r w:rsidRPr="004135FA">
        <w:rPr>
          <w:rFonts w:ascii="Arial" w:hAnsi="Arial" w:cs="Arial"/>
          <w:b/>
          <w:i/>
          <w:sz w:val="17"/>
          <w:szCs w:val="17"/>
        </w:rPr>
        <w:t>Fuente:</w:t>
      </w:r>
      <w:r w:rsidRPr="004135FA">
        <w:rPr>
          <w:rFonts w:ascii="Arial" w:hAnsi="Arial" w:cs="Arial"/>
          <w:sz w:val="17"/>
          <w:szCs w:val="17"/>
        </w:rPr>
        <w:t xml:space="preserve"> </w:t>
      </w:r>
      <w:r w:rsidRPr="004135FA">
        <w:rPr>
          <w:rFonts w:ascii="Arial" w:hAnsi="Arial" w:cs="Arial"/>
          <w:b/>
          <w:sz w:val="17"/>
          <w:szCs w:val="17"/>
        </w:rPr>
        <w:t xml:space="preserve">INEC </w:t>
      </w:r>
      <w:r w:rsidRPr="004135FA">
        <w:rPr>
          <w:rFonts w:ascii="Arial" w:hAnsi="Arial" w:cs="Arial"/>
          <w:sz w:val="17"/>
          <w:szCs w:val="17"/>
        </w:rPr>
        <w:t>(2010), Base de Datos del VII Censo de Población y VI de Vivienda.</w:t>
      </w:r>
    </w:p>
    <w:p w:rsidR="00060299" w:rsidRDefault="00060299" w:rsidP="004135FA">
      <w:pPr>
        <w:pStyle w:val="Prrafodelista"/>
        <w:spacing w:line="276" w:lineRule="auto"/>
        <w:ind w:left="851"/>
        <w:jc w:val="both"/>
        <w:rPr>
          <w:rFonts w:ascii="Arial" w:hAnsi="Arial" w:cs="Arial"/>
          <w:sz w:val="18"/>
          <w:szCs w:val="18"/>
        </w:rPr>
      </w:pPr>
      <w:r w:rsidRPr="004135FA">
        <w:rPr>
          <w:rFonts w:ascii="Arial" w:hAnsi="Arial" w:cs="Arial"/>
          <w:b/>
          <w:i/>
          <w:sz w:val="17"/>
          <w:szCs w:val="17"/>
        </w:rPr>
        <w:t>Elaborado por:</w:t>
      </w:r>
      <w:r w:rsidRPr="004135FA">
        <w:rPr>
          <w:rFonts w:ascii="Arial" w:hAnsi="Arial" w:cs="Arial"/>
          <w:sz w:val="17"/>
          <w:szCs w:val="17"/>
        </w:rPr>
        <w:t xml:space="preserve"> Katherine Loor Valeriano</w:t>
      </w:r>
    </w:p>
    <w:p w:rsidR="00060299" w:rsidRDefault="00060299" w:rsidP="00060299">
      <w:pPr>
        <w:pStyle w:val="Prrafodelista"/>
        <w:spacing w:line="480" w:lineRule="auto"/>
        <w:ind w:left="567"/>
        <w:jc w:val="both"/>
        <w:rPr>
          <w:rFonts w:ascii="Arial" w:hAnsi="Arial" w:cs="Arial"/>
        </w:rPr>
      </w:pPr>
    </w:p>
    <w:p w:rsidR="00F05BF8" w:rsidRDefault="00F05BF8" w:rsidP="0030662D">
      <w:pPr>
        <w:spacing w:line="480" w:lineRule="auto"/>
        <w:ind w:left="0"/>
        <w:jc w:val="both"/>
        <w:rPr>
          <w:rFonts w:ascii="Arial" w:hAnsi="Arial" w:cs="Arial"/>
        </w:rPr>
        <w:sectPr w:rsidR="00F05BF8" w:rsidSect="00351EAD">
          <w:pgSz w:w="11907" w:h="16839" w:code="9"/>
          <w:pgMar w:top="2268" w:right="1361" w:bottom="2268" w:left="2268" w:header="708" w:footer="708" w:gutter="0"/>
          <w:cols w:space="708"/>
          <w:docGrid w:linePitch="360"/>
        </w:sectPr>
      </w:pPr>
    </w:p>
    <w:p w:rsidR="00006516" w:rsidRPr="00455F4F" w:rsidRDefault="00006516" w:rsidP="00006516">
      <w:pPr>
        <w:spacing w:line="480" w:lineRule="auto"/>
        <w:rPr>
          <w:rFonts w:ascii="Arial" w:hAnsi="Arial" w:cs="Arial"/>
        </w:rPr>
      </w:pPr>
    </w:p>
    <w:p w:rsidR="00006516" w:rsidRPr="00455F4F" w:rsidRDefault="00006516" w:rsidP="00006516">
      <w:pPr>
        <w:spacing w:line="480" w:lineRule="auto"/>
        <w:rPr>
          <w:rFonts w:ascii="Arial" w:hAnsi="Arial" w:cs="Arial"/>
        </w:rPr>
      </w:pPr>
    </w:p>
    <w:p w:rsidR="00006516" w:rsidRPr="00455F4F" w:rsidRDefault="00006516" w:rsidP="00006516">
      <w:pPr>
        <w:spacing w:line="480" w:lineRule="auto"/>
        <w:rPr>
          <w:rFonts w:ascii="Arial" w:hAnsi="Arial" w:cs="Arial"/>
        </w:rPr>
      </w:pPr>
    </w:p>
    <w:p w:rsidR="00006516" w:rsidRPr="00455F4F" w:rsidRDefault="00006516" w:rsidP="00006516">
      <w:pPr>
        <w:spacing w:line="480" w:lineRule="auto"/>
        <w:rPr>
          <w:rFonts w:ascii="Arial" w:hAnsi="Arial" w:cs="Arial"/>
        </w:rPr>
      </w:pPr>
    </w:p>
    <w:p w:rsidR="00006516" w:rsidRPr="00455F4F" w:rsidRDefault="00006516" w:rsidP="00006516">
      <w:pPr>
        <w:spacing w:line="480" w:lineRule="auto"/>
        <w:rPr>
          <w:rFonts w:ascii="Arial" w:hAnsi="Arial" w:cs="Arial"/>
        </w:rPr>
      </w:pPr>
    </w:p>
    <w:p w:rsidR="00006516" w:rsidRPr="00455F4F" w:rsidRDefault="00006516" w:rsidP="00006516">
      <w:pPr>
        <w:spacing w:line="480" w:lineRule="auto"/>
        <w:rPr>
          <w:rFonts w:ascii="Arial" w:hAnsi="Arial" w:cs="Arial"/>
        </w:rPr>
      </w:pPr>
    </w:p>
    <w:p w:rsidR="00006516" w:rsidRPr="00254597" w:rsidRDefault="00A24593" w:rsidP="00006516">
      <w:pPr>
        <w:pStyle w:val="Indice1"/>
      </w:pPr>
      <w:bookmarkStart w:id="498" w:name="_Toc341040661"/>
      <w:r>
        <w:t>CAPÍTULO 4</w:t>
      </w:r>
      <w:bookmarkEnd w:id="498"/>
    </w:p>
    <w:p w:rsidR="00006516" w:rsidRDefault="00D5188B" w:rsidP="00D5188B">
      <w:pPr>
        <w:spacing w:line="480" w:lineRule="auto"/>
        <w:ind w:left="284" w:hanging="284"/>
        <w:jc w:val="both"/>
        <w:rPr>
          <w:sz w:val="32"/>
          <w:szCs w:val="32"/>
        </w:rPr>
      </w:pPr>
      <w:r>
        <w:rPr>
          <w:rFonts w:ascii="Arial" w:hAnsi="Arial" w:cs="Arial"/>
          <w:b/>
          <w:sz w:val="32"/>
          <w:szCs w:val="32"/>
        </w:rPr>
        <w:t xml:space="preserve">4. </w:t>
      </w:r>
      <w:r w:rsidR="00A62908" w:rsidRPr="00A62908">
        <w:rPr>
          <w:rFonts w:ascii="Arial" w:hAnsi="Arial" w:cs="Arial"/>
          <w:b/>
          <w:sz w:val="32"/>
          <w:szCs w:val="32"/>
        </w:rPr>
        <w:t>INMIGRACIÓN REFERIDA A SUBPOBLACIONES DE LA POBLACIÓN NACIONAL</w:t>
      </w:r>
    </w:p>
    <w:p w:rsidR="00361FCE" w:rsidRDefault="00361FCE" w:rsidP="00D5188B">
      <w:pPr>
        <w:pStyle w:val="Estilo41"/>
        <w:ind w:left="851"/>
      </w:pPr>
      <w:bookmarkStart w:id="499" w:name="_Toc337135512"/>
      <w:bookmarkStart w:id="500" w:name="_Toc341040662"/>
      <w:r>
        <w:t>Introducción</w:t>
      </w:r>
      <w:bookmarkEnd w:id="499"/>
      <w:bookmarkEnd w:id="500"/>
    </w:p>
    <w:p w:rsidR="00361FCE" w:rsidRDefault="00361FCE" w:rsidP="00D5188B">
      <w:pPr>
        <w:spacing w:line="480" w:lineRule="auto"/>
        <w:ind w:left="851"/>
        <w:jc w:val="both"/>
        <w:rPr>
          <w:rFonts w:ascii="Arial" w:hAnsi="Arial" w:cs="Arial"/>
        </w:rPr>
      </w:pPr>
      <w:r>
        <w:rPr>
          <w:rFonts w:ascii="Arial" w:hAnsi="Arial" w:cs="Arial"/>
        </w:rPr>
        <w:t xml:space="preserve">En el capítulo previo se </w:t>
      </w:r>
      <w:r w:rsidR="00D5188B">
        <w:rPr>
          <w:rFonts w:ascii="Arial" w:hAnsi="Arial" w:cs="Arial"/>
        </w:rPr>
        <w:t>habló</w:t>
      </w:r>
      <w:r>
        <w:rPr>
          <w:rFonts w:ascii="Arial" w:hAnsi="Arial" w:cs="Arial"/>
        </w:rPr>
        <w:t xml:space="preserve"> acerca del perfil de los inmigrantes extranjeros que residen en el Ecuador según resultados obtenidos a partir de las Bases de Datos del Censo de 2010. En</w:t>
      </w:r>
      <w:r w:rsidR="00D5188B">
        <w:rPr>
          <w:rFonts w:ascii="Arial" w:hAnsi="Arial" w:cs="Arial"/>
        </w:rPr>
        <w:t xml:space="preserve"> el presente capítulo se analiza</w:t>
      </w:r>
      <w:r>
        <w:rPr>
          <w:rFonts w:ascii="Arial" w:hAnsi="Arial" w:cs="Arial"/>
        </w:rPr>
        <w:t xml:space="preserve"> las cuatro subpoblaciones de extranjeros más grandes que residen en el país como son la comunidad de colombianos, peruanos, estadounidenses y españoles. Para cada una de estas subpoblaciones se analizaran ciertas características como provincia de residencia habitual, años viviendo en el país, género, edad, nivel </w:t>
      </w:r>
      <w:r w:rsidR="00AC14FD">
        <w:rPr>
          <w:rFonts w:ascii="Arial" w:hAnsi="Arial" w:cs="Arial"/>
        </w:rPr>
        <w:t xml:space="preserve">más alto </w:t>
      </w:r>
      <w:r>
        <w:rPr>
          <w:rFonts w:ascii="Arial" w:hAnsi="Arial" w:cs="Arial"/>
        </w:rPr>
        <w:t xml:space="preserve">de instrucción, estado civil, ciertas variables económicas como tamaño de la población económicamente activa, actividad y ocupación de los extranjeros; y, finalmente se analizan algunas características de la vivienda y </w:t>
      </w:r>
      <w:r w:rsidR="00AC14FD">
        <w:rPr>
          <w:rFonts w:ascii="Arial" w:hAnsi="Arial" w:cs="Arial"/>
        </w:rPr>
        <w:t>d</w:t>
      </w:r>
      <w:r>
        <w:rPr>
          <w:rFonts w:ascii="Arial" w:hAnsi="Arial" w:cs="Arial"/>
        </w:rPr>
        <w:t>el área en la cual residen.</w:t>
      </w:r>
    </w:p>
    <w:p w:rsidR="00361FCE" w:rsidRDefault="00361FCE" w:rsidP="00AC14FD">
      <w:pPr>
        <w:pStyle w:val="Estilo41"/>
        <w:ind w:left="851"/>
      </w:pPr>
      <w:bookmarkStart w:id="501" w:name="_Toc337135513"/>
      <w:bookmarkStart w:id="502" w:name="_Toc341040663"/>
      <w:r>
        <w:lastRenderedPageBreak/>
        <w:t>Colombianos residentes en el Ecuador</w:t>
      </w:r>
      <w:bookmarkEnd w:id="501"/>
      <w:bookmarkEnd w:id="502"/>
    </w:p>
    <w:p w:rsidR="00361FCE" w:rsidRPr="005734B5" w:rsidRDefault="00361FCE" w:rsidP="00AC14FD">
      <w:pPr>
        <w:pStyle w:val="Estilo42"/>
        <w:ind w:left="1560" w:hanging="709"/>
      </w:pPr>
      <w:bookmarkStart w:id="503" w:name="_Toc337135514"/>
      <w:bookmarkStart w:id="504" w:name="_Toc341040664"/>
      <w:r>
        <w:t>Colombianos por provincia de residencia habitual</w:t>
      </w:r>
      <w:bookmarkEnd w:id="503"/>
      <w:bookmarkEnd w:id="504"/>
    </w:p>
    <w:p w:rsidR="00361FCE" w:rsidRDefault="00361FCE" w:rsidP="00AC14FD">
      <w:pPr>
        <w:pStyle w:val="Prrafodelista"/>
        <w:tabs>
          <w:tab w:val="left" w:pos="1560"/>
        </w:tabs>
        <w:spacing w:line="480" w:lineRule="auto"/>
        <w:ind w:left="851"/>
        <w:jc w:val="both"/>
        <w:rPr>
          <w:rFonts w:ascii="Arial" w:hAnsi="Arial" w:cs="Arial"/>
        </w:rPr>
      </w:pPr>
      <w:r>
        <w:rPr>
          <w:rFonts w:ascii="Arial" w:hAnsi="Arial" w:cs="Arial"/>
        </w:rPr>
        <w:t xml:space="preserve">Recordemos que en Ecuador habían 181848 inmigrantes extranjeros a noviembre de 2010, de los cuales 89931 son de nacionalidad colombiana los mismos que representan el </w:t>
      </w:r>
      <w:r w:rsidRPr="00ED3A50">
        <w:rPr>
          <w:rFonts w:ascii="Arial" w:hAnsi="Arial" w:cs="Arial"/>
        </w:rPr>
        <w:t>49.45%</w:t>
      </w:r>
      <w:r>
        <w:rPr>
          <w:rFonts w:ascii="Arial" w:hAnsi="Arial" w:cs="Arial"/>
        </w:rPr>
        <w:t xml:space="preserve"> de la población extranjera total. Los colombianos constituyen la población de extranjeros más grandes dentro del territorio ecuatoriano; además, como se muestra en la </w:t>
      </w:r>
      <w:r>
        <w:rPr>
          <w:rFonts w:ascii="Arial" w:hAnsi="Arial" w:cs="Arial"/>
          <w:i/>
        </w:rPr>
        <w:t>Figura 4.1</w:t>
      </w:r>
      <w:r>
        <w:rPr>
          <w:rFonts w:ascii="Arial" w:hAnsi="Arial" w:cs="Arial"/>
        </w:rPr>
        <w:t xml:space="preserve">, existe al menos una persona de esta nacionalidad en todas las provincias del país, inclusive en las </w:t>
      </w:r>
      <w:r w:rsidR="00AC14FD">
        <w:rPr>
          <w:rFonts w:ascii="Arial" w:hAnsi="Arial" w:cs="Arial"/>
        </w:rPr>
        <w:t xml:space="preserve">denominadas </w:t>
      </w:r>
      <w:r>
        <w:rPr>
          <w:rFonts w:ascii="Arial" w:hAnsi="Arial" w:cs="Arial"/>
        </w:rPr>
        <w:t xml:space="preserve">Zonas no Delimitadas. </w:t>
      </w:r>
    </w:p>
    <w:p w:rsidR="00361FCE" w:rsidRDefault="00361FCE" w:rsidP="00AC14FD">
      <w:pPr>
        <w:pStyle w:val="Prrafodelista"/>
        <w:tabs>
          <w:tab w:val="left" w:pos="1560"/>
        </w:tabs>
        <w:spacing w:line="480" w:lineRule="auto"/>
        <w:ind w:left="851"/>
        <w:jc w:val="both"/>
        <w:rPr>
          <w:rFonts w:ascii="Arial" w:hAnsi="Arial" w:cs="Arial"/>
        </w:rPr>
      </w:pPr>
    </w:p>
    <w:p w:rsidR="00361FCE" w:rsidRPr="006D343E" w:rsidRDefault="00361FCE" w:rsidP="00AC14FD">
      <w:pPr>
        <w:pStyle w:val="Prrafodelista"/>
        <w:tabs>
          <w:tab w:val="left" w:pos="1560"/>
        </w:tabs>
        <w:spacing w:line="480" w:lineRule="auto"/>
        <w:ind w:left="851"/>
        <w:jc w:val="both"/>
        <w:rPr>
          <w:rFonts w:ascii="Arial" w:hAnsi="Arial" w:cs="Arial"/>
          <w:i/>
        </w:rPr>
      </w:pPr>
      <w:r>
        <w:rPr>
          <w:rFonts w:ascii="Arial" w:hAnsi="Arial" w:cs="Arial"/>
        </w:rPr>
        <w:t xml:space="preserve">Adicionalmente, del total de colombianos el 30.20% de ellos residen en la provincia de Pichincha, lugar donde vive la comunidad más grande de extranjeros; por otra parte, el 12.96% viven en Carchi, el 11.46% en Sucumbíos consideremos además que estas dos provincias son fronterizas con Colombia, aunque Esmeraldas que también limita con este país el porcentaje de nativos de este país que allí residen es el 7.89%; en Guayas, en cambio, reside el 11.42% de los colombianos, que en términos absolutos son </w:t>
      </w:r>
      <w:r w:rsidRPr="009024B5">
        <w:rPr>
          <w:rFonts w:ascii="Arial" w:hAnsi="Arial" w:cs="Arial"/>
        </w:rPr>
        <w:t>10270</w:t>
      </w:r>
      <w:r>
        <w:rPr>
          <w:rFonts w:ascii="Arial" w:hAnsi="Arial" w:cs="Arial"/>
        </w:rPr>
        <w:t xml:space="preserve"> personas.  Además, en la provincia en la que menor cantidad de colombianos hay es Galápagos, pues allí residen el 0.02% de los colombianos que en términos absolutos representan 17 personas; mientras que, en las Zonas no Delimitadas hay el doble de colombianos que en Galápagos, es decir, hay 34 personas de esta nacionalidad. Para más detalles </w:t>
      </w:r>
      <w:r>
        <w:rPr>
          <w:rFonts w:ascii="Arial" w:hAnsi="Arial" w:cs="Arial"/>
          <w:i/>
        </w:rPr>
        <w:t>véase Figura 4.1.</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AC14FD">
        <w:trPr>
          <w:trHeight w:val="4876"/>
          <w:jc w:val="right"/>
        </w:trPr>
        <w:tc>
          <w:tcPr>
            <w:tcW w:w="7497" w:type="dxa"/>
          </w:tcPr>
          <w:p w:rsidR="00361FCE" w:rsidRPr="00840530" w:rsidRDefault="00361FCE" w:rsidP="00902050">
            <w:pPr>
              <w:rPr>
                <w:rFonts w:ascii="Arial" w:hAnsi="Arial" w:cs="Arial"/>
                <w:sz w:val="16"/>
                <w:szCs w:val="16"/>
              </w:rPr>
            </w:pPr>
          </w:p>
          <w:p w:rsidR="00EE4B7C" w:rsidRPr="00EE4B7C" w:rsidRDefault="00EE4B7C" w:rsidP="00EE4B7C">
            <w:pPr>
              <w:pStyle w:val="Epgrafe"/>
              <w:rPr>
                <w:rFonts w:ascii="Arial" w:hAnsi="Arial" w:cs="Arial"/>
                <w:bCs w:val="0"/>
                <w:color w:val="auto"/>
                <w:sz w:val="16"/>
                <w:szCs w:val="16"/>
              </w:rPr>
            </w:pPr>
            <w:bookmarkStart w:id="505" w:name="_Toc341043973"/>
            <w:r>
              <w:rPr>
                <w:rFonts w:ascii="Arial" w:hAnsi="Arial" w:cs="Arial"/>
                <w:bCs w:val="0"/>
                <w:color w:val="auto"/>
                <w:sz w:val="16"/>
                <w:szCs w:val="16"/>
              </w:rPr>
              <w:t>Figura 4.</w:t>
            </w:r>
            <w:r w:rsidR="00990535" w:rsidRPr="00EE4B7C">
              <w:rPr>
                <w:rFonts w:ascii="Arial" w:hAnsi="Arial" w:cs="Arial"/>
                <w:bCs w:val="0"/>
                <w:color w:val="auto"/>
                <w:sz w:val="16"/>
                <w:szCs w:val="16"/>
              </w:rPr>
              <w:fldChar w:fldCharType="begin"/>
            </w:r>
            <w:r w:rsidRPr="00EE4B7C">
              <w:rPr>
                <w:rFonts w:ascii="Arial" w:hAnsi="Arial" w:cs="Arial"/>
                <w:bCs w:val="0"/>
                <w:color w:val="auto"/>
                <w:sz w:val="16"/>
                <w:szCs w:val="16"/>
              </w:rPr>
              <w:instrText xml:space="preserve"> SEQ Figura_4. \* ARABIC </w:instrText>
            </w:r>
            <w:r w:rsidR="00990535" w:rsidRPr="00EE4B7C">
              <w:rPr>
                <w:rFonts w:ascii="Arial" w:hAnsi="Arial" w:cs="Arial"/>
                <w:bCs w:val="0"/>
                <w:color w:val="auto"/>
                <w:sz w:val="16"/>
                <w:szCs w:val="16"/>
              </w:rPr>
              <w:fldChar w:fldCharType="separate"/>
            </w:r>
            <w:r w:rsidR="00A242E0">
              <w:rPr>
                <w:rFonts w:ascii="Arial" w:hAnsi="Arial" w:cs="Arial"/>
                <w:bCs w:val="0"/>
                <w:noProof/>
                <w:color w:val="auto"/>
                <w:sz w:val="16"/>
                <w:szCs w:val="16"/>
              </w:rPr>
              <w:t>1</w:t>
            </w:r>
            <w:bookmarkEnd w:id="505"/>
            <w:r w:rsidR="00990535" w:rsidRPr="00EE4B7C">
              <w:rPr>
                <w:rFonts w:ascii="Arial" w:hAnsi="Arial" w:cs="Arial"/>
                <w:bCs w:val="0"/>
                <w:color w:val="auto"/>
                <w:sz w:val="16"/>
                <w:szCs w:val="16"/>
              </w:rPr>
              <w:fldChar w:fldCharType="end"/>
            </w:r>
          </w:p>
          <w:p w:rsidR="00361FCE" w:rsidRDefault="00AC14FD"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Frecuencia Relativa de Provincia de residencia habitual de los </w:t>
            </w:r>
            <w:r w:rsidR="00361FCE" w:rsidRPr="009E552B">
              <w:rPr>
                <w:rFonts w:ascii="Arial" w:hAnsi="Arial" w:cs="Arial"/>
                <w:b/>
                <w:i/>
                <w:sz w:val="16"/>
                <w:szCs w:val="16"/>
              </w:rPr>
              <w:t>colombianos</w:t>
            </w:r>
          </w:p>
          <w:p w:rsidR="00361FCE" w:rsidRPr="00660711" w:rsidRDefault="00361FCE" w:rsidP="00902050">
            <w:pPr>
              <w:rPr>
                <w:rFonts w:ascii="Arial" w:hAnsi="Arial" w:cs="Arial"/>
                <w:i/>
                <w:sz w:val="16"/>
                <w:szCs w:val="16"/>
              </w:rPr>
            </w:pPr>
            <w:r>
              <w:rPr>
                <w:noProof/>
                <w:lang w:eastAsia="es-EC"/>
              </w:rPr>
              <w:drawing>
                <wp:inline distT="0" distB="0" distL="0" distR="0">
                  <wp:extent cx="4210050" cy="33120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bl>
    <w:p w:rsidR="00361FCE" w:rsidRPr="00AC14FD" w:rsidRDefault="00361FCE" w:rsidP="00AC14FD">
      <w:pPr>
        <w:pStyle w:val="Prrafodelista"/>
        <w:spacing w:line="276" w:lineRule="auto"/>
        <w:ind w:left="851"/>
        <w:jc w:val="both"/>
        <w:rPr>
          <w:rFonts w:ascii="Arial" w:hAnsi="Arial" w:cs="Arial"/>
          <w:sz w:val="17"/>
          <w:szCs w:val="17"/>
        </w:rPr>
      </w:pPr>
    </w:p>
    <w:p w:rsidR="00361FCE" w:rsidRPr="00AC14FD" w:rsidRDefault="00361FCE" w:rsidP="00AC14FD">
      <w:pPr>
        <w:pStyle w:val="Prrafodelista"/>
        <w:spacing w:line="276" w:lineRule="auto"/>
        <w:ind w:left="851"/>
        <w:jc w:val="both"/>
        <w:rPr>
          <w:rFonts w:ascii="Arial" w:hAnsi="Arial" w:cs="Arial"/>
          <w:sz w:val="17"/>
          <w:szCs w:val="17"/>
        </w:rPr>
      </w:pPr>
      <w:r w:rsidRPr="00AC14FD">
        <w:rPr>
          <w:rFonts w:ascii="Arial" w:hAnsi="Arial" w:cs="Arial"/>
          <w:b/>
          <w:i/>
          <w:sz w:val="17"/>
          <w:szCs w:val="17"/>
        </w:rPr>
        <w:t>Fuente:</w:t>
      </w:r>
      <w:r w:rsidRPr="00AC14FD">
        <w:rPr>
          <w:rFonts w:ascii="Arial" w:hAnsi="Arial" w:cs="Arial"/>
          <w:sz w:val="17"/>
          <w:szCs w:val="17"/>
        </w:rPr>
        <w:t xml:space="preserve"> </w:t>
      </w:r>
      <w:r w:rsidRPr="00AC14FD">
        <w:rPr>
          <w:rFonts w:ascii="Arial" w:hAnsi="Arial" w:cs="Arial"/>
          <w:b/>
          <w:sz w:val="17"/>
          <w:szCs w:val="17"/>
        </w:rPr>
        <w:t xml:space="preserve">INEC </w:t>
      </w:r>
      <w:r w:rsidRPr="00AC14FD">
        <w:rPr>
          <w:rFonts w:ascii="Arial" w:hAnsi="Arial" w:cs="Arial"/>
          <w:sz w:val="17"/>
          <w:szCs w:val="17"/>
        </w:rPr>
        <w:t>(2010), Base de Datos del VII Censo de Población y VI de Vivienda.</w:t>
      </w:r>
    </w:p>
    <w:p w:rsidR="00361FCE" w:rsidRDefault="00361FCE" w:rsidP="00AC14FD">
      <w:pPr>
        <w:pStyle w:val="Prrafodelista"/>
        <w:spacing w:line="276" w:lineRule="auto"/>
        <w:ind w:left="851"/>
        <w:jc w:val="both"/>
        <w:rPr>
          <w:rFonts w:ascii="Arial" w:hAnsi="Arial" w:cs="Arial"/>
          <w:sz w:val="18"/>
          <w:szCs w:val="18"/>
        </w:rPr>
      </w:pPr>
      <w:r w:rsidRPr="00AC14FD">
        <w:rPr>
          <w:rFonts w:ascii="Arial" w:hAnsi="Arial" w:cs="Arial"/>
          <w:b/>
          <w:i/>
          <w:sz w:val="17"/>
          <w:szCs w:val="17"/>
        </w:rPr>
        <w:t>Elaborado por:</w:t>
      </w:r>
      <w:r w:rsidRPr="00AC14FD">
        <w:rPr>
          <w:rFonts w:ascii="Arial" w:hAnsi="Arial" w:cs="Arial"/>
          <w:sz w:val="17"/>
          <w:szCs w:val="17"/>
        </w:rPr>
        <w:t xml:space="preserve"> Katherine Loor Valeriano</w:t>
      </w:r>
    </w:p>
    <w:p w:rsidR="00361FCE" w:rsidRDefault="00361FCE" w:rsidP="00AC14FD">
      <w:pPr>
        <w:pStyle w:val="Prrafodelista"/>
        <w:spacing w:line="480" w:lineRule="auto"/>
        <w:ind w:left="851"/>
        <w:jc w:val="both"/>
        <w:rPr>
          <w:rFonts w:ascii="Arial" w:hAnsi="Arial" w:cs="Arial"/>
        </w:rPr>
      </w:pPr>
    </w:p>
    <w:p w:rsidR="00361FCE" w:rsidRPr="005734B5" w:rsidRDefault="00361FCE" w:rsidP="00AC14FD">
      <w:pPr>
        <w:pStyle w:val="Estilo42"/>
        <w:ind w:left="851" w:firstLine="0"/>
      </w:pPr>
      <w:bookmarkStart w:id="506" w:name="_Toc337135515"/>
      <w:bookmarkStart w:id="507" w:name="_Toc341040665"/>
      <w:r>
        <w:t>Tasa de inmigración</w:t>
      </w:r>
      <w:r w:rsidR="00C75F38">
        <w:t xml:space="preserve"> </w:t>
      </w:r>
      <w:r>
        <w:t xml:space="preserve">colombiana </w:t>
      </w:r>
      <w:r w:rsidR="00C75F38">
        <w:t xml:space="preserve">por </w:t>
      </w:r>
      <w:r>
        <w:t>cada 1000 habitantes por Provincia de residencia habitual</w:t>
      </w:r>
      <w:bookmarkEnd w:id="506"/>
      <w:bookmarkEnd w:id="507"/>
    </w:p>
    <w:p w:rsidR="00AC14FD" w:rsidRDefault="00361FCE" w:rsidP="00AC14FD">
      <w:pPr>
        <w:pStyle w:val="Prrafodelista"/>
        <w:tabs>
          <w:tab w:val="left" w:pos="1560"/>
        </w:tabs>
        <w:spacing w:line="480" w:lineRule="auto"/>
        <w:ind w:left="851"/>
        <w:jc w:val="both"/>
        <w:rPr>
          <w:rFonts w:ascii="Arial" w:hAnsi="Arial" w:cs="Arial"/>
        </w:rPr>
      </w:pPr>
      <w:r>
        <w:rPr>
          <w:rFonts w:ascii="Arial" w:hAnsi="Arial" w:cs="Arial"/>
        </w:rPr>
        <w:t xml:space="preserve">En el Ecuador hay 6.21 colombianos por cada 1000 habitantes del país; que como se mencionó se han distribuido hacia las diferentes provincias, aunque se concentran principalmente en los dos grandes centros económicos como son Guayaquil y Pichincha y en las provincias fronterizas con Colombia. En la </w:t>
      </w:r>
      <w:r>
        <w:rPr>
          <w:rFonts w:ascii="Arial" w:hAnsi="Arial" w:cs="Arial"/>
          <w:i/>
        </w:rPr>
        <w:t>Figura 4.2</w:t>
      </w:r>
      <w:r>
        <w:rPr>
          <w:rFonts w:ascii="Arial" w:hAnsi="Arial" w:cs="Arial"/>
        </w:rPr>
        <w:t xml:space="preserve">, se presentan las tasas de inmigración colombiana por cada 1000 habitantes de una determinada provincia; donde tenemos que la mayor tasa corresponde a Carchi, provincia en la cual hay 71 colombianos por cada 1000 residentes de dicha provincia; la siguiente </w:t>
      </w:r>
      <w:r>
        <w:rPr>
          <w:rFonts w:ascii="Arial" w:hAnsi="Arial" w:cs="Arial"/>
        </w:rPr>
        <w:lastRenderedPageBreak/>
        <w:t>tasa más alta es la de Sucumbíos en la cual hay 59.06 nativos de Colombia por cada 1000 habitantes; mientras que, en Esmeraldas e Imbabura hay 13.32 y 12.99 colombianos por cada 1000 residentes en cada una de estas provincias.</w:t>
      </w:r>
      <w:r w:rsidR="00AC14FD">
        <w:rPr>
          <w:rFonts w:ascii="Arial" w:hAnsi="Arial" w:cs="Arial"/>
        </w:rPr>
        <w:t xml:space="preserve"> </w:t>
      </w:r>
    </w:p>
    <w:p w:rsidR="00AC14FD" w:rsidRDefault="00AC14FD" w:rsidP="00AC14FD">
      <w:pPr>
        <w:pStyle w:val="Prrafodelista"/>
        <w:tabs>
          <w:tab w:val="left" w:pos="1560"/>
        </w:tabs>
        <w:spacing w:line="480" w:lineRule="auto"/>
        <w:ind w:left="851"/>
        <w:jc w:val="both"/>
        <w:rPr>
          <w:rFonts w:ascii="Arial" w:hAnsi="Arial" w:cs="Arial"/>
        </w:rPr>
      </w:pPr>
    </w:p>
    <w:p w:rsidR="00361FCE" w:rsidRPr="000273CD" w:rsidRDefault="00AC14FD" w:rsidP="00AC14FD">
      <w:pPr>
        <w:pStyle w:val="Prrafodelista"/>
        <w:tabs>
          <w:tab w:val="left" w:pos="1560"/>
        </w:tabs>
        <w:spacing w:line="480" w:lineRule="auto"/>
        <w:ind w:left="851"/>
        <w:jc w:val="both"/>
        <w:rPr>
          <w:rFonts w:ascii="Arial" w:hAnsi="Arial" w:cs="Arial"/>
        </w:rPr>
      </w:pPr>
      <w:r>
        <w:rPr>
          <w:rFonts w:ascii="Arial" w:hAnsi="Arial" w:cs="Arial"/>
        </w:rPr>
        <w:t>L</w:t>
      </w:r>
      <w:r w:rsidR="00361FCE">
        <w:rPr>
          <w:rFonts w:ascii="Arial" w:hAnsi="Arial" w:cs="Arial"/>
        </w:rPr>
        <w:t>as tasas más altas corresponden a las provincias que están más cerca a la frontera con Colombia; y, aunque en Guayas haya también una cantidad considerable de colombianos dado el tamaño de la población de la provincia es que se obtiene una tasa baja (de color menos intenso). Finalmente, recordemos además que en Galápagos había la menor cantidad de colombianos por ello mismo esta tasa es de 0.72 nativos de este país por cada 1000 habitantes que residen en el Galápagos.</w:t>
      </w:r>
    </w:p>
    <w:tbl>
      <w:tblPr>
        <w:tblStyle w:val="Tablaconcuadrcula"/>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361FCE" w:rsidRPr="00840530" w:rsidTr="00AC14FD">
        <w:trPr>
          <w:trHeight w:val="4819"/>
          <w:jc w:val="right"/>
        </w:trPr>
        <w:tc>
          <w:tcPr>
            <w:tcW w:w="7535" w:type="dxa"/>
          </w:tcPr>
          <w:p w:rsidR="00361FCE" w:rsidRPr="00840530" w:rsidRDefault="00361FCE" w:rsidP="00902050">
            <w:pPr>
              <w:rPr>
                <w:rFonts w:ascii="Arial" w:hAnsi="Arial" w:cs="Arial"/>
                <w:sz w:val="16"/>
                <w:szCs w:val="16"/>
              </w:rPr>
            </w:pPr>
          </w:p>
          <w:p w:rsidR="00EE4B7C" w:rsidRPr="00EE4B7C" w:rsidRDefault="00EE4B7C" w:rsidP="00EE4B7C">
            <w:pPr>
              <w:pStyle w:val="Epgrafe"/>
              <w:rPr>
                <w:rFonts w:ascii="Arial" w:hAnsi="Arial" w:cs="Arial"/>
                <w:bCs w:val="0"/>
                <w:color w:val="auto"/>
                <w:sz w:val="16"/>
                <w:szCs w:val="16"/>
              </w:rPr>
            </w:pPr>
            <w:bookmarkStart w:id="508" w:name="_Toc341043974"/>
            <w:r>
              <w:rPr>
                <w:rFonts w:ascii="Arial" w:hAnsi="Arial" w:cs="Arial"/>
                <w:bCs w:val="0"/>
                <w:color w:val="auto"/>
                <w:sz w:val="16"/>
                <w:szCs w:val="16"/>
              </w:rPr>
              <w:t>Figura 4.</w:t>
            </w:r>
            <w:r w:rsidR="00990535" w:rsidRPr="00EE4B7C">
              <w:rPr>
                <w:rFonts w:ascii="Arial" w:hAnsi="Arial" w:cs="Arial"/>
                <w:bCs w:val="0"/>
                <w:color w:val="auto"/>
                <w:sz w:val="16"/>
                <w:szCs w:val="16"/>
              </w:rPr>
              <w:fldChar w:fldCharType="begin"/>
            </w:r>
            <w:r w:rsidRPr="00EE4B7C">
              <w:rPr>
                <w:rFonts w:ascii="Arial" w:hAnsi="Arial" w:cs="Arial"/>
                <w:bCs w:val="0"/>
                <w:color w:val="auto"/>
                <w:sz w:val="16"/>
                <w:szCs w:val="16"/>
              </w:rPr>
              <w:instrText xml:space="preserve"> SEQ Figura_4. \* ARABIC </w:instrText>
            </w:r>
            <w:r w:rsidR="00990535" w:rsidRPr="00EE4B7C">
              <w:rPr>
                <w:rFonts w:ascii="Arial" w:hAnsi="Arial" w:cs="Arial"/>
                <w:bCs w:val="0"/>
                <w:color w:val="auto"/>
                <w:sz w:val="16"/>
                <w:szCs w:val="16"/>
              </w:rPr>
              <w:fldChar w:fldCharType="separate"/>
            </w:r>
            <w:r w:rsidR="00A242E0">
              <w:rPr>
                <w:rFonts w:ascii="Arial" w:hAnsi="Arial" w:cs="Arial"/>
                <w:bCs w:val="0"/>
                <w:noProof/>
                <w:color w:val="auto"/>
                <w:sz w:val="16"/>
                <w:szCs w:val="16"/>
              </w:rPr>
              <w:t>2</w:t>
            </w:r>
            <w:bookmarkEnd w:id="508"/>
            <w:r w:rsidR="00990535" w:rsidRPr="00EE4B7C">
              <w:rPr>
                <w:rFonts w:ascii="Arial" w:hAnsi="Arial" w:cs="Arial"/>
                <w:bCs w:val="0"/>
                <w:color w:val="auto"/>
                <w:sz w:val="16"/>
                <w:szCs w:val="16"/>
              </w:rPr>
              <w:fldChar w:fldCharType="end"/>
            </w:r>
          </w:p>
          <w:p w:rsidR="00361FCE" w:rsidRDefault="00AC14FD"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Tasa de </w:t>
            </w:r>
            <w:r w:rsidR="00361FCE" w:rsidRPr="00AC14FD">
              <w:rPr>
                <w:rFonts w:ascii="Arial" w:hAnsi="Arial" w:cs="Arial"/>
                <w:b/>
                <w:i/>
                <w:sz w:val="16"/>
                <w:szCs w:val="16"/>
              </w:rPr>
              <w:t>Inmigración colombiana</w:t>
            </w:r>
            <w:r w:rsidR="00361FCE">
              <w:rPr>
                <w:rFonts w:ascii="Arial" w:hAnsi="Arial" w:cs="Arial"/>
                <w:i/>
                <w:sz w:val="16"/>
                <w:szCs w:val="16"/>
              </w:rPr>
              <w:t xml:space="preserve"> por cada 1000 residentes a nivel Provincial</w:t>
            </w:r>
          </w:p>
          <w:p w:rsidR="00361FCE" w:rsidRPr="00660711" w:rsidRDefault="00436907" w:rsidP="00902050">
            <w:pPr>
              <w:rPr>
                <w:rFonts w:ascii="Arial" w:hAnsi="Arial" w:cs="Arial"/>
                <w:i/>
                <w:sz w:val="16"/>
                <w:szCs w:val="16"/>
              </w:rPr>
            </w:pPr>
            <w:r>
              <w:rPr>
                <w:rFonts w:ascii="Arial" w:hAnsi="Arial" w:cs="Arial"/>
                <w:i/>
                <w:noProof/>
                <w:sz w:val="16"/>
                <w:szCs w:val="16"/>
                <w:lang w:eastAsia="es-EC"/>
              </w:rPr>
              <w:pict>
                <v:shape id="_x0000_s1433" type="#_x0000_t202" style="position:absolute;left:0;text-align:left;margin-left:214.05pt;margin-top:51.9pt;width:42pt;height:16.5pt;z-index:25191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style="mso-next-textbox:#_x0000_s1433">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10.53</w:t>
                        </w:r>
                      </w:p>
                    </w:txbxContent>
                  </v:textbox>
                </v:shape>
              </w:pict>
            </w:r>
            <w:r>
              <w:rPr>
                <w:rFonts w:ascii="Arial" w:hAnsi="Arial" w:cs="Arial"/>
                <w:i/>
                <w:noProof/>
                <w:sz w:val="16"/>
                <w:szCs w:val="16"/>
                <w:lang w:eastAsia="es-EC"/>
              </w:rPr>
              <w:pict>
                <v:shape id="_x0000_s1425" type="#_x0000_t202" style="position:absolute;left:0;text-align:left;margin-left:166.7pt;margin-top:104.4pt;width:42pt;height:16.55pt;z-index:251903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style="mso-next-textbox:#_x0000_s1425">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2.82</w:t>
                        </w:r>
                      </w:p>
                    </w:txbxContent>
                  </v:textbox>
                </v:shape>
              </w:pict>
            </w:r>
            <w:r>
              <w:rPr>
                <w:rFonts w:ascii="Arial" w:hAnsi="Arial" w:cs="Arial"/>
                <w:i/>
                <w:noProof/>
                <w:sz w:val="16"/>
                <w:szCs w:val="16"/>
                <w:lang w:eastAsia="es-EC"/>
              </w:rPr>
              <w:pict>
                <v:shape id="_x0000_s1426" type="#_x0000_t202" style="position:absolute;left:0;text-align:left;margin-left:221.2pt;margin-top:36.15pt;width:42pt;height:16.5pt;z-index:251904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style="mso-next-textbox:#_x0000_s1426">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12.99</w:t>
                        </w:r>
                      </w:p>
                    </w:txbxContent>
                  </v:textbox>
                </v:shape>
              </w:pict>
            </w:r>
            <w:r>
              <w:rPr>
                <w:rFonts w:ascii="Arial" w:hAnsi="Arial" w:cs="Arial"/>
                <w:i/>
                <w:noProof/>
                <w:sz w:val="16"/>
                <w:szCs w:val="16"/>
                <w:lang w:eastAsia="es-EC"/>
              </w:rPr>
              <w:pict>
                <v:shape id="_x0000_s1438" type="#_x0000_t202" style="position:absolute;left:0;text-align:left;margin-left:194.2pt;margin-top:53.8pt;width:42pt;height:16.5pt;z-index:251916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9scA&#10;AADcAAAADwAAAGRycy9kb3ducmV2LnhtbESPzWvCQBTE70L/h+UVetNNU1o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PbHAAAA3AAAAA8AAAAAAAAAAAAAAAAAmAIAAGRy&#10;cy9kb3ducmV2LnhtbFBLBQYAAAAABAAEAPUAAACMAwAAAAA=&#10;" filled="f" stroked="f" strokeweight=".5pt">
                  <v:textbox style="mso-next-textbox:#_x0000_s1438">
                    <w:txbxContent>
                      <w:p w:rsidR="006933DF" w:rsidRDefault="006933DF" w:rsidP="00361FCE">
                        <w:pPr>
                          <w:pStyle w:val="NormalWeb"/>
                          <w:spacing w:before="0" w:beforeAutospacing="0" w:after="0" w:afterAutospacing="0"/>
                          <w:jc w:val="center"/>
                          <w:textAlignment w:val="baseline"/>
                        </w:pPr>
                        <w:r w:rsidRPr="00660711">
                          <w:rPr>
                            <w:rFonts w:ascii="Arial" w:eastAsia="Calibri" w:hAnsi="Arial" w:cs="Arial"/>
                            <w:color w:val="000000" w:themeColor="text1"/>
                            <w:kern w:val="24"/>
                            <w:sz w:val="12"/>
                            <w:szCs w:val="12"/>
                          </w:rPr>
                          <w:t>1</w:t>
                        </w:r>
                        <w:r>
                          <w:rPr>
                            <w:rFonts w:ascii="Arial" w:eastAsia="Calibri" w:hAnsi="Arial" w:cs="Arial"/>
                            <w:color w:val="000000" w:themeColor="text1"/>
                            <w:kern w:val="24"/>
                            <w:sz w:val="12"/>
                            <w:szCs w:val="12"/>
                          </w:rPr>
                          <w:t>3.23</w:t>
                        </w:r>
                      </w:p>
                    </w:txbxContent>
                  </v:textbox>
                </v:shape>
              </w:pict>
            </w:r>
            <w:r>
              <w:rPr>
                <w:rFonts w:ascii="Arial" w:hAnsi="Arial" w:cs="Arial"/>
                <w:i/>
                <w:noProof/>
                <w:sz w:val="16"/>
                <w:szCs w:val="16"/>
                <w:lang w:eastAsia="es-EC"/>
              </w:rPr>
              <w:pict>
                <v:shape id="_x0000_s1434" type="#_x0000_t202" style="position:absolute;left:0;text-align:left;margin-left:215.2pt;margin-top:87.15pt;width:42pt;height:16.5pt;z-index:251912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style="mso-next-textbox:#_x0000_s1434">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2.72</w:t>
                        </w:r>
                      </w:p>
                    </w:txbxContent>
                  </v:textbox>
                </v:shape>
              </w:pict>
            </w:r>
            <w:r>
              <w:rPr>
                <w:rFonts w:ascii="Arial" w:hAnsi="Arial" w:cs="Arial"/>
                <w:i/>
                <w:noProof/>
                <w:sz w:val="16"/>
                <w:szCs w:val="16"/>
                <w:lang w:eastAsia="es-EC"/>
              </w:rPr>
              <w:pict>
                <v:shape id="_x0000_s1418" type="#_x0000_t202" style="position:absolute;left:0;text-align:left;margin-left:196.2pt;margin-top:95.8pt;width:42pt;height:16.5pt;rotation:-5689846fd;z-index:251896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AcMYA&#10;AADcAAAADwAAAGRycy9kb3ducmV2LnhtbESPS2sCQRCE74L/YWjBS4izGohxdRQVxODFR+LBW7vT&#10;+8CdnmVn1PXfO4GAx6KqvqIms8aU4ka1Kywr6PciEMSJ1QVnCn5/Vu9fIJxH1lhaJgUPcjCbtlsT&#10;jLW9855uB5+JAGEXo4Lc+yqW0iU5GXQ9WxEHL7W1QR9knUld4z3ATSkHUfQpDRYcFnKsaJlTcjlc&#10;jYLd8mNxPr5tNil6vI5Oi3Rt5VapbqeZj0F4avwr/N/+1goGoyH8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QAcMYAAADcAAAADwAAAAAAAAAAAAAAAACYAgAAZHJz&#10;L2Rvd25yZXYueG1sUEsFBgAAAAAEAAQA9QAAAIsDAAAAAA==&#10;" filled="f" stroked="f" strokeweight=".5pt">
                  <v:textbox style="layout-flow:vertical;mso-layout-flow-alt:bottom-to-top;mso-next-textbox:#_x0000_s1418">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0.55</w:t>
                        </w:r>
                      </w:p>
                    </w:txbxContent>
                  </v:textbox>
                </v:shape>
              </w:pict>
            </w:r>
            <w:r>
              <w:rPr>
                <w:rFonts w:ascii="Arial" w:hAnsi="Arial" w:cs="Arial"/>
                <w:i/>
                <w:noProof/>
                <w:sz w:val="16"/>
                <w:szCs w:val="16"/>
                <w:lang w:eastAsia="es-EC"/>
              </w:rPr>
              <w:pict>
                <v:shape id="_x0000_s1428" type="#_x0000_t202" style="position:absolute;left:0;text-align:left;margin-left:187.8pt;margin-top:94.35pt;width:31.5pt;height:13.35pt;rotation:-90;z-index:251906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y5cQA&#10;AADcAAAADwAAAGRycy9kb3ducmV2LnhtbESPQYvCMBSE74L/ITxhb5pWQdxqFBFE9+Bhq7Aen82z&#10;7W7zUpqo1V9vFgSPw8x8w8wWranElRpXWlYQDyIQxJnVJecKDvt1fwLCeWSNlWVScCcHi3m3M8NE&#10;2xt/0zX1uQgQdgkqKLyvEyldVpBBN7A1cfDOtjHog2xyqRu8Bbip5DCKxtJgyWGhwJpWBWV/6cUo&#10;+DXu9Dl5UPyz3NzNcJce66+NVeqj1y6nIDy1/h1+tbdawSgewf+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58uXEAAAA3AAAAA8AAAAAAAAAAAAAAAAAmAIAAGRycy9k&#10;b3ducmV2LnhtbFBLBQYAAAAABAAEAPUAAACJAwAAAAA=&#10;" filled="f" stroked="f" strokeweight=".5pt">
                  <v:textbox style="layout-flow:vertical;mso-layout-flow-alt:bottom-to-top;mso-next-textbox:#_x0000_s1428">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1.50</w:t>
                        </w:r>
                      </w:p>
                    </w:txbxContent>
                  </v:textbox>
                </v:shape>
              </w:pict>
            </w:r>
            <w:r>
              <w:rPr>
                <w:rFonts w:ascii="Arial" w:hAnsi="Arial" w:cs="Arial"/>
                <w:i/>
                <w:noProof/>
                <w:sz w:val="16"/>
                <w:szCs w:val="16"/>
                <w:lang w:eastAsia="es-EC"/>
              </w:rPr>
              <w:pict>
                <v:shape id="_x0000_s1421" type="#_x0000_t202" style="position:absolute;left:0;text-align:left;margin-left:204.3pt;margin-top:73.7pt;width:42pt;height:16.5pt;z-index:251899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style="mso-next-textbox:#_x0000_s1421">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1.23</w:t>
                        </w:r>
                      </w:p>
                    </w:txbxContent>
                  </v:textbox>
                </v:shape>
              </w:pict>
            </w:r>
            <w:r>
              <w:rPr>
                <w:rFonts w:ascii="Arial" w:hAnsi="Arial" w:cs="Arial"/>
                <w:i/>
                <w:noProof/>
                <w:sz w:val="16"/>
                <w:szCs w:val="16"/>
                <w:lang w:eastAsia="es-EC"/>
              </w:rPr>
              <w:pict>
                <v:shape id="_x0000_s1431" type="#_x0000_t202" style="position:absolute;left:0;text-align:left;margin-left:232.45pt;margin-top:67.55pt;width:42pt;height:16.5pt;z-index:251909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style="mso-next-textbox:#_x0000_s1431">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3.75</w:t>
                        </w:r>
                      </w:p>
                    </w:txbxContent>
                  </v:textbox>
                </v:shape>
              </w:pict>
            </w:r>
            <w:r>
              <w:rPr>
                <w:rFonts w:ascii="Arial" w:hAnsi="Arial" w:cs="Arial"/>
                <w:i/>
                <w:noProof/>
                <w:sz w:val="16"/>
                <w:szCs w:val="16"/>
                <w:lang w:eastAsia="es-EC"/>
              </w:rPr>
              <w:pict>
                <v:shape id="_x0000_s1422" type="#_x0000_t202" style="position:absolute;left:0;text-align:left;margin-left:207.7pt;margin-top:107.05pt;width:42pt;height:16.5pt;z-index:251900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style="mso-next-textbox:#_x0000_s1422">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0.76</w:t>
                        </w:r>
                      </w:p>
                    </w:txbxContent>
                  </v:textbox>
                </v:shape>
              </w:pict>
            </w:r>
            <w:r>
              <w:rPr>
                <w:rFonts w:ascii="Arial" w:hAnsi="Arial" w:cs="Arial"/>
                <w:i/>
                <w:noProof/>
                <w:sz w:val="16"/>
                <w:szCs w:val="16"/>
                <w:lang w:eastAsia="es-EC"/>
              </w:rPr>
              <w:pict>
                <v:shape id="_x0000_s1419" type="#_x0000_t202" style="position:absolute;left:0;text-align:left;margin-left:199.45pt;margin-top:125.8pt;width:42pt;height:14.25pt;z-index:251897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style="mso-next-textbox:#_x0000_s1419">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1.04</w:t>
                        </w:r>
                      </w:p>
                    </w:txbxContent>
                  </v:textbox>
                </v:shape>
              </w:pict>
            </w:r>
            <w:r>
              <w:rPr>
                <w:rFonts w:ascii="Arial" w:hAnsi="Arial" w:cs="Arial"/>
                <w:i/>
                <w:noProof/>
                <w:sz w:val="16"/>
                <w:szCs w:val="16"/>
                <w:lang w:eastAsia="es-EC"/>
              </w:rPr>
              <w:pict>
                <v:shape id="_x0000_s1417" type="#_x0000_t202" style="position:absolute;left:0;text-align:left;margin-left:192.45pt;margin-top:139.3pt;width:42pt;height:16.5pt;z-index:251895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style="mso-next-textbox:#_x0000_s1417">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2.62</w:t>
                        </w:r>
                      </w:p>
                    </w:txbxContent>
                  </v:textbox>
                </v:shape>
              </w:pict>
            </w:r>
            <w:r>
              <w:rPr>
                <w:rFonts w:ascii="Arial" w:hAnsi="Arial" w:cs="Arial"/>
                <w:i/>
                <w:noProof/>
                <w:sz w:val="16"/>
                <w:szCs w:val="16"/>
                <w:lang w:eastAsia="es-EC"/>
              </w:rPr>
              <w:pict>
                <v:shape id="_x0000_s1423" type="#_x0000_t202" style="position:absolute;left:0;text-align:left;margin-left:173.45pt;margin-top:154.95pt;width:42pt;height:16.5pt;z-index:25190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style="mso-next-textbox:#_x0000_s1423">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1.69</w:t>
                        </w:r>
                      </w:p>
                    </w:txbxContent>
                  </v:textbox>
                </v:shape>
              </w:pict>
            </w:r>
            <w:r>
              <w:rPr>
                <w:rFonts w:ascii="Arial" w:hAnsi="Arial" w:cs="Arial"/>
                <w:i/>
                <w:noProof/>
                <w:sz w:val="16"/>
                <w:szCs w:val="16"/>
                <w:lang w:eastAsia="es-EC"/>
              </w:rPr>
              <w:pict>
                <v:shape id="_x0000_s1427" type="#_x0000_t202" style="position:absolute;left:0;text-align:left;margin-left:178.45pt;margin-top:173.8pt;width:42pt;height:16.5pt;z-index:251905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style="mso-next-textbox:#_x0000_s1427">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0.89</w:t>
                        </w:r>
                      </w:p>
                    </w:txbxContent>
                  </v:textbox>
                </v:shape>
              </w:pict>
            </w:r>
            <w:r>
              <w:rPr>
                <w:rFonts w:ascii="Arial" w:hAnsi="Arial" w:cs="Arial"/>
                <w:i/>
                <w:noProof/>
                <w:sz w:val="16"/>
                <w:szCs w:val="16"/>
                <w:lang w:eastAsia="es-EC"/>
              </w:rPr>
              <w:pict>
                <v:shape id="_x0000_s1435" type="#_x0000_t202" style="position:absolute;left:0;text-align:left;margin-left:202.45pt;margin-top:173.05pt;width:42pt;height:16.5pt;z-index:251913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style="mso-next-textbox:#_x0000_s1435">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2.30</w:t>
                        </w:r>
                      </w:p>
                    </w:txbxContent>
                  </v:textbox>
                </v:shape>
              </w:pict>
            </w:r>
            <w:r>
              <w:rPr>
                <w:rFonts w:ascii="Arial" w:hAnsi="Arial" w:cs="Arial"/>
                <w:i/>
                <w:noProof/>
                <w:sz w:val="16"/>
                <w:szCs w:val="16"/>
                <w:lang w:eastAsia="es-EC"/>
              </w:rPr>
              <w:pict>
                <v:shape id="_x0000_s1432" type="#_x0000_t202" style="position:absolute;left:0;text-align:left;margin-left:273.85pt;margin-top:101.8pt;width:42pt;height:16.5pt;z-index:251910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style="mso-next-textbox:#_x0000_s1432">
                    <w:txbxContent>
                      <w:p w:rsidR="006933DF" w:rsidRDefault="006933DF" w:rsidP="00361FCE">
                        <w:pPr>
                          <w:pStyle w:val="NormalWeb"/>
                          <w:spacing w:before="0" w:beforeAutospacing="0" w:after="0" w:afterAutospacing="0"/>
                          <w:textAlignment w:val="baseline"/>
                        </w:pPr>
                        <w:r>
                          <w:rPr>
                            <w:rFonts w:ascii="Arial" w:eastAsia="Calibri" w:hAnsi="Arial" w:cs="Arial"/>
                            <w:color w:val="000000" w:themeColor="text1"/>
                            <w:kern w:val="24"/>
                            <w:sz w:val="12"/>
                            <w:szCs w:val="12"/>
                          </w:rPr>
                          <w:t>3.13</w:t>
                        </w:r>
                      </w:p>
                    </w:txbxContent>
                  </v:textbox>
                </v:shape>
              </w:pict>
            </w:r>
            <w:r>
              <w:rPr>
                <w:rFonts w:ascii="Arial" w:hAnsi="Arial" w:cs="Arial"/>
                <w:i/>
                <w:noProof/>
                <w:sz w:val="16"/>
                <w:szCs w:val="16"/>
                <w:lang w:eastAsia="es-EC"/>
              </w:rPr>
              <w:pict>
                <v:shape id="_x0000_s1430" type="#_x0000_t202" style="position:absolute;left:0;text-align:left;margin-left:229.95pt;margin-top:129.55pt;width:42pt;height:16.5pt;z-index:251908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style="mso-next-textbox:#_x0000_s1430">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0.96</w:t>
                        </w:r>
                      </w:p>
                    </w:txbxContent>
                  </v:textbox>
                </v:shape>
              </w:pict>
            </w:r>
            <w:r>
              <w:rPr>
                <w:rFonts w:ascii="Arial" w:hAnsi="Arial" w:cs="Arial"/>
                <w:i/>
                <w:noProof/>
                <w:sz w:val="16"/>
                <w:szCs w:val="16"/>
                <w:lang w:eastAsia="es-EC"/>
              </w:rPr>
              <w:pict>
                <v:shape id="_x0000_s1437" type="#_x0000_t202" style="position:absolute;left:0;text-align:left;margin-left:279.7pt;margin-top:74.05pt;width:42pt;height:16.5pt;z-index:251915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FbccA&#10;AADcAAAADwAAAGRycy9kb3ducmV2LnhtbESPzWrDMBCE74G+g9hCbolcl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W3HAAAA3AAAAA8AAAAAAAAAAAAAAAAAmAIAAGRy&#10;cy9kb3ducmV2LnhtbFBLBQYAAAAABAAEAPUAAACMAwAAAAA=&#10;" filled="f" stroked="f" strokeweight=".5pt">
                  <v:textbox style="mso-next-textbox:#_x0000_s1437">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18.76</w:t>
                        </w:r>
                      </w:p>
                    </w:txbxContent>
                  </v:textbox>
                </v:shape>
              </w:pict>
            </w:r>
            <w:r>
              <w:rPr>
                <w:rFonts w:ascii="Arial" w:hAnsi="Arial" w:cs="Arial"/>
                <w:i/>
                <w:noProof/>
                <w:sz w:val="16"/>
                <w:szCs w:val="16"/>
                <w:lang w:eastAsia="es-EC"/>
              </w:rPr>
              <w:pict>
                <v:shape id="_x0000_s1436" type="#_x0000_t202" style="position:absolute;left:0;text-align:left;margin-left:280.8pt;margin-top:49.4pt;width:42pt;height:16.5pt;z-index:251914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GscA&#10;AADcAAAADwAAAGRycy9kb3ducmV2LnhtbESPQWvCQBSE7wX/w/IK3uqmE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xrHAAAA3AAAAA8AAAAAAAAAAAAAAAAAmAIAAGRy&#10;cy9kb3ducmV2LnhtbFBLBQYAAAAABAAEAPUAAACMAwAAAAA=&#10;" filled="f" stroked="f" strokeweight=".5pt">
                  <v:textbox style="mso-next-textbox:#_x0000_s1436">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59.06</w:t>
                        </w:r>
                      </w:p>
                    </w:txbxContent>
                  </v:textbox>
                </v:shape>
              </w:pict>
            </w:r>
            <w:r>
              <w:rPr>
                <w:rFonts w:ascii="Arial" w:hAnsi="Arial" w:cs="Arial"/>
                <w:i/>
                <w:noProof/>
                <w:sz w:val="16"/>
                <w:szCs w:val="16"/>
                <w:lang w:eastAsia="es-EC"/>
              </w:rPr>
              <w:pict>
                <v:shape id="_x0000_s1420" type="#_x0000_t202" style="position:absolute;left:0;text-align:left;margin-left:231.7pt;margin-top:26.05pt;width:42pt;height:16.5pt;rotation:2175710fd;z-index:251898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4CcUA&#10;AADcAAAADwAAAGRycy9kb3ducmV2LnhtbESPQWvCQBSE74X+h+UVequbegiaukpbKHjIoVHbXh/Z&#10;ZxKbfRt31yT+e1cQPA4z8w2zWI2mFT0531hW8DpJQBCXVjdcKdhtv15mIHxA1thaJgVn8rBaPj4s&#10;MNN24IL6TahEhLDPUEEdQpdJ6cuaDPqJ7Yijt7fOYIjSVVI7HCLctHKaJKk02HBcqLGjz5rK/83J&#10;KPj45XznDiTb4S8vv4+UFvhzVOr5aXx/AxFoDPfwrb3WCqbzO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vgJxQAAANwAAAAPAAAAAAAAAAAAAAAAAJgCAABkcnMv&#10;ZG93bnJldi54bWxQSwUGAAAAAAQABAD1AAAAigMAAAAA&#10;" filled="f" stroked="f" strokeweight=".5pt">
                  <v:textbox style="mso-next-textbox:#_x0000_s1420">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71.00</w:t>
                        </w:r>
                      </w:p>
                    </w:txbxContent>
                  </v:textbox>
                </v:shape>
              </w:pict>
            </w:r>
            <w:r>
              <w:rPr>
                <w:rFonts w:ascii="Arial" w:hAnsi="Arial" w:cs="Arial"/>
                <w:i/>
                <w:noProof/>
                <w:sz w:val="16"/>
                <w:szCs w:val="16"/>
                <w:lang w:eastAsia="es-EC"/>
              </w:rPr>
              <w:pict>
                <v:shape id="_x0000_s1439" type="#_x0000_t202" style="position:absolute;left:0;text-align:left;margin-left:150.95pt;margin-top:113.8pt;width:42pt;height:16.5pt;z-index:251917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hMMA&#10;AADcAAAADwAAAGRycy9kb3ducmV2LnhtbERPy4rCMBTdC/MP4Q6403Q6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0hMMAAADcAAAADwAAAAAAAAAAAAAAAACYAgAAZHJzL2Rv&#10;d25yZXYueG1sUEsFBgAAAAAEAAQA9QAAAIgDAAAAAA==&#10;" filled="f" stroked="f" strokeweight=".5pt">
                  <v:textbox style="mso-next-textbox:#_x0000_s1439">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1.98</w:t>
                        </w:r>
                      </w:p>
                    </w:txbxContent>
                  </v:textbox>
                </v:shape>
              </w:pict>
            </w:r>
            <w:r>
              <w:rPr>
                <w:rFonts w:ascii="Arial" w:hAnsi="Arial" w:cs="Arial"/>
                <w:i/>
                <w:noProof/>
                <w:sz w:val="16"/>
                <w:szCs w:val="16"/>
                <w:lang w:eastAsia="es-EC"/>
              </w:rPr>
              <w:pict>
                <v:shape id="_x0000_s1429" type="#_x0000_t202" style="position:absolute;left:0;text-align:left;margin-left:163.45pt;margin-top:73.3pt;width:42pt;height:16.5pt;z-index:251907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style="mso-next-textbox:#_x0000_s1429">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1.64</w:t>
                        </w:r>
                      </w:p>
                    </w:txbxContent>
                  </v:textbox>
                </v:shape>
              </w:pict>
            </w:r>
            <w:r>
              <w:rPr>
                <w:rFonts w:ascii="Arial" w:hAnsi="Arial" w:cs="Arial"/>
                <w:i/>
                <w:noProof/>
                <w:sz w:val="16"/>
                <w:szCs w:val="16"/>
                <w:lang w:eastAsia="es-EC"/>
              </w:rPr>
              <w:pict>
                <v:shape id="_x0000_s1424" type="#_x0000_t202" style="position:absolute;left:0;text-align:left;margin-left:191.95pt;margin-top:26.05pt;width:42pt;height:16.5pt;z-index:25190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style="mso-next-textbox:#_x0000_s1424">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13.32</w:t>
                        </w:r>
                      </w:p>
                    </w:txbxContent>
                  </v:textbox>
                </v:shape>
              </w:pict>
            </w:r>
            <w:r>
              <w:rPr>
                <w:rFonts w:ascii="Arial" w:hAnsi="Arial" w:cs="Arial"/>
                <w:i/>
                <w:noProof/>
                <w:sz w:val="16"/>
                <w:szCs w:val="16"/>
                <w:lang w:eastAsia="es-EC"/>
              </w:rPr>
              <w:pict>
                <v:shape id="_x0000_s1440" type="#_x0000_t202" style="position:absolute;left:0;text-align:left;margin-left:11.2pt;margin-top:73.9pt;width:42pt;height:16.5pt;z-index:251918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style="mso-next-textbox:#_x0000_s1440">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0.72</w:t>
                        </w:r>
                      </w:p>
                    </w:txbxContent>
                  </v:textbox>
                </v:shape>
              </w:pict>
            </w:r>
            <w:r w:rsidR="00361FCE">
              <w:rPr>
                <w:rFonts w:ascii="Arial" w:hAnsi="Arial" w:cs="Arial"/>
                <w:i/>
                <w:noProof/>
                <w:sz w:val="16"/>
                <w:szCs w:val="16"/>
                <w:lang w:eastAsia="es-EC"/>
              </w:rPr>
              <w:drawing>
                <wp:inline distT="0" distB="0" distL="0" distR="0">
                  <wp:extent cx="4644000" cy="271391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44000" cy="2713917"/>
                          </a:xfrm>
                          <a:prstGeom prst="rect">
                            <a:avLst/>
                          </a:prstGeom>
                          <a:noFill/>
                          <a:ln>
                            <a:noFill/>
                          </a:ln>
                        </pic:spPr>
                      </pic:pic>
                    </a:graphicData>
                  </a:graphic>
                </wp:inline>
              </w:drawing>
            </w:r>
          </w:p>
        </w:tc>
      </w:tr>
    </w:tbl>
    <w:p w:rsidR="00361FCE" w:rsidRPr="00AC14FD" w:rsidRDefault="00361FCE" w:rsidP="00AC14FD">
      <w:pPr>
        <w:pStyle w:val="Prrafodelista"/>
        <w:spacing w:line="276" w:lineRule="auto"/>
        <w:ind w:left="851"/>
        <w:jc w:val="both"/>
        <w:rPr>
          <w:rFonts w:ascii="Arial" w:hAnsi="Arial" w:cs="Arial"/>
          <w:sz w:val="17"/>
          <w:szCs w:val="17"/>
        </w:rPr>
      </w:pPr>
    </w:p>
    <w:p w:rsidR="00361FCE" w:rsidRPr="00AC14FD" w:rsidRDefault="00361FCE" w:rsidP="00AC14FD">
      <w:pPr>
        <w:pStyle w:val="Prrafodelista"/>
        <w:spacing w:line="276" w:lineRule="auto"/>
        <w:ind w:left="851"/>
        <w:jc w:val="both"/>
        <w:rPr>
          <w:rFonts w:ascii="Arial" w:hAnsi="Arial" w:cs="Arial"/>
          <w:sz w:val="17"/>
          <w:szCs w:val="17"/>
        </w:rPr>
      </w:pPr>
      <w:r w:rsidRPr="00AC14FD">
        <w:rPr>
          <w:rFonts w:ascii="Arial" w:hAnsi="Arial" w:cs="Arial"/>
          <w:b/>
          <w:i/>
          <w:sz w:val="17"/>
          <w:szCs w:val="17"/>
        </w:rPr>
        <w:t>Fuente:</w:t>
      </w:r>
      <w:r w:rsidRPr="00AC14FD">
        <w:rPr>
          <w:rFonts w:ascii="Arial" w:hAnsi="Arial" w:cs="Arial"/>
          <w:sz w:val="17"/>
          <w:szCs w:val="17"/>
        </w:rPr>
        <w:t xml:space="preserve"> </w:t>
      </w:r>
      <w:r w:rsidRPr="00AC14FD">
        <w:rPr>
          <w:rFonts w:ascii="Arial" w:hAnsi="Arial" w:cs="Arial"/>
          <w:b/>
          <w:sz w:val="17"/>
          <w:szCs w:val="17"/>
        </w:rPr>
        <w:t xml:space="preserve">INEC </w:t>
      </w:r>
      <w:r w:rsidRPr="00AC14FD">
        <w:rPr>
          <w:rFonts w:ascii="Arial" w:hAnsi="Arial" w:cs="Arial"/>
          <w:sz w:val="17"/>
          <w:szCs w:val="17"/>
        </w:rPr>
        <w:t>(2010), Base de Datos del VII Censo de Población y VI de Vivienda.</w:t>
      </w:r>
    </w:p>
    <w:p w:rsidR="00361FCE" w:rsidRPr="00AC14FD" w:rsidRDefault="00361FCE" w:rsidP="00AC14FD">
      <w:pPr>
        <w:pStyle w:val="Prrafodelista"/>
        <w:tabs>
          <w:tab w:val="left" w:pos="4860"/>
        </w:tabs>
        <w:spacing w:line="276" w:lineRule="auto"/>
        <w:ind w:left="851"/>
        <w:jc w:val="both"/>
        <w:rPr>
          <w:rFonts w:ascii="Arial" w:hAnsi="Arial" w:cs="Arial"/>
          <w:sz w:val="17"/>
          <w:szCs w:val="17"/>
        </w:rPr>
      </w:pPr>
      <w:r w:rsidRPr="00AC14FD">
        <w:rPr>
          <w:rFonts w:ascii="Arial" w:hAnsi="Arial" w:cs="Arial"/>
          <w:b/>
          <w:i/>
          <w:sz w:val="17"/>
          <w:szCs w:val="17"/>
        </w:rPr>
        <w:t>Elaborado por:</w:t>
      </w:r>
      <w:r w:rsidRPr="00AC14FD">
        <w:rPr>
          <w:rFonts w:ascii="Arial" w:hAnsi="Arial" w:cs="Arial"/>
          <w:sz w:val="17"/>
          <w:szCs w:val="17"/>
        </w:rPr>
        <w:t xml:space="preserve"> Katherine Loor Valeriano</w:t>
      </w:r>
      <w:r w:rsidR="00AC14FD">
        <w:rPr>
          <w:rFonts w:ascii="Arial" w:hAnsi="Arial" w:cs="Arial"/>
          <w:sz w:val="17"/>
          <w:szCs w:val="17"/>
        </w:rPr>
        <w:tab/>
      </w:r>
    </w:p>
    <w:p w:rsidR="00361FCE" w:rsidRDefault="00361FCE" w:rsidP="00AC14FD">
      <w:pPr>
        <w:pStyle w:val="Prrafodelista"/>
        <w:spacing w:line="480" w:lineRule="auto"/>
        <w:ind w:left="851"/>
        <w:jc w:val="both"/>
        <w:rPr>
          <w:rFonts w:ascii="Arial" w:hAnsi="Arial" w:cs="Arial"/>
        </w:rPr>
      </w:pPr>
      <w:r>
        <w:rPr>
          <w:rFonts w:ascii="Arial" w:hAnsi="Arial" w:cs="Arial"/>
        </w:rPr>
        <w:lastRenderedPageBreak/>
        <w:t xml:space="preserve">Para las tasas que se presentan en la </w:t>
      </w:r>
      <w:r>
        <w:rPr>
          <w:rFonts w:ascii="Arial" w:hAnsi="Arial" w:cs="Arial"/>
          <w:i/>
        </w:rPr>
        <w:t>Figura 4.3</w:t>
      </w:r>
      <w:r>
        <w:rPr>
          <w:rFonts w:ascii="Arial" w:hAnsi="Arial" w:cs="Arial"/>
        </w:rPr>
        <w:t>, el análisis es igual que las previamente mencionadas, la diferencia en estos gráficos radica en que en el primero las tasas están ordenadas alfabéticamente por la provincia de residencia habitual y en el segundo caso las tasas están ordenadas descendentemente. Además, en estos gráficos es fácilmente observable que hay siete provincias en las cuales la tasa de inmigración colombiana a nivel provincial es mayor que la nacional (6.21 por cada 1000 habitantes del Ecuador), y estas provincias son Carchi, Sucumbíos, Orellana, Esmeraldas, Santo Domingo, Imbabura y Pichincha.</w:t>
      </w:r>
    </w:p>
    <w:p w:rsidR="00361FCE" w:rsidRDefault="00361FCE" w:rsidP="00AC14FD">
      <w:pPr>
        <w:pStyle w:val="Prrafodelista"/>
        <w:spacing w:line="480" w:lineRule="auto"/>
        <w:ind w:left="851"/>
        <w:jc w:val="both"/>
        <w:rPr>
          <w:rFonts w:ascii="Arial" w:hAnsi="Arial" w:cs="Arial"/>
        </w:rPr>
      </w:pPr>
    </w:p>
    <w:p w:rsidR="00361FCE" w:rsidRDefault="00361FCE" w:rsidP="00AC14FD">
      <w:pPr>
        <w:pStyle w:val="Prrafodelista"/>
        <w:spacing w:line="480" w:lineRule="auto"/>
        <w:ind w:left="851"/>
        <w:jc w:val="both"/>
        <w:rPr>
          <w:rFonts w:ascii="Arial" w:hAnsi="Arial" w:cs="Arial"/>
        </w:rPr>
      </w:pPr>
      <w:r>
        <w:rPr>
          <w:rFonts w:ascii="Arial" w:hAnsi="Arial" w:cs="Arial"/>
        </w:rPr>
        <w:t xml:space="preserve">Además, en el resto de provincias del Oriente vemos que la tasa de inmigración colombiana es inferior a 4 colombianos por cada 1000 habitantes de esas provincias; dichas tasas son de 3.75, 3.13, 2.30 y 0.96 por cada 1000 habitantes de las provincias de Napo, Pastaza, Zamora Chinchipe y Morona Santiago respectivamente. </w:t>
      </w:r>
    </w:p>
    <w:p w:rsidR="00361FCE" w:rsidRDefault="00361FCE" w:rsidP="00AC14FD">
      <w:pPr>
        <w:pStyle w:val="Prrafodelista"/>
        <w:spacing w:line="480" w:lineRule="auto"/>
        <w:ind w:left="851"/>
        <w:jc w:val="both"/>
        <w:rPr>
          <w:rFonts w:ascii="Arial" w:hAnsi="Arial" w:cs="Arial"/>
        </w:rPr>
      </w:pPr>
    </w:p>
    <w:p w:rsidR="00361FCE" w:rsidRPr="006E6E98" w:rsidRDefault="00AC14FD" w:rsidP="00AC14FD">
      <w:pPr>
        <w:pStyle w:val="Prrafodelista"/>
        <w:spacing w:line="480" w:lineRule="auto"/>
        <w:ind w:left="851"/>
        <w:jc w:val="both"/>
        <w:rPr>
          <w:rFonts w:ascii="Arial" w:hAnsi="Arial" w:cs="Arial"/>
        </w:rPr>
      </w:pPr>
      <w:r>
        <w:rPr>
          <w:rFonts w:ascii="Arial" w:hAnsi="Arial" w:cs="Arial"/>
        </w:rPr>
        <w:t>D</w:t>
      </w:r>
      <w:r w:rsidR="00361FCE">
        <w:rPr>
          <w:rFonts w:ascii="Arial" w:hAnsi="Arial" w:cs="Arial"/>
        </w:rPr>
        <w:t>e las otras provincias de la Costa, esta tasa toma valores de 3 colombianos por cada 1000 habitantes, siendo la tasa igual a 2.82, 1.98, 1.69, 1.64 y 1.50 inmigrantes nativos de Colombia por cada 1000 residentes de las provincias del Guayas, Santa Elena, El Oro, Manabí y Los Ríos respectivamente; y, para las otras provincias de la Sierra cuya tasa de inmigración colombiana es inferior a la tasa nacional, los valores que toman varían entre 0.55 y 2.72 por cada 1000 habitantes a nivel provincial.</w:t>
      </w:r>
    </w:p>
    <w:tbl>
      <w:tblPr>
        <w:tblStyle w:val="Tablaconcuadrcula"/>
        <w:tblW w:w="7459" w:type="dxa"/>
        <w:jc w:val="right"/>
        <w:tblInd w:w="1044"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59"/>
      </w:tblGrid>
      <w:tr w:rsidR="00361FCE" w:rsidRPr="00840530" w:rsidTr="00DA5C00">
        <w:trPr>
          <w:trHeight w:val="4876"/>
          <w:jc w:val="right"/>
        </w:trPr>
        <w:tc>
          <w:tcPr>
            <w:tcW w:w="7459" w:type="dxa"/>
          </w:tcPr>
          <w:p w:rsidR="00361FCE" w:rsidRPr="00840530" w:rsidRDefault="00361FCE" w:rsidP="00902050">
            <w:pPr>
              <w:rPr>
                <w:rFonts w:ascii="Arial" w:hAnsi="Arial" w:cs="Arial"/>
                <w:sz w:val="16"/>
                <w:szCs w:val="16"/>
              </w:rPr>
            </w:pPr>
          </w:p>
          <w:p w:rsidR="00EE4B7C" w:rsidRPr="00EE4B7C" w:rsidRDefault="00EE4B7C" w:rsidP="00EE4B7C">
            <w:pPr>
              <w:pStyle w:val="Epgrafe"/>
              <w:rPr>
                <w:rFonts w:ascii="Arial" w:hAnsi="Arial" w:cs="Arial"/>
                <w:bCs w:val="0"/>
                <w:color w:val="auto"/>
                <w:sz w:val="16"/>
                <w:szCs w:val="16"/>
              </w:rPr>
            </w:pPr>
            <w:bookmarkStart w:id="509" w:name="_Toc341043975"/>
            <w:r>
              <w:rPr>
                <w:rFonts w:ascii="Arial" w:hAnsi="Arial" w:cs="Arial"/>
                <w:bCs w:val="0"/>
                <w:color w:val="auto"/>
                <w:sz w:val="16"/>
                <w:szCs w:val="16"/>
              </w:rPr>
              <w:t>Figura 4.</w:t>
            </w:r>
            <w:r w:rsidR="00990535" w:rsidRPr="00EE4B7C">
              <w:rPr>
                <w:rFonts w:ascii="Arial" w:hAnsi="Arial" w:cs="Arial"/>
                <w:bCs w:val="0"/>
                <w:color w:val="auto"/>
                <w:sz w:val="16"/>
                <w:szCs w:val="16"/>
              </w:rPr>
              <w:fldChar w:fldCharType="begin"/>
            </w:r>
            <w:r w:rsidRPr="00EE4B7C">
              <w:rPr>
                <w:rFonts w:ascii="Arial" w:hAnsi="Arial" w:cs="Arial"/>
                <w:bCs w:val="0"/>
                <w:color w:val="auto"/>
                <w:sz w:val="16"/>
                <w:szCs w:val="16"/>
              </w:rPr>
              <w:instrText xml:space="preserve"> SEQ Figura_4. \* ARABIC </w:instrText>
            </w:r>
            <w:r w:rsidR="00990535" w:rsidRPr="00EE4B7C">
              <w:rPr>
                <w:rFonts w:ascii="Arial" w:hAnsi="Arial" w:cs="Arial"/>
                <w:bCs w:val="0"/>
                <w:color w:val="auto"/>
                <w:sz w:val="16"/>
                <w:szCs w:val="16"/>
              </w:rPr>
              <w:fldChar w:fldCharType="separate"/>
            </w:r>
            <w:r w:rsidR="00A242E0">
              <w:rPr>
                <w:rFonts w:ascii="Arial" w:hAnsi="Arial" w:cs="Arial"/>
                <w:bCs w:val="0"/>
                <w:noProof/>
                <w:color w:val="auto"/>
                <w:sz w:val="16"/>
                <w:szCs w:val="16"/>
              </w:rPr>
              <w:t>3</w:t>
            </w:r>
            <w:bookmarkEnd w:id="509"/>
            <w:r w:rsidR="00990535" w:rsidRPr="00EE4B7C">
              <w:rPr>
                <w:rFonts w:ascii="Arial" w:hAnsi="Arial" w:cs="Arial"/>
                <w:bCs w:val="0"/>
                <w:color w:val="auto"/>
                <w:sz w:val="16"/>
                <w:szCs w:val="16"/>
              </w:rPr>
              <w:fldChar w:fldCharType="end"/>
            </w:r>
          </w:p>
          <w:p w:rsidR="00361FCE" w:rsidRDefault="00AC14FD"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Tasa de </w:t>
            </w:r>
            <w:r w:rsidR="00361FCE" w:rsidRPr="00AC14FD">
              <w:rPr>
                <w:rFonts w:ascii="Arial" w:hAnsi="Arial" w:cs="Arial"/>
                <w:b/>
                <w:i/>
                <w:sz w:val="16"/>
                <w:szCs w:val="16"/>
              </w:rPr>
              <w:t>Inmigración colombiana</w:t>
            </w:r>
            <w:r w:rsidR="00361FCE">
              <w:rPr>
                <w:rFonts w:ascii="Arial" w:hAnsi="Arial" w:cs="Arial"/>
                <w:i/>
                <w:sz w:val="16"/>
                <w:szCs w:val="16"/>
              </w:rPr>
              <w:t xml:space="preserve"> por cada 1000 residentes a nivel Provincial </w:t>
            </w:r>
          </w:p>
          <w:p w:rsidR="00361FCE" w:rsidRDefault="00361FCE" w:rsidP="00902050">
            <w:pPr>
              <w:rPr>
                <w:rFonts w:ascii="Arial" w:hAnsi="Arial" w:cs="Arial"/>
                <w:i/>
                <w:sz w:val="16"/>
                <w:szCs w:val="16"/>
              </w:rPr>
            </w:pPr>
            <w:r>
              <w:rPr>
                <w:rFonts w:ascii="Arial" w:hAnsi="Arial" w:cs="Arial"/>
                <w:i/>
                <w:sz w:val="16"/>
                <w:szCs w:val="16"/>
              </w:rPr>
              <w:t>ordenada alfabéticamente y en forma descendente</w:t>
            </w:r>
          </w:p>
          <w:p w:rsidR="00361FCE" w:rsidRDefault="00361FCE" w:rsidP="00902050">
            <w:pPr>
              <w:rPr>
                <w:rFonts w:ascii="Arial" w:hAnsi="Arial" w:cs="Arial"/>
                <w:i/>
                <w:sz w:val="16"/>
                <w:szCs w:val="16"/>
              </w:rPr>
            </w:pPr>
            <w:r>
              <w:rPr>
                <w:noProof/>
                <w:lang w:eastAsia="es-EC"/>
              </w:rPr>
              <w:drawing>
                <wp:inline distT="0" distB="0" distL="0" distR="0">
                  <wp:extent cx="4608000" cy="2066925"/>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61FCE" w:rsidRDefault="00361FCE" w:rsidP="00902050">
            <w:pPr>
              <w:rPr>
                <w:rFonts w:ascii="Arial" w:hAnsi="Arial" w:cs="Arial"/>
                <w:i/>
                <w:sz w:val="16"/>
                <w:szCs w:val="16"/>
              </w:rPr>
            </w:pPr>
          </w:p>
          <w:p w:rsidR="00361FCE" w:rsidRPr="00660711" w:rsidRDefault="00361FCE" w:rsidP="00902050">
            <w:pPr>
              <w:rPr>
                <w:rFonts w:ascii="Arial" w:hAnsi="Arial" w:cs="Arial"/>
                <w:i/>
                <w:sz w:val="16"/>
                <w:szCs w:val="16"/>
              </w:rPr>
            </w:pPr>
            <w:r>
              <w:rPr>
                <w:noProof/>
                <w:lang w:eastAsia="es-EC"/>
              </w:rPr>
              <w:drawing>
                <wp:inline distT="0" distB="0" distL="0" distR="0">
                  <wp:extent cx="4608000" cy="2066400"/>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bl>
    <w:p w:rsidR="00361FCE" w:rsidRPr="00AC14FD" w:rsidRDefault="00361FCE" w:rsidP="00AC14FD">
      <w:pPr>
        <w:pStyle w:val="Prrafodelista"/>
        <w:spacing w:line="276" w:lineRule="auto"/>
        <w:ind w:left="851"/>
        <w:jc w:val="both"/>
        <w:rPr>
          <w:rFonts w:ascii="Arial" w:hAnsi="Arial" w:cs="Arial"/>
          <w:sz w:val="17"/>
          <w:szCs w:val="17"/>
        </w:rPr>
      </w:pPr>
    </w:p>
    <w:p w:rsidR="00361FCE" w:rsidRPr="00AC14FD" w:rsidRDefault="00361FCE" w:rsidP="00AC14FD">
      <w:pPr>
        <w:pStyle w:val="Prrafodelista"/>
        <w:spacing w:line="276" w:lineRule="auto"/>
        <w:ind w:left="851"/>
        <w:jc w:val="both"/>
        <w:rPr>
          <w:rFonts w:ascii="Arial" w:hAnsi="Arial" w:cs="Arial"/>
          <w:sz w:val="17"/>
          <w:szCs w:val="17"/>
        </w:rPr>
      </w:pPr>
      <w:r w:rsidRPr="00AC14FD">
        <w:rPr>
          <w:rFonts w:ascii="Arial" w:hAnsi="Arial" w:cs="Arial"/>
          <w:b/>
          <w:i/>
          <w:sz w:val="17"/>
          <w:szCs w:val="17"/>
        </w:rPr>
        <w:t>Fuente:</w:t>
      </w:r>
      <w:r w:rsidRPr="00AC14FD">
        <w:rPr>
          <w:rFonts w:ascii="Arial" w:hAnsi="Arial" w:cs="Arial"/>
          <w:sz w:val="17"/>
          <w:szCs w:val="17"/>
        </w:rPr>
        <w:t xml:space="preserve"> </w:t>
      </w:r>
      <w:r w:rsidRPr="00AC14FD">
        <w:rPr>
          <w:rFonts w:ascii="Arial" w:hAnsi="Arial" w:cs="Arial"/>
          <w:b/>
          <w:sz w:val="17"/>
          <w:szCs w:val="17"/>
        </w:rPr>
        <w:t xml:space="preserve">INEC </w:t>
      </w:r>
      <w:r w:rsidRPr="00AC14FD">
        <w:rPr>
          <w:rFonts w:ascii="Arial" w:hAnsi="Arial" w:cs="Arial"/>
          <w:sz w:val="17"/>
          <w:szCs w:val="17"/>
        </w:rPr>
        <w:t>(2010), Base de Datos del VII Censo de Población y VI de Vivienda.</w:t>
      </w:r>
    </w:p>
    <w:p w:rsidR="00361FCE" w:rsidRPr="00AC14FD" w:rsidRDefault="00361FCE" w:rsidP="00AC14FD">
      <w:pPr>
        <w:pStyle w:val="Prrafodelista"/>
        <w:spacing w:line="276" w:lineRule="auto"/>
        <w:ind w:left="851"/>
        <w:jc w:val="both"/>
        <w:rPr>
          <w:rFonts w:ascii="Arial" w:hAnsi="Arial" w:cs="Arial"/>
          <w:sz w:val="17"/>
          <w:szCs w:val="17"/>
        </w:rPr>
      </w:pPr>
      <w:r w:rsidRPr="00AC14FD">
        <w:rPr>
          <w:rFonts w:ascii="Arial" w:hAnsi="Arial" w:cs="Arial"/>
          <w:b/>
          <w:i/>
          <w:sz w:val="17"/>
          <w:szCs w:val="17"/>
        </w:rPr>
        <w:t>Elaborado por:</w:t>
      </w:r>
      <w:r w:rsidRPr="00AC14FD">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361FCE" w:rsidP="00DA5C00">
      <w:pPr>
        <w:pStyle w:val="Estilo42"/>
        <w:ind w:left="1560" w:hanging="709"/>
      </w:pPr>
      <w:bookmarkStart w:id="510" w:name="_Toc337135516"/>
      <w:bookmarkStart w:id="511" w:name="_Toc341040666"/>
      <w:r>
        <w:t>Área de residencia</w:t>
      </w:r>
      <w:bookmarkEnd w:id="510"/>
      <w:r w:rsidR="00C75F38">
        <w:t xml:space="preserve"> de los colombianos</w:t>
      </w:r>
      <w:bookmarkEnd w:id="511"/>
    </w:p>
    <w:p w:rsidR="00361FCE" w:rsidRDefault="00361FCE" w:rsidP="00DA5C00">
      <w:pPr>
        <w:pStyle w:val="Prrafodelista"/>
        <w:spacing w:line="480" w:lineRule="auto"/>
        <w:ind w:left="851"/>
        <w:jc w:val="both"/>
        <w:rPr>
          <w:rFonts w:ascii="Arial" w:hAnsi="Arial" w:cs="Arial"/>
        </w:rPr>
      </w:pPr>
      <w:r>
        <w:rPr>
          <w:rFonts w:ascii="Arial" w:hAnsi="Arial" w:cs="Arial"/>
        </w:rPr>
        <w:t xml:space="preserve">Así como conocimos la provincia en la cual habitualmente residen los colombianos en Ecuador, también veamos si viven en el área urbana o rural, para ello en la </w:t>
      </w:r>
      <w:r>
        <w:rPr>
          <w:rFonts w:ascii="Arial" w:hAnsi="Arial" w:cs="Arial"/>
          <w:i/>
        </w:rPr>
        <w:t>Figura 4.4</w:t>
      </w:r>
      <w:r>
        <w:rPr>
          <w:rFonts w:ascii="Arial" w:hAnsi="Arial" w:cs="Arial"/>
        </w:rPr>
        <w:t xml:space="preserve"> se presentan las tasas del área de residencia por cada 1000 colombianos a nivel provincial; en donde podemos observar en la mayoría de las provincias es mayor la tasa de </w:t>
      </w:r>
      <w:r>
        <w:rPr>
          <w:rFonts w:ascii="Arial" w:hAnsi="Arial" w:cs="Arial"/>
        </w:rPr>
        <w:lastRenderedPageBreak/>
        <w:t>colombianos que residen en el área urbana respecto a los que están en áreas rurales, aunque en provincias como Bolívar, Carchi, Sucumbíos o en las Zonas no Delimitadas se tiene que hay más colombianos viviendo en áreas rurales. Además, en provincias como Guayas, El Oro, Azuay y Loja la diferencia entre la cantidad de colombianos que residen en el área urbana y los que están en el área rural es mayor respecto a las otras provincias (ver altura de la línea negra).</w:t>
      </w:r>
    </w:p>
    <w:p w:rsidR="00361FCE" w:rsidRDefault="00361FCE" w:rsidP="00DA5C00">
      <w:pPr>
        <w:pStyle w:val="Prrafodelista"/>
        <w:spacing w:line="480" w:lineRule="auto"/>
        <w:ind w:left="851"/>
        <w:jc w:val="both"/>
        <w:rPr>
          <w:rFonts w:ascii="Arial" w:hAnsi="Arial" w:cs="Arial"/>
        </w:rPr>
      </w:pPr>
    </w:p>
    <w:p w:rsidR="00361FCE" w:rsidRDefault="00361FCE" w:rsidP="00DA5C00">
      <w:pPr>
        <w:pStyle w:val="Prrafodelista"/>
        <w:spacing w:line="480" w:lineRule="auto"/>
        <w:ind w:left="851"/>
        <w:jc w:val="both"/>
        <w:rPr>
          <w:rFonts w:ascii="Arial" w:hAnsi="Arial" w:cs="Arial"/>
        </w:rPr>
      </w:pPr>
      <w:r>
        <w:rPr>
          <w:rFonts w:ascii="Arial" w:hAnsi="Arial" w:cs="Arial"/>
        </w:rPr>
        <w:t>Guayas es la provincia que presenta la tasa más alta de urbanización colombiana, en donde 974.28 de cada 1000 colombianos residen en el área urbana y 25.02 por cada 1000 están en zonas rurales.</w:t>
      </w:r>
      <w:r w:rsidRPr="008A264E">
        <w:rPr>
          <w:rFonts w:ascii="Arial" w:hAnsi="Arial" w:cs="Arial"/>
        </w:rPr>
        <w:t xml:space="preserve"> </w:t>
      </w:r>
      <w:r w:rsidR="00F91C02">
        <w:rPr>
          <w:rFonts w:ascii="Arial" w:hAnsi="Arial" w:cs="Arial"/>
        </w:rPr>
        <w:t>E</w:t>
      </w:r>
      <w:r>
        <w:rPr>
          <w:rFonts w:ascii="Arial" w:hAnsi="Arial" w:cs="Arial"/>
        </w:rPr>
        <w:t xml:space="preserve">n Pichincha se </w:t>
      </w:r>
      <w:r w:rsidR="00506BFD">
        <w:rPr>
          <w:rFonts w:ascii="Arial" w:hAnsi="Arial" w:cs="Arial"/>
        </w:rPr>
        <w:t>encontró</w:t>
      </w:r>
      <w:r>
        <w:rPr>
          <w:rFonts w:ascii="Arial" w:hAnsi="Arial" w:cs="Arial"/>
        </w:rPr>
        <w:t xml:space="preserve"> que por cada 1000 colombianos </w:t>
      </w:r>
      <w:r w:rsidRPr="00703BDC">
        <w:rPr>
          <w:rFonts w:ascii="Arial" w:hAnsi="Arial" w:cs="Arial"/>
        </w:rPr>
        <w:t>699.05</w:t>
      </w:r>
      <w:r>
        <w:rPr>
          <w:rFonts w:ascii="Arial" w:hAnsi="Arial" w:cs="Arial"/>
        </w:rPr>
        <w:t xml:space="preserve"> viven en zonas urbanas y por tanto 300.95 residen en el área rural; y, de los que residen en Azuay hay 909.77 por cada 1000 colombianos que viven en el área urbana. Además, podemos notar que todos los colombianos que viven en las Zonas no Delimitadas residen en áreas rurales.</w:t>
      </w:r>
      <w:r w:rsidR="00DA5C00">
        <w:rPr>
          <w:rFonts w:ascii="Arial" w:hAnsi="Arial" w:cs="Arial"/>
        </w:rPr>
        <w:t xml:space="preserve"> </w:t>
      </w:r>
      <w:r>
        <w:rPr>
          <w:rFonts w:ascii="Arial" w:hAnsi="Arial" w:cs="Arial"/>
        </w:rPr>
        <w:t xml:space="preserve">En lo que respecta a las provincias de Oriente, tenemos que de los colombianos que viven en Sucumbíos 448.52 por cada 1000 viven en áreas urbanas, lo que además representa menos del 50% del total de colombianos que hay en esta provincia, y </w:t>
      </w:r>
      <w:r w:rsidRPr="00726821">
        <w:rPr>
          <w:rFonts w:ascii="Arial" w:hAnsi="Arial" w:cs="Arial"/>
        </w:rPr>
        <w:t>551.48</w:t>
      </w:r>
      <w:r>
        <w:rPr>
          <w:rFonts w:ascii="Arial" w:hAnsi="Arial" w:cs="Arial"/>
        </w:rPr>
        <w:t xml:space="preserve"> residen en áreas rurales. En Napo, en cambio, por cada 1000 colombianos que residen en esta provincia 608.81 viven en el área urbana y 391.19 en el área rural. Adicionalmente, entre las seis provincias de esta región es Zamora Chinchipe la que presenta la tasa más alta de urbanización, pues por cada 1000 nativos de Colombia que residen en ésta </w:t>
      </w:r>
      <w:r>
        <w:rPr>
          <w:rFonts w:ascii="Arial" w:hAnsi="Arial" w:cs="Arial"/>
        </w:rPr>
        <w:lastRenderedPageBreak/>
        <w:t xml:space="preserve">provincia 788.46 viven en áreas urbanizadas y 211.54 en el área rural. Para más detalles </w:t>
      </w:r>
      <w:r w:rsidRPr="00C82CB7">
        <w:rPr>
          <w:rFonts w:ascii="Arial" w:hAnsi="Arial" w:cs="Arial"/>
          <w:i/>
        </w:rPr>
        <w:t>véase</w:t>
      </w:r>
      <w:r>
        <w:rPr>
          <w:rFonts w:ascii="Arial" w:hAnsi="Arial" w:cs="Arial"/>
        </w:rPr>
        <w:t xml:space="preserve"> </w:t>
      </w:r>
      <w:r>
        <w:rPr>
          <w:rFonts w:ascii="Arial" w:hAnsi="Arial" w:cs="Arial"/>
          <w:i/>
        </w:rPr>
        <w:t>Figura 4.4</w:t>
      </w:r>
      <w:r>
        <w:rPr>
          <w:rFonts w:ascii="Arial" w:hAnsi="Arial" w:cs="Arial"/>
        </w:rPr>
        <w:t>.</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597554">
        <w:trPr>
          <w:trHeight w:val="3638"/>
          <w:jc w:val="right"/>
        </w:trPr>
        <w:tc>
          <w:tcPr>
            <w:tcW w:w="7497" w:type="dxa"/>
          </w:tcPr>
          <w:p w:rsidR="00361FCE" w:rsidRPr="00840530" w:rsidRDefault="00361FCE" w:rsidP="00902050">
            <w:pPr>
              <w:rPr>
                <w:rFonts w:ascii="Arial" w:hAnsi="Arial" w:cs="Arial"/>
                <w:sz w:val="16"/>
                <w:szCs w:val="16"/>
              </w:rPr>
            </w:pPr>
          </w:p>
          <w:p w:rsidR="008470D5" w:rsidRPr="008470D5" w:rsidRDefault="008470D5" w:rsidP="008470D5">
            <w:pPr>
              <w:pStyle w:val="Epgrafe"/>
              <w:rPr>
                <w:rFonts w:ascii="Arial" w:hAnsi="Arial" w:cs="Arial"/>
                <w:bCs w:val="0"/>
                <w:color w:val="auto"/>
                <w:sz w:val="16"/>
                <w:szCs w:val="16"/>
              </w:rPr>
            </w:pPr>
            <w:bookmarkStart w:id="512" w:name="_Toc341043976"/>
            <w:r>
              <w:rPr>
                <w:rFonts w:ascii="Arial" w:hAnsi="Arial" w:cs="Arial"/>
                <w:bCs w:val="0"/>
                <w:color w:val="auto"/>
                <w:sz w:val="16"/>
                <w:szCs w:val="16"/>
              </w:rPr>
              <w:t>Figura 4.</w:t>
            </w:r>
            <w:r w:rsidR="00990535" w:rsidRPr="008470D5">
              <w:rPr>
                <w:rFonts w:ascii="Arial" w:hAnsi="Arial" w:cs="Arial"/>
                <w:bCs w:val="0"/>
                <w:color w:val="auto"/>
                <w:sz w:val="16"/>
                <w:szCs w:val="16"/>
              </w:rPr>
              <w:fldChar w:fldCharType="begin"/>
            </w:r>
            <w:r w:rsidRPr="008470D5">
              <w:rPr>
                <w:rFonts w:ascii="Arial" w:hAnsi="Arial" w:cs="Arial"/>
                <w:bCs w:val="0"/>
                <w:color w:val="auto"/>
                <w:sz w:val="16"/>
                <w:szCs w:val="16"/>
              </w:rPr>
              <w:instrText xml:space="preserve"> SEQ Figura_4. \* ARABIC </w:instrText>
            </w:r>
            <w:r w:rsidR="00990535" w:rsidRPr="008470D5">
              <w:rPr>
                <w:rFonts w:ascii="Arial" w:hAnsi="Arial" w:cs="Arial"/>
                <w:bCs w:val="0"/>
                <w:color w:val="auto"/>
                <w:sz w:val="16"/>
                <w:szCs w:val="16"/>
              </w:rPr>
              <w:fldChar w:fldCharType="separate"/>
            </w:r>
            <w:r w:rsidR="00A242E0">
              <w:rPr>
                <w:rFonts w:ascii="Arial" w:hAnsi="Arial" w:cs="Arial"/>
                <w:bCs w:val="0"/>
                <w:noProof/>
                <w:color w:val="auto"/>
                <w:sz w:val="16"/>
                <w:szCs w:val="16"/>
              </w:rPr>
              <w:t>4</w:t>
            </w:r>
            <w:bookmarkEnd w:id="512"/>
            <w:r w:rsidR="00990535" w:rsidRPr="008470D5">
              <w:rPr>
                <w:rFonts w:ascii="Arial" w:hAnsi="Arial" w:cs="Arial"/>
                <w:bCs w:val="0"/>
                <w:color w:val="auto"/>
                <w:sz w:val="16"/>
                <w:szCs w:val="16"/>
              </w:rPr>
              <w:fldChar w:fldCharType="end"/>
            </w:r>
          </w:p>
          <w:p w:rsidR="00361FCE" w:rsidRDefault="00DA5C00"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Tasa por cada 1000 </w:t>
            </w:r>
            <w:r w:rsidR="00361FCE" w:rsidRPr="009E552B">
              <w:rPr>
                <w:rFonts w:ascii="Arial" w:hAnsi="Arial" w:cs="Arial"/>
                <w:b/>
                <w:i/>
                <w:sz w:val="16"/>
                <w:szCs w:val="16"/>
              </w:rPr>
              <w:t>colombianos</w:t>
            </w:r>
            <w:r w:rsidR="00361FCE">
              <w:rPr>
                <w:rFonts w:ascii="Arial" w:hAnsi="Arial" w:cs="Arial"/>
                <w:i/>
                <w:sz w:val="16"/>
                <w:szCs w:val="16"/>
              </w:rPr>
              <w:t xml:space="preserve"> por zona urbana y rural a nivel Provincial</w:t>
            </w:r>
          </w:p>
          <w:p w:rsidR="00361FCE" w:rsidRPr="00660711" w:rsidRDefault="008470D5" w:rsidP="00902050">
            <w:pPr>
              <w:rPr>
                <w:rFonts w:ascii="Arial" w:hAnsi="Arial" w:cs="Arial"/>
                <w:i/>
                <w:sz w:val="16"/>
                <w:szCs w:val="16"/>
              </w:rPr>
            </w:pPr>
            <w:r>
              <w:rPr>
                <w:noProof/>
                <w:lang w:eastAsia="es-EC"/>
              </w:rPr>
              <w:drawing>
                <wp:inline distT="0" distB="0" distL="0" distR="0">
                  <wp:extent cx="4600575" cy="219600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bl>
    <w:p w:rsidR="00361FCE" w:rsidRPr="00DA5C00" w:rsidRDefault="00361FCE" w:rsidP="00DA5C00">
      <w:pPr>
        <w:pStyle w:val="Prrafodelista"/>
        <w:tabs>
          <w:tab w:val="left" w:pos="3555"/>
        </w:tabs>
        <w:spacing w:line="276" w:lineRule="auto"/>
        <w:ind w:left="851"/>
        <w:jc w:val="left"/>
        <w:rPr>
          <w:rFonts w:ascii="Arial" w:hAnsi="Arial" w:cs="Arial"/>
          <w:sz w:val="17"/>
          <w:szCs w:val="17"/>
        </w:rPr>
      </w:pPr>
    </w:p>
    <w:p w:rsidR="00361FCE" w:rsidRPr="00DA5C00" w:rsidRDefault="00361FCE" w:rsidP="00DA5C00">
      <w:pPr>
        <w:pStyle w:val="Prrafodelista"/>
        <w:spacing w:line="276" w:lineRule="auto"/>
        <w:ind w:left="851"/>
        <w:jc w:val="left"/>
        <w:rPr>
          <w:rFonts w:ascii="Arial" w:hAnsi="Arial" w:cs="Arial"/>
          <w:sz w:val="17"/>
          <w:szCs w:val="17"/>
        </w:rPr>
      </w:pPr>
      <w:r w:rsidRPr="00DA5C00">
        <w:rPr>
          <w:rFonts w:ascii="Arial" w:hAnsi="Arial" w:cs="Arial"/>
          <w:b/>
          <w:i/>
          <w:sz w:val="17"/>
          <w:szCs w:val="17"/>
        </w:rPr>
        <w:t>Fuente:</w:t>
      </w:r>
      <w:r w:rsidRPr="00DA5C00">
        <w:rPr>
          <w:rFonts w:ascii="Arial" w:hAnsi="Arial" w:cs="Arial"/>
          <w:sz w:val="17"/>
          <w:szCs w:val="17"/>
        </w:rPr>
        <w:t xml:space="preserve"> </w:t>
      </w:r>
      <w:r w:rsidRPr="00DA5C00">
        <w:rPr>
          <w:rFonts w:ascii="Arial" w:hAnsi="Arial" w:cs="Arial"/>
          <w:b/>
          <w:sz w:val="17"/>
          <w:szCs w:val="17"/>
        </w:rPr>
        <w:t xml:space="preserve">INEC </w:t>
      </w:r>
      <w:r w:rsidRPr="00DA5C00">
        <w:rPr>
          <w:rFonts w:ascii="Arial" w:hAnsi="Arial" w:cs="Arial"/>
          <w:sz w:val="17"/>
          <w:szCs w:val="17"/>
        </w:rPr>
        <w:t>(2010), Base de Datos del VII Censo de Población y VI de Vivienda.</w:t>
      </w:r>
    </w:p>
    <w:p w:rsidR="00361FCE" w:rsidRPr="00DA5C00" w:rsidRDefault="00361FCE" w:rsidP="00DA5C00">
      <w:pPr>
        <w:pStyle w:val="Prrafodelista"/>
        <w:spacing w:line="276" w:lineRule="auto"/>
        <w:ind w:left="851"/>
        <w:jc w:val="left"/>
        <w:rPr>
          <w:rFonts w:ascii="Arial" w:hAnsi="Arial" w:cs="Arial"/>
          <w:sz w:val="17"/>
          <w:szCs w:val="17"/>
        </w:rPr>
      </w:pPr>
      <w:r w:rsidRPr="00DA5C00">
        <w:rPr>
          <w:rFonts w:ascii="Arial" w:hAnsi="Arial" w:cs="Arial"/>
          <w:b/>
          <w:i/>
          <w:sz w:val="17"/>
          <w:szCs w:val="17"/>
        </w:rPr>
        <w:t>Elaborado por:</w:t>
      </w:r>
      <w:r w:rsidRPr="00DA5C00">
        <w:rPr>
          <w:rFonts w:ascii="Arial" w:hAnsi="Arial" w:cs="Arial"/>
          <w:sz w:val="17"/>
          <w:szCs w:val="17"/>
        </w:rPr>
        <w:t xml:space="preserve"> Katherine Loor Valeriano</w:t>
      </w:r>
    </w:p>
    <w:p w:rsidR="00361FCE" w:rsidRDefault="00361FCE" w:rsidP="00DA5C00">
      <w:pPr>
        <w:tabs>
          <w:tab w:val="left" w:pos="1785"/>
        </w:tabs>
        <w:spacing w:line="480" w:lineRule="auto"/>
        <w:ind w:left="851"/>
        <w:jc w:val="both"/>
        <w:rPr>
          <w:rFonts w:ascii="Arial" w:hAnsi="Arial" w:cs="Arial"/>
        </w:rPr>
      </w:pPr>
    </w:p>
    <w:p w:rsidR="00361FCE" w:rsidRDefault="00361FCE" w:rsidP="00DA5C00">
      <w:pPr>
        <w:tabs>
          <w:tab w:val="left" w:pos="1785"/>
        </w:tabs>
        <w:spacing w:line="480" w:lineRule="auto"/>
        <w:ind w:left="851"/>
        <w:jc w:val="both"/>
        <w:rPr>
          <w:rFonts w:ascii="Arial" w:hAnsi="Arial" w:cs="Arial"/>
        </w:rPr>
      </w:pPr>
      <w:r>
        <w:rPr>
          <w:rFonts w:ascii="Arial" w:hAnsi="Arial" w:cs="Arial"/>
        </w:rPr>
        <w:t xml:space="preserve">A mas de considerar las tasas del área de residencia a nivel provincial, ahora veamos las mismas tasas del área de residencia para cada género y por grupos de edad; que en la </w:t>
      </w:r>
      <w:r>
        <w:rPr>
          <w:rFonts w:ascii="Arial" w:hAnsi="Arial" w:cs="Arial"/>
          <w:i/>
        </w:rPr>
        <w:t>Figura 4.5</w:t>
      </w:r>
      <w:r>
        <w:rPr>
          <w:rFonts w:ascii="Arial" w:hAnsi="Arial" w:cs="Arial"/>
        </w:rPr>
        <w:t>, podemos observar para el primer caso (colombianos de género masculino) que en los primeros grupos etarios hasta la edad de 35 años va aumentando la tasa de colombianos que residen en el área urbana, a partir de este grupo de edad dicha tasa empieza a disminuir; pero, que en el penúltimo grupo etario (entre 95 y 100 años) es mayor la cantidad de los que residen en áreas urbanas respecto a los del área rural</w:t>
      </w:r>
      <w:r w:rsidR="00F91C02">
        <w:rPr>
          <w:rFonts w:ascii="Arial" w:hAnsi="Arial" w:cs="Arial"/>
        </w:rPr>
        <w:t>;</w:t>
      </w:r>
      <w:r>
        <w:rPr>
          <w:rFonts w:ascii="Arial" w:hAnsi="Arial" w:cs="Arial"/>
        </w:rPr>
        <w:t xml:space="preserve"> </w:t>
      </w:r>
      <w:r w:rsidR="00F91C02">
        <w:rPr>
          <w:rFonts w:ascii="Arial" w:hAnsi="Arial" w:cs="Arial"/>
        </w:rPr>
        <w:t>m</w:t>
      </w:r>
      <w:r>
        <w:rPr>
          <w:rFonts w:ascii="Arial" w:hAnsi="Arial" w:cs="Arial"/>
        </w:rPr>
        <w:t xml:space="preserve">ientras que, en las mujeres de esta misma nacionalidad se presenta un escenario similar, pues hasta los 35 años la tasa de urbanización va incrementando y de aquí en adelante aumenta la tasa de </w:t>
      </w:r>
      <w:r>
        <w:rPr>
          <w:rFonts w:ascii="Arial" w:hAnsi="Arial" w:cs="Arial"/>
        </w:rPr>
        <w:lastRenderedPageBreak/>
        <w:t>colombianas que residen en áreas rurales, aunque al igual que el caso de los hombres entre los 95 y 100 años es mayor la cantidad de las que están en zonas urbanizadas.</w:t>
      </w:r>
    </w:p>
    <w:p w:rsidR="00361FCE" w:rsidRDefault="00361FCE" w:rsidP="00DA5C00">
      <w:pPr>
        <w:tabs>
          <w:tab w:val="left" w:pos="1785"/>
        </w:tabs>
        <w:spacing w:line="480" w:lineRule="auto"/>
        <w:ind w:left="851"/>
        <w:jc w:val="both"/>
        <w:rPr>
          <w:rFonts w:ascii="Arial" w:hAnsi="Arial" w:cs="Arial"/>
        </w:rPr>
      </w:pPr>
    </w:p>
    <w:p w:rsidR="00361FCE" w:rsidRDefault="00361FCE" w:rsidP="00DA5C00">
      <w:pPr>
        <w:tabs>
          <w:tab w:val="left" w:pos="1785"/>
        </w:tabs>
        <w:spacing w:line="480" w:lineRule="auto"/>
        <w:ind w:left="851"/>
        <w:jc w:val="both"/>
        <w:rPr>
          <w:rFonts w:ascii="Arial" w:hAnsi="Arial" w:cs="Arial"/>
        </w:rPr>
      </w:pPr>
      <w:r>
        <w:rPr>
          <w:rFonts w:ascii="Arial" w:hAnsi="Arial" w:cs="Arial"/>
        </w:rPr>
        <w:t>Además, podemos notar que por cada 1000 colombianos de género masculino que residen en el país con edades entre 25 y 30 años 702.13 viven en áreas urb</w:t>
      </w:r>
      <w:r w:rsidR="00DA5C00">
        <w:rPr>
          <w:rFonts w:ascii="Arial" w:hAnsi="Arial" w:cs="Arial"/>
        </w:rPr>
        <w:t>anas y 297.87 en el área rural; m</w:t>
      </w:r>
      <w:r>
        <w:rPr>
          <w:rFonts w:ascii="Arial" w:hAnsi="Arial" w:cs="Arial"/>
        </w:rPr>
        <w:t xml:space="preserve">ientras que, los que tienen edades entre 65 y 70 años </w:t>
      </w:r>
      <w:r w:rsidRPr="00924991">
        <w:rPr>
          <w:rFonts w:ascii="Arial" w:hAnsi="Arial" w:cs="Arial"/>
        </w:rPr>
        <w:t>532.68</w:t>
      </w:r>
      <w:r>
        <w:rPr>
          <w:rFonts w:ascii="Arial" w:hAnsi="Arial" w:cs="Arial"/>
        </w:rPr>
        <w:t xml:space="preserve"> por cada 1000 residen en áreas urbanizadas y </w:t>
      </w:r>
      <w:r w:rsidRPr="00924991">
        <w:rPr>
          <w:rFonts w:ascii="Arial" w:hAnsi="Arial" w:cs="Arial"/>
        </w:rPr>
        <w:t>467.32</w:t>
      </w:r>
      <w:r>
        <w:rPr>
          <w:rFonts w:ascii="Arial" w:hAnsi="Arial" w:cs="Arial"/>
        </w:rPr>
        <w:t xml:space="preserve"> por cada 1000 en el área rural; aunque para el siguiente grupo etario, edades comprendidas entre 70 y 75 años, es mayor la cantidad de los que viven en áreas rurales </w:t>
      </w:r>
      <w:r w:rsidRPr="001C0BA9">
        <w:rPr>
          <w:rFonts w:ascii="Arial" w:hAnsi="Arial" w:cs="Arial"/>
        </w:rPr>
        <w:t>502.70</w:t>
      </w:r>
      <w:r>
        <w:rPr>
          <w:rFonts w:ascii="Arial" w:hAnsi="Arial" w:cs="Arial"/>
        </w:rPr>
        <w:t xml:space="preserve"> por cada 1000 colombianos con edades en este grupo de edad. Adicionalmente cabe mencionar que la tasa más alta de los que residen en áreas rurales se da en las edades entre 90 y 95 años, cuyo valor es de 524.59 por cada 1000 hombres colombianos de ese grupo etario que residen en Ecuador.  </w:t>
      </w:r>
    </w:p>
    <w:p w:rsidR="00361FCE" w:rsidRDefault="00361FCE" w:rsidP="00DA5C00">
      <w:pPr>
        <w:tabs>
          <w:tab w:val="left" w:pos="1785"/>
        </w:tabs>
        <w:spacing w:line="480" w:lineRule="auto"/>
        <w:ind w:left="851"/>
        <w:jc w:val="both"/>
        <w:rPr>
          <w:rFonts w:ascii="Arial" w:hAnsi="Arial" w:cs="Arial"/>
        </w:rPr>
      </w:pPr>
    </w:p>
    <w:p w:rsidR="00361FCE" w:rsidRPr="001A5093" w:rsidRDefault="00361FCE" w:rsidP="00DA5C00">
      <w:pPr>
        <w:tabs>
          <w:tab w:val="left" w:pos="1785"/>
        </w:tabs>
        <w:spacing w:line="480" w:lineRule="auto"/>
        <w:ind w:left="851"/>
        <w:jc w:val="both"/>
        <w:rPr>
          <w:rFonts w:ascii="Arial" w:hAnsi="Arial" w:cs="Arial"/>
          <w:i/>
        </w:rPr>
      </w:pPr>
      <w:r>
        <w:rPr>
          <w:rFonts w:ascii="Arial" w:hAnsi="Arial" w:cs="Arial"/>
        </w:rPr>
        <w:t>Por otra parte, por cada 1000 colombianas residentes en el país con edades entre 20 y 25 años 721.61 viven en el área urbana y 278.39 en áreas rurales</w:t>
      </w:r>
      <w:r w:rsidR="00F91C02">
        <w:rPr>
          <w:rFonts w:ascii="Arial" w:hAnsi="Arial" w:cs="Arial"/>
        </w:rPr>
        <w:t>;</w:t>
      </w:r>
      <w:r>
        <w:rPr>
          <w:rFonts w:ascii="Arial" w:hAnsi="Arial" w:cs="Arial"/>
        </w:rPr>
        <w:t xml:space="preserve"> </w:t>
      </w:r>
      <w:r w:rsidR="00F91C02">
        <w:rPr>
          <w:rFonts w:ascii="Arial" w:hAnsi="Arial" w:cs="Arial"/>
        </w:rPr>
        <w:t>m</w:t>
      </w:r>
      <w:r>
        <w:rPr>
          <w:rFonts w:ascii="Arial" w:hAnsi="Arial" w:cs="Arial"/>
        </w:rPr>
        <w:t xml:space="preserve">ientras que, para edades entre 60 y 65 años, hay 663.10 por cada 1000 colombianas de ese grupo de edad que viven en áreas urbanizadas y 336.90 en áreas rurales. Además, para colombianas con edades entre 80 y 85 años se tiene que hay 577.42 y 422.58 por cada 1000 colombianas que viven en el área urbana y rural respectivamente, siendo esta última la tasa más alta de los que residen en áreas rurales respecto a </w:t>
      </w:r>
      <w:r>
        <w:rPr>
          <w:rFonts w:ascii="Arial" w:hAnsi="Arial" w:cs="Arial"/>
        </w:rPr>
        <w:lastRenderedPageBreak/>
        <w:t xml:space="preserve">los otros grupos etarios. Cabe mencionar además, que en la mayoría de los casos siempre es mayor la tasa de urbanización en las mujeres que en los hombres; y, además en las mujeres no hay algún caso en el cual la tasa de quienes viven en áreas rurales supere a la tasa de urbanización, situación que sí se da en los hombres. </w:t>
      </w:r>
      <w:r w:rsidRPr="00C82CB7">
        <w:rPr>
          <w:rFonts w:ascii="Arial" w:hAnsi="Arial" w:cs="Arial"/>
          <w:i/>
        </w:rPr>
        <w:t>Véase</w:t>
      </w:r>
      <w:r>
        <w:rPr>
          <w:rFonts w:ascii="Arial" w:hAnsi="Arial" w:cs="Arial"/>
        </w:rPr>
        <w:t xml:space="preserve">  </w:t>
      </w:r>
      <w:r>
        <w:rPr>
          <w:rFonts w:ascii="Arial" w:hAnsi="Arial" w:cs="Arial"/>
          <w:i/>
        </w:rPr>
        <w:t>Figura 4.5.</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DA5C00">
        <w:trPr>
          <w:trHeight w:val="4658"/>
          <w:jc w:val="right"/>
        </w:trPr>
        <w:tc>
          <w:tcPr>
            <w:tcW w:w="7497" w:type="dxa"/>
          </w:tcPr>
          <w:p w:rsidR="00361FCE" w:rsidRPr="00840530" w:rsidRDefault="00361FCE" w:rsidP="00902050">
            <w:pPr>
              <w:rPr>
                <w:rFonts w:ascii="Arial" w:hAnsi="Arial" w:cs="Arial"/>
                <w:sz w:val="16"/>
                <w:szCs w:val="16"/>
              </w:rPr>
            </w:pPr>
          </w:p>
          <w:p w:rsidR="000E6695" w:rsidRPr="000E6695" w:rsidRDefault="000E6695" w:rsidP="000E6695">
            <w:pPr>
              <w:pStyle w:val="Epgrafe"/>
              <w:rPr>
                <w:rFonts w:ascii="Arial" w:hAnsi="Arial" w:cs="Arial"/>
                <w:bCs w:val="0"/>
                <w:color w:val="auto"/>
                <w:sz w:val="16"/>
                <w:szCs w:val="16"/>
              </w:rPr>
            </w:pPr>
            <w:bookmarkStart w:id="513" w:name="_Toc341043977"/>
            <w:r>
              <w:rPr>
                <w:rFonts w:ascii="Arial" w:hAnsi="Arial" w:cs="Arial"/>
                <w:bCs w:val="0"/>
                <w:color w:val="auto"/>
                <w:sz w:val="16"/>
                <w:szCs w:val="16"/>
              </w:rPr>
              <w:t>Figura 4.</w:t>
            </w:r>
            <w:r w:rsidR="00990535" w:rsidRPr="000E6695">
              <w:rPr>
                <w:rFonts w:ascii="Arial" w:hAnsi="Arial" w:cs="Arial"/>
                <w:bCs w:val="0"/>
                <w:color w:val="auto"/>
                <w:sz w:val="16"/>
                <w:szCs w:val="16"/>
              </w:rPr>
              <w:fldChar w:fldCharType="begin"/>
            </w:r>
            <w:r w:rsidRPr="000E6695">
              <w:rPr>
                <w:rFonts w:ascii="Arial" w:hAnsi="Arial" w:cs="Arial"/>
                <w:bCs w:val="0"/>
                <w:color w:val="auto"/>
                <w:sz w:val="16"/>
                <w:szCs w:val="16"/>
              </w:rPr>
              <w:instrText xml:space="preserve"> SEQ Figura_4. \* ARABIC </w:instrText>
            </w:r>
            <w:r w:rsidR="00990535" w:rsidRPr="000E6695">
              <w:rPr>
                <w:rFonts w:ascii="Arial" w:hAnsi="Arial" w:cs="Arial"/>
                <w:bCs w:val="0"/>
                <w:color w:val="auto"/>
                <w:sz w:val="16"/>
                <w:szCs w:val="16"/>
              </w:rPr>
              <w:fldChar w:fldCharType="separate"/>
            </w:r>
            <w:r w:rsidR="00A242E0">
              <w:rPr>
                <w:rFonts w:ascii="Arial" w:hAnsi="Arial" w:cs="Arial"/>
                <w:bCs w:val="0"/>
                <w:noProof/>
                <w:color w:val="auto"/>
                <w:sz w:val="16"/>
                <w:szCs w:val="16"/>
              </w:rPr>
              <w:t>5</w:t>
            </w:r>
            <w:bookmarkEnd w:id="513"/>
            <w:r w:rsidR="00990535" w:rsidRPr="000E6695">
              <w:rPr>
                <w:rFonts w:ascii="Arial" w:hAnsi="Arial" w:cs="Arial"/>
                <w:bCs w:val="0"/>
                <w:color w:val="auto"/>
                <w:sz w:val="16"/>
                <w:szCs w:val="16"/>
              </w:rPr>
              <w:fldChar w:fldCharType="end"/>
            </w:r>
          </w:p>
          <w:p w:rsidR="00361FCE" w:rsidRDefault="00DA5C00"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Tasa por cada 1000 </w:t>
            </w:r>
            <w:r w:rsidR="00361FCE" w:rsidRPr="009E552B">
              <w:rPr>
                <w:rFonts w:ascii="Arial" w:hAnsi="Arial" w:cs="Arial"/>
                <w:b/>
                <w:i/>
                <w:sz w:val="16"/>
                <w:szCs w:val="16"/>
              </w:rPr>
              <w:t>colombianos</w:t>
            </w:r>
            <w:r w:rsidR="00361FCE">
              <w:rPr>
                <w:rFonts w:ascii="Arial" w:hAnsi="Arial" w:cs="Arial"/>
                <w:i/>
                <w:sz w:val="16"/>
                <w:szCs w:val="16"/>
              </w:rPr>
              <w:t xml:space="preserve"> por zona urb</w:t>
            </w:r>
            <w:r>
              <w:rPr>
                <w:rFonts w:ascii="Arial" w:hAnsi="Arial" w:cs="Arial"/>
                <w:i/>
                <w:sz w:val="16"/>
                <w:szCs w:val="16"/>
              </w:rPr>
              <w:t>ana y rural por Sexo y Grupo etario</w:t>
            </w:r>
          </w:p>
          <w:p w:rsidR="00361FCE" w:rsidRDefault="00436907" w:rsidP="00902050">
            <w:pPr>
              <w:rPr>
                <w:rFonts w:ascii="Arial" w:hAnsi="Arial" w:cs="Arial"/>
                <w:i/>
                <w:sz w:val="16"/>
                <w:szCs w:val="16"/>
              </w:rPr>
            </w:pPr>
            <w:r>
              <w:rPr>
                <w:rFonts w:ascii="Arial" w:hAnsi="Arial" w:cs="Arial"/>
                <w:noProof/>
                <w:lang w:eastAsia="es-EC"/>
              </w:rPr>
              <w:pict>
                <v:shape id="_x0000_s2152" type="#_x0000_t32" style="position:absolute;left:0;text-align:left;margin-left:160.8pt;margin-top:74.5pt;width:9.75pt;height:18.75pt;flip:y;z-index:251921920" o:connectortype="straight" strokecolor="#e36c0a [2409]">
                  <v:stroke endarrow="block"/>
                </v:shape>
              </w:pict>
            </w:r>
            <w:r>
              <w:rPr>
                <w:rFonts w:ascii="Arial" w:hAnsi="Arial" w:cs="Arial"/>
                <w:noProof/>
                <w:lang w:eastAsia="es-EC"/>
              </w:rPr>
              <w:pict>
                <v:shape id="_x0000_s1468" type="#_x0000_t202" style="position:absolute;left:0;text-align:left;margin-left:113.05pt;margin-top:87.25pt;width:96.95pt;height:20.25pt;z-index:25148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Área Rural</w:t>
                        </w:r>
                      </w:p>
                    </w:txbxContent>
                  </v:textbox>
                </v:shape>
              </w:pict>
            </w:r>
            <w:r>
              <w:rPr>
                <w:rFonts w:ascii="Arial" w:hAnsi="Arial" w:cs="Arial"/>
                <w:noProof/>
                <w:lang w:eastAsia="es-EC"/>
              </w:rPr>
              <w:pict>
                <v:shape id="_x0000_s2150" type="#_x0000_t32" style="position:absolute;left:0;text-align:left;margin-left:164.55pt;margin-top:25.75pt;width:6pt;height:13.5pt;z-index:251919872" o:connectortype="straight" strokecolor="#0070c0">
                  <v:stroke endarrow="block"/>
                </v:shape>
              </w:pict>
            </w:r>
            <w:r>
              <w:rPr>
                <w:rFonts w:ascii="Arial" w:hAnsi="Arial" w:cs="Arial"/>
                <w:noProof/>
                <w:lang w:eastAsia="es-EC"/>
              </w:rPr>
              <w:pict>
                <v:shape id="_x0000_s1466" type="#_x0000_t202" style="position:absolute;left:0;text-align:left;margin-left:115.3pt;margin-top:12.25pt;width:96.95pt;height:20.25pt;z-index:25148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Área Urbana</w:t>
                        </w:r>
                      </w:p>
                    </w:txbxContent>
                  </v:textbox>
                </v:shape>
              </w:pict>
            </w:r>
            <w:r>
              <w:rPr>
                <w:noProof/>
              </w:rPr>
              <w:pict>
                <v:shape id="_x0000_s1464" type="#_x0000_t202" style="position:absolute;left:0;text-align:left;margin-left:252.55pt;margin-top:15.75pt;width:96.95pt;height:20.25pt;z-index:25148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drawing>
                <wp:inline distT="0" distB="0" distL="0" distR="0">
                  <wp:extent cx="4211955" cy="183600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61FCE" w:rsidRPr="00660711" w:rsidRDefault="00436907" w:rsidP="00902050">
            <w:pPr>
              <w:rPr>
                <w:rFonts w:ascii="Arial" w:hAnsi="Arial" w:cs="Arial"/>
                <w:i/>
                <w:sz w:val="16"/>
                <w:szCs w:val="16"/>
              </w:rPr>
            </w:pPr>
            <w:r>
              <w:rPr>
                <w:rFonts w:ascii="Arial" w:hAnsi="Arial" w:cs="Arial"/>
                <w:b/>
                <w:i/>
                <w:noProof/>
                <w:sz w:val="18"/>
                <w:szCs w:val="18"/>
                <w:lang w:eastAsia="es-EC"/>
              </w:rPr>
              <w:pict>
                <v:shape id="_x0000_s1469" type="#_x0000_t202" style="position:absolute;left:0;text-align:left;margin-left:102.55pt;margin-top:83.05pt;width:96.95pt;height:20.25pt;z-index:25148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Área Rural</w:t>
                        </w:r>
                      </w:p>
                    </w:txbxContent>
                  </v:textbox>
                </v:shape>
              </w:pict>
            </w:r>
            <w:r>
              <w:rPr>
                <w:rFonts w:ascii="Arial" w:hAnsi="Arial" w:cs="Arial"/>
                <w:noProof/>
                <w:lang w:eastAsia="es-EC"/>
              </w:rPr>
              <w:pict>
                <v:shape id="_x0000_s2153" type="#_x0000_t32" style="position:absolute;left:0;text-align:left;margin-left:157.05pt;margin-top:76.3pt;width:13.5pt;height:11.8pt;flip:y;z-index:251922944" o:connectortype="straight" strokecolor="#e36c0a [2409]">
                  <v:stroke endarrow="block"/>
                </v:shape>
              </w:pict>
            </w:r>
            <w:r>
              <w:rPr>
                <w:rFonts w:ascii="Arial" w:hAnsi="Arial" w:cs="Arial"/>
                <w:noProof/>
                <w:lang w:eastAsia="es-EC"/>
              </w:rPr>
              <w:pict>
                <v:shape id="_x0000_s1467" type="#_x0000_t202" style="position:absolute;left:0;text-align:left;margin-left:113.8pt;margin-top:11.05pt;width:96.95pt;height:20.25pt;z-index:25148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Área Urbana</w:t>
                        </w:r>
                      </w:p>
                    </w:txbxContent>
                  </v:textbox>
                </v:shape>
              </w:pict>
            </w:r>
            <w:r>
              <w:rPr>
                <w:rFonts w:ascii="Arial" w:hAnsi="Arial" w:cs="Arial"/>
                <w:b/>
                <w:i/>
                <w:noProof/>
                <w:sz w:val="18"/>
                <w:szCs w:val="18"/>
                <w:lang w:eastAsia="es-EC"/>
              </w:rPr>
              <w:pict>
                <v:shape id="_x0000_s2151" type="#_x0000_t32" style="position:absolute;left:0;text-align:left;margin-left:160.8pt;margin-top:23.8pt;width:9.75pt;height:14.05pt;z-index:251920896" o:connectortype="straight" strokecolor="#0070c0">
                  <v:stroke endarrow="block"/>
                </v:shape>
              </w:pict>
            </w:r>
            <w:r>
              <w:rPr>
                <w:rFonts w:ascii="Arial" w:hAnsi="Arial" w:cs="Arial"/>
                <w:noProof/>
                <w:sz w:val="18"/>
                <w:szCs w:val="18"/>
                <w:lang w:eastAsia="es-EC"/>
              </w:rPr>
              <w:pict>
                <v:shape id="_x0000_s1465" type="#_x0000_t202" style="position:absolute;left:0;text-align:left;margin-left:252.55pt;margin-top:12.55pt;width:96.95pt;height:20.25pt;z-index:25148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drawing>
                <wp:inline distT="0" distB="0" distL="0" distR="0">
                  <wp:extent cx="4211955" cy="18360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bl>
    <w:p w:rsidR="00361FCE" w:rsidRPr="00DA5C00" w:rsidRDefault="00361FCE" w:rsidP="00DA5C00">
      <w:pPr>
        <w:pStyle w:val="Prrafodelista"/>
        <w:spacing w:line="276" w:lineRule="auto"/>
        <w:ind w:left="851"/>
        <w:jc w:val="both"/>
        <w:rPr>
          <w:rFonts w:ascii="Arial" w:hAnsi="Arial" w:cs="Arial"/>
          <w:sz w:val="17"/>
          <w:szCs w:val="17"/>
        </w:rPr>
      </w:pPr>
    </w:p>
    <w:p w:rsidR="00361FCE" w:rsidRPr="00DA5C00" w:rsidRDefault="00361FCE" w:rsidP="00DA5C00">
      <w:pPr>
        <w:pStyle w:val="Prrafodelista"/>
        <w:spacing w:line="276" w:lineRule="auto"/>
        <w:ind w:left="851"/>
        <w:jc w:val="both"/>
        <w:rPr>
          <w:rFonts w:ascii="Arial" w:hAnsi="Arial" w:cs="Arial"/>
          <w:sz w:val="17"/>
          <w:szCs w:val="17"/>
        </w:rPr>
      </w:pPr>
      <w:r w:rsidRPr="00DA5C00">
        <w:rPr>
          <w:rFonts w:ascii="Arial" w:hAnsi="Arial" w:cs="Arial"/>
          <w:b/>
          <w:i/>
          <w:sz w:val="17"/>
          <w:szCs w:val="17"/>
        </w:rPr>
        <w:t>Fuente:</w:t>
      </w:r>
      <w:r w:rsidRPr="00DA5C00">
        <w:rPr>
          <w:rFonts w:ascii="Arial" w:hAnsi="Arial" w:cs="Arial"/>
          <w:sz w:val="17"/>
          <w:szCs w:val="17"/>
        </w:rPr>
        <w:t xml:space="preserve"> </w:t>
      </w:r>
      <w:r w:rsidRPr="00DA5C00">
        <w:rPr>
          <w:rFonts w:ascii="Arial" w:hAnsi="Arial" w:cs="Arial"/>
          <w:b/>
          <w:sz w:val="17"/>
          <w:szCs w:val="17"/>
        </w:rPr>
        <w:t xml:space="preserve">INEC </w:t>
      </w:r>
      <w:r w:rsidRPr="00DA5C00">
        <w:rPr>
          <w:rFonts w:ascii="Arial" w:hAnsi="Arial" w:cs="Arial"/>
          <w:sz w:val="17"/>
          <w:szCs w:val="17"/>
        </w:rPr>
        <w:t>(2010), Base de Datos del VII Censo de Población y VI de Vivienda.</w:t>
      </w:r>
    </w:p>
    <w:p w:rsidR="00361FCE" w:rsidRPr="00DA5C00" w:rsidRDefault="00361FCE" w:rsidP="00DA5C00">
      <w:pPr>
        <w:pStyle w:val="Prrafodelista"/>
        <w:spacing w:line="276" w:lineRule="auto"/>
        <w:ind w:left="851"/>
        <w:jc w:val="both"/>
        <w:rPr>
          <w:rFonts w:ascii="Arial" w:hAnsi="Arial" w:cs="Arial"/>
          <w:sz w:val="17"/>
          <w:szCs w:val="17"/>
        </w:rPr>
      </w:pPr>
      <w:r w:rsidRPr="00DA5C00">
        <w:rPr>
          <w:rFonts w:ascii="Arial" w:hAnsi="Arial" w:cs="Arial"/>
          <w:b/>
          <w:i/>
          <w:sz w:val="17"/>
          <w:szCs w:val="17"/>
        </w:rPr>
        <w:t>Elaborado por:</w:t>
      </w:r>
      <w:r w:rsidRPr="00DA5C00">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C75F38" w:rsidP="00DA5C00">
      <w:pPr>
        <w:pStyle w:val="Estilo42"/>
        <w:ind w:left="1560" w:hanging="709"/>
      </w:pPr>
      <w:bookmarkStart w:id="514" w:name="_Toc337135517"/>
      <w:bookmarkStart w:id="515" w:name="_Toc341040667"/>
      <w:r>
        <w:t>A</w:t>
      </w:r>
      <w:r w:rsidR="00361FCE">
        <w:t>ños de residencia en Ecuador</w:t>
      </w:r>
      <w:bookmarkEnd w:id="514"/>
      <w:r>
        <w:t xml:space="preserve"> de los colombianos</w:t>
      </w:r>
      <w:bookmarkEnd w:id="515"/>
    </w:p>
    <w:p w:rsidR="00361FCE" w:rsidRPr="0089100D" w:rsidRDefault="00361FCE" w:rsidP="00DA5C00">
      <w:pPr>
        <w:pStyle w:val="Prrafodelista"/>
        <w:tabs>
          <w:tab w:val="left" w:pos="1785"/>
        </w:tabs>
        <w:spacing w:line="480" w:lineRule="auto"/>
        <w:ind w:left="851"/>
        <w:jc w:val="both"/>
        <w:rPr>
          <w:rFonts w:ascii="Arial" w:hAnsi="Arial" w:cs="Arial"/>
          <w:i/>
        </w:rPr>
      </w:pPr>
      <w:r>
        <w:rPr>
          <w:rFonts w:ascii="Arial" w:hAnsi="Arial" w:cs="Arial"/>
        </w:rPr>
        <w:t xml:space="preserve">De los colombianos residentes en el país y que fueron empadronados el 28 de noviembre de 2010, se encontró que existe un colombiano que llegó a nuestro país en el año 1910, se registró otro que llegó 5 años más tarde, es </w:t>
      </w:r>
      <w:r>
        <w:rPr>
          <w:rFonts w:ascii="Arial" w:hAnsi="Arial" w:cs="Arial"/>
        </w:rPr>
        <w:lastRenderedPageBreak/>
        <w:t xml:space="preserve">decir en 1915; y, así hasta que en el 2010 llegaron </w:t>
      </w:r>
      <w:r w:rsidRPr="005571F6">
        <w:rPr>
          <w:rFonts w:ascii="Arial" w:hAnsi="Arial" w:cs="Arial"/>
        </w:rPr>
        <w:t>10928</w:t>
      </w:r>
      <w:r>
        <w:rPr>
          <w:rFonts w:ascii="Arial" w:hAnsi="Arial" w:cs="Arial"/>
        </w:rPr>
        <w:t xml:space="preserve"> colombianos. En general, se tiene que del total de colombianos residentes en Ecuador el 12.15% llegaron al país hace menos de 1 año, el 54.30% llegaron entre 1 y 20 años, es decir entre los años 2009 y 1991, el 12.63% entre 20 y 40 años, el 4.64% entre 40 y 60 años; y, el 15.12% de los colombianos no respondieron esta pregunta. </w:t>
      </w:r>
      <w:r w:rsidRPr="00C82CB7">
        <w:rPr>
          <w:rFonts w:ascii="Arial" w:hAnsi="Arial" w:cs="Arial"/>
          <w:i/>
        </w:rPr>
        <w:t>Véase</w:t>
      </w:r>
      <w:r>
        <w:rPr>
          <w:rFonts w:ascii="Arial" w:hAnsi="Arial" w:cs="Arial"/>
        </w:rPr>
        <w:t xml:space="preserve"> </w:t>
      </w:r>
      <w:r>
        <w:rPr>
          <w:rFonts w:ascii="Arial" w:hAnsi="Arial" w:cs="Arial"/>
          <w:i/>
        </w:rPr>
        <w:t>Figura 4.6.</w:t>
      </w:r>
    </w:p>
    <w:tbl>
      <w:tblPr>
        <w:tblStyle w:val="Tablaconcuadrcula"/>
        <w:tblW w:w="7497" w:type="dxa"/>
        <w:jc w:val="right"/>
        <w:tblInd w:w="1191"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36"/>
      </w:tblGrid>
      <w:tr w:rsidR="00361FCE" w:rsidRPr="00840530" w:rsidTr="00597554">
        <w:trPr>
          <w:trHeight w:val="3518"/>
          <w:jc w:val="right"/>
        </w:trPr>
        <w:tc>
          <w:tcPr>
            <w:tcW w:w="7497" w:type="dxa"/>
          </w:tcPr>
          <w:p w:rsidR="00361FCE" w:rsidRPr="00840530" w:rsidRDefault="00361FCE" w:rsidP="00902050">
            <w:pPr>
              <w:rPr>
                <w:rFonts w:ascii="Arial" w:hAnsi="Arial" w:cs="Arial"/>
                <w:sz w:val="16"/>
                <w:szCs w:val="16"/>
              </w:rPr>
            </w:pPr>
          </w:p>
          <w:p w:rsidR="000E6695" w:rsidRPr="000E6695" w:rsidRDefault="000E6695" w:rsidP="000E6695">
            <w:pPr>
              <w:pStyle w:val="Epgrafe"/>
              <w:rPr>
                <w:rFonts w:ascii="Arial" w:hAnsi="Arial" w:cs="Arial"/>
                <w:bCs w:val="0"/>
                <w:color w:val="auto"/>
                <w:sz w:val="16"/>
                <w:szCs w:val="16"/>
              </w:rPr>
            </w:pPr>
            <w:bookmarkStart w:id="516" w:name="_Toc341043978"/>
            <w:r w:rsidRPr="000E6695">
              <w:rPr>
                <w:rFonts w:ascii="Arial" w:hAnsi="Arial" w:cs="Arial"/>
                <w:bCs w:val="0"/>
                <w:color w:val="auto"/>
                <w:sz w:val="16"/>
                <w:szCs w:val="16"/>
              </w:rPr>
              <w:t>Figura 4.</w:t>
            </w:r>
            <w:r w:rsidR="00990535" w:rsidRPr="000E6695">
              <w:rPr>
                <w:rFonts w:ascii="Arial" w:hAnsi="Arial" w:cs="Arial"/>
                <w:bCs w:val="0"/>
                <w:color w:val="auto"/>
                <w:sz w:val="16"/>
                <w:szCs w:val="16"/>
              </w:rPr>
              <w:fldChar w:fldCharType="begin"/>
            </w:r>
            <w:r w:rsidRPr="000E6695">
              <w:rPr>
                <w:rFonts w:ascii="Arial" w:hAnsi="Arial" w:cs="Arial"/>
                <w:bCs w:val="0"/>
                <w:color w:val="auto"/>
                <w:sz w:val="16"/>
                <w:szCs w:val="16"/>
              </w:rPr>
              <w:instrText xml:space="preserve"> SEQ Figura_4. \* ARABIC </w:instrText>
            </w:r>
            <w:r w:rsidR="00990535" w:rsidRPr="000E6695">
              <w:rPr>
                <w:rFonts w:ascii="Arial" w:hAnsi="Arial" w:cs="Arial"/>
                <w:bCs w:val="0"/>
                <w:color w:val="auto"/>
                <w:sz w:val="16"/>
                <w:szCs w:val="16"/>
              </w:rPr>
              <w:fldChar w:fldCharType="separate"/>
            </w:r>
            <w:r w:rsidR="00A242E0">
              <w:rPr>
                <w:rFonts w:ascii="Arial" w:hAnsi="Arial" w:cs="Arial"/>
                <w:bCs w:val="0"/>
                <w:noProof/>
                <w:color w:val="auto"/>
                <w:sz w:val="16"/>
                <w:szCs w:val="16"/>
              </w:rPr>
              <w:t>6</w:t>
            </w:r>
            <w:bookmarkEnd w:id="516"/>
            <w:r w:rsidR="00990535" w:rsidRPr="000E6695">
              <w:rPr>
                <w:rFonts w:ascii="Arial" w:hAnsi="Arial" w:cs="Arial"/>
                <w:bCs w:val="0"/>
                <w:color w:val="auto"/>
                <w:sz w:val="16"/>
                <w:szCs w:val="16"/>
              </w:rPr>
              <w:fldChar w:fldCharType="end"/>
            </w:r>
          </w:p>
          <w:p w:rsidR="009E552B" w:rsidRDefault="009E552B"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Frecuencia Relativa de </w:t>
            </w:r>
            <w:r>
              <w:rPr>
                <w:rFonts w:ascii="Arial" w:hAnsi="Arial" w:cs="Arial"/>
                <w:i/>
                <w:sz w:val="16"/>
                <w:szCs w:val="16"/>
              </w:rPr>
              <w:t>la cantidad de a</w:t>
            </w:r>
            <w:r w:rsidR="00361FCE">
              <w:rPr>
                <w:rFonts w:ascii="Arial" w:hAnsi="Arial" w:cs="Arial"/>
                <w:i/>
                <w:sz w:val="16"/>
                <w:szCs w:val="16"/>
              </w:rPr>
              <w:t xml:space="preserve">ños </w:t>
            </w:r>
            <w:r>
              <w:rPr>
                <w:rFonts w:ascii="Arial" w:hAnsi="Arial" w:cs="Arial"/>
                <w:i/>
                <w:sz w:val="16"/>
                <w:szCs w:val="16"/>
              </w:rPr>
              <w:t>de residencia en el</w:t>
            </w:r>
          </w:p>
          <w:p w:rsidR="00361FCE" w:rsidRDefault="009E552B" w:rsidP="00902050">
            <w:pPr>
              <w:rPr>
                <w:rFonts w:ascii="Arial" w:hAnsi="Arial" w:cs="Arial"/>
                <w:i/>
                <w:sz w:val="16"/>
                <w:szCs w:val="16"/>
              </w:rPr>
            </w:pPr>
            <w:r>
              <w:rPr>
                <w:rFonts w:ascii="Arial" w:hAnsi="Arial" w:cs="Arial"/>
                <w:i/>
                <w:sz w:val="16"/>
                <w:szCs w:val="16"/>
              </w:rPr>
              <w:t xml:space="preserve"> país de la población </w:t>
            </w:r>
            <w:r>
              <w:rPr>
                <w:rFonts w:ascii="Arial" w:hAnsi="Arial" w:cs="Arial"/>
                <w:b/>
                <w:i/>
                <w:sz w:val="16"/>
                <w:szCs w:val="16"/>
              </w:rPr>
              <w:t>colombiana</w:t>
            </w:r>
          </w:p>
          <w:tbl>
            <w:tblPr>
              <w:tblStyle w:val="Tablaconcuadrcula"/>
              <w:tblW w:w="7285" w:type="dxa"/>
              <w:jc w:val="center"/>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686"/>
              <w:gridCol w:w="4599"/>
            </w:tblGrid>
            <w:tr w:rsidR="00361FCE" w:rsidRPr="00A22FF9" w:rsidTr="00597554">
              <w:trPr>
                <w:trHeight w:val="2779"/>
                <w:jc w:val="center"/>
              </w:trPr>
              <w:tc>
                <w:tcPr>
                  <w:tcW w:w="2686" w:type="dxa"/>
                </w:tcPr>
                <w:p w:rsidR="00361FCE" w:rsidRDefault="00361FCE" w:rsidP="00902050">
                  <w:pPr>
                    <w:rPr>
                      <w:rFonts w:ascii="Arial" w:hAnsi="Arial" w:cs="Arial"/>
                      <w:b/>
                      <w:sz w:val="16"/>
                      <w:szCs w:val="16"/>
                    </w:rPr>
                  </w:pPr>
                  <w:r w:rsidRPr="005400D0">
                    <w:rPr>
                      <w:noProof/>
                      <w:sz w:val="10"/>
                      <w:szCs w:val="10"/>
                      <w:lang w:eastAsia="es-EC"/>
                    </w:rPr>
                    <w:t xml:space="preserve"> </w:t>
                  </w:r>
                </w:p>
                <w:p w:rsidR="00361FCE" w:rsidRPr="00A22FF9" w:rsidRDefault="00361FCE" w:rsidP="00902050">
                  <w:pPr>
                    <w:ind w:left="201"/>
                    <w:rPr>
                      <w:rFonts w:ascii="Arial" w:hAnsi="Arial" w:cs="Arial"/>
                      <w:b/>
                      <w:sz w:val="16"/>
                      <w:szCs w:val="16"/>
                    </w:rPr>
                  </w:pPr>
                  <w:r w:rsidRPr="00A22FF9">
                    <w:rPr>
                      <w:rFonts w:ascii="Arial" w:hAnsi="Arial" w:cs="Arial"/>
                      <w:b/>
                      <w:sz w:val="16"/>
                      <w:szCs w:val="16"/>
                    </w:rPr>
                    <w:t>Tabla de Frecuencias</w:t>
                  </w:r>
                </w:p>
                <w:p w:rsidR="00361FCE" w:rsidRDefault="00361FCE" w:rsidP="00902050">
                  <w:pPr>
                    <w:rPr>
                      <w:rFonts w:ascii="Arial" w:hAnsi="Arial" w:cs="Arial"/>
                      <w:sz w:val="10"/>
                      <w:szCs w:val="10"/>
                    </w:rPr>
                  </w:pPr>
                </w:p>
                <w:p w:rsidR="00361FCE" w:rsidRPr="00A22FF9" w:rsidRDefault="00361FCE" w:rsidP="00902050">
                  <w:pPr>
                    <w:rPr>
                      <w:rFonts w:ascii="Arial" w:hAnsi="Arial" w:cs="Arial"/>
                      <w:sz w:val="10"/>
                      <w:szCs w:val="10"/>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361FCE" w:rsidRPr="007E0001" w:rsidTr="00902050">
                    <w:trPr>
                      <w:trHeight w:val="198"/>
                      <w:jc w:val="center"/>
                    </w:trPr>
                    <w:tc>
                      <w:tcPr>
                        <w:tcW w:w="1200" w:type="dxa"/>
                        <w:tcBorders>
                          <w:top w:val="single" w:sz="4" w:space="0" w:color="auto"/>
                          <w:left w:val="nil"/>
                          <w:bottom w:val="single" w:sz="4" w:space="0" w:color="auto"/>
                          <w:right w:val="nil"/>
                        </w:tcBorders>
                        <w:shd w:val="clear" w:color="auto" w:fill="auto"/>
                        <w:vAlign w:val="center"/>
                        <w:hideMark/>
                      </w:tcPr>
                      <w:p w:rsidR="00361FCE" w:rsidRPr="007E0001" w:rsidRDefault="00361FCE" w:rsidP="00902050">
                        <w:pPr>
                          <w:rPr>
                            <w:rFonts w:ascii="Arial" w:eastAsia="Times New Roman" w:hAnsi="Arial" w:cs="Arial"/>
                            <w:b/>
                            <w:bCs/>
                            <w:color w:val="000000"/>
                            <w:sz w:val="16"/>
                            <w:szCs w:val="16"/>
                            <w:lang w:eastAsia="es-EC"/>
                          </w:rPr>
                        </w:pPr>
                        <w:r w:rsidRPr="007E0001">
                          <w:rPr>
                            <w:rFonts w:ascii="Arial" w:eastAsia="Times New Roman" w:hAnsi="Arial" w:cs="Arial"/>
                            <w:b/>
                            <w:bCs/>
                            <w:color w:val="000000"/>
                            <w:sz w:val="16"/>
                            <w:szCs w:val="16"/>
                            <w:lang w:eastAsia="es-EC"/>
                          </w:rPr>
                          <w:t>Años de residencia en Ecuador</w:t>
                        </w:r>
                      </w:p>
                    </w:tc>
                    <w:tc>
                      <w:tcPr>
                        <w:tcW w:w="1200" w:type="dxa"/>
                        <w:tcBorders>
                          <w:top w:val="single" w:sz="4" w:space="0" w:color="auto"/>
                          <w:left w:val="nil"/>
                          <w:bottom w:val="single" w:sz="4" w:space="0" w:color="auto"/>
                          <w:right w:val="nil"/>
                        </w:tcBorders>
                        <w:shd w:val="clear" w:color="auto" w:fill="auto"/>
                        <w:vAlign w:val="center"/>
                        <w:hideMark/>
                      </w:tcPr>
                      <w:p w:rsidR="00361FCE" w:rsidRPr="007E0001" w:rsidRDefault="00361FCE" w:rsidP="00902050">
                        <w:pPr>
                          <w:rPr>
                            <w:rFonts w:ascii="Arial" w:eastAsia="Times New Roman" w:hAnsi="Arial" w:cs="Arial"/>
                            <w:b/>
                            <w:bCs/>
                            <w:color w:val="000000"/>
                            <w:sz w:val="16"/>
                            <w:szCs w:val="16"/>
                            <w:lang w:eastAsia="es-EC"/>
                          </w:rPr>
                        </w:pPr>
                        <w:r w:rsidRPr="007E0001">
                          <w:rPr>
                            <w:rFonts w:ascii="Arial" w:eastAsia="Times New Roman" w:hAnsi="Arial" w:cs="Arial"/>
                            <w:b/>
                            <w:bCs/>
                            <w:color w:val="000000"/>
                            <w:sz w:val="16"/>
                            <w:szCs w:val="16"/>
                            <w:lang w:eastAsia="es-EC"/>
                          </w:rPr>
                          <w:t>Frecuencia Relativa</w:t>
                        </w:r>
                      </w:p>
                    </w:tc>
                  </w:tr>
                  <w:tr w:rsidR="00361FCE" w:rsidRPr="007E0001" w:rsidTr="00902050">
                    <w:trPr>
                      <w:trHeight w:val="198"/>
                      <w:jc w:val="center"/>
                    </w:trPr>
                    <w:tc>
                      <w:tcPr>
                        <w:tcW w:w="1200" w:type="dxa"/>
                        <w:tcBorders>
                          <w:top w:val="nil"/>
                          <w:left w:val="nil"/>
                          <w:bottom w:val="nil"/>
                          <w:right w:val="nil"/>
                        </w:tcBorders>
                        <w:shd w:val="clear" w:color="auto" w:fill="auto"/>
                        <w:noWrap/>
                        <w:vAlign w:val="center"/>
                        <w:hideMark/>
                      </w:tcPr>
                      <w:p w:rsidR="00361FCE" w:rsidRPr="007E0001" w:rsidRDefault="00361FCE" w:rsidP="00902050">
                        <w:pPr>
                          <w:rPr>
                            <w:rFonts w:ascii="Arial" w:eastAsia="Times New Roman" w:hAnsi="Arial" w:cs="Arial"/>
                            <w:color w:val="000000"/>
                            <w:sz w:val="16"/>
                            <w:szCs w:val="16"/>
                            <w:lang w:eastAsia="es-EC"/>
                          </w:rPr>
                        </w:pPr>
                        <w:r w:rsidRPr="007E0001">
                          <w:rPr>
                            <w:rFonts w:ascii="Arial" w:eastAsia="Times New Roman" w:hAnsi="Arial" w:cs="Arial"/>
                            <w:color w:val="000000"/>
                            <w:sz w:val="16"/>
                            <w:szCs w:val="16"/>
                            <w:lang w:eastAsia="es-EC"/>
                          </w:rPr>
                          <w:t>Menos de 1</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0.122</w:t>
                        </w:r>
                      </w:p>
                    </w:tc>
                  </w:tr>
                  <w:tr w:rsidR="00361FCE" w:rsidRPr="007E0001" w:rsidTr="00902050">
                    <w:trPr>
                      <w:trHeight w:val="198"/>
                      <w:jc w:val="center"/>
                    </w:trPr>
                    <w:tc>
                      <w:tcPr>
                        <w:tcW w:w="1200" w:type="dxa"/>
                        <w:tcBorders>
                          <w:top w:val="nil"/>
                          <w:left w:val="nil"/>
                          <w:bottom w:val="nil"/>
                          <w:right w:val="nil"/>
                        </w:tcBorders>
                        <w:shd w:val="clear" w:color="auto" w:fill="auto"/>
                        <w:noWrap/>
                        <w:vAlign w:val="center"/>
                        <w:hideMark/>
                      </w:tcPr>
                      <w:p w:rsidR="00361FCE" w:rsidRPr="007E0001" w:rsidRDefault="00361FCE" w:rsidP="00902050">
                        <w:pPr>
                          <w:rPr>
                            <w:rFonts w:ascii="Arial" w:eastAsia="Times New Roman" w:hAnsi="Arial" w:cs="Arial"/>
                            <w:color w:val="000000"/>
                            <w:sz w:val="16"/>
                            <w:szCs w:val="16"/>
                            <w:lang w:eastAsia="es-EC"/>
                          </w:rPr>
                        </w:pPr>
                        <w:r w:rsidRPr="007E0001">
                          <w:rPr>
                            <w:rFonts w:ascii="Arial" w:eastAsia="Times New Roman" w:hAnsi="Arial" w:cs="Arial"/>
                            <w:color w:val="000000"/>
                            <w:sz w:val="16"/>
                            <w:szCs w:val="16"/>
                            <w:lang w:eastAsia="es-EC"/>
                          </w:rPr>
                          <w:t>[1 - 20)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0.543</w:t>
                        </w:r>
                      </w:p>
                    </w:tc>
                  </w:tr>
                  <w:tr w:rsidR="00361FCE" w:rsidRPr="007E0001" w:rsidTr="00902050">
                    <w:trPr>
                      <w:trHeight w:val="198"/>
                      <w:jc w:val="center"/>
                    </w:trPr>
                    <w:tc>
                      <w:tcPr>
                        <w:tcW w:w="1200" w:type="dxa"/>
                        <w:tcBorders>
                          <w:top w:val="nil"/>
                          <w:left w:val="nil"/>
                          <w:bottom w:val="nil"/>
                          <w:right w:val="nil"/>
                        </w:tcBorders>
                        <w:shd w:val="clear" w:color="auto" w:fill="auto"/>
                        <w:noWrap/>
                        <w:vAlign w:val="center"/>
                        <w:hideMark/>
                      </w:tcPr>
                      <w:p w:rsidR="00361FCE" w:rsidRPr="007E0001" w:rsidRDefault="00361FCE" w:rsidP="00902050">
                        <w:pPr>
                          <w:rPr>
                            <w:rFonts w:ascii="Arial" w:eastAsia="Times New Roman" w:hAnsi="Arial" w:cs="Arial"/>
                            <w:color w:val="000000"/>
                            <w:sz w:val="16"/>
                            <w:szCs w:val="16"/>
                            <w:lang w:eastAsia="es-EC"/>
                          </w:rPr>
                        </w:pPr>
                        <w:r w:rsidRPr="007E0001">
                          <w:rPr>
                            <w:rFonts w:ascii="Arial" w:eastAsia="Times New Roman" w:hAnsi="Arial" w:cs="Arial"/>
                            <w:color w:val="000000"/>
                            <w:sz w:val="16"/>
                            <w:szCs w:val="16"/>
                            <w:lang w:eastAsia="es-EC"/>
                          </w:rPr>
                          <w:t>[20 - 40)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0.126</w:t>
                        </w:r>
                      </w:p>
                    </w:tc>
                  </w:tr>
                  <w:tr w:rsidR="00361FCE" w:rsidRPr="007E0001" w:rsidTr="00902050">
                    <w:trPr>
                      <w:trHeight w:val="198"/>
                      <w:jc w:val="center"/>
                    </w:trPr>
                    <w:tc>
                      <w:tcPr>
                        <w:tcW w:w="1200" w:type="dxa"/>
                        <w:tcBorders>
                          <w:top w:val="nil"/>
                          <w:left w:val="nil"/>
                          <w:bottom w:val="nil"/>
                          <w:right w:val="nil"/>
                        </w:tcBorders>
                        <w:shd w:val="clear" w:color="auto" w:fill="auto"/>
                        <w:noWrap/>
                        <w:vAlign w:val="center"/>
                        <w:hideMark/>
                      </w:tcPr>
                      <w:p w:rsidR="00361FCE" w:rsidRPr="007E0001" w:rsidRDefault="00361FCE" w:rsidP="00902050">
                        <w:pPr>
                          <w:rPr>
                            <w:rFonts w:ascii="Arial" w:eastAsia="Times New Roman" w:hAnsi="Arial" w:cs="Arial"/>
                            <w:color w:val="000000"/>
                            <w:sz w:val="16"/>
                            <w:szCs w:val="16"/>
                            <w:lang w:eastAsia="es-EC"/>
                          </w:rPr>
                        </w:pPr>
                        <w:r w:rsidRPr="007E0001">
                          <w:rPr>
                            <w:rFonts w:ascii="Arial" w:eastAsia="Times New Roman" w:hAnsi="Arial" w:cs="Arial"/>
                            <w:color w:val="000000"/>
                            <w:sz w:val="16"/>
                            <w:szCs w:val="16"/>
                            <w:lang w:eastAsia="es-EC"/>
                          </w:rPr>
                          <w:t>[40 - 60)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0.046</w:t>
                        </w:r>
                      </w:p>
                    </w:tc>
                  </w:tr>
                  <w:tr w:rsidR="00361FCE" w:rsidRPr="007E0001" w:rsidTr="00902050">
                    <w:trPr>
                      <w:trHeight w:val="198"/>
                      <w:jc w:val="center"/>
                    </w:trPr>
                    <w:tc>
                      <w:tcPr>
                        <w:tcW w:w="1200" w:type="dxa"/>
                        <w:tcBorders>
                          <w:top w:val="nil"/>
                          <w:left w:val="nil"/>
                          <w:bottom w:val="nil"/>
                          <w:right w:val="nil"/>
                        </w:tcBorders>
                        <w:shd w:val="clear" w:color="auto" w:fill="auto"/>
                        <w:noWrap/>
                        <w:vAlign w:val="center"/>
                        <w:hideMark/>
                      </w:tcPr>
                      <w:p w:rsidR="00361FCE" w:rsidRPr="007E0001" w:rsidRDefault="00361FCE" w:rsidP="00902050">
                        <w:pPr>
                          <w:rPr>
                            <w:rFonts w:ascii="Arial" w:eastAsia="Times New Roman" w:hAnsi="Arial" w:cs="Arial"/>
                            <w:color w:val="000000"/>
                            <w:sz w:val="16"/>
                            <w:szCs w:val="16"/>
                            <w:lang w:eastAsia="es-EC"/>
                          </w:rPr>
                        </w:pPr>
                        <w:r w:rsidRPr="007E0001">
                          <w:rPr>
                            <w:rFonts w:ascii="Arial" w:eastAsia="Times New Roman" w:hAnsi="Arial" w:cs="Arial"/>
                            <w:color w:val="000000"/>
                            <w:sz w:val="16"/>
                            <w:szCs w:val="16"/>
                            <w:lang w:eastAsia="es-EC"/>
                          </w:rPr>
                          <w:t>[60 - 80)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0.011</w:t>
                        </w:r>
                      </w:p>
                    </w:tc>
                  </w:tr>
                  <w:tr w:rsidR="00361FCE" w:rsidRPr="007E0001" w:rsidTr="00902050">
                    <w:trPr>
                      <w:trHeight w:val="198"/>
                      <w:jc w:val="center"/>
                    </w:trPr>
                    <w:tc>
                      <w:tcPr>
                        <w:tcW w:w="1200" w:type="dxa"/>
                        <w:tcBorders>
                          <w:top w:val="nil"/>
                          <w:left w:val="nil"/>
                          <w:right w:val="nil"/>
                        </w:tcBorders>
                        <w:shd w:val="clear" w:color="auto" w:fill="auto"/>
                        <w:noWrap/>
                        <w:vAlign w:val="center"/>
                        <w:hideMark/>
                      </w:tcPr>
                      <w:p w:rsidR="00361FCE" w:rsidRPr="007E0001" w:rsidRDefault="00361FCE" w:rsidP="00902050">
                        <w:pPr>
                          <w:rPr>
                            <w:rFonts w:ascii="Arial" w:eastAsia="Times New Roman" w:hAnsi="Arial" w:cs="Arial"/>
                            <w:color w:val="000000"/>
                            <w:sz w:val="16"/>
                            <w:szCs w:val="16"/>
                            <w:lang w:eastAsia="es-EC"/>
                          </w:rPr>
                        </w:pPr>
                        <w:r w:rsidRPr="007E0001">
                          <w:rPr>
                            <w:rFonts w:ascii="Arial" w:eastAsia="Times New Roman" w:hAnsi="Arial" w:cs="Arial"/>
                            <w:color w:val="000000"/>
                            <w:sz w:val="16"/>
                            <w:szCs w:val="16"/>
                            <w:lang w:eastAsia="es-EC"/>
                          </w:rPr>
                          <w:t>[80 - 100]</w:t>
                        </w:r>
                      </w:p>
                    </w:tc>
                    <w:tc>
                      <w:tcPr>
                        <w:tcW w:w="1200" w:type="dxa"/>
                        <w:tcBorders>
                          <w:top w:val="nil"/>
                          <w:left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0.001</w:t>
                        </w:r>
                      </w:p>
                    </w:tc>
                  </w:tr>
                  <w:tr w:rsidR="00361FCE" w:rsidRPr="007E0001" w:rsidTr="00902050">
                    <w:trPr>
                      <w:trHeight w:val="198"/>
                      <w:jc w:val="center"/>
                    </w:trPr>
                    <w:tc>
                      <w:tcPr>
                        <w:tcW w:w="1200" w:type="dxa"/>
                        <w:tcBorders>
                          <w:top w:val="nil"/>
                          <w:left w:val="nil"/>
                          <w:right w:val="nil"/>
                        </w:tcBorders>
                        <w:shd w:val="clear" w:color="auto" w:fill="auto"/>
                        <w:noWrap/>
                        <w:vAlign w:val="center"/>
                      </w:tcPr>
                      <w:p w:rsidR="00361FCE" w:rsidRPr="001F1C04" w:rsidRDefault="00361FCE" w:rsidP="00902050">
                        <w:pPr>
                          <w:rPr>
                            <w:rFonts w:ascii="Arial" w:eastAsia="Times New Roman" w:hAnsi="Arial" w:cs="Arial"/>
                            <w:bCs/>
                            <w:iCs/>
                            <w:color w:val="000000"/>
                            <w:sz w:val="16"/>
                            <w:szCs w:val="16"/>
                            <w:lang w:eastAsia="es-EC"/>
                          </w:rPr>
                        </w:pPr>
                        <w:r>
                          <w:rPr>
                            <w:rFonts w:ascii="Arial" w:eastAsia="Times New Roman" w:hAnsi="Arial" w:cs="Arial"/>
                            <w:bCs/>
                            <w:iCs/>
                            <w:color w:val="000000"/>
                            <w:sz w:val="16"/>
                            <w:szCs w:val="16"/>
                            <w:lang w:eastAsia="es-EC"/>
                          </w:rPr>
                          <w:t>No declarado</w:t>
                        </w:r>
                      </w:p>
                    </w:tc>
                    <w:tc>
                      <w:tcPr>
                        <w:tcW w:w="1200" w:type="dxa"/>
                        <w:tcBorders>
                          <w:top w:val="nil"/>
                          <w:left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0.151</w:t>
                        </w:r>
                      </w:p>
                    </w:tc>
                  </w:tr>
                  <w:tr w:rsidR="00361FCE" w:rsidRPr="007E0001" w:rsidTr="00902050">
                    <w:trPr>
                      <w:trHeight w:val="198"/>
                      <w:jc w:val="center"/>
                    </w:trPr>
                    <w:tc>
                      <w:tcPr>
                        <w:tcW w:w="1200" w:type="dxa"/>
                        <w:tcBorders>
                          <w:left w:val="nil"/>
                          <w:bottom w:val="single" w:sz="4" w:space="0" w:color="auto"/>
                          <w:right w:val="nil"/>
                        </w:tcBorders>
                        <w:shd w:val="clear" w:color="auto" w:fill="auto"/>
                        <w:noWrap/>
                        <w:vAlign w:val="center"/>
                        <w:hideMark/>
                      </w:tcPr>
                      <w:p w:rsidR="00361FCE" w:rsidRPr="007E0001" w:rsidRDefault="00361FCE" w:rsidP="00902050">
                        <w:pPr>
                          <w:rPr>
                            <w:rFonts w:ascii="Arial" w:eastAsia="Times New Roman" w:hAnsi="Arial" w:cs="Arial"/>
                            <w:b/>
                            <w:bCs/>
                            <w:i/>
                            <w:iCs/>
                            <w:color w:val="000000"/>
                            <w:sz w:val="16"/>
                            <w:szCs w:val="16"/>
                            <w:lang w:eastAsia="es-EC"/>
                          </w:rPr>
                        </w:pPr>
                        <w:r w:rsidRPr="007E0001">
                          <w:rPr>
                            <w:rFonts w:ascii="Arial" w:eastAsia="Times New Roman" w:hAnsi="Arial" w:cs="Arial"/>
                            <w:b/>
                            <w:bCs/>
                            <w:i/>
                            <w:iCs/>
                            <w:color w:val="000000"/>
                            <w:sz w:val="16"/>
                            <w:szCs w:val="16"/>
                            <w:lang w:eastAsia="es-EC"/>
                          </w:rPr>
                          <w:t>Total</w:t>
                        </w:r>
                      </w:p>
                    </w:tc>
                    <w:tc>
                      <w:tcPr>
                        <w:tcW w:w="1200" w:type="dxa"/>
                        <w:tcBorders>
                          <w:left w:val="nil"/>
                          <w:bottom w:val="single" w:sz="4" w:space="0" w:color="auto"/>
                          <w:right w:val="nil"/>
                        </w:tcBorders>
                        <w:shd w:val="clear" w:color="auto" w:fill="auto"/>
                        <w:noWrap/>
                        <w:vAlign w:val="center"/>
                        <w:hideMark/>
                      </w:tcPr>
                      <w:p w:rsidR="00361FCE" w:rsidRPr="007E0001" w:rsidRDefault="00361FCE" w:rsidP="00902050">
                        <w:pPr>
                          <w:rPr>
                            <w:rFonts w:ascii="Arial" w:eastAsia="Times New Roman" w:hAnsi="Arial" w:cs="Arial"/>
                            <w:b/>
                            <w:bCs/>
                            <w:i/>
                            <w:iCs/>
                            <w:color w:val="000000"/>
                            <w:sz w:val="16"/>
                            <w:szCs w:val="16"/>
                            <w:lang w:eastAsia="es-EC"/>
                          </w:rPr>
                        </w:pPr>
                        <w:r w:rsidRPr="007E0001">
                          <w:rPr>
                            <w:rFonts w:ascii="Arial" w:eastAsia="Times New Roman" w:hAnsi="Arial" w:cs="Arial"/>
                            <w:b/>
                            <w:bCs/>
                            <w:i/>
                            <w:iCs/>
                            <w:color w:val="000000"/>
                            <w:sz w:val="16"/>
                            <w:szCs w:val="16"/>
                            <w:lang w:eastAsia="es-EC"/>
                          </w:rPr>
                          <w:t>1.000</w:t>
                        </w:r>
                      </w:p>
                    </w:tc>
                  </w:tr>
                </w:tbl>
                <w:p w:rsidR="00361FCE" w:rsidRDefault="00361FCE" w:rsidP="00902050">
                  <w:pPr>
                    <w:rPr>
                      <w:rFonts w:ascii="Arial" w:hAnsi="Arial" w:cs="Arial"/>
                      <w:sz w:val="24"/>
                      <w:szCs w:val="24"/>
                    </w:rPr>
                  </w:pPr>
                </w:p>
              </w:tc>
              <w:tc>
                <w:tcPr>
                  <w:tcW w:w="4599" w:type="dxa"/>
                </w:tcPr>
                <w:p w:rsidR="00361FCE" w:rsidRPr="00A22FF9" w:rsidRDefault="00361FCE" w:rsidP="00902050">
                  <w:pPr>
                    <w:rPr>
                      <w:rFonts w:ascii="Arial" w:hAnsi="Arial" w:cs="Arial"/>
                      <w:b/>
                      <w:sz w:val="16"/>
                      <w:szCs w:val="16"/>
                    </w:rPr>
                  </w:pPr>
                </w:p>
                <w:p w:rsidR="00361FCE" w:rsidRDefault="00361FCE" w:rsidP="00902050">
                  <w:pPr>
                    <w:rPr>
                      <w:rFonts w:ascii="Arial" w:hAnsi="Arial" w:cs="Arial"/>
                      <w:b/>
                      <w:sz w:val="16"/>
                      <w:szCs w:val="16"/>
                    </w:rPr>
                  </w:pPr>
                  <w:r w:rsidRPr="00A22FF9">
                    <w:rPr>
                      <w:rFonts w:ascii="Arial" w:hAnsi="Arial" w:cs="Arial"/>
                      <w:b/>
                      <w:sz w:val="16"/>
                      <w:szCs w:val="16"/>
                    </w:rPr>
                    <w:t>Histograma de Frecuencias</w:t>
                  </w:r>
                </w:p>
                <w:p w:rsidR="00361FCE" w:rsidRPr="00A22FF9" w:rsidRDefault="00361FCE" w:rsidP="00902050">
                  <w:pPr>
                    <w:rPr>
                      <w:rFonts w:ascii="Arial" w:hAnsi="Arial" w:cs="Arial"/>
                      <w:b/>
                      <w:sz w:val="16"/>
                      <w:szCs w:val="16"/>
                    </w:rPr>
                  </w:pPr>
                  <w:r>
                    <w:rPr>
                      <w:noProof/>
                      <w:lang w:eastAsia="es-EC"/>
                    </w:rPr>
                    <w:drawing>
                      <wp:inline distT="0" distB="0" distL="0" distR="0">
                        <wp:extent cx="2809875" cy="1647825"/>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bl>
          <w:p w:rsidR="00361FCE" w:rsidRPr="00840530" w:rsidRDefault="00361FCE" w:rsidP="00902050">
            <w:pPr>
              <w:rPr>
                <w:rFonts w:ascii="Arial" w:hAnsi="Arial" w:cs="Arial"/>
                <w:sz w:val="24"/>
                <w:szCs w:val="24"/>
              </w:rPr>
            </w:pPr>
          </w:p>
        </w:tc>
      </w:tr>
    </w:tbl>
    <w:p w:rsidR="00361FCE" w:rsidRPr="009E552B" w:rsidRDefault="00361FCE" w:rsidP="009E552B">
      <w:pPr>
        <w:pStyle w:val="Prrafodelista"/>
        <w:spacing w:line="276" w:lineRule="auto"/>
        <w:ind w:left="851"/>
        <w:jc w:val="both"/>
        <w:rPr>
          <w:rFonts w:ascii="Arial" w:hAnsi="Arial" w:cs="Arial"/>
          <w:sz w:val="17"/>
          <w:szCs w:val="17"/>
        </w:rPr>
      </w:pPr>
    </w:p>
    <w:p w:rsidR="00361FCE" w:rsidRPr="009E552B" w:rsidRDefault="00361FCE" w:rsidP="009E552B">
      <w:pPr>
        <w:pStyle w:val="Prrafodelista"/>
        <w:spacing w:line="276" w:lineRule="auto"/>
        <w:ind w:left="851"/>
        <w:jc w:val="both"/>
        <w:rPr>
          <w:rFonts w:ascii="Arial" w:hAnsi="Arial" w:cs="Arial"/>
          <w:sz w:val="17"/>
          <w:szCs w:val="17"/>
        </w:rPr>
      </w:pPr>
      <w:r w:rsidRPr="009E552B">
        <w:rPr>
          <w:rFonts w:ascii="Arial" w:hAnsi="Arial" w:cs="Arial"/>
          <w:b/>
          <w:i/>
          <w:sz w:val="17"/>
          <w:szCs w:val="17"/>
        </w:rPr>
        <w:t>Fuente:</w:t>
      </w:r>
      <w:r w:rsidRPr="009E552B">
        <w:rPr>
          <w:rFonts w:ascii="Arial" w:hAnsi="Arial" w:cs="Arial"/>
          <w:sz w:val="17"/>
          <w:szCs w:val="17"/>
        </w:rPr>
        <w:t xml:space="preserve"> </w:t>
      </w:r>
      <w:r w:rsidRPr="009E552B">
        <w:rPr>
          <w:rFonts w:ascii="Arial" w:hAnsi="Arial" w:cs="Arial"/>
          <w:b/>
          <w:sz w:val="17"/>
          <w:szCs w:val="17"/>
        </w:rPr>
        <w:t xml:space="preserve">INEC </w:t>
      </w:r>
      <w:r w:rsidRPr="009E552B">
        <w:rPr>
          <w:rFonts w:ascii="Arial" w:hAnsi="Arial" w:cs="Arial"/>
          <w:sz w:val="17"/>
          <w:szCs w:val="17"/>
        </w:rPr>
        <w:t>(2010), Base de Datos del VII Censo de Población y VI de Vivienda.</w:t>
      </w:r>
    </w:p>
    <w:p w:rsidR="00361FCE" w:rsidRPr="009E552B" w:rsidRDefault="00361FCE" w:rsidP="009E552B">
      <w:pPr>
        <w:pStyle w:val="Prrafodelista"/>
        <w:spacing w:line="276" w:lineRule="auto"/>
        <w:ind w:left="851"/>
        <w:jc w:val="both"/>
        <w:rPr>
          <w:rFonts w:ascii="Arial" w:hAnsi="Arial" w:cs="Arial"/>
          <w:sz w:val="17"/>
          <w:szCs w:val="17"/>
        </w:rPr>
      </w:pPr>
      <w:r w:rsidRPr="009E552B">
        <w:rPr>
          <w:rFonts w:ascii="Arial" w:hAnsi="Arial" w:cs="Arial"/>
          <w:b/>
          <w:i/>
          <w:sz w:val="17"/>
          <w:szCs w:val="17"/>
        </w:rPr>
        <w:t>Elaborado por:</w:t>
      </w:r>
      <w:r w:rsidRPr="009E552B">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361FCE" w:rsidP="009E552B">
      <w:pPr>
        <w:pStyle w:val="Estilo42"/>
        <w:ind w:left="1560" w:hanging="709"/>
      </w:pPr>
      <w:bookmarkStart w:id="517" w:name="_Toc337135518"/>
      <w:bookmarkStart w:id="518" w:name="_Toc341040668"/>
      <w:r>
        <w:t>Género</w:t>
      </w:r>
      <w:bookmarkEnd w:id="517"/>
      <w:r w:rsidR="00C75F38">
        <w:t xml:space="preserve"> de los colombianos que residen en Ecuador</w:t>
      </w:r>
      <w:bookmarkEnd w:id="518"/>
    </w:p>
    <w:p w:rsidR="00361FCE" w:rsidRPr="00E438FC" w:rsidRDefault="00361FCE" w:rsidP="009E552B">
      <w:pPr>
        <w:pStyle w:val="Prrafodelista"/>
        <w:spacing w:line="480" w:lineRule="auto"/>
        <w:ind w:left="851"/>
        <w:jc w:val="both"/>
        <w:rPr>
          <w:rFonts w:ascii="Arial" w:hAnsi="Arial" w:cs="Arial"/>
          <w:i/>
        </w:rPr>
      </w:pPr>
      <w:r>
        <w:rPr>
          <w:rFonts w:ascii="Arial" w:hAnsi="Arial" w:cs="Arial"/>
        </w:rPr>
        <w:t xml:space="preserve">Como se mencionó inicialmente, en Ecuador al 28 de noviembre de 2010 se registraron 89931 colombianos que habitualmente residen en país, de los cuales el 47.22% son hombres y el porcentaje restante (52.78%) son de género femenino. Ahora veamos como se distribuye la población colombiana por provincia y por género, analizando el índice de feminidad, el cual nos permite conocer si en una determinada provincia residen más mujeres colombianas que hombres de esta nacionalidad; para ello, en la </w:t>
      </w:r>
      <w:r>
        <w:rPr>
          <w:rFonts w:ascii="Arial" w:hAnsi="Arial" w:cs="Arial"/>
          <w:i/>
        </w:rPr>
        <w:lastRenderedPageBreak/>
        <w:t>Figura 4.7</w:t>
      </w:r>
      <w:r>
        <w:rPr>
          <w:rFonts w:ascii="Arial" w:hAnsi="Arial" w:cs="Arial"/>
        </w:rPr>
        <w:t xml:space="preserve"> se presenta un diagrama de barras en el cual la altura de la barra representa el índice de feminidad que se lee “total de mujeres por cada 100 hombres” y la línea horizontal simboliza 100 hombres.</w:t>
      </w:r>
      <w:r w:rsidR="00AD4DB1">
        <w:rPr>
          <w:rFonts w:ascii="Arial" w:hAnsi="Arial" w:cs="Arial"/>
        </w:rPr>
        <w:t xml:space="preserve"> </w:t>
      </w:r>
      <w:r>
        <w:rPr>
          <w:rFonts w:ascii="Arial" w:hAnsi="Arial" w:cs="Arial"/>
        </w:rPr>
        <w:t xml:space="preserve">Además, podemos  observar que en la mayoría de las provincias la cantidad de mujeres es mayor que la de hombres, exceptuando en Esmeraldas, Los Ríos, Manabí, Morona Santiago, Napo y Zamora Chinchipe en donde es mayor la cantidad de hombres procedentes de Colombia. Cabe mencionar que en las Zonas no Delimitadas el índice de feminidad es igual a 100, es decir, hay igual cantidad de mujeres y hombres colombianos que residen habitualmente en estas zonas. Adicionalmente, el mayor índice de feminidad es el de Galápagos en donde hay 240 colombianas por cada 100 hombres de esta misma nacionalidad. En Guayas y Pichincha este índice es de 101.18 y 125.59 por cada 100 colombianos que residen en cada una de las provincias respectivamente.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AD4DB1">
        <w:trPr>
          <w:trHeight w:val="3950"/>
          <w:jc w:val="right"/>
        </w:trPr>
        <w:tc>
          <w:tcPr>
            <w:tcW w:w="7497" w:type="dxa"/>
          </w:tcPr>
          <w:p w:rsidR="00361FCE" w:rsidRPr="00840530" w:rsidRDefault="00361FCE" w:rsidP="00902050">
            <w:pPr>
              <w:rPr>
                <w:rFonts w:ascii="Arial" w:hAnsi="Arial" w:cs="Arial"/>
                <w:sz w:val="16"/>
                <w:szCs w:val="16"/>
              </w:rPr>
            </w:pPr>
          </w:p>
          <w:p w:rsidR="000E6695" w:rsidRPr="000E6695" w:rsidRDefault="000E6695" w:rsidP="000E6695">
            <w:pPr>
              <w:pStyle w:val="Epgrafe"/>
              <w:rPr>
                <w:rFonts w:ascii="Arial" w:hAnsi="Arial" w:cs="Arial"/>
                <w:bCs w:val="0"/>
                <w:color w:val="auto"/>
                <w:sz w:val="16"/>
                <w:szCs w:val="16"/>
              </w:rPr>
            </w:pPr>
            <w:bookmarkStart w:id="519" w:name="_Toc341043979"/>
            <w:r>
              <w:rPr>
                <w:rFonts w:ascii="Arial" w:hAnsi="Arial" w:cs="Arial"/>
                <w:bCs w:val="0"/>
                <w:color w:val="auto"/>
                <w:sz w:val="16"/>
                <w:szCs w:val="16"/>
              </w:rPr>
              <w:t>Figura 4.</w:t>
            </w:r>
            <w:r w:rsidR="00990535" w:rsidRPr="000E6695">
              <w:rPr>
                <w:rFonts w:ascii="Arial" w:hAnsi="Arial" w:cs="Arial"/>
                <w:bCs w:val="0"/>
                <w:color w:val="auto"/>
                <w:sz w:val="16"/>
                <w:szCs w:val="16"/>
              </w:rPr>
              <w:fldChar w:fldCharType="begin"/>
            </w:r>
            <w:r w:rsidRPr="000E6695">
              <w:rPr>
                <w:rFonts w:ascii="Arial" w:hAnsi="Arial" w:cs="Arial"/>
                <w:bCs w:val="0"/>
                <w:color w:val="auto"/>
                <w:sz w:val="16"/>
                <w:szCs w:val="16"/>
              </w:rPr>
              <w:instrText xml:space="preserve"> SEQ Figura_4. \* ARABIC </w:instrText>
            </w:r>
            <w:r w:rsidR="00990535" w:rsidRPr="000E6695">
              <w:rPr>
                <w:rFonts w:ascii="Arial" w:hAnsi="Arial" w:cs="Arial"/>
                <w:bCs w:val="0"/>
                <w:color w:val="auto"/>
                <w:sz w:val="16"/>
                <w:szCs w:val="16"/>
              </w:rPr>
              <w:fldChar w:fldCharType="separate"/>
            </w:r>
            <w:r w:rsidR="00A242E0">
              <w:rPr>
                <w:rFonts w:ascii="Arial" w:hAnsi="Arial" w:cs="Arial"/>
                <w:bCs w:val="0"/>
                <w:noProof/>
                <w:color w:val="auto"/>
                <w:sz w:val="16"/>
                <w:szCs w:val="16"/>
              </w:rPr>
              <w:t>7</w:t>
            </w:r>
            <w:bookmarkEnd w:id="519"/>
            <w:r w:rsidR="00990535" w:rsidRPr="000E6695">
              <w:rPr>
                <w:rFonts w:ascii="Arial" w:hAnsi="Arial" w:cs="Arial"/>
                <w:bCs w:val="0"/>
                <w:color w:val="auto"/>
                <w:sz w:val="16"/>
                <w:szCs w:val="16"/>
              </w:rPr>
              <w:fldChar w:fldCharType="end"/>
            </w:r>
          </w:p>
          <w:p w:rsidR="00361FCE" w:rsidRDefault="00AD4DB1"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Índice de Feminidad de los </w:t>
            </w:r>
            <w:r w:rsidR="00361FCE" w:rsidRPr="00AD4DB1">
              <w:rPr>
                <w:rFonts w:ascii="Arial" w:hAnsi="Arial" w:cs="Arial"/>
                <w:b/>
                <w:i/>
                <w:sz w:val="16"/>
                <w:szCs w:val="16"/>
              </w:rPr>
              <w:t>colombianos</w:t>
            </w:r>
            <w:r>
              <w:rPr>
                <w:rFonts w:ascii="Arial" w:hAnsi="Arial" w:cs="Arial"/>
                <w:i/>
                <w:sz w:val="16"/>
                <w:szCs w:val="16"/>
              </w:rPr>
              <w:t xml:space="preserve"> </w:t>
            </w:r>
            <w:r w:rsidR="00361FCE">
              <w:rPr>
                <w:rFonts w:ascii="Arial" w:hAnsi="Arial" w:cs="Arial"/>
                <w:i/>
                <w:sz w:val="16"/>
                <w:szCs w:val="16"/>
              </w:rPr>
              <w:t>por Provincia de residencia habitual</w:t>
            </w:r>
          </w:p>
          <w:p w:rsidR="00361FCE" w:rsidRPr="00660711" w:rsidRDefault="00361FCE" w:rsidP="00902050">
            <w:pPr>
              <w:rPr>
                <w:rFonts w:ascii="Arial" w:hAnsi="Arial" w:cs="Arial"/>
                <w:i/>
                <w:sz w:val="16"/>
                <w:szCs w:val="16"/>
              </w:rPr>
            </w:pPr>
            <w:r>
              <w:rPr>
                <w:noProof/>
                <w:lang w:eastAsia="es-EC"/>
              </w:rPr>
              <w:drawing>
                <wp:inline distT="0" distB="0" distL="0" distR="0">
                  <wp:extent cx="4476750" cy="230400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bl>
    <w:p w:rsidR="00361FCE" w:rsidRPr="00AD4DB1" w:rsidRDefault="00361FCE" w:rsidP="00AD4DB1">
      <w:pPr>
        <w:pStyle w:val="Prrafodelista"/>
        <w:spacing w:line="276" w:lineRule="auto"/>
        <w:ind w:left="851"/>
        <w:jc w:val="both"/>
        <w:rPr>
          <w:rFonts w:ascii="Arial" w:hAnsi="Arial" w:cs="Arial"/>
          <w:sz w:val="17"/>
          <w:szCs w:val="17"/>
        </w:rPr>
      </w:pPr>
    </w:p>
    <w:p w:rsidR="00361FCE" w:rsidRPr="00AD4DB1" w:rsidRDefault="00361FCE" w:rsidP="00AD4DB1">
      <w:pPr>
        <w:pStyle w:val="Prrafodelista"/>
        <w:spacing w:line="276" w:lineRule="auto"/>
        <w:ind w:left="851"/>
        <w:jc w:val="both"/>
        <w:rPr>
          <w:rFonts w:ascii="Arial" w:hAnsi="Arial" w:cs="Arial"/>
          <w:sz w:val="17"/>
          <w:szCs w:val="17"/>
        </w:rPr>
      </w:pPr>
      <w:r w:rsidRPr="00AD4DB1">
        <w:rPr>
          <w:rFonts w:ascii="Arial" w:hAnsi="Arial" w:cs="Arial"/>
          <w:b/>
          <w:i/>
          <w:sz w:val="17"/>
          <w:szCs w:val="17"/>
        </w:rPr>
        <w:t>Fuente:</w:t>
      </w:r>
      <w:r w:rsidRPr="00AD4DB1">
        <w:rPr>
          <w:rFonts w:ascii="Arial" w:hAnsi="Arial" w:cs="Arial"/>
          <w:sz w:val="17"/>
          <w:szCs w:val="17"/>
        </w:rPr>
        <w:t xml:space="preserve"> </w:t>
      </w:r>
      <w:r w:rsidRPr="00AD4DB1">
        <w:rPr>
          <w:rFonts w:ascii="Arial" w:hAnsi="Arial" w:cs="Arial"/>
          <w:b/>
          <w:sz w:val="17"/>
          <w:szCs w:val="17"/>
        </w:rPr>
        <w:t xml:space="preserve">INEC </w:t>
      </w:r>
      <w:r w:rsidRPr="00AD4DB1">
        <w:rPr>
          <w:rFonts w:ascii="Arial" w:hAnsi="Arial" w:cs="Arial"/>
          <w:sz w:val="17"/>
          <w:szCs w:val="17"/>
        </w:rPr>
        <w:t>(2010), Base de Datos del VII Censo de Población y VI de Vivienda.</w:t>
      </w:r>
    </w:p>
    <w:p w:rsidR="00361FCE" w:rsidRPr="00AD4DB1" w:rsidRDefault="00361FCE" w:rsidP="00AD4DB1">
      <w:pPr>
        <w:pStyle w:val="Prrafodelista"/>
        <w:spacing w:line="276" w:lineRule="auto"/>
        <w:ind w:left="851"/>
        <w:jc w:val="both"/>
        <w:rPr>
          <w:rFonts w:ascii="Arial" w:hAnsi="Arial" w:cs="Arial"/>
          <w:sz w:val="17"/>
          <w:szCs w:val="17"/>
        </w:rPr>
      </w:pPr>
      <w:r w:rsidRPr="00AD4DB1">
        <w:rPr>
          <w:rFonts w:ascii="Arial" w:hAnsi="Arial" w:cs="Arial"/>
          <w:b/>
          <w:i/>
          <w:sz w:val="17"/>
          <w:szCs w:val="17"/>
        </w:rPr>
        <w:t>Elaborado por:</w:t>
      </w:r>
      <w:r w:rsidRPr="00AD4DB1">
        <w:rPr>
          <w:rFonts w:ascii="Arial" w:hAnsi="Arial" w:cs="Arial"/>
          <w:sz w:val="17"/>
          <w:szCs w:val="17"/>
        </w:rPr>
        <w:t xml:space="preserve"> Katherine Loor Valeriano</w:t>
      </w:r>
    </w:p>
    <w:p w:rsidR="00361FCE" w:rsidRDefault="00361FCE" w:rsidP="00AD4DB1">
      <w:pPr>
        <w:pStyle w:val="Estilo42"/>
        <w:ind w:left="1560" w:hanging="709"/>
      </w:pPr>
      <w:bookmarkStart w:id="520" w:name="_Toc337135519"/>
      <w:bookmarkStart w:id="521" w:name="_Toc341040669"/>
      <w:r>
        <w:lastRenderedPageBreak/>
        <w:t>Edad</w:t>
      </w:r>
      <w:bookmarkEnd w:id="520"/>
      <w:r w:rsidR="00C75F38">
        <w:t xml:space="preserve"> de los colombianos que residen en Ecuador</w:t>
      </w:r>
      <w:bookmarkEnd w:id="521"/>
    </w:p>
    <w:p w:rsidR="00361FCE" w:rsidRPr="00DA31B0" w:rsidRDefault="00361FCE" w:rsidP="00AD4DB1">
      <w:pPr>
        <w:pStyle w:val="Prrafodelista"/>
        <w:spacing w:line="480" w:lineRule="auto"/>
        <w:ind w:left="851"/>
        <w:jc w:val="both"/>
        <w:rPr>
          <w:rFonts w:ascii="Arial" w:hAnsi="Arial" w:cs="Arial"/>
        </w:rPr>
      </w:pPr>
      <w:r>
        <w:rPr>
          <w:rFonts w:ascii="Arial" w:hAnsi="Arial" w:cs="Arial"/>
        </w:rPr>
        <w:t xml:space="preserve">De la población colombiana que reside en el país, el 15.27% son menores de 15 años, el 78.07% tienen entre 15 y 65 años o también denominados población económicamente activa; y, el 6.66% son adultos mayores, es decir, mayores de 65 años. Además, en la </w:t>
      </w:r>
      <w:r>
        <w:rPr>
          <w:rFonts w:ascii="Arial" w:hAnsi="Arial" w:cs="Arial"/>
          <w:i/>
        </w:rPr>
        <w:t>Tabla 4.1</w:t>
      </w:r>
      <w:r>
        <w:rPr>
          <w:rFonts w:ascii="Arial" w:hAnsi="Arial" w:cs="Arial"/>
        </w:rPr>
        <w:t xml:space="preserve">, se presentan las estadísticas descriptivas de los años cumplidos de los colombianos residentes en el país, donde se tiene que la edad promedio es de 34.287 ± 0.062 años, la edad que más se repite es 30 años (Moda), la menor de todas las edades es 0 años y el máximo es 111 años. </w:t>
      </w:r>
      <w:r w:rsidR="00597554">
        <w:rPr>
          <w:rFonts w:ascii="Arial" w:hAnsi="Arial" w:cs="Arial"/>
        </w:rPr>
        <w:t>S</w:t>
      </w:r>
      <w:r>
        <w:rPr>
          <w:rFonts w:ascii="Arial" w:hAnsi="Arial" w:cs="Arial"/>
        </w:rPr>
        <w:t>i solamente consideráramos a los colombianos de género masculino tenemos que la edad promedio es de 34.015 ± 0.091 años, siendo éste valor menor al promedio de la población colombiana total; y, la edad promedio de las mujeres es de 34.530 ± 0.084 años. La edad mínima y máximo para ambos género es 0 y 111 años respectivamente. El 25% de las mujeres tienen menos de 21 años; y, el 25% de los colombianos tiene menos de 20 años.</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597554">
        <w:trPr>
          <w:trHeight w:val="3515"/>
          <w:jc w:val="right"/>
        </w:trPr>
        <w:tc>
          <w:tcPr>
            <w:tcW w:w="7497" w:type="dxa"/>
          </w:tcPr>
          <w:p w:rsidR="00361FCE" w:rsidRPr="00840530" w:rsidRDefault="00361FCE" w:rsidP="00902050">
            <w:pPr>
              <w:rPr>
                <w:rFonts w:ascii="Arial" w:hAnsi="Arial" w:cs="Arial"/>
                <w:sz w:val="16"/>
                <w:szCs w:val="16"/>
              </w:rPr>
            </w:pPr>
          </w:p>
          <w:p w:rsidR="00A127F0" w:rsidRPr="00A127F0" w:rsidRDefault="00A127F0" w:rsidP="00A127F0">
            <w:pPr>
              <w:pStyle w:val="Epgrafe"/>
              <w:rPr>
                <w:rFonts w:ascii="Arial" w:hAnsi="Arial" w:cs="Arial"/>
                <w:bCs w:val="0"/>
                <w:color w:val="auto"/>
                <w:sz w:val="16"/>
                <w:szCs w:val="16"/>
              </w:rPr>
            </w:pPr>
            <w:bookmarkStart w:id="522" w:name="_Toc341042055"/>
            <w:r>
              <w:rPr>
                <w:rFonts w:ascii="Arial" w:hAnsi="Arial" w:cs="Arial"/>
                <w:bCs w:val="0"/>
                <w:color w:val="auto"/>
                <w:sz w:val="16"/>
                <w:szCs w:val="16"/>
              </w:rPr>
              <w:t>Tabla 4.</w:t>
            </w:r>
            <w:r w:rsidR="00990535" w:rsidRPr="00A127F0">
              <w:rPr>
                <w:rFonts w:ascii="Arial" w:hAnsi="Arial" w:cs="Arial"/>
                <w:bCs w:val="0"/>
                <w:color w:val="auto"/>
                <w:sz w:val="16"/>
                <w:szCs w:val="16"/>
              </w:rPr>
              <w:fldChar w:fldCharType="begin"/>
            </w:r>
            <w:r w:rsidRPr="00A127F0">
              <w:rPr>
                <w:rFonts w:ascii="Arial" w:hAnsi="Arial" w:cs="Arial"/>
                <w:bCs w:val="0"/>
                <w:color w:val="auto"/>
                <w:sz w:val="16"/>
                <w:szCs w:val="16"/>
              </w:rPr>
              <w:instrText xml:space="preserve"> SEQ Tabla_4. \* ARABIC </w:instrText>
            </w:r>
            <w:r w:rsidR="00990535" w:rsidRPr="00A127F0">
              <w:rPr>
                <w:rFonts w:ascii="Arial" w:hAnsi="Arial" w:cs="Arial"/>
                <w:bCs w:val="0"/>
                <w:color w:val="auto"/>
                <w:sz w:val="16"/>
                <w:szCs w:val="16"/>
              </w:rPr>
              <w:fldChar w:fldCharType="separate"/>
            </w:r>
            <w:r w:rsidR="00A242E0">
              <w:rPr>
                <w:rFonts w:ascii="Arial" w:hAnsi="Arial" w:cs="Arial"/>
                <w:bCs w:val="0"/>
                <w:noProof/>
                <w:color w:val="auto"/>
                <w:sz w:val="16"/>
                <w:szCs w:val="16"/>
              </w:rPr>
              <w:t>1</w:t>
            </w:r>
            <w:bookmarkEnd w:id="522"/>
            <w:r w:rsidR="00990535" w:rsidRPr="00A127F0">
              <w:rPr>
                <w:rFonts w:ascii="Arial" w:hAnsi="Arial" w:cs="Arial"/>
                <w:bCs w:val="0"/>
                <w:color w:val="auto"/>
                <w:sz w:val="16"/>
                <w:szCs w:val="16"/>
              </w:rPr>
              <w:fldChar w:fldCharType="end"/>
            </w:r>
          </w:p>
          <w:p w:rsidR="00361FCE" w:rsidRDefault="00AD4DB1"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Estadísticas Descriptivas de la Edad de los </w:t>
            </w:r>
            <w:r w:rsidR="00361FCE" w:rsidRPr="00AD4DB1">
              <w:rPr>
                <w:rFonts w:ascii="Arial" w:hAnsi="Arial" w:cs="Arial"/>
                <w:b/>
                <w:i/>
                <w:sz w:val="16"/>
                <w:szCs w:val="16"/>
              </w:rPr>
              <w:t>colombianos</w:t>
            </w:r>
            <w:r w:rsidR="00361FCE">
              <w:rPr>
                <w:rFonts w:ascii="Arial" w:hAnsi="Arial" w:cs="Arial"/>
                <w:i/>
                <w:sz w:val="16"/>
                <w:szCs w:val="16"/>
              </w:rPr>
              <w:t xml:space="preserve"> residentes en Ecuador</w:t>
            </w:r>
          </w:p>
          <w:p w:rsidR="00361FCE" w:rsidRPr="00AD4DB1" w:rsidRDefault="00361FCE" w:rsidP="00902050">
            <w:pPr>
              <w:rPr>
                <w:rFonts w:ascii="Arial" w:hAnsi="Arial" w:cs="Arial"/>
                <w:i/>
                <w:sz w:val="10"/>
                <w:szCs w:val="10"/>
              </w:rPr>
            </w:pPr>
          </w:p>
          <w:p w:rsidR="00361FCE" w:rsidRPr="001966F1" w:rsidRDefault="00361FCE" w:rsidP="00902050">
            <w:pPr>
              <w:rPr>
                <w:rFonts w:ascii="Arial" w:hAnsi="Arial" w:cs="Arial"/>
                <w:sz w:val="16"/>
                <w:szCs w:val="16"/>
              </w:rPr>
            </w:pPr>
            <w:r w:rsidRPr="001966F1">
              <w:rPr>
                <w:rFonts w:ascii="Arial" w:hAnsi="Arial" w:cs="Arial"/>
                <w:sz w:val="16"/>
                <w:szCs w:val="16"/>
              </w:rPr>
              <w:t>“</w:t>
            </w:r>
            <w:r w:rsidRPr="001966F1">
              <w:rPr>
                <w:rFonts w:ascii="Arial" w:hAnsi="Arial" w:cs="Arial"/>
                <w:b/>
                <w:sz w:val="16"/>
                <w:szCs w:val="16"/>
              </w:rPr>
              <w:t>Todos los colombianos</w:t>
            </w:r>
            <w:r w:rsidRPr="001966F1">
              <w:rPr>
                <w:rFonts w:ascii="Arial" w:hAnsi="Arial" w:cs="Arial"/>
                <w:sz w:val="16"/>
                <w:szCs w:val="16"/>
              </w:rPr>
              <w:t xml:space="preserve"> residentes en Ecuador”</w:t>
            </w:r>
          </w:p>
          <w:tbl>
            <w:tblPr>
              <w:tblW w:w="7314" w:type="dxa"/>
              <w:jc w:val="center"/>
              <w:tblCellMar>
                <w:left w:w="70" w:type="dxa"/>
                <w:right w:w="70" w:type="dxa"/>
              </w:tblCellMar>
              <w:tblLook w:val="04A0" w:firstRow="1" w:lastRow="0" w:firstColumn="1" w:lastColumn="0" w:noHBand="0" w:noVBand="1"/>
            </w:tblPr>
            <w:tblGrid>
              <w:gridCol w:w="794"/>
              <w:gridCol w:w="1191"/>
              <w:gridCol w:w="680"/>
              <w:gridCol w:w="964"/>
              <w:gridCol w:w="737"/>
              <w:gridCol w:w="737"/>
              <w:gridCol w:w="737"/>
              <w:gridCol w:w="737"/>
              <w:gridCol w:w="737"/>
            </w:tblGrid>
            <w:tr w:rsidR="00361FCE" w:rsidRPr="00AF20E2" w:rsidTr="00A127F0">
              <w:trPr>
                <w:trHeight w:val="170"/>
                <w:jc w:val="center"/>
              </w:trPr>
              <w:tc>
                <w:tcPr>
                  <w:tcW w:w="79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w:t>
                  </w:r>
                </w:p>
              </w:tc>
              <w:tc>
                <w:tcPr>
                  <w:tcW w:w="1191"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Error estándar de la media</w:t>
                  </w:r>
                </w:p>
              </w:tc>
              <w:tc>
                <w:tcPr>
                  <w:tcW w:w="680"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Moda</w:t>
                  </w:r>
                </w:p>
              </w:tc>
              <w:tc>
                <w:tcPr>
                  <w:tcW w:w="96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Desviación estándar</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Mínimo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Máximo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1</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3</w:t>
                  </w:r>
                </w:p>
              </w:tc>
            </w:tr>
            <w:tr w:rsidR="00361FCE" w:rsidRPr="00AF20E2" w:rsidTr="00597554">
              <w:trPr>
                <w:trHeight w:val="227"/>
                <w:jc w:val="center"/>
              </w:trPr>
              <w:tc>
                <w:tcPr>
                  <w:tcW w:w="794" w:type="dxa"/>
                  <w:tcBorders>
                    <w:top w:val="nil"/>
                    <w:left w:val="nil"/>
                    <w:bottom w:val="single" w:sz="8" w:space="0" w:color="auto"/>
                    <w:right w:val="nil"/>
                  </w:tcBorders>
                  <w:shd w:val="clear" w:color="auto" w:fill="auto"/>
                  <w:noWrap/>
                  <w:vAlign w:val="center"/>
                  <w:hideMark/>
                </w:tcPr>
                <w:p w:rsidR="00361FCE" w:rsidRPr="00AF20E2" w:rsidRDefault="00361FCE" w:rsidP="00902050">
                  <w:pPr>
                    <w:rPr>
                      <w:rFonts w:ascii="Arial" w:eastAsia="Times New Roman" w:hAnsi="Arial" w:cs="Arial"/>
                      <w:color w:val="000000"/>
                      <w:sz w:val="16"/>
                      <w:szCs w:val="16"/>
                      <w:lang w:eastAsia="es-EC"/>
                    </w:rPr>
                  </w:pPr>
                  <w:r w:rsidRPr="00AF20E2">
                    <w:rPr>
                      <w:rFonts w:ascii="Arial" w:eastAsia="Times New Roman" w:hAnsi="Arial" w:cs="Arial"/>
                      <w:color w:val="000000"/>
                      <w:sz w:val="16"/>
                      <w:szCs w:val="16"/>
                      <w:lang w:eastAsia="es-EC"/>
                    </w:rPr>
                    <w:t>34.287</w:t>
                  </w:r>
                </w:p>
              </w:tc>
              <w:tc>
                <w:tcPr>
                  <w:tcW w:w="1191" w:type="dxa"/>
                  <w:tcBorders>
                    <w:top w:val="nil"/>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color w:val="000000"/>
                      <w:sz w:val="16"/>
                      <w:szCs w:val="16"/>
                      <w:lang w:eastAsia="es-EC"/>
                    </w:rPr>
                  </w:pPr>
                  <w:r w:rsidRPr="00AF20E2">
                    <w:rPr>
                      <w:rFonts w:ascii="Arial" w:eastAsia="Times New Roman" w:hAnsi="Arial" w:cs="Arial"/>
                      <w:color w:val="000000"/>
                      <w:sz w:val="16"/>
                      <w:szCs w:val="16"/>
                      <w:lang w:eastAsia="es-EC"/>
                    </w:rPr>
                    <w:t>0.062</w:t>
                  </w:r>
                </w:p>
              </w:tc>
              <w:tc>
                <w:tcPr>
                  <w:tcW w:w="680" w:type="dxa"/>
                  <w:tcBorders>
                    <w:top w:val="nil"/>
                    <w:left w:val="nil"/>
                    <w:bottom w:val="single" w:sz="8" w:space="0" w:color="auto"/>
                    <w:right w:val="nil"/>
                  </w:tcBorders>
                  <w:shd w:val="clear" w:color="auto" w:fill="auto"/>
                  <w:noWrap/>
                  <w:vAlign w:val="center"/>
                  <w:hideMark/>
                </w:tcPr>
                <w:p w:rsidR="00361FCE" w:rsidRPr="00AF20E2" w:rsidRDefault="00361FCE" w:rsidP="00902050">
                  <w:pPr>
                    <w:rPr>
                      <w:rFonts w:ascii="Arial" w:eastAsia="Times New Roman" w:hAnsi="Arial" w:cs="Arial"/>
                      <w:color w:val="000000"/>
                      <w:sz w:val="16"/>
                      <w:szCs w:val="16"/>
                      <w:lang w:eastAsia="es-EC"/>
                    </w:rPr>
                  </w:pPr>
                  <w:r w:rsidRPr="00AF20E2">
                    <w:rPr>
                      <w:rFonts w:ascii="Arial" w:eastAsia="Times New Roman" w:hAnsi="Arial" w:cs="Arial"/>
                      <w:color w:val="000000"/>
                      <w:sz w:val="16"/>
                      <w:szCs w:val="16"/>
                      <w:lang w:eastAsia="es-EC"/>
                    </w:rPr>
                    <w:t>30</w:t>
                  </w:r>
                </w:p>
              </w:tc>
              <w:tc>
                <w:tcPr>
                  <w:tcW w:w="964" w:type="dxa"/>
                  <w:tcBorders>
                    <w:top w:val="nil"/>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color w:val="000000"/>
                      <w:sz w:val="16"/>
                      <w:szCs w:val="16"/>
                      <w:lang w:eastAsia="es-EC"/>
                    </w:rPr>
                  </w:pPr>
                  <w:r w:rsidRPr="00AF20E2">
                    <w:rPr>
                      <w:rFonts w:ascii="Arial" w:eastAsia="Times New Roman" w:hAnsi="Arial" w:cs="Arial"/>
                      <w:color w:val="000000"/>
                      <w:sz w:val="16"/>
                      <w:szCs w:val="16"/>
                      <w:lang w:eastAsia="es-EC"/>
                    </w:rPr>
                    <w:t>18.478</w:t>
                  </w:r>
                </w:p>
              </w:tc>
              <w:tc>
                <w:tcPr>
                  <w:tcW w:w="737" w:type="dxa"/>
                  <w:tcBorders>
                    <w:top w:val="nil"/>
                    <w:left w:val="nil"/>
                    <w:bottom w:val="single" w:sz="8" w:space="0" w:color="auto"/>
                    <w:right w:val="nil"/>
                  </w:tcBorders>
                  <w:shd w:val="clear" w:color="auto" w:fill="auto"/>
                  <w:noWrap/>
                  <w:vAlign w:val="center"/>
                  <w:hideMark/>
                </w:tcPr>
                <w:p w:rsidR="00361FCE" w:rsidRPr="00AF20E2" w:rsidRDefault="00361FCE" w:rsidP="00902050">
                  <w:pPr>
                    <w:rPr>
                      <w:rFonts w:ascii="Arial" w:eastAsia="Times New Roman" w:hAnsi="Arial" w:cs="Arial"/>
                      <w:color w:val="000000"/>
                      <w:sz w:val="16"/>
                      <w:szCs w:val="16"/>
                      <w:lang w:eastAsia="es-EC"/>
                    </w:rPr>
                  </w:pPr>
                  <w:r w:rsidRPr="00AF20E2">
                    <w:rPr>
                      <w:rFonts w:ascii="Arial" w:eastAsia="Times New Roman" w:hAnsi="Arial" w:cs="Arial"/>
                      <w:color w:val="000000"/>
                      <w:sz w:val="16"/>
                      <w:szCs w:val="16"/>
                      <w:lang w:eastAsia="es-EC"/>
                    </w:rPr>
                    <w:t>0</w:t>
                  </w:r>
                </w:p>
              </w:tc>
              <w:tc>
                <w:tcPr>
                  <w:tcW w:w="737" w:type="dxa"/>
                  <w:tcBorders>
                    <w:top w:val="nil"/>
                    <w:left w:val="nil"/>
                    <w:bottom w:val="single" w:sz="8" w:space="0" w:color="auto"/>
                    <w:right w:val="nil"/>
                  </w:tcBorders>
                  <w:shd w:val="clear" w:color="auto" w:fill="auto"/>
                  <w:noWrap/>
                  <w:vAlign w:val="center"/>
                  <w:hideMark/>
                </w:tcPr>
                <w:p w:rsidR="00361FCE" w:rsidRPr="00AF20E2" w:rsidRDefault="00361FCE" w:rsidP="00902050">
                  <w:pPr>
                    <w:rPr>
                      <w:rFonts w:ascii="Arial" w:eastAsia="Times New Roman" w:hAnsi="Arial" w:cs="Arial"/>
                      <w:color w:val="000000"/>
                      <w:sz w:val="16"/>
                      <w:szCs w:val="16"/>
                      <w:lang w:eastAsia="es-EC"/>
                    </w:rPr>
                  </w:pPr>
                  <w:r w:rsidRPr="00AF20E2">
                    <w:rPr>
                      <w:rFonts w:ascii="Arial" w:eastAsia="Times New Roman" w:hAnsi="Arial" w:cs="Arial"/>
                      <w:color w:val="000000"/>
                      <w:sz w:val="16"/>
                      <w:szCs w:val="16"/>
                      <w:lang w:eastAsia="es-EC"/>
                    </w:rPr>
                    <w:t>111</w:t>
                  </w:r>
                </w:p>
              </w:tc>
              <w:tc>
                <w:tcPr>
                  <w:tcW w:w="737" w:type="dxa"/>
                  <w:tcBorders>
                    <w:top w:val="nil"/>
                    <w:left w:val="nil"/>
                    <w:bottom w:val="single" w:sz="8" w:space="0" w:color="auto"/>
                    <w:right w:val="nil"/>
                  </w:tcBorders>
                  <w:shd w:val="clear" w:color="auto" w:fill="auto"/>
                  <w:noWrap/>
                  <w:vAlign w:val="center"/>
                  <w:hideMark/>
                </w:tcPr>
                <w:p w:rsidR="00361FCE" w:rsidRPr="00AF20E2" w:rsidRDefault="00361FCE" w:rsidP="00902050">
                  <w:pPr>
                    <w:rPr>
                      <w:rFonts w:ascii="Arial" w:eastAsia="Times New Roman" w:hAnsi="Arial" w:cs="Arial"/>
                      <w:color w:val="000000"/>
                      <w:sz w:val="16"/>
                      <w:szCs w:val="16"/>
                      <w:lang w:eastAsia="es-EC"/>
                    </w:rPr>
                  </w:pPr>
                  <w:r w:rsidRPr="00AF20E2">
                    <w:rPr>
                      <w:rFonts w:ascii="Arial" w:eastAsia="Times New Roman" w:hAnsi="Arial" w:cs="Arial"/>
                      <w:color w:val="000000"/>
                      <w:sz w:val="16"/>
                      <w:szCs w:val="16"/>
                      <w:lang w:eastAsia="es-EC"/>
                    </w:rPr>
                    <w:t>21</w:t>
                  </w:r>
                </w:p>
              </w:tc>
              <w:tc>
                <w:tcPr>
                  <w:tcW w:w="737" w:type="dxa"/>
                  <w:tcBorders>
                    <w:top w:val="nil"/>
                    <w:left w:val="nil"/>
                    <w:bottom w:val="single" w:sz="8" w:space="0" w:color="auto"/>
                    <w:right w:val="nil"/>
                  </w:tcBorders>
                  <w:shd w:val="clear" w:color="auto" w:fill="auto"/>
                  <w:noWrap/>
                  <w:vAlign w:val="center"/>
                  <w:hideMark/>
                </w:tcPr>
                <w:p w:rsidR="00361FCE" w:rsidRPr="00AF20E2" w:rsidRDefault="00361FCE" w:rsidP="00902050">
                  <w:pPr>
                    <w:rPr>
                      <w:rFonts w:ascii="Arial" w:eastAsia="Times New Roman" w:hAnsi="Arial" w:cs="Arial"/>
                      <w:color w:val="000000"/>
                      <w:sz w:val="16"/>
                      <w:szCs w:val="16"/>
                      <w:lang w:eastAsia="es-EC"/>
                    </w:rPr>
                  </w:pPr>
                  <w:r w:rsidRPr="00AF20E2">
                    <w:rPr>
                      <w:rFonts w:ascii="Arial" w:eastAsia="Times New Roman" w:hAnsi="Arial" w:cs="Arial"/>
                      <w:color w:val="000000"/>
                      <w:sz w:val="16"/>
                      <w:szCs w:val="16"/>
                      <w:lang w:eastAsia="es-EC"/>
                    </w:rPr>
                    <w:t>32</w:t>
                  </w:r>
                </w:p>
              </w:tc>
              <w:tc>
                <w:tcPr>
                  <w:tcW w:w="737" w:type="dxa"/>
                  <w:tcBorders>
                    <w:top w:val="nil"/>
                    <w:left w:val="nil"/>
                    <w:bottom w:val="single" w:sz="8" w:space="0" w:color="auto"/>
                    <w:right w:val="nil"/>
                  </w:tcBorders>
                  <w:shd w:val="clear" w:color="auto" w:fill="auto"/>
                  <w:noWrap/>
                  <w:vAlign w:val="center"/>
                  <w:hideMark/>
                </w:tcPr>
                <w:p w:rsidR="00361FCE" w:rsidRPr="00AF20E2" w:rsidRDefault="00361FCE" w:rsidP="00902050">
                  <w:pPr>
                    <w:rPr>
                      <w:rFonts w:ascii="Arial" w:eastAsia="Times New Roman" w:hAnsi="Arial" w:cs="Arial"/>
                      <w:color w:val="000000"/>
                      <w:sz w:val="16"/>
                      <w:szCs w:val="16"/>
                      <w:lang w:eastAsia="es-EC"/>
                    </w:rPr>
                  </w:pPr>
                  <w:r w:rsidRPr="00AF20E2">
                    <w:rPr>
                      <w:rFonts w:ascii="Arial" w:eastAsia="Times New Roman" w:hAnsi="Arial" w:cs="Arial"/>
                      <w:color w:val="000000"/>
                      <w:sz w:val="16"/>
                      <w:szCs w:val="16"/>
                      <w:lang w:eastAsia="es-EC"/>
                    </w:rPr>
                    <w:t>47</w:t>
                  </w:r>
                </w:p>
              </w:tc>
            </w:tr>
          </w:tbl>
          <w:p w:rsidR="00361FCE" w:rsidRPr="00AD4DB1" w:rsidRDefault="00361FCE" w:rsidP="00902050">
            <w:pPr>
              <w:rPr>
                <w:rFonts w:ascii="Arial" w:hAnsi="Arial" w:cs="Arial"/>
                <w:i/>
                <w:sz w:val="10"/>
                <w:szCs w:val="10"/>
              </w:rPr>
            </w:pPr>
          </w:p>
          <w:p w:rsidR="00361FCE" w:rsidRPr="001966F1" w:rsidRDefault="00361FCE" w:rsidP="00902050">
            <w:pPr>
              <w:rPr>
                <w:rFonts w:ascii="Arial" w:hAnsi="Arial" w:cs="Arial"/>
                <w:sz w:val="16"/>
                <w:szCs w:val="16"/>
              </w:rPr>
            </w:pPr>
            <w:r w:rsidRPr="001966F1">
              <w:rPr>
                <w:rFonts w:ascii="Arial" w:hAnsi="Arial" w:cs="Arial"/>
                <w:sz w:val="16"/>
                <w:szCs w:val="16"/>
              </w:rPr>
              <w:t>“</w:t>
            </w:r>
            <w:r w:rsidRPr="001966F1">
              <w:rPr>
                <w:rFonts w:ascii="Arial" w:hAnsi="Arial" w:cs="Arial"/>
                <w:b/>
                <w:sz w:val="16"/>
                <w:szCs w:val="16"/>
              </w:rPr>
              <w:t>Colombianos</w:t>
            </w:r>
            <w:r w:rsidRPr="001966F1">
              <w:rPr>
                <w:rFonts w:ascii="Arial" w:hAnsi="Arial" w:cs="Arial"/>
                <w:sz w:val="16"/>
                <w:szCs w:val="16"/>
              </w:rPr>
              <w:t xml:space="preserve"> de género </w:t>
            </w:r>
            <w:r w:rsidRPr="001966F1">
              <w:rPr>
                <w:rFonts w:ascii="Arial" w:hAnsi="Arial" w:cs="Arial"/>
                <w:b/>
                <w:sz w:val="16"/>
                <w:szCs w:val="16"/>
              </w:rPr>
              <w:t>Masculino</w:t>
            </w:r>
            <w:r w:rsidRPr="001966F1">
              <w:rPr>
                <w:rFonts w:ascii="Arial" w:hAnsi="Arial" w:cs="Arial"/>
                <w:sz w:val="16"/>
                <w:szCs w:val="16"/>
              </w:rPr>
              <w:t xml:space="preserve"> residentes en Ecuador”</w:t>
            </w:r>
          </w:p>
          <w:tbl>
            <w:tblPr>
              <w:tblW w:w="7314" w:type="dxa"/>
              <w:jc w:val="center"/>
              <w:tblCellMar>
                <w:left w:w="70" w:type="dxa"/>
                <w:right w:w="70" w:type="dxa"/>
              </w:tblCellMar>
              <w:tblLook w:val="04A0" w:firstRow="1" w:lastRow="0" w:firstColumn="1" w:lastColumn="0" w:noHBand="0" w:noVBand="1"/>
            </w:tblPr>
            <w:tblGrid>
              <w:gridCol w:w="794"/>
              <w:gridCol w:w="1191"/>
              <w:gridCol w:w="680"/>
              <w:gridCol w:w="964"/>
              <w:gridCol w:w="737"/>
              <w:gridCol w:w="737"/>
              <w:gridCol w:w="737"/>
              <w:gridCol w:w="737"/>
              <w:gridCol w:w="737"/>
            </w:tblGrid>
            <w:tr w:rsidR="00361FCE" w:rsidRPr="00AF20E2" w:rsidTr="00A127F0">
              <w:trPr>
                <w:trHeight w:val="340"/>
                <w:jc w:val="center"/>
              </w:trPr>
              <w:tc>
                <w:tcPr>
                  <w:tcW w:w="79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w:t>
                  </w:r>
                </w:p>
              </w:tc>
              <w:tc>
                <w:tcPr>
                  <w:tcW w:w="1191"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Error estándar de la media</w:t>
                  </w:r>
                </w:p>
              </w:tc>
              <w:tc>
                <w:tcPr>
                  <w:tcW w:w="680"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Moda</w:t>
                  </w:r>
                </w:p>
              </w:tc>
              <w:tc>
                <w:tcPr>
                  <w:tcW w:w="96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Desviación estándar</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Mínimo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Máximo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1</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3</w:t>
                  </w:r>
                </w:p>
              </w:tc>
            </w:tr>
            <w:tr w:rsidR="00361FCE" w:rsidRPr="00AF20E2" w:rsidTr="00597554">
              <w:trPr>
                <w:trHeight w:val="227"/>
                <w:jc w:val="center"/>
              </w:trPr>
              <w:tc>
                <w:tcPr>
                  <w:tcW w:w="794"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34.015</w:t>
                  </w:r>
                </w:p>
              </w:tc>
              <w:tc>
                <w:tcPr>
                  <w:tcW w:w="1191"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0.091</w:t>
                  </w:r>
                </w:p>
              </w:tc>
              <w:tc>
                <w:tcPr>
                  <w:tcW w:w="680"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28</w:t>
                  </w:r>
                </w:p>
              </w:tc>
              <w:tc>
                <w:tcPr>
                  <w:tcW w:w="964"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18.713</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111</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32</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47</w:t>
                  </w:r>
                </w:p>
              </w:tc>
            </w:tr>
          </w:tbl>
          <w:p w:rsidR="00361FCE" w:rsidRPr="00AD4DB1" w:rsidRDefault="00361FCE" w:rsidP="00902050">
            <w:pPr>
              <w:rPr>
                <w:rFonts w:ascii="Arial" w:hAnsi="Arial" w:cs="Arial"/>
                <w:i/>
                <w:sz w:val="10"/>
                <w:szCs w:val="10"/>
              </w:rPr>
            </w:pPr>
          </w:p>
          <w:p w:rsidR="00361FCE" w:rsidRPr="001966F1" w:rsidRDefault="00361FCE" w:rsidP="00902050">
            <w:pPr>
              <w:rPr>
                <w:rFonts w:ascii="Arial" w:hAnsi="Arial" w:cs="Arial"/>
                <w:sz w:val="16"/>
                <w:szCs w:val="16"/>
              </w:rPr>
            </w:pPr>
            <w:r w:rsidRPr="001966F1">
              <w:rPr>
                <w:rFonts w:ascii="Arial" w:hAnsi="Arial" w:cs="Arial"/>
                <w:sz w:val="16"/>
                <w:szCs w:val="16"/>
              </w:rPr>
              <w:t>“</w:t>
            </w:r>
            <w:r w:rsidRPr="001966F1">
              <w:rPr>
                <w:rFonts w:ascii="Arial" w:hAnsi="Arial" w:cs="Arial"/>
                <w:b/>
                <w:sz w:val="16"/>
                <w:szCs w:val="16"/>
              </w:rPr>
              <w:t>Colombianos</w:t>
            </w:r>
            <w:r>
              <w:rPr>
                <w:rFonts w:ascii="Arial" w:hAnsi="Arial" w:cs="Arial"/>
                <w:sz w:val="16"/>
                <w:szCs w:val="16"/>
              </w:rPr>
              <w:t xml:space="preserve"> de género </w:t>
            </w:r>
            <w:r w:rsidRPr="001966F1">
              <w:rPr>
                <w:rFonts w:ascii="Arial" w:hAnsi="Arial" w:cs="Arial"/>
                <w:b/>
                <w:sz w:val="16"/>
                <w:szCs w:val="16"/>
              </w:rPr>
              <w:t>Femenino</w:t>
            </w:r>
            <w:r w:rsidRPr="001966F1">
              <w:rPr>
                <w:rFonts w:ascii="Arial" w:hAnsi="Arial" w:cs="Arial"/>
                <w:sz w:val="16"/>
                <w:szCs w:val="16"/>
              </w:rPr>
              <w:t xml:space="preserve"> residentes en Ecuador”</w:t>
            </w:r>
          </w:p>
          <w:tbl>
            <w:tblPr>
              <w:tblW w:w="7314" w:type="dxa"/>
              <w:jc w:val="center"/>
              <w:tblCellMar>
                <w:left w:w="70" w:type="dxa"/>
                <w:right w:w="70" w:type="dxa"/>
              </w:tblCellMar>
              <w:tblLook w:val="04A0" w:firstRow="1" w:lastRow="0" w:firstColumn="1" w:lastColumn="0" w:noHBand="0" w:noVBand="1"/>
            </w:tblPr>
            <w:tblGrid>
              <w:gridCol w:w="794"/>
              <w:gridCol w:w="1191"/>
              <w:gridCol w:w="680"/>
              <w:gridCol w:w="964"/>
              <w:gridCol w:w="737"/>
              <w:gridCol w:w="737"/>
              <w:gridCol w:w="737"/>
              <w:gridCol w:w="737"/>
              <w:gridCol w:w="737"/>
            </w:tblGrid>
            <w:tr w:rsidR="00361FCE" w:rsidRPr="00AF20E2" w:rsidTr="00A127F0">
              <w:trPr>
                <w:trHeight w:val="340"/>
                <w:jc w:val="center"/>
              </w:trPr>
              <w:tc>
                <w:tcPr>
                  <w:tcW w:w="79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w:t>
                  </w:r>
                </w:p>
              </w:tc>
              <w:tc>
                <w:tcPr>
                  <w:tcW w:w="1191"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Error estándar de la media</w:t>
                  </w:r>
                </w:p>
              </w:tc>
              <w:tc>
                <w:tcPr>
                  <w:tcW w:w="680"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Moda</w:t>
                  </w:r>
                </w:p>
              </w:tc>
              <w:tc>
                <w:tcPr>
                  <w:tcW w:w="96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Desviación estándar</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Mínimo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Máximo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1</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3</w:t>
                  </w:r>
                </w:p>
              </w:tc>
            </w:tr>
            <w:tr w:rsidR="00361FCE" w:rsidRPr="00AF20E2" w:rsidTr="00597554">
              <w:trPr>
                <w:trHeight w:val="227"/>
                <w:jc w:val="center"/>
              </w:trPr>
              <w:tc>
                <w:tcPr>
                  <w:tcW w:w="794"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34.530</w:t>
                  </w:r>
                </w:p>
              </w:tc>
              <w:tc>
                <w:tcPr>
                  <w:tcW w:w="1191"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0.084</w:t>
                  </w:r>
                </w:p>
              </w:tc>
              <w:tc>
                <w:tcPr>
                  <w:tcW w:w="680"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30</w:t>
                  </w:r>
                </w:p>
              </w:tc>
              <w:tc>
                <w:tcPr>
                  <w:tcW w:w="964"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18.262</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111</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21</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32</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47</w:t>
                  </w:r>
                </w:p>
              </w:tc>
            </w:tr>
          </w:tbl>
          <w:p w:rsidR="00361FCE" w:rsidRPr="00BF74AD" w:rsidRDefault="00361FCE" w:rsidP="00902050">
            <w:pPr>
              <w:rPr>
                <w:rFonts w:ascii="Arial" w:hAnsi="Arial" w:cs="Arial"/>
                <w:i/>
                <w:sz w:val="10"/>
                <w:szCs w:val="10"/>
              </w:rPr>
            </w:pPr>
          </w:p>
        </w:tc>
      </w:tr>
    </w:tbl>
    <w:p w:rsidR="00361FCE" w:rsidRPr="00AD4DB1" w:rsidRDefault="00A127F0" w:rsidP="00AD4DB1">
      <w:pPr>
        <w:pStyle w:val="Prrafodelista"/>
        <w:tabs>
          <w:tab w:val="left" w:pos="3375"/>
        </w:tabs>
        <w:spacing w:line="276" w:lineRule="auto"/>
        <w:ind w:left="851"/>
        <w:jc w:val="both"/>
        <w:rPr>
          <w:rFonts w:ascii="Arial" w:hAnsi="Arial" w:cs="Arial"/>
          <w:sz w:val="17"/>
          <w:szCs w:val="17"/>
        </w:rPr>
      </w:pPr>
      <w:r>
        <w:rPr>
          <w:rFonts w:ascii="Arial" w:hAnsi="Arial" w:cs="Arial"/>
          <w:sz w:val="18"/>
          <w:szCs w:val="18"/>
        </w:rPr>
        <w:tab/>
      </w:r>
    </w:p>
    <w:p w:rsidR="00361FCE" w:rsidRPr="00AD4DB1" w:rsidRDefault="00361FCE" w:rsidP="00AD4DB1">
      <w:pPr>
        <w:pStyle w:val="Prrafodelista"/>
        <w:spacing w:line="276" w:lineRule="auto"/>
        <w:ind w:left="851"/>
        <w:jc w:val="both"/>
        <w:rPr>
          <w:rFonts w:ascii="Arial" w:hAnsi="Arial" w:cs="Arial"/>
          <w:sz w:val="17"/>
          <w:szCs w:val="17"/>
        </w:rPr>
      </w:pPr>
      <w:r w:rsidRPr="00AD4DB1">
        <w:rPr>
          <w:rFonts w:ascii="Arial" w:hAnsi="Arial" w:cs="Arial"/>
          <w:b/>
          <w:i/>
          <w:sz w:val="17"/>
          <w:szCs w:val="17"/>
        </w:rPr>
        <w:t>Fuente:</w:t>
      </w:r>
      <w:r w:rsidRPr="00AD4DB1">
        <w:rPr>
          <w:rFonts w:ascii="Arial" w:hAnsi="Arial" w:cs="Arial"/>
          <w:sz w:val="17"/>
          <w:szCs w:val="17"/>
        </w:rPr>
        <w:t xml:space="preserve"> </w:t>
      </w:r>
      <w:r w:rsidRPr="00AD4DB1">
        <w:rPr>
          <w:rFonts w:ascii="Arial" w:hAnsi="Arial" w:cs="Arial"/>
          <w:b/>
          <w:sz w:val="17"/>
          <w:szCs w:val="17"/>
        </w:rPr>
        <w:t xml:space="preserve">INEC </w:t>
      </w:r>
      <w:r w:rsidRPr="00AD4DB1">
        <w:rPr>
          <w:rFonts w:ascii="Arial" w:hAnsi="Arial" w:cs="Arial"/>
          <w:sz w:val="17"/>
          <w:szCs w:val="17"/>
        </w:rPr>
        <w:t>(2010), Base de Datos del VII Censo de Población y VI de Vivienda.</w:t>
      </w:r>
    </w:p>
    <w:p w:rsidR="00361FCE" w:rsidRPr="00AD4DB1" w:rsidRDefault="00361FCE" w:rsidP="00AD4DB1">
      <w:pPr>
        <w:pStyle w:val="Prrafodelista"/>
        <w:spacing w:line="276" w:lineRule="auto"/>
        <w:ind w:left="851"/>
        <w:jc w:val="both"/>
        <w:rPr>
          <w:rFonts w:ascii="Arial" w:hAnsi="Arial" w:cs="Arial"/>
          <w:sz w:val="17"/>
          <w:szCs w:val="17"/>
        </w:rPr>
      </w:pPr>
      <w:r w:rsidRPr="00AD4DB1">
        <w:rPr>
          <w:rFonts w:ascii="Arial" w:hAnsi="Arial" w:cs="Arial"/>
          <w:b/>
          <w:i/>
          <w:sz w:val="17"/>
          <w:szCs w:val="17"/>
        </w:rPr>
        <w:t>Elaborado por:</w:t>
      </w:r>
      <w:r w:rsidRPr="00AD4DB1">
        <w:rPr>
          <w:rFonts w:ascii="Arial" w:hAnsi="Arial" w:cs="Arial"/>
          <w:sz w:val="17"/>
          <w:szCs w:val="17"/>
        </w:rPr>
        <w:t xml:space="preserve"> Katherine Loor Valeriano</w:t>
      </w:r>
    </w:p>
    <w:p w:rsidR="00361FCE" w:rsidRPr="00294A53" w:rsidRDefault="00361FCE" w:rsidP="00AD4DB1">
      <w:pPr>
        <w:pStyle w:val="Prrafodelista"/>
        <w:spacing w:line="480" w:lineRule="auto"/>
        <w:ind w:left="851"/>
        <w:jc w:val="both"/>
        <w:rPr>
          <w:rFonts w:ascii="Arial" w:hAnsi="Arial" w:cs="Arial"/>
        </w:rPr>
      </w:pPr>
      <w:r>
        <w:rPr>
          <w:rFonts w:ascii="Arial" w:hAnsi="Arial" w:cs="Arial"/>
        </w:rPr>
        <w:lastRenderedPageBreak/>
        <w:t xml:space="preserve">En la </w:t>
      </w:r>
      <w:r>
        <w:rPr>
          <w:rFonts w:ascii="Arial" w:hAnsi="Arial" w:cs="Arial"/>
          <w:i/>
        </w:rPr>
        <w:t>Figura 4.8</w:t>
      </w:r>
      <w:r>
        <w:rPr>
          <w:rFonts w:ascii="Arial" w:hAnsi="Arial" w:cs="Arial"/>
        </w:rPr>
        <w:t>, se presenta la pirámide poblacional por grupos de edad y género, en donde la barra más larga es la de las edades comprendidas entre 25 y 30 años. Además tenemos que el 0.20% de los colombianos son menores de 1 año siendo el 0.12% hombres y el 0.08% son mujeres, el 2.94% tienen entre 1 y 5 años de los cuales el 1.47% son hombres y el 1.46% son mujeres, el 5.39% entre 5 y 10 años siendo el 2.74% hombres y el 2.65% son mujeres, el 11.46% tienen entre 25 y 30 años de los cuales el 5.23% son hombres y el 6.24% son mujeres; y, así hasta que el 0.02% son mayores de 100 años. Adicionalmente, se puede notar que en la mayoría de los grupos etarios es más larga la  longitud de la barra para las mujeres respecto a la de los hombres, exceptuando los cuatro primeros grupos de edad en donde la barra es más larga para los hombres.</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AD4DB1">
        <w:trPr>
          <w:trHeight w:val="4404"/>
          <w:jc w:val="right"/>
        </w:trPr>
        <w:tc>
          <w:tcPr>
            <w:tcW w:w="7497" w:type="dxa"/>
          </w:tcPr>
          <w:p w:rsidR="00361FCE" w:rsidRPr="00840530" w:rsidRDefault="00361FCE" w:rsidP="00902050">
            <w:pPr>
              <w:rPr>
                <w:rFonts w:ascii="Arial" w:hAnsi="Arial" w:cs="Arial"/>
                <w:sz w:val="16"/>
                <w:szCs w:val="16"/>
              </w:rPr>
            </w:pPr>
          </w:p>
          <w:p w:rsidR="00A127F0" w:rsidRPr="00A127F0" w:rsidRDefault="00A127F0" w:rsidP="00A127F0">
            <w:pPr>
              <w:pStyle w:val="Epgrafe"/>
              <w:rPr>
                <w:rFonts w:ascii="Arial" w:hAnsi="Arial" w:cs="Arial"/>
                <w:bCs w:val="0"/>
                <w:color w:val="auto"/>
                <w:sz w:val="16"/>
                <w:szCs w:val="16"/>
              </w:rPr>
            </w:pPr>
            <w:bookmarkStart w:id="523" w:name="_Toc341043980"/>
            <w:r>
              <w:rPr>
                <w:rFonts w:ascii="Arial" w:hAnsi="Arial" w:cs="Arial"/>
                <w:bCs w:val="0"/>
                <w:color w:val="auto"/>
                <w:sz w:val="16"/>
                <w:szCs w:val="16"/>
              </w:rPr>
              <w:t>Figura 4.</w:t>
            </w:r>
            <w:r w:rsidR="00990535" w:rsidRPr="00A127F0">
              <w:rPr>
                <w:rFonts w:ascii="Arial" w:hAnsi="Arial" w:cs="Arial"/>
                <w:bCs w:val="0"/>
                <w:color w:val="auto"/>
                <w:sz w:val="16"/>
                <w:szCs w:val="16"/>
              </w:rPr>
              <w:fldChar w:fldCharType="begin"/>
            </w:r>
            <w:r w:rsidRPr="00A127F0">
              <w:rPr>
                <w:rFonts w:ascii="Arial" w:hAnsi="Arial" w:cs="Arial"/>
                <w:bCs w:val="0"/>
                <w:color w:val="auto"/>
                <w:sz w:val="16"/>
                <w:szCs w:val="16"/>
              </w:rPr>
              <w:instrText xml:space="preserve"> SEQ Figura_4. \* ARABIC </w:instrText>
            </w:r>
            <w:r w:rsidR="00990535" w:rsidRPr="00A127F0">
              <w:rPr>
                <w:rFonts w:ascii="Arial" w:hAnsi="Arial" w:cs="Arial"/>
                <w:bCs w:val="0"/>
                <w:color w:val="auto"/>
                <w:sz w:val="16"/>
                <w:szCs w:val="16"/>
              </w:rPr>
              <w:fldChar w:fldCharType="separate"/>
            </w:r>
            <w:r w:rsidR="00A242E0">
              <w:rPr>
                <w:rFonts w:ascii="Arial" w:hAnsi="Arial" w:cs="Arial"/>
                <w:bCs w:val="0"/>
                <w:noProof/>
                <w:color w:val="auto"/>
                <w:sz w:val="16"/>
                <w:szCs w:val="16"/>
              </w:rPr>
              <w:t>8</w:t>
            </w:r>
            <w:bookmarkEnd w:id="523"/>
            <w:r w:rsidR="00990535" w:rsidRPr="00A127F0">
              <w:rPr>
                <w:rFonts w:ascii="Arial" w:hAnsi="Arial" w:cs="Arial"/>
                <w:bCs w:val="0"/>
                <w:color w:val="auto"/>
                <w:sz w:val="16"/>
                <w:szCs w:val="16"/>
              </w:rPr>
              <w:fldChar w:fldCharType="end"/>
            </w:r>
          </w:p>
          <w:p w:rsidR="00361FCE" w:rsidRPr="00660711" w:rsidRDefault="00436907" w:rsidP="00AD4DB1">
            <w:pPr>
              <w:rPr>
                <w:rFonts w:ascii="Arial" w:hAnsi="Arial" w:cs="Arial"/>
                <w:i/>
                <w:sz w:val="16"/>
                <w:szCs w:val="16"/>
              </w:rPr>
            </w:pPr>
            <w:r>
              <w:rPr>
                <w:rFonts w:ascii="Arial" w:hAnsi="Arial" w:cs="Arial"/>
                <w:noProof/>
                <w:lang w:eastAsia="es-EC"/>
              </w:rPr>
              <w:pict>
                <v:shape id="_x0000_s1470" type="#_x0000_t202" style="position:absolute;left:0;text-align:left;margin-left:65.8pt;margin-top:18.2pt;width:142.2pt;height:20.25pt;z-index:25148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2D6729" w:rsidRDefault="006933DF" w:rsidP="00361FCE">
                        <w:pPr>
                          <w:rPr>
                            <w:rFonts w:ascii="Arial" w:hAnsi="Arial" w:cs="Arial"/>
                            <w:b/>
                            <w:sz w:val="15"/>
                            <w:szCs w:val="15"/>
                          </w:rPr>
                        </w:pPr>
                        <w:r w:rsidRPr="002D6729">
                          <w:rPr>
                            <w:rFonts w:ascii="Arial" w:hAnsi="Arial" w:cs="Arial"/>
                            <w:b/>
                            <w:sz w:val="15"/>
                            <w:szCs w:val="15"/>
                          </w:rPr>
                          <w:t>Masculino</w:t>
                        </w:r>
                      </w:p>
                    </w:txbxContent>
                  </v:textbox>
                </v:shape>
              </w:pict>
            </w:r>
            <w:r>
              <w:rPr>
                <w:noProof/>
                <w:lang w:eastAsia="es-EC"/>
              </w:rPr>
              <w:pict>
                <v:shape id="_x0000_s1471" type="#_x0000_t202" style="position:absolute;left:0;text-align:left;margin-left:211.3pt;margin-top:18.2pt;width:142.2pt;height:20.25pt;z-index:25148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2D6729" w:rsidRDefault="006933DF" w:rsidP="00361FCE">
                        <w:pPr>
                          <w:rPr>
                            <w:rFonts w:ascii="Arial" w:hAnsi="Arial" w:cs="Arial"/>
                            <w:b/>
                            <w:sz w:val="15"/>
                            <w:szCs w:val="15"/>
                          </w:rPr>
                        </w:pPr>
                        <w:r w:rsidRPr="002D6729">
                          <w:rPr>
                            <w:rFonts w:ascii="Arial" w:hAnsi="Arial" w:cs="Arial"/>
                            <w:b/>
                            <w:sz w:val="15"/>
                            <w:szCs w:val="15"/>
                          </w:rPr>
                          <w:t>Femenino</w:t>
                        </w:r>
                      </w:p>
                    </w:txbxContent>
                  </v:textbox>
                </v:shape>
              </w:pict>
            </w:r>
            <w:r w:rsidR="00AD4DB1">
              <w:rPr>
                <w:rFonts w:ascii="Arial" w:hAnsi="Arial" w:cs="Arial"/>
                <w:b/>
                <w:i/>
                <w:sz w:val="16"/>
                <w:szCs w:val="16"/>
              </w:rPr>
              <w:t xml:space="preserve">Ecuador 2010: </w:t>
            </w:r>
            <w:r w:rsidR="00361FCE">
              <w:rPr>
                <w:rFonts w:ascii="Arial" w:hAnsi="Arial" w:cs="Arial"/>
                <w:i/>
                <w:sz w:val="16"/>
                <w:szCs w:val="16"/>
              </w:rPr>
              <w:t xml:space="preserve">Distribución Género – Edad de los </w:t>
            </w:r>
            <w:r w:rsidR="00361FCE" w:rsidRPr="00AD4DB1">
              <w:rPr>
                <w:rFonts w:ascii="Arial" w:hAnsi="Arial" w:cs="Arial"/>
                <w:b/>
                <w:i/>
                <w:sz w:val="16"/>
                <w:szCs w:val="16"/>
              </w:rPr>
              <w:t>co</w:t>
            </w:r>
            <w:r w:rsidR="00AD4DB1" w:rsidRPr="00AD4DB1">
              <w:rPr>
                <w:rFonts w:ascii="Arial" w:hAnsi="Arial" w:cs="Arial"/>
                <w:b/>
                <w:i/>
                <w:sz w:val="16"/>
                <w:szCs w:val="16"/>
              </w:rPr>
              <w:t>lombianos</w:t>
            </w:r>
            <w:r w:rsidR="00AD4DB1">
              <w:rPr>
                <w:rFonts w:ascii="Arial" w:hAnsi="Arial" w:cs="Arial"/>
                <w:i/>
                <w:sz w:val="16"/>
                <w:szCs w:val="16"/>
              </w:rPr>
              <w:t xml:space="preserve"> residentes en el país</w:t>
            </w:r>
            <w:r w:rsidR="00361FCE">
              <w:rPr>
                <w:noProof/>
                <w:lang w:eastAsia="es-EC"/>
              </w:rPr>
              <w:drawing>
                <wp:inline distT="0" distB="0" distL="0" distR="0">
                  <wp:extent cx="4543200" cy="277200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bl>
    <w:p w:rsidR="00361FCE" w:rsidRPr="00AD4DB1" w:rsidRDefault="00361FCE" w:rsidP="00AD4DB1">
      <w:pPr>
        <w:pStyle w:val="Prrafodelista"/>
        <w:spacing w:line="276" w:lineRule="auto"/>
        <w:ind w:left="851"/>
        <w:jc w:val="both"/>
        <w:rPr>
          <w:rFonts w:ascii="Arial" w:hAnsi="Arial" w:cs="Arial"/>
          <w:sz w:val="17"/>
          <w:szCs w:val="17"/>
        </w:rPr>
      </w:pPr>
    </w:p>
    <w:p w:rsidR="00361FCE" w:rsidRPr="00AD4DB1" w:rsidRDefault="00361FCE" w:rsidP="00AD4DB1">
      <w:pPr>
        <w:pStyle w:val="Prrafodelista"/>
        <w:spacing w:line="276" w:lineRule="auto"/>
        <w:ind w:left="851"/>
        <w:jc w:val="both"/>
        <w:rPr>
          <w:rFonts w:ascii="Arial" w:hAnsi="Arial" w:cs="Arial"/>
          <w:sz w:val="17"/>
          <w:szCs w:val="17"/>
        </w:rPr>
      </w:pPr>
      <w:r w:rsidRPr="00AD4DB1">
        <w:rPr>
          <w:rFonts w:ascii="Arial" w:hAnsi="Arial" w:cs="Arial"/>
          <w:b/>
          <w:i/>
          <w:sz w:val="17"/>
          <w:szCs w:val="17"/>
        </w:rPr>
        <w:t>Fuente:</w:t>
      </w:r>
      <w:r w:rsidRPr="00AD4DB1">
        <w:rPr>
          <w:rFonts w:ascii="Arial" w:hAnsi="Arial" w:cs="Arial"/>
          <w:sz w:val="17"/>
          <w:szCs w:val="17"/>
        </w:rPr>
        <w:t xml:space="preserve"> </w:t>
      </w:r>
      <w:r w:rsidRPr="00AD4DB1">
        <w:rPr>
          <w:rFonts w:ascii="Arial" w:hAnsi="Arial" w:cs="Arial"/>
          <w:b/>
          <w:sz w:val="17"/>
          <w:szCs w:val="17"/>
        </w:rPr>
        <w:t xml:space="preserve">INEC </w:t>
      </w:r>
      <w:r w:rsidRPr="00AD4DB1">
        <w:rPr>
          <w:rFonts w:ascii="Arial" w:hAnsi="Arial" w:cs="Arial"/>
          <w:sz w:val="17"/>
          <w:szCs w:val="17"/>
        </w:rPr>
        <w:t>(2010), Base de Datos del VII Censo de Población y VI de Vivienda.</w:t>
      </w:r>
    </w:p>
    <w:p w:rsidR="00361FCE" w:rsidRPr="00AD4DB1" w:rsidRDefault="00361FCE" w:rsidP="00AD4DB1">
      <w:pPr>
        <w:pStyle w:val="Prrafodelista"/>
        <w:spacing w:line="276" w:lineRule="auto"/>
        <w:ind w:left="851"/>
        <w:jc w:val="both"/>
        <w:rPr>
          <w:rFonts w:ascii="Arial" w:hAnsi="Arial" w:cs="Arial"/>
          <w:sz w:val="17"/>
          <w:szCs w:val="17"/>
        </w:rPr>
      </w:pPr>
      <w:r w:rsidRPr="00AD4DB1">
        <w:rPr>
          <w:rFonts w:ascii="Arial" w:hAnsi="Arial" w:cs="Arial"/>
          <w:b/>
          <w:i/>
          <w:sz w:val="17"/>
          <w:szCs w:val="17"/>
        </w:rPr>
        <w:t>Elaborado por:</w:t>
      </w:r>
      <w:r w:rsidRPr="00AD4DB1">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Pr="00AA7368" w:rsidRDefault="00361FCE" w:rsidP="00AD4DB1">
      <w:pPr>
        <w:pStyle w:val="Prrafodelista"/>
        <w:spacing w:line="480" w:lineRule="auto"/>
        <w:ind w:left="851"/>
        <w:jc w:val="both"/>
        <w:rPr>
          <w:rFonts w:ascii="Arial" w:hAnsi="Arial" w:cs="Arial"/>
          <w:i/>
        </w:rPr>
      </w:pPr>
      <w:r>
        <w:rPr>
          <w:rFonts w:ascii="Arial" w:hAnsi="Arial" w:cs="Arial"/>
        </w:rPr>
        <w:lastRenderedPageBreak/>
        <w:t xml:space="preserve">Lo </w:t>
      </w:r>
      <w:r w:rsidR="00AD4DB1">
        <w:rPr>
          <w:rFonts w:ascii="Arial" w:hAnsi="Arial" w:cs="Arial"/>
        </w:rPr>
        <w:t>mencionado</w:t>
      </w:r>
      <w:r>
        <w:rPr>
          <w:rFonts w:ascii="Arial" w:hAnsi="Arial" w:cs="Arial"/>
        </w:rPr>
        <w:t xml:space="preserve"> en últimas líneas del párrafo anterior se puede corroborar con la </w:t>
      </w:r>
      <w:r>
        <w:rPr>
          <w:rFonts w:ascii="Arial" w:hAnsi="Arial" w:cs="Arial"/>
          <w:i/>
        </w:rPr>
        <w:t>Figura 4.9</w:t>
      </w:r>
      <w:r>
        <w:rPr>
          <w:rFonts w:ascii="Arial" w:hAnsi="Arial" w:cs="Arial"/>
        </w:rPr>
        <w:t xml:space="preserve">, pues los casos para los cuales es mayor la cantidad de mujeres que de hombres por grupos de edad se tiene que la altura de la barra sobrepasa la línea horizontal de color fucsia; y, que como se mencionó solo en los cuatro primeros grupos la altura de la barra no supera a la línea. Además, se puede notar que el mayor índice de feminidad se </w:t>
      </w:r>
      <w:r w:rsidR="00506BFD">
        <w:rPr>
          <w:rFonts w:ascii="Arial" w:hAnsi="Arial" w:cs="Arial"/>
        </w:rPr>
        <w:t>da</w:t>
      </w:r>
      <w:r>
        <w:rPr>
          <w:rFonts w:ascii="Arial" w:hAnsi="Arial" w:cs="Arial"/>
        </w:rPr>
        <w:t xml:space="preserve"> para los mayores de 10 años ya que hay 185.71 colombianas de este grupo etario por cada 100 hombres de la misma edad y de la misma nacionalidad.</w:t>
      </w:r>
      <w:r w:rsidR="00597554">
        <w:rPr>
          <w:rFonts w:ascii="Arial" w:hAnsi="Arial" w:cs="Arial"/>
        </w:rPr>
        <w:t xml:space="preserve"> </w:t>
      </w:r>
      <w:r>
        <w:rPr>
          <w:rFonts w:ascii="Arial" w:hAnsi="Arial" w:cs="Arial"/>
        </w:rPr>
        <w:t xml:space="preserve">Adicionalmente, se tiene que para las personas en edades económicamente activa, es decir entre 15 y 65 años, siempre hay más mujeres que hombres y el índice de feminidad toma valores entre 101.79 y 121.43 mujeres por cada 100 hombres. También, hay 112.71, 119.16 y 133.06 colombianas por cada 100 colombianos con edades entre 65 y 70 años, 75 y 80 años y  85 y 90 años respectivamente. </w:t>
      </w:r>
      <w:r w:rsidRPr="00C82CB7">
        <w:rPr>
          <w:rFonts w:ascii="Arial" w:hAnsi="Arial" w:cs="Arial"/>
          <w:i/>
        </w:rPr>
        <w:t>Véase</w:t>
      </w:r>
      <w:r>
        <w:rPr>
          <w:rFonts w:ascii="Arial" w:hAnsi="Arial" w:cs="Arial"/>
        </w:rPr>
        <w:t xml:space="preserve"> </w:t>
      </w:r>
      <w:r>
        <w:rPr>
          <w:rFonts w:ascii="Arial" w:hAnsi="Arial" w:cs="Arial"/>
          <w:i/>
        </w:rPr>
        <w:t>Figura 4.9.</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AD4DB1">
        <w:trPr>
          <w:trHeight w:val="3215"/>
          <w:jc w:val="right"/>
        </w:trPr>
        <w:tc>
          <w:tcPr>
            <w:tcW w:w="7497" w:type="dxa"/>
          </w:tcPr>
          <w:p w:rsidR="00361FCE" w:rsidRPr="00840530" w:rsidRDefault="00361FCE" w:rsidP="00902050">
            <w:pPr>
              <w:rPr>
                <w:rFonts w:ascii="Arial" w:hAnsi="Arial" w:cs="Arial"/>
                <w:sz w:val="16"/>
                <w:szCs w:val="16"/>
              </w:rPr>
            </w:pPr>
          </w:p>
          <w:p w:rsidR="00A127F0" w:rsidRPr="00A127F0" w:rsidRDefault="00A127F0" w:rsidP="00A127F0">
            <w:pPr>
              <w:pStyle w:val="Epgrafe"/>
              <w:rPr>
                <w:rFonts w:ascii="Arial" w:hAnsi="Arial" w:cs="Arial"/>
                <w:bCs w:val="0"/>
                <w:color w:val="auto"/>
                <w:sz w:val="16"/>
                <w:szCs w:val="16"/>
              </w:rPr>
            </w:pPr>
            <w:bookmarkStart w:id="524" w:name="_Toc341043981"/>
            <w:r w:rsidRPr="00A127F0">
              <w:rPr>
                <w:rFonts w:ascii="Arial" w:hAnsi="Arial" w:cs="Arial"/>
                <w:bCs w:val="0"/>
                <w:color w:val="auto"/>
                <w:sz w:val="16"/>
                <w:szCs w:val="16"/>
              </w:rPr>
              <w:t>Figura 4.</w:t>
            </w:r>
            <w:r w:rsidR="00990535" w:rsidRPr="00A127F0">
              <w:rPr>
                <w:rFonts w:ascii="Arial" w:hAnsi="Arial" w:cs="Arial"/>
                <w:bCs w:val="0"/>
                <w:color w:val="auto"/>
                <w:sz w:val="16"/>
                <w:szCs w:val="16"/>
              </w:rPr>
              <w:fldChar w:fldCharType="begin"/>
            </w:r>
            <w:r w:rsidRPr="00A127F0">
              <w:rPr>
                <w:rFonts w:ascii="Arial" w:hAnsi="Arial" w:cs="Arial"/>
                <w:bCs w:val="0"/>
                <w:color w:val="auto"/>
                <w:sz w:val="16"/>
                <w:szCs w:val="16"/>
              </w:rPr>
              <w:instrText xml:space="preserve"> SEQ Figura_4. \* ARABIC </w:instrText>
            </w:r>
            <w:r w:rsidR="00990535" w:rsidRPr="00A127F0">
              <w:rPr>
                <w:rFonts w:ascii="Arial" w:hAnsi="Arial" w:cs="Arial"/>
                <w:bCs w:val="0"/>
                <w:color w:val="auto"/>
                <w:sz w:val="16"/>
                <w:szCs w:val="16"/>
              </w:rPr>
              <w:fldChar w:fldCharType="separate"/>
            </w:r>
            <w:r w:rsidR="00A242E0">
              <w:rPr>
                <w:rFonts w:ascii="Arial" w:hAnsi="Arial" w:cs="Arial"/>
                <w:bCs w:val="0"/>
                <w:noProof/>
                <w:color w:val="auto"/>
                <w:sz w:val="16"/>
                <w:szCs w:val="16"/>
              </w:rPr>
              <w:t>9</w:t>
            </w:r>
            <w:bookmarkEnd w:id="524"/>
            <w:r w:rsidR="00990535" w:rsidRPr="00A127F0">
              <w:rPr>
                <w:rFonts w:ascii="Arial" w:hAnsi="Arial" w:cs="Arial"/>
                <w:bCs w:val="0"/>
                <w:color w:val="auto"/>
                <w:sz w:val="16"/>
                <w:szCs w:val="16"/>
              </w:rPr>
              <w:fldChar w:fldCharType="end"/>
            </w:r>
          </w:p>
          <w:p w:rsidR="00361FCE" w:rsidRPr="00AD4DB1" w:rsidRDefault="00AD4DB1" w:rsidP="00902050">
            <w:pPr>
              <w:rPr>
                <w:rFonts w:ascii="Arial" w:hAnsi="Arial" w:cs="Arial"/>
                <w:b/>
                <w:i/>
                <w:sz w:val="16"/>
                <w:szCs w:val="16"/>
              </w:rPr>
            </w:pPr>
            <w:r>
              <w:rPr>
                <w:rFonts w:ascii="Arial" w:hAnsi="Arial" w:cs="Arial"/>
                <w:b/>
                <w:i/>
                <w:sz w:val="16"/>
                <w:szCs w:val="16"/>
              </w:rPr>
              <w:t xml:space="preserve">Ecuador 2010: </w:t>
            </w:r>
            <w:r w:rsidR="00361FCE">
              <w:rPr>
                <w:rFonts w:ascii="Arial" w:hAnsi="Arial" w:cs="Arial"/>
                <w:i/>
                <w:sz w:val="16"/>
                <w:szCs w:val="16"/>
              </w:rPr>
              <w:t xml:space="preserve">Índice de Feminidad por Grupos </w:t>
            </w:r>
            <w:r>
              <w:rPr>
                <w:rFonts w:ascii="Arial" w:hAnsi="Arial" w:cs="Arial"/>
                <w:i/>
                <w:sz w:val="16"/>
                <w:szCs w:val="16"/>
              </w:rPr>
              <w:t xml:space="preserve">etarios de la población </w:t>
            </w:r>
            <w:r>
              <w:rPr>
                <w:rFonts w:ascii="Arial" w:hAnsi="Arial" w:cs="Arial"/>
                <w:b/>
                <w:i/>
                <w:sz w:val="16"/>
                <w:szCs w:val="16"/>
              </w:rPr>
              <w:t>colombiana</w:t>
            </w:r>
          </w:p>
          <w:p w:rsidR="00361FCE" w:rsidRPr="00660711" w:rsidRDefault="00361FCE" w:rsidP="00902050">
            <w:pPr>
              <w:rPr>
                <w:rFonts w:ascii="Arial" w:hAnsi="Arial" w:cs="Arial"/>
                <w:i/>
                <w:sz w:val="16"/>
                <w:szCs w:val="16"/>
              </w:rPr>
            </w:pPr>
            <w:r>
              <w:rPr>
                <w:noProof/>
                <w:lang w:eastAsia="es-EC"/>
              </w:rPr>
              <w:drawing>
                <wp:inline distT="0" distB="0" distL="0" distR="0">
                  <wp:extent cx="4591050" cy="2160000"/>
                  <wp:effectExtent l="0" t="0" r="0"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bl>
    <w:p w:rsidR="00361FCE" w:rsidRPr="00AD4DB1" w:rsidRDefault="00361FCE" w:rsidP="00AD4DB1">
      <w:pPr>
        <w:pStyle w:val="Prrafodelista"/>
        <w:spacing w:line="276" w:lineRule="auto"/>
        <w:ind w:left="851"/>
        <w:jc w:val="both"/>
        <w:rPr>
          <w:rFonts w:ascii="Arial" w:hAnsi="Arial" w:cs="Arial"/>
          <w:sz w:val="17"/>
          <w:szCs w:val="17"/>
        </w:rPr>
      </w:pPr>
    </w:p>
    <w:p w:rsidR="00361FCE" w:rsidRPr="00AD4DB1" w:rsidRDefault="00361FCE" w:rsidP="00AD4DB1">
      <w:pPr>
        <w:pStyle w:val="Prrafodelista"/>
        <w:spacing w:line="276" w:lineRule="auto"/>
        <w:ind w:left="851"/>
        <w:jc w:val="both"/>
        <w:rPr>
          <w:rFonts w:ascii="Arial" w:hAnsi="Arial" w:cs="Arial"/>
          <w:sz w:val="17"/>
          <w:szCs w:val="17"/>
        </w:rPr>
      </w:pPr>
      <w:r w:rsidRPr="00AD4DB1">
        <w:rPr>
          <w:rFonts w:ascii="Arial" w:hAnsi="Arial" w:cs="Arial"/>
          <w:b/>
          <w:i/>
          <w:sz w:val="17"/>
          <w:szCs w:val="17"/>
        </w:rPr>
        <w:t>Fuente:</w:t>
      </w:r>
      <w:r w:rsidRPr="00AD4DB1">
        <w:rPr>
          <w:rFonts w:ascii="Arial" w:hAnsi="Arial" w:cs="Arial"/>
          <w:sz w:val="17"/>
          <w:szCs w:val="17"/>
        </w:rPr>
        <w:t xml:space="preserve"> </w:t>
      </w:r>
      <w:r w:rsidRPr="00AD4DB1">
        <w:rPr>
          <w:rFonts w:ascii="Arial" w:hAnsi="Arial" w:cs="Arial"/>
          <w:b/>
          <w:sz w:val="17"/>
          <w:szCs w:val="17"/>
        </w:rPr>
        <w:t xml:space="preserve">INEC </w:t>
      </w:r>
      <w:r w:rsidRPr="00AD4DB1">
        <w:rPr>
          <w:rFonts w:ascii="Arial" w:hAnsi="Arial" w:cs="Arial"/>
          <w:sz w:val="17"/>
          <w:szCs w:val="17"/>
        </w:rPr>
        <w:t>(2010), Base de Datos del VII Censo de Población y VI de Vivienda.</w:t>
      </w:r>
    </w:p>
    <w:p w:rsidR="00361FCE" w:rsidRPr="00AD4DB1" w:rsidRDefault="00361FCE" w:rsidP="00AD4DB1">
      <w:pPr>
        <w:pStyle w:val="Prrafodelista"/>
        <w:spacing w:line="276" w:lineRule="auto"/>
        <w:ind w:left="851"/>
        <w:jc w:val="both"/>
        <w:rPr>
          <w:rFonts w:ascii="Arial" w:hAnsi="Arial" w:cs="Arial"/>
          <w:sz w:val="17"/>
          <w:szCs w:val="17"/>
        </w:rPr>
      </w:pPr>
      <w:r w:rsidRPr="00AD4DB1">
        <w:rPr>
          <w:rFonts w:ascii="Arial" w:hAnsi="Arial" w:cs="Arial"/>
          <w:b/>
          <w:i/>
          <w:sz w:val="17"/>
          <w:szCs w:val="17"/>
        </w:rPr>
        <w:t>Elaborado por:</w:t>
      </w:r>
      <w:r w:rsidRPr="00AD4DB1">
        <w:rPr>
          <w:rFonts w:ascii="Arial" w:hAnsi="Arial" w:cs="Arial"/>
          <w:sz w:val="17"/>
          <w:szCs w:val="17"/>
        </w:rPr>
        <w:t xml:space="preserve"> Katherine Loor Valeriano</w:t>
      </w:r>
    </w:p>
    <w:p w:rsidR="00361FCE" w:rsidRDefault="00361FCE" w:rsidP="00AD4DB1">
      <w:pPr>
        <w:pStyle w:val="Estilo42"/>
        <w:ind w:left="1560" w:hanging="709"/>
      </w:pPr>
      <w:bookmarkStart w:id="525" w:name="_Toc337135520"/>
      <w:bookmarkStart w:id="526" w:name="_Toc341040670"/>
      <w:r>
        <w:lastRenderedPageBreak/>
        <w:t>Nivel de Instrucción</w:t>
      </w:r>
      <w:bookmarkEnd w:id="525"/>
      <w:r w:rsidR="00F82E61">
        <w:t xml:space="preserve"> de los colombianos</w:t>
      </w:r>
      <w:bookmarkEnd w:id="526"/>
    </w:p>
    <w:p w:rsidR="00361FCE" w:rsidRPr="009814B5" w:rsidRDefault="00361FCE" w:rsidP="00AD4DB1">
      <w:pPr>
        <w:spacing w:line="480" w:lineRule="auto"/>
        <w:ind w:left="851"/>
        <w:jc w:val="both"/>
        <w:rPr>
          <w:rFonts w:ascii="MingLiU-ExtB" w:eastAsia="MingLiU-ExtB" w:hAnsi="MingLiU-ExtB" w:cs="MingLiU-ExtB"/>
        </w:rPr>
      </w:pPr>
      <w:r>
        <w:rPr>
          <w:rFonts w:ascii="Arial" w:hAnsi="Arial" w:cs="Arial"/>
        </w:rPr>
        <w:t xml:space="preserve">En lo que respecta al nivel de instrucción que tienen los colombianos que residen en Ecuador, se tiene que el 6.61% de los colombianos mayores a 15 años son analfabetos, es decir, no saben leer ni escribir. Además, en la   </w:t>
      </w:r>
      <w:r>
        <w:rPr>
          <w:rFonts w:ascii="Arial" w:hAnsi="Arial" w:cs="Arial"/>
          <w:i/>
        </w:rPr>
        <w:t>Figura 4.10</w:t>
      </w:r>
      <w:r>
        <w:rPr>
          <w:rFonts w:ascii="Arial" w:hAnsi="Arial" w:cs="Arial"/>
        </w:rPr>
        <w:t xml:space="preserve">, se presentan las tasas de analfabetismo por género y grupo de edad, en donde para el caso de los hombres podemos notar que la tasa de analfabetismo es menor que la tasa de alfabetos en cada uno de los grupos de edad; mientras que, en el caso de las mujeres se </w:t>
      </w:r>
      <w:r w:rsidR="00506BFD">
        <w:rPr>
          <w:rFonts w:ascii="Arial" w:hAnsi="Arial" w:cs="Arial"/>
        </w:rPr>
        <w:t>encontró</w:t>
      </w:r>
      <w:r>
        <w:rPr>
          <w:rFonts w:ascii="Arial" w:hAnsi="Arial" w:cs="Arial"/>
        </w:rPr>
        <w:t xml:space="preserve"> que la tasa de analfabetismo es menor que la de alfabetos para la mayoría de los grupos etarios exceptuando para los que tienen entre 90 y 100 años. Cabe mencionar que para ambos casos, tanto hombres como mujeres, la tasa de analfabetismo aumenta en las edades mayores; así como también se puede notar que la tasa de analfabetismo es menor en la mayoría de los grupos etarios para los hombres, aunque en para las edades entre 15y 35 años es menor la tasa en las mujeres.</w:t>
      </w:r>
      <w:r w:rsidR="00A45606">
        <w:rPr>
          <w:rFonts w:ascii="Arial" w:hAnsi="Arial" w:cs="Arial"/>
        </w:rPr>
        <w:t xml:space="preserve"> </w:t>
      </w:r>
      <w:r w:rsidR="00AD4DB1">
        <w:rPr>
          <w:rFonts w:ascii="Arial" w:hAnsi="Arial" w:cs="Arial"/>
        </w:rPr>
        <w:t>P</w:t>
      </w:r>
      <w:r>
        <w:rPr>
          <w:rFonts w:ascii="Arial" w:hAnsi="Arial" w:cs="Arial"/>
        </w:rPr>
        <w:t xml:space="preserve">or cada 1000 colombianos con edades entre 30 y 35 años, </w:t>
      </w:r>
      <w:r w:rsidRPr="005379A5">
        <w:rPr>
          <w:rFonts w:ascii="Arial" w:hAnsi="Arial" w:cs="Arial"/>
        </w:rPr>
        <w:t>969.87</w:t>
      </w:r>
      <w:r>
        <w:rPr>
          <w:rFonts w:ascii="Arial" w:hAnsi="Arial" w:cs="Arial"/>
        </w:rPr>
        <w:t xml:space="preserve"> saben leer y escri</w:t>
      </w:r>
      <w:r w:rsidR="00AD4DB1">
        <w:rPr>
          <w:rFonts w:ascii="Arial" w:hAnsi="Arial" w:cs="Arial"/>
        </w:rPr>
        <w:t>bir; y, 30.13 son analfabetos; m</w:t>
      </w:r>
      <w:r>
        <w:rPr>
          <w:rFonts w:ascii="Arial" w:hAnsi="Arial" w:cs="Arial"/>
        </w:rPr>
        <w:t xml:space="preserve">ientras que las mujeres con edades comprendidas en el mismo grupo etario, se </w:t>
      </w:r>
      <w:r w:rsidR="00506BFD">
        <w:rPr>
          <w:rFonts w:ascii="Arial" w:hAnsi="Arial" w:cs="Arial"/>
        </w:rPr>
        <w:t>obtuvo</w:t>
      </w:r>
      <w:r>
        <w:rPr>
          <w:rFonts w:ascii="Arial" w:hAnsi="Arial" w:cs="Arial"/>
        </w:rPr>
        <w:t xml:space="preserve"> que </w:t>
      </w:r>
      <w:r w:rsidRPr="00A412EF">
        <w:rPr>
          <w:rFonts w:ascii="Arial" w:hAnsi="Arial" w:cs="Arial"/>
        </w:rPr>
        <w:t>978.53</w:t>
      </w:r>
      <w:r>
        <w:rPr>
          <w:rFonts w:ascii="Arial" w:hAnsi="Arial" w:cs="Arial"/>
        </w:rPr>
        <w:t xml:space="preserve"> por cada 1000 colombianas con esas edades saben leer y escribir y 21.47 por cada 1000 colombianas del mismo grupo de edad son analfabetas. Por otra parte, para los colombianos con edades entre 90 y 95 años tenemos que 704.92 por cada 1000 colombianos son alfabetos y 295.08 son analfabetos; y, en el caso de las mujeres de ese mismo grupo etario 560.61 por cada 1000 colombianas son analfabetas y 439.39 saben leer y escribir. </w:t>
      </w:r>
      <w:r w:rsidR="00A45606">
        <w:rPr>
          <w:rFonts w:ascii="Arial" w:hAnsi="Arial" w:cs="Arial"/>
          <w:i/>
        </w:rPr>
        <w:t>V</w:t>
      </w:r>
      <w:r w:rsidRPr="00C82CB7">
        <w:rPr>
          <w:rFonts w:ascii="Arial" w:hAnsi="Arial" w:cs="Arial"/>
          <w:i/>
        </w:rPr>
        <w:t>éase</w:t>
      </w:r>
      <w:r>
        <w:rPr>
          <w:rFonts w:ascii="Arial" w:hAnsi="Arial" w:cs="Arial"/>
        </w:rPr>
        <w:t xml:space="preserve"> </w:t>
      </w:r>
      <w:r>
        <w:rPr>
          <w:rFonts w:ascii="Arial" w:hAnsi="Arial" w:cs="Arial"/>
          <w:i/>
        </w:rPr>
        <w:t>Figura 4.10.</w:t>
      </w:r>
      <w:r>
        <w:rPr>
          <w:rFonts w:ascii="Arial" w:hAnsi="Arial" w:cs="Arial"/>
        </w:rPr>
        <w:t xml:space="preserve">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AD4DB1">
        <w:trPr>
          <w:trHeight w:val="4096"/>
          <w:jc w:val="right"/>
        </w:trPr>
        <w:tc>
          <w:tcPr>
            <w:tcW w:w="7497" w:type="dxa"/>
          </w:tcPr>
          <w:p w:rsidR="00361FCE" w:rsidRPr="00840530" w:rsidRDefault="00361FCE" w:rsidP="00902050">
            <w:pPr>
              <w:rPr>
                <w:rFonts w:ascii="Arial" w:hAnsi="Arial" w:cs="Arial"/>
                <w:sz w:val="16"/>
                <w:szCs w:val="16"/>
              </w:rPr>
            </w:pPr>
          </w:p>
          <w:p w:rsidR="008D34C1" w:rsidRPr="008D34C1" w:rsidRDefault="008D34C1" w:rsidP="008D34C1">
            <w:pPr>
              <w:pStyle w:val="Epgrafe"/>
              <w:rPr>
                <w:rFonts w:ascii="Arial" w:hAnsi="Arial" w:cs="Arial"/>
                <w:bCs w:val="0"/>
                <w:color w:val="auto"/>
                <w:sz w:val="16"/>
                <w:szCs w:val="16"/>
              </w:rPr>
            </w:pPr>
            <w:bookmarkStart w:id="527" w:name="_Toc341043982"/>
            <w:r>
              <w:rPr>
                <w:rFonts w:ascii="Arial" w:hAnsi="Arial" w:cs="Arial"/>
                <w:bCs w:val="0"/>
                <w:color w:val="auto"/>
                <w:sz w:val="16"/>
                <w:szCs w:val="16"/>
              </w:rPr>
              <w:t>Figura 4.</w:t>
            </w:r>
            <w:r w:rsidR="00990535" w:rsidRPr="008D34C1">
              <w:rPr>
                <w:rFonts w:ascii="Arial" w:hAnsi="Arial" w:cs="Arial"/>
                <w:bCs w:val="0"/>
                <w:color w:val="auto"/>
                <w:sz w:val="16"/>
                <w:szCs w:val="16"/>
              </w:rPr>
              <w:fldChar w:fldCharType="begin"/>
            </w:r>
            <w:r w:rsidRPr="008D34C1">
              <w:rPr>
                <w:rFonts w:ascii="Arial" w:hAnsi="Arial" w:cs="Arial"/>
                <w:bCs w:val="0"/>
                <w:color w:val="auto"/>
                <w:sz w:val="16"/>
                <w:szCs w:val="16"/>
              </w:rPr>
              <w:instrText xml:space="preserve"> SEQ Figura_4. \* ARABIC </w:instrText>
            </w:r>
            <w:r w:rsidR="00990535" w:rsidRPr="008D34C1">
              <w:rPr>
                <w:rFonts w:ascii="Arial" w:hAnsi="Arial" w:cs="Arial"/>
                <w:bCs w:val="0"/>
                <w:color w:val="auto"/>
                <w:sz w:val="16"/>
                <w:szCs w:val="16"/>
              </w:rPr>
              <w:fldChar w:fldCharType="separate"/>
            </w:r>
            <w:r w:rsidR="00A242E0">
              <w:rPr>
                <w:rFonts w:ascii="Arial" w:hAnsi="Arial" w:cs="Arial"/>
                <w:bCs w:val="0"/>
                <w:noProof/>
                <w:color w:val="auto"/>
                <w:sz w:val="16"/>
                <w:szCs w:val="16"/>
              </w:rPr>
              <w:t>10</w:t>
            </w:r>
            <w:bookmarkEnd w:id="527"/>
            <w:r w:rsidR="00990535" w:rsidRPr="008D34C1">
              <w:rPr>
                <w:rFonts w:ascii="Arial" w:hAnsi="Arial" w:cs="Arial"/>
                <w:bCs w:val="0"/>
                <w:color w:val="auto"/>
                <w:sz w:val="16"/>
                <w:szCs w:val="16"/>
              </w:rPr>
              <w:fldChar w:fldCharType="end"/>
            </w:r>
          </w:p>
          <w:p w:rsidR="00361FCE" w:rsidRDefault="00D82A08"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Tasa de Analfabetismo por cada 1000 </w:t>
            </w:r>
            <w:r w:rsidR="00361FCE" w:rsidRPr="00AD4DB1">
              <w:rPr>
                <w:rFonts w:ascii="Arial" w:hAnsi="Arial" w:cs="Arial"/>
                <w:b/>
                <w:i/>
                <w:sz w:val="16"/>
                <w:szCs w:val="16"/>
              </w:rPr>
              <w:t>colombianos</w:t>
            </w:r>
            <w:r w:rsidR="00361FCE">
              <w:rPr>
                <w:rFonts w:ascii="Arial" w:hAnsi="Arial" w:cs="Arial"/>
                <w:i/>
                <w:sz w:val="16"/>
                <w:szCs w:val="16"/>
              </w:rPr>
              <w:t xml:space="preserve"> por Género y Grupo </w:t>
            </w:r>
            <w:r w:rsidR="00AD4DB1">
              <w:rPr>
                <w:rFonts w:ascii="Arial" w:hAnsi="Arial" w:cs="Arial"/>
                <w:i/>
                <w:sz w:val="16"/>
                <w:szCs w:val="16"/>
              </w:rPr>
              <w:t>etario</w:t>
            </w:r>
          </w:p>
          <w:p w:rsidR="00361FCE" w:rsidRDefault="00436907" w:rsidP="00902050">
            <w:pPr>
              <w:rPr>
                <w:rFonts w:ascii="Arial" w:hAnsi="Arial" w:cs="Arial"/>
                <w:i/>
                <w:sz w:val="16"/>
                <w:szCs w:val="16"/>
              </w:rPr>
            </w:pPr>
            <w:r>
              <w:rPr>
                <w:rFonts w:ascii="Arial" w:hAnsi="Arial" w:cs="Arial"/>
                <w:b/>
                <w:i/>
                <w:noProof/>
                <w:sz w:val="18"/>
                <w:szCs w:val="18"/>
                <w:lang w:eastAsia="es-EC"/>
              </w:rPr>
              <w:pict>
                <v:shape id="_x0000_s1474" type="#_x0000_t202" style="position:absolute;left:0;text-align:left;margin-left:113.2pt;margin-top:71.2pt;width:89.8pt;height:15.8pt;z-index:251490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474;mso-fit-shape-to-text:t">
                    <w:txbxContent>
                      <w:p w:rsidR="006933DF" w:rsidRPr="009C2ABD" w:rsidRDefault="006933DF" w:rsidP="00361FCE">
                        <w:pPr>
                          <w:rPr>
                            <w:rFonts w:ascii="Arial" w:hAnsi="Arial" w:cs="Arial"/>
                            <w:color w:val="E36C0A" w:themeColor="accent6" w:themeShade="BF"/>
                            <w:sz w:val="15"/>
                            <w:szCs w:val="15"/>
                          </w:rPr>
                        </w:pPr>
                        <w:r w:rsidRPr="009C2ABD">
                          <w:rPr>
                            <w:rFonts w:ascii="Arial" w:hAnsi="Arial" w:cs="Arial"/>
                            <w:color w:val="E36C0A" w:themeColor="accent6" w:themeShade="BF"/>
                            <w:sz w:val="15"/>
                            <w:szCs w:val="15"/>
                          </w:rPr>
                          <w:t>Analfabeto</w:t>
                        </w:r>
                      </w:p>
                    </w:txbxContent>
                  </v:textbox>
                </v:shape>
              </w:pict>
            </w:r>
            <w:r>
              <w:rPr>
                <w:rFonts w:ascii="Arial" w:hAnsi="Arial" w:cs="Arial"/>
                <w:b/>
                <w:i/>
                <w:noProof/>
                <w:sz w:val="18"/>
                <w:szCs w:val="18"/>
                <w:lang w:eastAsia="es-EC"/>
              </w:rPr>
              <w:pict>
                <v:shape id="_x0000_s2158" type="#_x0000_t32" style="position:absolute;left:0;text-align:left;margin-left:156.7pt;margin-top:82.15pt;width:16.85pt;height:15pt;z-index:251926016" o:connectortype="straight" strokecolor="#e36c0a [2409]">
                  <v:stroke endarrow="block"/>
                </v:shape>
              </w:pict>
            </w:r>
            <w:r>
              <w:rPr>
                <w:rFonts w:ascii="Arial" w:hAnsi="Arial" w:cs="Arial"/>
                <w:b/>
                <w:i/>
                <w:noProof/>
                <w:sz w:val="18"/>
                <w:szCs w:val="18"/>
                <w:lang w:eastAsia="es-EC"/>
              </w:rPr>
              <w:pict>
                <v:shape id="_x0000_s2156" type="#_x0000_t32" style="position:absolute;left:0;text-align:left;margin-left:165.3pt;margin-top:19.9pt;width:8.25pt;height:15.75pt;flip:y;z-index:251923968" o:connectortype="straight" strokecolor="#0070c0">
                  <v:stroke endarrow="block"/>
                </v:shape>
              </w:pict>
            </w:r>
            <w:r>
              <w:rPr>
                <w:rFonts w:ascii="Arial" w:hAnsi="Arial" w:cs="Arial"/>
                <w:b/>
                <w:i/>
                <w:noProof/>
                <w:sz w:val="18"/>
                <w:szCs w:val="18"/>
                <w:lang w:eastAsia="es-EC"/>
              </w:rPr>
              <w:pict>
                <v:shape id="_x0000_s1472" type="#_x0000_t202" style="position:absolute;left:0;text-align:left;margin-left:122.2pt;margin-top:31.5pt;width:89.8pt;height:15.8pt;z-index:251488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472;mso-fit-shape-to-text:t">
                    <w:txbxContent>
                      <w:p w:rsidR="006933DF" w:rsidRPr="009C2ABD" w:rsidRDefault="006933DF" w:rsidP="00361FCE">
                        <w:pPr>
                          <w:rPr>
                            <w:rFonts w:ascii="Arial" w:hAnsi="Arial" w:cs="Arial"/>
                            <w:color w:val="0070C0"/>
                            <w:sz w:val="15"/>
                            <w:szCs w:val="15"/>
                          </w:rPr>
                        </w:pPr>
                        <w:r w:rsidRPr="009C2ABD">
                          <w:rPr>
                            <w:rFonts w:ascii="Arial" w:hAnsi="Arial" w:cs="Arial"/>
                            <w:color w:val="0070C0"/>
                            <w:sz w:val="15"/>
                            <w:szCs w:val="15"/>
                          </w:rPr>
                          <w:t>Alfabeto</w:t>
                        </w:r>
                      </w:p>
                    </w:txbxContent>
                  </v:textbox>
                </v:shape>
              </w:pict>
            </w:r>
            <w:r>
              <w:rPr>
                <w:rFonts w:ascii="Arial" w:hAnsi="Arial" w:cs="Arial"/>
                <w:b/>
                <w:i/>
                <w:noProof/>
                <w:sz w:val="18"/>
                <w:szCs w:val="18"/>
                <w:lang w:eastAsia="es-EC"/>
              </w:rPr>
              <w:pict>
                <v:shape id="_x0000_s1473" type="#_x0000_t202" style="position:absolute;left:0;text-align:left;margin-left:246.5pt;margin-top:13.6pt;width:104.75pt;height:17.9pt;z-index:25148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473">
                    <w:txbxContent>
                      <w:p w:rsidR="006933DF" w:rsidRPr="00C800F3"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drawing>
                <wp:inline distT="0" distB="0" distL="0" distR="0">
                  <wp:extent cx="4211955" cy="1872000"/>
                  <wp:effectExtent l="0" t="0" r="0"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2159" type="#_x0000_t32" style="position:absolute;left:0;text-align:left;margin-left:160.8pt;margin-top:80.65pt;width:13.5pt;height:16.5pt;z-index:251927040" o:connectortype="straight" strokecolor="#e36c0a [2409]">
                  <v:stroke endarrow="block"/>
                </v:shape>
              </w:pict>
            </w:r>
            <w:r>
              <w:rPr>
                <w:rFonts w:ascii="Arial" w:hAnsi="Arial" w:cs="Arial"/>
                <w:noProof/>
                <w:sz w:val="16"/>
                <w:szCs w:val="16"/>
                <w:lang w:eastAsia="es-EC"/>
              </w:rPr>
              <w:pict>
                <v:shape id="_x0000_s1477" type="#_x0000_t202" style="position:absolute;left:0;text-align:left;margin-left:115.45pt;margin-top:69.7pt;width:89.8pt;height:15.8pt;z-index:251493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477;mso-fit-shape-to-text:t">
                    <w:txbxContent>
                      <w:p w:rsidR="006933DF" w:rsidRPr="009C2ABD" w:rsidRDefault="006933DF" w:rsidP="00361FCE">
                        <w:pPr>
                          <w:rPr>
                            <w:rFonts w:ascii="Arial" w:hAnsi="Arial" w:cs="Arial"/>
                            <w:color w:val="E36C0A" w:themeColor="accent6" w:themeShade="BF"/>
                            <w:sz w:val="15"/>
                            <w:szCs w:val="15"/>
                          </w:rPr>
                        </w:pPr>
                        <w:r w:rsidRPr="009C2ABD">
                          <w:rPr>
                            <w:rFonts w:ascii="Arial" w:hAnsi="Arial" w:cs="Arial"/>
                            <w:color w:val="E36C0A" w:themeColor="accent6" w:themeShade="BF"/>
                            <w:sz w:val="15"/>
                            <w:szCs w:val="15"/>
                          </w:rPr>
                          <w:t>Analfabeto</w:t>
                        </w:r>
                      </w:p>
                    </w:txbxContent>
                  </v:textbox>
                </v:shape>
              </w:pict>
            </w:r>
            <w:r>
              <w:rPr>
                <w:rFonts w:ascii="Arial" w:hAnsi="Arial" w:cs="Arial"/>
                <w:noProof/>
                <w:sz w:val="16"/>
                <w:szCs w:val="16"/>
                <w:lang w:eastAsia="es-EC"/>
              </w:rPr>
              <w:pict>
                <v:shape id="_x0000_s2157" type="#_x0000_t32" style="position:absolute;left:0;text-align:left;margin-left:161.55pt;margin-top:21.4pt;width:12pt;height:15pt;flip:y;z-index:251924992" o:connectortype="straight" strokecolor="#0070c0">
                  <v:stroke endarrow="block"/>
                </v:shape>
              </w:pict>
            </w:r>
            <w:r>
              <w:rPr>
                <w:rFonts w:ascii="Arial" w:hAnsi="Arial" w:cs="Arial"/>
                <w:noProof/>
                <w:sz w:val="16"/>
                <w:szCs w:val="16"/>
                <w:lang w:eastAsia="es-EC"/>
              </w:rPr>
              <w:pict>
                <v:shape id="_x0000_s1475" type="#_x0000_t202" style="position:absolute;left:0;text-align:left;margin-left:113pt;margin-top:31.4pt;width:89.8pt;height:15.8pt;z-index:251491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475;mso-fit-shape-to-text:t">
                    <w:txbxContent>
                      <w:p w:rsidR="006933DF" w:rsidRPr="009C2ABD" w:rsidRDefault="006933DF" w:rsidP="00361FCE">
                        <w:pPr>
                          <w:rPr>
                            <w:rFonts w:ascii="Arial" w:hAnsi="Arial" w:cs="Arial"/>
                            <w:color w:val="0070C0"/>
                            <w:sz w:val="15"/>
                            <w:szCs w:val="15"/>
                          </w:rPr>
                        </w:pPr>
                        <w:r w:rsidRPr="009C2ABD">
                          <w:rPr>
                            <w:rFonts w:ascii="Arial" w:hAnsi="Arial" w:cs="Arial"/>
                            <w:color w:val="0070C0"/>
                            <w:sz w:val="15"/>
                            <w:szCs w:val="15"/>
                          </w:rPr>
                          <w:t>Alfabeto</w:t>
                        </w:r>
                      </w:p>
                    </w:txbxContent>
                  </v:textbox>
                </v:shape>
              </w:pict>
            </w:r>
            <w:r>
              <w:rPr>
                <w:rFonts w:ascii="Arial" w:hAnsi="Arial" w:cs="Arial"/>
                <w:noProof/>
                <w:sz w:val="16"/>
                <w:szCs w:val="16"/>
                <w:lang w:eastAsia="es-EC"/>
              </w:rPr>
              <w:pict>
                <v:shape id="_x0000_s1476" type="#_x0000_t202" style="position:absolute;left:0;text-align:left;margin-left:246.5pt;margin-top:12.35pt;width:104.75pt;height:17.9pt;z-index:25149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476">
                    <w:txbxContent>
                      <w:p w:rsidR="006933DF" w:rsidRPr="00C800F3"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drawing>
                <wp:inline distT="0" distB="0" distL="0" distR="0">
                  <wp:extent cx="4211955" cy="1872000"/>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bl>
    <w:p w:rsidR="00361FCE" w:rsidRPr="00AD4DB1" w:rsidRDefault="00361FCE" w:rsidP="00AD4DB1">
      <w:pPr>
        <w:pStyle w:val="Prrafodelista"/>
        <w:spacing w:line="276" w:lineRule="auto"/>
        <w:ind w:left="851"/>
        <w:jc w:val="both"/>
        <w:rPr>
          <w:rFonts w:ascii="Arial" w:hAnsi="Arial" w:cs="Arial"/>
          <w:sz w:val="17"/>
          <w:szCs w:val="17"/>
        </w:rPr>
      </w:pPr>
    </w:p>
    <w:p w:rsidR="00361FCE" w:rsidRPr="00AD4DB1" w:rsidRDefault="00361FCE" w:rsidP="00AD4DB1">
      <w:pPr>
        <w:pStyle w:val="Prrafodelista"/>
        <w:spacing w:line="276" w:lineRule="auto"/>
        <w:ind w:left="851"/>
        <w:jc w:val="both"/>
        <w:rPr>
          <w:rFonts w:ascii="Arial" w:hAnsi="Arial" w:cs="Arial"/>
          <w:sz w:val="17"/>
          <w:szCs w:val="17"/>
        </w:rPr>
      </w:pPr>
      <w:r w:rsidRPr="00AD4DB1">
        <w:rPr>
          <w:rFonts w:ascii="Arial" w:hAnsi="Arial" w:cs="Arial"/>
          <w:b/>
          <w:i/>
          <w:sz w:val="17"/>
          <w:szCs w:val="17"/>
        </w:rPr>
        <w:t>Fuente:</w:t>
      </w:r>
      <w:r w:rsidRPr="00AD4DB1">
        <w:rPr>
          <w:rFonts w:ascii="Arial" w:hAnsi="Arial" w:cs="Arial"/>
          <w:sz w:val="17"/>
          <w:szCs w:val="17"/>
        </w:rPr>
        <w:t xml:space="preserve"> </w:t>
      </w:r>
      <w:r w:rsidRPr="00AD4DB1">
        <w:rPr>
          <w:rFonts w:ascii="Arial" w:hAnsi="Arial" w:cs="Arial"/>
          <w:b/>
          <w:sz w:val="17"/>
          <w:szCs w:val="17"/>
        </w:rPr>
        <w:t xml:space="preserve">INEC </w:t>
      </w:r>
      <w:r w:rsidRPr="00AD4DB1">
        <w:rPr>
          <w:rFonts w:ascii="Arial" w:hAnsi="Arial" w:cs="Arial"/>
          <w:sz w:val="17"/>
          <w:szCs w:val="17"/>
        </w:rPr>
        <w:t>(2010), Base de Datos del VII Censo de Población y VI de Vivienda.</w:t>
      </w:r>
    </w:p>
    <w:p w:rsidR="00361FCE" w:rsidRPr="00AD4DB1" w:rsidRDefault="00361FCE" w:rsidP="00AD4DB1">
      <w:pPr>
        <w:pStyle w:val="Prrafodelista"/>
        <w:spacing w:line="276" w:lineRule="auto"/>
        <w:ind w:left="851"/>
        <w:jc w:val="both"/>
        <w:rPr>
          <w:rFonts w:ascii="Arial" w:hAnsi="Arial" w:cs="Arial"/>
          <w:sz w:val="17"/>
          <w:szCs w:val="17"/>
        </w:rPr>
      </w:pPr>
      <w:r w:rsidRPr="00AD4DB1">
        <w:rPr>
          <w:rFonts w:ascii="Arial" w:hAnsi="Arial" w:cs="Arial"/>
          <w:b/>
          <w:i/>
          <w:sz w:val="17"/>
          <w:szCs w:val="17"/>
        </w:rPr>
        <w:t>Elaborado por:</w:t>
      </w:r>
      <w:r w:rsidRPr="00AD4DB1">
        <w:rPr>
          <w:rFonts w:ascii="Arial" w:hAnsi="Arial" w:cs="Arial"/>
          <w:sz w:val="17"/>
          <w:szCs w:val="17"/>
        </w:rPr>
        <w:t xml:space="preserve"> Katherine Loor Valeriano</w:t>
      </w:r>
    </w:p>
    <w:p w:rsidR="00361FCE" w:rsidRDefault="00361FCE" w:rsidP="00AD4DB1">
      <w:pPr>
        <w:pStyle w:val="Prrafodelista"/>
        <w:spacing w:line="480" w:lineRule="auto"/>
        <w:ind w:left="851"/>
        <w:jc w:val="both"/>
        <w:rPr>
          <w:rFonts w:ascii="Arial" w:hAnsi="Arial" w:cs="Arial"/>
        </w:rPr>
      </w:pPr>
    </w:p>
    <w:p w:rsidR="00361FCE" w:rsidRPr="009D0910" w:rsidRDefault="00361FCE" w:rsidP="00AD4DB1">
      <w:pPr>
        <w:pStyle w:val="Prrafodelista"/>
        <w:spacing w:line="480" w:lineRule="auto"/>
        <w:ind w:left="851"/>
        <w:jc w:val="both"/>
        <w:rPr>
          <w:rFonts w:ascii="Arial" w:hAnsi="Arial" w:cs="Arial"/>
        </w:rPr>
      </w:pPr>
      <w:r>
        <w:rPr>
          <w:rFonts w:ascii="Arial" w:hAnsi="Arial" w:cs="Arial"/>
        </w:rPr>
        <w:t xml:space="preserve">Analizando el nivel más alto de instrucción que tienen los colombianos mayores de 5 años que residen en el país, se </w:t>
      </w:r>
      <w:r w:rsidR="00506BFD">
        <w:rPr>
          <w:rFonts w:ascii="Arial" w:hAnsi="Arial" w:cs="Arial"/>
        </w:rPr>
        <w:t>encontró</w:t>
      </w:r>
      <w:r>
        <w:rPr>
          <w:rFonts w:ascii="Arial" w:hAnsi="Arial" w:cs="Arial"/>
        </w:rPr>
        <w:t xml:space="preserve"> que el 0.53% de los colombianos residen a algún Centro de Alfabetización, el 40.96% tienen hasta instrucción primaria, el 35.57% hasta secundaria, el 15.69% superior sea pregrado o postgrado; y, el 7.25% no tiene instrucción alguna o no respondió a esta pregunta. Si consideramos solamente a los hombres, se tiene que el 0.38% de los colombianos asiste a un Centro de Alfabetización, el 42.45% hasta primaria, el 33.75% secundaria, el 16.19% superior; y, el 7.24% no tienen instrucción alguna o no respondieron. </w:t>
      </w:r>
      <w:r w:rsidR="00F91C02">
        <w:rPr>
          <w:rFonts w:ascii="Arial" w:hAnsi="Arial" w:cs="Arial"/>
        </w:rPr>
        <w:t>P</w:t>
      </w:r>
      <w:r>
        <w:rPr>
          <w:rFonts w:ascii="Arial" w:hAnsi="Arial" w:cs="Arial"/>
        </w:rPr>
        <w:t xml:space="preserve">ara el caso de las </w:t>
      </w:r>
      <w:r>
        <w:rPr>
          <w:rFonts w:ascii="Arial" w:hAnsi="Arial" w:cs="Arial"/>
        </w:rPr>
        <w:lastRenderedPageBreak/>
        <w:t>mujeres tenemos que 0.67% asiste a un Centro de Alfabetización, el 39.64% hasta primaria, el 37.19% secundaria, el 15.24% superior; y, el porcentaje restante no respondió o no tiene instrucción alguna.</w:t>
      </w:r>
      <w:r w:rsidR="00AD4DB1">
        <w:rPr>
          <w:rFonts w:ascii="Arial" w:hAnsi="Arial" w:cs="Arial"/>
        </w:rPr>
        <w:t xml:space="preserve"> </w:t>
      </w:r>
      <w:r>
        <w:rPr>
          <w:rFonts w:ascii="Arial" w:hAnsi="Arial" w:cs="Arial"/>
        </w:rPr>
        <w:t xml:space="preserve">En la </w:t>
      </w:r>
      <w:r>
        <w:rPr>
          <w:rFonts w:ascii="Arial" w:hAnsi="Arial" w:cs="Arial"/>
          <w:i/>
        </w:rPr>
        <w:t>Figura 4.11</w:t>
      </w:r>
      <w:r>
        <w:rPr>
          <w:rFonts w:ascii="Arial" w:hAnsi="Arial" w:cs="Arial"/>
        </w:rPr>
        <w:t>, tenemos que el 2.33% son colombianos con edades entre 15 y 20 años que tienen hasta instrucción secundaria, el 2.64% son  colombianas con edades comprendidas en el mismo grupo etario y el mismo nivel de instrucción; el 1.07% son hombres con edades entre 30 y 35 años que tienen hasta instrucción superior y el 1.38% son mujeres con edades comprendidas en el mismo intervalo de edad con instrucción superior.</w:t>
      </w:r>
    </w:p>
    <w:tbl>
      <w:tblPr>
        <w:tblStyle w:val="Tablaconcuadrcula"/>
        <w:tblW w:w="7497" w:type="dxa"/>
        <w:jc w:val="right"/>
        <w:tblInd w:w="1081"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A45606">
        <w:trPr>
          <w:trHeight w:val="4093"/>
          <w:jc w:val="right"/>
        </w:trPr>
        <w:tc>
          <w:tcPr>
            <w:tcW w:w="7497" w:type="dxa"/>
          </w:tcPr>
          <w:p w:rsidR="00361FCE" w:rsidRPr="00840530" w:rsidRDefault="00361FCE" w:rsidP="00902050">
            <w:pPr>
              <w:rPr>
                <w:rFonts w:ascii="Arial" w:hAnsi="Arial" w:cs="Arial"/>
                <w:sz w:val="16"/>
                <w:szCs w:val="16"/>
              </w:rPr>
            </w:pPr>
          </w:p>
          <w:p w:rsidR="008D34C1" w:rsidRPr="008D34C1" w:rsidRDefault="008D34C1" w:rsidP="008D34C1">
            <w:pPr>
              <w:pStyle w:val="Epgrafe"/>
              <w:rPr>
                <w:rFonts w:ascii="Arial" w:hAnsi="Arial" w:cs="Arial"/>
                <w:bCs w:val="0"/>
                <w:color w:val="auto"/>
                <w:sz w:val="16"/>
                <w:szCs w:val="16"/>
              </w:rPr>
            </w:pPr>
            <w:bookmarkStart w:id="528" w:name="_Toc341043983"/>
            <w:r>
              <w:rPr>
                <w:rFonts w:ascii="Arial" w:hAnsi="Arial" w:cs="Arial"/>
                <w:bCs w:val="0"/>
                <w:color w:val="auto"/>
                <w:sz w:val="16"/>
                <w:szCs w:val="16"/>
              </w:rPr>
              <w:t>Figura 4.</w:t>
            </w:r>
            <w:r w:rsidR="00990535" w:rsidRPr="008D34C1">
              <w:rPr>
                <w:rFonts w:ascii="Arial" w:hAnsi="Arial" w:cs="Arial"/>
                <w:bCs w:val="0"/>
                <w:color w:val="auto"/>
                <w:sz w:val="16"/>
                <w:szCs w:val="16"/>
              </w:rPr>
              <w:fldChar w:fldCharType="begin"/>
            </w:r>
            <w:r w:rsidRPr="008D34C1">
              <w:rPr>
                <w:rFonts w:ascii="Arial" w:hAnsi="Arial" w:cs="Arial"/>
                <w:bCs w:val="0"/>
                <w:color w:val="auto"/>
                <w:sz w:val="16"/>
                <w:szCs w:val="16"/>
              </w:rPr>
              <w:instrText xml:space="preserve"> SEQ Figura_4. \* ARABIC </w:instrText>
            </w:r>
            <w:r w:rsidR="00990535" w:rsidRPr="008D34C1">
              <w:rPr>
                <w:rFonts w:ascii="Arial" w:hAnsi="Arial" w:cs="Arial"/>
                <w:bCs w:val="0"/>
                <w:color w:val="auto"/>
                <w:sz w:val="16"/>
                <w:szCs w:val="16"/>
              </w:rPr>
              <w:fldChar w:fldCharType="separate"/>
            </w:r>
            <w:r w:rsidR="00A242E0">
              <w:rPr>
                <w:rFonts w:ascii="Arial" w:hAnsi="Arial" w:cs="Arial"/>
                <w:bCs w:val="0"/>
                <w:noProof/>
                <w:color w:val="auto"/>
                <w:sz w:val="16"/>
                <w:szCs w:val="16"/>
              </w:rPr>
              <w:t>11</w:t>
            </w:r>
            <w:bookmarkEnd w:id="528"/>
            <w:r w:rsidR="00990535" w:rsidRPr="008D34C1">
              <w:rPr>
                <w:rFonts w:ascii="Arial" w:hAnsi="Arial" w:cs="Arial"/>
                <w:bCs w:val="0"/>
                <w:color w:val="auto"/>
                <w:sz w:val="16"/>
                <w:szCs w:val="16"/>
              </w:rPr>
              <w:fldChar w:fldCharType="end"/>
            </w:r>
          </w:p>
          <w:p w:rsidR="00361FCE" w:rsidRPr="00660711" w:rsidRDefault="00436907" w:rsidP="00AD4DB1">
            <w:pPr>
              <w:rPr>
                <w:rFonts w:ascii="Arial" w:hAnsi="Arial" w:cs="Arial"/>
                <w:i/>
                <w:sz w:val="16"/>
                <w:szCs w:val="16"/>
              </w:rPr>
            </w:pPr>
            <w:r>
              <w:rPr>
                <w:rFonts w:ascii="Arial" w:hAnsi="Arial" w:cs="Arial"/>
                <w:noProof/>
                <w:sz w:val="16"/>
                <w:szCs w:val="16"/>
                <w:lang w:eastAsia="es-EC"/>
              </w:rPr>
              <w:pict>
                <v:shape id="_x0000_s1487" type="#_x0000_t202" style="position:absolute;left:0;text-align:left;margin-left:183.25pt;margin-top:13.3pt;width:127.3pt;height:16.3pt;z-index:25150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OC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iEiNElncgTkitg2HQcTFRaMB9p6TD&#10;Ia+o/3ZgTlKi3xlsz3I8ncatSMp0Ni9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0+Dgi8CAABWBAAADgAAAAAAAAAAAAAAAAAuAgAAZHJz&#10;L2Uyb0RvYy54bWxQSwECLQAUAAYACAAAACEA/S8y1tsAAAAFAQAADwAAAAAAAAAAAAAAAACJBAAA&#10;ZHJzL2Rvd25yZXYueG1sUEsFBgAAAAAEAAQA8wAAAJEFAAAAAA==&#10;" filled="f" stroked="f">
                  <v:textbox style="mso-next-textbox:#_x0000_s1487">
                    <w:txbxContent>
                      <w:p w:rsidR="006933DF" w:rsidRPr="002D6729" w:rsidRDefault="006933DF" w:rsidP="00361FCE">
                        <w:pPr>
                          <w:rPr>
                            <w:rFonts w:ascii="Arial" w:hAnsi="Arial" w:cs="Arial"/>
                            <w:b/>
                            <w:sz w:val="15"/>
                            <w:szCs w:val="15"/>
                          </w:rPr>
                        </w:pPr>
                        <w:r w:rsidRPr="002D6729">
                          <w:rPr>
                            <w:rFonts w:ascii="Arial" w:hAnsi="Arial" w:cs="Arial"/>
                            <w:b/>
                            <w:sz w:val="15"/>
                            <w:szCs w:val="15"/>
                          </w:rPr>
                          <w:t>Femenino</w:t>
                        </w:r>
                      </w:p>
                    </w:txbxContent>
                  </v:textbox>
                </v:shape>
              </w:pict>
            </w:r>
            <w:r>
              <w:rPr>
                <w:noProof/>
              </w:rPr>
              <w:pict>
                <v:shape id="_x0000_s1486" type="#_x0000_t202" style="position:absolute;left:0;text-align:left;margin-left:55.95pt;margin-top:14.05pt;width:127.3pt;height:16.3pt;z-index:25150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OC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iEiNElncgTkitg2HQcTFRaMB9p6TD&#10;Ia+o/3ZgTlKi3xlsz3I8ncatSMp0Ni9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0+Dgi8CAABWBAAADgAAAAAAAAAAAAAAAAAuAgAAZHJz&#10;L2Uyb0RvYy54bWxQSwECLQAUAAYACAAAACEA/S8y1tsAAAAFAQAADwAAAAAAAAAAAAAAAACJBAAA&#10;ZHJzL2Rvd25yZXYueG1sUEsFBgAAAAAEAAQA8wAAAJEFAAAAAA==&#10;" filled="f" stroked="f">
                  <v:textbox style="mso-next-textbox:#_x0000_s1486">
                    <w:txbxContent>
                      <w:p w:rsidR="006933DF" w:rsidRPr="002D6729" w:rsidRDefault="006933DF" w:rsidP="00361FCE">
                        <w:pPr>
                          <w:rPr>
                            <w:rFonts w:ascii="Arial" w:hAnsi="Arial" w:cs="Arial"/>
                            <w:b/>
                            <w:sz w:val="15"/>
                            <w:szCs w:val="15"/>
                          </w:rPr>
                        </w:pPr>
                        <w:r w:rsidRPr="002D6729">
                          <w:rPr>
                            <w:rFonts w:ascii="Arial" w:hAnsi="Arial" w:cs="Arial"/>
                            <w:b/>
                            <w:sz w:val="15"/>
                            <w:szCs w:val="15"/>
                          </w:rPr>
                          <w:t>Masculino</w:t>
                        </w:r>
                      </w:p>
                    </w:txbxContent>
                  </v:textbox>
                </v:shape>
              </w:pict>
            </w:r>
            <w:r w:rsidR="00AD4DB1">
              <w:rPr>
                <w:rFonts w:ascii="Arial" w:hAnsi="Arial" w:cs="Arial"/>
                <w:b/>
                <w:i/>
                <w:sz w:val="16"/>
                <w:szCs w:val="16"/>
              </w:rPr>
              <w:t xml:space="preserve">Ecuador 2010: </w:t>
            </w:r>
            <w:r w:rsidR="00361FCE">
              <w:rPr>
                <w:rFonts w:ascii="Arial" w:hAnsi="Arial" w:cs="Arial"/>
                <w:i/>
                <w:sz w:val="16"/>
                <w:szCs w:val="16"/>
              </w:rPr>
              <w:t xml:space="preserve">Distribución Género – Edad – Nivel de Instrucción de los </w:t>
            </w:r>
            <w:r w:rsidR="00361FCE" w:rsidRPr="00AD4DB1">
              <w:rPr>
                <w:rFonts w:ascii="Arial" w:hAnsi="Arial" w:cs="Arial"/>
                <w:b/>
                <w:i/>
                <w:sz w:val="16"/>
                <w:szCs w:val="16"/>
              </w:rPr>
              <w:t>colombianos</w:t>
            </w:r>
            <w:r w:rsidR="00361FCE">
              <w:rPr>
                <w:rFonts w:ascii="Arial" w:hAnsi="Arial" w:cs="Arial"/>
                <w:i/>
                <w:sz w:val="16"/>
                <w:szCs w:val="16"/>
              </w:rPr>
              <w:t xml:space="preserve"> </w:t>
            </w:r>
            <w:r w:rsidR="00361FCE">
              <w:rPr>
                <w:noProof/>
                <w:lang w:eastAsia="es-EC"/>
              </w:rPr>
              <w:drawing>
                <wp:inline distT="0" distB="0" distL="0" distR="0">
                  <wp:extent cx="4428000" cy="284400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bl>
    <w:p w:rsidR="00361FCE" w:rsidRPr="00F82E61" w:rsidRDefault="00361FCE" w:rsidP="00F82E61">
      <w:pPr>
        <w:pStyle w:val="Prrafodelista"/>
        <w:spacing w:line="276" w:lineRule="auto"/>
        <w:ind w:left="851"/>
        <w:jc w:val="both"/>
        <w:rPr>
          <w:rFonts w:ascii="Arial" w:hAnsi="Arial" w:cs="Arial"/>
          <w:sz w:val="17"/>
          <w:szCs w:val="17"/>
        </w:rPr>
      </w:pPr>
    </w:p>
    <w:p w:rsidR="00361FCE" w:rsidRPr="00F82E61" w:rsidRDefault="00361FCE" w:rsidP="00F82E61">
      <w:pPr>
        <w:pStyle w:val="Prrafodelista"/>
        <w:spacing w:line="276" w:lineRule="auto"/>
        <w:ind w:left="851"/>
        <w:jc w:val="both"/>
        <w:rPr>
          <w:rFonts w:ascii="Arial" w:hAnsi="Arial" w:cs="Arial"/>
          <w:sz w:val="17"/>
          <w:szCs w:val="17"/>
        </w:rPr>
      </w:pPr>
      <w:r w:rsidRPr="00F82E61">
        <w:rPr>
          <w:rFonts w:ascii="Arial" w:hAnsi="Arial" w:cs="Arial"/>
          <w:b/>
          <w:i/>
          <w:sz w:val="17"/>
          <w:szCs w:val="17"/>
        </w:rPr>
        <w:t>Fuente:</w:t>
      </w:r>
      <w:r w:rsidRPr="00F82E61">
        <w:rPr>
          <w:rFonts w:ascii="Arial" w:hAnsi="Arial" w:cs="Arial"/>
          <w:sz w:val="17"/>
          <w:szCs w:val="17"/>
        </w:rPr>
        <w:t xml:space="preserve"> </w:t>
      </w:r>
      <w:r w:rsidRPr="00F82E61">
        <w:rPr>
          <w:rFonts w:ascii="Arial" w:hAnsi="Arial" w:cs="Arial"/>
          <w:b/>
          <w:sz w:val="17"/>
          <w:szCs w:val="17"/>
        </w:rPr>
        <w:t xml:space="preserve">INEC </w:t>
      </w:r>
      <w:r w:rsidRPr="00F82E61">
        <w:rPr>
          <w:rFonts w:ascii="Arial" w:hAnsi="Arial" w:cs="Arial"/>
          <w:sz w:val="17"/>
          <w:szCs w:val="17"/>
        </w:rPr>
        <w:t>(2010), Base de Datos del VII Censo de Población y VI de Vivienda.</w:t>
      </w:r>
    </w:p>
    <w:p w:rsidR="00361FCE" w:rsidRPr="00F82E61" w:rsidRDefault="00361FCE" w:rsidP="00F82E61">
      <w:pPr>
        <w:pStyle w:val="Prrafodelista"/>
        <w:spacing w:line="276" w:lineRule="auto"/>
        <w:ind w:left="851"/>
        <w:jc w:val="both"/>
        <w:rPr>
          <w:rFonts w:ascii="Arial" w:hAnsi="Arial" w:cs="Arial"/>
          <w:sz w:val="17"/>
          <w:szCs w:val="17"/>
        </w:rPr>
      </w:pPr>
      <w:r w:rsidRPr="00F82E61">
        <w:rPr>
          <w:rFonts w:ascii="Arial" w:hAnsi="Arial" w:cs="Arial"/>
          <w:b/>
          <w:i/>
          <w:sz w:val="17"/>
          <w:szCs w:val="17"/>
        </w:rPr>
        <w:t>Elaborado por:</w:t>
      </w:r>
      <w:r w:rsidRPr="00F82E61">
        <w:rPr>
          <w:rFonts w:ascii="Arial" w:hAnsi="Arial" w:cs="Arial"/>
          <w:sz w:val="17"/>
          <w:szCs w:val="17"/>
        </w:rPr>
        <w:t xml:space="preserve"> Katherine Loor Valeriano</w:t>
      </w:r>
    </w:p>
    <w:p w:rsidR="00A45606" w:rsidRDefault="00A45606" w:rsidP="00F82E61">
      <w:pPr>
        <w:pStyle w:val="Prrafodelista"/>
        <w:spacing w:line="480" w:lineRule="auto"/>
        <w:ind w:left="851"/>
        <w:jc w:val="both"/>
        <w:rPr>
          <w:rFonts w:ascii="Arial" w:hAnsi="Arial" w:cs="Arial"/>
        </w:rPr>
      </w:pPr>
    </w:p>
    <w:p w:rsidR="00361FCE" w:rsidRPr="00FC350C" w:rsidRDefault="00361FCE" w:rsidP="00F82E61">
      <w:pPr>
        <w:pStyle w:val="Prrafodelista"/>
        <w:spacing w:line="480" w:lineRule="auto"/>
        <w:ind w:left="851"/>
        <w:jc w:val="both"/>
        <w:rPr>
          <w:rFonts w:ascii="Arial" w:hAnsi="Arial" w:cs="Arial"/>
        </w:rPr>
      </w:pPr>
      <w:r>
        <w:rPr>
          <w:rFonts w:ascii="Arial" w:hAnsi="Arial" w:cs="Arial"/>
        </w:rPr>
        <w:t xml:space="preserve">De los colombianos mayores de 5 años que asisten a un Centro de Alfabetización tenemos que el 33.26% son de género masculino y el </w:t>
      </w:r>
      <w:r>
        <w:rPr>
          <w:rFonts w:ascii="Arial" w:hAnsi="Arial" w:cs="Arial"/>
        </w:rPr>
        <w:lastRenderedPageBreak/>
        <w:t xml:space="preserve">66.74% son de género femenino, es decir es mayor la cantidad de mujeres de esta nacionalidad que reciben este tipo de educación; mientras que, los que tienen hasta instrucción primaria se tiene que el 48.82% son hombres y el 51.18% son mujeres. Además, de los que tienen instrucción secundaria el 44.70% son hombres y el 55.30% mujeres; y, de los que tienen instrucción superior es mayor la cantidad de mujeres frente a la de hombres. </w:t>
      </w:r>
      <w:r w:rsidRPr="00C82CB7">
        <w:rPr>
          <w:rFonts w:ascii="Arial" w:hAnsi="Arial" w:cs="Arial"/>
          <w:i/>
        </w:rPr>
        <w:t>Véase</w:t>
      </w:r>
      <w:r>
        <w:rPr>
          <w:rFonts w:ascii="Arial" w:hAnsi="Arial" w:cs="Arial"/>
        </w:rPr>
        <w:t xml:space="preserve"> </w:t>
      </w:r>
      <w:r>
        <w:rPr>
          <w:rFonts w:ascii="Arial" w:hAnsi="Arial" w:cs="Arial"/>
          <w:i/>
        </w:rPr>
        <w:t>Figura 4.12</w:t>
      </w:r>
      <w:r>
        <w:rPr>
          <w:rFonts w:ascii="Arial" w:hAnsi="Arial" w:cs="Arial"/>
        </w:rPr>
        <w:t>.</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F82E61">
        <w:trPr>
          <w:trHeight w:val="3666"/>
          <w:jc w:val="right"/>
        </w:trPr>
        <w:tc>
          <w:tcPr>
            <w:tcW w:w="7497" w:type="dxa"/>
          </w:tcPr>
          <w:p w:rsidR="00361FCE" w:rsidRPr="00840530" w:rsidRDefault="00361FCE" w:rsidP="00902050">
            <w:pPr>
              <w:rPr>
                <w:rFonts w:ascii="Arial" w:hAnsi="Arial" w:cs="Arial"/>
                <w:sz w:val="16"/>
                <w:szCs w:val="16"/>
              </w:rPr>
            </w:pPr>
          </w:p>
          <w:p w:rsidR="008D34C1" w:rsidRPr="008D34C1" w:rsidRDefault="008D34C1" w:rsidP="008D34C1">
            <w:pPr>
              <w:pStyle w:val="Epgrafe"/>
              <w:rPr>
                <w:rFonts w:ascii="Arial" w:hAnsi="Arial" w:cs="Arial"/>
                <w:bCs w:val="0"/>
                <w:color w:val="auto"/>
                <w:sz w:val="16"/>
                <w:szCs w:val="16"/>
              </w:rPr>
            </w:pPr>
            <w:bookmarkStart w:id="529" w:name="_Toc341043984"/>
            <w:r>
              <w:rPr>
                <w:rFonts w:ascii="Arial" w:hAnsi="Arial" w:cs="Arial"/>
                <w:bCs w:val="0"/>
                <w:color w:val="auto"/>
                <w:sz w:val="16"/>
                <w:szCs w:val="16"/>
              </w:rPr>
              <w:t>Figura 4.</w:t>
            </w:r>
            <w:r w:rsidR="00990535" w:rsidRPr="008D34C1">
              <w:rPr>
                <w:rFonts w:ascii="Arial" w:hAnsi="Arial" w:cs="Arial"/>
                <w:bCs w:val="0"/>
                <w:color w:val="auto"/>
                <w:sz w:val="16"/>
                <w:szCs w:val="16"/>
              </w:rPr>
              <w:fldChar w:fldCharType="begin"/>
            </w:r>
            <w:r w:rsidRPr="008D34C1">
              <w:rPr>
                <w:rFonts w:ascii="Arial" w:hAnsi="Arial" w:cs="Arial"/>
                <w:bCs w:val="0"/>
                <w:color w:val="auto"/>
                <w:sz w:val="16"/>
                <w:szCs w:val="16"/>
              </w:rPr>
              <w:instrText xml:space="preserve"> SEQ Figura_4. \* ARABIC </w:instrText>
            </w:r>
            <w:r w:rsidR="00990535" w:rsidRPr="008D34C1">
              <w:rPr>
                <w:rFonts w:ascii="Arial" w:hAnsi="Arial" w:cs="Arial"/>
                <w:bCs w:val="0"/>
                <w:color w:val="auto"/>
                <w:sz w:val="16"/>
                <w:szCs w:val="16"/>
              </w:rPr>
              <w:fldChar w:fldCharType="separate"/>
            </w:r>
            <w:r w:rsidR="00A242E0">
              <w:rPr>
                <w:rFonts w:ascii="Arial" w:hAnsi="Arial" w:cs="Arial"/>
                <w:bCs w:val="0"/>
                <w:noProof/>
                <w:color w:val="auto"/>
                <w:sz w:val="16"/>
                <w:szCs w:val="16"/>
              </w:rPr>
              <w:t>12</w:t>
            </w:r>
            <w:bookmarkEnd w:id="529"/>
            <w:r w:rsidR="00990535" w:rsidRPr="008D34C1">
              <w:rPr>
                <w:rFonts w:ascii="Arial" w:hAnsi="Arial" w:cs="Arial"/>
                <w:bCs w:val="0"/>
                <w:color w:val="auto"/>
                <w:sz w:val="16"/>
                <w:szCs w:val="16"/>
              </w:rPr>
              <w:fldChar w:fldCharType="end"/>
            </w:r>
          </w:p>
          <w:p w:rsidR="00F82E61" w:rsidRDefault="00F82E61" w:rsidP="00902050">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Distribución condicional</w:t>
            </w:r>
            <w:r w:rsidR="00361FCE">
              <w:rPr>
                <w:rFonts w:ascii="Arial" w:hAnsi="Arial" w:cs="Arial"/>
                <w:i/>
                <w:sz w:val="16"/>
                <w:szCs w:val="16"/>
              </w:rPr>
              <w:t xml:space="preserve"> de Género </w:t>
            </w:r>
            <w:r>
              <w:rPr>
                <w:rFonts w:ascii="Arial" w:hAnsi="Arial" w:cs="Arial"/>
                <w:i/>
                <w:sz w:val="16"/>
                <w:szCs w:val="16"/>
              </w:rPr>
              <w:t xml:space="preserve">de los </w:t>
            </w:r>
            <w:r>
              <w:rPr>
                <w:rFonts w:ascii="Arial" w:hAnsi="Arial" w:cs="Arial"/>
                <w:b/>
                <w:i/>
                <w:sz w:val="16"/>
                <w:szCs w:val="16"/>
              </w:rPr>
              <w:t xml:space="preserve">colombianos </w:t>
            </w:r>
            <w:r w:rsidR="00361FCE">
              <w:rPr>
                <w:rFonts w:ascii="Arial" w:hAnsi="Arial" w:cs="Arial"/>
                <w:i/>
                <w:sz w:val="16"/>
                <w:szCs w:val="16"/>
              </w:rPr>
              <w:t xml:space="preserve">dado que se </w:t>
            </w:r>
          </w:p>
          <w:p w:rsidR="00361FCE" w:rsidRDefault="00361FCE" w:rsidP="00902050">
            <w:pPr>
              <w:rPr>
                <w:rFonts w:ascii="Arial" w:hAnsi="Arial" w:cs="Arial"/>
                <w:i/>
                <w:sz w:val="16"/>
                <w:szCs w:val="16"/>
              </w:rPr>
            </w:pPr>
            <w:r>
              <w:rPr>
                <w:rFonts w:ascii="Arial" w:hAnsi="Arial" w:cs="Arial"/>
                <w:i/>
                <w:sz w:val="16"/>
                <w:szCs w:val="16"/>
              </w:rPr>
              <w:t>conoce el Nivel más alto de instrucción</w:t>
            </w:r>
          </w:p>
          <w:p w:rsidR="00361FCE" w:rsidRPr="00660711" w:rsidRDefault="00361FCE" w:rsidP="00902050">
            <w:pPr>
              <w:rPr>
                <w:rFonts w:ascii="Arial" w:hAnsi="Arial" w:cs="Arial"/>
                <w:i/>
                <w:sz w:val="16"/>
                <w:szCs w:val="16"/>
              </w:rPr>
            </w:pPr>
            <w:r>
              <w:rPr>
                <w:noProof/>
                <w:lang w:eastAsia="es-EC"/>
              </w:rPr>
              <w:drawing>
                <wp:inline distT="0" distB="0" distL="0" distR="0">
                  <wp:extent cx="4572000" cy="1704975"/>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bl>
    <w:p w:rsidR="00361FCE" w:rsidRPr="00F82E61" w:rsidRDefault="00361FCE" w:rsidP="00F82E61">
      <w:pPr>
        <w:pStyle w:val="Prrafodelista"/>
        <w:spacing w:line="276" w:lineRule="auto"/>
        <w:ind w:left="851"/>
        <w:jc w:val="both"/>
        <w:rPr>
          <w:rFonts w:ascii="Arial" w:hAnsi="Arial" w:cs="Arial"/>
          <w:sz w:val="17"/>
          <w:szCs w:val="17"/>
        </w:rPr>
      </w:pPr>
    </w:p>
    <w:p w:rsidR="00361FCE" w:rsidRPr="00F82E61" w:rsidRDefault="00361FCE" w:rsidP="00F82E61">
      <w:pPr>
        <w:pStyle w:val="Prrafodelista"/>
        <w:spacing w:line="276" w:lineRule="auto"/>
        <w:ind w:left="851"/>
        <w:jc w:val="both"/>
        <w:rPr>
          <w:rFonts w:ascii="Arial" w:hAnsi="Arial" w:cs="Arial"/>
          <w:sz w:val="17"/>
          <w:szCs w:val="17"/>
        </w:rPr>
      </w:pPr>
      <w:r w:rsidRPr="00F82E61">
        <w:rPr>
          <w:rFonts w:ascii="Arial" w:hAnsi="Arial" w:cs="Arial"/>
          <w:b/>
          <w:i/>
          <w:sz w:val="17"/>
          <w:szCs w:val="17"/>
        </w:rPr>
        <w:t>Fuente:</w:t>
      </w:r>
      <w:r w:rsidRPr="00F82E61">
        <w:rPr>
          <w:rFonts w:ascii="Arial" w:hAnsi="Arial" w:cs="Arial"/>
          <w:sz w:val="17"/>
          <w:szCs w:val="17"/>
        </w:rPr>
        <w:t xml:space="preserve"> </w:t>
      </w:r>
      <w:r w:rsidRPr="00F82E61">
        <w:rPr>
          <w:rFonts w:ascii="Arial" w:hAnsi="Arial" w:cs="Arial"/>
          <w:b/>
          <w:sz w:val="17"/>
          <w:szCs w:val="17"/>
        </w:rPr>
        <w:t xml:space="preserve">INEC </w:t>
      </w:r>
      <w:r w:rsidRPr="00F82E61">
        <w:rPr>
          <w:rFonts w:ascii="Arial" w:hAnsi="Arial" w:cs="Arial"/>
          <w:sz w:val="17"/>
          <w:szCs w:val="17"/>
        </w:rPr>
        <w:t>(2010), Base de Datos del VII Censo de Población y VI de Vivienda.</w:t>
      </w:r>
    </w:p>
    <w:p w:rsidR="00361FCE" w:rsidRPr="00F82E61" w:rsidRDefault="00361FCE" w:rsidP="00F82E61">
      <w:pPr>
        <w:pStyle w:val="Prrafodelista"/>
        <w:spacing w:line="276" w:lineRule="auto"/>
        <w:ind w:left="851"/>
        <w:jc w:val="both"/>
        <w:rPr>
          <w:rFonts w:ascii="Arial" w:hAnsi="Arial" w:cs="Arial"/>
          <w:sz w:val="17"/>
          <w:szCs w:val="17"/>
        </w:rPr>
      </w:pPr>
      <w:r w:rsidRPr="00F82E61">
        <w:rPr>
          <w:rFonts w:ascii="Arial" w:hAnsi="Arial" w:cs="Arial"/>
          <w:b/>
          <w:i/>
          <w:sz w:val="17"/>
          <w:szCs w:val="17"/>
        </w:rPr>
        <w:t>Elaborado por:</w:t>
      </w:r>
      <w:r w:rsidRPr="00F82E61">
        <w:rPr>
          <w:rFonts w:ascii="Arial" w:hAnsi="Arial" w:cs="Arial"/>
          <w:sz w:val="17"/>
          <w:szCs w:val="17"/>
        </w:rPr>
        <w:t xml:space="preserve"> Katherine Loor Valeriano</w:t>
      </w:r>
    </w:p>
    <w:p w:rsidR="00361FCE" w:rsidRDefault="00361FCE" w:rsidP="00F82E61">
      <w:pPr>
        <w:pStyle w:val="Prrafodelista"/>
        <w:spacing w:line="480" w:lineRule="auto"/>
        <w:ind w:left="851"/>
        <w:jc w:val="both"/>
        <w:rPr>
          <w:rFonts w:ascii="Arial" w:hAnsi="Arial" w:cs="Arial"/>
        </w:rPr>
      </w:pPr>
    </w:p>
    <w:p w:rsidR="00361FCE" w:rsidRDefault="00361FCE" w:rsidP="00F82E61">
      <w:pPr>
        <w:pStyle w:val="Prrafodelista"/>
        <w:spacing w:line="480" w:lineRule="auto"/>
        <w:ind w:left="851"/>
        <w:jc w:val="both"/>
        <w:rPr>
          <w:rFonts w:ascii="Arial" w:hAnsi="Arial" w:cs="Arial"/>
        </w:rPr>
      </w:pPr>
      <w:r>
        <w:rPr>
          <w:rFonts w:ascii="Arial" w:hAnsi="Arial" w:cs="Arial"/>
        </w:rPr>
        <w:t>Finalmente, veamos la tasa de universitarios y no universitarios por género y grupo de edad. En donde, podemos notar que en el caso de los hombres la tasa de universitarios se va incrementando hasta los 50 años y a partir de aquí empieza a disminuir considerablemente, aunque en alguno grupos de edad vuelve a aumentar</w:t>
      </w:r>
      <w:r w:rsidR="00F82E61">
        <w:rPr>
          <w:rFonts w:ascii="Arial" w:hAnsi="Arial" w:cs="Arial"/>
        </w:rPr>
        <w:t>; m</w:t>
      </w:r>
      <w:r>
        <w:rPr>
          <w:rFonts w:ascii="Arial" w:hAnsi="Arial" w:cs="Arial"/>
        </w:rPr>
        <w:t xml:space="preserve">ientras que, para las mujeres se tiene que empieza a incrementar hasta los 35 años y de aquí en adelante disminuye, llegando a ser igual a cero en los tres últimos grupos de edad, lo que </w:t>
      </w:r>
      <w:r>
        <w:rPr>
          <w:rFonts w:ascii="Arial" w:hAnsi="Arial" w:cs="Arial"/>
        </w:rPr>
        <w:lastRenderedPageBreak/>
        <w:t xml:space="preserve">significa que las colombianas mayores de 90 años que residen en Ecuador no han asistido a la universidad. También, se puede notar que la tasa de universitarios es usualmente mayor en los hombres, aunque las mujeres con edades entre 15 y 35 años presentan tasas de asistencia a la universidad mayores. </w:t>
      </w:r>
    </w:p>
    <w:p w:rsidR="00361FCE" w:rsidRDefault="00361FCE" w:rsidP="00F82E61">
      <w:pPr>
        <w:pStyle w:val="Prrafodelista"/>
        <w:spacing w:line="480" w:lineRule="auto"/>
        <w:ind w:left="851"/>
        <w:jc w:val="both"/>
        <w:rPr>
          <w:rFonts w:ascii="Arial" w:hAnsi="Arial" w:cs="Arial"/>
        </w:rPr>
      </w:pPr>
    </w:p>
    <w:p w:rsidR="00361FCE" w:rsidRDefault="00361FCE" w:rsidP="00F82E61">
      <w:pPr>
        <w:pStyle w:val="Prrafodelista"/>
        <w:spacing w:line="480" w:lineRule="auto"/>
        <w:ind w:left="851"/>
        <w:jc w:val="both"/>
        <w:rPr>
          <w:rFonts w:ascii="Arial" w:hAnsi="Arial" w:cs="Arial"/>
        </w:rPr>
      </w:pPr>
      <w:r>
        <w:rPr>
          <w:rFonts w:ascii="Arial" w:hAnsi="Arial" w:cs="Arial"/>
        </w:rPr>
        <w:t xml:space="preserve">Tenemos además que los colombianos con edades comprendidas entre 15 y 20 años, se tiene que 43.62 por cada 1000 asisten o han asistido a la universidad, 942.93 por cada 1000 no han ido a la universidad y 13.44 no respondieron a esta pregunta. </w:t>
      </w:r>
      <w:r w:rsidR="00F82E61">
        <w:rPr>
          <w:rFonts w:ascii="Arial" w:hAnsi="Arial" w:cs="Arial"/>
        </w:rPr>
        <w:t>P</w:t>
      </w:r>
      <w:r>
        <w:rPr>
          <w:rFonts w:ascii="Arial" w:hAnsi="Arial" w:cs="Arial"/>
        </w:rPr>
        <w:t xml:space="preserve">ara el caso de las mujeres se </w:t>
      </w:r>
      <w:r w:rsidR="00506BFD">
        <w:rPr>
          <w:rFonts w:ascii="Arial" w:hAnsi="Arial" w:cs="Arial"/>
        </w:rPr>
        <w:t>obtuvo</w:t>
      </w:r>
      <w:r>
        <w:rPr>
          <w:rFonts w:ascii="Arial" w:hAnsi="Arial" w:cs="Arial"/>
        </w:rPr>
        <w:t xml:space="preserve"> que por cada 1000 colombianas con edades en el mismo grupo etario, 54.83 tienen hasta instrucción superior, 934.61 no han ido a la universidad; y 10.57 no respondieron. Si consideramos ahora a los hombres nacidos en Colombia que residen en Ecuador y cuyas edades es entre 30 y 35 años, tenemos que por cada 1000 de ellos 222.14 tienen hasta instrucción superior sea a nivel de pregrado o postgrado, 761.12 no han ido a la universidad y 16.74 no declararon; para el caso de las mujeres de esta nacionalidad y del mismo grupo de edad, se </w:t>
      </w:r>
      <w:r w:rsidR="00506BFD">
        <w:rPr>
          <w:rFonts w:ascii="Arial" w:hAnsi="Arial" w:cs="Arial"/>
        </w:rPr>
        <w:t>encontró</w:t>
      </w:r>
      <w:r>
        <w:rPr>
          <w:rFonts w:ascii="Arial" w:hAnsi="Arial" w:cs="Arial"/>
        </w:rPr>
        <w:t xml:space="preserve"> que 236.12 por cada 1000 colombianas de esa edad han asistido a la universidad, 747.54 no tienen instrucción superior y 16.35 no  respondieron.</w:t>
      </w:r>
    </w:p>
    <w:p w:rsidR="00361FCE" w:rsidRDefault="00361FCE" w:rsidP="00F82E61">
      <w:pPr>
        <w:pStyle w:val="Prrafodelista"/>
        <w:spacing w:line="480" w:lineRule="auto"/>
        <w:ind w:left="851"/>
        <w:jc w:val="both"/>
        <w:rPr>
          <w:rFonts w:ascii="Arial" w:hAnsi="Arial" w:cs="Arial"/>
        </w:rPr>
      </w:pPr>
    </w:p>
    <w:p w:rsidR="00361FCE" w:rsidRPr="003D345C" w:rsidRDefault="00361FCE" w:rsidP="00F82E61">
      <w:pPr>
        <w:pStyle w:val="Prrafodelista"/>
        <w:spacing w:line="480" w:lineRule="auto"/>
        <w:ind w:left="851"/>
        <w:jc w:val="both"/>
        <w:rPr>
          <w:rFonts w:ascii="Arial" w:hAnsi="Arial" w:cs="Arial"/>
          <w:i/>
        </w:rPr>
      </w:pPr>
      <w:r>
        <w:rPr>
          <w:rFonts w:ascii="Arial" w:hAnsi="Arial" w:cs="Arial"/>
        </w:rPr>
        <w:t xml:space="preserve">Para el penúltimo grupo de edad, tenemos que de los hombres hay 58.82 por cada 1000 colombianos de ese grupo etario que ha asistido a la universidad; y, para las mujeres 0 de ellas tiene instrucción superior, cabe </w:t>
      </w:r>
      <w:r>
        <w:rPr>
          <w:rFonts w:ascii="Arial" w:hAnsi="Arial" w:cs="Arial"/>
        </w:rPr>
        <w:lastRenderedPageBreak/>
        <w:t xml:space="preserve">mencionar que de las colombianas con edades comprendidas entre 95 y 100 años ninguna ha asistido a la universidad y todas respondieron a esta pregunta. Y para el último intervalo de edad, se tiene que 142.86, 714.29 y 142.86 por cada 1000 colombianos tienen instrucción superior, no han asistido a la universidad y no respondieron respectivamente; y, 0, 923.08 y 76.92 de cada 1000 colombianas del mismo grupo de edad tienen instrucción superior, no han ido a la universidad y no respondieron respectivamente. Para más detalles </w:t>
      </w:r>
      <w:r w:rsidRPr="00C82CB7">
        <w:rPr>
          <w:rFonts w:ascii="Arial" w:hAnsi="Arial" w:cs="Arial"/>
          <w:i/>
        </w:rPr>
        <w:t>véase</w:t>
      </w:r>
      <w:r>
        <w:rPr>
          <w:rFonts w:ascii="Arial" w:hAnsi="Arial" w:cs="Arial"/>
        </w:rPr>
        <w:t xml:space="preserve"> </w:t>
      </w:r>
      <w:r>
        <w:rPr>
          <w:rFonts w:ascii="Arial" w:hAnsi="Arial" w:cs="Arial"/>
          <w:i/>
        </w:rPr>
        <w:t>Figura 4.13.</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F82E61">
        <w:trPr>
          <w:trHeight w:val="3666"/>
          <w:jc w:val="right"/>
        </w:trPr>
        <w:tc>
          <w:tcPr>
            <w:tcW w:w="7497" w:type="dxa"/>
          </w:tcPr>
          <w:p w:rsidR="00361FCE" w:rsidRPr="00840530" w:rsidRDefault="00361FCE" w:rsidP="00902050">
            <w:pPr>
              <w:rPr>
                <w:rFonts w:ascii="Arial" w:hAnsi="Arial" w:cs="Arial"/>
                <w:sz w:val="16"/>
                <w:szCs w:val="16"/>
              </w:rPr>
            </w:pPr>
          </w:p>
          <w:p w:rsidR="008D34C1" w:rsidRPr="008D34C1" w:rsidRDefault="008D34C1" w:rsidP="008D34C1">
            <w:pPr>
              <w:pStyle w:val="Epgrafe"/>
              <w:rPr>
                <w:rFonts w:ascii="Arial" w:hAnsi="Arial" w:cs="Arial"/>
                <w:bCs w:val="0"/>
                <w:color w:val="auto"/>
                <w:sz w:val="16"/>
                <w:szCs w:val="16"/>
              </w:rPr>
            </w:pPr>
            <w:bookmarkStart w:id="530" w:name="_Toc341043985"/>
            <w:r>
              <w:rPr>
                <w:rFonts w:ascii="Arial" w:hAnsi="Arial" w:cs="Arial"/>
                <w:bCs w:val="0"/>
                <w:color w:val="auto"/>
                <w:sz w:val="16"/>
                <w:szCs w:val="16"/>
              </w:rPr>
              <w:t>Figura 4.</w:t>
            </w:r>
            <w:r w:rsidR="00990535" w:rsidRPr="008D34C1">
              <w:rPr>
                <w:rFonts w:ascii="Arial" w:hAnsi="Arial" w:cs="Arial"/>
                <w:bCs w:val="0"/>
                <w:color w:val="auto"/>
                <w:sz w:val="16"/>
                <w:szCs w:val="16"/>
              </w:rPr>
              <w:fldChar w:fldCharType="begin"/>
            </w:r>
            <w:r w:rsidRPr="008D34C1">
              <w:rPr>
                <w:rFonts w:ascii="Arial" w:hAnsi="Arial" w:cs="Arial"/>
                <w:bCs w:val="0"/>
                <w:color w:val="auto"/>
                <w:sz w:val="16"/>
                <w:szCs w:val="16"/>
              </w:rPr>
              <w:instrText xml:space="preserve"> SEQ Figura_4. \* ARABIC </w:instrText>
            </w:r>
            <w:r w:rsidR="00990535" w:rsidRPr="008D34C1">
              <w:rPr>
                <w:rFonts w:ascii="Arial" w:hAnsi="Arial" w:cs="Arial"/>
                <w:bCs w:val="0"/>
                <w:color w:val="auto"/>
                <w:sz w:val="16"/>
                <w:szCs w:val="16"/>
              </w:rPr>
              <w:fldChar w:fldCharType="separate"/>
            </w:r>
            <w:r w:rsidR="00A242E0">
              <w:rPr>
                <w:rFonts w:ascii="Arial" w:hAnsi="Arial" w:cs="Arial"/>
                <w:bCs w:val="0"/>
                <w:noProof/>
                <w:color w:val="auto"/>
                <w:sz w:val="16"/>
                <w:szCs w:val="16"/>
              </w:rPr>
              <w:t>13</w:t>
            </w:r>
            <w:bookmarkEnd w:id="530"/>
            <w:r w:rsidR="00990535" w:rsidRPr="008D34C1">
              <w:rPr>
                <w:rFonts w:ascii="Arial" w:hAnsi="Arial" w:cs="Arial"/>
                <w:bCs w:val="0"/>
                <w:color w:val="auto"/>
                <w:sz w:val="16"/>
                <w:szCs w:val="16"/>
              </w:rPr>
              <w:fldChar w:fldCharType="end"/>
            </w:r>
          </w:p>
          <w:p w:rsidR="00361FCE" w:rsidRDefault="00F82E61"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Tasa de universitarios por cada 1000 </w:t>
            </w:r>
            <w:r w:rsidR="00361FCE" w:rsidRPr="00F82E61">
              <w:rPr>
                <w:rFonts w:ascii="Arial" w:hAnsi="Arial" w:cs="Arial"/>
                <w:b/>
                <w:i/>
                <w:sz w:val="16"/>
                <w:szCs w:val="16"/>
              </w:rPr>
              <w:t>colombianos</w:t>
            </w:r>
            <w:r w:rsidR="00361FCE">
              <w:rPr>
                <w:rFonts w:ascii="Arial" w:hAnsi="Arial" w:cs="Arial"/>
                <w:i/>
                <w:sz w:val="16"/>
                <w:szCs w:val="16"/>
              </w:rPr>
              <w:t xml:space="preserve"> por Género y Grupo </w:t>
            </w:r>
            <w:r>
              <w:rPr>
                <w:rFonts w:ascii="Arial" w:hAnsi="Arial" w:cs="Arial"/>
                <w:i/>
                <w:sz w:val="16"/>
                <w:szCs w:val="16"/>
              </w:rPr>
              <w:t>etario</w:t>
            </w:r>
          </w:p>
          <w:p w:rsidR="00361FCE" w:rsidRDefault="00436907" w:rsidP="00902050">
            <w:pPr>
              <w:rPr>
                <w:rFonts w:ascii="Arial" w:hAnsi="Arial" w:cs="Arial"/>
                <w:i/>
                <w:sz w:val="16"/>
                <w:szCs w:val="16"/>
              </w:rPr>
            </w:pPr>
            <w:r>
              <w:rPr>
                <w:rFonts w:ascii="Arial" w:hAnsi="Arial" w:cs="Arial"/>
                <w:noProof/>
                <w:sz w:val="16"/>
                <w:szCs w:val="16"/>
                <w:lang w:eastAsia="es-EC"/>
              </w:rPr>
              <w:pict>
                <v:shape id="_x0000_s1482" type="#_x0000_t202" style="position:absolute;left:0;text-align:left;margin-left:91.8pt;margin-top:96pt;width:133.5pt;height:15.35pt;z-index:25149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sidRPr="005B0B7F">
                          <w:rPr>
                            <w:rFonts w:ascii="Arial" w:hAnsi="Arial" w:cs="Arial"/>
                            <w:color w:val="CC0099"/>
                            <w:sz w:val="15"/>
                            <w:szCs w:val="15"/>
                          </w:rPr>
                          <w:t>Se ignora</w:t>
                        </w:r>
                      </w:p>
                    </w:txbxContent>
                  </v:textbox>
                </v:shape>
              </w:pict>
            </w:r>
            <w:r>
              <w:rPr>
                <w:rFonts w:ascii="Arial" w:hAnsi="Arial" w:cs="Arial"/>
                <w:noProof/>
                <w:sz w:val="16"/>
                <w:szCs w:val="16"/>
                <w:lang w:eastAsia="es-EC"/>
              </w:rPr>
              <w:pict>
                <v:shape id="_x0000_s2165" type="#_x0000_t32" style="position:absolute;left:0;text-align:left;margin-left:161.05pt;margin-top:107.25pt;width:10.25pt;height:9.3pt;z-index:251932160" o:connectortype="straight" strokecolor="#d60093">
                  <v:stroke endarrow="block"/>
                </v:shape>
              </w:pict>
            </w:r>
            <w:r>
              <w:rPr>
                <w:rFonts w:ascii="Arial" w:hAnsi="Arial" w:cs="Arial"/>
                <w:noProof/>
                <w:sz w:val="16"/>
                <w:szCs w:val="16"/>
                <w:lang w:eastAsia="es-EC"/>
              </w:rPr>
              <w:pict>
                <v:shape id="_x0000_s1480" type="#_x0000_t202" style="position:absolute;left:0;text-align:left;margin-left:147.55pt;margin-top:71.3pt;width:133.5pt;height:15.35pt;z-index:25149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Universitarios</w:t>
                        </w:r>
                      </w:p>
                    </w:txbxContent>
                  </v:textbox>
                </v:shape>
              </w:pict>
            </w:r>
            <w:r>
              <w:rPr>
                <w:rFonts w:ascii="Arial" w:hAnsi="Arial" w:cs="Arial"/>
                <w:noProof/>
                <w:sz w:val="16"/>
                <w:szCs w:val="16"/>
                <w:lang w:eastAsia="es-EC"/>
              </w:rPr>
              <w:pict>
                <v:shape id="_x0000_s2163" type="#_x0000_t32" style="position:absolute;left:0;text-align:left;margin-left:199.8pt;margin-top:82.15pt;width:12.25pt;height:15.35pt;flip:x;z-index:251930112" o:connectortype="straight" strokecolor="#0070c0">
                  <v:stroke endarrow="block"/>
                </v:shape>
              </w:pict>
            </w:r>
            <w:r>
              <w:rPr>
                <w:rFonts w:ascii="Arial" w:hAnsi="Arial" w:cs="Arial"/>
                <w:noProof/>
                <w:sz w:val="16"/>
                <w:szCs w:val="16"/>
                <w:lang w:eastAsia="es-EC"/>
              </w:rPr>
              <w:pict>
                <v:shape id="_x0000_s1481" type="#_x0000_t202" style="position:absolute;left:0;text-align:left;margin-left:141.55pt;margin-top:46.05pt;width:133.5pt;height:15.35pt;z-index:25149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No Universitarios</w:t>
                        </w:r>
                      </w:p>
                    </w:txbxContent>
                  </v:textbox>
                </v:shape>
              </w:pict>
            </w:r>
            <w:r>
              <w:rPr>
                <w:rFonts w:ascii="Arial" w:hAnsi="Arial" w:cs="Arial"/>
                <w:noProof/>
                <w:sz w:val="16"/>
                <w:szCs w:val="16"/>
                <w:lang w:eastAsia="es-EC"/>
              </w:rPr>
              <w:pict>
                <v:shape id="_x0000_s2161" type="#_x0000_t32" style="position:absolute;left:0;text-align:left;margin-left:192.3pt;margin-top:37.85pt;width:12.75pt;height:10.45pt;flip:x y;z-index:251928064" o:connectortype="straight" strokecolor="#e36c0a [2409]">
                  <v:stroke endarrow="block"/>
                </v:shape>
              </w:pict>
            </w:r>
            <w:r>
              <w:rPr>
                <w:noProof/>
              </w:rPr>
              <w:pict>
                <v:shape id="_x0000_s1478" type="#_x0000_t202" style="position:absolute;left:0;text-align:left;margin-left:77.8pt;margin-top:13.5pt;width:133.5pt;height:15.35pt;z-index:25149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drawing>
                <wp:inline distT="0" distB="0" distL="0" distR="0">
                  <wp:extent cx="4211955" cy="2052000"/>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485" type="#_x0000_t202" style="position:absolute;left:0;text-align:left;margin-left:58.05pt;margin-top:96pt;width:133.5pt;height:15.35pt;z-index:25150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sidRPr="005B0B7F">
                          <w:rPr>
                            <w:rFonts w:ascii="Arial" w:hAnsi="Arial" w:cs="Arial"/>
                            <w:color w:val="CC0099"/>
                            <w:sz w:val="15"/>
                            <w:szCs w:val="15"/>
                          </w:rPr>
                          <w:t>Se ignora</w:t>
                        </w:r>
                      </w:p>
                    </w:txbxContent>
                  </v:textbox>
                </v:shape>
              </w:pict>
            </w:r>
            <w:r>
              <w:rPr>
                <w:rFonts w:ascii="Arial" w:hAnsi="Arial" w:cs="Arial"/>
                <w:noProof/>
                <w:sz w:val="16"/>
                <w:szCs w:val="16"/>
                <w:lang w:eastAsia="es-EC"/>
              </w:rPr>
              <w:pict>
                <v:shape id="_x0000_s2166" type="#_x0000_t32" style="position:absolute;left:0;text-align:left;margin-left:115.8pt;margin-top:107.8pt;width:8.25pt;height:8.45pt;flip:x;z-index:251933184" o:connectortype="straight" strokecolor="#d60093">
                  <v:stroke endarrow="block"/>
                </v:shape>
              </w:pict>
            </w:r>
            <w:r>
              <w:rPr>
                <w:rFonts w:ascii="Arial" w:hAnsi="Arial" w:cs="Arial"/>
                <w:noProof/>
                <w:sz w:val="16"/>
                <w:szCs w:val="16"/>
                <w:lang w:eastAsia="es-EC"/>
              </w:rPr>
              <w:pict>
                <v:shape id="_x0000_s1483" type="#_x0000_t202" style="position:absolute;left:0;text-align:left;margin-left:161.8pt;margin-top:83.45pt;width:133.5pt;height:15.35pt;z-index:25150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Universitarios</w:t>
                        </w:r>
                      </w:p>
                    </w:txbxContent>
                  </v:textbox>
                </v:shape>
              </w:pict>
            </w:r>
            <w:r>
              <w:rPr>
                <w:rFonts w:ascii="Arial" w:hAnsi="Arial" w:cs="Arial"/>
                <w:noProof/>
                <w:sz w:val="16"/>
                <w:szCs w:val="16"/>
                <w:lang w:eastAsia="es-EC"/>
              </w:rPr>
              <w:pict>
                <v:shape id="_x0000_s2164" type="#_x0000_t32" style="position:absolute;left:0;text-align:left;margin-left:218.05pt;margin-top:95.25pt;width:8.75pt;height:12.55pt;flip:x;z-index:251931136" o:connectortype="straight" strokecolor="#0070c0">
                  <v:stroke endarrow="block"/>
                </v:shape>
              </w:pict>
            </w:r>
            <w:r>
              <w:rPr>
                <w:rFonts w:ascii="Arial" w:hAnsi="Arial" w:cs="Arial"/>
                <w:noProof/>
                <w:sz w:val="16"/>
                <w:szCs w:val="16"/>
                <w:lang w:eastAsia="es-EC"/>
              </w:rPr>
              <w:pict>
                <v:shape id="_x0000_s1484" type="#_x0000_t202" style="position:absolute;left:0;text-align:left;margin-left:161.05pt;margin-top:36.9pt;width:133.5pt;height:15.35pt;z-index:25150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No Universitarios</w:t>
                        </w:r>
                      </w:p>
                    </w:txbxContent>
                  </v:textbox>
                </v:shape>
              </w:pict>
            </w:r>
            <w:r>
              <w:rPr>
                <w:rFonts w:ascii="Arial" w:hAnsi="Arial" w:cs="Arial"/>
                <w:noProof/>
                <w:sz w:val="16"/>
                <w:szCs w:val="16"/>
                <w:lang w:eastAsia="es-EC"/>
              </w:rPr>
              <w:pict>
                <v:shape id="_x0000_s2162" type="#_x0000_t32" style="position:absolute;left:0;text-align:left;margin-left:218.05pt;margin-top:26.25pt;width:8.75pt;height:12.15pt;flip:x y;z-index:251929088" o:connectortype="straight" strokecolor="#e36c0a [2409]">
                  <v:stroke endarrow="block"/>
                </v:shape>
              </w:pict>
            </w:r>
            <w:r>
              <w:rPr>
                <w:rFonts w:ascii="Arial" w:hAnsi="Arial" w:cs="Arial"/>
                <w:noProof/>
                <w:sz w:val="16"/>
                <w:szCs w:val="16"/>
                <w:lang w:eastAsia="es-EC"/>
              </w:rPr>
              <w:pict>
                <v:shape id="_x0000_s1479" type="#_x0000_t202" style="position:absolute;left:0;text-align:left;margin-left:78.55pt;margin-top:14.8pt;width:133.5pt;height:15.35pt;z-index:25149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drawing>
                <wp:inline distT="0" distB="0" distL="0" distR="0">
                  <wp:extent cx="4211955" cy="205200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bl>
    <w:p w:rsidR="00361FCE" w:rsidRPr="00F82E61" w:rsidRDefault="00361FCE" w:rsidP="00F82E61">
      <w:pPr>
        <w:pStyle w:val="Prrafodelista"/>
        <w:spacing w:line="276" w:lineRule="auto"/>
        <w:ind w:left="851"/>
        <w:jc w:val="both"/>
        <w:rPr>
          <w:rFonts w:ascii="Arial" w:hAnsi="Arial" w:cs="Arial"/>
          <w:sz w:val="17"/>
          <w:szCs w:val="17"/>
        </w:rPr>
      </w:pPr>
    </w:p>
    <w:p w:rsidR="00361FCE" w:rsidRPr="00F82E61" w:rsidRDefault="00361FCE" w:rsidP="00F82E61">
      <w:pPr>
        <w:pStyle w:val="Prrafodelista"/>
        <w:spacing w:line="276" w:lineRule="auto"/>
        <w:ind w:left="851"/>
        <w:jc w:val="both"/>
        <w:rPr>
          <w:rFonts w:ascii="Arial" w:hAnsi="Arial" w:cs="Arial"/>
          <w:sz w:val="17"/>
          <w:szCs w:val="17"/>
        </w:rPr>
      </w:pPr>
      <w:r w:rsidRPr="00F82E61">
        <w:rPr>
          <w:rFonts w:ascii="Arial" w:hAnsi="Arial" w:cs="Arial"/>
          <w:b/>
          <w:i/>
          <w:sz w:val="17"/>
          <w:szCs w:val="17"/>
        </w:rPr>
        <w:t>Fuente:</w:t>
      </w:r>
      <w:r w:rsidRPr="00F82E61">
        <w:rPr>
          <w:rFonts w:ascii="Arial" w:hAnsi="Arial" w:cs="Arial"/>
          <w:sz w:val="17"/>
          <w:szCs w:val="17"/>
        </w:rPr>
        <w:t xml:space="preserve"> </w:t>
      </w:r>
      <w:r w:rsidRPr="00F82E61">
        <w:rPr>
          <w:rFonts w:ascii="Arial" w:hAnsi="Arial" w:cs="Arial"/>
          <w:b/>
          <w:sz w:val="17"/>
          <w:szCs w:val="17"/>
        </w:rPr>
        <w:t xml:space="preserve">INEC </w:t>
      </w:r>
      <w:r w:rsidRPr="00F82E61">
        <w:rPr>
          <w:rFonts w:ascii="Arial" w:hAnsi="Arial" w:cs="Arial"/>
          <w:sz w:val="17"/>
          <w:szCs w:val="17"/>
        </w:rPr>
        <w:t>(2010), Base de Datos del VII Censo de Población y VI de Vivienda.</w:t>
      </w:r>
    </w:p>
    <w:p w:rsidR="00361FCE" w:rsidRPr="00F82E61" w:rsidRDefault="00361FCE" w:rsidP="00F82E61">
      <w:pPr>
        <w:pStyle w:val="Prrafodelista"/>
        <w:spacing w:line="276" w:lineRule="auto"/>
        <w:ind w:left="851"/>
        <w:jc w:val="both"/>
        <w:rPr>
          <w:rFonts w:ascii="Arial" w:hAnsi="Arial" w:cs="Arial"/>
          <w:sz w:val="17"/>
          <w:szCs w:val="17"/>
        </w:rPr>
      </w:pPr>
      <w:r w:rsidRPr="00F82E61">
        <w:rPr>
          <w:rFonts w:ascii="Arial" w:hAnsi="Arial" w:cs="Arial"/>
          <w:b/>
          <w:i/>
          <w:sz w:val="17"/>
          <w:szCs w:val="17"/>
        </w:rPr>
        <w:t>Elaborado por:</w:t>
      </w:r>
      <w:r w:rsidRPr="00F82E61">
        <w:rPr>
          <w:rFonts w:ascii="Arial" w:hAnsi="Arial" w:cs="Arial"/>
          <w:sz w:val="17"/>
          <w:szCs w:val="17"/>
        </w:rPr>
        <w:t xml:space="preserve"> Katherine Loor Valeriano</w:t>
      </w:r>
    </w:p>
    <w:p w:rsidR="00361FCE" w:rsidRDefault="00361FCE" w:rsidP="00F82E61">
      <w:pPr>
        <w:pStyle w:val="Estilo42"/>
        <w:ind w:left="1560" w:hanging="709"/>
      </w:pPr>
      <w:bookmarkStart w:id="531" w:name="_Toc337135521"/>
      <w:bookmarkStart w:id="532" w:name="_Toc341040671"/>
      <w:r>
        <w:lastRenderedPageBreak/>
        <w:t xml:space="preserve">Estado </w:t>
      </w:r>
      <w:r w:rsidR="008F1FF2">
        <w:t>C</w:t>
      </w:r>
      <w:r>
        <w:t>ivil</w:t>
      </w:r>
      <w:bookmarkEnd w:id="531"/>
      <w:r w:rsidR="00F82E61">
        <w:t xml:space="preserve"> de los colombianos</w:t>
      </w:r>
      <w:bookmarkEnd w:id="532"/>
    </w:p>
    <w:p w:rsidR="00361FCE" w:rsidRPr="008D7F83" w:rsidRDefault="00361FCE" w:rsidP="00F82E61">
      <w:pPr>
        <w:pStyle w:val="Prrafodelista"/>
        <w:spacing w:line="480" w:lineRule="auto"/>
        <w:ind w:left="851"/>
        <w:jc w:val="both"/>
        <w:rPr>
          <w:rFonts w:ascii="Arial" w:hAnsi="Arial" w:cs="Arial"/>
          <w:i/>
        </w:rPr>
      </w:pPr>
      <w:r>
        <w:rPr>
          <w:rFonts w:ascii="Arial" w:hAnsi="Arial" w:cs="Arial"/>
        </w:rPr>
        <w:t xml:space="preserve">Los colombiano mayores de 12 años fueron los que respondieron a esta pregunta en el empadronamiento llevado a cabo el 28 de noviembre de 2010, obteniéndose que el 28.15% son solteros, el 27.92% están casados, el 33.60% están unidos, el 5.11% son separados, el 1.61% están divorciados; y, el 3.61% son viudos; como podemos notar lo predominante son colombianos que están unidos o casados pues totalizan más del 50% de la población colombiana mayor a 12 años. </w:t>
      </w:r>
      <w:r>
        <w:rPr>
          <w:rFonts w:ascii="Arial" w:hAnsi="Arial" w:cs="Arial"/>
          <w:i/>
        </w:rPr>
        <w:t>Véase Figura 4.14.</w:t>
      </w:r>
    </w:p>
    <w:tbl>
      <w:tblPr>
        <w:tblStyle w:val="Tablaconcuadrcula"/>
        <w:tblW w:w="7497" w:type="dxa"/>
        <w:jc w:val="right"/>
        <w:tblInd w:w="1074"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F82E61">
        <w:trPr>
          <w:trHeight w:val="3484"/>
          <w:jc w:val="right"/>
        </w:trPr>
        <w:tc>
          <w:tcPr>
            <w:tcW w:w="7497" w:type="dxa"/>
          </w:tcPr>
          <w:p w:rsidR="00361FCE" w:rsidRPr="00840530" w:rsidRDefault="00361FCE" w:rsidP="00902050">
            <w:pPr>
              <w:rPr>
                <w:rFonts w:ascii="Arial" w:hAnsi="Arial" w:cs="Arial"/>
                <w:sz w:val="16"/>
                <w:szCs w:val="16"/>
              </w:rPr>
            </w:pPr>
          </w:p>
          <w:p w:rsidR="008D34C1" w:rsidRPr="008D34C1" w:rsidRDefault="008D34C1" w:rsidP="008D34C1">
            <w:pPr>
              <w:pStyle w:val="Epgrafe"/>
              <w:rPr>
                <w:rFonts w:ascii="Arial" w:hAnsi="Arial" w:cs="Arial"/>
                <w:bCs w:val="0"/>
                <w:color w:val="auto"/>
                <w:sz w:val="16"/>
                <w:szCs w:val="16"/>
              </w:rPr>
            </w:pPr>
            <w:bookmarkStart w:id="533" w:name="_Toc341043986"/>
            <w:r>
              <w:rPr>
                <w:rFonts w:ascii="Arial" w:hAnsi="Arial" w:cs="Arial"/>
                <w:bCs w:val="0"/>
                <w:color w:val="auto"/>
                <w:sz w:val="16"/>
                <w:szCs w:val="16"/>
              </w:rPr>
              <w:t>Figura 4.</w:t>
            </w:r>
            <w:r w:rsidR="00990535" w:rsidRPr="008D34C1">
              <w:rPr>
                <w:rFonts w:ascii="Arial" w:hAnsi="Arial" w:cs="Arial"/>
                <w:bCs w:val="0"/>
                <w:color w:val="auto"/>
                <w:sz w:val="16"/>
                <w:szCs w:val="16"/>
              </w:rPr>
              <w:fldChar w:fldCharType="begin"/>
            </w:r>
            <w:r w:rsidRPr="008D34C1">
              <w:rPr>
                <w:rFonts w:ascii="Arial" w:hAnsi="Arial" w:cs="Arial"/>
                <w:bCs w:val="0"/>
                <w:color w:val="auto"/>
                <w:sz w:val="16"/>
                <w:szCs w:val="16"/>
              </w:rPr>
              <w:instrText xml:space="preserve"> SEQ Figura_4. \* ARABIC </w:instrText>
            </w:r>
            <w:r w:rsidR="00990535" w:rsidRPr="008D34C1">
              <w:rPr>
                <w:rFonts w:ascii="Arial" w:hAnsi="Arial" w:cs="Arial"/>
                <w:bCs w:val="0"/>
                <w:color w:val="auto"/>
                <w:sz w:val="16"/>
                <w:szCs w:val="16"/>
              </w:rPr>
              <w:fldChar w:fldCharType="separate"/>
            </w:r>
            <w:r w:rsidR="00A242E0">
              <w:rPr>
                <w:rFonts w:ascii="Arial" w:hAnsi="Arial" w:cs="Arial"/>
                <w:bCs w:val="0"/>
                <w:noProof/>
                <w:color w:val="auto"/>
                <w:sz w:val="16"/>
                <w:szCs w:val="16"/>
              </w:rPr>
              <w:t>14</w:t>
            </w:r>
            <w:bookmarkEnd w:id="533"/>
            <w:r w:rsidR="00990535" w:rsidRPr="008D34C1">
              <w:rPr>
                <w:rFonts w:ascii="Arial" w:hAnsi="Arial" w:cs="Arial"/>
                <w:bCs w:val="0"/>
                <w:color w:val="auto"/>
                <w:sz w:val="16"/>
                <w:szCs w:val="16"/>
              </w:rPr>
              <w:fldChar w:fldCharType="end"/>
            </w:r>
          </w:p>
          <w:p w:rsidR="00361FCE" w:rsidRPr="00F82E61" w:rsidRDefault="00F82E61" w:rsidP="00902050">
            <w:pPr>
              <w:rPr>
                <w:rFonts w:ascii="Arial" w:hAnsi="Arial" w:cs="Arial"/>
                <w:b/>
                <w:i/>
                <w:sz w:val="16"/>
                <w:szCs w:val="16"/>
              </w:rPr>
            </w:pPr>
            <w:r>
              <w:rPr>
                <w:rFonts w:ascii="Arial" w:hAnsi="Arial" w:cs="Arial"/>
                <w:b/>
                <w:i/>
                <w:sz w:val="16"/>
                <w:szCs w:val="16"/>
              </w:rPr>
              <w:t xml:space="preserve">Ecuador 2010: </w:t>
            </w:r>
            <w:r w:rsidR="00361FCE">
              <w:rPr>
                <w:rFonts w:ascii="Arial" w:hAnsi="Arial" w:cs="Arial"/>
                <w:i/>
                <w:sz w:val="16"/>
                <w:szCs w:val="16"/>
              </w:rPr>
              <w:t>Frecuencia Relativa de Estado Civil</w:t>
            </w:r>
            <w:r>
              <w:rPr>
                <w:rFonts w:ascii="Arial" w:hAnsi="Arial" w:cs="Arial"/>
                <w:i/>
                <w:sz w:val="16"/>
                <w:szCs w:val="16"/>
              </w:rPr>
              <w:t xml:space="preserve"> de los </w:t>
            </w:r>
            <w:r>
              <w:rPr>
                <w:rFonts w:ascii="Arial" w:hAnsi="Arial" w:cs="Arial"/>
                <w:b/>
                <w:i/>
                <w:sz w:val="16"/>
                <w:szCs w:val="16"/>
              </w:rPr>
              <w:t>colombianos</w:t>
            </w:r>
          </w:p>
          <w:tbl>
            <w:tblPr>
              <w:tblStyle w:val="Tablaconcuadrcula"/>
              <w:tblW w:w="7010" w:type="dxa"/>
              <w:jc w:val="center"/>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540"/>
              <w:gridCol w:w="4494"/>
            </w:tblGrid>
            <w:tr w:rsidR="00361FCE" w:rsidRPr="00A22FF9" w:rsidTr="00F82E61">
              <w:trPr>
                <w:trHeight w:val="3143"/>
                <w:jc w:val="center"/>
              </w:trPr>
              <w:tc>
                <w:tcPr>
                  <w:tcW w:w="2705" w:type="dxa"/>
                </w:tcPr>
                <w:p w:rsidR="00361FCE" w:rsidRDefault="00361FCE" w:rsidP="00902050">
                  <w:pPr>
                    <w:rPr>
                      <w:rFonts w:ascii="Arial" w:hAnsi="Arial" w:cs="Arial"/>
                      <w:b/>
                      <w:sz w:val="16"/>
                      <w:szCs w:val="16"/>
                    </w:rPr>
                  </w:pPr>
                  <w:r w:rsidRPr="005400D0">
                    <w:rPr>
                      <w:noProof/>
                      <w:sz w:val="10"/>
                      <w:szCs w:val="10"/>
                      <w:lang w:eastAsia="es-EC"/>
                    </w:rPr>
                    <w:t xml:space="preserve"> </w:t>
                  </w:r>
                </w:p>
                <w:p w:rsidR="00361FCE" w:rsidRPr="00A22FF9" w:rsidRDefault="00361FCE" w:rsidP="00902050">
                  <w:pPr>
                    <w:ind w:left="201"/>
                    <w:rPr>
                      <w:rFonts w:ascii="Arial" w:hAnsi="Arial" w:cs="Arial"/>
                      <w:b/>
                      <w:sz w:val="16"/>
                      <w:szCs w:val="16"/>
                    </w:rPr>
                  </w:pPr>
                  <w:r w:rsidRPr="00A22FF9">
                    <w:rPr>
                      <w:rFonts w:ascii="Arial" w:hAnsi="Arial" w:cs="Arial"/>
                      <w:b/>
                      <w:sz w:val="16"/>
                      <w:szCs w:val="16"/>
                    </w:rPr>
                    <w:t>Tabla de Frecuencias</w:t>
                  </w:r>
                </w:p>
                <w:p w:rsidR="00361FCE" w:rsidRDefault="00361FCE" w:rsidP="00902050">
                  <w:pPr>
                    <w:rPr>
                      <w:rFonts w:ascii="Arial" w:hAnsi="Arial" w:cs="Arial"/>
                      <w:sz w:val="10"/>
                      <w:szCs w:val="10"/>
                    </w:rPr>
                  </w:pPr>
                </w:p>
                <w:p w:rsidR="00361FCE" w:rsidRPr="00A22FF9" w:rsidRDefault="00361FCE" w:rsidP="00902050">
                  <w:pPr>
                    <w:rPr>
                      <w:rFonts w:ascii="Arial" w:hAnsi="Arial" w:cs="Arial"/>
                      <w:sz w:val="10"/>
                      <w:szCs w:val="10"/>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361FCE" w:rsidRPr="00AD7AE2" w:rsidTr="00902050">
                    <w:trPr>
                      <w:trHeight w:val="465"/>
                      <w:jc w:val="center"/>
                    </w:trPr>
                    <w:tc>
                      <w:tcPr>
                        <w:tcW w:w="1200" w:type="dxa"/>
                        <w:tcBorders>
                          <w:top w:val="single" w:sz="4" w:space="0" w:color="auto"/>
                          <w:left w:val="nil"/>
                          <w:bottom w:val="single" w:sz="4" w:space="0" w:color="auto"/>
                          <w:right w:val="nil"/>
                        </w:tcBorders>
                        <w:shd w:val="clear" w:color="auto" w:fill="auto"/>
                        <w:vAlign w:val="center"/>
                        <w:hideMark/>
                      </w:tcPr>
                      <w:p w:rsidR="00361FCE" w:rsidRPr="00AD7AE2" w:rsidRDefault="00361FCE" w:rsidP="00902050">
                        <w:pPr>
                          <w:rPr>
                            <w:rFonts w:ascii="Arial" w:eastAsia="Times New Roman" w:hAnsi="Arial" w:cs="Arial"/>
                            <w:b/>
                            <w:bCs/>
                            <w:color w:val="000000"/>
                            <w:sz w:val="16"/>
                            <w:szCs w:val="16"/>
                            <w:lang w:eastAsia="es-EC"/>
                          </w:rPr>
                        </w:pPr>
                        <w:r w:rsidRPr="00AD7AE2">
                          <w:rPr>
                            <w:rFonts w:ascii="Arial" w:eastAsia="Times New Roman" w:hAnsi="Arial" w:cs="Arial"/>
                            <w:b/>
                            <w:bCs/>
                            <w:color w:val="000000"/>
                            <w:sz w:val="16"/>
                            <w:szCs w:val="16"/>
                            <w:lang w:eastAsia="es-EC"/>
                          </w:rPr>
                          <w:t>Estado Civil</w:t>
                        </w:r>
                      </w:p>
                    </w:tc>
                    <w:tc>
                      <w:tcPr>
                        <w:tcW w:w="1200" w:type="dxa"/>
                        <w:tcBorders>
                          <w:top w:val="single" w:sz="4" w:space="0" w:color="auto"/>
                          <w:left w:val="nil"/>
                          <w:bottom w:val="single" w:sz="4" w:space="0" w:color="auto"/>
                          <w:right w:val="nil"/>
                        </w:tcBorders>
                        <w:shd w:val="clear" w:color="auto" w:fill="auto"/>
                        <w:vAlign w:val="center"/>
                        <w:hideMark/>
                      </w:tcPr>
                      <w:p w:rsidR="00361FCE" w:rsidRPr="00AD7AE2" w:rsidRDefault="00361FCE" w:rsidP="00902050">
                        <w:pPr>
                          <w:rPr>
                            <w:rFonts w:ascii="Arial" w:eastAsia="Times New Roman" w:hAnsi="Arial" w:cs="Arial"/>
                            <w:b/>
                            <w:bCs/>
                            <w:color w:val="000000"/>
                            <w:sz w:val="16"/>
                            <w:szCs w:val="16"/>
                            <w:lang w:eastAsia="es-EC"/>
                          </w:rPr>
                        </w:pPr>
                        <w:r w:rsidRPr="00AD7AE2">
                          <w:rPr>
                            <w:rFonts w:ascii="Arial" w:eastAsia="Times New Roman" w:hAnsi="Arial" w:cs="Arial"/>
                            <w:b/>
                            <w:bCs/>
                            <w:color w:val="000000"/>
                            <w:sz w:val="16"/>
                            <w:szCs w:val="16"/>
                            <w:lang w:eastAsia="es-EC"/>
                          </w:rPr>
                          <w:t>Frecuencia Relativa</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902050">
                        <w:pPr>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Soltero</w:t>
                        </w:r>
                      </w:p>
                    </w:tc>
                    <w:tc>
                      <w:tcPr>
                        <w:tcW w:w="1200" w:type="dxa"/>
                        <w:tcBorders>
                          <w:top w:val="nil"/>
                          <w:left w:val="nil"/>
                          <w:bottom w:val="nil"/>
                          <w:right w:val="nil"/>
                        </w:tcBorders>
                        <w:shd w:val="clear" w:color="auto" w:fill="auto"/>
                        <w:noWrap/>
                        <w:vAlign w:val="center"/>
                        <w:hideMark/>
                      </w:tcPr>
                      <w:p w:rsidR="00361FCE" w:rsidRPr="00AD7AE2" w:rsidRDefault="00361FCE" w:rsidP="00902050">
                        <w:pPr>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0.281</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902050">
                        <w:pPr>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Casado</w:t>
                        </w:r>
                      </w:p>
                    </w:tc>
                    <w:tc>
                      <w:tcPr>
                        <w:tcW w:w="1200" w:type="dxa"/>
                        <w:tcBorders>
                          <w:top w:val="nil"/>
                          <w:left w:val="nil"/>
                          <w:bottom w:val="nil"/>
                          <w:right w:val="nil"/>
                        </w:tcBorders>
                        <w:shd w:val="clear" w:color="auto" w:fill="auto"/>
                        <w:noWrap/>
                        <w:vAlign w:val="center"/>
                        <w:hideMark/>
                      </w:tcPr>
                      <w:p w:rsidR="00361FCE" w:rsidRPr="00AD7AE2" w:rsidRDefault="00361FCE" w:rsidP="00902050">
                        <w:pPr>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0.279</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902050">
                        <w:pPr>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Unido</w:t>
                        </w:r>
                      </w:p>
                    </w:tc>
                    <w:tc>
                      <w:tcPr>
                        <w:tcW w:w="1200" w:type="dxa"/>
                        <w:tcBorders>
                          <w:top w:val="nil"/>
                          <w:left w:val="nil"/>
                          <w:bottom w:val="nil"/>
                          <w:right w:val="nil"/>
                        </w:tcBorders>
                        <w:shd w:val="clear" w:color="auto" w:fill="auto"/>
                        <w:noWrap/>
                        <w:vAlign w:val="center"/>
                        <w:hideMark/>
                      </w:tcPr>
                      <w:p w:rsidR="00361FCE" w:rsidRPr="00AD7AE2" w:rsidRDefault="00361FCE" w:rsidP="00902050">
                        <w:pPr>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0.336</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902050">
                        <w:pPr>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Separado</w:t>
                        </w:r>
                      </w:p>
                    </w:tc>
                    <w:tc>
                      <w:tcPr>
                        <w:tcW w:w="1200" w:type="dxa"/>
                        <w:tcBorders>
                          <w:top w:val="nil"/>
                          <w:left w:val="nil"/>
                          <w:bottom w:val="nil"/>
                          <w:right w:val="nil"/>
                        </w:tcBorders>
                        <w:shd w:val="clear" w:color="auto" w:fill="auto"/>
                        <w:noWrap/>
                        <w:vAlign w:val="center"/>
                        <w:hideMark/>
                      </w:tcPr>
                      <w:p w:rsidR="00361FCE" w:rsidRPr="00AD7AE2" w:rsidRDefault="00361FCE" w:rsidP="00902050">
                        <w:pPr>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0.051</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902050">
                        <w:pPr>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Divorciado</w:t>
                        </w:r>
                      </w:p>
                    </w:tc>
                    <w:tc>
                      <w:tcPr>
                        <w:tcW w:w="1200" w:type="dxa"/>
                        <w:tcBorders>
                          <w:top w:val="nil"/>
                          <w:left w:val="nil"/>
                          <w:bottom w:val="nil"/>
                          <w:right w:val="nil"/>
                        </w:tcBorders>
                        <w:shd w:val="clear" w:color="auto" w:fill="auto"/>
                        <w:noWrap/>
                        <w:vAlign w:val="center"/>
                        <w:hideMark/>
                      </w:tcPr>
                      <w:p w:rsidR="00361FCE" w:rsidRPr="00AD7AE2" w:rsidRDefault="00361FCE" w:rsidP="00902050">
                        <w:pPr>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0.016</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902050">
                        <w:pPr>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Viudo</w:t>
                        </w:r>
                      </w:p>
                    </w:tc>
                    <w:tc>
                      <w:tcPr>
                        <w:tcW w:w="1200" w:type="dxa"/>
                        <w:tcBorders>
                          <w:top w:val="nil"/>
                          <w:left w:val="nil"/>
                          <w:bottom w:val="nil"/>
                          <w:right w:val="nil"/>
                        </w:tcBorders>
                        <w:shd w:val="clear" w:color="auto" w:fill="auto"/>
                        <w:noWrap/>
                        <w:vAlign w:val="center"/>
                        <w:hideMark/>
                      </w:tcPr>
                      <w:p w:rsidR="00361FCE" w:rsidRPr="00AD7AE2" w:rsidRDefault="00361FCE" w:rsidP="00902050">
                        <w:pPr>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0.036</w:t>
                        </w:r>
                      </w:p>
                    </w:tc>
                  </w:tr>
                  <w:tr w:rsidR="00361FCE" w:rsidRPr="00AD7AE2" w:rsidTr="00902050">
                    <w:trPr>
                      <w:trHeight w:val="240"/>
                      <w:jc w:val="center"/>
                    </w:trPr>
                    <w:tc>
                      <w:tcPr>
                        <w:tcW w:w="1200" w:type="dxa"/>
                        <w:tcBorders>
                          <w:top w:val="nil"/>
                          <w:left w:val="nil"/>
                          <w:bottom w:val="single" w:sz="4" w:space="0" w:color="auto"/>
                          <w:right w:val="nil"/>
                        </w:tcBorders>
                        <w:shd w:val="clear" w:color="auto" w:fill="auto"/>
                        <w:noWrap/>
                        <w:vAlign w:val="center"/>
                        <w:hideMark/>
                      </w:tcPr>
                      <w:p w:rsidR="00361FCE" w:rsidRPr="00AD7AE2" w:rsidRDefault="00361FCE" w:rsidP="00902050">
                        <w:pPr>
                          <w:rPr>
                            <w:rFonts w:ascii="Arial" w:eastAsia="Times New Roman" w:hAnsi="Arial" w:cs="Arial"/>
                            <w:b/>
                            <w:bCs/>
                            <w:i/>
                            <w:iCs/>
                            <w:color w:val="000000"/>
                            <w:sz w:val="16"/>
                            <w:szCs w:val="16"/>
                            <w:lang w:eastAsia="es-EC"/>
                          </w:rPr>
                        </w:pPr>
                        <w:r w:rsidRPr="00AD7AE2">
                          <w:rPr>
                            <w:rFonts w:ascii="Arial" w:eastAsia="Times New Roman" w:hAnsi="Arial" w:cs="Arial"/>
                            <w:b/>
                            <w:bCs/>
                            <w:i/>
                            <w:iCs/>
                            <w:color w:val="000000"/>
                            <w:sz w:val="16"/>
                            <w:szCs w:val="16"/>
                            <w:lang w:eastAsia="es-EC"/>
                          </w:rPr>
                          <w:t>Total</w:t>
                        </w:r>
                      </w:p>
                    </w:tc>
                    <w:tc>
                      <w:tcPr>
                        <w:tcW w:w="1200" w:type="dxa"/>
                        <w:tcBorders>
                          <w:top w:val="nil"/>
                          <w:left w:val="nil"/>
                          <w:bottom w:val="single" w:sz="4" w:space="0" w:color="auto"/>
                          <w:right w:val="nil"/>
                        </w:tcBorders>
                        <w:shd w:val="clear" w:color="auto" w:fill="auto"/>
                        <w:noWrap/>
                        <w:vAlign w:val="center"/>
                        <w:hideMark/>
                      </w:tcPr>
                      <w:p w:rsidR="00361FCE" w:rsidRPr="00AD7AE2" w:rsidRDefault="00361FCE" w:rsidP="00902050">
                        <w:pPr>
                          <w:rPr>
                            <w:rFonts w:ascii="Arial" w:eastAsia="Times New Roman" w:hAnsi="Arial" w:cs="Arial"/>
                            <w:b/>
                            <w:bCs/>
                            <w:i/>
                            <w:iCs/>
                            <w:color w:val="000000"/>
                            <w:sz w:val="16"/>
                            <w:szCs w:val="16"/>
                            <w:lang w:eastAsia="es-EC"/>
                          </w:rPr>
                        </w:pPr>
                        <w:r w:rsidRPr="00AD7AE2">
                          <w:rPr>
                            <w:rFonts w:ascii="Arial" w:eastAsia="Times New Roman" w:hAnsi="Arial" w:cs="Arial"/>
                            <w:b/>
                            <w:bCs/>
                            <w:i/>
                            <w:iCs/>
                            <w:color w:val="000000"/>
                            <w:sz w:val="16"/>
                            <w:szCs w:val="16"/>
                            <w:lang w:eastAsia="es-EC"/>
                          </w:rPr>
                          <w:t>1.000</w:t>
                        </w:r>
                      </w:p>
                    </w:tc>
                  </w:tr>
                </w:tbl>
                <w:p w:rsidR="00361FCE" w:rsidRDefault="00361FCE" w:rsidP="00902050">
                  <w:pPr>
                    <w:rPr>
                      <w:rFonts w:ascii="Arial" w:hAnsi="Arial" w:cs="Arial"/>
                      <w:sz w:val="24"/>
                      <w:szCs w:val="24"/>
                    </w:rPr>
                  </w:pPr>
                </w:p>
              </w:tc>
              <w:tc>
                <w:tcPr>
                  <w:tcW w:w="4305" w:type="dxa"/>
                </w:tcPr>
                <w:p w:rsidR="00361FCE" w:rsidRPr="00A22FF9" w:rsidRDefault="00361FCE" w:rsidP="00902050">
                  <w:pPr>
                    <w:rPr>
                      <w:rFonts w:ascii="Arial" w:hAnsi="Arial" w:cs="Arial"/>
                      <w:b/>
                      <w:sz w:val="16"/>
                      <w:szCs w:val="16"/>
                    </w:rPr>
                  </w:pPr>
                </w:p>
                <w:p w:rsidR="00361FCE" w:rsidRDefault="00361FCE" w:rsidP="00902050">
                  <w:pPr>
                    <w:rPr>
                      <w:rFonts w:ascii="Arial" w:hAnsi="Arial" w:cs="Arial"/>
                      <w:b/>
                      <w:sz w:val="16"/>
                      <w:szCs w:val="16"/>
                    </w:rPr>
                  </w:pPr>
                  <w:r w:rsidRPr="00A22FF9">
                    <w:rPr>
                      <w:rFonts w:ascii="Arial" w:hAnsi="Arial" w:cs="Arial"/>
                      <w:b/>
                      <w:sz w:val="16"/>
                      <w:szCs w:val="16"/>
                    </w:rPr>
                    <w:t>Histograma de Frecuencias</w:t>
                  </w:r>
                </w:p>
                <w:p w:rsidR="00361FCE" w:rsidRPr="00A22FF9" w:rsidRDefault="00361FCE" w:rsidP="00902050">
                  <w:pPr>
                    <w:rPr>
                      <w:rFonts w:ascii="Arial" w:hAnsi="Arial" w:cs="Arial"/>
                      <w:b/>
                      <w:sz w:val="16"/>
                      <w:szCs w:val="16"/>
                    </w:rPr>
                  </w:pPr>
                  <w:r>
                    <w:rPr>
                      <w:noProof/>
                      <w:lang w:eastAsia="es-EC"/>
                    </w:rPr>
                    <w:drawing>
                      <wp:inline distT="0" distB="0" distL="0" distR="0">
                        <wp:extent cx="2743200" cy="1724025"/>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bl>
          <w:p w:rsidR="00361FCE" w:rsidRPr="00840530" w:rsidRDefault="00361FCE" w:rsidP="00902050">
            <w:pPr>
              <w:rPr>
                <w:rFonts w:ascii="Arial" w:hAnsi="Arial" w:cs="Arial"/>
                <w:sz w:val="24"/>
                <w:szCs w:val="24"/>
              </w:rPr>
            </w:pPr>
          </w:p>
        </w:tc>
      </w:tr>
    </w:tbl>
    <w:p w:rsidR="00361FCE" w:rsidRPr="00F82E61" w:rsidRDefault="00361FCE" w:rsidP="00F82E61">
      <w:pPr>
        <w:pStyle w:val="Prrafodelista"/>
        <w:spacing w:line="276" w:lineRule="auto"/>
        <w:ind w:left="851"/>
        <w:jc w:val="both"/>
        <w:rPr>
          <w:rFonts w:ascii="Arial" w:hAnsi="Arial" w:cs="Arial"/>
          <w:sz w:val="17"/>
          <w:szCs w:val="17"/>
        </w:rPr>
      </w:pPr>
    </w:p>
    <w:p w:rsidR="00361FCE" w:rsidRPr="00F82E61" w:rsidRDefault="00361FCE" w:rsidP="00F82E61">
      <w:pPr>
        <w:pStyle w:val="Prrafodelista"/>
        <w:spacing w:line="276" w:lineRule="auto"/>
        <w:ind w:left="851"/>
        <w:jc w:val="both"/>
        <w:rPr>
          <w:rFonts w:ascii="Arial" w:hAnsi="Arial" w:cs="Arial"/>
          <w:sz w:val="17"/>
          <w:szCs w:val="17"/>
        </w:rPr>
      </w:pPr>
      <w:r w:rsidRPr="00F82E61">
        <w:rPr>
          <w:rFonts w:ascii="Arial" w:hAnsi="Arial" w:cs="Arial"/>
          <w:b/>
          <w:i/>
          <w:sz w:val="17"/>
          <w:szCs w:val="17"/>
        </w:rPr>
        <w:t>Fuente:</w:t>
      </w:r>
      <w:r w:rsidRPr="00F82E61">
        <w:rPr>
          <w:rFonts w:ascii="Arial" w:hAnsi="Arial" w:cs="Arial"/>
          <w:sz w:val="17"/>
          <w:szCs w:val="17"/>
        </w:rPr>
        <w:t xml:space="preserve"> </w:t>
      </w:r>
      <w:r w:rsidRPr="00F82E61">
        <w:rPr>
          <w:rFonts w:ascii="Arial" w:hAnsi="Arial" w:cs="Arial"/>
          <w:b/>
          <w:sz w:val="17"/>
          <w:szCs w:val="17"/>
        </w:rPr>
        <w:t xml:space="preserve">INEC </w:t>
      </w:r>
      <w:r w:rsidRPr="00F82E61">
        <w:rPr>
          <w:rFonts w:ascii="Arial" w:hAnsi="Arial" w:cs="Arial"/>
          <w:sz w:val="17"/>
          <w:szCs w:val="17"/>
        </w:rPr>
        <w:t>(2010), Base de Datos del VII Censo de Población y VI de Vivienda.</w:t>
      </w:r>
    </w:p>
    <w:p w:rsidR="00361FCE" w:rsidRPr="00F82E61" w:rsidRDefault="00361FCE" w:rsidP="00F82E61">
      <w:pPr>
        <w:pStyle w:val="Prrafodelista"/>
        <w:spacing w:line="276" w:lineRule="auto"/>
        <w:ind w:left="851"/>
        <w:jc w:val="both"/>
        <w:rPr>
          <w:rFonts w:ascii="Arial" w:hAnsi="Arial" w:cs="Arial"/>
          <w:sz w:val="17"/>
          <w:szCs w:val="17"/>
        </w:rPr>
      </w:pPr>
      <w:r w:rsidRPr="00F82E61">
        <w:rPr>
          <w:rFonts w:ascii="Arial" w:hAnsi="Arial" w:cs="Arial"/>
          <w:b/>
          <w:i/>
          <w:sz w:val="17"/>
          <w:szCs w:val="17"/>
        </w:rPr>
        <w:t>Elaborado por:</w:t>
      </w:r>
      <w:r w:rsidRPr="00F82E61">
        <w:rPr>
          <w:rFonts w:ascii="Arial" w:hAnsi="Arial" w:cs="Arial"/>
          <w:sz w:val="17"/>
          <w:szCs w:val="17"/>
        </w:rPr>
        <w:t xml:space="preserve"> Katherine Loor Valeriano</w:t>
      </w:r>
    </w:p>
    <w:p w:rsidR="00361FCE" w:rsidRDefault="00361FCE" w:rsidP="00F82E61">
      <w:pPr>
        <w:pStyle w:val="Prrafodelista"/>
        <w:spacing w:line="480" w:lineRule="auto"/>
        <w:ind w:left="851"/>
        <w:jc w:val="both"/>
        <w:rPr>
          <w:rFonts w:ascii="Arial" w:hAnsi="Arial" w:cs="Arial"/>
        </w:rPr>
      </w:pPr>
    </w:p>
    <w:p w:rsidR="00361FCE" w:rsidRDefault="004E1BC5" w:rsidP="00F82E61">
      <w:pPr>
        <w:pStyle w:val="Prrafodelista"/>
        <w:spacing w:line="480" w:lineRule="auto"/>
        <w:ind w:left="851"/>
        <w:jc w:val="both"/>
        <w:rPr>
          <w:rFonts w:ascii="Arial" w:hAnsi="Arial" w:cs="Arial"/>
        </w:rPr>
      </w:pPr>
      <w:r>
        <w:rPr>
          <w:rFonts w:ascii="Arial" w:hAnsi="Arial" w:cs="Arial"/>
        </w:rPr>
        <w:t>E</w:t>
      </w:r>
      <w:r w:rsidR="00361FCE">
        <w:rPr>
          <w:rFonts w:ascii="Arial" w:hAnsi="Arial" w:cs="Arial"/>
        </w:rPr>
        <w:t xml:space="preserve">n la </w:t>
      </w:r>
      <w:r w:rsidR="00361FCE">
        <w:rPr>
          <w:rFonts w:ascii="Arial" w:hAnsi="Arial" w:cs="Arial"/>
          <w:i/>
        </w:rPr>
        <w:t>Figura 4.15</w:t>
      </w:r>
      <w:r w:rsidR="00361FCE">
        <w:rPr>
          <w:rFonts w:ascii="Arial" w:hAnsi="Arial" w:cs="Arial"/>
        </w:rPr>
        <w:t xml:space="preserve"> se presentan las tasas de solteros, de casados o unidos y de viudos, separados o divorciados por cada 1000 colombianos por género y grupos de edad; en donde para el caso de los hombres se tiene que a mayor edad es menor la tasa de solteros, la tasa de casados o unidos por su parte se incrementa hasta los 50 años de allí en adelante empieza a disminuir; y, la tasa de separado, divorciado o viudo se incrementa a </w:t>
      </w:r>
      <w:r w:rsidR="00361FCE">
        <w:rPr>
          <w:rFonts w:ascii="Arial" w:hAnsi="Arial" w:cs="Arial"/>
        </w:rPr>
        <w:lastRenderedPageBreak/>
        <w:t>medida que va aumentado la edad</w:t>
      </w:r>
      <w:r w:rsidR="00F91C02">
        <w:rPr>
          <w:rFonts w:ascii="Arial" w:hAnsi="Arial" w:cs="Arial"/>
        </w:rPr>
        <w:t>;</w:t>
      </w:r>
      <w:r w:rsidR="00361FCE">
        <w:rPr>
          <w:rFonts w:ascii="Arial" w:hAnsi="Arial" w:cs="Arial"/>
        </w:rPr>
        <w:t xml:space="preserve"> </w:t>
      </w:r>
      <w:r w:rsidR="00F91C02">
        <w:rPr>
          <w:rFonts w:ascii="Arial" w:hAnsi="Arial" w:cs="Arial"/>
        </w:rPr>
        <w:t>m</w:t>
      </w:r>
      <w:r w:rsidR="00361FCE">
        <w:rPr>
          <w:rFonts w:ascii="Arial" w:hAnsi="Arial" w:cs="Arial"/>
        </w:rPr>
        <w:t>ientras que, en las mujeres se tiene algo similar al caso de los hombres pues la tasa de solteros disminuye en las edades mayores, la tasa de casado o unido se incrementa hasta los 40 años y de aquí en adelante empieza a disminuir; y, la tasa de separados, divorciados o viudos se incrementa hasta los 95 años en donde disminuye levemente. Se observa además, que para la mayoría de los grupos de edad es mayor la tasa de solteros en hombres que en mujeres, la tasa de casados o unidos presenta un comportamiento similar, aunque en los primeros seis grupos etarios es mayor el valor que toma esta tasa en las mujeres; y, la tasa de separado, divorciado o viudo para todos los grupos de edad en mujeres que en hombres.</w:t>
      </w:r>
    </w:p>
    <w:p w:rsidR="00361FCE" w:rsidRDefault="00361FCE" w:rsidP="00F82E61">
      <w:pPr>
        <w:pStyle w:val="Prrafodelista"/>
        <w:spacing w:line="480" w:lineRule="auto"/>
        <w:ind w:left="851"/>
        <w:jc w:val="both"/>
        <w:rPr>
          <w:rFonts w:ascii="Arial" w:hAnsi="Arial" w:cs="Arial"/>
        </w:rPr>
      </w:pPr>
    </w:p>
    <w:p w:rsidR="00361FCE" w:rsidRPr="004501CF" w:rsidRDefault="00361FCE" w:rsidP="00F82E61">
      <w:pPr>
        <w:pStyle w:val="Prrafodelista"/>
        <w:spacing w:line="480" w:lineRule="auto"/>
        <w:ind w:left="851"/>
        <w:jc w:val="both"/>
        <w:rPr>
          <w:rFonts w:ascii="Arial" w:hAnsi="Arial" w:cs="Arial"/>
          <w:i/>
        </w:rPr>
      </w:pPr>
      <w:r>
        <w:rPr>
          <w:rFonts w:ascii="Arial" w:hAnsi="Arial" w:cs="Arial"/>
        </w:rPr>
        <w:t xml:space="preserve">Si ahora en lugar de analizar tendencias, consideramos el análisis para un determinado grupo </w:t>
      </w:r>
      <w:r w:rsidR="004E1BC5">
        <w:rPr>
          <w:rFonts w:ascii="Arial" w:hAnsi="Arial" w:cs="Arial"/>
        </w:rPr>
        <w:t>etario</w:t>
      </w:r>
      <w:r>
        <w:rPr>
          <w:rFonts w:ascii="Arial" w:hAnsi="Arial" w:cs="Arial"/>
        </w:rPr>
        <w:t xml:space="preserve"> y género; podemos decir que los colombianos con edades comprendidas entre 25 y 30 años, de cada 1000 de ellos, 317.45 son solteros, 650.64 están casados o unidos y 31.91 son separados, divorciados o viudos; mientras que las mujeres de la misma nacionalidad y edad, por cada 1000 de ellas, 200.53 son casadas, 740.82 están casadas o unidas y 58.65 son separadas, divorciadas o viudas.</w:t>
      </w:r>
      <w:r w:rsidR="004E1BC5">
        <w:rPr>
          <w:rFonts w:ascii="Arial" w:hAnsi="Arial" w:cs="Arial"/>
        </w:rPr>
        <w:t xml:space="preserve"> </w:t>
      </w:r>
      <w:r>
        <w:rPr>
          <w:rFonts w:ascii="Arial" w:hAnsi="Arial" w:cs="Arial"/>
        </w:rPr>
        <w:t xml:space="preserve">Además, de los colombianos con edades entre 95 y 100 años, 176.47 por cada 1000 de ellos son solteros, 411.76 están casados o unidos y 411.76 por cada 1000 están separados, unidos  o divorciados. En lo que respecta a las mujeres de la misma nacionalidad y grupo de edad, tenemos que por cada 1000 de </w:t>
      </w:r>
      <w:r>
        <w:rPr>
          <w:rFonts w:ascii="Arial" w:hAnsi="Arial" w:cs="Arial"/>
        </w:rPr>
        <w:lastRenderedPageBreak/>
        <w:t xml:space="preserve">ellas, 55.56 son solteras, 222.22 son casados o unidas y 722.22 están separadas, divorciadas o son viudas. Para más detalles </w:t>
      </w:r>
      <w:r>
        <w:rPr>
          <w:rFonts w:ascii="Arial" w:hAnsi="Arial" w:cs="Arial"/>
          <w:i/>
        </w:rPr>
        <w:t>véase Figura 4.15.</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033EE3">
        <w:trPr>
          <w:trHeight w:val="7182"/>
          <w:jc w:val="right"/>
        </w:trPr>
        <w:tc>
          <w:tcPr>
            <w:tcW w:w="7497" w:type="dxa"/>
          </w:tcPr>
          <w:p w:rsidR="00361FCE" w:rsidRPr="00840530" w:rsidRDefault="00361FCE" w:rsidP="00902050">
            <w:pPr>
              <w:rPr>
                <w:rFonts w:ascii="Arial" w:hAnsi="Arial" w:cs="Arial"/>
                <w:sz w:val="16"/>
                <w:szCs w:val="16"/>
              </w:rPr>
            </w:pPr>
          </w:p>
          <w:p w:rsidR="008D34C1" w:rsidRPr="008D34C1" w:rsidRDefault="008D34C1" w:rsidP="008D34C1">
            <w:pPr>
              <w:pStyle w:val="Epgrafe"/>
              <w:rPr>
                <w:rFonts w:ascii="Arial" w:hAnsi="Arial" w:cs="Arial"/>
                <w:bCs w:val="0"/>
                <w:color w:val="auto"/>
                <w:sz w:val="16"/>
                <w:szCs w:val="16"/>
              </w:rPr>
            </w:pPr>
            <w:bookmarkStart w:id="534" w:name="_Toc341043987"/>
            <w:r>
              <w:rPr>
                <w:rFonts w:ascii="Arial" w:hAnsi="Arial" w:cs="Arial"/>
                <w:bCs w:val="0"/>
                <w:color w:val="auto"/>
                <w:sz w:val="16"/>
                <w:szCs w:val="16"/>
              </w:rPr>
              <w:t>Figura 4.</w:t>
            </w:r>
            <w:r w:rsidR="00990535" w:rsidRPr="008D34C1">
              <w:rPr>
                <w:rFonts w:ascii="Arial" w:hAnsi="Arial" w:cs="Arial"/>
                <w:bCs w:val="0"/>
                <w:color w:val="auto"/>
                <w:sz w:val="16"/>
                <w:szCs w:val="16"/>
              </w:rPr>
              <w:fldChar w:fldCharType="begin"/>
            </w:r>
            <w:r w:rsidRPr="008D34C1">
              <w:rPr>
                <w:rFonts w:ascii="Arial" w:hAnsi="Arial" w:cs="Arial"/>
                <w:bCs w:val="0"/>
                <w:color w:val="auto"/>
                <w:sz w:val="16"/>
                <w:szCs w:val="16"/>
              </w:rPr>
              <w:instrText xml:space="preserve"> SEQ Figura_4. \* ARABIC </w:instrText>
            </w:r>
            <w:r w:rsidR="00990535" w:rsidRPr="008D34C1">
              <w:rPr>
                <w:rFonts w:ascii="Arial" w:hAnsi="Arial" w:cs="Arial"/>
                <w:bCs w:val="0"/>
                <w:color w:val="auto"/>
                <w:sz w:val="16"/>
                <w:szCs w:val="16"/>
              </w:rPr>
              <w:fldChar w:fldCharType="separate"/>
            </w:r>
            <w:r w:rsidR="00A242E0">
              <w:rPr>
                <w:rFonts w:ascii="Arial" w:hAnsi="Arial" w:cs="Arial"/>
                <w:bCs w:val="0"/>
                <w:noProof/>
                <w:color w:val="auto"/>
                <w:sz w:val="16"/>
                <w:szCs w:val="16"/>
              </w:rPr>
              <w:t>15</w:t>
            </w:r>
            <w:bookmarkEnd w:id="534"/>
            <w:r w:rsidR="00990535" w:rsidRPr="008D34C1">
              <w:rPr>
                <w:rFonts w:ascii="Arial" w:hAnsi="Arial" w:cs="Arial"/>
                <w:bCs w:val="0"/>
                <w:color w:val="auto"/>
                <w:sz w:val="16"/>
                <w:szCs w:val="16"/>
              </w:rPr>
              <w:fldChar w:fldCharType="end"/>
            </w:r>
          </w:p>
          <w:p w:rsidR="00361FCE" w:rsidRDefault="00033EE3"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Tasa de estado civil por cada 1000 </w:t>
            </w:r>
            <w:r w:rsidR="00361FCE" w:rsidRPr="00033EE3">
              <w:rPr>
                <w:rFonts w:ascii="Arial" w:hAnsi="Arial" w:cs="Arial"/>
                <w:b/>
                <w:i/>
                <w:sz w:val="16"/>
                <w:szCs w:val="16"/>
              </w:rPr>
              <w:t>colombianos</w:t>
            </w:r>
            <w:r w:rsidR="00361FCE">
              <w:rPr>
                <w:rFonts w:ascii="Arial" w:hAnsi="Arial" w:cs="Arial"/>
                <w:i/>
                <w:sz w:val="16"/>
                <w:szCs w:val="16"/>
              </w:rPr>
              <w:t xml:space="preserve"> por Género y Grupo </w:t>
            </w:r>
            <w:r>
              <w:rPr>
                <w:rFonts w:ascii="Arial" w:hAnsi="Arial" w:cs="Arial"/>
                <w:i/>
                <w:sz w:val="16"/>
                <w:szCs w:val="16"/>
              </w:rPr>
              <w:t>etario</w:t>
            </w:r>
          </w:p>
          <w:p w:rsidR="00361FCE" w:rsidRDefault="00436907" w:rsidP="00902050">
            <w:pPr>
              <w:rPr>
                <w:rFonts w:ascii="Arial" w:hAnsi="Arial" w:cs="Arial"/>
                <w:i/>
                <w:sz w:val="16"/>
                <w:szCs w:val="16"/>
              </w:rPr>
            </w:pPr>
            <w:r>
              <w:rPr>
                <w:rFonts w:ascii="Arial" w:hAnsi="Arial" w:cs="Arial"/>
                <w:noProof/>
                <w:sz w:val="16"/>
                <w:szCs w:val="16"/>
                <w:lang w:eastAsia="es-EC"/>
              </w:rPr>
              <w:pict>
                <v:shape id="_x0000_s2172" type="#_x0000_t32" style="position:absolute;left:0;text-align:left;margin-left:140.55pt;margin-top:37.15pt;width:6pt;height:15pt;flip:x y;z-index:251938304" o:connectortype="straight" strokecolor="#e36c0a [2409]">
                  <v:stroke endarrow="block"/>
                </v:shape>
              </w:pict>
            </w:r>
            <w:r>
              <w:rPr>
                <w:rFonts w:ascii="Arial" w:hAnsi="Arial" w:cs="Arial"/>
                <w:noProof/>
                <w:sz w:val="16"/>
                <w:szCs w:val="16"/>
                <w:lang w:eastAsia="es-EC"/>
              </w:rPr>
              <w:pict>
                <v:shape id="_x0000_s1491" type="#_x0000_t202" style="position:absolute;left:0;text-align:left;margin-left:80.8pt;margin-top:49.2pt;width:133.5pt;height:15.35pt;z-index:25150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Pr>
                            <w:rFonts w:ascii="Arial" w:hAnsi="Arial" w:cs="Arial"/>
                            <w:color w:val="E36C0A" w:themeColor="accent6" w:themeShade="BF"/>
                            <w:sz w:val="15"/>
                            <w:szCs w:val="15"/>
                          </w:rPr>
                          <w:t>Casado o Unido</w:t>
                        </w:r>
                      </w:p>
                    </w:txbxContent>
                  </v:textbox>
                </v:shape>
              </w:pict>
            </w:r>
            <w:r>
              <w:rPr>
                <w:rFonts w:ascii="Arial" w:hAnsi="Arial" w:cs="Arial"/>
                <w:noProof/>
                <w:sz w:val="16"/>
                <w:szCs w:val="16"/>
                <w:lang w:eastAsia="es-EC"/>
              </w:rPr>
              <w:pict>
                <v:shape id="_x0000_s1490" type="#_x0000_t202" style="position:absolute;left:0;text-align:left;margin-left:81.55pt;margin-top:79.55pt;width:133.5pt;height:15.35pt;z-index:25150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Pr>
                            <w:rFonts w:ascii="Arial" w:hAnsi="Arial" w:cs="Arial"/>
                            <w:color w:val="0070C0"/>
                            <w:sz w:val="15"/>
                            <w:szCs w:val="15"/>
                          </w:rPr>
                          <w:t>Soltero</w:t>
                        </w:r>
                      </w:p>
                    </w:txbxContent>
                  </v:textbox>
                </v:shape>
              </w:pict>
            </w:r>
            <w:r>
              <w:rPr>
                <w:rFonts w:ascii="Arial" w:hAnsi="Arial" w:cs="Arial"/>
                <w:noProof/>
                <w:sz w:val="16"/>
                <w:szCs w:val="16"/>
                <w:lang w:eastAsia="es-EC"/>
              </w:rPr>
              <w:pict>
                <v:shape id="_x0000_s2170" type="#_x0000_t32" style="position:absolute;left:0;text-align:left;margin-left:140.55pt;margin-top:90.4pt;width:6pt;height:13.85pt;flip:x;z-index:251936256" o:connectortype="straight" strokecolor="#0070c0">
                  <v:stroke endarrow="block"/>
                </v:shape>
              </w:pict>
            </w:r>
            <w:r>
              <w:rPr>
                <w:rFonts w:ascii="Arial" w:hAnsi="Arial" w:cs="Arial"/>
                <w:noProof/>
                <w:sz w:val="16"/>
                <w:szCs w:val="16"/>
                <w:lang w:eastAsia="es-EC"/>
              </w:rPr>
              <w:pict>
                <v:shape id="_x0000_s2167" type="#_x0000_t32" style="position:absolute;left:0;text-align:left;margin-left:243.3pt;margin-top:81pt;width:12.75pt;height:17.65pt;z-index:251934208" o:connectortype="straight" strokecolor="#d60093">
                  <v:stroke endarrow="block"/>
                </v:shape>
              </w:pict>
            </w:r>
            <w:r>
              <w:rPr>
                <w:rFonts w:ascii="Arial" w:hAnsi="Arial" w:cs="Arial"/>
                <w:noProof/>
                <w:sz w:val="16"/>
                <w:szCs w:val="16"/>
                <w:lang w:eastAsia="es-EC"/>
              </w:rPr>
              <w:pict>
                <v:shape id="_x0000_s1492" type="#_x0000_t202" style="position:absolute;left:0;text-align:left;margin-left:196.3pt;margin-top:60.05pt;width:80.25pt;height:28.1pt;z-index:25150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Pr>
                            <w:rFonts w:ascii="Arial" w:hAnsi="Arial" w:cs="Arial"/>
                            <w:color w:val="CC0099"/>
                            <w:sz w:val="15"/>
                            <w:szCs w:val="15"/>
                          </w:rPr>
                          <w:t>Separado, Divorciado o Viudo</w:t>
                        </w:r>
                      </w:p>
                    </w:txbxContent>
                  </v:textbox>
                </v:shape>
              </w:pict>
            </w:r>
            <w:r>
              <w:rPr>
                <w:noProof/>
              </w:rPr>
              <w:pict>
                <v:shape id="_x0000_s1488" type="#_x0000_t202" style="position:absolute;left:0;text-align:left;margin-left:217.3pt;margin-top:12.75pt;width:133.5pt;height:15.35pt;z-index:25150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drawing>
                <wp:inline distT="0" distB="0" distL="0" distR="0">
                  <wp:extent cx="4211955" cy="211455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494" type="#_x0000_t202" style="position:absolute;left:0;text-align:left;margin-left:69.55pt;margin-top:49.55pt;width:133.5pt;height:15.35pt;z-index:25151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Pr>
                            <w:rFonts w:ascii="Arial" w:hAnsi="Arial" w:cs="Arial"/>
                            <w:color w:val="E36C0A" w:themeColor="accent6" w:themeShade="BF"/>
                            <w:sz w:val="15"/>
                            <w:szCs w:val="15"/>
                          </w:rPr>
                          <w:t>Casado o Unido</w:t>
                        </w:r>
                      </w:p>
                    </w:txbxContent>
                  </v:textbox>
                </v:shape>
              </w:pict>
            </w:r>
            <w:r>
              <w:rPr>
                <w:rFonts w:ascii="Arial" w:hAnsi="Arial" w:cs="Arial"/>
                <w:noProof/>
                <w:sz w:val="16"/>
                <w:szCs w:val="16"/>
                <w:lang w:eastAsia="es-EC"/>
              </w:rPr>
              <w:pict>
                <v:shape id="_x0000_s2173" type="#_x0000_t32" style="position:absolute;left:0;text-align:left;margin-left:126.3pt;margin-top:38.05pt;width:7.5pt;height:14.1pt;flip:x y;z-index:251939328" o:connectortype="straight" strokecolor="#e36c0a [2409]">
                  <v:stroke endarrow="block"/>
                </v:shape>
              </w:pict>
            </w:r>
            <w:r>
              <w:rPr>
                <w:rFonts w:ascii="Arial" w:hAnsi="Arial" w:cs="Arial"/>
                <w:noProof/>
                <w:sz w:val="16"/>
                <w:szCs w:val="16"/>
                <w:lang w:eastAsia="es-EC"/>
              </w:rPr>
              <w:pict>
                <v:shape id="_x0000_s1493" type="#_x0000_t202" style="position:absolute;left:0;text-align:left;margin-left:54.55pt;margin-top:77.9pt;width:133.5pt;height:15.35pt;z-index:25151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Pr>
                            <w:rFonts w:ascii="Arial" w:hAnsi="Arial" w:cs="Arial"/>
                            <w:color w:val="0070C0"/>
                            <w:sz w:val="15"/>
                            <w:szCs w:val="15"/>
                          </w:rPr>
                          <w:t>Soltero</w:t>
                        </w:r>
                      </w:p>
                    </w:txbxContent>
                  </v:textbox>
                </v:shape>
              </w:pict>
            </w:r>
            <w:r>
              <w:rPr>
                <w:rFonts w:ascii="Arial" w:hAnsi="Arial" w:cs="Arial"/>
                <w:noProof/>
                <w:sz w:val="16"/>
                <w:szCs w:val="16"/>
                <w:lang w:eastAsia="es-EC"/>
              </w:rPr>
              <w:pict>
                <v:shape id="_x0000_s2171" type="#_x0000_t32" style="position:absolute;left:0;text-align:left;margin-left:116.55pt;margin-top:88.75pt;width:6pt;height:15.35pt;flip:x;z-index:251937280" o:connectortype="straight" strokecolor="#0070c0">
                  <v:stroke endarrow="block"/>
                </v:shape>
              </w:pict>
            </w:r>
            <w:r>
              <w:rPr>
                <w:rFonts w:ascii="Arial" w:hAnsi="Arial" w:cs="Arial"/>
                <w:noProof/>
                <w:sz w:val="16"/>
                <w:szCs w:val="16"/>
                <w:lang w:eastAsia="es-EC"/>
              </w:rPr>
              <w:pict>
                <v:shape id="_x0000_s1495" type="#_x0000_t202" style="position:absolute;left:0;text-align:left;margin-left:266.8pt;margin-top:58.9pt;width:80.25pt;height:28.1pt;z-index:25151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Pr>
                            <w:rFonts w:ascii="Arial" w:hAnsi="Arial" w:cs="Arial"/>
                            <w:color w:val="CC0099"/>
                            <w:sz w:val="15"/>
                            <w:szCs w:val="15"/>
                          </w:rPr>
                          <w:t>Separado, Divorciado o Viudo</w:t>
                        </w:r>
                      </w:p>
                    </w:txbxContent>
                  </v:textbox>
                </v:shape>
              </w:pict>
            </w:r>
            <w:r>
              <w:rPr>
                <w:rFonts w:ascii="Arial" w:hAnsi="Arial" w:cs="Arial"/>
                <w:noProof/>
                <w:sz w:val="16"/>
                <w:szCs w:val="16"/>
                <w:lang w:eastAsia="es-EC"/>
              </w:rPr>
              <w:pict>
                <v:shape id="_x0000_s2168" type="#_x0000_t32" style="position:absolute;left:0;text-align:left;margin-left:286.8pt;margin-top:46.3pt;width:9pt;height:16.35pt;flip:x y;z-index:251935232" o:connectortype="straight" strokecolor="#d60093">
                  <v:stroke endarrow="block"/>
                </v:shape>
              </w:pict>
            </w:r>
            <w:r>
              <w:rPr>
                <w:rFonts w:ascii="Arial" w:hAnsi="Arial" w:cs="Arial"/>
                <w:noProof/>
                <w:sz w:val="16"/>
                <w:szCs w:val="16"/>
                <w:lang w:eastAsia="es-EC"/>
              </w:rPr>
              <w:pict>
                <v:shape id="_x0000_s1489" type="#_x0000_t202" style="position:absolute;left:0;text-align:left;margin-left:216.55pt;margin-top:12.55pt;width:133.5pt;height:15.35pt;z-index:25150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drawing>
                <wp:inline distT="0" distB="0" distL="0" distR="0">
                  <wp:extent cx="4211955" cy="2114550"/>
                  <wp:effectExtent l="0" t="0" r="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bl>
    <w:p w:rsidR="00361FCE" w:rsidRPr="004E1BC5" w:rsidRDefault="00361FCE" w:rsidP="004E1BC5">
      <w:pPr>
        <w:pStyle w:val="Prrafodelista"/>
        <w:spacing w:line="276" w:lineRule="auto"/>
        <w:ind w:left="851"/>
        <w:jc w:val="both"/>
        <w:rPr>
          <w:rFonts w:ascii="Arial" w:hAnsi="Arial" w:cs="Arial"/>
          <w:sz w:val="17"/>
          <w:szCs w:val="17"/>
        </w:rPr>
      </w:pPr>
    </w:p>
    <w:p w:rsidR="00361FCE" w:rsidRPr="004E1BC5" w:rsidRDefault="00361FCE" w:rsidP="004E1BC5">
      <w:pPr>
        <w:pStyle w:val="Prrafodelista"/>
        <w:spacing w:line="276" w:lineRule="auto"/>
        <w:ind w:left="851"/>
        <w:jc w:val="both"/>
        <w:rPr>
          <w:rFonts w:ascii="Arial" w:hAnsi="Arial" w:cs="Arial"/>
          <w:sz w:val="17"/>
          <w:szCs w:val="17"/>
        </w:rPr>
      </w:pPr>
      <w:r w:rsidRPr="004E1BC5">
        <w:rPr>
          <w:rFonts w:ascii="Arial" w:hAnsi="Arial" w:cs="Arial"/>
          <w:b/>
          <w:i/>
          <w:sz w:val="17"/>
          <w:szCs w:val="17"/>
        </w:rPr>
        <w:t>Fuente:</w:t>
      </w:r>
      <w:r w:rsidRPr="004E1BC5">
        <w:rPr>
          <w:rFonts w:ascii="Arial" w:hAnsi="Arial" w:cs="Arial"/>
          <w:sz w:val="17"/>
          <w:szCs w:val="17"/>
        </w:rPr>
        <w:t xml:space="preserve"> </w:t>
      </w:r>
      <w:r w:rsidRPr="004E1BC5">
        <w:rPr>
          <w:rFonts w:ascii="Arial" w:hAnsi="Arial" w:cs="Arial"/>
          <w:b/>
          <w:sz w:val="17"/>
          <w:szCs w:val="17"/>
        </w:rPr>
        <w:t xml:space="preserve">INEC </w:t>
      </w:r>
      <w:r w:rsidRPr="004E1BC5">
        <w:rPr>
          <w:rFonts w:ascii="Arial" w:hAnsi="Arial" w:cs="Arial"/>
          <w:sz w:val="17"/>
          <w:szCs w:val="17"/>
        </w:rPr>
        <w:t>(2010), Base de Datos del VII Censo de Población y VI de Vivienda.</w:t>
      </w:r>
    </w:p>
    <w:p w:rsidR="00361FCE" w:rsidRDefault="00361FCE" w:rsidP="004E1BC5">
      <w:pPr>
        <w:pStyle w:val="Prrafodelista"/>
        <w:spacing w:line="276" w:lineRule="auto"/>
        <w:ind w:left="851"/>
        <w:jc w:val="both"/>
        <w:rPr>
          <w:rFonts w:ascii="Arial" w:hAnsi="Arial" w:cs="Arial"/>
          <w:sz w:val="18"/>
          <w:szCs w:val="18"/>
        </w:rPr>
      </w:pPr>
      <w:r w:rsidRPr="004E1BC5">
        <w:rPr>
          <w:rFonts w:ascii="Arial" w:hAnsi="Arial" w:cs="Arial"/>
          <w:b/>
          <w:i/>
          <w:sz w:val="17"/>
          <w:szCs w:val="17"/>
        </w:rPr>
        <w:t>Elaborado por:</w:t>
      </w:r>
      <w:r w:rsidRPr="004E1BC5">
        <w:rPr>
          <w:rFonts w:ascii="Arial" w:hAnsi="Arial" w:cs="Arial"/>
          <w:sz w:val="17"/>
          <w:szCs w:val="17"/>
        </w:rPr>
        <w:t xml:space="preserve"> Katherine Loor Valeriano</w:t>
      </w:r>
    </w:p>
    <w:p w:rsidR="00361FCE" w:rsidRDefault="00361FCE" w:rsidP="00361FCE">
      <w:pPr>
        <w:spacing w:line="480" w:lineRule="auto"/>
        <w:jc w:val="both"/>
        <w:rPr>
          <w:rFonts w:ascii="Arial" w:hAnsi="Arial" w:cs="Arial"/>
        </w:rPr>
      </w:pPr>
      <w:r>
        <w:rPr>
          <w:rFonts w:ascii="Arial" w:hAnsi="Arial" w:cs="Arial"/>
        </w:rPr>
        <w:tab/>
      </w:r>
    </w:p>
    <w:p w:rsidR="00361FCE" w:rsidRDefault="00361FCE" w:rsidP="00033EE3">
      <w:pPr>
        <w:pStyle w:val="Estilo42"/>
        <w:ind w:left="1560" w:hanging="709"/>
      </w:pPr>
      <w:bookmarkStart w:id="535" w:name="_Toc337135522"/>
      <w:bookmarkStart w:id="536" w:name="_Toc341040672"/>
      <w:r>
        <w:t>Analfabetismo Digital</w:t>
      </w:r>
      <w:bookmarkEnd w:id="535"/>
      <w:r w:rsidR="00C75F38">
        <w:t xml:space="preserve"> de la población colombiana</w:t>
      </w:r>
      <w:bookmarkEnd w:id="536"/>
    </w:p>
    <w:p w:rsidR="00361FCE" w:rsidRPr="00594ED6" w:rsidRDefault="00033EE3" w:rsidP="00033EE3">
      <w:pPr>
        <w:spacing w:line="480" w:lineRule="auto"/>
        <w:ind w:left="851"/>
        <w:jc w:val="both"/>
        <w:rPr>
          <w:rFonts w:ascii="Arial" w:hAnsi="Arial" w:cs="Arial"/>
        </w:rPr>
      </w:pPr>
      <w:r>
        <w:rPr>
          <w:rFonts w:ascii="Arial" w:hAnsi="Arial" w:cs="Arial"/>
        </w:rPr>
        <w:t xml:space="preserve">Otro asunto </w:t>
      </w:r>
      <w:r w:rsidR="00361FCE">
        <w:rPr>
          <w:rFonts w:ascii="Arial" w:hAnsi="Arial" w:cs="Arial"/>
        </w:rPr>
        <w:t>importante de analizar, a mas de la provincia de residencia o características sociodemográficas de los colombianos residentes en el país, es la utilización de tecnología</w:t>
      </w:r>
      <w:r>
        <w:rPr>
          <w:rFonts w:ascii="Arial" w:hAnsi="Arial" w:cs="Arial"/>
        </w:rPr>
        <w:t>;</w:t>
      </w:r>
      <w:r w:rsidR="00361FCE">
        <w:rPr>
          <w:rFonts w:ascii="Arial" w:hAnsi="Arial" w:cs="Arial"/>
        </w:rPr>
        <w:t xml:space="preserve"> en este caso hay tres variables que se miden durante el Censo 2010 como son la utilización durante los últimos seis </w:t>
      </w:r>
      <w:r w:rsidR="00361FCE">
        <w:rPr>
          <w:rFonts w:ascii="Arial" w:hAnsi="Arial" w:cs="Arial"/>
        </w:rPr>
        <w:lastRenderedPageBreak/>
        <w:t xml:space="preserve">meses del teléfono celular, Internet y la computadora. Que en la </w:t>
      </w:r>
      <w:r w:rsidR="00361FCE">
        <w:rPr>
          <w:rFonts w:ascii="Arial" w:hAnsi="Arial" w:cs="Arial"/>
          <w:i/>
        </w:rPr>
        <w:t>Figura 4.16</w:t>
      </w:r>
      <w:r w:rsidR="00361FCE">
        <w:rPr>
          <w:rFonts w:ascii="Arial" w:hAnsi="Arial" w:cs="Arial"/>
        </w:rPr>
        <w:t xml:space="preserve">, se presenta que el 67.96% de los colombianos ha utilizado el teléfono celular en los últimos seis meses, mientras que el 29.82% no lo ha usado y el 2.22% no respondieron a esta pregunta. En lo que respecta a la utilización de Internet, tenemos que el 33.38% lo ha utilizado, el 59.06% no lo ha hecho y el 7.57% no respondió; y, en lo relacionado con la utilización de una computadora, se tiene que el 36.18% la ha usado, el 56.31% no la utilizado y el 7.51% no emitieron respuesta respecto a esta pregunta.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033EE3">
        <w:trPr>
          <w:trHeight w:val="4025"/>
          <w:jc w:val="right"/>
        </w:trPr>
        <w:tc>
          <w:tcPr>
            <w:tcW w:w="7497" w:type="dxa"/>
          </w:tcPr>
          <w:p w:rsidR="00361FCE" w:rsidRDefault="00361FCE" w:rsidP="00902050">
            <w:pPr>
              <w:rPr>
                <w:rFonts w:ascii="Arial" w:hAnsi="Arial" w:cs="Arial"/>
                <w:b/>
                <w:sz w:val="16"/>
                <w:szCs w:val="16"/>
              </w:rPr>
            </w:pPr>
          </w:p>
          <w:p w:rsidR="008D34C1" w:rsidRPr="008D34C1" w:rsidRDefault="008D34C1" w:rsidP="008D34C1">
            <w:pPr>
              <w:pStyle w:val="Epgrafe"/>
              <w:rPr>
                <w:rFonts w:ascii="Arial" w:hAnsi="Arial" w:cs="Arial"/>
                <w:bCs w:val="0"/>
                <w:color w:val="auto"/>
                <w:sz w:val="16"/>
                <w:szCs w:val="16"/>
              </w:rPr>
            </w:pPr>
            <w:bookmarkStart w:id="537" w:name="_Toc341043988"/>
            <w:r>
              <w:rPr>
                <w:rFonts w:ascii="Arial" w:hAnsi="Arial" w:cs="Arial"/>
                <w:bCs w:val="0"/>
                <w:color w:val="auto"/>
                <w:sz w:val="16"/>
                <w:szCs w:val="16"/>
              </w:rPr>
              <w:t>Figura 4.</w:t>
            </w:r>
            <w:r w:rsidR="00990535" w:rsidRPr="008D34C1">
              <w:rPr>
                <w:rFonts w:ascii="Arial" w:hAnsi="Arial" w:cs="Arial"/>
                <w:bCs w:val="0"/>
                <w:color w:val="auto"/>
                <w:sz w:val="16"/>
                <w:szCs w:val="16"/>
              </w:rPr>
              <w:fldChar w:fldCharType="begin"/>
            </w:r>
            <w:r w:rsidRPr="008D34C1">
              <w:rPr>
                <w:rFonts w:ascii="Arial" w:hAnsi="Arial" w:cs="Arial"/>
                <w:bCs w:val="0"/>
                <w:color w:val="auto"/>
                <w:sz w:val="16"/>
                <w:szCs w:val="16"/>
              </w:rPr>
              <w:instrText xml:space="preserve"> SEQ Figura_4. \* ARABIC </w:instrText>
            </w:r>
            <w:r w:rsidR="00990535" w:rsidRPr="008D34C1">
              <w:rPr>
                <w:rFonts w:ascii="Arial" w:hAnsi="Arial" w:cs="Arial"/>
                <w:bCs w:val="0"/>
                <w:color w:val="auto"/>
                <w:sz w:val="16"/>
                <w:szCs w:val="16"/>
              </w:rPr>
              <w:fldChar w:fldCharType="separate"/>
            </w:r>
            <w:r w:rsidR="00A242E0">
              <w:rPr>
                <w:rFonts w:ascii="Arial" w:hAnsi="Arial" w:cs="Arial"/>
                <w:bCs w:val="0"/>
                <w:noProof/>
                <w:color w:val="auto"/>
                <w:sz w:val="16"/>
                <w:szCs w:val="16"/>
              </w:rPr>
              <w:t>16</w:t>
            </w:r>
            <w:bookmarkEnd w:id="537"/>
            <w:r w:rsidR="00990535" w:rsidRPr="008D34C1">
              <w:rPr>
                <w:rFonts w:ascii="Arial" w:hAnsi="Arial" w:cs="Arial"/>
                <w:bCs w:val="0"/>
                <w:color w:val="auto"/>
                <w:sz w:val="16"/>
                <w:szCs w:val="16"/>
              </w:rPr>
              <w:fldChar w:fldCharType="end"/>
            </w:r>
          </w:p>
          <w:p w:rsidR="00361FCE" w:rsidRDefault="00033EE3"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Frecuencia Relativa de los </w:t>
            </w:r>
            <w:r w:rsidR="00361FCE" w:rsidRPr="00033EE3">
              <w:rPr>
                <w:rFonts w:ascii="Arial" w:hAnsi="Arial" w:cs="Arial"/>
                <w:b/>
                <w:i/>
                <w:sz w:val="16"/>
                <w:szCs w:val="16"/>
              </w:rPr>
              <w:t>colombianos</w:t>
            </w:r>
            <w:r w:rsidR="00361FCE">
              <w:rPr>
                <w:rFonts w:ascii="Arial" w:hAnsi="Arial" w:cs="Arial"/>
                <w:i/>
                <w:sz w:val="16"/>
                <w:szCs w:val="16"/>
              </w:rPr>
              <w:t xml:space="preserve"> que han utilizado Teléfono Celular, </w:t>
            </w:r>
          </w:p>
          <w:p w:rsidR="00361FCE" w:rsidRDefault="00361FCE" w:rsidP="00902050">
            <w:pPr>
              <w:rPr>
                <w:rFonts w:ascii="Arial" w:hAnsi="Arial" w:cs="Arial"/>
                <w:i/>
                <w:sz w:val="16"/>
                <w:szCs w:val="16"/>
              </w:rPr>
            </w:pPr>
            <w:r>
              <w:rPr>
                <w:rFonts w:ascii="Arial" w:hAnsi="Arial" w:cs="Arial"/>
                <w:i/>
                <w:sz w:val="16"/>
                <w:szCs w:val="16"/>
              </w:rPr>
              <w:t>Internet o Computadora en los últimos seis meses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441"/>
              <w:gridCol w:w="2441"/>
              <w:gridCol w:w="2441"/>
            </w:tblGrid>
            <w:tr w:rsidR="00361FCE" w:rsidTr="00033EE3">
              <w:trPr>
                <w:jc w:val="center"/>
              </w:trPr>
              <w:tc>
                <w:tcPr>
                  <w:tcW w:w="2441" w:type="dxa"/>
                </w:tcPr>
                <w:p w:rsidR="00361FCE" w:rsidRDefault="00361FCE" w:rsidP="00902050">
                  <w:pPr>
                    <w:rPr>
                      <w:rFonts w:ascii="Arial" w:hAnsi="Arial" w:cs="Arial"/>
                      <w:i/>
                      <w:sz w:val="16"/>
                      <w:szCs w:val="16"/>
                    </w:rPr>
                  </w:pPr>
                </w:p>
                <w:p w:rsidR="00361FCE" w:rsidRDefault="00361FCE" w:rsidP="00902050">
                  <w:pPr>
                    <w:rPr>
                      <w:rFonts w:ascii="Arial" w:hAnsi="Arial" w:cs="Arial"/>
                      <w:i/>
                      <w:sz w:val="16"/>
                      <w:szCs w:val="16"/>
                    </w:rPr>
                  </w:pPr>
                  <w:r>
                    <w:rPr>
                      <w:rFonts w:ascii="Arial" w:hAnsi="Arial" w:cs="Arial"/>
                      <w:i/>
                      <w:sz w:val="16"/>
                      <w:szCs w:val="16"/>
                    </w:rPr>
                    <w:t>“</w:t>
                  </w:r>
                  <w:r>
                    <w:rPr>
                      <w:rFonts w:ascii="Arial" w:hAnsi="Arial" w:cs="Arial"/>
                      <w:b/>
                      <w:i/>
                      <w:sz w:val="16"/>
                      <w:szCs w:val="16"/>
                    </w:rPr>
                    <w:t>Teléfono Celular</w:t>
                  </w:r>
                  <w:r>
                    <w:rPr>
                      <w:rFonts w:ascii="Arial" w:hAnsi="Arial" w:cs="Arial"/>
                      <w:i/>
                      <w:sz w:val="16"/>
                      <w:szCs w:val="16"/>
                    </w:rPr>
                    <w:t>”</w:t>
                  </w:r>
                </w:p>
                <w:p w:rsidR="00361FCE" w:rsidRDefault="00361FCE" w:rsidP="00902050">
                  <w:pPr>
                    <w:rPr>
                      <w:rFonts w:ascii="Arial" w:hAnsi="Arial" w:cs="Arial"/>
                      <w:i/>
                      <w:sz w:val="16"/>
                      <w:szCs w:val="16"/>
                    </w:rPr>
                  </w:pPr>
                  <w:r>
                    <w:rPr>
                      <w:noProof/>
                      <w:lang w:eastAsia="es-EC"/>
                    </w:rPr>
                    <w:drawing>
                      <wp:inline distT="0" distB="0" distL="0" distR="0">
                        <wp:extent cx="1440000" cy="1810385"/>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c>
                <w:tcPr>
                  <w:tcW w:w="2441" w:type="dxa"/>
                </w:tcPr>
                <w:p w:rsidR="00361FCE" w:rsidRDefault="00361FCE" w:rsidP="00902050">
                  <w:pPr>
                    <w:rPr>
                      <w:rFonts w:ascii="Arial" w:hAnsi="Arial" w:cs="Arial"/>
                      <w:i/>
                      <w:sz w:val="16"/>
                      <w:szCs w:val="16"/>
                    </w:rPr>
                  </w:pPr>
                </w:p>
                <w:p w:rsidR="00361FCE" w:rsidRDefault="00361FCE" w:rsidP="00902050">
                  <w:pPr>
                    <w:rPr>
                      <w:rFonts w:ascii="Arial" w:hAnsi="Arial" w:cs="Arial"/>
                      <w:i/>
                      <w:sz w:val="16"/>
                      <w:szCs w:val="16"/>
                    </w:rPr>
                  </w:pPr>
                  <w:r>
                    <w:rPr>
                      <w:rFonts w:ascii="Arial" w:hAnsi="Arial" w:cs="Arial"/>
                      <w:i/>
                      <w:sz w:val="16"/>
                      <w:szCs w:val="16"/>
                    </w:rPr>
                    <w:t>“</w:t>
                  </w:r>
                  <w:r>
                    <w:rPr>
                      <w:rFonts w:ascii="Arial" w:hAnsi="Arial" w:cs="Arial"/>
                      <w:b/>
                      <w:i/>
                      <w:sz w:val="16"/>
                      <w:szCs w:val="16"/>
                    </w:rPr>
                    <w:t>Internet</w:t>
                  </w:r>
                  <w:r>
                    <w:rPr>
                      <w:rFonts w:ascii="Arial" w:hAnsi="Arial" w:cs="Arial"/>
                      <w:i/>
                      <w:sz w:val="16"/>
                      <w:szCs w:val="16"/>
                    </w:rPr>
                    <w:t>”</w:t>
                  </w:r>
                </w:p>
                <w:p w:rsidR="00361FCE" w:rsidRDefault="00361FCE" w:rsidP="00902050">
                  <w:pPr>
                    <w:rPr>
                      <w:rFonts w:ascii="Arial" w:hAnsi="Arial" w:cs="Arial"/>
                      <w:i/>
                      <w:sz w:val="16"/>
                      <w:szCs w:val="16"/>
                    </w:rPr>
                  </w:pPr>
                  <w:r>
                    <w:rPr>
                      <w:noProof/>
                      <w:lang w:eastAsia="es-EC"/>
                    </w:rPr>
                    <w:drawing>
                      <wp:inline distT="0" distB="0" distL="0" distR="0">
                        <wp:extent cx="1440000" cy="1810385"/>
                        <wp:effectExtent l="0" t="0" r="0"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c>
                <w:tcPr>
                  <w:tcW w:w="2438" w:type="dxa"/>
                </w:tcPr>
                <w:p w:rsidR="00361FCE" w:rsidRDefault="00361FCE" w:rsidP="00902050">
                  <w:pPr>
                    <w:rPr>
                      <w:rFonts w:ascii="Arial" w:hAnsi="Arial" w:cs="Arial"/>
                      <w:i/>
                      <w:sz w:val="16"/>
                      <w:szCs w:val="16"/>
                    </w:rPr>
                  </w:pPr>
                </w:p>
                <w:p w:rsidR="00361FCE" w:rsidRDefault="00361FCE" w:rsidP="00902050">
                  <w:pPr>
                    <w:rPr>
                      <w:rFonts w:ascii="Arial" w:hAnsi="Arial" w:cs="Arial"/>
                      <w:i/>
                      <w:sz w:val="16"/>
                      <w:szCs w:val="16"/>
                    </w:rPr>
                  </w:pPr>
                  <w:r>
                    <w:rPr>
                      <w:rFonts w:ascii="Arial" w:hAnsi="Arial" w:cs="Arial"/>
                      <w:i/>
                      <w:sz w:val="16"/>
                      <w:szCs w:val="16"/>
                    </w:rPr>
                    <w:t>“</w:t>
                  </w:r>
                  <w:r>
                    <w:rPr>
                      <w:rFonts w:ascii="Arial" w:hAnsi="Arial" w:cs="Arial"/>
                      <w:b/>
                      <w:i/>
                      <w:sz w:val="16"/>
                      <w:szCs w:val="16"/>
                    </w:rPr>
                    <w:t>Computadora</w:t>
                  </w:r>
                  <w:r>
                    <w:rPr>
                      <w:rFonts w:ascii="Arial" w:hAnsi="Arial" w:cs="Arial"/>
                      <w:i/>
                      <w:sz w:val="16"/>
                      <w:szCs w:val="16"/>
                    </w:rPr>
                    <w:t>”</w:t>
                  </w:r>
                </w:p>
                <w:p w:rsidR="00361FCE" w:rsidRDefault="00361FCE" w:rsidP="00902050">
                  <w:pPr>
                    <w:rPr>
                      <w:rFonts w:ascii="Arial" w:hAnsi="Arial" w:cs="Arial"/>
                      <w:i/>
                      <w:sz w:val="16"/>
                      <w:szCs w:val="16"/>
                    </w:rPr>
                  </w:pPr>
                  <w:r>
                    <w:rPr>
                      <w:noProof/>
                      <w:lang w:eastAsia="es-EC"/>
                    </w:rPr>
                    <w:drawing>
                      <wp:inline distT="0" distB="0" distL="0" distR="0">
                        <wp:extent cx="1440000" cy="1810385"/>
                        <wp:effectExtent l="0" t="0" r="0"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bl>
          <w:p w:rsidR="00361FCE" w:rsidRPr="0078148C" w:rsidRDefault="00361FCE" w:rsidP="00902050">
            <w:pPr>
              <w:rPr>
                <w:rFonts w:ascii="Arial" w:hAnsi="Arial" w:cs="Arial"/>
                <w:i/>
                <w:sz w:val="16"/>
                <w:szCs w:val="16"/>
              </w:rPr>
            </w:pPr>
          </w:p>
        </w:tc>
      </w:tr>
    </w:tbl>
    <w:p w:rsidR="00361FCE" w:rsidRPr="00033EE3" w:rsidRDefault="00361FCE" w:rsidP="00033EE3">
      <w:pPr>
        <w:pStyle w:val="Prrafodelista"/>
        <w:spacing w:line="276" w:lineRule="auto"/>
        <w:ind w:left="851"/>
        <w:jc w:val="both"/>
        <w:rPr>
          <w:rFonts w:ascii="Arial" w:hAnsi="Arial" w:cs="Arial"/>
          <w:sz w:val="17"/>
          <w:szCs w:val="17"/>
        </w:rPr>
      </w:pPr>
    </w:p>
    <w:p w:rsidR="00361FCE" w:rsidRPr="00033EE3" w:rsidRDefault="00361FCE" w:rsidP="00033EE3">
      <w:pPr>
        <w:pStyle w:val="Prrafodelista"/>
        <w:spacing w:line="276" w:lineRule="auto"/>
        <w:ind w:left="851"/>
        <w:jc w:val="both"/>
        <w:rPr>
          <w:rFonts w:ascii="Arial" w:hAnsi="Arial" w:cs="Arial"/>
          <w:sz w:val="17"/>
          <w:szCs w:val="17"/>
        </w:rPr>
      </w:pPr>
      <w:r w:rsidRPr="00033EE3">
        <w:rPr>
          <w:rFonts w:ascii="Arial" w:hAnsi="Arial" w:cs="Arial"/>
          <w:b/>
          <w:i/>
          <w:sz w:val="17"/>
          <w:szCs w:val="17"/>
        </w:rPr>
        <w:t>Fuente:</w:t>
      </w:r>
      <w:r w:rsidRPr="00033EE3">
        <w:rPr>
          <w:rFonts w:ascii="Arial" w:hAnsi="Arial" w:cs="Arial"/>
          <w:sz w:val="17"/>
          <w:szCs w:val="17"/>
        </w:rPr>
        <w:t xml:space="preserve"> </w:t>
      </w:r>
      <w:r w:rsidRPr="00033EE3">
        <w:rPr>
          <w:rFonts w:ascii="Arial" w:hAnsi="Arial" w:cs="Arial"/>
          <w:b/>
          <w:sz w:val="17"/>
          <w:szCs w:val="17"/>
        </w:rPr>
        <w:t xml:space="preserve">INEC </w:t>
      </w:r>
      <w:r w:rsidRPr="00033EE3">
        <w:rPr>
          <w:rFonts w:ascii="Arial" w:hAnsi="Arial" w:cs="Arial"/>
          <w:sz w:val="17"/>
          <w:szCs w:val="17"/>
        </w:rPr>
        <w:t>(2010), Base de Datos del VII Censo de Población y VI de Vivienda.</w:t>
      </w:r>
    </w:p>
    <w:p w:rsidR="00361FCE" w:rsidRPr="00033EE3" w:rsidRDefault="00361FCE" w:rsidP="00033EE3">
      <w:pPr>
        <w:pStyle w:val="Prrafodelista"/>
        <w:spacing w:line="276" w:lineRule="auto"/>
        <w:ind w:left="851"/>
        <w:jc w:val="both"/>
        <w:rPr>
          <w:rFonts w:ascii="Arial" w:hAnsi="Arial" w:cs="Arial"/>
          <w:sz w:val="17"/>
          <w:szCs w:val="17"/>
        </w:rPr>
      </w:pPr>
      <w:r w:rsidRPr="00033EE3">
        <w:rPr>
          <w:rFonts w:ascii="Arial" w:hAnsi="Arial" w:cs="Arial"/>
          <w:b/>
          <w:i/>
          <w:sz w:val="17"/>
          <w:szCs w:val="17"/>
        </w:rPr>
        <w:t>Elaborado por:</w:t>
      </w:r>
      <w:r w:rsidRPr="00033EE3">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361FCE" w:rsidP="00033EE3">
      <w:pPr>
        <w:pStyle w:val="Estilo42"/>
        <w:ind w:left="1701" w:hanging="850"/>
      </w:pPr>
      <w:bookmarkStart w:id="538" w:name="_Toc337135523"/>
      <w:bookmarkStart w:id="539" w:name="_Toc341040673"/>
      <w:r>
        <w:t>Población colombiana económicamente activa</w:t>
      </w:r>
      <w:bookmarkEnd w:id="538"/>
      <w:bookmarkEnd w:id="539"/>
    </w:p>
    <w:p w:rsidR="00361FCE" w:rsidRPr="003F7783" w:rsidRDefault="00361FCE" w:rsidP="00033EE3">
      <w:pPr>
        <w:pStyle w:val="Prrafodelista"/>
        <w:spacing w:line="480" w:lineRule="auto"/>
        <w:ind w:left="851"/>
        <w:jc w:val="both"/>
        <w:rPr>
          <w:rFonts w:ascii="Arial" w:hAnsi="Arial" w:cs="Arial"/>
        </w:rPr>
      </w:pPr>
      <w:r>
        <w:rPr>
          <w:rFonts w:ascii="Arial" w:hAnsi="Arial" w:cs="Arial"/>
        </w:rPr>
        <w:t xml:space="preserve">Consideremos nuevamente que en el Ecuador residen habitualmente 89931 colombianos, que en la </w:t>
      </w:r>
      <w:r>
        <w:rPr>
          <w:rFonts w:ascii="Arial" w:hAnsi="Arial" w:cs="Arial"/>
          <w:i/>
        </w:rPr>
        <w:t>Figura 4.17</w:t>
      </w:r>
      <w:r>
        <w:rPr>
          <w:rFonts w:ascii="Arial" w:hAnsi="Arial" w:cs="Arial"/>
        </w:rPr>
        <w:t xml:space="preserve">, desagregamos esta población como población en edad de trabajar (mayores de 10 años), población económicamente activa (personas que trabajan o buscan empleo) y </w:t>
      </w:r>
      <w:r>
        <w:rPr>
          <w:rFonts w:ascii="Arial" w:hAnsi="Arial" w:cs="Arial"/>
        </w:rPr>
        <w:lastRenderedPageBreak/>
        <w:t>población económicamente inactiva; en donde tenemos que el 91.47% de los colombianos están en edad de trabajar, de estos últimos el 63.56% forman parte de la población económicamente activa y por tanto el porcentaje restante (57.33%) son parte de la población inactiva.</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033EE3">
        <w:trPr>
          <w:trHeight w:val="2772"/>
          <w:jc w:val="right"/>
        </w:trPr>
        <w:tc>
          <w:tcPr>
            <w:tcW w:w="7497" w:type="dxa"/>
          </w:tcPr>
          <w:p w:rsidR="00361FCE" w:rsidRDefault="00361FCE" w:rsidP="00902050">
            <w:pPr>
              <w:rPr>
                <w:rFonts w:ascii="Arial" w:hAnsi="Arial" w:cs="Arial"/>
                <w:b/>
                <w:sz w:val="16"/>
                <w:szCs w:val="16"/>
              </w:rPr>
            </w:pPr>
          </w:p>
          <w:p w:rsidR="008D34C1" w:rsidRPr="008D34C1" w:rsidRDefault="008D34C1" w:rsidP="008D34C1">
            <w:pPr>
              <w:pStyle w:val="Epgrafe"/>
              <w:rPr>
                <w:rFonts w:ascii="Arial" w:hAnsi="Arial" w:cs="Arial"/>
                <w:bCs w:val="0"/>
                <w:color w:val="auto"/>
                <w:sz w:val="16"/>
                <w:szCs w:val="16"/>
              </w:rPr>
            </w:pPr>
            <w:bookmarkStart w:id="540" w:name="_Toc341043989"/>
            <w:r>
              <w:rPr>
                <w:rFonts w:ascii="Arial" w:hAnsi="Arial" w:cs="Arial"/>
                <w:bCs w:val="0"/>
                <w:color w:val="auto"/>
                <w:sz w:val="16"/>
                <w:szCs w:val="16"/>
              </w:rPr>
              <w:t>Figura 4.</w:t>
            </w:r>
            <w:r w:rsidR="00990535" w:rsidRPr="008D34C1">
              <w:rPr>
                <w:rFonts w:ascii="Arial" w:hAnsi="Arial" w:cs="Arial"/>
                <w:bCs w:val="0"/>
                <w:color w:val="auto"/>
                <w:sz w:val="16"/>
                <w:szCs w:val="16"/>
              </w:rPr>
              <w:fldChar w:fldCharType="begin"/>
            </w:r>
            <w:r w:rsidRPr="008D34C1">
              <w:rPr>
                <w:rFonts w:ascii="Arial" w:hAnsi="Arial" w:cs="Arial"/>
                <w:bCs w:val="0"/>
                <w:color w:val="auto"/>
                <w:sz w:val="16"/>
                <w:szCs w:val="16"/>
              </w:rPr>
              <w:instrText xml:space="preserve"> SEQ Figura_4. \* ARABIC </w:instrText>
            </w:r>
            <w:r w:rsidR="00990535" w:rsidRPr="008D34C1">
              <w:rPr>
                <w:rFonts w:ascii="Arial" w:hAnsi="Arial" w:cs="Arial"/>
                <w:bCs w:val="0"/>
                <w:color w:val="auto"/>
                <w:sz w:val="16"/>
                <w:szCs w:val="16"/>
              </w:rPr>
              <w:fldChar w:fldCharType="separate"/>
            </w:r>
            <w:r w:rsidR="00A242E0">
              <w:rPr>
                <w:rFonts w:ascii="Arial" w:hAnsi="Arial" w:cs="Arial"/>
                <w:bCs w:val="0"/>
                <w:noProof/>
                <w:color w:val="auto"/>
                <w:sz w:val="16"/>
                <w:szCs w:val="16"/>
              </w:rPr>
              <w:t>17</w:t>
            </w:r>
            <w:bookmarkEnd w:id="540"/>
            <w:r w:rsidR="00990535" w:rsidRPr="008D34C1">
              <w:rPr>
                <w:rFonts w:ascii="Arial" w:hAnsi="Arial" w:cs="Arial"/>
                <w:bCs w:val="0"/>
                <w:color w:val="auto"/>
                <w:sz w:val="16"/>
                <w:szCs w:val="16"/>
              </w:rPr>
              <w:fldChar w:fldCharType="end"/>
            </w:r>
          </w:p>
          <w:p w:rsidR="00361FCE" w:rsidRDefault="00033EE3"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Población </w:t>
            </w:r>
            <w:r w:rsidRPr="00033EE3">
              <w:rPr>
                <w:rFonts w:ascii="Arial" w:hAnsi="Arial" w:cs="Arial"/>
                <w:b/>
                <w:i/>
                <w:sz w:val="16"/>
                <w:szCs w:val="16"/>
              </w:rPr>
              <w:t>c</w:t>
            </w:r>
            <w:r w:rsidR="00361FCE" w:rsidRPr="00033EE3">
              <w:rPr>
                <w:rFonts w:ascii="Arial" w:hAnsi="Arial" w:cs="Arial"/>
                <w:b/>
                <w:i/>
                <w:sz w:val="16"/>
                <w:szCs w:val="16"/>
              </w:rPr>
              <w:t>olombiana</w:t>
            </w:r>
            <w:r w:rsidR="00361FCE">
              <w:rPr>
                <w:rFonts w:ascii="Arial" w:hAnsi="Arial" w:cs="Arial"/>
                <w:i/>
                <w:sz w:val="16"/>
                <w:szCs w:val="16"/>
              </w:rPr>
              <w:t xml:space="preserve"> Económicamente Activa e Inactiva residente en </w:t>
            </w:r>
            <w:r>
              <w:rPr>
                <w:rFonts w:ascii="Arial" w:hAnsi="Arial" w:cs="Arial"/>
                <w:i/>
                <w:sz w:val="16"/>
                <w:szCs w:val="16"/>
              </w:rPr>
              <w:t>el país</w:t>
            </w:r>
          </w:p>
          <w:p w:rsidR="00361FCE" w:rsidRDefault="00361FCE" w:rsidP="00902050">
            <w:pPr>
              <w:rPr>
                <w:rFonts w:ascii="Arial" w:hAnsi="Arial" w:cs="Arial"/>
                <w:i/>
                <w:sz w:val="16"/>
                <w:szCs w:val="16"/>
              </w:rPr>
            </w:pPr>
          </w:p>
          <w:tbl>
            <w:tblPr>
              <w:tblStyle w:val="Tablaconcuadrcula"/>
              <w:tblW w:w="0" w:type="auto"/>
              <w:jc w:val="center"/>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69"/>
              <w:gridCol w:w="2291"/>
            </w:tblGrid>
            <w:tr w:rsidR="00361FCE" w:rsidTr="00033EE3">
              <w:trPr>
                <w:jc w:val="center"/>
              </w:trPr>
              <w:tc>
                <w:tcPr>
                  <w:tcW w:w="4395" w:type="dxa"/>
                </w:tcPr>
                <w:p w:rsidR="00361FCE" w:rsidRDefault="00361FCE" w:rsidP="00902050">
                  <w:pPr>
                    <w:rPr>
                      <w:rFonts w:ascii="Arial" w:hAnsi="Arial" w:cs="Arial"/>
                      <w:i/>
                      <w:sz w:val="16"/>
                      <w:szCs w:val="16"/>
                    </w:rPr>
                  </w:pPr>
                  <w:r>
                    <w:rPr>
                      <w:noProof/>
                      <w:lang w:eastAsia="es-EC"/>
                    </w:rPr>
                    <w:drawing>
                      <wp:inline distT="0" distB="0" distL="0" distR="0">
                        <wp:extent cx="2790825" cy="140462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c>
                <w:tcPr>
                  <w:tcW w:w="2749" w:type="dxa"/>
                </w:tcPr>
                <w:p w:rsidR="00361FCE" w:rsidRDefault="00361FCE" w:rsidP="00902050">
                  <w:pPr>
                    <w:rPr>
                      <w:rFonts w:ascii="Arial" w:hAnsi="Arial" w:cs="Arial"/>
                      <w: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tblGrid>
                  <w:tr w:rsidR="00361FCE" w:rsidTr="00902050">
                    <w:trPr>
                      <w:trHeight w:val="340"/>
                    </w:trPr>
                    <w:tc>
                      <w:tcPr>
                        <w:tcW w:w="2619" w:type="dxa"/>
                        <w:vAlign w:val="center"/>
                      </w:tcPr>
                      <w:p w:rsidR="00361FCE" w:rsidRPr="0058758E" w:rsidRDefault="00436907" w:rsidP="00902050">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49" style="width:7.1pt;height:7.15pt;mso-left-percent:-10001;mso-top-percent:-10001;mso-position-horizontal:absolute;mso-position-horizontal-relative:char;mso-position-vertical:absolute;mso-position-vertical-relative:line;mso-left-percent:-10001;mso-top-percent:-10001" fillcolor="#fc0" stroked="f">
                              <w10:wrap type="none"/>
                              <w10:anchorlock/>
                            </v:rect>
                          </w:pict>
                        </w:r>
                        <w:r w:rsidR="00361FCE">
                          <w:rPr>
                            <w:rFonts w:ascii="Arial" w:hAnsi="Arial" w:cs="Arial"/>
                            <w:sz w:val="16"/>
                            <w:szCs w:val="16"/>
                          </w:rPr>
                          <w:t xml:space="preserve"> </w:t>
                        </w:r>
                        <w:r w:rsidR="00361FCE" w:rsidRPr="0058758E">
                          <w:rPr>
                            <w:rFonts w:ascii="Arial" w:hAnsi="Arial" w:cs="Arial"/>
                            <w:sz w:val="16"/>
                            <w:szCs w:val="16"/>
                          </w:rPr>
                          <w:t>Población Extranjera Total</w:t>
                        </w:r>
                      </w:p>
                    </w:tc>
                  </w:tr>
                  <w:tr w:rsidR="00361FCE" w:rsidTr="00902050">
                    <w:trPr>
                      <w:trHeight w:val="510"/>
                    </w:trPr>
                    <w:tc>
                      <w:tcPr>
                        <w:tcW w:w="2619" w:type="dxa"/>
                        <w:vAlign w:val="center"/>
                      </w:tcPr>
                      <w:p w:rsidR="00361FCE" w:rsidRPr="0058758E" w:rsidRDefault="00436907" w:rsidP="00902050">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48" style="width:7.1pt;height:7.15pt;mso-left-percent:-10001;mso-top-percent:-10001;mso-position-horizontal:absolute;mso-position-horizontal-relative:char;mso-position-vertical:absolute;mso-position-vertical-relative:line;mso-left-percent:-10001;mso-top-percent:-10001" fillcolor="#e36c0a [2409]" stroked="f">
                              <w10:wrap type="none"/>
                              <w10:anchorlock/>
                            </v:rect>
                          </w:pict>
                        </w:r>
                        <w:r w:rsidR="00361FCE">
                          <w:rPr>
                            <w:rFonts w:ascii="Arial" w:hAnsi="Arial" w:cs="Arial"/>
                            <w:sz w:val="16"/>
                            <w:szCs w:val="16"/>
                          </w:rPr>
                          <w:t xml:space="preserve"> </w:t>
                        </w:r>
                        <w:r w:rsidR="00361FCE" w:rsidRPr="0058758E">
                          <w:rPr>
                            <w:rFonts w:ascii="Arial" w:hAnsi="Arial" w:cs="Arial"/>
                            <w:sz w:val="16"/>
                            <w:szCs w:val="16"/>
                          </w:rPr>
                          <w:t>Población en Edad de Trabajar</w:t>
                        </w:r>
                      </w:p>
                    </w:tc>
                  </w:tr>
                  <w:tr w:rsidR="00361FCE" w:rsidTr="00902050">
                    <w:trPr>
                      <w:trHeight w:val="510"/>
                    </w:trPr>
                    <w:tc>
                      <w:tcPr>
                        <w:tcW w:w="2619" w:type="dxa"/>
                        <w:vAlign w:val="center"/>
                      </w:tcPr>
                      <w:p w:rsidR="00361FCE" w:rsidRPr="0058758E" w:rsidRDefault="00436907" w:rsidP="00902050">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47" style="width:7.1pt;height:7.15pt;mso-left-percent:-10001;mso-top-percent:-10001;mso-position-horizontal:absolute;mso-position-horizontal-relative:char;mso-position-vertical:absolute;mso-position-vertical-relative:line;mso-left-percent:-10001;mso-top-percent:-10001" fillcolor="fuchsia" stroked="f">
                              <w10:wrap type="none"/>
                              <w10:anchorlock/>
                            </v:rect>
                          </w:pict>
                        </w:r>
                        <w:r w:rsidR="00361FCE">
                          <w:rPr>
                            <w:rFonts w:ascii="Arial" w:hAnsi="Arial" w:cs="Arial"/>
                            <w:sz w:val="16"/>
                            <w:szCs w:val="16"/>
                          </w:rPr>
                          <w:t xml:space="preserve"> </w:t>
                        </w:r>
                        <w:r w:rsidR="00361FCE" w:rsidRPr="0058758E">
                          <w:rPr>
                            <w:rFonts w:ascii="Arial" w:hAnsi="Arial" w:cs="Arial"/>
                            <w:sz w:val="16"/>
                            <w:szCs w:val="16"/>
                          </w:rPr>
                          <w:t>Población Económicamente Activa</w:t>
                        </w:r>
                      </w:p>
                    </w:tc>
                  </w:tr>
                  <w:tr w:rsidR="00361FCE" w:rsidTr="00902050">
                    <w:trPr>
                      <w:trHeight w:val="510"/>
                    </w:trPr>
                    <w:tc>
                      <w:tcPr>
                        <w:tcW w:w="2619" w:type="dxa"/>
                        <w:vAlign w:val="center"/>
                      </w:tcPr>
                      <w:p w:rsidR="00361FCE" w:rsidRPr="0058758E" w:rsidRDefault="00436907" w:rsidP="00902050">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46" style="width:7.1pt;height:7.15pt;mso-left-percent:-10001;mso-top-percent:-10001;mso-position-horizontal:absolute;mso-position-horizontal-relative:char;mso-position-vertical:absolute;mso-position-vertical-relative:line;mso-left-percent:-10001;mso-top-percent:-10001" fillcolor="#00b0f0" stroked="f">
                              <w10:wrap type="none"/>
                              <w10:anchorlock/>
                            </v:rect>
                          </w:pict>
                        </w:r>
                        <w:r w:rsidR="00361FCE">
                          <w:rPr>
                            <w:rFonts w:ascii="Arial" w:hAnsi="Arial" w:cs="Arial"/>
                            <w:sz w:val="16"/>
                            <w:szCs w:val="16"/>
                          </w:rPr>
                          <w:t xml:space="preserve"> </w:t>
                        </w:r>
                        <w:r w:rsidR="00361FCE" w:rsidRPr="0058758E">
                          <w:rPr>
                            <w:rFonts w:ascii="Arial" w:hAnsi="Arial" w:cs="Arial"/>
                            <w:sz w:val="16"/>
                            <w:szCs w:val="16"/>
                          </w:rPr>
                          <w:t>Población Económicamente Inactiva</w:t>
                        </w:r>
                      </w:p>
                    </w:tc>
                  </w:tr>
                </w:tbl>
                <w:p w:rsidR="00361FCE" w:rsidRDefault="00361FCE" w:rsidP="00902050">
                  <w:pPr>
                    <w:rPr>
                      <w:rFonts w:ascii="Arial" w:hAnsi="Arial" w:cs="Arial"/>
                      <w:i/>
                      <w:sz w:val="16"/>
                      <w:szCs w:val="16"/>
                    </w:rPr>
                  </w:pPr>
                </w:p>
              </w:tc>
            </w:tr>
          </w:tbl>
          <w:p w:rsidR="00361FCE" w:rsidRPr="0078148C" w:rsidRDefault="00361FCE" w:rsidP="00902050">
            <w:pPr>
              <w:jc w:val="left"/>
              <w:rPr>
                <w:rFonts w:ascii="Arial" w:hAnsi="Arial" w:cs="Arial"/>
                <w:i/>
                <w:sz w:val="16"/>
                <w:szCs w:val="16"/>
              </w:rPr>
            </w:pPr>
          </w:p>
        </w:tc>
      </w:tr>
    </w:tbl>
    <w:p w:rsidR="00361FCE" w:rsidRPr="00033EE3" w:rsidRDefault="00361FCE" w:rsidP="00033EE3">
      <w:pPr>
        <w:pStyle w:val="Prrafodelista"/>
        <w:spacing w:line="276" w:lineRule="auto"/>
        <w:ind w:left="851"/>
        <w:jc w:val="both"/>
        <w:rPr>
          <w:rFonts w:ascii="Arial" w:hAnsi="Arial" w:cs="Arial"/>
          <w:sz w:val="17"/>
          <w:szCs w:val="17"/>
        </w:rPr>
      </w:pPr>
    </w:p>
    <w:p w:rsidR="00361FCE" w:rsidRPr="00033EE3" w:rsidRDefault="00361FCE" w:rsidP="00033EE3">
      <w:pPr>
        <w:pStyle w:val="Prrafodelista"/>
        <w:spacing w:line="276" w:lineRule="auto"/>
        <w:ind w:left="851"/>
        <w:jc w:val="both"/>
        <w:rPr>
          <w:rFonts w:ascii="Arial" w:hAnsi="Arial" w:cs="Arial"/>
          <w:sz w:val="17"/>
          <w:szCs w:val="17"/>
        </w:rPr>
      </w:pPr>
      <w:r w:rsidRPr="00033EE3">
        <w:rPr>
          <w:rFonts w:ascii="Arial" w:hAnsi="Arial" w:cs="Arial"/>
          <w:b/>
          <w:i/>
          <w:sz w:val="17"/>
          <w:szCs w:val="17"/>
        </w:rPr>
        <w:t>Fuente:</w:t>
      </w:r>
      <w:r w:rsidRPr="00033EE3">
        <w:rPr>
          <w:rFonts w:ascii="Arial" w:hAnsi="Arial" w:cs="Arial"/>
          <w:sz w:val="17"/>
          <w:szCs w:val="17"/>
        </w:rPr>
        <w:t xml:space="preserve"> </w:t>
      </w:r>
      <w:r w:rsidRPr="00033EE3">
        <w:rPr>
          <w:rFonts w:ascii="Arial" w:hAnsi="Arial" w:cs="Arial"/>
          <w:b/>
          <w:sz w:val="17"/>
          <w:szCs w:val="17"/>
        </w:rPr>
        <w:t xml:space="preserve">INEC </w:t>
      </w:r>
      <w:r w:rsidRPr="00033EE3">
        <w:rPr>
          <w:rFonts w:ascii="Arial" w:hAnsi="Arial" w:cs="Arial"/>
          <w:sz w:val="17"/>
          <w:szCs w:val="17"/>
        </w:rPr>
        <w:t>(2010), Base de Datos del VII Censo de Población y VI de Vivienda.</w:t>
      </w:r>
    </w:p>
    <w:p w:rsidR="00361FCE" w:rsidRPr="00033EE3" w:rsidRDefault="00361FCE" w:rsidP="00033EE3">
      <w:pPr>
        <w:pStyle w:val="Prrafodelista"/>
        <w:spacing w:line="276" w:lineRule="auto"/>
        <w:ind w:left="851"/>
        <w:jc w:val="both"/>
        <w:rPr>
          <w:rFonts w:ascii="Arial" w:hAnsi="Arial" w:cs="Arial"/>
          <w:sz w:val="17"/>
          <w:szCs w:val="17"/>
        </w:rPr>
      </w:pPr>
      <w:r w:rsidRPr="00033EE3">
        <w:rPr>
          <w:rFonts w:ascii="Arial" w:hAnsi="Arial" w:cs="Arial"/>
          <w:b/>
          <w:i/>
          <w:sz w:val="17"/>
          <w:szCs w:val="17"/>
        </w:rPr>
        <w:t>Elaborado por:</w:t>
      </w:r>
      <w:r w:rsidRPr="00033EE3">
        <w:rPr>
          <w:rFonts w:ascii="Arial" w:hAnsi="Arial" w:cs="Arial"/>
          <w:sz w:val="17"/>
          <w:szCs w:val="17"/>
        </w:rPr>
        <w:t xml:space="preserve"> Katherine Loor Valeriano</w:t>
      </w:r>
    </w:p>
    <w:p w:rsidR="00361FCE" w:rsidRDefault="00361FCE" w:rsidP="00033EE3">
      <w:pPr>
        <w:pStyle w:val="Prrafodelista"/>
        <w:spacing w:line="480" w:lineRule="auto"/>
        <w:ind w:left="851"/>
        <w:jc w:val="both"/>
        <w:rPr>
          <w:rFonts w:ascii="Arial" w:hAnsi="Arial" w:cs="Arial"/>
        </w:rPr>
      </w:pPr>
    </w:p>
    <w:p w:rsidR="00361FCE" w:rsidRDefault="00361FCE" w:rsidP="00033EE3">
      <w:pPr>
        <w:pStyle w:val="Prrafodelista"/>
        <w:spacing w:line="480" w:lineRule="auto"/>
        <w:ind w:left="851"/>
        <w:jc w:val="both"/>
        <w:rPr>
          <w:rFonts w:ascii="Arial" w:hAnsi="Arial" w:cs="Arial"/>
        </w:rPr>
      </w:pPr>
      <w:r>
        <w:rPr>
          <w:rFonts w:ascii="Arial" w:hAnsi="Arial" w:cs="Arial"/>
        </w:rPr>
        <w:t>Ahora veamos la estructura económica de la población para cada género; en donde tenemos que del total de colombianos registrados durante el empadronamiento 42464 son hombres y 47467 son mujeres. De los colombianos de género masculino residentes en el país tenemos que el 90.84% están en edad de trabaja, es decir son mayores de 10 años, de los cuales el 80.91% trabajan o buscan empleo y el porcentaje restante (19.09%) forman parte de la pob</w:t>
      </w:r>
      <w:r w:rsidR="00033EE3">
        <w:rPr>
          <w:rFonts w:ascii="Arial" w:hAnsi="Arial" w:cs="Arial"/>
        </w:rPr>
        <w:t>lación económicamente inactiva. Para</w:t>
      </w:r>
      <w:r>
        <w:rPr>
          <w:rFonts w:ascii="Arial" w:hAnsi="Arial" w:cs="Arial"/>
        </w:rPr>
        <w:t xml:space="preserve"> las mujeres </w:t>
      </w:r>
      <w:r w:rsidR="00033EE3">
        <w:rPr>
          <w:rFonts w:ascii="Arial" w:hAnsi="Arial" w:cs="Arial"/>
        </w:rPr>
        <w:t>colombianas</w:t>
      </w:r>
      <w:r>
        <w:rPr>
          <w:rFonts w:ascii="Arial" w:hAnsi="Arial" w:cs="Arial"/>
        </w:rPr>
        <w:t xml:space="preserve">, se </w:t>
      </w:r>
      <w:r w:rsidR="00506BFD">
        <w:rPr>
          <w:rFonts w:ascii="Arial" w:hAnsi="Arial" w:cs="Arial"/>
        </w:rPr>
        <w:t>encontró</w:t>
      </w:r>
      <w:r>
        <w:rPr>
          <w:rFonts w:ascii="Arial" w:hAnsi="Arial" w:cs="Arial"/>
        </w:rPr>
        <w:t xml:space="preserve"> que el 92.04% son mayores de 10 años, están en edad de trabajar; de éstas el 48.24% conforman a la población económicamente activa y por tanto más del 50% de las colombianas en edad de trabajar no lo hacen. Notándose finalmente que es mayor el aporte </w:t>
      </w:r>
      <w:r>
        <w:rPr>
          <w:rFonts w:ascii="Arial" w:hAnsi="Arial" w:cs="Arial"/>
        </w:rPr>
        <w:lastRenderedPageBreak/>
        <w:t xml:space="preserve">a nuestra economía por parte de los hombres que de las mujeres, para más detalles </w:t>
      </w:r>
      <w:r>
        <w:rPr>
          <w:rFonts w:ascii="Arial" w:hAnsi="Arial" w:cs="Arial"/>
          <w:i/>
        </w:rPr>
        <w:t>véase Figura 4.18</w:t>
      </w:r>
      <w:r>
        <w:rPr>
          <w:rFonts w:ascii="Arial" w:hAnsi="Arial" w:cs="Arial"/>
        </w:rPr>
        <w:t>.</w:t>
      </w:r>
    </w:p>
    <w:tbl>
      <w:tblPr>
        <w:tblStyle w:val="Tablaconcuadrcula"/>
        <w:tblW w:w="7427" w:type="dxa"/>
        <w:jc w:val="right"/>
        <w:tblInd w:w="81"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0" w:type="dxa"/>
          <w:right w:w="0" w:type="dxa"/>
        </w:tblCellMar>
        <w:tblLook w:val="04A0" w:firstRow="1" w:lastRow="0" w:firstColumn="1" w:lastColumn="0" w:noHBand="0" w:noVBand="1"/>
      </w:tblPr>
      <w:tblGrid>
        <w:gridCol w:w="7427"/>
      </w:tblGrid>
      <w:tr w:rsidR="00361FCE" w:rsidRPr="00840530" w:rsidTr="00033EE3">
        <w:trPr>
          <w:trHeight w:val="3231"/>
          <w:jc w:val="right"/>
        </w:trPr>
        <w:tc>
          <w:tcPr>
            <w:tcW w:w="7427" w:type="dxa"/>
          </w:tcPr>
          <w:p w:rsidR="00361FCE" w:rsidRDefault="00361FCE" w:rsidP="00902050">
            <w:pPr>
              <w:rPr>
                <w:rFonts w:ascii="Arial" w:hAnsi="Arial" w:cs="Arial"/>
                <w:b/>
                <w:sz w:val="16"/>
                <w:szCs w:val="16"/>
              </w:rPr>
            </w:pPr>
          </w:p>
          <w:p w:rsidR="00EB3E69" w:rsidRPr="00EB3E69" w:rsidRDefault="00EB3E69" w:rsidP="00EB3E69">
            <w:pPr>
              <w:pStyle w:val="Epgrafe"/>
              <w:rPr>
                <w:rFonts w:ascii="Arial" w:hAnsi="Arial" w:cs="Arial"/>
                <w:bCs w:val="0"/>
                <w:color w:val="auto"/>
                <w:sz w:val="16"/>
                <w:szCs w:val="16"/>
              </w:rPr>
            </w:pPr>
            <w:bookmarkStart w:id="541" w:name="_Toc341043990"/>
            <w:r>
              <w:rPr>
                <w:rFonts w:ascii="Arial" w:hAnsi="Arial" w:cs="Arial"/>
                <w:bCs w:val="0"/>
                <w:color w:val="auto"/>
                <w:sz w:val="16"/>
                <w:szCs w:val="16"/>
              </w:rPr>
              <w:t>Figura 4.</w:t>
            </w:r>
            <w:r w:rsidR="00990535" w:rsidRPr="00EB3E69">
              <w:rPr>
                <w:rFonts w:ascii="Arial" w:hAnsi="Arial" w:cs="Arial"/>
                <w:bCs w:val="0"/>
                <w:color w:val="auto"/>
                <w:sz w:val="16"/>
                <w:szCs w:val="16"/>
              </w:rPr>
              <w:fldChar w:fldCharType="begin"/>
            </w:r>
            <w:r w:rsidRPr="00EB3E69">
              <w:rPr>
                <w:rFonts w:ascii="Arial" w:hAnsi="Arial" w:cs="Arial"/>
                <w:bCs w:val="0"/>
                <w:color w:val="auto"/>
                <w:sz w:val="16"/>
                <w:szCs w:val="16"/>
              </w:rPr>
              <w:instrText xml:space="preserve"> SEQ Figura_4. \* ARABIC </w:instrText>
            </w:r>
            <w:r w:rsidR="00990535" w:rsidRPr="00EB3E69">
              <w:rPr>
                <w:rFonts w:ascii="Arial" w:hAnsi="Arial" w:cs="Arial"/>
                <w:bCs w:val="0"/>
                <w:color w:val="auto"/>
                <w:sz w:val="16"/>
                <w:szCs w:val="16"/>
              </w:rPr>
              <w:fldChar w:fldCharType="separate"/>
            </w:r>
            <w:r w:rsidR="00A242E0">
              <w:rPr>
                <w:rFonts w:ascii="Arial" w:hAnsi="Arial" w:cs="Arial"/>
                <w:bCs w:val="0"/>
                <w:noProof/>
                <w:color w:val="auto"/>
                <w:sz w:val="16"/>
                <w:szCs w:val="16"/>
              </w:rPr>
              <w:t>18</w:t>
            </w:r>
            <w:bookmarkEnd w:id="541"/>
            <w:r w:rsidR="00990535" w:rsidRPr="00EB3E69">
              <w:rPr>
                <w:rFonts w:ascii="Arial" w:hAnsi="Arial" w:cs="Arial"/>
                <w:bCs w:val="0"/>
                <w:color w:val="auto"/>
                <w:sz w:val="16"/>
                <w:szCs w:val="16"/>
              </w:rPr>
              <w:fldChar w:fldCharType="end"/>
            </w:r>
          </w:p>
          <w:p w:rsidR="00361FCE" w:rsidRDefault="00033EE3"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Población </w:t>
            </w:r>
            <w:r w:rsidRPr="00033EE3">
              <w:rPr>
                <w:rFonts w:ascii="Arial" w:hAnsi="Arial" w:cs="Arial"/>
                <w:b/>
                <w:i/>
                <w:sz w:val="16"/>
                <w:szCs w:val="16"/>
              </w:rPr>
              <w:t>c</w:t>
            </w:r>
            <w:r w:rsidR="00361FCE" w:rsidRPr="00033EE3">
              <w:rPr>
                <w:rFonts w:ascii="Arial" w:hAnsi="Arial" w:cs="Arial"/>
                <w:b/>
                <w:i/>
                <w:sz w:val="16"/>
                <w:szCs w:val="16"/>
              </w:rPr>
              <w:t>olombiana</w:t>
            </w:r>
            <w:r w:rsidR="00361FCE">
              <w:rPr>
                <w:rFonts w:ascii="Arial" w:hAnsi="Arial" w:cs="Arial"/>
                <w:i/>
                <w:sz w:val="16"/>
                <w:szCs w:val="16"/>
              </w:rPr>
              <w:t xml:space="preserve"> Económicamente Activa e Inactiva por Género</w:t>
            </w:r>
          </w:p>
          <w:tbl>
            <w:tblPr>
              <w:tblStyle w:val="Tablaconcuadrcula"/>
              <w:tblW w:w="0" w:type="auto"/>
              <w:jc w:val="center"/>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590"/>
              <w:gridCol w:w="3593"/>
            </w:tblGrid>
            <w:tr w:rsidR="00361FCE" w:rsidTr="00033EE3">
              <w:trPr>
                <w:jc w:val="center"/>
              </w:trPr>
              <w:tc>
                <w:tcPr>
                  <w:tcW w:w="3624" w:type="dxa"/>
                </w:tcPr>
                <w:p w:rsidR="00361FCE" w:rsidRDefault="00436907" w:rsidP="00902050">
                  <w:pPr>
                    <w:rPr>
                      <w:rFonts w:ascii="Arial" w:hAnsi="Arial" w:cs="Arial"/>
                      <w:i/>
                      <w:sz w:val="16"/>
                      <w:szCs w:val="16"/>
                    </w:rPr>
                  </w:pPr>
                  <w:r>
                    <w:rPr>
                      <w:noProof/>
                    </w:rPr>
                    <w:pict>
                      <v:shape id="_x0000_s1496" type="#_x0000_t202" style="position:absolute;left:0;text-align:left;margin-left:87.85pt;margin-top:10.4pt;width:62.45pt;height:16.05pt;z-index:25151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LT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Mk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e+bi0y8CAABWBAAADgAAAAAAAAAAAAAAAAAuAgAAZHJz&#10;L2Uyb0RvYy54bWxQSwECLQAUAAYACAAAACEA/S8y1tsAAAAFAQAADwAAAAAAAAAAAAAAAACJBAAA&#10;ZHJzL2Rvd25yZXYueG1sUEsFBgAAAAAEAAQA8wAAAJEFAAAAAA==&#10;" filled="f" stroked="f">
                        <v:textbox style="mso-next-textbox:#_x0000_s1496">
                          <w:txbxContent>
                            <w:p w:rsidR="006933DF" w:rsidRPr="003622AA" w:rsidRDefault="006933DF" w:rsidP="00361FCE">
                              <w:pPr>
                                <w:rPr>
                                  <w:rFonts w:ascii="Arial" w:hAnsi="Arial" w:cs="Arial"/>
                                  <w:color w:val="0070C0"/>
                                  <w:sz w:val="16"/>
                                  <w:szCs w:val="16"/>
                                </w:rPr>
                              </w:pPr>
                              <w:r w:rsidRPr="003622AA">
                                <w:rPr>
                                  <w:rFonts w:ascii="Arial" w:hAnsi="Arial" w:cs="Arial"/>
                                  <w:color w:val="0070C0"/>
                                  <w:sz w:val="16"/>
                                  <w:szCs w:val="16"/>
                                </w:rPr>
                                <w:t>Hombres</w:t>
                              </w:r>
                            </w:p>
                          </w:txbxContent>
                        </v:textbox>
                      </v:shape>
                    </w:pict>
                  </w:r>
                  <w:r w:rsidR="00361FCE">
                    <w:rPr>
                      <w:noProof/>
                      <w:lang w:eastAsia="es-EC"/>
                    </w:rPr>
                    <w:drawing>
                      <wp:inline distT="0" distB="0" distL="0" distR="0">
                        <wp:extent cx="2160000" cy="1404620"/>
                        <wp:effectExtent l="0" t="0" r="0" b="0"/>
                        <wp:docPr id="315" name="Gráfico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c>
                <w:tcPr>
                  <w:tcW w:w="3632" w:type="dxa"/>
                </w:tcPr>
                <w:p w:rsidR="00361FCE" w:rsidRDefault="00436907" w:rsidP="00902050">
                  <w:pPr>
                    <w:rPr>
                      <w:rFonts w:ascii="Arial" w:hAnsi="Arial" w:cs="Arial"/>
                      <w:i/>
                      <w:sz w:val="16"/>
                      <w:szCs w:val="16"/>
                    </w:rPr>
                  </w:pPr>
                  <w:r>
                    <w:rPr>
                      <w:rFonts w:ascii="Arial" w:hAnsi="Arial" w:cs="Arial"/>
                      <w:noProof/>
                      <w:lang w:eastAsia="es-EC"/>
                    </w:rPr>
                    <w:pict>
                      <v:shape id="_x0000_s1497" type="#_x0000_t202" style="position:absolute;left:0;text-align:left;margin-left:82.9pt;margin-top:7.4pt;width:62.45pt;height:16.05pt;z-index:251514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LT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Mk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e+bi0y8CAABWBAAADgAAAAAAAAAAAAAAAAAuAgAAZHJz&#10;L2Uyb0RvYy54bWxQSwECLQAUAAYACAAAACEA/S8y1tsAAAAFAQAADwAAAAAAAAAAAAAAAACJBAAA&#10;ZHJzL2Rvd25yZXYueG1sUEsFBgAAAAAEAAQA8wAAAJEFAAAAAA==&#10;" filled="f" stroked="f">
                        <v:textbox style="mso-next-textbox:#_x0000_s1497">
                          <w:txbxContent>
                            <w:p w:rsidR="006933DF" w:rsidRPr="003622AA" w:rsidRDefault="006933DF" w:rsidP="00361FCE">
                              <w:pPr>
                                <w:rPr>
                                  <w:rFonts w:ascii="Arial" w:hAnsi="Arial" w:cs="Arial"/>
                                  <w:color w:val="FF00FF"/>
                                  <w:sz w:val="16"/>
                                  <w:szCs w:val="16"/>
                                </w:rPr>
                              </w:pPr>
                              <w:r w:rsidRPr="003622AA">
                                <w:rPr>
                                  <w:rFonts w:ascii="Arial" w:hAnsi="Arial" w:cs="Arial"/>
                                  <w:color w:val="FF00FF"/>
                                  <w:sz w:val="16"/>
                                  <w:szCs w:val="16"/>
                                </w:rPr>
                                <w:t>Mujeres</w:t>
                              </w:r>
                            </w:p>
                          </w:txbxContent>
                        </v:textbox>
                      </v:shape>
                    </w:pict>
                  </w:r>
                  <w:r w:rsidR="00361FCE">
                    <w:rPr>
                      <w:noProof/>
                      <w:lang w:eastAsia="es-EC"/>
                    </w:rPr>
                    <w:drawing>
                      <wp:inline distT="0" distB="0" distL="0" distR="0">
                        <wp:extent cx="2160000" cy="1405890"/>
                        <wp:effectExtent l="0" t="0" r="0" b="0"/>
                        <wp:docPr id="318" name="Gráfico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r w:rsidR="00361FCE" w:rsidTr="00033EE3">
              <w:trPr>
                <w:jc w:val="center"/>
              </w:trPr>
              <w:tc>
                <w:tcPr>
                  <w:tcW w:w="7256" w:type="dxa"/>
                  <w:gridSpan w:val="2"/>
                </w:tcPr>
                <w:tbl>
                  <w:tblPr>
                    <w:tblStyle w:val="Tablaconcuadrcula"/>
                    <w:tblW w:w="6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44"/>
                    <w:gridCol w:w="1531"/>
                    <w:gridCol w:w="1701"/>
                    <w:gridCol w:w="1814"/>
                  </w:tblGrid>
                  <w:tr w:rsidR="00361FCE" w:rsidTr="00033EE3">
                    <w:trPr>
                      <w:trHeight w:val="113"/>
                    </w:trPr>
                    <w:tc>
                      <w:tcPr>
                        <w:tcW w:w="1644" w:type="dxa"/>
                        <w:vAlign w:val="center"/>
                      </w:tcPr>
                      <w:p w:rsidR="00361FCE" w:rsidRPr="00033EE3" w:rsidRDefault="00436907" w:rsidP="00902050">
                        <w:pPr>
                          <w:jc w:val="left"/>
                          <w:rPr>
                            <w:rFonts w:ascii="Arial" w:hAnsi="Arial" w:cs="Arial"/>
                            <w:sz w:val="15"/>
                            <w:szCs w:val="15"/>
                          </w:rPr>
                        </w:pPr>
                        <w:r>
                          <w:rPr>
                            <w:rFonts w:ascii="Arial" w:hAnsi="Arial" w:cs="Arial"/>
                            <w:sz w:val="15"/>
                            <w:szCs w:val="15"/>
                          </w:rPr>
                        </w:r>
                        <w:r>
                          <w:rPr>
                            <w:rFonts w:ascii="Arial" w:hAnsi="Arial" w:cs="Arial"/>
                            <w:sz w:val="15"/>
                            <w:szCs w:val="15"/>
                          </w:rPr>
                          <w:pict>
                            <v:rect id="_x0000_s2445" style="width:7.1pt;height:7.15pt;mso-left-percent:-10001;mso-top-percent:-10001;mso-position-horizontal:absolute;mso-position-horizontal-relative:char;mso-position-vertical:absolute;mso-position-vertical-relative:line;mso-left-percent:-10001;mso-top-percent:-10001" fillcolor="#fc0" stroked="f">
                              <w10:wrap type="none"/>
                              <w10:anchorlock/>
                            </v:rect>
                          </w:pict>
                        </w:r>
                        <w:r w:rsidR="00361FCE" w:rsidRPr="00033EE3">
                          <w:rPr>
                            <w:rFonts w:ascii="Arial" w:hAnsi="Arial" w:cs="Arial"/>
                            <w:sz w:val="15"/>
                            <w:szCs w:val="15"/>
                          </w:rPr>
                          <w:t xml:space="preserve"> Población Extranjera      </w:t>
                        </w:r>
                      </w:p>
                      <w:p w:rsidR="00361FCE" w:rsidRPr="00033EE3" w:rsidRDefault="00361FCE" w:rsidP="00902050">
                        <w:pPr>
                          <w:jc w:val="left"/>
                          <w:rPr>
                            <w:rFonts w:ascii="Arial" w:hAnsi="Arial" w:cs="Arial"/>
                            <w:sz w:val="15"/>
                            <w:szCs w:val="15"/>
                          </w:rPr>
                        </w:pPr>
                        <w:r w:rsidRPr="00033EE3">
                          <w:rPr>
                            <w:rFonts w:ascii="Arial" w:hAnsi="Arial" w:cs="Arial"/>
                            <w:sz w:val="15"/>
                            <w:szCs w:val="15"/>
                          </w:rPr>
                          <w:t xml:space="preserve">    Total</w:t>
                        </w:r>
                      </w:p>
                    </w:tc>
                    <w:tc>
                      <w:tcPr>
                        <w:tcW w:w="1531" w:type="dxa"/>
                        <w:vAlign w:val="center"/>
                      </w:tcPr>
                      <w:p w:rsidR="00033EE3" w:rsidRDefault="00436907" w:rsidP="00033EE3">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44" style="width:7.1pt;height:7.15pt;mso-left-percent:-10001;mso-top-percent:-10001;mso-position-horizontal:absolute;mso-position-horizontal-relative:char;mso-position-vertical:absolute;mso-position-vertical-relative:line;mso-left-percent:-10001;mso-top-percent:-10001" fillcolor="#e36c0a [2409]" stroked="f">
                              <w10:wrap type="none"/>
                              <w10:anchorlock/>
                            </v:rect>
                          </w:pict>
                        </w:r>
                        <w:r w:rsidR="00361FCE" w:rsidRPr="00033EE3">
                          <w:rPr>
                            <w:rFonts w:ascii="Arial" w:hAnsi="Arial" w:cs="Arial"/>
                            <w:sz w:val="15"/>
                            <w:szCs w:val="15"/>
                          </w:rPr>
                          <w:t xml:space="preserve"> Población en Edad </w:t>
                        </w:r>
                      </w:p>
                      <w:p w:rsidR="00361FCE" w:rsidRPr="00033EE3" w:rsidRDefault="00033EE3" w:rsidP="00033EE3">
                        <w:pPr>
                          <w:tabs>
                            <w:tab w:val="left" w:pos="675"/>
                          </w:tabs>
                          <w:jc w:val="left"/>
                          <w:rPr>
                            <w:rFonts w:ascii="Arial" w:hAnsi="Arial" w:cs="Arial"/>
                            <w:sz w:val="15"/>
                            <w:szCs w:val="15"/>
                          </w:rPr>
                        </w:pPr>
                        <w:r>
                          <w:rPr>
                            <w:rFonts w:ascii="Arial" w:hAnsi="Arial" w:cs="Arial"/>
                            <w:sz w:val="15"/>
                            <w:szCs w:val="15"/>
                          </w:rPr>
                          <w:t xml:space="preserve">     </w:t>
                        </w:r>
                        <w:r w:rsidR="00361FCE" w:rsidRPr="00033EE3">
                          <w:rPr>
                            <w:rFonts w:ascii="Arial" w:hAnsi="Arial" w:cs="Arial"/>
                            <w:sz w:val="15"/>
                            <w:szCs w:val="15"/>
                          </w:rPr>
                          <w:t>de Trabajar</w:t>
                        </w:r>
                        <w:r w:rsidR="00361FCE" w:rsidRPr="00033EE3">
                          <w:rPr>
                            <w:rFonts w:ascii="Arial" w:hAnsi="Arial" w:cs="Arial"/>
                            <w:sz w:val="15"/>
                            <w:szCs w:val="15"/>
                          </w:rPr>
                          <w:tab/>
                        </w:r>
                      </w:p>
                    </w:tc>
                    <w:tc>
                      <w:tcPr>
                        <w:tcW w:w="1701" w:type="dxa"/>
                        <w:vAlign w:val="center"/>
                      </w:tcPr>
                      <w:p w:rsidR="00361FCE" w:rsidRPr="00033EE3" w:rsidRDefault="00436907" w:rsidP="00902050">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43" style="width:7.1pt;height:7.15pt;mso-left-percent:-10001;mso-top-percent:-10001;mso-position-horizontal:absolute;mso-position-horizontal-relative:char;mso-position-vertical:absolute;mso-position-vertical-relative:line;mso-left-percent:-10001;mso-top-percent:-10001" fillcolor="fuchsia" stroked="f">
                              <w10:wrap type="none"/>
                              <w10:anchorlock/>
                            </v:rect>
                          </w:pict>
                        </w:r>
                        <w:r w:rsidR="00361FCE" w:rsidRPr="00033EE3">
                          <w:rPr>
                            <w:rFonts w:ascii="Arial" w:hAnsi="Arial" w:cs="Arial"/>
                            <w:sz w:val="15"/>
                            <w:szCs w:val="15"/>
                          </w:rPr>
                          <w:t xml:space="preserve"> Población Económicamente Activa</w:t>
                        </w:r>
                      </w:p>
                    </w:tc>
                    <w:tc>
                      <w:tcPr>
                        <w:tcW w:w="1814" w:type="dxa"/>
                        <w:vAlign w:val="center"/>
                      </w:tcPr>
                      <w:p w:rsidR="00361FCE" w:rsidRPr="00033EE3" w:rsidRDefault="00436907" w:rsidP="00902050">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42" style="width:7.1pt;height:7.15pt;mso-left-percent:-10001;mso-top-percent:-10001;mso-position-horizontal:absolute;mso-position-horizontal-relative:char;mso-position-vertical:absolute;mso-position-vertical-relative:line;mso-left-percent:-10001;mso-top-percent:-10001" fillcolor="#00b0f0" stroked="f">
                              <w10:wrap type="none"/>
                              <w10:anchorlock/>
                            </v:rect>
                          </w:pict>
                        </w:r>
                        <w:r w:rsidR="00361FCE" w:rsidRPr="00033EE3">
                          <w:rPr>
                            <w:rFonts w:ascii="Arial" w:hAnsi="Arial" w:cs="Arial"/>
                            <w:sz w:val="15"/>
                            <w:szCs w:val="15"/>
                          </w:rPr>
                          <w:t xml:space="preserve"> Población Económicamente Inactiva</w:t>
                        </w:r>
                      </w:p>
                    </w:tc>
                  </w:tr>
                </w:tbl>
                <w:p w:rsidR="00361FCE" w:rsidRDefault="00361FCE" w:rsidP="00902050">
                  <w:pPr>
                    <w:rPr>
                      <w:noProof/>
                      <w:lang w:eastAsia="es-EC"/>
                    </w:rPr>
                  </w:pPr>
                </w:p>
              </w:tc>
            </w:tr>
          </w:tbl>
          <w:p w:rsidR="00361FCE" w:rsidRPr="0078148C" w:rsidRDefault="00361FCE" w:rsidP="00902050">
            <w:pPr>
              <w:jc w:val="left"/>
              <w:rPr>
                <w:rFonts w:ascii="Arial" w:hAnsi="Arial" w:cs="Arial"/>
                <w:i/>
                <w:sz w:val="16"/>
                <w:szCs w:val="16"/>
              </w:rPr>
            </w:pPr>
          </w:p>
        </w:tc>
      </w:tr>
    </w:tbl>
    <w:p w:rsidR="00361FCE" w:rsidRPr="00033EE3" w:rsidRDefault="00361FCE" w:rsidP="00033EE3">
      <w:pPr>
        <w:pStyle w:val="Prrafodelista"/>
        <w:spacing w:line="276" w:lineRule="auto"/>
        <w:ind w:left="851"/>
        <w:jc w:val="both"/>
        <w:rPr>
          <w:rFonts w:ascii="Arial" w:hAnsi="Arial" w:cs="Arial"/>
          <w:sz w:val="17"/>
          <w:szCs w:val="17"/>
        </w:rPr>
      </w:pPr>
    </w:p>
    <w:p w:rsidR="00361FCE" w:rsidRPr="00033EE3" w:rsidRDefault="00361FCE" w:rsidP="00033EE3">
      <w:pPr>
        <w:pStyle w:val="Prrafodelista"/>
        <w:spacing w:line="276" w:lineRule="auto"/>
        <w:ind w:left="851"/>
        <w:jc w:val="both"/>
        <w:rPr>
          <w:rFonts w:ascii="Arial" w:hAnsi="Arial" w:cs="Arial"/>
          <w:sz w:val="17"/>
          <w:szCs w:val="17"/>
        </w:rPr>
      </w:pPr>
      <w:r w:rsidRPr="00033EE3">
        <w:rPr>
          <w:rFonts w:ascii="Arial" w:hAnsi="Arial" w:cs="Arial"/>
          <w:b/>
          <w:i/>
          <w:sz w:val="17"/>
          <w:szCs w:val="17"/>
        </w:rPr>
        <w:t>Fuente:</w:t>
      </w:r>
      <w:r w:rsidRPr="00033EE3">
        <w:rPr>
          <w:rFonts w:ascii="Arial" w:hAnsi="Arial" w:cs="Arial"/>
          <w:sz w:val="17"/>
          <w:szCs w:val="17"/>
        </w:rPr>
        <w:t xml:space="preserve"> </w:t>
      </w:r>
      <w:r w:rsidRPr="00033EE3">
        <w:rPr>
          <w:rFonts w:ascii="Arial" w:hAnsi="Arial" w:cs="Arial"/>
          <w:b/>
          <w:sz w:val="17"/>
          <w:szCs w:val="17"/>
        </w:rPr>
        <w:t xml:space="preserve">INEC </w:t>
      </w:r>
      <w:r w:rsidRPr="00033EE3">
        <w:rPr>
          <w:rFonts w:ascii="Arial" w:hAnsi="Arial" w:cs="Arial"/>
          <w:sz w:val="17"/>
          <w:szCs w:val="17"/>
        </w:rPr>
        <w:t>(2010), Base de Datos del VII Censo de Población y VI de Vivienda.</w:t>
      </w:r>
    </w:p>
    <w:p w:rsidR="00361FCE" w:rsidRPr="00033EE3" w:rsidRDefault="00361FCE" w:rsidP="00033EE3">
      <w:pPr>
        <w:pStyle w:val="Prrafodelista"/>
        <w:spacing w:line="276" w:lineRule="auto"/>
        <w:ind w:left="851"/>
        <w:jc w:val="both"/>
        <w:rPr>
          <w:rFonts w:ascii="Arial" w:hAnsi="Arial" w:cs="Arial"/>
          <w:sz w:val="17"/>
          <w:szCs w:val="17"/>
        </w:rPr>
      </w:pPr>
      <w:r w:rsidRPr="00033EE3">
        <w:rPr>
          <w:rFonts w:ascii="Arial" w:hAnsi="Arial" w:cs="Arial"/>
          <w:b/>
          <w:i/>
          <w:sz w:val="17"/>
          <w:szCs w:val="17"/>
        </w:rPr>
        <w:t>Elaborado por:</w:t>
      </w:r>
      <w:r w:rsidRPr="00033EE3">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361FCE" w:rsidP="00C75F38">
      <w:pPr>
        <w:pStyle w:val="Estilo42"/>
        <w:ind w:left="1701" w:hanging="850"/>
      </w:pPr>
      <w:bookmarkStart w:id="542" w:name="_Toc337135524"/>
      <w:bookmarkStart w:id="543" w:name="_Toc341040674"/>
      <w:r>
        <w:t>Trabajo desempeñado por los colombianos</w:t>
      </w:r>
      <w:bookmarkEnd w:id="542"/>
      <w:bookmarkEnd w:id="543"/>
    </w:p>
    <w:p w:rsidR="00361FCE" w:rsidRDefault="00361FCE" w:rsidP="00033EE3">
      <w:pPr>
        <w:pStyle w:val="Prrafodelista"/>
        <w:spacing w:line="480" w:lineRule="auto"/>
        <w:ind w:left="851"/>
        <w:jc w:val="both"/>
        <w:rPr>
          <w:rFonts w:ascii="Arial" w:hAnsi="Arial" w:cs="Arial"/>
        </w:rPr>
      </w:pPr>
      <w:r>
        <w:rPr>
          <w:rFonts w:ascii="Arial" w:hAnsi="Arial" w:cs="Arial"/>
        </w:rPr>
        <w:t xml:space="preserve">En esta subsección analizaremos el trabajo que desempeñan los colombianos que residen habitualmente en Ecuador, esta característica fue consultada a la población mayor de 5 años, en la </w:t>
      </w:r>
      <w:r>
        <w:rPr>
          <w:rFonts w:ascii="Arial" w:hAnsi="Arial" w:cs="Arial"/>
          <w:i/>
        </w:rPr>
        <w:t>Figura 4.19</w:t>
      </w:r>
      <w:r>
        <w:rPr>
          <w:rFonts w:ascii="Arial" w:hAnsi="Arial" w:cs="Arial"/>
        </w:rPr>
        <w:t xml:space="preserve"> podemos observar que la mayoría de los residentes en el país de esta nacionalidad trabajan como empleados u obreros privados (36.70%), el 26.54% trabajan por cuenta propia, el 15.86% son jornaleros o peones, el 4.99% trabajan como empleados domésticos, el 4.80% son patrones, el 3.82% se desempeñan en algún trabajo </w:t>
      </w:r>
      <w:r w:rsidRPr="00787992">
        <w:rPr>
          <w:rFonts w:ascii="Arial" w:hAnsi="Arial" w:cs="Arial"/>
        </w:rPr>
        <w:t>del Estado, Gobierno</w:t>
      </w:r>
      <w:r>
        <w:rPr>
          <w:rFonts w:ascii="Arial" w:hAnsi="Arial" w:cs="Arial"/>
        </w:rPr>
        <w:t>, Municipio, Consejo Provincial o</w:t>
      </w:r>
      <w:r w:rsidRPr="00787992">
        <w:rPr>
          <w:rFonts w:ascii="Arial" w:hAnsi="Arial" w:cs="Arial"/>
        </w:rPr>
        <w:t xml:space="preserve"> Juntas Parroquiales</w:t>
      </w:r>
      <w:r>
        <w:rPr>
          <w:rFonts w:ascii="Arial" w:hAnsi="Arial" w:cs="Arial"/>
        </w:rPr>
        <w:t>, el 2.25% trabajan en sociedad con otras personas, el 1.96% de los colombianos es un trabajador no remunerado; y, el porcentaje restante no respondieron a esta pregunta.</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717DAA">
        <w:trPr>
          <w:trHeight w:val="2772"/>
          <w:jc w:val="right"/>
        </w:trPr>
        <w:tc>
          <w:tcPr>
            <w:tcW w:w="7497" w:type="dxa"/>
          </w:tcPr>
          <w:p w:rsidR="00361FCE" w:rsidRDefault="00361FCE" w:rsidP="00902050">
            <w:pPr>
              <w:rPr>
                <w:rFonts w:ascii="Arial" w:hAnsi="Arial" w:cs="Arial"/>
                <w:b/>
                <w:sz w:val="16"/>
                <w:szCs w:val="16"/>
              </w:rPr>
            </w:pPr>
          </w:p>
          <w:p w:rsidR="00EB3E69" w:rsidRPr="00EB3E69" w:rsidRDefault="00EB3E69" w:rsidP="00EB3E69">
            <w:pPr>
              <w:pStyle w:val="Epgrafe"/>
              <w:rPr>
                <w:rFonts w:ascii="Arial" w:hAnsi="Arial" w:cs="Arial"/>
                <w:bCs w:val="0"/>
                <w:color w:val="auto"/>
                <w:sz w:val="16"/>
                <w:szCs w:val="16"/>
              </w:rPr>
            </w:pPr>
            <w:bookmarkStart w:id="544" w:name="_Toc341043991"/>
            <w:r w:rsidRPr="00EB3E69">
              <w:rPr>
                <w:rFonts w:ascii="Arial" w:hAnsi="Arial" w:cs="Arial"/>
                <w:bCs w:val="0"/>
                <w:color w:val="auto"/>
                <w:sz w:val="16"/>
                <w:szCs w:val="16"/>
              </w:rPr>
              <w:t>Fig</w:t>
            </w:r>
            <w:r>
              <w:rPr>
                <w:rFonts w:ascii="Arial" w:hAnsi="Arial" w:cs="Arial"/>
                <w:bCs w:val="0"/>
                <w:color w:val="auto"/>
                <w:sz w:val="16"/>
                <w:szCs w:val="16"/>
              </w:rPr>
              <w:t>ura 4.</w:t>
            </w:r>
            <w:r w:rsidR="00990535" w:rsidRPr="00EB3E69">
              <w:rPr>
                <w:rFonts w:ascii="Arial" w:hAnsi="Arial" w:cs="Arial"/>
                <w:bCs w:val="0"/>
                <w:color w:val="auto"/>
                <w:sz w:val="16"/>
                <w:szCs w:val="16"/>
              </w:rPr>
              <w:fldChar w:fldCharType="begin"/>
            </w:r>
            <w:r w:rsidRPr="00EB3E69">
              <w:rPr>
                <w:rFonts w:ascii="Arial" w:hAnsi="Arial" w:cs="Arial"/>
                <w:bCs w:val="0"/>
                <w:color w:val="auto"/>
                <w:sz w:val="16"/>
                <w:szCs w:val="16"/>
              </w:rPr>
              <w:instrText xml:space="preserve"> SEQ Figura_4. \* ARABIC </w:instrText>
            </w:r>
            <w:r w:rsidR="00990535" w:rsidRPr="00EB3E69">
              <w:rPr>
                <w:rFonts w:ascii="Arial" w:hAnsi="Arial" w:cs="Arial"/>
                <w:bCs w:val="0"/>
                <w:color w:val="auto"/>
                <w:sz w:val="16"/>
                <w:szCs w:val="16"/>
              </w:rPr>
              <w:fldChar w:fldCharType="separate"/>
            </w:r>
            <w:r w:rsidR="00A242E0">
              <w:rPr>
                <w:rFonts w:ascii="Arial" w:hAnsi="Arial" w:cs="Arial"/>
                <w:bCs w:val="0"/>
                <w:noProof/>
                <w:color w:val="auto"/>
                <w:sz w:val="16"/>
                <w:szCs w:val="16"/>
              </w:rPr>
              <w:t>19</w:t>
            </w:r>
            <w:bookmarkEnd w:id="544"/>
            <w:r w:rsidR="00990535" w:rsidRPr="00EB3E69">
              <w:rPr>
                <w:rFonts w:ascii="Arial" w:hAnsi="Arial" w:cs="Arial"/>
                <w:bCs w:val="0"/>
                <w:color w:val="auto"/>
                <w:sz w:val="16"/>
                <w:szCs w:val="16"/>
              </w:rPr>
              <w:fldChar w:fldCharType="end"/>
            </w:r>
          </w:p>
          <w:p w:rsidR="00361FCE" w:rsidRDefault="00717DAA"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Frecuencia Relativa del trabajo que desempeñan los </w:t>
            </w:r>
            <w:r w:rsidR="00361FCE" w:rsidRPr="00717DAA">
              <w:rPr>
                <w:rFonts w:ascii="Arial" w:hAnsi="Arial" w:cs="Arial"/>
                <w:b/>
                <w:i/>
                <w:sz w:val="16"/>
                <w:szCs w:val="16"/>
              </w:rPr>
              <w:t>colombianos</w:t>
            </w:r>
            <w:r w:rsidR="00361FCE">
              <w:rPr>
                <w:rFonts w:ascii="Arial" w:hAnsi="Arial" w:cs="Arial"/>
                <w:i/>
                <w:sz w:val="16"/>
                <w:szCs w:val="16"/>
              </w:rPr>
              <w:t xml:space="preserve"> en </w:t>
            </w:r>
            <w:r>
              <w:rPr>
                <w:rFonts w:ascii="Arial" w:hAnsi="Arial" w:cs="Arial"/>
                <w:i/>
                <w:sz w:val="16"/>
                <w:szCs w:val="16"/>
              </w:rPr>
              <w:t>el país</w:t>
            </w:r>
          </w:p>
          <w:p w:rsidR="00361FCE" w:rsidRPr="0078148C" w:rsidRDefault="00361FCE" w:rsidP="00902050">
            <w:pPr>
              <w:rPr>
                <w:rFonts w:ascii="Arial" w:hAnsi="Arial" w:cs="Arial"/>
                <w:i/>
                <w:sz w:val="16"/>
                <w:szCs w:val="16"/>
              </w:rPr>
            </w:pPr>
            <w:r>
              <w:rPr>
                <w:noProof/>
                <w:lang w:eastAsia="es-EC"/>
              </w:rPr>
              <w:drawing>
                <wp:inline distT="0" distB="0" distL="0" distR="0">
                  <wp:extent cx="4486275" cy="2743200"/>
                  <wp:effectExtent l="0" t="0" r="0" b="0"/>
                  <wp:docPr id="319" name="Gráfico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r>
    </w:tbl>
    <w:p w:rsidR="00361FCE" w:rsidRPr="00717DAA" w:rsidRDefault="00361FCE" w:rsidP="00717DAA">
      <w:pPr>
        <w:pStyle w:val="Prrafodelista"/>
        <w:spacing w:line="276" w:lineRule="auto"/>
        <w:ind w:left="851"/>
        <w:jc w:val="both"/>
        <w:rPr>
          <w:rFonts w:ascii="Arial" w:hAnsi="Arial" w:cs="Arial"/>
          <w:sz w:val="17"/>
          <w:szCs w:val="17"/>
        </w:rPr>
      </w:pPr>
    </w:p>
    <w:p w:rsidR="00361FCE" w:rsidRPr="00717DAA" w:rsidRDefault="00361FCE" w:rsidP="00717DAA">
      <w:pPr>
        <w:pStyle w:val="Prrafodelista"/>
        <w:spacing w:line="276" w:lineRule="auto"/>
        <w:ind w:left="851"/>
        <w:jc w:val="both"/>
        <w:rPr>
          <w:rFonts w:ascii="Arial" w:hAnsi="Arial" w:cs="Arial"/>
          <w:sz w:val="17"/>
          <w:szCs w:val="17"/>
        </w:rPr>
      </w:pPr>
      <w:r w:rsidRPr="00717DAA">
        <w:rPr>
          <w:rFonts w:ascii="Arial" w:hAnsi="Arial" w:cs="Arial"/>
          <w:b/>
          <w:i/>
          <w:sz w:val="17"/>
          <w:szCs w:val="17"/>
        </w:rPr>
        <w:t>Fuente:</w:t>
      </w:r>
      <w:r w:rsidRPr="00717DAA">
        <w:rPr>
          <w:rFonts w:ascii="Arial" w:hAnsi="Arial" w:cs="Arial"/>
          <w:sz w:val="17"/>
          <w:szCs w:val="17"/>
        </w:rPr>
        <w:t xml:space="preserve"> </w:t>
      </w:r>
      <w:r w:rsidRPr="00717DAA">
        <w:rPr>
          <w:rFonts w:ascii="Arial" w:hAnsi="Arial" w:cs="Arial"/>
          <w:b/>
          <w:sz w:val="17"/>
          <w:szCs w:val="17"/>
        </w:rPr>
        <w:t xml:space="preserve">INEC </w:t>
      </w:r>
      <w:r w:rsidRPr="00717DAA">
        <w:rPr>
          <w:rFonts w:ascii="Arial" w:hAnsi="Arial" w:cs="Arial"/>
          <w:sz w:val="17"/>
          <w:szCs w:val="17"/>
        </w:rPr>
        <w:t>(2010), Base de Datos del VII Censo de Población y VI de Vivienda.</w:t>
      </w:r>
    </w:p>
    <w:p w:rsidR="00361FCE" w:rsidRDefault="00361FCE" w:rsidP="00717DAA">
      <w:pPr>
        <w:pStyle w:val="Prrafodelista"/>
        <w:spacing w:line="276" w:lineRule="auto"/>
        <w:ind w:left="851"/>
        <w:jc w:val="both"/>
        <w:rPr>
          <w:rFonts w:ascii="Arial" w:hAnsi="Arial" w:cs="Arial"/>
          <w:sz w:val="18"/>
          <w:szCs w:val="18"/>
        </w:rPr>
      </w:pPr>
      <w:r w:rsidRPr="00717DAA">
        <w:rPr>
          <w:rFonts w:ascii="Arial" w:hAnsi="Arial" w:cs="Arial"/>
          <w:b/>
          <w:i/>
          <w:sz w:val="17"/>
          <w:szCs w:val="17"/>
        </w:rPr>
        <w:t>Elaborado por:</w:t>
      </w:r>
      <w:r w:rsidRPr="00717DAA">
        <w:rPr>
          <w:rFonts w:ascii="Arial" w:hAnsi="Arial" w:cs="Arial"/>
          <w:sz w:val="17"/>
          <w:szCs w:val="17"/>
        </w:rPr>
        <w:t xml:space="preserve"> Katherine Loor Valeriano</w:t>
      </w:r>
    </w:p>
    <w:p w:rsidR="00361FCE" w:rsidRDefault="00361FCE" w:rsidP="00717DAA">
      <w:pPr>
        <w:pStyle w:val="Prrafodelista"/>
        <w:spacing w:line="480" w:lineRule="auto"/>
        <w:ind w:left="851"/>
        <w:jc w:val="both"/>
        <w:rPr>
          <w:rFonts w:ascii="Arial" w:hAnsi="Arial" w:cs="Arial"/>
        </w:rPr>
      </w:pPr>
    </w:p>
    <w:p w:rsidR="00361FCE" w:rsidRPr="00EF1CC4" w:rsidRDefault="00361FCE" w:rsidP="00717DAA">
      <w:pPr>
        <w:pStyle w:val="Prrafodelista"/>
        <w:spacing w:line="480" w:lineRule="auto"/>
        <w:ind w:left="851"/>
        <w:jc w:val="both"/>
        <w:rPr>
          <w:rFonts w:ascii="Arial" w:hAnsi="Arial" w:cs="Arial"/>
          <w:i/>
        </w:rPr>
      </w:pPr>
      <w:r>
        <w:rPr>
          <w:rFonts w:ascii="Arial" w:hAnsi="Arial" w:cs="Arial"/>
        </w:rPr>
        <w:t xml:space="preserve">Consideremos ahora el trabajo desempeñado por los colombianos para cada género, de donde obtenemos como se muestra en la </w:t>
      </w:r>
      <w:r>
        <w:rPr>
          <w:rFonts w:ascii="Arial" w:hAnsi="Arial" w:cs="Arial"/>
          <w:i/>
        </w:rPr>
        <w:t>Figura 4.20</w:t>
      </w:r>
      <w:r>
        <w:rPr>
          <w:rFonts w:ascii="Arial" w:hAnsi="Arial" w:cs="Arial"/>
        </w:rPr>
        <w:t xml:space="preserve"> que para el caso de los hombres el 36.26% son empleados u obreros privados, dicha actividad es también desempeñada por el 37.25% de las mujeres; en lo que respecta a trabajar como jornaleros o peones vemos que el 22.30% de los hombres desempeñan este trabajo frente al 6.03% de las mujeres que hacen lo mismo, notándose finalmente que para los colombianos esta actividad es predominantemente de hombres. </w:t>
      </w:r>
      <w:r w:rsidR="00717DAA">
        <w:rPr>
          <w:rFonts w:ascii="Arial" w:hAnsi="Arial" w:cs="Arial"/>
        </w:rPr>
        <w:t>L</w:t>
      </w:r>
      <w:r>
        <w:rPr>
          <w:rFonts w:ascii="Arial" w:hAnsi="Arial" w:cs="Arial"/>
        </w:rPr>
        <w:t xml:space="preserve">as actividades domésticas son predominantes en las mujeres pues el 11.92% de ellas las realizan, y tan solo el 0.43% de los hombres trabajan en calidad de empleados domésticos; y, de los que trabajan por cuenta propia se tiene que el 26.15% de los hombres son trabajadores independientes y el 27.13% de las </w:t>
      </w:r>
      <w:r>
        <w:rPr>
          <w:rFonts w:ascii="Arial" w:hAnsi="Arial" w:cs="Arial"/>
        </w:rPr>
        <w:lastRenderedPageBreak/>
        <w:t>mujeres desempeñan lo mismo. Además, tenemos que el 1.83% de los hombres no tienen remuneración y el 2.15% de las mujeres no perciben salario alguno.</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717DAA">
        <w:trPr>
          <w:trHeight w:val="2772"/>
          <w:jc w:val="right"/>
        </w:trPr>
        <w:tc>
          <w:tcPr>
            <w:tcW w:w="7497" w:type="dxa"/>
          </w:tcPr>
          <w:p w:rsidR="00361FCE" w:rsidRDefault="00361FCE" w:rsidP="00902050">
            <w:pPr>
              <w:rPr>
                <w:rFonts w:ascii="Arial" w:hAnsi="Arial" w:cs="Arial"/>
                <w:b/>
                <w:sz w:val="16"/>
                <w:szCs w:val="16"/>
              </w:rPr>
            </w:pPr>
          </w:p>
          <w:p w:rsidR="00EB3E69" w:rsidRPr="00EB3E69" w:rsidRDefault="00EB3E69" w:rsidP="00EB3E69">
            <w:pPr>
              <w:pStyle w:val="Epgrafe"/>
              <w:rPr>
                <w:rFonts w:ascii="Arial" w:hAnsi="Arial" w:cs="Arial"/>
                <w:bCs w:val="0"/>
                <w:color w:val="auto"/>
                <w:sz w:val="16"/>
                <w:szCs w:val="16"/>
              </w:rPr>
            </w:pPr>
            <w:bookmarkStart w:id="545" w:name="_Toc341043992"/>
            <w:r>
              <w:rPr>
                <w:rFonts w:ascii="Arial" w:hAnsi="Arial" w:cs="Arial"/>
                <w:bCs w:val="0"/>
                <w:color w:val="auto"/>
                <w:sz w:val="16"/>
                <w:szCs w:val="16"/>
              </w:rPr>
              <w:t>Figura 4.</w:t>
            </w:r>
            <w:r w:rsidR="00990535" w:rsidRPr="00EB3E69">
              <w:rPr>
                <w:rFonts w:ascii="Arial" w:hAnsi="Arial" w:cs="Arial"/>
                <w:bCs w:val="0"/>
                <w:color w:val="auto"/>
                <w:sz w:val="16"/>
                <w:szCs w:val="16"/>
              </w:rPr>
              <w:fldChar w:fldCharType="begin"/>
            </w:r>
            <w:r w:rsidRPr="00EB3E69">
              <w:rPr>
                <w:rFonts w:ascii="Arial" w:hAnsi="Arial" w:cs="Arial"/>
                <w:bCs w:val="0"/>
                <w:color w:val="auto"/>
                <w:sz w:val="16"/>
                <w:szCs w:val="16"/>
              </w:rPr>
              <w:instrText xml:space="preserve"> SEQ Figura_4. \* ARABIC </w:instrText>
            </w:r>
            <w:r w:rsidR="00990535" w:rsidRPr="00EB3E69">
              <w:rPr>
                <w:rFonts w:ascii="Arial" w:hAnsi="Arial" w:cs="Arial"/>
                <w:bCs w:val="0"/>
                <w:color w:val="auto"/>
                <w:sz w:val="16"/>
                <w:szCs w:val="16"/>
              </w:rPr>
              <w:fldChar w:fldCharType="separate"/>
            </w:r>
            <w:r w:rsidR="00A242E0">
              <w:rPr>
                <w:rFonts w:ascii="Arial" w:hAnsi="Arial" w:cs="Arial"/>
                <w:bCs w:val="0"/>
                <w:noProof/>
                <w:color w:val="auto"/>
                <w:sz w:val="16"/>
                <w:szCs w:val="16"/>
              </w:rPr>
              <w:t>20</w:t>
            </w:r>
            <w:bookmarkEnd w:id="545"/>
            <w:r w:rsidR="00990535" w:rsidRPr="00EB3E69">
              <w:rPr>
                <w:rFonts w:ascii="Arial" w:hAnsi="Arial" w:cs="Arial"/>
                <w:bCs w:val="0"/>
                <w:color w:val="auto"/>
                <w:sz w:val="16"/>
                <w:szCs w:val="16"/>
              </w:rPr>
              <w:fldChar w:fldCharType="end"/>
            </w:r>
          </w:p>
          <w:p w:rsidR="003A48FE" w:rsidRDefault="003A48FE" w:rsidP="003A48FE">
            <w:pPr>
              <w:rPr>
                <w:rFonts w:ascii="Arial" w:hAnsi="Arial" w:cs="Arial"/>
                <w:i/>
                <w:sz w:val="16"/>
                <w:szCs w:val="16"/>
              </w:rPr>
            </w:pPr>
            <w:r w:rsidRPr="00016219">
              <w:rPr>
                <w:rFonts w:ascii="Arial" w:hAnsi="Arial" w:cs="Arial"/>
                <w:b/>
                <w:i/>
                <w:sz w:val="16"/>
                <w:szCs w:val="16"/>
              </w:rPr>
              <w:t xml:space="preserve">Ecuador 2010: </w:t>
            </w:r>
            <w:r>
              <w:rPr>
                <w:rFonts w:ascii="Arial" w:hAnsi="Arial" w:cs="Arial"/>
                <w:i/>
                <w:sz w:val="16"/>
                <w:szCs w:val="16"/>
              </w:rPr>
              <w:t>Distribución condicional</w:t>
            </w:r>
            <w:r w:rsidRPr="00016219">
              <w:rPr>
                <w:rFonts w:ascii="Arial" w:hAnsi="Arial" w:cs="Arial"/>
                <w:i/>
                <w:sz w:val="16"/>
                <w:szCs w:val="16"/>
              </w:rPr>
              <w:t xml:space="preserve"> del Trabajo desempeñado por los </w:t>
            </w:r>
            <w:r>
              <w:rPr>
                <w:rFonts w:ascii="Arial" w:hAnsi="Arial" w:cs="Arial"/>
                <w:b/>
                <w:i/>
                <w:sz w:val="16"/>
                <w:szCs w:val="16"/>
              </w:rPr>
              <w:t>colombianos</w:t>
            </w:r>
            <w:r w:rsidRPr="00016219">
              <w:rPr>
                <w:rFonts w:ascii="Arial" w:hAnsi="Arial" w:cs="Arial"/>
                <w:i/>
                <w:sz w:val="16"/>
                <w:szCs w:val="16"/>
              </w:rPr>
              <w:t xml:space="preserve"> </w:t>
            </w:r>
          </w:p>
          <w:p w:rsidR="00361FCE" w:rsidRPr="0078148C" w:rsidRDefault="003A48FE" w:rsidP="003A48FE">
            <w:pPr>
              <w:rPr>
                <w:rFonts w:ascii="Arial" w:hAnsi="Arial" w:cs="Arial"/>
                <w:i/>
                <w:sz w:val="16"/>
                <w:szCs w:val="16"/>
              </w:rPr>
            </w:pPr>
            <w:r>
              <w:rPr>
                <w:rFonts w:ascii="Arial" w:hAnsi="Arial" w:cs="Arial"/>
                <w:i/>
                <w:sz w:val="16"/>
                <w:szCs w:val="16"/>
              </w:rPr>
              <w:t xml:space="preserve">dado que se conoce el </w:t>
            </w:r>
            <w:r w:rsidRPr="00016219">
              <w:rPr>
                <w:rFonts w:ascii="Arial" w:hAnsi="Arial" w:cs="Arial"/>
                <w:i/>
                <w:sz w:val="16"/>
                <w:szCs w:val="16"/>
              </w:rPr>
              <w:t xml:space="preserve"> Género</w:t>
            </w:r>
            <w:r w:rsidR="00717DAA">
              <w:rPr>
                <w:noProof/>
                <w:lang w:eastAsia="es-EC"/>
              </w:rPr>
              <w:t xml:space="preserve"> </w:t>
            </w:r>
            <w:r w:rsidR="00717DAA">
              <w:rPr>
                <w:noProof/>
                <w:lang w:eastAsia="es-EC"/>
              </w:rPr>
              <w:drawing>
                <wp:inline distT="0" distB="0" distL="0" distR="0">
                  <wp:extent cx="4514850" cy="2952000"/>
                  <wp:effectExtent l="0" t="0" r="0" b="0"/>
                  <wp:docPr id="411" name="Gráfico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bl>
    <w:p w:rsidR="00361FCE" w:rsidRPr="00717DAA" w:rsidRDefault="00361FCE" w:rsidP="00717DAA">
      <w:pPr>
        <w:pStyle w:val="Prrafodelista"/>
        <w:spacing w:line="276" w:lineRule="auto"/>
        <w:ind w:left="851"/>
        <w:jc w:val="both"/>
        <w:rPr>
          <w:rFonts w:ascii="Arial" w:hAnsi="Arial" w:cs="Arial"/>
          <w:sz w:val="17"/>
          <w:szCs w:val="17"/>
        </w:rPr>
      </w:pPr>
    </w:p>
    <w:p w:rsidR="00361FCE" w:rsidRPr="00717DAA" w:rsidRDefault="00361FCE" w:rsidP="00717DAA">
      <w:pPr>
        <w:pStyle w:val="Prrafodelista"/>
        <w:spacing w:line="276" w:lineRule="auto"/>
        <w:ind w:left="851"/>
        <w:jc w:val="both"/>
        <w:rPr>
          <w:rFonts w:ascii="Arial" w:hAnsi="Arial" w:cs="Arial"/>
          <w:sz w:val="17"/>
          <w:szCs w:val="17"/>
        </w:rPr>
      </w:pPr>
      <w:r w:rsidRPr="00717DAA">
        <w:rPr>
          <w:rFonts w:ascii="Arial" w:hAnsi="Arial" w:cs="Arial"/>
          <w:b/>
          <w:i/>
          <w:sz w:val="17"/>
          <w:szCs w:val="17"/>
        </w:rPr>
        <w:t>Fuente:</w:t>
      </w:r>
      <w:r w:rsidRPr="00717DAA">
        <w:rPr>
          <w:rFonts w:ascii="Arial" w:hAnsi="Arial" w:cs="Arial"/>
          <w:sz w:val="17"/>
          <w:szCs w:val="17"/>
        </w:rPr>
        <w:t xml:space="preserve"> </w:t>
      </w:r>
      <w:r w:rsidRPr="00717DAA">
        <w:rPr>
          <w:rFonts w:ascii="Arial" w:hAnsi="Arial" w:cs="Arial"/>
          <w:b/>
          <w:sz w:val="17"/>
          <w:szCs w:val="17"/>
        </w:rPr>
        <w:t xml:space="preserve">INEC </w:t>
      </w:r>
      <w:r w:rsidRPr="00717DAA">
        <w:rPr>
          <w:rFonts w:ascii="Arial" w:hAnsi="Arial" w:cs="Arial"/>
          <w:sz w:val="17"/>
          <w:szCs w:val="17"/>
        </w:rPr>
        <w:t>(2010), Base de Datos del VII Censo de Población y VI de Vivienda.</w:t>
      </w:r>
    </w:p>
    <w:p w:rsidR="00361FCE" w:rsidRDefault="00361FCE" w:rsidP="00717DAA">
      <w:pPr>
        <w:pStyle w:val="Prrafodelista"/>
        <w:spacing w:line="276" w:lineRule="auto"/>
        <w:ind w:left="851"/>
        <w:jc w:val="both"/>
        <w:rPr>
          <w:rFonts w:ascii="Arial" w:hAnsi="Arial" w:cs="Arial"/>
        </w:rPr>
      </w:pPr>
      <w:r w:rsidRPr="00717DAA">
        <w:rPr>
          <w:rFonts w:ascii="Arial" w:hAnsi="Arial" w:cs="Arial"/>
          <w:b/>
          <w:i/>
          <w:sz w:val="17"/>
          <w:szCs w:val="17"/>
        </w:rPr>
        <w:t>Elaborado por:</w:t>
      </w:r>
      <w:r w:rsidRPr="00717DAA">
        <w:rPr>
          <w:rFonts w:ascii="Arial" w:hAnsi="Arial" w:cs="Arial"/>
          <w:sz w:val="17"/>
          <w:szCs w:val="17"/>
        </w:rPr>
        <w:t xml:space="preserve"> Katherine Loor Valeriano</w:t>
      </w:r>
    </w:p>
    <w:p w:rsidR="00361FCE" w:rsidRDefault="00361FCE" w:rsidP="00717DAA">
      <w:pPr>
        <w:pStyle w:val="Prrafodelista"/>
        <w:spacing w:line="480" w:lineRule="auto"/>
        <w:ind w:left="851"/>
        <w:jc w:val="both"/>
        <w:rPr>
          <w:rFonts w:ascii="Arial" w:hAnsi="Arial" w:cs="Arial"/>
        </w:rPr>
      </w:pPr>
    </w:p>
    <w:p w:rsidR="00717DAA" w:rsidRDefault="00361FCE" w:rsidP="00717DAA">
      <w:pPr>
        <w:pStyle w:val="Prrafodelista"/>
        <w:spacing w:line="480" w:lineRule="auto"/>
        <w:ind w:left="851"/>
        <w:jc w:val="both"/>
        <w:rPr>
          <w:rFonts w:ascii="Arial" w:hAnsi="Arial" w:cs="Arial"/>
        </w:rPr>
      </w:pPr>
      <w:r>
        <w:rPr>
          <w:rFonts w:ascii="Arial" w:hAnsi="Arial" w:cs="Arial"/>
        </w:rPr>
        <w:t xml:space="preserve">A mas de analizar que trabajo desempeñan los colombianos por género, veamos que sucede si lo analizamos para cada grupo de edad. En la      </w:t>
      </w:r>
      <w:r>
        <w:rPr>
          <w:rFonts w:ascii="Arial" w:hAnsi="Arial" w:cs="Arial"/>
          <w:i/>
        </w:rPr>
        <w:t>Figura 4.21</w:t>
      </w:r>
      <w:r>
        <w:rPr>
          <w:rFonts w:ascii="Arial" w:hAnsi="Arial" w:cs="Arial"/>
        </w:rPr>
        <w:t xml:space="preserve">, podemos notar que los menores de 15 años no trabajan como </w:t>
      </w:r>
      <w:r w:rsidRPr="00651C8C">
        <w:rPr>
          <w:rFonts w:ascii="Arial" w:hAnsi="Arial" w:cs="Arial"/>
        </w:rPr>
        <w:t>Empleado u obrero del Estado, Gobierno</w:t>
      </w:r>
      <w:r>
        <w:rPr>
          <w:rFonts w:ascii="Arial" w:hAnsi="Arial" w:cs="Arial"/>
        </w:rPr>
        <w:t>, Municipio, Consejo Provincial o</w:t>
      </w:r>
      <w:r w:rsidRPr="00651C8C">
        <w:rPr>
          <w:rFonts w:ascii="Arial" w:hAnsi="Arial" w:cs="Arial"/>
        </w:rPr>
        <w:t xml:space="preserve"> Juntas Parroquiales</w:t>
      </w:r>
      <w:r>
        <w:rPr>
          <w:rFonts w:ascii="Arial" w:hAnsi="Arial" w:cs="Arial"/>
        </w:rPr>
        <w:t xml:space="preserve">; el porcentaje de empleados u obreros privados va aumentando hasta los 25 años, a partir de esta edad empiezan a disminuir levemente hasta que a edades entre 95 y 100 años no hay colombianos que sean empleados u obreros públicos; mientras que el porcentaje de los </w:t>
      </w:r>
      <w:r>
        <w:rPr>
          <w:rFonts w:ascii="Arial" w:hAnsi="Arial" w:cs="Arial"/>
        </w:rPr>
        <w:lastRenderedPageBreak/>
        <w:t>que trabajan por cuenta propia aumenta a medida que aumenta la edad, teniéndose que los colombianos con edades comprendidas entre 95 y 100 años todos trabajan por cuenta propia.</w:t>
      </w:r>
      <w:r w:rsidR="00717DAA">
        <w:rPr>
          <w:rFonts w:ascii="Arial" w:hAnsi="Arial" w:cs="Arial"/>
        </w:rPr>
        <w:t xml:space="preserve"> </w:t>
      </w:r>
    </w:p>
    <w:p w:rsidR="00717DAA" w:rsidRDefault="00717DAA" w:rsidP="00717DAA">
      <w:pPr>
        <w:pStyle w:val="Prrafodelista"/>
        <w:spacing w:line="480" w:lineRule="auto"/>
        <w:ind w:left="851"/>
        <w:jc w:val="both"/>
        <w:rPr>
          <w:rFonts w:ascii="Arial" w:hAnsi="Arial" w:cs="Arial"/>
        </w:rPr>
      </w:pPr>
    </w:p>
    <w:p w:rsidR="00361FCE" w:rsidRDefault="00361FCE" w:rsidP="00717DAA">
      <w:pPr>
        <w:pStyle w:val="Prrafodelista"/>
        <w:spacing w:line="480" w:lineRule="auto"/>
        <w:ind w:left="851"/>
        <w:jc w:val="both"/>
        <w:rPr>
          <w:rFonts w:ascii="Arial" w:hAnsi="Arial" w:cs="Arial"/>
        </w:rPr>
      </w:pPr>
      <w:r>
        <w:rPr>
          <w:rFonts w:ascii="Arial" w:hAnsi="Arial" w:cs="Arial"/>
        </w:rPr>
        <w:t xml:space="preserve">De los colombianos con edades entre 5 y 10 año tenemos que el 4.35% son empleados u obreros privados, el 8.70% son jornaleros o peones, el 21.74% trabajan por cuenta propia, el 2.17% son trabajadores no remunerados; y, el 63.04% no respondieron a esta pregunta. </w:t>
      </w:r>
      <w:r w:rsidR="00F91C02">
        <w:rPr>
          <w:rFonts w:ascii="Arial" w:hAnsi="Arial" w:cs="Arial"/>
        </w:rPr>
        <w:t>L</w:t>
      </w:r>
      <w:r>
        <w:rPr>
          <w:rFonts w:ascii="Arial" w:hAnsi="Arial" w:cs="Arial"/>
        </w:rPr>
        <w:t xml:space="preserve">os colombianos residentes en Ecuador con edades entre 30 y 35 años, se tiene que el 4.29% trabajan para el sector público, el 41.85% son empleados u obreros privados, el 13.44% son jornaleros o peones, el 4.21% son patrones, el 2.71% trabajan en sociedad con otras personas, el 24.59% trabajan por cuenta propia, el 1.37% son trabajadores no remunerados, el 4.64% son empleados domésticos y el 2.90% no respondieron a esta pregunta. </w:t>
      </w:r>
    </w:p>
    <w:p w:rsidR="00361FCE" w:rsidRDefault="00361FCE" w:rsidP="00717DAA">
      <w:pPr>
        <w:pStyle w:val="Prrafodelista"/>
        <w:spacing w:line="480" w:lineRule="auto"/>
        <w:ind w:left="851"/>
        <w:jc w:val="both"/>
        <w:rPr>
          <w:rFonts w:ascii="Arial" w:hAnsi="Arial" w:cs="Arial"/>
        </w:rPr>
      </w:pPr>
    </w:p>
    <w:p w:rsidR="00361FCE" w:rsidRPr="003A0108" w:rsidRDefault="00361FCE" w:rsidP="00717DAA">
      <w:pPr>
        <w:pStyle w:val="Prrafodelista"/>
        <w:spacing w:line="480" w:lineRule="auto"/>
        <w:ind w:left="851"/>
        <w:jc w:val="both"/>
        <w:rPr>
          <w:rFonts w:ascii="Arial" w:hAnsi="Arial" w:cs="Arial"/>
          <w:i/>
        </w:rPr>
      </w:pPr>
      <w:r>
        <w:rPr>
          <w:rFonts w:ascii="Arial" w:hAnsi="Arial" w:cs="Arial"/>
        </w:rPr>
        <w:t xml:space="preserve">Por otra parte, de los colombianos con edades entre 60 y 65 años, el 2.95% son empleados u obreros públicos, el 23.26% son empleados privados, el 17.57% son jornaleros o peones, el 7.18% patrones, 2.48% trabajan en compañía de algún socio, el 36.12% trabajan por cuenta propia, 2.02% son trabajadores no remunerados, el 4.60% son empleados domésticos y el 3.82% son datos ignorados o faltantes; y, finalmente de los colombianos mayores a 100 años tenemos que el 66.67% trabajan como empleados u </w:t>
      </w:r>
      <w:r>
        <w:rPr>
          <w:rFonts w:ascii="Arial" w:hAnsi="Arial" w:cs="Arial"/>
        </w:rPr>
        <w:lastRenderedPageBreak/>
        <w:t xml:space="preserve">obreros privados y el 33.33% no respondieron a esta pregunta. Para más detalles </w:t>
      </w:r>
      <w:r>
        <w:rPr>
          <w:rFonts w:ascii="Arial" w:hAnsi="Arial" w:cs="Arial"/>
          <w:i/>
        </w:rPr>
        <w:t>véase Figura 4.21.</w:t>
      </w:r>
    </w:p>
    <w:tbl>
      <w:tblPr>
        <w:tblStyle w:val="Tablaconcuadrcula"/>
        <w:tblW w:w="7527" w:type="dxa"/>
        <w:jc w:val="right"/>
        <w:tblInd w:w="114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27"/>
      </w:tblGrid>
      <w:tr w:rsidR="00361FCE" w:rsidRPr="00840530" w:rsidTr="00717DAA">
        <w:trPr>
          <w:trHeight w:val="2772"/>
          <w:jc w:val="right"/>
        </w:trPr>
        <w:tc>
          <w:tcPr>
            <w:tcW w:w="7527" w:type="dxa"/>
          </w:tcPr>
          <w:p w:rsidR="00361FCE" w:rsidRDefault="00361FCE" w:rsidP="00902050">
            <w:pPr>
              <w:rPr>
                <w:rFonts w:ascii="Arial" w:hAnsi="Arial" w:cs="Arial"/>
                <w:b/>
                <w:sz w:val="16"/>
                <w:szCs w:val="16"/>
              </w:rPr>
            </w:pPr>
          </w:p>
          <w:p w:rsidR="00EB3E69" w:rsidRPr="00EB3E69" w:rsidRDefault="00EB3E69" w:rsidP="00EB3E69">
            <w:pPr>
              <w:pStyle w:val="Epgrafe"/>
              <w:rPr>
                <w:rFonts w:ascii="Arial" w:hAnsi="Arial" w:cs="Arial"/>
                <w:bCs w:val="0"/>
                <w:color w:val="auto"/>
                <w:sz w:val="16"/>
                <w:szCs w:val="16"/>
              </w:rPr>
            </w:pPr>
            <w:bookmarkStart w:id="546" w:name="_Toc341043993"/>
            <w:r>
              <w:rPr>
                <w:rFonts w:ascii="Arial" w:hAnsi="Arial" w:cs="Arial"/>
                <w:bCs w:val="0"/>
                <w:color w:val="auto"/>
                <w:sz w:val="16"/>
                <w:szCs w:val="16"/>
              </w:rPr>
              <w:t>Figura 4.</w:t>
            </w:r>
            <w:r w:rsidR="00990535" w:rsidRPr="00EB3E69">
              <w:rPr>
                <w:rFonts w:ascii="Arial" w:hAnsi="Arial" w:cs="Arial"/>
                <w:bCs w:val="0"/>
                <w:color w:val="auto"/>
                <w:sz w:val="16"/>
                <w:szCs w:val="16"/>
              </w:rPr>
              <w:fldChar w:fldCharType="begin"/>
            </w:r>
            <w:r w:rsidRPr="00EB3E69">
              <w:rPr>
                <w:rFonts w:ascii="Arial" w:hAnsi="Arial" w:cs="Arial"/>
                <w:bCs w:val="0"/>
                <w:color w:val="auto"/>
                <w:sz w:val="16"/>
                <w:szCs w:val="16"/>
              </w:rPr>
              <w:instrText xml:space="preserve"> SEQ Figura_4. \* ARABIC </w:instrText>
            </w:r>
            <w:r w:rsidR="00990535" w:rsidRPr="00EB3E69">
              <w:rPr>
                <w:rFonts w:ascii="Arial" w:hAnsi="Arial" w:cs="Arial"/>
                <w:bCs w:val="0"/>
                <w:color w:val="auto"/>
                <w:sz w:val="16"/>
                <w:szCs w:val="16"/>
              </w:rPr>
              <w:fldChar w:fldCharType="separate"/>
            </w:r>
            <w:r w:rsidR="00A242E0">
              <w:rPr>
                <w:rFonts w:ascii="Arial" w:hAnsi="Arial" w:cs="Arial"/>
                <w:bCs w:val="0"/>
                <w:noProof/>
                <w:color w:val="auto"/>
                <w:sz w:val="16"/>
                <w:szCs w:val="16"/>
              </w:rPr>
              <w:t>21</w:t>
            </w:r>
            <w:bookmarkEnd w:id="546"/>
            <w:r w:rsidR="00990535" w:rsidRPr="00EB3E69">
              <w:rPr>
                <w:rFonts w:ascii="Arial" w:hAnsi="Arial" w:cs="Arial"/>
                <w:bCs w:val="0"/>
                <w:color w:val="auto"/>
                <w:sz w:val="16"/>
                <w:szCs w:val="16"/>
              </w:rPr>
              <w:fldChar w:fldCharType="end"/>
            </w:r>
          </w:p>
          <w:p w:rsidR="003A48FE" w:rsidRDefault="003A48FE" w:rsidP="003A48FE">
            <w:pPr>
              <w:rPr>
                <w:rFonts w:ascii="Arial" w:hAnsi="Arial" w:cs="Arial"/>
                <w:i/>
                <w:sz w:val="16"/>
                <w:szCs w:val="16"/>
              </w:rPr>
            </w:pPr>
            <w:r w:rsidRPr="00016219">
              <w:rPr>
                <w:rFonts w:ascii="Arial" w:hAnsi="Arial" w:cs="Arial"/>
                <w:b/>
                <w:i/>
                <w:sz w:val="16"/>
                <w:szCs w:val="16"/>
              </w:rPr>
              <w:t xml:space="preserve">Ecuador 2010: </w:t>
            </w:r>
            <w:r>
              <w:rPr>
                <w:rFonts w:ascii="Arial" w:hAnsi="Arial" w:cs="Arial"/>
                <w:i/>
                <w:sz w:val="16"/>
                <w:szCs w:val="16"/>
              </w:rPr>
              <w:t>Distribución condicional</w:t>
            </w:r>
            <w:r w:rsidRPr="00016219">
              <w:rPr>
                <w:rFonts w:ascii="Arial" w:hAnsi="Arial" w:cs="Arial"/>
                <w:i/>
                <w:sz w:val="16"/>
                <w:szCs w:val="16"/>
              </w:rPr>
              <w:t xml:space="preserve"> del trabajo desempeñado por los </w:t>
            </w:r>
            <w:r>
              <w:rPr>
                <w:rFonts w:ascii="Arial" w:hAnsi="Arial" w:cs="Arial"/>
                <w:b/>
                <w:i/>
                <w:sz w:val="16"/>
                <w:szCs w:val="16"/>
              </w:rPr>
              <w:t>colombianos</w:t>
            </w:r>
            <w:r w:rsidRPr="00016219">
              <w:rPr>
                <w:rFonts w:ascii="Arial" w:hAnsi="Arial" w:cs="Arial"/>
                <w:i/>
                <w:sz w:val="16"/>
                <w:szCs w:val="16"/>
              </w:rPr>
              <w:t xml:space="preserve"> </w:t>
            </w:r>
          </w:p>
          <w:p w:rsidR="00361FCE" w:rsidRPr="0078148C" w:rsidRDefault="003A48FE" w:rsidP="003A48FE">
            <w:pPr>
              <w:rPr>
                <w:rFonts w:ascii="Arial" w:hAnsi="Arial" w:cs="Arial"/>
                <w:i/>
                <w:sz w:val="16"/>
                <w:szCs w:val="16"/>
              </w:rPr>
            </w:pPr>
            <w:r>
              <w:rPr>
                <w:rFonts w:ascii="Arial" w:hAnsi="Arial" w:cs="Arial"/>
                <w:i/>
                <w:sz w:val="16"/>
                <w:szCs w:val="16"/>
              </w:rPr>
              <w:t>dado que se conoce el</w:t>
            </w:r>
            <w:r w:rsidRPr="00016219">
              <w:rPr>
                <w:rFonts w:ascii="Arial" w:hAnsi="Arial" w:cs="Arial"/>
                <w:i/>
                <w:sz w:val="16"/>
                <w:szCs w:val="16"/>
              </w:rPr>
              <w:t xml:space="preserve"> Grupo etario</w:t>
            </w:r>
            <w:r>
              <w:rPr>
                <w:noProof/>
                <w:lang w:eastAsia="es-EC"/>
              </w:rPr>
              <w:t xml:space="preserve"> </w:t>
            </w:r>
            <w:r w:rsidR="00361FCE">
              <w:rPr>
                <w:noProof/>
                <w:lang w:eastAsia="es-EC"/>
              </w:rPr>
              <w:drawing>
                <wp:inline distT="0" distB="0" distL="0" distR="0">
                  <wp:extent cx="4572000" cy="3409950"/>
                  <wp:effectExtent l="0" t="0" r="0" b="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bl>
    <w:p w:rsidR="00361FCE" w:rsidRPr="00717DAA" w:rsidRDefault="00361FCE" w:rsidP="00717DAA">
      <w:pPr>
        <w:pStyle w:val="Prrafodelista"/>
        <w:spacing w:line="276" w:lineRule="auto"/>
        <w:ind w:left="851"/>
        <w:jc w:val="both"/>
        <w:rPr>
          <w:rFonts w:ascii="Arial" w:hAnsi="Arial" w:cs="Arial"/>
          <w:sz w:val="17"/>
          <w:szCs w:val="17"/>
        </w:rPr>
      </w:pPr>
    </w:p>
    <w:p w:rsidR="00361FCE" w:rsidRPr="00717DAA" w:rsidRDefault="00361FCE" w:rsidP="00717DAA">
      <w:pPr>
        <w:pStyle w:val="Prrafodelista"/>
        <w:spacing w:line="276" w:lineRule="auto"/>
        <w:ind w:left="851"/>
        <w:jc w:val="both"/>
        <w:rPr>
          <w:rFonts w:ascii="Arial" w:hAnsi="Arial" w:cs="Arial"/>
          <w:sz w:val="17"/>
          <w:szCs w:val="17"/>
        </w:rPr>
      </w:pPr>
      <w:r w:rsidRPr="00717DAA">
        <w:rPr>
          <w:rFonts w:ascii="Arial" w:hAnsi="Arial" w:cs="Arial"/>
          <w:b/>
          <w:i/>
          <w:sz w:val="17"/>
          <w:szCs w:val="17"/>
        </w:rPr>
        <w:t>Fuente:</w:t>
      </w:r>
      <w:r w:rsidRPr="00717DAA">
        <w:rPr>
          <w:rFonts w:ascii="Arial" w:hAnsi="Arial" w:cs="Arial"/>
          <w:sz w:val="17"/>
          <w:szCs w:val="17"/>
        </w:rPr>
        <w:t xml:space="preserve"> </w:t>
      </w:r>
      <w:r w:rsidRPr="00717DAA">
        <w:rPr>
          <w:rFonts w:ascii="Arial" w:hAnsi="Arial" w:cs="Arial"/>
          <w:b/>
          <w:sz w:val="17"/>
          <w:szCs w:val="17"/>
        </w:rPr>
        <w:t xml:space="preserve">INEC </w:t>
      </w:r>
      <w:r w:rsidRPr="00717DAA">
        <w:rPr>
          <w:rFonts w:ascii="Arial" w:hAnsi="Arial" w:cs="Arial"/>
          <w:sz w:val="17"/>
          <w:szCs w:val="17"/>
        </w:rPr>
        <w:t>(2010), Base de Datos del VII Censo de Población y VI de Vivienda.</w:t>
      </w:r>
    </w:p>
    <w:p w:rsidR="00361FCE" w:rsidRDefault="00361FCE" w:rsidP="00717DAA">
      <w:pPr>
        <w:pStyle w:val="Prrafodelista"/>
        <w:spacing w:line="276" w:lineRule="auto"/>
        <w:ind w:left="851"/>
        <w:jc w:val="both"/>
        <w:rPr>
          <w:rFonts w:ascii="Arial" w:hAnsi="Arial" w:cs="Arial"/>
          <w:sz w:val="18"/>
          <w:szCs w:val="18"/>
        </w:rPr>
      </w:pPr>
      <w:r w:rsidRPr="00717DAA">
        <w:rPr>
          <w:rFonts w:ascii="Arial" w:hAnsi="Arial" w:cs="Arial"/>
          <w:b/>
          <w:i/>
          <w:sz w:val="17"/>
          <w:szCs w:val="17"/>
        </w:rPr>
        <w:t>Elaborado por:</w:t>
      </w:r>
      <w:r w:rsidRPr="00717DAA">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361FCE" w:rsidP="00717DAA">
      <w:pPr>
        <w:pStyle w:val="Estilo42"/>
        <w:ind w:left="1701" w:hanging="850"/>
      </w:pPr>
      <w:bookmarkStart w:id="547" w:name="_Toc337135525"/>
      <w:bookmarkStart w:id="548" w:name="_Toc341040675"/>
      <w:r>
        <w:t>Ocupación de los colombianos en Ecuador</w:t>
      </w:r>
      <w:bookmarkEnd w:id="547"/>
      <w:bookmarkEnd w:id="548"/>
    </w:p>
    <w:p w:rsidR="00361FCE" w:rsidRPr="00BB3830" w:rsidRDefault="00361FCE" w:rsidP="00717DAA">
      <w:pPr>
        <w:pStyle w:val="Prrafodelista"/>
        <w:spacing w:line="480" w:lineRule="auto"/>
        <w:ind w:left="851"/>
        <w:jc w:val="both"/>
        <w:rPr>
          <w:rFonts w:ascii="Arial" w:hAnsi="Arial" w:cs="Arial"/>
          <w:i/>
        </w:rPr>
      </w:pPr>
      <w:r>
        <w:rPr>
          <w:rFonts w:ascii="Arial" w:hAnsi="Arial" w:cs="Arial"/>
        </w:rPr>
        <w:t xml:space="preserve">Ya tenemos una idea general del trabajo que desempeñan los colombianos en nuestro país, ahora conozcamos cuál es la ocupación de ellos considerando una recodificación a la pregunta ¿qué hace o qué es en donde trabaja o trabajó? Proporcionada por el Instituto Nacional de Estadísticas y Censo (INEC). Los resultados se presentan en la </w:t>
      </w:r>
      <w:r>
        <w:rPr>
          <w:rFonts w:ascii="Arial" w:hAnsi="Arial" w:cs="Arial"/>
          <w:i/>
        </w:rPr>
        <w:t>Figura 4.22</w:t>
      </w:r>
      <w:r>
        <w:rPr>
          <w:rFonts w:ascii="Arial" w:hAnsi="Arial" w:cs="Arial"/>
        </w:rPr>
        <w:t xml:space="preserve">, en donde podemos observar que el 23.44% de los colombianos son </w:t>
      </w:r>
      <w:r>
        <w:rPr>
          <w:rFonts w:ascii="Arial" w:hAnsi="Arial" w:cs="Arial"/>
        </w:rPr>
        <w:lastRenderedPageBreak/>
        <w:t xml:space="preserve">trabajadores de los servicios o vendedores, el 23.15% realizan ocupaciones elementales, el 12.43% son oficiales, operarios y artesanos, el 9.33% son agricultores o trabajadores calificados, el 5.32% son profesionales científicos e intelectuales, el 4.78% trabajan como directores o gerentes, el 4.77% como personal de apoyo administrativo, el 4.13% trabajan como técnicos o profesionales de nivel medio, el 0.02% tienen ocupaciones militares; y, el 4.43% son trabajadores nuevos. Para más detalles </w:t>
      </w:r>
      <w:r>
        <w:rPr>
          <w:rFonts w:ascii="Arial" w:hAnsi="Arial" w:cs="Arial"/>
          <w:i/>
        </w:rPr>
        <w:t>véase Figura 4.22.</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717DAA">
        <w:trPr>
          <w:trHeight w:val="2772"/>
          <w:jc w:val="right"/>
        </w:trPr>
        <w:tc>
          <w:tcPr>
            <w:tcW w:w="7497" w:type="dxa"/>
          </w:tcPr>
          <w:p w:rsidR="00361FCE" w:rsidRDefault="00361FCE" w:rsidP="00902050">
            <w:pPr>
              <w:rPr>
                <w:rFonts w:ascii="Arial" w:hAnsi="Arial" w:cs="Arial"/>
                <w:b/>
                <w:sz w:val="16"/>
                <w:szCs w:val="16"/>
              </w:rPr>
            </w:pPr>
          </w:p>
          <w:p w:rsidR="00EB3E69" w:rsidRPr="00EB3E69" w:rsidRDefault="00EB3E69" w:rsidP="00EB3E69">
            <w:pPr>
              <w:pStyle w:val="Epgrafe"/>
              <w:rPr>
                <w:rFonts w:ascii="Arial" w:hAnsi="Arial" w:cs="Arial"/>
                <w:bCs w:val="0"/>
                <w:color w:val="auto"/>
                <w:sz w:val="16"/>
                <w:szCs w:val="16"/>
              </w:rPr>
            </w:pPr>
            <w:bookmarkStart w:id="549" w:name="_Toc341043994"/>
            <w:r>
              <w:rPr>
                <w:rFonts w:ascii="Arial" w:hAnsi="Arial" w:cs="Arial"/>
                <w:bCs w:val="0"/>
                <w:color w:val="auto"/>
                <w:sz w:val="16"/>
                <w:szCs w:val="16"/>
              </w:rPr>
              <w:t>Figura 4.</w:t>
            </w:r>
            <w:r w:rsidR="00990535" w:rsidRPr="00EB3E69">
              <w:rPr>
                <w:rFonts w:ascii="Arial" w:hAnsi="Arial" w:cs="Arial"/>
                <w:bCs w:val="0"/>
                <w:color w:val="auto"/>
                <w:sz w:val="16"/>
                <w:szCs w:val="16"/>
              </w:rPr>
              <w:fldChar w:fldCharType="begin"/>
            </w:r>
            <w:r w:rsidRPr="00EB3E69">
              <w:rPr>
                <w:rFonts w:ascii="Arial" w:hAnsi="Arial" w:cs="Arial"/>
                <w:bCs w:val="0"/>
                <w:color w:val="auto"/>
                <w:sz w:val="16"/>
                <w:szCs w:val="16"/>
              </w:rPr>
              <w:instrText xml:space="preserve"> SEQ Figura_4. \* ARABIC </w:instrText>
            </w:r>
            <w:r w:rsidR="00990535" w:rsidRPr="00EB3E69">
              <w:rPr>
                <w:rFonts w:ascii="Arial" w:hAnsi="Arial" w:cs="Arial"/>
                <w:bCs w:val="0"/>
                <w:color w:val="auto"/>
                <w:sz w:val="16"/>
                <w:szCs w:val="16"/>
              </w:rPr>
              <w:fldChar w:fldCharType="separate"/>
            </w:r>
            <w:r w:rsidR="00A242E0">
              <w:rPr>
                <w:rFonts w:ascii="Arial" w:hAnsi="Arial" w:cs="Arial"/>
                <w:bCs w:val="0"/>
                <w:noProof/>
                <w:color w:val="auto"/>
                <w:sz w:val="16"/>
                <w:szCs w:val="16"/>
              </w:rPr>
              <w:t>22</w:t>
            </w:r>
            <w:bookmarkEnd w:id="549"/>
            <w:r w:rsidR="00990535" w:rsidRPr="00EB3E69">
              <w:rPr>
                <w:rFonts w:ascii="Arial" w:hAnsi="Arial" w:cs="Arial"/>
                <w:bCs w:val="0"/>
                <w:color w:val="auto"/>
                <w:sz w:val="16"/>
                <w:szCs w:val="16"/>
              </w:rPr>
              <w:fldChar w:fldCharType="end"/>
            </w:r>
          </w:p>
          <w:p w:rsidR="00361FCE" w:rsidRDefault="00717DAA"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 xml:space="preserve">Frecuencia Relativa de la ocupación de los </w:t>
            </w:r>
            <w:r w:rsidR="00361FCE" w:rsidRPr="00717DAA">
              <w:rPr>
                <w:rFonts w:ascii="Arial" w:hAnsi="Arial" w:cs="Arial"/>
                <w:b/>
                <w:i/>
                <w:sz w:val="16"/>
                <w:szCs w:val="16"/>
              </w:rPr>
              <w:t>colombianos</w:t>
            </w:r>
            <w:r w:rsidR="00361FCE">
              <w:rPr>
                <w:rFonts w:ascii="Arial" w:hAnsi="Arial" w:cs="Arial"/>
                <w:i/>
                <w:sz w:val="16"/>
                <w:szCs w:val="16"/>
              </w:rPr>
              <w:t xml:space="preserve"> </w:t>
            </w:r>
            <w:r>
              <w:rPr>
                <w:rFonts w:ascii="Arial" w:hAnsi="Arial" w:cs="Arial"/>
                <w:i/>
                <w:sz w:val="16"/>
                <w:szCs w:val="16"/>
              </w:rPr>
              <w:t>en el país</w:t>
            </w:r>
          </w:p>
          <w:p w:rsidR="00361FCE" w:rsidRPr="0078148C" w:rsidRDefault="00361FCE" w:rsidP="00902050">
            <w:pPr>
              <w:rPr>
                <w:rFonts w:ascii="Arial" w:hAnsi="Arial" w:cs="Arial"/>
                <w:i/>
                <w:sz w:val="16"/>
                <w:szCs w:val="16"/>
              </w:rPr>
            </w:pPr>
            <w:r>
              <w:rPr>
                <w:noProof/>
                <w:lang w:eastAsia="es-EC"/>
              </w:rPr>
              <w:drawing>
                <wp:inline distT="0" distB="0" distL="0" distR="0">
                  <wp:extent cx="4371975" cy="2381250"/>
                  <wp:effectExtent l="0" t="0" r="0" b="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r>
    </w:tbl>
    <w:p w:rsidR="00361FCE" w:rsidRPr="00717DAA" w:rsidRDefault="00361FCE" w:rsidP="00717DAA">
      <w:pPr>
        <w:pStyle w:val="Prrafodelista"/>
        <w:spacing w:line="276" w:lineRule="auto"/>
        <w:ind w:left="851"/>
        <w:jc w:val="both"/>
        <w:rPr>
          <w:rFonts w:ascii="Arial" w:hAnsi="Arial" w:cs="Arial"/>
          <w:sz w:val="17"/>
          <w:szCs w:val="17"/>
        </w:rPr>
      </w:pPr>
    </w:p>
    <w:p w:rsidR="00361FCE" w:rsidRPr="00717DAA" w:rsidRDefault="00361FCE" w:rsidP="00717DAA">
      <w:pPr>
        <w:pStyle w:val="Prrafodelista"/>
        <w:spacing w:line="276" w:lineRule="auto"/>
        <w:ind w:left="851"/>
        <w:jc w:val="both"/>
        <w:rPr>
          <w:rFonts w:ascii="Arial" w:hAnsi="Arial" w:cs="Arial"/>
          <w:sz w:val="17"/>
          <w:szCs w:val="17"/>
        </w:rPr>
      </w:pPr>
      <w:r w:rsidRPr="00717DAA">
        <w:rPr>
          <w:rFonts w:ascii="Arial" w:hAnsi="Arial" w:cs="Arial"/>
          <w:b/>
          <w:i/>
          <w:sz w:val="17"/>
          <w:szCs w:val="17"/>
        </w:rPr>
        <w:t>Fuente:</w:t>
      </w:r>
      <w:r w:rsidRPr="00717DAA">
        <w:rPr>
          <w:rFonts w:ascii="Arial" w:hAnsi="Arial" w:cs="Arial"/>
          <w:sz w:val="17"/>
          <w:szCs w:val="17"/>
        </w:rPr>
        <w:t xml:space="preserve"> </w:t>
      </w:r>
      <w:r w:rsidRPr="00717DAA">
        <w:rPr>
          <w:rFonts w:ascii="Arial" w:hAnsi="Arial" w:cs="Arial"/>
          <w:b/>
          <w:sz w:val="17"/>
          <w:szCs w:val="17"/>
        </w:rPr>
        <w:t xml:space="preserve">INEC </w:t>
      </w:r>
      <w:r w:rsidRPr="00717DAA">
        <w:rPr>
          <w:rFonts w:ascii="Arial" w:hAnsi="Arial" w:cs="Arial"/>
          <w:sz w:val="17"/>
          <w:szCs w:val="17"/>
        </w:rPr>
        <w:t>(2010), Base de Datos del VII Censo de Población y VI de Vivienda.</w:t>
      </w:r>
    </w:p>
    <w:p w:rsidR="00361FCE" w:rsidRDefault="00361FCE" w:rsidP="00717DAA">
      <w:pPr>
        <w:pStyle w:val="Prrafodelista"/>
        <w:spacing w:line="276" w:lineRule="auto"/>
        <w:ind w:left="851"/>
        <w:jc w:val="both"/>
        <w:rPr>
          <w:rFonts w:ascii="Arial" w:hAnsi="Arial" w:cs="Arial"/>
        </w:rPr>
      </w:pPr>
      <w:r w:rsidRPr="00717DAA">
        <w:rPr>
          <w:rFonts w:ascii="Arial" w:hAnsi="Arial" w:cs="Arial"/>
          <w:b/>
          <w:i/>
          <w:sz w:val="17"/>
          <w:szCs w:val="17"/>
        </w:rPr>
        <w:t>Elaborado por:</w:t>
      </w:r>
      <w:r w:rsidRPr="00717DAA">
        <w:rPr>
          <w:rFonts w:ascii="Arial" w:hAnsi="Arial" w:cs="Arial"/>
          <w:sz w:val="17"/>
          <w:szCs w:val="17"/>
        </w:rPr>
        <w:t xml:space="preserve"> Katherine Loor Valeriano</w:t>
      </w:r>
    </w:p>
    <w:p w:rsidR="00361FCE" w:rsidRDefault="00361FCE" w:rsidP="00717DAA">
      <w:pPr>
        <w:pStyle w:val="Prrafodelista"/>
        <w:spacing w:line="480" w:lineRule="auto"/>
        <w:ind w:left="851"/>
        <w:jc w:val="both"/>
        <w:rPr>
          <w:rFonts w:ascii="Arial" w:hAnsi="Arial" w:cs="Arial"/>
        </w:rPr>
      </w:pPr>
    </w:p>
    <w:p w:rsidR="00361FCE" w:rsidRPr="00970F37" w:rsidRDefault="00717DAA" w:rsidP="00717DAA">
      <w:pPr>
        <w:pStyle w:val="Prrafodelista"/>
        <w:spacing w:line="480" w:lineRule="auto"/>
        <w:ind w:left="851"/>
        <w:jc w:val="both"/>
        <w:rPr>
          <w:rFonts w:ascii="Arial" w:hAnsi="Arial" w:cs="Arial"/>
          <w:i/>
        </w:rPr>
      </w:pPr>
      <w:r>
        <w:rPr>
          <w:rFonts w:ascii="Arial" w:hAnsi="Arial" w:cs="Arial"/>
        </w:rPr>
        <w:t xml:space="preserve">Si hacemos </w:t>
      </w:r>
      <w:r w:rsidR="00361FCE">
        <w:rPr>
          <w:rFonts w:ascii="Arial" w:hAnsi="Arial" w:cs="Arial"/>
        </w:rPr>
        <w:t xml:space="preserve">el análisis anterior </w:t>
      </w:r>
      <w:r>
        <w:rPr>
          <w:rFonts w:ascii="Arial" w:hAnsi="Arial" w:cs="Arial"/>
        </w:rPr>
        <w:t>por género</w:t>
      </w:r>
      <w:r w:rsidR="00361FCE">
        <w:rPr>
          <w:rFonts w:ascii="Arial" w:hAnsi="Arial" w:cs="Arial"/>
        </w:rPr>
        <w:t xml:space="preserve">, tenemos que el 30.46% de las mujeres son trabajadoras de los servicios o vendedores y el 18.69% de los hombres tienen la misma ocupación; además, en lo que respecta a trabajar como personal de apoyo administrativo se tiene que el 3.98% de los hombres tienen esta ocupación y el 5.93% de las mujeres también, siendo </w:t>
      </w:r>
      <w:r w:rsidR="00361FCE">
        <w:rPr>
          <w:rFonts w:ascii="Arial" w:hAnsi="Arial" w:cs="Arial"/>
        </w:rPr>
        <w:lastRenderedPageBreak/>
        <w:t xml:space="preserve">por tanto esta dos ocupaciones predominante en las mujeres hablando tanto en términos absolutos como relativos. Por otra parte, el 4.57% de los hombres trabajan como profesionales científicos e intelectuales y el 6.42% de las mujeres desempeñan la misma ocupación, en lo que respecta a ocupaciones elementales el 23.07% de los hombres tienen este tipo de empleos y el 23.26% de las colombianas que residen en el país también; y, el 0.03% de los hombres tienen ocupaciones militares, frente al 0% de las mujeres, es decir, ninguna colombiana esta relacionada con alguna actividad militar. </w:t>
      </w:r>
      <w:r w:rsidR="00361FCE">
        <w:rPr>
          <w:rFonts w:ascii="Arial" w:hAnsi="Arial" w:cs="Arial"/>
          <w:i/>
        </w:rPr>
        <w:t>Véase Figura 4.23.</w:t>
      </w:r>
    </w:p>
    <w:tbl>
      <w:tblPr>
        <w:tblStyle w:val="Tablaconcuadrcula"/>
        <w:tblW w:w="7497" w:type="dxa"/>
        <w:jc w:val="right"/>
        <w:tblInd w:w="1194"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717DAA">
        <w:trPr>
          <w:trHeight w:val="2772"/>
          <w:jc w:val="right"/>
        </w:trPr>
        <w:tc>
          <w:tcPr>
            <w:tcW w:w="7497" w:type="dxa"/>
          </w:tcPr>
          <w:p w:rsidR="00361FCE" w:rsidRDefault="00361FCE" w:rsidP="00902050">
            <w:pPr>
              <w:rPr>
                <w:rFonts w:ascii="Arial" w:hAnsi="Arial" w:cs="Arial"/>
                <w:b/>
                <w:sz w:val="16"/>
                <w:szCs w:val="16"/>
              </w:rPr>
            </w:pPr>
          </w:p>
          <w:p w:rsidR="00EB3E69" w:rsidRPr="00EB3E69" w:rsidRDefault="00EB3E69" w:rsidP="00EB3E69">
            <w:pPr>
              <w:pStyle w:val="Epgrafe"/>
              <w:rPr>
                <w:rFonts w:ascii="Arial" w:hAnsi="Arial" w:cs="Arial"/>
                <w:bCs w:val="0"/>
                <w:color w:val="auto"/>
                <w:sz w:val="16"/>
                <w:szCs w:val="16"/>
              </w:rPr>
            </w:pPr>
            <w:bookmarkStart w:id="550" w:name="_Toc341043995"/>
            <w:r>
              <w:rPr>
                <w:rFonts w:ascii="Arial" w:hAnsi="Arial" w:cs="Arial"/>
                <w:bCs w:val="0"/>
                <w:color w:val="auto"/>
                <w:sz w:val="16"/>
                <w:szCs w:val="16"/>
              </w:rPr>
              <w:t>Figura 4.</w:t>
            </w:r>
            <w:r w:rsidR="00990535" w:rsidRPr="00EB3E69">
              <w:rPr>
                <w:rFonts w:ascii="Arial" w:hAnsi="Arial" w:cs="Arial"/>
                <w:bCs w:val="0"/>
                <w:color w:val="auto"/>
                <w:sz w:val="16"/>
                <w:szCs w:val="16"/>
              </w:rPr>
              <w:fldChar w:fldCharType="begin"/>
            </w:r>
            <w:r w:rsidRPr="00EB3E69">
              <w:rPr>
                <w:rFonts w:ascii="Arial" w:hAnsi="Arial" w:cs="Arial"/>
                <w:bCs w:val="0"/>
                <w:color w:val="auto"/>
                <w:sz w:val="16"/>
                <w:szCs w:val="16"/>
              </w:rPr>
              <w:instrText xml:space="preserve"> SEQ Figura_4. \* ARABIC </w:instrText>
            </w:r>
            <w:r w:rsidR="00990535" w:rsidRPr="00EB3E69">
              <w:rPr>
                <w:rFonts w:ascii="Arial" w:hAnsi="Arial" w:cs="Arial"/>
                <w:bCs w:val="0"/>
                <w:color w:val="auto"/>
                <w:sz w:val="16"/>
                <w:szCs w:val="16"/>
              </w:rPr>
              <w:fldChar w:fldCharType="separate"/>
            </w:r>
            <w:r w:rsidR="00A242E0">
              <w:rPr>
                <w:rFonts w:ascii="Arial" w:hAnsi="Arial" w:cs="Arial"/>
                <w:bCs w:val="0"/>
                <w:noProof/>
                <w:color w:val="auto"/>
                <w:sz w:val="16"/>
                <w:szCs w:val="16"/>
              </w:rPr>
              <w:t>23</w:t>
            </w:r>
            <w:bookmarkEnd w:id="550"/>
            <w:r w:rsidR="00990535" w:rsidRPr="00EB3E69">
              <w:rPr>
                <w:rFonts w:ascii="Arial" w:hAnsi="Arial" w:cs="Arial"/>
                <w:bCs w:val="0"/>
                <w:color w:val="auto"/>
                <w:sz w:val="16"/>
                <w:szCs w:val="16"/>
              </w:rPr>
              <w:fldChar w:fldCharType="end"/>
            </w:r>
          </w:p>
          <w:p w:rsidR="003A48FE" w:rsidRDefault="003A48FE" w:rsidP="003A48FE">
            <w:pPr>
              <w:rPr>
                <w:rFonts w:ascii="Arial" w:hAnsi="Arial" w:cs="Arial"/>
                <w:i/>
                <w:sz w:val="16"/>
                <w:szCs w:val="16"/>
              </w:rPr>
            </w:pPr>
            <w:r w:rsidRPr="00016219">
              <w:rPr>
                <w:rFonts w:ascii="Arial" w:hAnsi="Arial" w:cs="Arial"/>
                <w:b/>
                <w:i/>
                <w:sz w:val="16"/>
                <w:szCs w:val="16"/>
              </w:rPr>
              <w:t xml:space="preserve">Ecuador 2010: </w:t>
            </w:r>
            <w:r>
              <w:rPr>
                <w:rFonts w:ascii="Arial" w:hAnsi="Arial" w:cs="Arial"/>
                <w:i/>
                <w:sz w:val="16"/>
                <w:szCs w:val="16"/>
              </w:rPr>
              <w:t>Distribución condicional</w:t>
            </w:r>
            <w:r w:rsidRPr="00016219">
              <w:rPr>
                <w:rFonts w:ascii="Arial" w:hAnsi="Arial" w:cs="Arial"/>
                <w:i/>
                <w:sz w:val="16"/>
                <w:szCs w:val="16"/>
              </w:rPr>
              <w:t xml:space="preserve"> de la ocupación de los </w:t>
            </w:r>
            <w:r>
              <w:rPr>
                <w:rFonts w:ascii="Arial" w:hAnsi="Arial" w:cs="Arial"/>
                <w:b/>
                <w:i/>
                <w:sz w:val="16"/>
                <w:szCs w:val="16"/>
              </w:rPr>
              <w:t>colombianos</w:t>
            </w:r>
            <w:r w:rsidRPr="00016219">
              <w:rPr>
                <w:rFonts w:ascii="Arial" w:hAnsi="Arial" w:cs="Arial"/>
                <w:i/>
                <w:sz w:val="16"/>
                <w:szCs w:val="16"/>
              </w:rPr>
              <w:t xml:space="preserve"> </w:t>
            </w:r>
          </w:p>
          <w:p w:rsidR="00361FCE" w:rsidRDefault="003A48FE" w:rsidP="003A48FE">
            <w:pPr>
              <w:rPr>
                <w:rFonts w:ascii="Arial" w:hAnsi="Arial" w:cs="Arial"/>
                <w:i/>
                <w:sz w:val="16"/>
                <w:szCs w:val="16"/>
              </w:rPr>
            </w:pPr>
            <w:r>
              <w:rPr>
                <w:rFonts w:ascii="Arial" w:hAnsi="Arial" w:cs="Arial"/>
                <w:i/>
                <w:sz w:val="16"/>
                <w:szCs w:val="16"/>
              </w:rPr>
              <w:t>dado que se conoce el</w:t>
            </w:r>
            <w:r w:rsidRPr="00016219">
              <w:rPr>
                <w:rFonts w:ascii="Arial" w:hAnsi="Arial" w:cs="Arial"/>
                <w:i/>
                <w:sz w:val="16"/>
                <w:szCs w:val="16"/>
              </w:rPr>
              <w:t xml:space="preserve"> Género</w:t>
            </w:r>
          </w:p>
          <w:p w:rsidR="00361FCE" w:rsidRPr="0078148C" w:rsidRDefault="00436907" w:rsidP="00717DAA">
            <w:pPr>
              <w:rPr>
                <w:rFonts w:ascii="Arial" w:hAnsi="Arial" w:cs="Arial"/>
                <w:i/>
                <w:sz w:val="16"/>
                <w:szCs w:val="16"/>
              </w:rPr>
            </w:pPr>
            <w:r>
              <w:rPr>
                <w:rFonts w:ascii="Arial" w:hAnsi="Arial" w:cs="Arial"/>
                <w:noProof/>
                <w:sz w:val="18"/>
                <w:szCs w:val="18"/>
                <w:lang w:eastAsia="es-EC"/>
              </w:rPr>
              <w:pict>
                <v:line id="_x0000_s1499" style="position:absolute;left:0;text-align:left;z-index:251516416;visibility:visible" from="259pt,12.4pt" to="259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" strokecolor="black [3213]"/>
              </w:pict>
            </w:r>
            <w:r w:rsidR="00717DAA">
              <w:rPr>
                <w:noProof/>
                <w:lang w:eastAsia="es-EC"/>
              </w:rPr>
              <w:drawing>
                <wp:inline distT="0" distB="0" distL="0" distR="0">
                  <wp:extent cx="4524375" cy="2772000"/>
                  <wp:effectExtent l="0" t="0" r="0" b="0"/>
                  <wp:docPr id="412" name="Gráfico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bl>
    <w:p w:rsidR="00361FCE" w:rsidRPr="00717DAA" w:rsidRDefault="00361FCE" w:rsidP="00717DAA">
      <w:pPr>
        <w:pStyle w:val="Prrafodelista"/>
        <w:spacing w:line="276" w:lineRule="auto"/>
        <w:ind w:left="851"/>
        <w:jc w:val="both"/>
        <w:rPr>
          <w:rFonts w:ascii="Arial" w:hAnsi="Arial" w:cs="Arial"/>
          <w:sz w:val="17"/>
          <w:szCs w:val="17"/>
        </w:rPr>
      </w:pPr>
    </w:p>
    <w:p w:rsidR="00361FCE" w:rsidRPr="00717DAA" w:rsidRDefault="00361FCE" w:rsidP="00717DAA">
      <w:pPr>
        <w:pStyle w:val="Prrafodelista"/>
        <w:spacing w:line="276" w:lineRule="auto"/>
        <w:ind w:left="851"/>
        <w:jc w:val="both"/>
        <w:rPr>
          <w:rFonts w:ascii="Arial" w:hAnsi="Arial" w:cs="Arial"/>
          <w:sz w:val="17"/>
          <w:szCs w:val="17"/>
        </w:rPr>
      </w:pPr>
      <w:r w:rsidRPr="00717DAA">
        <w:rPr>
          <w:rFonts w:ascii="Arial" w:hAnsi="Arial" w:cs="Arial"/>
          <w:b/>
          <w:i/>
          <w:sz w:val="17"/>
          <w:szCs w:val="17"/>
        </w:rPr>
        <w:t>Fuente:</w:t>
      </w:r>
      <w:r w:rsidRPr="00717DAA">
        <w:rPr>
          <w:rFonts w:ascii="Arial" w:hAnsi="Arial" w:cs="Arial"/>
          <w:sz w:val="17"/>
          <w:szCs w:val="17"/>
        </w:rPr>
        <w:t xml:space="preserve"> </w:t>
      </w:r>
      <w:r w:rsidRPr="00717DAA">
        <w:rPr>
          <w:rFonts w:ascii="Arial" w:hAnsi="Arial" w:cs="Arial"/>
          <w:b/>
          <w:sz w:val="17"/>
          <w:szCs w:val="17"/>
        </w:rPr>
        <w:t xml:space="preserve">INEC </w:t>
      </w:r>
      <w:r w:rsidRPr="00717DAA">
        <w:rPr>
          <w:rFonts w:ascii="Arial" w:hAnsi="Arial" w:cs="Arial"/>
          <w:sz w:val="17"/>
          <w:szCs w:val="17"/>
        </w:rPr>
        <w:t>(2010), Base de Datos del VII Censo de Población y VI de Vivienda.</w:t>
      </w:r>
    </w:p>
    <w:p w:rsidR="00361FCE" w:rsidRPr="00717DAA" w:rsidRDefault="00361FCE" w:rsidP="00717DAA">
      <w:pPr>
        <w:pStyle w:val="Prrafodelista"/>
        <w:spacing w:line="276" w:lineRule="auto"/>
        <w:ind w:left="851"/>
        <w:jc w:val="both"/>
        <w:rPr>
          <w:rFonts w:ascii="Arial" w:hAnsi="Arial" w:cs="Arial"/>
          <w:sz w:val="17"/>
          <w:szCs w:val="17"/>
        </w:rPr>
      </w:pPr>
      <w:r w:rsidRPr="00717DAA">
        <w:rPr>
          <w:rFonts w:ascii="Arial" w:hAnsi="Arial" w:cs="Arial"/>
          <w:b/>
          <w:i/>
          <w:sz w:val="17"/>
          <w:szCs w:val="17"/>
        </w:rPr>
        <w:t>Elaborado por:</w:t>
      </w:r>
      <w:r w:rsidRPr="00717DAA">
        <w:rPr>
          <w:rFonts w:ascii="Arial" w:hAnsi="Arial" w:cs="Arial"/>
          <w:sz w:val="17"/>
          <w:szCs w:val="17"/>
        </w:rPr>
        <w:t xml:space="preserve"> Katherine Loor Valeriano</w:t>
      </w:r>
    </w:p>
    <w:p w:rsidR="009466E6" w:rsidRDefault="009466E6" w:rsidP="00457EC2">
      <w:pPr>
        <w:pStyle w:val="Prrafodelista"/>
        <w:spacing w:line="480" w:lineRule="auto"/>
        <w:ind w:left="851"/>
        <w:jc w:val="both"/>
        <w:rPr>
          <w:rFonts w:ascii="Arial" w:hAnsi="Arial" w:cs="Arial"/>
        </w:rPr>
      </w:pPr>
    </w:p>
    <w:p w:rsidR="00361FCE" w:rsidRDefault="00361FCE" w:rsidP="00457EC2">
      <w:pPr>
        <w:pStyle w:val="Prrafodelista"/>
        <w:spacing w:line="480" w:lineRule="auto"/>
        <w:ind w:left="851"/>
        <w:jc w:val="both"/>
        <w:rPr>
          <w:rFonts w:ascii="Arial" w:hAnsi="Arial" w:cs="Arial"/>
        </w:rPr>
      </w:pPr>
      <w:r>
        <w:rPr>
          <w:rFonts w:ascii="Arial" w:hAnsi="Arial" w:cs="Arial"/>
        </w:rPr>
        <w:t xml:space="preserve">Al igual que en el caso del trabajo que desempeñan los colombianos, en la ocupación también vamos a analizar como se comporta el porcentaje de la </w:t>
      </w:r>
      <w:r>
        <w:rPr>
          <w:rFonts w:ascii="Arial" w:hAnsi="Arial" w:cs="Arial"/>
        </w:rPr>
        <w:lastRenderedPageBreak/>
        <w:t xml:space="preserve">ocupación que tienen los colombianos por grupos de edad. En la </w:t>
      </w:r>
      <w:r>
        <w:rPr>
          <w:rFonts w:ascii="Arial" w:hAnsi="Arial" w:cs="Arial"/>
          <w:i/>
        </w:rPr>
        <w:t>Figura 4.24</w:t>
      </w:r>
      <w:r>
        <w:rPr>
          <w:rFonts w:ascii="Arial" w:hAnsi="Arial" w:cs="Arial"/>
        </w:rPr>
        <w:t xml:space="preserve">, podemos observar que los colombianos que trabajan como directores o gerentes tienen edades entre 20 y 95 años, quienes trabajan como profesionales científicos e intelectuales tienen edades comprendidas entre 20 y 85 años, el porcentaje de los colombianos que son trabajadores de los servicios o vendedores va aumentando a medida que se incrementa la edad hasta los 45 años y a partir de esta edad dicho porcentaje disminuye, tomando un valor de 0% para los colombianos </w:t>
      </w:r>
      <w:r w:rsidR="00457EC2">
        <w:rPr>
          <w:rFonts w:ascii="Arial" w:hAnsi="Arial" w:cs="Arial"/>
        </w:rPr>
        <w:t>con edades entre 95 y 100 años; m</w:t>
      </w:r>
      <w:r>
        <w:rPr>
          <w:rFonts w:ascii="Arial" w:hAnsi="Arial" w:cs="Arial"/>
        </w:rPr>
        <w:t xml:space="preserve">ientras que, el porcentaje de los que trabajan como agricultores o trabajadores calificados se incrementa a medida que se incrementa la edad, aunque de los colombianos que tienen 100 años y más ninguno tiene esta ocupación. </w:t>
      </w:r>
    </w:p>
    <w:p w:rsidR="00361FCE" w:rsidRDefault="00361FCE" w:rsidP="00457EC2">
      <w:pPr>
        <w:pStyle w:val="Prrafodelista"/>
        <w:spacing w:line="480" w:lineRule="auto"/>
        <w:ind w:left="851"/>
        <w:jc w:val="both"/>
        <w:rPr>
          <w:rFonts w:ascii="Arial" w:hAnsi="Arial" w:cs="Arial"/>
        </w:rPr>
      </w:pPr>
    </w:p>
    <w:p w:rsidR="00361FCE" w:rsidRPr="007E2829" w:rsidRDefault="00361FCE" w:rsidP="00457EC2">
      <w:pPr>
        <w:pStyle w:val="Prrafodelista"/>
        <w:spacing w:line="480" w:lineRule="auto"/>
        <w:ind w:left="851"/>
        <w:jc w:val="both"/>
        <w:rPr>
          <w:rFonts w:ascii="Arial" w:hAnsi="Arial" w:cs="Arial"/>
        </w:rPr>
      </w:pPr>
      <w:r>
        <w:rPr>
          <w:rFonts w:ascii="Arial" w:hAnsi="Arial" w:cs="Arial"/>
        </w:rPr>
        <w:t xml:space="preserve">Los colombianos con edades entre 30 y 35 años, el 5.30% son directores o gerentes, el 6.87% son profesionales científicos e intelectuales, el 5.19% son técnicos o profesionales de nivel medio, el 5.17% trabajan como personal de apoyo administrativo, el 24.71% son trabajadores de los servicios y vendedores, el 7.24% trabajan como agricultores o son trabajadores calificados, el 12.83% son oficiales, operarios o artesanos, el 2.24% son operadores de instalaciones o maquinarias, el 20.45% realizan operaciones elementales, el 0.01% tienen ocupaciones militares, el 4.20% son trabajadores nuevos; y, el 5.67% no declararon. </w:t>
      </w:r>
      <w:r w:rsidR="00F91C02">
        <w:rPr>
          <w:rFonts w:ascii="Arial" w:hAnsi="Arial" w:cs="Arial"/>
        </w:rPr>
        <w:t>L</w:t>
      </w:r>
      <w:r>
        <w:rPr>
          <w:rFonts w:ascii="Arial" w:hAnsi="Arial" w:cs="Arial"/>
        </w:rPr>
        <w:t xml:space="preserve">os colombianos con edades entre 95 y 100 años el 50% son agricultores o trabajadores calificados y el porcentaje restante (50%) realizan ocupaciones </w:t>
      </w:r>
      <w:r>
        <w:rPr>
          <w:rFonts w:ascii="Arial" w:hAnsi="Arial" w:cs="Arial"/>
        </w:rPr>
        <w:lastRenderedPageBreak/>
        <w:t xml:space="preserve">elementales; y, los colombianos con 100 años y más, el 66.67% son trabajadores de los servicios y vendedores y el 33.33% son oficiales, operarios o artesanos. El mismo análisis realizado para los tres grupos de edad que se exponen en este párrafo se puede realizar para los restantes, </w:t>
      </w:r>
      <w:r>
        <w:rPr>
          <w:rFonts w:ascii="Arial" w:hAnsi="Arial" w:cs="Arial"/>
          <w:i/>
        </w:rPr>
        <w:t>véase Figura 4.24</w:t>
      </w:r>
      <w:r>
        <w:rPr>
          <w:rFonts w:ascii="Arial" w:hAnsi="Arial" w:cs="Arial"/>
        </w:rPr>
        <w:t>.</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57EC2">
        <w:trPr>
          <w:trHeight w:val="2772"/>
          <w:jc w:val="right"/>
        </w:trPr>
        <w:tc>
          <w:tcPr>
            <w:tcW w:w="7497" w:type="dxa"/>
          </w:tcPr>
          <w:p w:rsidR="00361FCE" w:rsidRDefault="00361FCE" w:rsidP="00902050">
            <w:pPr>
              <w:rPr>
                <w:rFonts w:ascii="Arial" w:hAnsi="Arial" w:cs="Arial"/>
                <w:b/>
                <w:sz w:val="16"/>
                <w:szCs w:val="16"/>
              </w:rPr>
            </w:pPr>
          </w:p>
          <w:p w:rsidR="00EB3E69" w:rsidRPr="00EB3E69" w:rsidRDefault="00EB3E69" w:rsidP="00EB3E69">
            <w:pPr>
              <w:pStyle w:val="Epgrafe"/>
              <w:rPr>
                <w:rFonts w:ascii="Arial" w:hAnsi="Arial" w:cs="Arial"/>
                <w:bCs w:val="0"/>
                <w:color w:val="auto"/>
                <w:sz w:val="16"/>
                <w:szCs w:val="16"/>
              </w:rPr>
            </w:pPr>
            <w:bookmarkStart w:id="551" w:name="_Toc341043996"/>
            <w:r>
              <w:rPr>
                <w:rFonts w:ascii="Arial" w:hAnsi="Arial" w:cs="Arial"/>
                <w:bCs w:val="0"/>
                <w:color w:val="auto"/>
                <w:sz w:val="16"/>
                <w:szCs w:val="16"/>
              </w:rPr>
              <w:t>Figura 4.</w:t>
            </w:r>
            <w:r w:rsidR="00990535" w:rsidRPr="00EB3E69">
              <w:rPr>
                <w:rFonts w:ascii="Arial" w:hAnsi="Arial" w:cs="Arial"/>
                <w:bCs w:val="0"/>
                <w:color w:val="auto"/>
                <w:sz w:val="16"/>
                <w:szCs w:val="16"/>
              </w:rPr>
              <w:fldChar w:fldCharType="begin"/>
            </w:r>
            <w:r w:rsidRPr="00EB3E69">
              <w:rPr>
                <w:rFonts w:ascii="Arial" w:hAnsi="Arial" w:cs="Arial"/>
                <w:bCs w:val="0"/>
                <w:color w:val="auto"/>
                <w:sz w:val="16"/>
                <w:szCs w:val="16"/>
              </w:rPr>
              <w:instrText xml:space="preserve"> SEQ Figura_4. \* ARABIC </w:instrText>
            </w:r>
            <w:r w:rsidR="00990535" w:rsidRPr="00EB3E69">
              <w:rPr>
                <w:rFonts w:ascii="Arial" w:hAnsi="Arial" w:cs="Arial"/>
                <w:bCs w:val="0"/>
                <w:color w:val="auto"/>
                <w:sz w:val="16"/>
                <w:szCs w:val="16"/>
              </w:rPr>
              <w:fldChar w:fldCharType="separate"/>
            </w:r>
            <w:r w:rsidR="00A242E0">
              <w:rPr>
                <w:rFonts w:ascii="Arial" w:hAnsi="Arial" w:cs="Arial"/>
                <w:bCs w:val="0"/>
                <w:noProof/>
                <w:color w:val="auto"/>
                <w:sz w:val="16"/>
                <w:szCs w:val="16"/>
              </w:rPr>
              <w:t>24</w:t>
            </w:r>
            <w:bookmarkEnd w:id="551"/>
            <w:r w:rsidR="00990535" w:rsidRPr="00EB3E69">
              <w:rPr>
                <w:rFonts w:ascii="Arial" w:hAnsi="Arial" w:cs="Arial"/>
                <w:bCs w:val="0"/>
                <w:color w:val="auto"/>
                <w:sz w:val="16"/>
                <w:szCs w:val="16"/>
              </w:rPr>
              <w:fldChar w:fldCharType="end"/>
            </w:r>
          </w:p>
          <w:p w:rsidR="003A48FE" w:rsidRDefault="003A48FE" w:rsidP="003A48FE">
            <w:pPr>
              <w:rPr>
                <w:rFonts w:ascii="Arial" w:hAnsi="Arial" w:cs="Arial"/>
                <w:i/>
                <w:sz w:val="16"/>
                <w:szCs w:val="16"/>
              </w:rPr>
            </w:pPr>
            <w:r w:rsidRPr="00016219">
              <w:rPr>
                <w:rFonts w:ascii="Arial" w:hAnsi="Arial" w:cs="Arial"/>
                <w:b/>
                <w:i/>
                <w:sz w:val="16"/>
                <w:szCs w:val="16"/>
              </w:rPr>
              <w:t xml:space="preserve">Ecuador 2010: </w:t>
            </w:r>
            <w:r>
              <w:rPr>
                <w:rFonts w:ascii="Arial" w:hAnsi="Arial" w:cs="Arial"/>
                <w:i/>
                <w:sz w:val="16"/>
                <w:szCs w:val="16"/>
              </w:rPr>
              <w:t>Distribución condicional</w:t>
            </w:r>
            <w:r w:rsidRPr="00016219">
              <w:rPr>
                <w:rFonts w:ascii="Arial" w:hAnsi="Arial" w:cs="Arial"/>
                <w:i/>
                <w:sz w:val="16"/>
                <w:szCs w:val="16"/>
              </w:rPr>
              <w:t xml:space="preserve"> de la ocupación de los </w:t>
            </w:r>
            <w:r>
              <w:rPr>
                <w:rFonts w:ascii="Arial" w:hAnsi="Arial" w:cs="Arial"/>
                <w:b/>
                <w:i/>
                <w:sz w:val="16"/>
                <w:szCs w:val="16"/>
              </w:rPr>
              <w:t>colombianos</w:t>
            </w:r>
            <w:r w:rsidRPr="00016219">
              <w:rPr>
                <w:rFonts w:ascii="Arial" w:hAnsi="Arial" w:cs="Arial"/>
                <w:i/>
                <w:sz w:val="16"/>
                <w:szCs w:val="16"/>
              </w:rPr>
              <w:t xml:space="preserve"> </w:t>
            </w:r>
          </w:p>
          <w:p w:rsidR="00361FCE" w:rsidRDefault="003A48FE" w:rsidP="003A48FE">
            <w:pPr>
              <w:rPr>
                <w:rFonts w:ascii="Arial" w:hAnsi="Arial" w:cs="Arial"/>
                <w:i/>
                <w:sz w:val="16"/>
                <w:szCs w:val="16"/>
              </w:rPr>
            </w:pPr>
            <w:r>
              <w:rPr>
                <w:rFonts w:ascii="Arial" w:hAnsi="Arial" w:cs="Arial"/>
                <w:i/>
                <w:sz w:val="16"/>
                <w:szCs w:val="16"/>
              </w:rPr>
              <w:t>dado que se conoce el</w:t>
            </w:r>
            <w:r w:rsidRPr="00016219">
              <w:rPr>
                <w:rFonts w:ascii="Arial" w:hAnsi="Arial" w:cs="Arial"/>
                <w:i/>
                <w:sz w:val="16"/>
                <w:szCs w:val="16"/>
              </w:rPr>
              <w:t xml:space="preserve"> Grupo etario</w:t>
            </w:r>
          </w:p>
          <w:p w:rsidR="00361FCE" w:rsidRPr="0078148C" w:rsidRDefault="00361FCE" w:rsidP="00902050">
            <w:pPr>
              <w:rPr>
                <w:rFonts w:ascii="Arial" w:hAnsi="Arial" w:cs="Arial"/>
                <w:i/>
                <w:sz w:val="16"/>
                <w:szCs w:val="16"/>
              </w:rPr>
            </w:pPr>
            <w:r>
              <w:rPr>
                <w:noProof/>
                <w:lang w:eastAsia="es-EC"/>
              </w:rPr>
              <w:drawing>
                <wp:inline distT="0" distB="0" distL="0" distR="0">
                  <wp:extent cx="4467225" cy="3552825"/>
                  <wp:effectExtent l="0" t="0" r="0"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tbl>
    <w:p w:rsidR="00361FCE" w:rsidRPr="00457EC2" w:rsidRDefault="00361FCE" w:rsidP="00457EC2">
      <w:pPr>
        <w:pStyle w:val="Prrafodelista"/>
        <w:spacing w:line="276" w:lineRule="auto"/>
        <w:ind w:left="851"/>
        <w:jc w:val="both"/>
        <w:rPr>
          <w:rFonts w:ascii="Arial" w:hAnsi="Arial" w:cs="Arial"/>
          <w:sz w:val="17"/>
          <w:szCs w:val="17"/>
        </w:rPr>
      </w:pPr>
    </w:p>
    <w:p w:rsidR="00361FCE" w:rsidRPr="00457EC2" w:rsidRDefault="00361FCE" w:rsidP="00457EC2">
      <w:pPr>
        <w:pStyle w:val="Prrafodelista"/>
        <w:spacing w:line="276" w:lineRule="auto"/>
        <w:ind w:left="851"/>
        <w:jc w:val="both"/>
        <w:rPr>
          <w:rFonts w:ascii="Arial" w:hAnsi="Arial" w:cs="Arial"/>
          <w:sz w:val="17"/>
          <w:szCs w:val="17"/>
        </w:rPr>
      </w:pPr>
      <w:r w:rsidRPr="00457EC2">
        <w:rPr>
          <w:rFonts w:ascii="Arial" w:hAnsi="Arial" w:cs="Arial"/>
          <w:b/>
          <w:i/>
          <w:sz w:val="17"/>
          <w:szCs w:val="17"/>
        </w:rPr>
        <w:t>Fuente:</w:t>
      </w:r>
      <w:r w:rsidRPr="00457EC2">
        <w:rPr>
          <w:rFonts w:ascii="Arial" w:hAnsi="Arial" w:cs="Arial"/>
          <w:sz w:val="17"/>
          <w:szCs w:val="17"/>
        </w:rPr>
        <w:t xml:space="preserve"> </w:t>
      </w:r>
      <w:r w:rsidRPr="00457EC2">
        <w:rPr>
          <w:rFonts w:ascii="Arial" w:hAnsi="Arial" w:cs="Arial"/>
          <w:b/>
          <w:sz w:val="17"/>
          <w:szCs w:val="17"/>
        </w:rPr>
        <w:t xml:space="preserve">INEC </w:t>
      </w:r>
      <w:r w:rsidRPr="00457EC2">
        <w:rPr>
          <w:rFonts w:ascii="Arial" w:hAnsi="Arial" w:cs="Arial"/>
          <w:sz w:val="17"/>
          <w:szCs w:val="17"/>
        </w:rPr>
        <w:t>(2010), Base de Datos del VII Censo de Población y VI de Vivienda.</w:t>
      </w:r>
    </w:p>
    <w:p w:rsidR="00361FCE" w:rsidRPr="00457EC2" w:rsidRDefault="00361FCE" w:rsidP="00457EC2">
      <w:pPr>
        <w:pStyle w:val="Prrafodelista"/>
        <w:spacing w:line="276" w:lineRule="auto"/>
        <w:ind w:left="851"/>
        <w:jc w:val="both"/>
        <w:rPr>
          <w:rFonts w:ascii="Arial" w:hAnsi="Arial" w:cs="Arial"/>
          <w:sz w:val="17"/>
          <w:szCs w:val="17"/>
        </w:rPr>
      </w:pPr>
      <w:r w:rsidRPr="00457EC2">
        <w:rPr>
          <w:rFonts w:ascii="Arial" w:hAnsi="Arial" w:cs="Arial"/>
          <w:b/>
          <w:i/>
          <w:sz w:val="17"/>
          <w:szCs w:val="17"/>
        </w:rPr>
        <w:t>Elaborado por:</w:t>
      </w:r>
      <w:r w:rsidRPr="00457EC2">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Pr="00B65871" w:rsidRDefault="00361FCE" w:rsidP="00C75F38">
      <w:pPr>
        <w:pStyle w:val="Estilo42"/>
        <w:ind w:left="1701" w:hanging="850"/>
      </w:pPr>
      <w:bookmarkStart w:id="552" w:name="_Toc337135526"/>
      <w:bookmarkStart w:id="553" w:name="_Toc341040676"/>
      <w:r w:rsidRPr="00B65871">
        <w:t>Tipo de Vivienda</w:t>
      </w:r>
      <w:bookmarkEnd w:id="552"/>
      <w:r w:rsidR="00C75F38">
        <w:t xml:space="preserve"> en las que reside algún </w:t>
      </w:r>
      <w:r w:rsidR="00457EC2">
        <w:t>colombiano</w:t>
      </w:r>
      <w:bookmarkEnd w:id="553"/>
    </w:p>
    <w:p w:rsidR="00361FCE" w:rsidRPr="002F4305" w:rsidRDefault="00361FCE" w:rsidP="00457EC2">
      <w:pPr>
        <w:pStyle w:val="Prrafodelista"/>
        <w:spacing w:line="480" w:lineRule="auto"/>
        <w:ind w:left="851"/>
        <w:jc w:val="both"/>
        <w:rPr>
          <w:rFonts w:ascii="Arial" w:hAnsi="Arial" w:cs="Arial"/>
          <w:i/>
        </w:rPr>
      </w:pPr>
      <w:r>
        <w:rPr>
          <w:rFonts w:ascii="Arial" w:hAnsi="Arial" w:cs="Arial"/>
        </w:rPr>
        <w:t xml:space="preserve">Ya hablamos un poco de la estructura económica de los colombianos que residen en Ecuador, ahora veamos a breve rasgos algunas características de las viviendas de esta comunidad de extranjeros en nuestro país. </w:t>
      </w:r>
      <w:r>
        <w:rPr>
          <w:rFonts w:ascii="Arial" w:hAnsi="Arial" w:cs="Arial"/>
        </w:rPr>
        <w:lastRenderedPageBreak/>
        <w:t xml:space="preserve">Primeramente analicemos el tipo de la vivienda, en donde obtenemos que el 58.76% de las viviendas donde residen los colombianos son una casa/villa, el 21.55% son departamentos en casa o edificio, el 11.05% son cuartos en casa de inquilinato, el 8.17% son otras viviendas particulares que pueden ser mediagua, rancho, covacha, choza, u otra vivienda particular, el 0.46% son viviendas colectivas que incluyen desde un hotel, hospital, clínica hasta un centro de rehabilitación/cárcel; y, el 0.01% no tienen vivienda. </w:t>
      </w:r>
      <w:r>
        <w:rPr>
          <w:rFonts w:ascii="Arial" w:hAnsi="Arial" w:cs="Arial"/>
          <w:i/>
        </w:rPr>
        <w:t>Véase Figura 4.25.</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57EC2">
        <w:trPr>
          <w:trHeight w:val="2772"/>
          <w:jc w:val="right"/>
        </w:trPr>
        <w:tc>
          <w:tcPr>
            <w:tcW w:w="7497" w:type="dxa"/>
          </w:tcPr>
          <w:p w:rsidR="00361FCE" w:rsidRDefault="00361FCE" w:rsidP="00902050">
            <w:pPr>
              <w:rPr>
                <w:rFonts w:ascii="Arial" w:hAnsi="Arial" w:cs="Arial"/>
                <w:b/>
                <w:sz w:val="16"/>
                <w:szCs w:val="16"/>
              </w:rPr>
            </w:pPr>
          </w:p>
          <w:p w:rsidR="00B65871" w:rsidRPr="00B65871" w:rsidRDefault="00B65871" w:rsidP="00B65871">
            <w:pPr>
              <w:pStyle w:val="Epgrafe"/>
              <w:rPr>
                <w:rFonts w:ascii="Arial" w:hAnsi="Arial" w:cs="Arial"/>
                <w:bCs w:val="0"/>
                <w:color w:val="auto"/>
                <w:sz w:val="16"/>
                <w:szCs w:val="16"/>
              </w:rPr>
            </w:pPr>
            <w:bookmarkStart w:id="554" w:name="_Toc341043997"/>
            <w:r>
              <w:rPr>
                <w:rFonts w:ascii="Arial" w:hAnsi="Arial" w:cs="Arial"/>
                <w:bCs w:val="0"/>
                <w:color w:val="auto"/>
                <w:sz w:val="16"/>
                <w:szCs w:val="16"/>
              </w:rPr>
              <w:t>Figura 4.</w:t>
            </w:r>
            <w:r w:rsidR="00990535" w:rsidRPr="00B65871">
              <w:rPr>
                <w:rFonts w:ascii="Arial" w:hAnsi="Arial" w:cs="Arial"/>
                <w:bCs w:val="0"/>
                <w:color w:val="auto"/>
                <w:sz w:val="16"/>
                <w:szCs w:val="16"/>
              </w:rPr>
              <w:fldChar w:fldCharType="begin"/>
            </w:r>
            <w:r w:rsidRPr="00B65871">
              <w:rPr>
                <w:rFonts w:ascii="Arial" w:hAnsi="Arial" w:cs="Arial"/>
                <w:bCs w:val="0"/>
                <w:color w:val="auto"/>
                <w:sz w:val="16"/>
                <w:szCs w:val="16"/>
              </w:rPr>
              <w:instrText xml:space="preserve"> SEQ Figura_4. \* ARABIC </w:instrText>
            </w:r>
            <w:r w:rsidR="00990535" w:rsidRPr="00B65871">
              <w:rPr>
                <w:rFonts w:ascii="Arial" w:hAnsi="Arial" w:cs="Arial"/>
                <w:bCs w:val="0"/>
                <w:color w:val="auto"/>
                <w:sz w:val="16"/>
                <w:szCs w:val="16"/>
              </w:rPr>
              <w:fldChar w:fldCharType="separate"/>
            </w:r>
            <w:r w:rsidR="00A242E0">
              <w:rPr>
                <w:rFonts w:ascii="Arial" w:hAnsi="Arial" w:cs="Arial"/>
                <w:bCs w:val="0"/>
                <w:noProof/>
                <w:color w:val="auto"/>
                <w:sz w:val="16"/>
                <w:szCs w:val="16"/>
              </w:rPr>
              <w:t>25</w:t>
            </w:r>
            <w:bookmarkEnd w:id="554"/>
            <w:r w:rsidR="00990535" w:rsidRPr="00B65871">
              <w:rPr>
                <w:rFonts w:ascii="Arial" w:hAnsi="Arial" w:cs="Arial"/>
                <w:bCs w:val="0"/>
                <w:color w:val="auto"/>
                <w:sz w:val="16"/>
                <w:szCs w:val="16"/>
              </w:rPr>
              <w:fldChar w:fldCharType="end"/>
            </w:r>
          </w:p>
          <w:p w:rsidR="00361FCE" w:rsidRPr="00457EC2" w:rsidRDefault="00457EC2" w:rsidP="00902050">
            <w:pPr>
              <w:rPr>
                <w:rFonts w:ascii="Arial" w:hAnsi="Arial" w:cs="Arial"/>
                <w:b/>
                <w:i/>
                <w:sz w:val="16"/>
                <w:szCs w:val="16"/>
              </w:rPr>
            </w:pPr>
            <w:r>
              <w:rPr>
                <w:rFonts w:ascii="Arial" w:hAnsi="Arial" w:cs="Arial"/>
                <w:b/>
                <w:i/>
                <w:sz w:val="16"/>
                <w:szCs w:val="16"/>
              </w:rPr>
              <w:t xml:space="preserve">Ecuador 2010: </w:t>
            </w:r>
            <w:r w:rsidR="00361FCE">
              <w:rPr>
                <w:rFonts w:ascii="Arial" w:hAnsi="Arial" w:cs="Arial"/>
                <w:i/>
                <w:sz w:val="16"/>
                <w:szCs w:val="16"/>
              </w:rPr>
              <w:t>Frecuencia Relativa del Tipo de Vivienda</w:t>
            </w:r>
            <w:r>
              <w:rPr>
                <w:rFonts w:ascii="Arial" w:hAnsi="Arial" w:cs="Arial"/>
                <w:i/>
                <w:sz w:val="16"/>
                <w:szCs w:val="16"/>
              </w:rPr>
              <w:t xml:space="preserve"> en la que reside al menos un </w:t>
            </w:r>
            <w:r>
              <w:rPr>
                <w:rFonts w:ascii="Arial" w:hAnsi="Arial" w:cs="Arial"/>
                <w:b/>
                <w:i/>
                <w:sz w:val="16"/>
                <w:szCs w:val="16"/>
              </w:rPr>
              <w:t>colombiano</w:t>
            </w:r>
          </w:p>
          <w:p w:rsidR="00361FCE" w:rsidRPr="0078148C" w:rsidRDefault="00361FCE" w:rsidP="00902050">
            <w:pPr>
              <w:rPr>
                <w:rFonts w:ascii="Arial" w:hAnsi="Arial" w:cs="Arial"/>
                <w:i/>
                <w:sz w:val="16"/>
                <w:szCs w:val="16"/>
              </w:rPr>
            </w:pPr>
            <w:r>
              <w:rPr>
                <w:noProof/>
                <w:lang w:eastAsia="es-EC"/>
              </w:rPr>
              <w:drawing>
                <wp:inline distT="0" distB="0" distL="0" distR="0">
                  <wp:extent cx="4438650" cy="2124000"/>
                  <wp:effectExtent l="0" t="0" r="0" b="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bl>
    <w:p w:rsidR="00361FCE" w:rsidRPr="00457EC2" w:rsidRDefault="00361FCE" w:rsidP="00457EC2">
      <w:pPr>
        <w:pStyle w:val="Prrafodelista"/>
        <w:spacing w:line="276" w:lineRule="auto"/>
        <w:ind w:left="851"/>
        <w:jc w:val="both"/>
        <w:rPr>
          <w:rFonts w:ascii="Arial" w:hAnsi="Arial" w:cs="Arial"/>
          <w:sz w:val="17"/>
          <w:szCs w:val="17"/>
        </w:rPr>
      </w:pPr>
    </w:p>
    <w:p w:rsidR="00361FCE" w:rsidRPr="00457EC2" w:rsidRDefault="00361FCE" w:rsidP="00457EC2">
      <w:pPr>
        <w:pStyle w:val="Prrafodelista"/>
        <w:spacing w:line="276" w:lineRule="auto"/>
        <w:ind w:left="851"/>
        <w:jc w:val="both"/>
        <w:rPr>
          <w:rFonts w:ascii="Arial" w:hAnsi="Arial" w:cs="Arial"/>
          <w:sz w:val="17"/>
          <w:szCs w:val="17"/>
        </w:rPr>
      </w:pPr>
      <w:r w:rsidRPr="00457EC2">
        <w:rPr>
          <w:rFonts w:ascii="Arial" w:hAnsi="Arial" w:cs="Arial"/>
          <w:b/>
          <w:i/>
          <w:sz w:val="17"/>
          <w:szCs w:val="17"/>
        </w:rPr>
        <w:t>Fuente:</w:t>
      </w:r>
      <w:r w:rsidRPr="00457EC2">
        <w:rPr>
          <w:rFonts w:ascii="Arial" w:hAnsi="Arial" w:cs="Arial"/>
          <w:sz w:val="17"/>
          <w:szCs w:val="17"/>
        </w:rPr>
        <w:t xml:space="preserve"> </w:t>
      </w:r>
      <w:r w:rsidRPr="00457EC2">
        <w:rPr>
          <w:rFonts w:ascii="Arial" w:hAnsi="Arial" w:cs="Arial"/>
          <w:b/>
          <w:sz w:val="17"/>
          <w:szCs w:val="17"/>
        </w:rPr>
        <w:t xml:space="preserve">INEC </w:t>
      </w:r>
      <w:r w:rsidRPr="00457EC2">
        <w:rPr>
          <w:rFonts w:ascii="Arial" w:hAnsi="Arial" w:cs="Arial"/>
          <w:sz w:val="17"/>
          <w:szCs w:val="17"/>
        </w:rPr>
        <w:t>(2010), Base de Datos del VII Censo de Población y VI de Vivienda.</w:t>
      </w:r>
    </w:p>
    <w:p w:rsidR="00361FCE" w:rsidRPr="00457EC2" w:rsidRDefault="00361FCE" w:rsidP="00457EC2">
      <w:pPr>
        <w:pStyle w:val="Prrafodelista"/>
        <w:spacing w:line="276" w:lineRule="auto"/>
        <w:ind w:left="851"/>
        <w:jc w:val="both"/>
        <w:rPr>
          <w:rFonts w:ascii="Arial" w:hAnsi="Arial" w:cs="Arial"/>
          <w:sz w:val="17"/>
          <w:szCs w:val="17"/>
        </w:rPr>
      </w:pPr>
      <w:r w:rsidRPr="00457EC2">
        <w:rPr>
          <w:rFonts w:ascii="Arial" w:hAnsi="Arial" w:cs="Arial"/>
          <w:b/>
          <w:i/>
          <w:sz w:val="17"/>
          <w:szCs w:val="17"/>
        </w:rPr>
        <w:t>Elaborado por:</w:t>
      </w:r>
      <w:r w:rsidRPr="00457EC2">
        <w:rPr>
          <w:rFonts w:ascii="Arial" w:hAnsi="Arial" w:cs="Arial"/>
          <w:sz w:val="17"/>
          <w:szCs w:val="17"/>
        </w:rPr>
        <w:t xml:space="preserve"> Katherine Loor Valeriano</w:t>
      </w:r>
    </w:p>
    <w:p w:rsidR="00361FCE" w:rsidRDefault="00361FCE" w:rsidP="00457EC2">
      <w:pPr>
        <w:pStyle w:val="Prrafodelista"/>
        <w:spacing w:line="480" w:lineRule="auto"/>
        <w:ind w:left="851"/>
        <w:jc w:val="both"/>
        <w:rPr>
          <w:rFonts w:ascii="Arial" w:hAnsi="Arial" w:cs="Arial"/>
        </w:rPr>
      </w:pPr>
    </w:p>
    <w:p w:rsidR="00361FCE" w:rsidRDefault="00361FCE" w:rsidP="00457EC2">
      <w:pPr>
        <w:pStyle w:val="Prrafodelista"/>
        <w:spacing w:line="480" w:lineRule="auto"/>
        <w:ind w:left="851"/>
        <w:jc w:val="both"/>
        <w:rPr>
          <w:rFonts w:ascii="Arial" w:hAnsi="Arial" w:cs="Arial"/>
        </w:rPr>
      </w:pPr>
      <w:r>
        <w:rPr>
          <w:rFonts w:ascii="Arial" w:hAnsi="Arial" w:cs="Arial"/>
        </w:rPr>
        <w:t xml:space="preserve">Además, se conoce que el 22.57% de las viviendas son propias y totalmente pagadas, el 4.78% son propias y las  están pagando, el 3.58% son propias pero que son producto de regalos, donadas, heredadas o por posesión, el 10.07% son casas prestadas o cedidas (casas que no han sido pagadas), el 3.77% son por servicios, el 54.97% son viviendas arrendadas; y, el 0.25% son por anticresis. </w:t>
      </w:r>
      <w:r w:rsidRPr="0091382C">
        <w:rPr>
          <w:rFonts w:ascii="Arial" w:hAnsi="Arial" w:cs="Arial"/>
          <w:i/>
        </w:rPr>
        <w:t>Véase Figura 4.26</w:t>
      </w:r>
      <w:r>
        <w:rPr>
          <w:rFonts w:ascii="Arial" w:hAnsi="Arial" w:cs="Arial"/>
        </w:rPr>
        <w:t>.</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57EC2">
        <w:trPr>
          <w:trHeight w:val="2772"/>
          <w:jc w:val="right"/>
        </w:trPr>
        <w:tc>
          <w:tcPr>
            <w:tcW w:w="7497" w:type="dxa"/>
          </w:tcPr>
          <w:p w:rsidR="00361FCE" w:rsidRDefault="00361FCE" w:rsidP="00902050">
            <w:pPr>
              <w:rPr>
                <w:rFonts w:ascii="Arial" w:hAnsi="Arial" w:cs="Arial"/>
                <w:b/>
                <w:sz w:val="16"/>
                <w:szCs w:val="16"/>
              </w:rPr>
            </w:pPr>
          </w:p>
          <w:p w:rsidR="00B65871" w:rsidRPr="00B65871" w:rsidRDefault="00B65871" w:rsidP="00B65871">
            <w:pPr>
              <w:pStyle w:val="Epgrafe"/>
              <w:rPr>
                <w:rFonts w:ascii="Arial" w:hAnsi="Arial" w:cs="Arial"/>
                <w:bCs w:val="0"/>
                <w:color w:val="auto"/>
                <w:sz w:val="16"/>
                <w:szCs w:val="16"/>
              </w:rPr>
            </w:pPr>
            <w:bookmarkStart w:id="555" w:name="_Toc341043998"/>
            <w:r w:rsidRPr="00B65871">
              <w:rPr>
                <w:rFonts w:ascii="Arial" w:hAnsi="Arial" w:cs="Arial"/>
                <w:bCs w:val="0"/>
                <w:color w:val="auto"/>
                <w:sz w:val="16"/>
                <w:szCs w:val="16"/>
              </w:rPr>
              <w:t>Figura 4.</w:t>
            </w:r>
            <w:r w:rsidR="00990535" w:rsidRPr="00B65871">
              <w:rPr>
                <w:rFonts w:ascii="Arial" w:hAnsi="Arial" w:cs="Arial"/>
                <w:bCs w:val="0"/>
                <w:color w:val="auto"/>
                <w:sz w:val="16"/>
                <w:szCs w:val="16"/>
              </w:rPr>
              <w:fldChar w:fldCharType="begin"/>
            </w:r>
            <w:r w:rsidRPr="00B65871">
              <w:rPr>
                <w:rFonts w:ascii="Arial" w:hAnsi="Arial" w:cs="Arial"/>
                <w:bCs w:val="0"/>
                <w:color w:val="auto"/>
                <w:sz w:val="16"/>
                <w:szCs w:val="16"/>
              </w:rPr>
              <w:instrText xml:space="preserve"> SEQ Figura_4. \* ARABIC </w:instrText>
            </w:r>
            <w:r w:rsidR="00990535" w:rsidRPr="00B65871">
              <w:rPr>
                <w:rFonts w:ascii="Arial" w:hAnsi="Arial" w:cs="Arial"/>
                <w:bCs w:val="0"/>
                <w:color w:val="auto"/>
                <w:sz w:val="16"/>
                <w:szCs w:val="16"/>
              </w:rPr>
              <w:fldChar w:fldCharType="separate"/>
            </w:r>
            <w:r w:rsidR="00A242E0">
              <w:rPr>
                <w:rFonts w:ascii="Arial" w:hAnsi="Arial" w:cs="Arial"/>
                <w:bCs w:val="0"/>
                <w:noProof/>
                <w:color w:val="auto"/>
                <w:sz w:val="16"/>
                <w:szCs w:val="16"/>
              </w:rPr>
              <w:t>26</w:t>
            </w:r>
            <w:bookmarkEnd w:id="555"/>
            <w:r w:rsidR="00990535" w:rsidRPr="00B65871">
              <w:rPr>
                <w:rFonts w:ascii="Arial" w:hAnsi="Arial" w:cs="Arial"/>
                <w:bCs w:val="0"/>
                <w:color w:val="auto"/>
                <w:sz w:val="16"/>
                <w:szCs w:val="16"/>
              </w:rPr>
              <w:fldChar w:fldCharType="end"/>
            </w:r>
          </w:p>
          <w:p w:rsidR="00457EC2" w:rsidRDefault="00457EC2" w:rsidP="00902050">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Frecuencia Relativa de pertenencia de la vivienda </w:t>
            </w:r>
          </w:p>
          <w:p w:rsidR="00361FCE" w:rsidRPr="00457EC2" w:rsidRDefault="00457EC2" w:rsidP="00902050">
            <w:pPr>
              <w:rPr>
                <w:rFonts w:ascii="Arial" w:hAnsi="Arial" w:cs="Arial"/>
                <w:b/>
                <w:i/>
                <w:sz w:val="16"/>
                <w:szCs w:val="16"/>
              </w:rPr>
            </w:pPr>
            <w:r>
              <w:rPr>
                <w:rFonts w:ascii="Arial" w:hAnsi="Arial" w:cs="Arial"/>
                <w:i/>
                <w:sz w:val="16"/>
                <w:szCs w:val="16"/>
              </w:rPr>
              <w:t xml:space="preserve">donde reside al menos un </w:t>
            </w:r>
            <w:r>
              <w:rPr>
                <w:rFonts w:ascii="Arial" w:hAnsi="Arial" w:cs="Arial"/>
                <w:b/>
                <w:i/>
                <w:sz w:val="16"/>
                <w:szCs w:val="16"/>
              </w:rPr>
              <w:t>colombiano</w:t>
            </w:r>
          </w:p>
          <w:p w:rsidR="00361FCE" w:rsidRPr="0078148C" w:rsidRDefault="00361FCE" w:rsidP="00902050">
            <w:pPr>
              <w:rPr>
                <w:rFonts w:ascii="Arial" w:hAnsi="Arial" w:cs="Arial"/>
                <w:i/>
                <w:sz w:val="16"/>
                <w:szCs w:val="16"/>
              </w:rPr>
            </w:pPr>
            <w:r>
              <w:rPr>
                <w:noProof/>
                <w:lang w:eastAsia="es-EC"/>
              </w:rPr>
              <w:drawing>
                <wp:inline distT="0" distB="0" distL="0" distR="0">
                  <wp:extent cx="4438650" cy="1620000"/>
                  <wp:effectExtent l="0" t="0" r="0" b="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r>
    </w:tbl>
    <w:p w:rsidR="00361FCE" w:rsidRPr="009466E6" w:rsidRDefault="00361FCE" w:rsidP="00457EC2">
      <w:pPr>
        <w:pStyle w:val="Prrafodelista"/>
        <w:spacing w:line="276" w:lineRule="auto"/>
        <w:ind w:left="851"/>
        <w:jc w:val="both"/>
        <w:rPr>
          <w:rFonts w:ascii="Arial" w:hAnsi="Arial" w:cs="Arial"/>
          <w:sz w:val="16"/>
          <w:szCs w:val="16"/>
        </w:rPr>
      </w:pPr>
    </w:p>
    <w:p w:rsidR="00361FCE" w:rsidRPr="00457EC2" w:rsidRDefault="00361FCE" w:rsidP="00457EC2">
      <w:pPr>
        <w:pStyle w:val="Prrafodelista"/>
        <w:spacing w:line="276" w:lineRule="auto"/>
        <w:ind w:left="851"/>
        <w:jc w:val="both"/>
        <w:rPr>
          <w:rFonts w:ascii="Arial" w:hAnsi="Arial" w:cs="Arial"/>
          <w:sz w:val="17"/>
          <w:szCs w:val="17"/>
        </w:rPr>
      </w:pPr>
      <w:r w:rsidRPr="00457EC2">
        <w:rPr>
          <w:rFonts w:ascii="Arial" w:hAnsi="Arial" w:cs="Arial"/>
          <w:b/>
          <w:i/>
          <w:sz w:val="17"/>
          <w:szCs w:val="17"/>
        </w:rPr>
        <w:t>Fuente:</w:t>
      </w:r>
      <w:r w:rsidRPr="00457EC2">
        <w:rPr>
          <w:rFonts w:ascii="Arial" w:hAnsi="Arial" w:cs="Arial"/>
          <w:sz w:val="17"/>
          <w:szCs w:val="17"/>
        </w:rPr>
        <w:t xml:space="preserve"> </w:t>
      </w:r>
      <w:r w:rsidRPr="00457EC2">
        <w:rPr>
          <w:rFonts w:ascii="Arial" w:hAnsi="Arial" w:cs="Arial"/>
          <w:b/>
          <w:sz w:val="17"/>
          <w:szCs w:val="17"/>
        </w:rPr>
        <w:t xml:space="preserve">INEC </w:t>
      </w:r>
      <w:r w:rsidRPr="00457EC2">
        <w:rPr>
          <w:rFonts w:ascii="Arial" w:hAnsi="Arial" w:cs="Arial"/>
          <w:sz w:val="17"/>
          <w:szCs w:val="17"/>
        </w:rPr>
        <w:t>(2010), Base de Datos del VII Censo de Población y VI de Vivienda.</w:t>
      </w:r>
    </w:p>
    <w:p w:rsidR="00361FCE" w:rsidRDefault="00361FCE" w:rsidP="00457EC2">
      <w:pPr>
        <w:pStyle w:val="Prrafodelista"/>
        <w:spacing w:line="276" w:lineRule="auto"/>
        <w:ind w:left="851"/>
        <w:jc w:val="both"/>
        <w:rPr>
          <w:rFonts w:ascii="Arial" w:hAnsi="Arial" w:cs="Arial"/>
          <w:sz w:val="18"/>
          <w:szCs w:val="18"/>
        </w:rPr>
      </w:pPr>
      <w:r w:rsidRPr="00457EC2">
        <w:rPr>
          <w:rFonts w:ascii="Arial" w:hAnsi="Arial" w:cs="Arial"/>
          <w:b/>
          <w:i/>
          <w:sz w:val="17"/>
          <w:szCs w:val="17"/>
        </w:rPr>
        <w:t>Elaborado por:</w:t>
      </w:r>
      <w:r w:rsidRPr="00457EC2">
        <w:rPr>
          <w:rFonts w:ascii="Arial" w:hAnsi="Arial" w:cs="Arial"/>
          <w:sz w:val="17"/>
          <w:szCs w:val="17"/>
        </w:rPr>
        <w:t xml:space="preserve"> Katherine Loor Valeriano</w:t>
      </w:r>
    </w:p>
    <w:p w:rsidR="00361FCE" w:rsidRDefault="00361FCE" w:rsidP="009466E6">
      <w:pPr>
        <w:pStyle w:val="Prrafodelista"/>
        <w:spacing w:line="480" w:lineRule="auto"/>
        <w:ind w:left="851"/>
        <w:jc w:val="both"/>
        <w:rPr>
          <w:rFonts w:ascii="Arial" w:hAnsi="Arial" w:cs="Arial"/>
        </w:rPr>
      </w:pPr>
    </w:p>
    <w:p w:rsidR="00361FCE" w:rsidRDefault="00361FCE" w:rsidP="00457EC2">
      <w:pPr>
        <w:pStyle w:val="Estilo42"/>
        <w:ind w:left="1701" w:hanging="850"/>
      </w:pPr>
      <w:bookmarkStart w:id="556" w:name="_Toc337135527"/>
      <w:bookmarkStart w:id="557" w:name="_Toc341040677"/>
      <w:r>
        <w:t>Número de personas por dormitorio</w:t>
      </w:r>
      <w:bookmarkEnd w:id="556"/>
      <w:bookmarkEnd w:id="557"/>
    </w:p>
    <w:p w:rsidR="00361FCE" w:rsidRPr="009E2E24" w:rsidRDefault="00361FCE" w:rsidP="00457EC2">
      <w:pPr>
        <w:pStyle w:val="Prrafodelista"/>
        <w:spacing w:line="480" w:lineRule="auto"/>
        <w:ind w:left="851"/>
        <w:jc w:val="both"/>
        <w:rPr>
          <w:rFonts w:ascii="Arial" w:hAnsi="Arial" w:cs="Arial"/>
          <w:i/>
        </w:rPr>
      </w:pPr>
      <w:r>
        <w:rPr>
          <w:rFonts w:ascii="Arial" w:hAnsi="Arial" w:cs="Arial"/>
        </w:rPr>
        <w:t xml:space="preserve">En la </w:t>
      </w:r>
      <w:r>
        <w:rPr>
          <w:rFonts w:ascii="Arial" w:hAnsi="Arial" w:cs="Arial"/>
          <w:i/>
        </w:rPr>
        <w:t>Figura 4.27</w:t>
      </w:r>
      <w:r>
        <w:rPr>
          <w:rFonts w:ascii="Arial" w:hAnsi="Arial" w:cs="Arial"/>
        </w:rPr>
        <w:t>, se presenta la distribución del número de personas por dormitorio en las viviendas en las cuales reside algún colombiano, en donde se tiene que el 3.42% son viviendas que no tienen dormitorio, el 48.86% son viviendas donde hay menos de personas por dormitorio, el 33.40%, 11.19% y 3.14% son viviendas con 2 a 3, 4 a 5 y má</w:t>
      </w:r>
      <w:r w:rsidR="009466E6">
        <w:rPr>
          <w:rFonts w:ascii="Arial" w:hAnsi="Arial" w:cs="Arial"/>
        </w:rPr>
        <w:t>s de 5 personas por dormitorio.</w:t>
      </w:r>
    </w:p>
    <w:tbl>
      <w:tblPr>
        <w:tblStyle w:val="Tablaconcuadrcula"/>
        <w:tblW w:w="7527" w:type="dxa"/>
        <w:jc w:val="right"/>
        <w:tblInd w:w="114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27"/>
      </w:tblGrid>
      <w:tr w:rsidR="00361FCE" w:rsidRPr="00840530" w:rsidTr="00457EC2">
        <w:trPr>
          <w:trHeight w:val="2772"/>
          <w:jc w:val="right"/>
        </w:trPr>
        <w:tc>
          <w:tcPr>
            <w:tcW w:w="7527" w:type="dxa"/>
          </w:tcPr>
          <w:p w:rsidR="00361FCE" w:rsidRDefault="00361FCE" w:rsidP="00902050">
            <w:pPr>
              <w:rPr>
                <w:rFonts w:ascii="Arial" w:hAnsi="Arial" w:cs="Arial"/>
                <w:b/>
                <w:sz w:val="16"/>
                <w:szCs w:val="16"/>
              </w:rPr>
            </w:pPr>
          </w:p>
          <w:p w:rsidR="00B65871" w:rsidRPr="00B65871" w:rsidRDefault="00B65871" w:rsidP="00B65871">
            <w:pPr>
              <w:pStyle w:val="Epgrafe"/>
              <w:rPr>
                <w:rFonts w:ascii="Arial" w:hAnsi="Arial" w:cs="Arial"/>
                <w:bCs w:val="0"/>
                <w:color w:val="auto"/>
                <w:sz w:val="16"/>
                <w:szCs w:val="16"/>
              </w:rPr>
            </w:pPr>
            <w:bookmarkStart w:id="558" w:name="_Toc341043999"/>
            <w:r>
              <w:rPr>
                <w:rFonts w:ascii="Arial" w:hAnsi="Arial" w:cs="Arial"/>
                <w:bCs w:val="0"/>
                <w:color w:val="auto"/>
                <w:sz w:val="16"/>
                <w:szCs w:val="16"/>
              </w:rPr>
              <w:t>Figura 4.</w:t>
            </w:r>
            <w:r w:rsidR="00990535" w:rsidRPr="00B65871">
              <w:rPr>
                <w:rFonts w:ascii="Arial" w:hAnsi="Arial" w:cs="Arial"/>
                <w:bCs w:val="0"/>
                <w:color w:val="auto"/>
                <w:sz w:val="16"/>
                <w:szCs w:val="16"/>
              </w:rPr>
              <w:fldChar w:fldCharType="begin"/>
            </w:r>
            <w:r w:rsidRPr="00B65871">
              <w:rPr>
                <w:rFonts w:ascii="Arial" w:hAnsi="Arial" w:cs="Arial"/>
                <w:bCs w:val="0"/>
                <w:color w:val="auto"/>
                <w:sz w:val="16"/>
                <w:szCs w:val="16"/>
              </w:rPr>
              <w:instrText xml:space="preserve"> SEQ Figura_4. \* ARABIC </w:instrText>
            </w:r>
            <w:r w:rsidR="00990535" w:rsidRPr="00B65871">
              <w:rPr>
                <w:rFonts w:ascii="Arial" w:hAnsi="Arial" w:cs="Arial"/>
                <w:bCs w:val="0"/>
                <w:color w:val="auto"/>
                <w:sz w:val="16"/>
                <w:szCs w:val="16"/>
              </w:rPr>
              <w:fldChar w:fldCharType="separate"/>
            </w:r>
            <w:r w:rsidR="00A242E0">
              <w:rPr>
                <w:rFonts w:ascii="Arial" w:hAnsi="Arial" w:cs="Arial"/>
                <w:bCs w:val="0"/>
                <w:noProof/>
                <w:color w:val="auto"/>
                <w:sz w:val="16"/>
                <w:szCs w:val="16"/>
              </w:rPr>
              <w:t>27</w:t>
            </w:r>
            <w:bookmarkEnd w:id="558"/>
            <w:r w:rsidR="00990535" w:rsidRPr="00B65871">
              <w:rPr>
                <w:rFonts w:ascii="Arial" w:hAnsi="Arial" w:cs="Arial"/>
                <w:bCs w:val="0"/>
                <w:color w:val="auto"/>
                <w:sz w:val="16"/>
                <w:szCs w:val="16"/>
              </w:rPr>
              <w:fldChar w:fldCharType="end"/>
            </w:r>
          </w:p>
          <w:p w:rsidR="00457EC2" w:rsidRDefault="00457EC2" w:rsidP="00902050">
            <w:pPr>
              <w:rPr>
                <w:rFonts w:ascii="Arial" w:hAnsi="Arial" w:cs="Arial"/>
                <w:i/>
                <w:sz w:val="16"/>
                <w:szCs w:val="16"/>
              </w:rPr>
            </w:pPr>
            <w:r>
              <w:rPr>
                <w:rFonts w:ascii="Arial" w:hAnsi="Arial" w:cs="Arial"/>
                <w:b/>
                <w:i/>
                <w:sz w:val="16"/>
                <w:szCs w:val="16"/>
              </w:rPr>
              <w:t xml:space="preserve">Ecuador 2010: </w:t>
            </w:r>
            <w:r w:rsidR="00361FCE">
              <w:rPr>
                <w:rFonts w:ascii="Arial" w:hAnsi="Arial" w:cs="Arial"/>
                <w:i/>
                <w:sz w:val="16"/>
                <w:szCs w:val="16"/>
              </w:rPr>
              <w:t>Frecuencia Relativa del Número de personas por dormitorio</w:t>
            </w:r>
            <w:r>
              <w:rPr>
                <w:rFonts w:ascii="Arial" w:hAnsi="Arial" w:cs="Arial"/>
                <w:i/>
                <w:sz w:val="16"/>
                <w:szCs w:val="16"/>
              </w:rPr>
              <w:t xml:space="preserve"> en la vivienda </w:t>
            </w:r>
          </w:p>
          <w:p w:rsidR="00361FCE" w:rsidRPr="00457EC2" w:rsidRDefault="00457EC2" w:rsidP="00902050">
            <w:pPr>
              <w:rPr>
                <w:rFonts w:ascii="Arial" w:hAnsi="Arial" w:cs="Arial"/>
                <w:b/>
                <w:i/>
                <w:sz w:val="16"/>
                <w:szCs w:val="16"/>
              </w:rPr>
            </w:pPr>
            <w:r>
              <w:rPr>
                <w:rFonts w:ascii="Arial" w:hAnsi="Arial" w:cs="Arial"/>
                <w:i/>
                <w:sz w:val="16"/>
                <w:szCs w:val="16"/>
              </w:rPr>
              <w:t xml:space="preserve">donde reside al menos un </w:t>
            </w:r>
            <w:r>
              <w:rPr>
                <w:rFonts w:ascii="Arial" w:hAnsi="Arial" w:cs="Arial"/>
                <w:b/>
                <w:i/>
                <w:sz w:val="16"/>
                <w:szCs w:val="16"/>
              </w:rPr>
              <w:t>colombiano</w:t>
            </w:r>
          </w:p>
          <w:p w:rsidR="00361FCE" w:rsidRPr="0078148C" w:rsidRDefault="00361FCE" w:rsidP="00902050">
            <w:pPr>
              <w:rPr>
                <w:rFonts w:ascii="Arial" w:hAnsi="Arial" w:cs="Arial"/>
                <w:i/>
                <w:sz w:val="16"/>
                <w:szCs w:val="16"/>
              </w:rPr>
            </w:pPr>
            <w:r>
              <w:rPr>
                <w:noProof/>
                <w:lang w:eastAsia="es-EC"/>
              </w:rPr>
              <w:drawing>
                <wp:inline distT="0" distB="0" distL="0" distR="0">
                  <wp:extent cx="4438650" cy="1548000"/>
                  <wp:effectExtent l="0" t="0" r="0" b="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bl>
    <w:p w:rsidR="00361FCE" w:rsidRPr="009466E6" w:rsidRDefault="00361FCE" w:rsidP="00457EC2">
      <w:pPr>
        <w:pStyle w:val="Prrafodelista"/>
        <w:spacing w:line="276" w:lineRule="auto"/>
        <w:ind w:left="851"/>
        <w:jc w:val="both"/>
        <w:rPr>
          <w:rFonts w:ascii="Arial" w:hAnsi="Arial" w:cs="Arial"/>
          <w:sz w:val="16"/>
          <w:szCs w:val="16"/>
        </w:rPr>
      </w:pPr>
    </w:p>
    <w:p w:rsidR="00361FCE" w:rsidRPr="00457EC2" w:rsidRDefault="00361FCE" w:rsidP="00457EC2">
      <w:pPr>
        <w:pStyle w:val="Prrafodelista"/>
        <w:spacing w:line="276" w:lineRule="auto"/>
        <w:ind w:left="851"/>
        <w:jc w:val="both"/>
        <w:rPr>
          <w:rFonts w:ascii="Arial" w:hAnsi="Arial" w:cs="Arial"/>
          <w:sz w:val="17"/>
          <w:szCs w:val="17"/>
        </w:rPr>
      </w:pPr>
      <w:r w:rsidRPr="00457EC2">
        <w:rPr>
          <w:rFonts w:ascii="Arial" w:hAnsi="Arial" w:cs="Arial"/>
          <w:b/>
          <w:i/>
          <w:sz w:val="17"/>
          <w:szCs w:val="17"/>
        </w:rPr>
        <w:t>Fuente:</w:t>
      </w:r>
      <w:r w:rsidRPr="00457EC2">
        <w:rPr>
          <w:rFonts w:ascii="Arial" w:hAnsi="Arial" w:cs="Arial"/>
          <w:sz w:val="17"/>
          <w:szCs w:val="17"/>
        </w:rPr>
        <w:t xml:space="preserve"> </w:t>
      </w:r>
      <w:r w:rsidRPr="00457EC2">
        <w:rPr>
          <w:rFonts w:ascii="Arial" w:hAnsi="Arial" w:cs="Arial"/>
          <w:b/>
          <w:sz w:val="17"/>
          <w:szCs w:val="17"/>
        </w:rPr>
        <w:t xml:space="preserve">INEC </w:t>
      </w:r>
      <w:r w:rsidRPr="00457EC2">
        <w:rPr>
          <w:rFonts w:ascii="Arial" w:hAnsi="Arial" w:cs="Arial"/>
          <w:sz w:val="17"/>
          <w:szCs w:val="17"/>
        </w:rPr>
        <w:t>(2010), Base de Datos del VII Censo de Población y VI de Vivienda.</w:t>
      </w:r>
    </w:p>
    <w:p w:rsidR="00361FCE" w:rsidRPr="00457EC2" w:rsidRDefault="00361FCE" w:rsidP="00457EC2">
      <w:pPr>
        <w:pStyle w:val="Prrafodelista"/>
        <w:spacing w:line="276" w:lineRule="auto"/>
        <w:ind w:left="851"/>
        <w:jc w:val="both"/>
        <w:rPr>
          <w:rFonts w:ascii="Arial" w:hAnsi="Arial" w:cs="Arial"/>
          <w:sz w:val="17"/>
          <w:szCs w:val="17"/>
        </w:rPr>
      </w:pPr>
      <w:r w:rsidRPr="00457EC2">
        <w:rPr>
          <w:rFonts w:ascii="Arial" w:hAnsi="Arial" w:cs="Arial"/>
          <w:b/>
          <w:i/>
          <w:sz w:val="17"/>
          <w:szCs w:val="17"/>
        </w:rPr>
        <w:t>Elaborado por:</w:t>
      </w:r>
      <w:r w:rsidRPr="00457EC2">
        <w:rPr>
          <w:rFonts w:ascii="Arial" w:hAnsi="Arial" w:cs="Arial"/>
          <w:sz w:val="17"/>
          <w:szCs w:val="17"/>
        </w:rPr>
        <w:t xml:space="preserve"> Katherine Loor Valeriano</w:t>
      </w:r>
    </w:p>
    <w:p w:rsidR="00361FCE" w:rsidRDefault="00361FCE" w:rsidP="00457EC2">
      <w:pPr>
        <w:pStyle w:val="Estilo41"/>
        <w:ind w:left="851"/>
      </w:pPr>
      <w:bookmarkStart w:id="559" w:name="_Toc337135528"/>
      <w:bookmarkStart w:id="560" w:name="_Toc341040678"/>
      <w:r>
        <w:lastRenderedPageBreak/>
        <w:t>Peruanos residentes en Ecuador</w:t>
      </w:r>
      <w:bookmarkEnd w:id="559"/>
      <w:bookmarkEnd w:id="560"/>
    </w:p>
    <w:p w:rsidR="00361FCE" w:rsidRPr="005734B5" w:rsidRDefault="00361FCE" w:rsidP="00C75F38">
      <w:pPr>
        <w:pStyle w:val="Estilo42"/>
        <w:ind w:left="1560" w:hanging="709"/>
      </w:pPr>
      <w:bookmarkStart w:id="561" w:name="_Toc337135529"/>
      <w:bookmarkStart w:id="562" w:name="_Toc341040679"/>
      <w:r>
        <w:t>Peruanos por provincia de residencia habitual</w:t>
      </w:r>
      <w:bookmarkEnd w:id="561"/>
      <w:bookmarkEnd w:id="562"/>
    </w:p>
    <w:p w:rsidR="00361FCE" w:rsidRDefault="00361FCE" w:rsidP="00C75F38">
      <w:pPr>
        <w:pStyle w:val="Prrafodelista"/>
        <w:spacing w:line="480" w:lineRule="auto"/>
        <w:ind w:left="851"/>
        <w:jc w:val="both"/>
        <w:rPr>
          <w:rFonts w:ascii="Arial" w:hAnsi="Arial" w:cs="Arial"/>
        </w:rPr>
      </w:pPr>
      <w:r>
        <w:rPr>
          <w:rFonts w:ascii="Arial" w:hAnsi="Arial" w:cs="Arial"/>
        </w:rPr>
        <w:t>Los peruanos representan la segunda comunidad extranjera más numerosa en el Ecuador, por tal motivo vamos a dedicar esta sección para hablar acerca de ellos; que según los resultados obtenidos a partir del último Censo de Población y Vivienda habían 15676 ciudadanos peruanos que habitualmente residen en nuestro territorio al 28 de noviembre de 2010. Los peruanos se han distribuido en todas las provincias del país, es por eso que podemos encontrar personas de esta nacionalidad inclusive en las denominadas Zonas no Delimitadas.</w:t>
      </w:r>
    </w:p>
    <w:p w:rsidR="00361FCE" w:rsidRDefault="00361FCE" w:rsidP="00C75F38">
      <w:pPr>
        <w:pStyle w:val="Prrafodelista"/>
        <w:spacing w:line="480" w:lineRule="auto"/>
        <w:ind w:left="851"/>
        <w:jc w:val="both"/>
        <w:rPr>
          <w:rFonts w:ascii="Arial" w:hAnsi="Arial" w:cs="Arial"/>
        </w:rPr>
      </w:pPr>
    </w:p>
    <w:p w:rsidR="00361FCE" w:rsidRPr="000D64A7" w:rsidRDefault="00361FCE" w:rsidP="00C75F38">
      <w:pPr>
        <w:pStyle w:val="Prrafodelista"/>
        <w:spacing w:line="480" w:lineRule="auto"/>
        <w:ind w:left="851"/>
        <w:jc w:val="both"/>
        <w:rPr>
          <w:rFonts w:ascii="Arial" w:hAnsi="Arial" w:cs="Arial"/>
        </w:rPr>
      </w:pPr>
      <w:r>
        <w:rPr>
          <w:rFonts w:ascii="Arial" w:hAnsi="Arial" w:cs="Arial"/>
        </w:rPr>
        <w:t xml:space="preserve">Además, en la </w:t>
      </w:r>
      <w:r>
        <w:rPr>
          <w:rFonts w:ascii="Arial" w:hAnsi="Arial" w:cs="Arial"/>
          <w:i/>
        </w:rPr>
        <w:t>Figura 4.28</w:t>
      </w:r>
      <w:r>
        <w:rPr>
          <w:rFonts w:ascii="Arial" w:hAnsi="Arial" w:cs="Arial"/>
        </w:rPr>
        <w:t xml:space="preserve"> se presentan las frecuencias relativas de la provincia de residencia habitual de los peruanos, en donde se tiene que el 22.85% de los extranjeros de esta nacionalidad viven en Azuay, el 19.25% en Guayas, el 15.44% en Pichincha, el 15.11% en El Oro; siendo estas las cuatro provincias con mayor cantidad de peruanos a nivel nacional. </w:t>
      </w:r>
      <w:r w:rsidR="00F91C02">
        <w:rPr>
          <w:rFonts w:ascii="Arial" w:hAnsi="Arial" w:cs="Arial"/>
        </w:rPr>
        <w:t>E</w:t>
      </w:r>
      <w:r>
        <w:rPr>
          <w:rFonts w:ascii="Arial" w:hAnsi="Arial" w:cs="Arial"/>
        </w:rPr>
        <w:t>n Galápagos y en las Zonas no Delimitadas están el 0.03% y 0.04% de los peruanos respectivamente, constituyendo estas dos últimas provincias la que menor cantidad de extranjeros residentes tienen.</w:t>
      </w:r>
      <w:r w:rsidR="00C75F38">
        <w:rPr>
          <w:rFonts w:ascii="Arial" w:hAnsi="Arial" w:cs="Arial"/>
        </w:rPr>
        <w:t xml:space="preserve"> </w:t>
      </w:r>
      <w:r>
        <w:rPr>
          <w:rFonts w:ascii="Arial" w:hAnsi="Arial" w:cs="Arial"/>
        </w:rPr>
        <w:t xml:space="preserve">En lo que respecta a las provincias del Oriente, tenemos que el 3.59% del total de peruanos que viven en Ecuador residen en esta región del país; que si desagregamos dicho porcentaje a nivel provincial tendríamos que 0.57% viven en Morona Santiago, el 0.17% en Napo, el 0.14% en Pastaza, el 0.61% en Sucumbíos, </w:t>
      </w:r>
      <w:r>
        <w:rPr>
          <w:rFonts w:ascii="Arial" w:hAnsi="Arial" w:cs="Arial"/>
        </w:rPr>
        <w:lastRenderedPageBreak/>
        <w:t xml:space="preserve">el 0.40% en Orellana; y, el 1.71% en Zamora Chinchipe, siendo esta última la provincia que tiene la mayor cantidad de peruanos en esta región.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C75F38">
        <w:trPr>
          <w:trHeight w:val="4876"/>
          <w:jc w:val="right"/>
        </w:trPr>
        <w:tc>
          <w:tcPr>
            <w:tcW w:w="7497" w:type="dxa"/>
          </w:tcPr>
          <w:p w:rsidR="00361FCE" w:rsidRPr="00840530" w:rsidRDefault="00361FCE" w:rsidP="00902050">
            <w:pPr>
              <w:rPr>
                <w:rFonts w:ascii="Arial" w:hAnsi="Arial" w:cs="Arial"/>
                <w:sz w:val="16"/>
                <w:szCs w:val="16"/>
              </w:rPr>
            </w:pPr>
          </w:p>
          <w:p w:rsidR="00B65871" w:rsidRPr="00B65871" w:rsidRDefault="00B65871" w:rsidP="00B65871">
            <w:pPr>
              <w:pStyle w:val="Epgrafe"/>
              <w:rPr>
                <w:rFonts w:ascii="Arial" w:hAnsi="Arial" w:cs="Arial"/>
                <w:bCs w:val="0"/>
                <w:color w:val="auto"/>
                <w:sz w:val="16"/>
                <w:szCs w:val="16"/>
              </w:rPr>
            </w:pPr>
            <w:bookmarkStart w:id="563" w:name="_Toc341044000"/>
            <w:r>
              <w:rPr>
                <w:rFonts w:ascii="Arial" w:hAnsi="Arial" w:cs="Arial"/>
                <w:bCs w:val="0"/>
                <w:color w:val="auto"/>
                <w:sz w:val="16"/>
                <w:szCs w:val="16"/>
              </w:rPr>
              <w:t>Figura 4.</w:t>
            </w:r>
            <w:r w:rsidR="00990535" w:rsidRPr="00B65871">
              <w:rPr>
                <w:rFonts w:ascii="Arial" w:hAnsi="Arial" w:cs="Arial"/>
                <w:bCs w:val="0"/>
                <w:color w:val="auto"/>
                <w:sz w:val="16"/>
                <w:szCs w:val="16"/>
              </w:rPr>
              <w:fldChar w:fldCharType="begin"/>
            </w:r>
            <w:r w:rsidRPr="00B65871">
              <w:rPr>
                <w:rFonts w:ascii="Arial" w:hAnsi="Arial" w:cs="Arial"/>
                <w:bCs w:val="0"/>
                <w:color w:val="auto"/>
                <w:sz w:val="16"/>
                <w:szCs w:val="16"/>
              </w:rPr>
              <w:instrText xml:space="preserve"> SEQ Figura_4. \* ARABIC </w:instrText>
            </w:r>
            <w:r w:rsidR="00990535" w:rsidRPr="00B65871">
              <w:rPr>
                <w:rFonts w:ascii="Arial" w:hAnsi="Arial" w:cs="Arial"/>
                <w:bCs w:val="0"/>
                <w:color w:val="auto"/>
                <w:sz w:val="16"/>
                <w:szCs w:val="16"/>
              </w:rPr>
              <w:fldChar w:fldCharType="separate"/>
            </w:r>
            <w:r w:rsidR="00A242E0">
              <w:rPr>
                <w:rFonts w:ascii="Arial" w:hAnsi="Arial" w:cs="Arial"/>
                <w:bCs w:val="0"/>
                <w:noProof/>
                <w:color w:val="auto"/>
                <w:sz w:val="16"/>
                <w:szCs w:val="16"/>
              </w:rPr>
              <w:t>28</w:t>
            </w:r>
            <w:bookmarkEnd w:id="563"/>
            <w:r w:rsidR="00990535" w:rsidRPr="00B65871">
              <w:rPr>
                <w:rFonts w:ascii="Arial" w:hAnsi="Arial" w:cs="Arial"/>
                <w:bCs w:val="0"/>
                <w:color w:val="auto"/>
                <w:sz w:val="16"/>
                <w:szCs w:val="16"/>
              </w:rPr>
              <w:fldChar w:fldCharType="end"/>
            </w:r>
          </w:p>
          <w:p w:rsidR="00C75F38" w:rsidRDefault="00C75F38" w:rsidP="00C75F38">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Frecuencia Relativa de Provincia de residencia habitual de los </w:t>
            </w:r>
            <w:r>
              <w:rPr>
                <w:rFonts w:ascii="Arial" w:hAnsi="Arial" w:cs="Arial"/>
                <w:b/>
                <w:i/>
                <w:sz w:val="16"/>
                <w:szCs w:val="16"/>
              </w:rPr>
              <w:t>peruanos</w:t>
            </w:r>
          </w:p>
          <w:p w:rsidR="00361FCE" w:rsidRPr="00660711" w:rsidRDefault="00361FCE" w:rsidP="00902050">
            <w:pPr>
              <w:rPr>
                <w:rFonts w:ascii="Arial" w:hAnsi="Arial" w:cs="Arial"/>
                <w:i/>
                <w:sz w:val="16"/>
                <w:szCs w:val="16"/>
              </w:rPr>
            </w:pPr>
            <w:r>
              <w:rPr>
                <w:noProof/>
                <w:lang w:eastAsia="es-EC"/>
              </w:rPr>
              <w:drawing>
                <wp:inline distT="0" distB="0" distL="0" distR="0">
                  <wp:extent cx="4210050" cy="2971800"/>
                  <wp:effectExtent l="0" t="0" r="0" b="0"/>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bl>
    <w:p w:rsidR="00361FCE" w:rsidRPr="00C75F38" w:rsidRDefault="00361FCE" w:rsidP="00C75F38">
      <w:pPr>
        <w:pStyle w:val="Prrafodelista"/>
        <w:spacing w:line="276" w:lineRule="auto"/>
        <w:ind w:left="851"/>
        <w:jc w:val="both"/>
        <w:rPr>
          <w:rFonts w:ascii="Arial" w:hAnsi="Arial" w:cs="Arial"/>
          <w:sz w:val="17"/>
          <w:szCs w:val="17"/>
        </w:rPr>
      </w:pPr>
    </w:p>
    <w:p w:rsidR="00361FCE" w:rsidRPr="00C75F38" w:rsidRDefault="00361FCE" w:rsidP="00C75F38">
      <w:pPr>
        <w:pStyle w:val="Prrafodelista"/>
        <w:spacing w:line="276" w:lineRule="auto"/>
        <w:ind w:left="851"/>
        <w:jc w:val="both"/>
        <w:rPr>
          <w:rFonts w:ascii="Arial" w:hAnsi="Arial" w:cs="Arial"/>
          <w:sz w:val="17"/>
          <w:szCs w:val="17"/>
        </w:rPr>
      </w:pPr>
      <w:r w:rsidRPr="00C75F38">
        <w:rPr>
          <w:rFonts w:ascii="Arial" w:hAnsi="Arial" w:cs="Arial"/>
          <w:b/>
          <w:i/>
          <w:sz w:val="17"/>
          <w:szCs w:val="17"/>
        </w:rPr>
        <w:t>Fuente:</w:t>
      </w:r>
      <w:r w:rsidRPr="00C75F38">
        <w:rPr>
          <w:rFonts w:ascii="Arial" w:hAnsi="Arial" w:cs="Arial"/>
          <w:sz w:val="17"/>
          <w:szCs w:val="17"/>
        </w:rPr>
        <w:t xml:space="preserve"> </w:t>
      </w:r>
      <w:r w:rsidRPr="00C75F38">
        <w:rPr>
          <w:rFonts w:ascii="Arial" w:hAnsi="Arial" w:cs="Arial"/>
          <w:b/>
          <w:sz w:val="17"/>
          <w:szCs w:val="17"/>
        </w:rPr>
        <w:t xml:space="preserve">INEC </w:t>
      </w:r>
      <w:r w:rsidRPr="00C75F38">
        <w:rPr>
          <w:rFonts w:ascii="Arial" w:hAnsi="Arial" w:cs="Arial"/>
          <w:sz w:val="17"/>
          <w:szCs w:val="17"/>
        </w:rPr>
        <w:t>(2010), Base de Datos del VII Censo de Población y VI de Vivienda.</w:t>
      </w:r>
    </w:p>
    <w:p w:rsidR="00361FCE" w:rsidRPr="00C75F38" w:rsidRDefault="00361FCE" w:rsidP="00C75F38">
      <w:pPr>
        <w:pStyle w:val="Prrafodelista"/>
        <w:spacing w:line="276" w:lineRule="auto"/>
        <w:ind w:left="851"/>
        <w:jc w:val="both"/>
        <w:rPr>
          <w:rFonts w:ascii="Arial" w:hAnsi="Arial" w:cs="Arial"/>
          <w:sz w:val="17"/>
          <w:szCs w:val="17"/>
        </w:rPr>
      </w:pPr>
      <w:r w:rsidRPr="00C75F38">
        <w:rPr>
          <w:rFonts w:ascii="Arial" w:hAnsi="Arial" w:cs="Arial"/>
          <w:b/>
          <w:i/>
          <w:sz w:val="17"/>
          <w:szCs w:val="17"/>
        </w:rPr>
        <w:t>Elaborado por:</w:t>
      </w:r>
      <w:r w:rsidRPr="00C75F38">
        <w:rPr>
          <w:rFonts w:ascii="Arial" w:hAnsi="Arial" w:cs="Arial"/>
          <w:sz w:val="17"/>
          <w:szCs w:val="17"/>
        </w:rPr>
        <w:t xml:space="preserve"> Katherine Loor Valeriano</w:t>
      </w:r>
    </w:p>
    <w:p w:rsidR="00361FCE" w:rsidRDefault="00361FCE" w:rsidP="009466E6">
      <w:pPr>
        <w:pStyle w:val="Prrafodelista"/>
        <w:spacing w:line="480" w:lineRule="auto"/>
        <w:ind w:left="851"/>
        <w:jc w:val="both"/>
        <w:rPr>
          <w:rFonts w:ascii="Arial" w:hAnsi="Arial" w:cs="Arial"/>
        </w:rPr>
      </w:pPr>
    </w:p>
    <w:p w:rsidR="00361FCE" w:rsidRPr="005734B5" w:rsidRDefault="00361FCE" w:rsidP="00C75F38">
      <w:pPr>
        <w:pStyle w:val="Estilo42"/>
        <w:ind w:left="851" w:firstLine="0"/>
      </w:pPr>
      <w:bookmarkStart w:id="564" w:name="_Toc337135530"/>
      <w:bookmarkStart w:id="565" w:name="_Toc341040680"/>
      <w:r>
        <w:t>Tasa de inmigración peruana por cada 1000 habitantes por Provincia de residencia habitual</w:t>
      </w:r>
      <w:bookmarkEnd w:id="564"/>
      <w:bookmarkEnd w:id="565"/>
    </w:p>
    <w:p w:rsidR="00361FCE" w:rsidRDefault="00361FCE" w:rsidP="00C75F38">
      <w:pPr>
        <w:pStyle w:val="Prrafodelista"/>
        <w:spacing w:line="480" w:lineRule="auto"/>
        <w:ind w:left="851"/>
        <w:jc w:val="both"/>
        <w:rPr>
          <w:rFonts w:ascii="Arial" w:hAnsi="Arial" w:cs="Arial"/>
        </w:rPr>
      </w:pPr>
      <w:r>
        <w:rPr>
          <w:rFonts w:ascii="Arial" w:hAnsi="Arial" w:cs="Arial"/>
        </w:rPr>
        <w:t xml:space="preserve">Perú es un país que limita con casi todas las provincias de la región Oriental del Ecuador y con las provincias del sur del país, a pesar de esto se puede notar que la mayoría de los peruanos que residen en nuestro territorio se han concentrado en las provincias del  sur y en los dos grandes centros económicos del país como Guayas y Pichincha. En la </w:t>
      </w:r>
      <w:r>
        <w:rPr>
          <w:rFonts w:ascii="Arial" w:hAnsi="Arial" w:cs="Arial"/>
          <w:i/>
        </w:rPr>
        <w:t>Figura 4.29</w:t>
      </w:r>
      <w:r>
        <w:rPr>
          <w:rFonts w:ascii="Arial" w:hAnsi="Arial" w:cs="Arial"/>
        </w:rPr>
        <w:t xml:space="preserve">, se presenta la tasa de inmigración peruana por cada 1000 residentes de una determinada provincia, en donde las provincias cuyo sombreado es </w:t>
      </w:r>
      <w:r>
        <w:rPr>
          <w:rFonts w:ascii="Arial" w:hAnsi="Arial" w:cs="Arial"/>
        </w:rPr>
        <w:lastRenderedPageBreak/>
        <w:t xml:space="preserve">más intenso son aquellas en las cuales la tasa de inmigración es alta y entre menor es dicha tasa el color del sombreado se torna más tenue. </w:t>
      </w:r>
    </w:p>
    <w:p w:rsidR="00361FCE" w:rsidRDefault="00361FCE" w:rsidP="00C75F38">
      <w:pPr>
        <w:pStyle w:val="Prrafodelista"/>
        <w:spacing w:line="480" w:lineRule="auto"/>
        <w:ind w:left="851"/>
        <w:jc w:val="both"/>
        <w:rPr>
          <w:rFonts w:ascii="Arial" w:hAnsi="Arial" w:cs="Arial"/>
        </w:rPr>
      </w:pPr>
    </w:p>
    <w:p w:rsidR="00361FCE" w:rsidRPr="00082EFD" w:rsidRDefault="00361FCE" w:rsidP="00C75F38">
      <w:pPr>
        <w:pStyle w:val="Prrafodelista"/>
        <w:spacing w:line="480" w:lineRule="auto"/>
        <w:ind w:left="851"/>
        <w:jc w:val="both"/>
        <w:rPr>
          <w:rFonts w:ascii="Arial" w:hAnsi="Arial" w:cs="Arial"/>
        </w:rPr>
      </w:pPr>
      <w:r>
        <w:rPr>
          <w:rFonts w:ascii="Arial" w:hAnsi="Arial" w:cs="Arial"/>
        </w:rPr>
        <w:t xml:space="preserve">En donde tenemos que, en Azuay hay 5.04 peruanos por cada 1000 residentes en esta provincia, en El Oro y Zamora Chinchipe hay 3.96 y 2.96 extranjeros nacidos en Perú por cada 1000 habitantes de cada una de esas provincias respectivamente. Cabe mencionar que en Guayas esta tasa es de 0.83 peruanos por cada 1000 habitantes, pero que en la subsección previa mencionamos que es la provincia con la segunda comunidad más grande de peruanos y esto no se ve reflejado en el valor de la tasa debido al tamaño de la población total de la provincia. </w:t>
      </w:r>
      <w:r>
        <w:rPr>
          <w:rFonts w:ascii="Arial" w:hAnsi="Arial" w:cs="Arial"/>
          <w:i/>
        </w:rPr>
        <w:t>Véase Figura 4.29.</w:t>
      </w:r>
    </w:p>
    <w:tbl>
      <w:tblPr>
        <w:tblStyle w:val="Tablaconcuadrcula"/>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361FCE" w:rsidRPr="00840530" w:rsidTr="00C75F38">
        <w:trPr>
          <w:trHeight w:val="5046"/>
          <w:jc w:val="right"/>
        </w:trPr>
        <w:tc>
          <w:tcPr>
            <w:tcW w:w="7535" w:type="dxa"/>
          </w:tcPr>
          <w:p w:rsidR="00361FCE" w:rsidRPr="00840530" w:rsidRDefault="00361FCE" w:rsidP="00902050">
            <w:pPr>
              <w:rPr>
                <w:rFonts w:ascii="Arial" w:hAnsi="Arial" w:cs="Arial"/>
                <w:sz w:val="16"/>
                <w:szCs w:val="16"/>
              </w:rPr>
            </w:pPr>
          </w:p>
          <w:p w:rsidR="00B65871" w:rsidRPr="00B65871" w:rsidRDefault="00B65871" w:rsidP="00B65871">
            <w:pPr>
              <w:pStyle w:val="Epgrafe"/>
              <w:rPr>
                <w:rFonts w:ascii="Arial" w:hAnsi="Arial" w:cs="Arial"/>
                <w:bCs w:val="0"/>
                <w:color w:val="auto"/>
                <w:sz w:val="16"/>
                <w:szCs w:val="16"/>
              </w:rPr>
            </w:pPr>
            <w:bookmarkStart w:id="566" w:name="_Toc341044001"/>
            <w:r>
              <w:rPr>
                <w:rFonts w:ascii="Arial" w:hAnsi="Arial" w:cs="Arial"/>
                <w:bCs w:val="0"/>
                <w:color w:val="auto"/>
                <w:sz w:val="16"/>
                <w:szCs w:val="16"/>
              </w:rPr>
              <w:t>Figura 4.</w:t>
            </w:r>
            <w:r w:rsidR="00990535" w:rsidRPr="00B65871">
              <w:rPr>
                <w:rFonts w:ascii="Arial" w:hAnsi="Arial" w:cs="Arial"/>
                <w:bCs w:val="0"/>
                <w:color w:val="auto"/>
                <w:sz w:val="16"/>
                <w:szCs w:val="16"/>
              </w:rPr>
              <w:fldChar w:fldCharType="begin"/>
            </w:r>
            <w:r w:rsidRPr="00B65871">
              <w:rPr>
                <w:rFonts w:ascii="Arial" w:hAnsi="Arial" w:cs="Arial"/>
                <w:bCs w:val="0"/>
                <w:color w:val="auto"/>
                <w:sz w:val="16"/>
                <w:szCs w:val="16"/>
              </w:rPr>
              <w:instrText xml:space="preserve"> SEQ Figura_4. \* ARABIC </w:instrText>
            </w:r>
            <w:r w:rsidR="00990535" w:rsidRPr="00B65871">
              <w:rPr>
                <w:rFonts w:ascii="Arial" w:hAnsi="Arial" w:cs="Arial"/>
                <w:bCs w:val="0"/>
                <w:color w:val="auto"/>
                <w:sz w:val="16"/>
                <w:szCs w:val="16"/>
              </w:rPr>
              <w:fldChar w:fldCharType="separate"/>
            </w:r>
            <w:r w:rsidR="00A242E0">
              <w:rPr>
                <w:rFonts w:ascii="Arial" w:hAnsi="Arial" w:cs="Arial"/>
                <w:bCs w:val="0"/>
                <w:noProof/>
                <w:color w:val="auto"/>
                <w:sz w:val="16"/>
                <w:szCs w:val="16"/>
              </w:rPr>
              <w:t>29</w:t>
            </w:r>
            <w:bookmarkEnd w:id="566"/>
            <w:r w:rsidR="00990535" w:rsidRPr="00B65871">
              <w:rPr>
                <w:rFonts w:ascii="Arial" w:hAnsi="Arial" w:cs="Arial"/>
                <w:bCs w:val="0"/>
                <w:color w:val="auto"/>
                <w:sz w:val="16"/>
                <w:szCs w:val="16"/>
              </w:rPr>
              <w:fldChar w:fldCharType="end"/>
            </w:r>
          </w:p>
          <w:p w:rsidR="00361FCE" w:rsidRPr="00660711" w:rsidRDefault="00436907" w:rsidP="00C75F38">
            <w:pPr>
              <w:rPr>
                <w:rFonts w:ascii="Arial" w:hAnsi="Arial" w:cs="Arial"/>
                <w:i/>
                <w:sz w:val="16"/>
                <w:szCs w:val="16"/>
              </w:rPr>
            </w:pPr>
            <w:r>
              <w:rPr>
                <w:rFonts w:ascii="Arial" w:hAnsi="Arial" w:cs="Arial"/>
                <w:i/>
                <w:noProof/>
                <w:sz w:val="16"/>
                <w:szCs w:val="16"/>
                <w:lang w:eastAsia="es-EC"/>
              </w:rPr>
              <w:pict>
                <v:shape id="_x0000_s1516" type="#_x0000_t202" style="position:absolute;left:0;text-align:left;margin-left:216.3pt;margin-top:63.9pt;width:42pt;height:16.5pt;z-index:251533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style="mso-next-textbox:#_x0000_s1516">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0.94</w:t>
                        </w:r>
                      </w:p>
                    </w:txbxContent>
                  </v:textbox>
                </v:shape>
              </w:pict>
            </w:r>
            <w:r>
              <w:rPr>
                <w:rFonts w:ascii="Arial" w:hAnsi="Arial" w:cs="Arial"/>
                <w:i/>
                <w:noProof/>
                <w:sz w:val="16"/>
                <w:szCs w:val="16"/>
                <w:lang w:eastAsia="es-EC"/>
              </w:rPr>
              <w:pict>
                <v:shape id="_x0000_s1508" type="#_x0000_t202" style="position:absolute;left:0;text-align:left;margin-left:166.7pt;margin-top:117.15pt;width:42pt;height:16.55pt;z-index:251525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style="mso-next-textbox:#_x0000_s1508">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0.83</w:t>
                        </w:r>
                      </w:p>
                    </w:txbxContent>
                  </v:textbox>
                </v:shape>
              </w:pict>
            </w:r>
            <w:r>
              <w:rPr>
                <w:rFonts w:ascii="Arial" w:hAnsi="Arial" w:cs="Arial"/>
                <w:i/>
                <w:noProof/>
                <w:sz w:val="16"/>
                <w:szCs w:val="16"/>
                <w:lang w:eastAsia="es-EC"/>
              </w:rPr>
              <w:pict>
                <v:shape id="_x0000_s1511" type="#_x0000_t202" style="position:absolute;left:0;text-align:left;margin-left:189.3pt;margin-top:106.35pt;width:31.5pt;height:13.35pt;rotation:-90;z-index:251528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y5cQA&#10;AADcAAAADwAAAGRycy9kb3ducmV2LnhtbESPQYvCMBSE74L/ITxhb5pWQdxqFBFE9+Bhq7Aen82z&#10;7W7zUpqo1V9vFgSPw8x8w8wWranElRpXWlYQDyIQxJnVJecKDvt1fwLCeWSNlWVScCcHi3m3M8NE&#10;2xt/0zX1uQgQdgkqKLyvEyldVpBBN7A1cfDOtjHog2xyqRu8Bbip5DCKxtJgyWGhwJpWBWV/6cUo&#10;+DXu9Dl5UPyz3NzNcJce66+NVeqj1y6nIDy1/h1+tbdawSgewf+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58uXEAAAA3AAAAA8AAAAAAAAAAAAAAAAAmAIAAGRycy9k&#10;b3ducmV2LnhtbFBLBQYAAAAABAAEAPUAAACJAwAAAAA=&#10;" filled="f" stroked="f" strokeweight=".5pt">
                  <v:textbox style="layout-flow:vertical;mso-layout-flow-alt:bottom-to-top;mso-next-textbox:#_x0000_s1511">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0.20</w:t>
                        </w:r>
                      </w:p>
                    </w:txbxContent>
                  </v:textbox>
                </v:shape>
              </w:pict>
            </w:r>
            <w:r>
              <w:rPr>
                <w:rFonts w:ascii="Arial" w:hAnsi="Arial" w:cs="Arial"/>
                <w:i/>
                <w:noProof/>
                <w:sz w:val="16"/>
                <w:szCs w:val="16"/>
                <w:lang w:eastAsia="es-EC"/>
              </w:rPr>
              <w:pict>
                <v:shape id="_x0000_s1501" type="#_x0000_t202" style="position:absolute;left:0;text-align:left;margin-left:197.7pt;margin-top:105.55pt;width:42pt;height:16.5pt;rotation:-5689846fd;z-index:251518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AcMYA&#10;AADcAAAADwAAAGRycy9kb3ducmV2LnhtbESPS2sCQRCE74L/YWjBS4izGohxdRQVxODFR+LBW7vT&#10;+8CdnmVn1PXfO4GAx6KqvqIms8aU4ka1Kywr6PciEMSJ1QVnCn5/Vu9fIJxH1lhaJgUPcjCbtlsT&#10;jLW9855uB5+JAGEXo4Lc+yqW0iU5GXQ9WxEHL7W1QR9knUld4z3ATSkHUfQpDRYcFnKsaJlTcjlc&#10;jYLd8mNxPr5tNil6vI5Oi3Rt5VapbqeZj0F4avwr/N/+1goGoyH8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QAcMYAAADcAAAADwAAAAAAAAAAAAAAAACYAgAAZHJz&#10;L2Rvd25yZXYueG1sUEsFBgAAAAAEAAQA9QAAAIsDAAAAAA==&#10;" filled="f" stroked="f" strokeweight=".5pt">
                  <v:textbox style="layout-flow:vertical;mso-layout-flow-alt:bottom-to-top;mso-next-textbox:#_x0000_s1501">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0.19</w:t>
                        </w:r>
                      </w:p>
                    </w:txbxContent>
                  </v:textbox>
                </v:shape>
              </w:pict>
            </w:r>
            <w:r>
              <w:rPr>
                <w:rFonts w:ascii="Arial" w:hAnsi="Arial" w:cs="Arial"/>
                <w:i/>
                <w:noProof/>
                <w:sz w:val="16"/>
                <w:szCs w:val="16"/>
                <w:lang w:eastAsia="es-EC"/>
              </w:rPr>
              <w:pict>
                <v:shape id="_x0000_s1505" type="#_x0000_t202" style="position:absolute;left:0;text-align:left;margin-left:209.2pt;margin-top:119.05pt;width:42pt;height:16.5pt;z-index:251522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style="mso-next-textbox:#_x0000_s1505">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0.20</w:t>
                        </w:r>
                      </w:p>
                    </w:txbxContent>
                  </v:textbox>
                </v:shape>
              </w:pict>
            </w:r>
            <w:r>
              <w:rPr>
                <w:rFonts w:ascii="Arial" w:hAnsi="Arial" w:cs="Arial"/>
                <w:i/>
                <w:noProof/>
                <w:sz w:val="16"/>
                <w:szCs w:val="16"/>
                <w:lang w:eastAsia="es-EC"/>
              </w:rPr>
              <w:pict>
                <v:shape id="_x0000_s1517" type="#_x0000_t202" style="position:absolute;left:0;text-align:left;margin-left:215.95pt;margin-top:99.9pt;width:42pt;height:16.5pt;z-index:251534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style="mso-next-textbox:#_x0000_s1517">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0.35</w:t>
                        </w:r>
                      </w:p>
                    </w:txbxContent>
                  </v:textbox>
                </v:shape>
              </w:pict>
            </w:r>
            <w:r>
              <w:rPr>
                <w:rFonts w:ascii="Arial" w:hAnsi="Arial" w:cs="Arial"/>
                <w:i/>
                <w:noProof/>
                <w:sz w:val="16"/>
                <w:szCs w:val="16"/>
                <w:lang w:eastAsia="es-EC"/>
              </w:rPr>
              <w:pict>
                <v:shape id="_x0000_s1504" type="#_x0000_t202" style="position:absolute;left:0;text-align:left;margin-left:205.05pt;margin-top:85.7pt;width:42pt;height:16.5pt;z-index:251521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style="mso-next-textbox:#_x0000_s1504">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0.26</w:t>
                        </w:r>
                      </w:p>
                    </w:txbxContent>
                  </v:textbox>
                </v:shape>
              </w:pict>
            </w:r>
            <w:r>
              <w:rPr>
                <w:rFonts w:ascii="Arial" w:hAnsi="Arial" w:cs="Arial"/>
                <w:i/>
                <w:noProof/>
                <w:sz w:val="16"/>
                <w:szCs w:val="16"/>
                <w:lang w:eastAsia="es-EC"/>
              </w:rPr>
              <w:pict>
                <v:shape id="_x0000_s1521" type="#_x0000_t202" style="position:absolute;left:0;text-align:left;margin-left:194.95pt;margin-top:67.3pt;width:42pt;height:16.5pt;z-index:251538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9scA&#10;AADcAAAADwAAAGRycy9kb3ducmV2LnhtbESPzWvCQBTE70L/h+UVetNNU1o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PbHAAAA3AAAAA8AAAAAAAAAAAAAAAAAmAIAAGRy&#10;cy9kb3ducmV2LnhtbFBLBQYAAAAABAAEAPUAAACMAwAAAAA=&#10;" filled="f" stroked="f" strokeweight=".5pt">
                  <v:textbox style="mso-next-textbox:#_x0000_s1521">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0.46</w:t>
                        </w:r>
                      </w:p>
                    </w:txbxContent>
                  </v:textbox>
                </v:shape>
              </w:pict>
            </w:r>
            <w:r>
              <w:rPr>
                <w:rFonts w:ascii="Arial" w:hAnsi="Arial" w:cs="Arial"/>
                <w:i/>
                <w:noProof/>
                <w:sz w:val="16"/>
                <w:szCs w:val="16"/>
                <w:lang w:eastAsia="es-EC"/>
              </w:rPr>
              <w:pict>
                <v:shape id="_x0000_s1503" type="#_x0000_t202" style="position:absolute;left:0;text-align:left;margin-left:233.2pt;margin-top:37.3pt;width:42pt;height:16.5pt;rotation:2175710fd;z-index:251520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4CcUA&#10;AADcAAAADwAAAGRycy9kb3ducmV2LnhtbESPQWvCQBSE74X+h+UVequbegiaukpbKHjIoVHbXh/Z&#10;ZxKbfRt31yT+e1cQPA4z8w2zWI2mFT0531hW8DpJQBCXVjdcKdhtv15mIHxA1thaJgVn8rBaPj4s&#10;MNN24IL6TahEhLDPUEEdQpdJ6cuaDPqJ7Yijt7fOYIjSVVI7HCLctHKaJKk02HBcqLGjz5rK/83J&#10;KPj45XznDiTb4S8vv4+UFvhzVOr5aXx/AxFoDPfwrb3WCqbzO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vgJxQAAANwAAAAPAAAAAAAAAAAAAAAAAJgCAABkcnMv&#10;ZG93bnJldi54bWxQSwUGAAAAAAQABAD1AAAAigMAAAAA&#10;" filled="f" stroked="f" strokeweight=".5pt">
                  <v:textbox style="mso-next-textbox:#_x0000_s1503">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0.18</w:t>
                        </w:r>
                      </w:p>
                    </w:txbxContent>
                  </v:textbox>
                </v:shape>
              </w:pict>
            </w:r>
            <w:r>
              <w:rPr>
                <w:rFonts w:ascii="Arial" w:hAnsi="Arial" w:cs="Arial"/>
                <w:i/>
                <w:noProof/>
                <w:sz w:val="16"/>
                <w:szCs w:val="16"/>
                <w:lang w:eastAsia="es-EC"/>
              </w:rPr>
              <w:pict>
                <v:shape id="_x0000_s1509" type="#_x0000_t202" style="position:absolute;left:0;text-align:left;margin-left:222.7pt;margin-top:47.4pt;width:42pt;height:16.5pt;z-index:251526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style="mso-next-textbox:#_x0000_s1509">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0.38</w:t>
                        </w:r>
                      </w:p>
                    </w:txbxContent>
                  </v:textbox>
                </v:shape>
              </w:pict>
            </w:r>
            <w:r>
              <w:rPr>
                <w:rFonts w:ascii="Arial" w:hAnsi="Arial" w:cs="Arial"/>
                <w:i/>
                <w:noProof/>
                <w:sz w:val="16"/>
                <w:szCs w:val="16"/>
                <w:lang w:eastAsia="es-EC"/>
              </w:rPr>
              <w:pict>
                <v:shape id="_x0000_s1519" type="#_x0000_t202" style="position:absolute;left:0;text-align:left;margin-left:282.3pt;margin-top:59.15pt;width:42pt;height:16.5pt;z-index:251536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GscA&#10;AADcAAAADwAAAGRycy9kb3ducmV2LnhtbESPQWvCQBSE7wX/w/IK3uqmE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xrHAAAA3AAAAA8AAAAAAAAAAAAAAAAAmAIAAGRy&#10;cy9kb3ducmV2LnhtbFBLBQYAAAAABAAEAPUAAACMAwAAAAA=&#10;" filled="f" stroked="f" strokeweight=".5pt">
                  <v:textbox style="mso-next-textbox:#_x0000_s1519">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0.54</w:t>
                        </w:r>
                      </w:p>
                    </w:txbxContent>
                  </v:textbox>
                </v:shape>
              </w:pict>
            </w:r>
            <w:r>
              <w:rPr>
                <w:rFonts w:ascii="Arial" w:hAnsi="Arial" w:cs="Arial"/>
                <w:i/>
                <w:noProof/>
                <w:sz w:val="16"/>
                <w:szCs w:val="16"/>
                <w:lang w:eastAsia="es-EC"/>
              </w:rPr>
              <w:pict>
                <v:shape id="_x0000_s1520" type="#_x0000_t202" style="position:absolute;left:0;text-align:left;margin-left:281.2pt;margin-top:82.3pt;width:42pt;height:16.5pt;z-index:25153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FbccA&#10;AADcAAAADwAAAGRycy9kb3ducmV2LnhtbESPzWrDMBCE74G+g9hCbolcl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W3HAAAA3AAAAA8AAAAAAAAAAAAAAAAAmAIAAGRy&#10;cy9kb3ducmV2LnhtbFBLBQYAAAAABAAEAPUAAACMAwAAAAA=&#10;" filled="f" stroked="f" strokeweight=".5pt">
                  <v:textbox style="mso-next-textbox:#_x0000_s1520">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0.47</w:t>
                        </w:r>
                      </w:p>
                    </w:txbxContent>
                  </v:textbox>
                </v:shape>
              </w:pict>
            </w:r>
            <w:r>
              <w:rPr>
                <w:rFonts w:ascii="Arial" w:hAnsi="Arial" w:cs="Arial"/>
                <w:i/>
                <w:noProof/>
                <w:sz w:val="16"/>
                <w:szCs w:val="16"/>
                <w:lang w:eastAsia="es-EC"/>
              </w:rPr>
              <w:pict>
                <v:shape id="_x0000_s1515" type="#_x0000_t202" style="position:absolute;left:0;text-align:left;margin-left:273.85pt;margin-top:112.3pt;width:42pt;height:16.5pt;z-index:25153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style="mso-next-textbox:#_x0000_s1515">
                    <w:txbxContent>
                      <w:p w:rsidR="006933DF" w:rsidRDefault="006933DF" w:rsidP="00361FCE">
                        <w:pPr>
                          <w:pStyle w:val="NormalWeb"/>
                          <w:spacing w:before="0" w:beforeAutospacing="0" w:after="0" w:afterAutospacing="0"/>
                          <w:textAlignment w:val="baseline"/>
                        </w:pPr>
                        <w:r>
                          <w:rPr>
                            <w:rFonts w:ascii="Arial" w:eastAsia="Calibri" w:hAnsi="Arial" w:cs="Arial"/>
                            <w:color w:val="000000" w:themeColor="text1"/>
                            <w:kern w:val="24"/>
                            <w:sz w:val="12"/>
                            <w:szCs w:val="12"/>
                          </w:rPr>
                          <w:t>0.26</w:t>
                        </w:r>
                      </w:p>
                    </w:txbxContent>
                  </v:textbox>
                </v:shape>
              </w:pict>
            </w:r>
            <w:r>
              <w:rPr>
                <w:rFonts w:ascii="Arial" w:hAnsi="Arial" w:cs="Arial"/>
                <w:i/>
                <w:noProof/>
                <w:sz w:val="16"/>
                <w:szCs w:val="16"/>
                <w:lang w:eastAsia="es-EC"/>
              </w:rPr>
              <w:pict>
                <v:shape id="_x0000_s1502" type="#_x0000_t202" style="position:absolute;left:0;text-align:left;margin-left:200.95pt;margin-top:137.8pt;width:42pt;height:14.25pt;z-index:251519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style="mso-next-textbox:#_x0000_s1502">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2.26</w:t>
                        </w:r>
                      </w:p>
                    </w:txbxContent>
                  </v:textbox>
                </v:shape>
              </w:pict>
            </w:r>
            <w:r>
              <w:rPr>
                <w:rFonts w:ascii="Arial" w:hAnsi="Arial" w:cs="Arial"/>
                <w:i/>
                <w:noProof/>
                <w:sz w:val="16"/>
                <w:szCs w:val="16"/>
                <w:lang w:eastAsia="es-EC"/>
              </w:rPr>
              <w:pict>
                <v:shape id="_x0000_s1506" type="#_x0000_t202" style="position:absolute;left:0;text-align:left;margin-left:174.2pt;margin-top:169.2pt;width:42pt;height:16.5pt;z-index:251523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style="mso-next-textbox:#_x0000_s1506">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3.96</w:t>
                        </w:r>
                      </w:p>
                    </w:txbxContent>
                  </v:textbox>
                </v:shape>
              </w:pict>
            </w:r>
            <w:r>
              <w:rPr>
                <w:rFonts w:ascii="Arial" w:hAnsi="Arial" w:cs="Arial"/>
                <w:i/>
                <w:noProof/>
                <w:sz w:val="16"/>
                <w:szCs w:val="16"/>
                <w:lang w:eastAsia="es-EC"/>
              </w:rPr>
              <w:pict>
                <v:shape id="_x0000_s1522" type="#_x0000_t202" style="position:absolute;left:0;text-align:left;margin-left:153.2pt;margin-top:125.8pt;width:42pt;height:16.5pt;z-index:251539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hMMA&#10;AADcAAAADwAAAGRycy9kb3ducmV2LnhtbERPy4rCMBTdC/MP4Q6403Q6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0hMMAAADcAAAADwAAAAAAAAAAAAAAAACYAgAAZHJzL2Rv&#10;d25yZXYueG1sUEsFBgAAAAAEAAQA9QAAAIgDAAAAAA==&#10;" filled="f" stroked="f" strokeweight=".5pt">
                  <v:textbox style="mso-next-textbox:#_x0000_s1522">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0.64</w:t>
                        </w:r>
                      </w:p>
                    </w:txbxContent>
                  </v:textbox>
                </v:shape>
              </w:pict>
            </w:r>
            <w:r>
              <w:rPr>
                <w:rFonts w:ascii="Arial" w:hAnsi="Arial" w:cs="Arial"/>
                <w:i/>
                <w:noProof/>
                <w:sz w:val="16"/>
                <w:szCs w:val="16"/>
                <w:lang w:eastAsia="es-EC"/>
              </w:rPr>
              <w:pict>
                <v:shape id="_x0000_s1512" type="#_x0000_t202" style="position:absolute;left:0;text-align:left;margin-left:164.95pt;margin-top:85.3pt;width:42pt;height:16.5pt;z-index:251529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style="mso-next-textbox:#_x0000_s1512">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0.23</w:t>
                        </w:r>
                      </w:p>
                    </w:txbxContent>
                  </v:textbox>
                </v:shape>
              </w:pict>
            </w:r>
            <w:r>
              <w:rPr>
                <w:rFonts w:ascii="Arial" w:hAnsi="Arial" w:cs="Arial"/>
                <w:i/>
                <w:noProof/>
                <w:sz w:val="16"/>
                <w:szCs w:val="16"/>
                <w:lang w:eastAsia="es-EC"/>
              </w:rPr>
              <w:pict>
                <v:shape id="_x0000_s1507" type="#_x0000_t202" style="position:absolute;left:0;text-align:left;margin-left:194.95pt;margin-top:36.55pt;width:42pt;height:16.5pt;z-index:251524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style="mso-next-textbox:#_x0000_s1507">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0.21</w:t>
                        </w:r>
                      </w:p>
                    </w:txbxContent>
                  </v:textbox>
                </v:shape>
              </w:pict>
            </w:r>
            <w:r>
              <w:rPr>
                <w:rFonts w:ascii="Arial" w:hAnsi="Arial" w:cs="Arial"/>
                <w:i/>
                <w:noProof/>
                <w:sz w:val="16"/>
                <w:szCs w:val="16"/>
                <w:lang w:eastAsia="es-EC"/>
              </w:rPr>
              <w:pict>
                <v:shape id="_x0000_s1500" type="#_x0000_t202" style="position:absolute;left:0;text-align:left;margin-left:193.2pt;margin-top:150.55pt;width:42pt;height:16.5pt;z-index:251517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style="mso-next-textbox:#_x0000_s1500">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5.04</w:t>
                        </w:r>
                      </w:p>
                    </w:txbxContent>
                  </v:textbox>
                </v:shape>
              </w:pict>
            </w:r>
            <w:r>
              <w:rPr>
                <w:rFonts w:ascii="Arial" w:hAnsi="Arial" w:cs="Arial"/>
                <w:i/>
                <w:noProof/>
                <w:sz w:val="16"/>
                <w:szCs w:val="16"/>
                <w:lang w:eastAsia="es-EC"/>
              </w:rPr>
              <w:pict>
                <v:shape id="_x0000_s1518" type="#_x0000_t202" style="position:absolute;left:0;text-align:left;margin-left:204.7pt;margin-top:185.8pt;width:42pt;height:16.5pt;z-index:251535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style="mso-next-textbox:#_x0000_s1518">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2.96</w:t>
                        </w:r>
                      </w:p>
                    </w:txbxContent>
                  </v:textbox>
                </v:shape>
              </w:pict>
            </w:r>
            <w:r>
              <w:rPr>
                <w:rFonts w:ascii="Arial" w:hAnsi="Arial" w:cs="Arial"/>
                <w:i/>
                <w:noProof/>
                <w:sz w:val="16"/>
                <w:szCs w:val="16"/>
                <w:lang w:eastAsia="es-EC"/>
              </w:rPr>
              <w:pict>
                <v:shape id="_x0000_s1514" type="#_x0000_t202" style="position:absolute;left:0;text-align:left;margin-left:234.7pt;margin-top:74.3pt;width:42pt;height:16.5pt;z-index:251531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style="mso-next-textbox:#_x0000_s1514">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0.25</w:t>
                        </w:r>
                      </w:p>
                    </w:txbxContent>
                  </v:textbox>
                </v:shape>
              </w:pict>
            </w:r>
            <w:r>
              <w:rPr>
                <w:rFonts w:ascii="Arial" w:hAnsi="Arial" w:cs="Arial"/>
                <w:i/>
                <w:noProof/>
                <w:sz w:val="16"/>
                <w:szCs w:val="16"/>
                <w:lang w:eastAsia="es-EC"/>
              </w:rPr>
              <w:pict>
                <v:shape id="_x0000_s1513" type="#_x0000_t202" style="position:absolute;left:0;text-align:left;margin-left:231.45pt;margin-top:135.55pt;width:42pt;height:16.5pt;z-index:251530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style="mso-next-textbox:#_x0000_s1513">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0.60</w:t>
                        </w:r>
                      </w:p>
                    </w:txbxContent>
                  </v:textbox>
                </v:shape>
              </w:pict>
            </w:r>
            <w:r>
              <w:rPr>
                <w:rFonts w:ascii="Arial" w:hAnsi="Arial" w:cs="Arial"/>
                <w:i/>
                <w:noProof/>
                <w:sz w:val="16"/>
                <w:szCs w:val="16"/>
                <w:lang w:eastAsia="es-EC"/>
              </w:rPr>
              <w:pict>
                <v:shape id="_x0000_s1510" type="#_x0000_t202" style="position:absolute;left:0;text-align:left;margin-left:178.45pt;margin-top:185.8pt;width:42pt;height:16.5pt;z-index:251527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style="mso-next-textbox:#_x0000_s1510">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3.72</w:t>
                        </w:r>
                      </w:p>
                    </w:txbxContent>
                  </v:textbox>
                </v:shape>
              </w:pict>
            </w:r>
            <w:r>
              <w:rPr>
                <w:rFonts w:ascii="Arial" w:hAnsi="Arial" w:cs="Arial"/>
                <w:i/>
                <w:noProof/>
                <w:sz w:val="16"/>
                <w:szCs w:val="16"/>
                <w:lang w:eastAsia="es-EC"/>
              </w:rPr>
              <w:pict>
                <v:shape id="_x0000_s1523" type="#_x0000_t202" style="position:absolute;left:0;text-align:left;margin-left:11.2pt;margin-top:86.65pt;width:42pt;height:16.5pt;z-index:251540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style="mso-next-textbox:#_x0000_s1523">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0.25</w:t>
                        </w:r>
                      </w:p>
                    </w:txbxContent>
                  </v:textbox>
                </v:shape>
              </w:pict>
            </w:r>
            <w:r w:rsidR="00C75F38">
              <w:rPr>
                <w:rFonts w:ascii="Arial" w:hAnsi="Arial" w:cs="Arial"/>
                <w:b/>
                <w:i/>
                <w:sz w:val="16"/>
                <w:szCs w:val="16"/>
              </w:rPr>
              <w:t xml:space="preserve">Ecuador 2010: </w:t>
            </w:r>
            <w:r w:rsidR="00C75F38">
              <w:rPr>
                <w:rFonts w:ascii="Arial" w:hAnsi="Arial" w:cs="Arial"/>
                <w:i/>
                <w:sz w:val="16"/>
                <w:szCs w:val="16"/>
              </w:rPr>
              <w:t xml:space="preserve">Tasa de </w:t>
            </w:r>
            <w:r w:rsidR="00C75F38" w:rsidRPr="00AC14FD">
              <w:rPr>
                <w:rFonts w:ascii="Arial" w:hAnsi="Arial" w:cs="Arial"/>
                <w:b/>
                <w:i/>
                <w:sz w:val="16"/>
                <w:szCs w:val="16"/>
              </w:rPr>
              <w:t xml:space="preserve">Inmigración </w:t>
            </w:r>
            <w:r w:rsidR="00C75F38">
              <w:rPr>
                <w:rFonts w:ascii="Arial" w:hAnsi="Arial" w:cs="Arial"/>
                <w:b/>
                <w:i/>
                <w:sz w:val="16"/>
                <w:szCs w:val="16"/>
              </w:rPr>
              <w:t>peruana</w:t>
            </w:r>
            <w:r w:rsidR="00C75F38">
              <w:rPr>
                <w:rFonts w:ascii="Arial" w:hAnsi="Arial" w:cs="Arial"/>
                <w:i/>
                <w:sz w:val="16"/>
                <w:szCs w:val="16"/>
              </w:rPr>
              <w:t xml:space="preserve"> por cada 1000 residentes a nivel Provincial</w:t>
            </w:r>
            <w:r w:rsidR="00361FCE">
              <w:rPr>
                <w:noProof/>
                <w:lang w:eastAsia="es-EC"/>
              </w:rPr>
              <w:drawing>
                <wp:inline distT="0" distB="0" distL="0" distR="0">
                  <wp:extent cx="4644000" cy="2765528"/>
                  <wp:effectExtent l="0" t="0" r="0" b="0"/>
                  <wp:docPr id="110"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Imagen"/>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44000" cy="2765528"/>
                          </a:xfrm>
                          <a:prstGeom prst="rect">
                            <a:avLst/>
                          </a:prstGeom>
                          <a:noFill/>
                          <a:extLst/>
                        </pic:spPr>
                      </pic:pic>
                    </a:graphicData>
                  </a:graphic>
                </wp:inline>
              </w:drawing>
            </w:r>
          </w:p>
        </w:tc>
      </w:tr>
    </w:tbl>
    <w:p w:rsidR="00361FCE" w:rsidRPr="00C75F38" w:rsidRDefault="00361FCE" w:rsidP="00C75F38">
      <w:pPr>
        <w:pStyle w:val="Prrafodelista"/>
        <w:spacing w:line="276" w:lineRule="auto"/>
        <w:ind w:left="851"/>
        <w:jc w:val="both"/>
        <w:rPr>
          <w:rFonts w:ascii="Arial" w:hAnsi="Arial" w:cs="Arial"/>
          <w:sz w:val="17"/>
          <w:szCs w:val="17"/>
        </w:rPr>
      </w:pPr>
    </w:p>
    <w:p w:rsidR="00361FCE" w:rsidRPr="00C75F38" w:rsidRDefault="00361FCE" w:rsidP="00C75F38">
      <w:pPr>
        <w:pStyle w:val="Prrafodelista"/>
        <w:spacing w:line="276" w:lineRule="auto"/>
        <w:ind w:left="851"/>
        <w:jc w:val="both"/>
        <w:rPr>
          <w:rFonts w:ascii="Arial" w:hAnsi="Arial" w:cs="Arial"/>
          <w:sz w:val="17"/>
          <w:szCs w:val="17"/>
        </w:rPr>
      </w:pPr>
      <w:r w:rsidRPr="00C75F38">
        <w:rPr>
          <w:rFonts w:ascii="Arial" w:hAnsi="Arial" w:cs="Arial"/>
          <w:b/>
          <w:i/>
          <w:sz w:val="17"/>
          <w:szCs w:val="17"/>
        </w:rPr>
        <w:t>Fuente:</w:t>
      </w:r>
      <w:r w:rsidRPr="00C75F38">
        <w:rPr>
          <w:rFonts w:ascii="Arial" w:hAnsi="Arial" w:cs="Arial"/>
          <w:sz w:val="17"/>
          <w:szCs w:val="17"/>
        </w:rPr>
        <w:t xml:space="preserve"> </w:t>
      </w:r>
      <w:r w:rsidRPr="00C75F38">
        <w:rPr>
          <w:rFonts w:ascii="Arial" w:hAnsi="Arial" w:cs="Arial"/>
          <w:b/>
          <w:sz w:val="17"/>
          <w:szCs w:val="17"/>
        </w:rPr>
        <w:t xml:space="preserve">INEC </w:t>
      </w:r>
      <w:r w:rsidRPr="00C75F38">
        <w:rPr>
          <w:rFonts w:ascii="Arial" w:hAnsi="Arial" w:cs="Arial"/>
          <w:sz w:val="17"/>
          <w:szCs w:val="17"/>
        </w:rPr>
        <w:t>(2010), Base de Datos del VII Censo de Población y VI de Vivienda.</w:t>
      </w:r>
    </w:p>
    <w:p w:rsidR="00361FCE" w:rsidRPr="00C75F38" w:rsidRDefault="00361FCE" w:rsidP="00C75F38">
      <w:pPr>
        <w:pStyle w:val="Prrafodelista"/>
        <w:spacing w:line="276" w:lineRule="auto"/>
        <w:ind w:left="851"/>
        <w:jc w:val="both"/>
        <w:rPr>
          <w:rFonts w:ascii="Arial" w:hAnsi="Arial" w:cs="Arial"/>
          <w:sz w:val="17"/>
          <w:szCs w:val="17"/>
        </w:rPr>
      </w:pPr>
      <w:r w:rsidRPr="00C75F38">
        <w:rPr>
          <w:rFonts w:ascii="Arial" w:hAnsi="Arial" w:cs="Arial"/>
          <w:b/>
          <w:i/>
          <w:sz w:val="17"/>
          <w:szCs w:val="17"/>
        </w:rPr>
        <w:t>Elaborado por:</w:t>
      </w:r>
      <w:r w:rsidRPr="00C75F38">
        <w:rPr>
          <w:rFonts w:ascii="Arial" w:hAnsi="Arial" w:cs="Arial"/>
          <w:sz w:val="17"/>
          <w:szCs w:val="17"/>
        </w:rPr>
        <w:t xml:space="preserve"> Katherine Loor Valeriano</w:t>
      </w:r>
    </w:p>
    <w:p w:rsidR="00361FCE" w:rsidRDefault="00361FCE" w:rsidP="000D176A">
      <w:pPr>
        <w:pStyle w:val="Prrafodelista"/>
        <w:spacing w:line="480" w:lineRule="auto"/>
        <w:ind w:left="851"/>
        <w:jc w:val="both"/>
        <w:rPr>
          <w:rFonts w:ascii="Arial" w:hAnsi="Arial" w:cs="Arial"/>
        </w:rPr>
      </w:pPr>
      <w:r>
        <w:rPr>
          <w:rFonts w:ascii="Arial" w:hAnsi="Arial" w:cs="Arial"/>
        </w:rPr>
        <w:lastRenderedPageBreak/>
        <w:t xml:space="preserve">Las tasas mostradas en la figura anterior, ahora se presentan ordenadas alfabéticamente y descendentemente en la </w:t>
      </w:r>
      <w:r>
        <w:rPr>
          <w:rFonts w:ascii="Arial" w:hAnsi="Arial" w:cs="Arial"/>
          <w:i/>
        </w:rPr>
        <w:t>Figura 4.30</w:t>
      </w:r>
      <w:r>
        <w:rPr>
          <w:rFonts w:ascii="Arial" w:hAnsi="Arial" w:cs="Arial"/>
        </w:rPr>
        <w:t>; además, se  muestra la tasa de inmigración peruana a nivel nacional teniéndose que hay 1.08 peruanos por cada 1000 habitantes del país. También, se puede notar que hay cinco provincias que presentan tasas de inmigración peruana superior a la nacional y estas provincias son Azuay, Cañar, El Oro, Loja y Zamora Chinchipe; Pichincha en cambio tiene una tasa similar a la nacional pues hay 0.94 peruanos por cad</w:t>
      </w:r>
      <w:r w:rsidR="000D176A">
        <w:rPr>
          <w:rFonts w:ascii="Arial" w:hAnsi="Arial" w:cs="Arial"/>
        </w:rPr>
        <w:t>a 1000 residentes de Pichincha. L</w:t>
      </w:r>
      <w:r>
        <w:rPr>
          <w:rFonts w:ascii="Arial" w:hAnsi="Arial" w:cs="Arial"/>
        </w:rPr>
        <w:t>as provincias que tienen las menores tasas son Bolívar, Carchi y las Zonas no Delimitadas cuyas tasas son de 0.19, 0.18 y 0.13 por cada 1000 habitantes de cada uno de esas provincias respectivamente. Teniendo las Zonas no  Delimitadas la menor de todas las tasas.</w:t>
      </w:r>
    </w:p>
    <w:p w:rsidR="00361FCE" w:rsidRDefault="00361FCE" w:rsidP="000D176A">
      <w:pPr>
        <w:pStyle w:val="Prrafodelista"/>
        <w:spacing w:line="480" w:lineRule="auto"/>
        <w:ind w:left="851"/>
        <w:jc w:val="both"/>
        <w:rPr>
          <w:rFonts w:ascii="Arial" w:hAnsi="Arial" w:cs="Arial"/>
        </w:rPr>
      </w:pPr>
    </w:p>
    <w:p w:rsidR="00361FCE" w:rsidRPr="0044648C" w:rsidRDefault="00361FCE" w:rsidP="000D176A">
      <w:pPr>
        <w:pStyle w:val="Prrafodelista"/>
        <w:spacing w:line="480" w:lineRule="auto"/>
        <w:ind w:left="851"/>
        <w:jc w:val="both"/>
        <w:rPr>
          <w:rFonts w:ascii="Arial" w:hAnsi="Arial" w:cs="Arial"/>
          <w:i/>
        </w:rPr>
      </w:pPr>
      <w:r>
        <w:rPr>
          <w:rFonts w:ascii="Arial" w:hAnsi="Arial" w:cs="Arial"/>
        </w:rPr>
        <w:t>De las provincias de la Costa, la tasa de inmigración peruana varía entre 3.96  y 0.20 por cada 1000 habitantes de cada provincia, siendo la más tasa más alta la de El Oro y la más baja la de Los Ríos. Adicionalmente, en Guayas y Santa Elena hay 0.83 y 0.64 extranjeros provenientes de Perú por cada 1000 habitantes de cada una de estas provincias respectivamente; y, en Manabí y en Esmeraldas hay 0.23 y 0.21 peruanos por  cada 1000 residentes correspondientemente.</w:t>
      </w:r>
      <w:r w:rsidR="000D176A">
        <w:rPr>
          <w:rFonts w:ascii="Arial" w:hAnsi="Arial" w:cs="Arial"/>
        </w:rPr>
        <w:t xml:space="preserve"> </w:t>
      </w:r>
      <w:r>
        <w:rPr>
          <w:rFonts w:ascii="Arial" w:hAnsi="Arial" w:cs="Arial"/>
        </w:rPr>
        <w:t xml:space="preserve">Si consideramos las provincias de la Sierra, exceptuando a Loja, Azuay y Cañar, estas presentan tasas de inmigración peruana inferior a 1, pues en Pichincha hay 0.94 peruanos por cada 1000 residentes, en Santo Domingo e Imbabura hay 0.46 y 0.38 extranjeros de esta nacionalidad por cada 1000 habitantes </w:t>
      </w:r>
      <w:r>
        <w:rPr>
          <w:rFonts w:ascii="Arial" w:hAnsi="Arial" w:cs="Arial"/>
        </w:rPr>
        <w:lastRenderedPageBreak/>
        <w:t xml:space="preserve">de cada una de estas provincias. Para más detalles sobre otras provincias </w:t>
      </w:r>
      <w:r>
        <w:rPr>
          <w:rFonts w:ascii="Arial" w:hAnsi="Arial" w:cs="Arial"/>
          <w:i/>
        </w:rPr>
        <w:t>véase Figura 4.30.</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0D176A">
        <w:trPr>
          <w:trHeight w:val="4876"/>
          <w:jc w:val="right"/>
        </w:trPr>
        <w:tc>
          <w:tcPr>
            <w:tcW w:w="7497" w:type="dxa"/>
          </w:tcPr>
          <w:p w:rsidR="00361FCE" w:rsidRPr="00840530" w:rsidRDefault="00361FCE" w:rsidP="00902050">
            <w:pPr>
              <w:rPr>
                <w:rFonts w:ascii="Arial" w:hAnsi="Arial" w:cs="Arial"/>
                <w:sz w:val="16"/>
                <w:szCs w:val="16"/>
              </w:rPr>
            </w:pPr>
          </w:p>
          <w:p w:rsidR="00B65871" w:rsidRPr="00B65871" w:rsidRDefault="00B65871" w:rsidP="00B65871">
            <w:pPr>
              <w:pStyle w:val="Epgrafe"/>
              <w:rPr>
                <w:rFonts w:ascii="Arial" w:hAnsi="Arial" w:cs="Arial"/>
                <w:bCs w:val="0"/>
                <w:color w:val="auto"/>
                <w:sz w:val="16"/>
                <w:szCs w:val="16"/>
              </w:rPr>
            </w:pPr>
            <w:bookmarkStart w:id="567" w:name="_Toc341044002"/>
            <w:r w:rsidRPr="00B65871">
              <w:rPr>
                <w:rFonts w:ascii="Arial" w:hAnsi="Arial" w:cs="Arial"/>
                <w:bCs w:val="0"/>
                <w:color w:val="auto"/>
                <w:sz w:val="16"/>
                <w:szCs w:val="16"/>
              </w:rPr>
              <w:t>Figura 4.</w:t>
            </w:r>
            <w:r w:rsidR="00990535" w:rsidRPr="00B65871">
              <w:rPr>
                <w:rFonts w:ascii="Arial" w:hAnsi="Arial" w:cs="Arial"/>
                <w:bCs w:val="0"/>
                <w:color w:val="auto"/>
                <w:sz w:val="16"/>
                <w:szCs w:val="16"/>
              </w:rPr>
              <w:fldChar w:fldCharType="begin"/>
            </w:r>
            <w:r w:rsidRPr="00B65871">
              <w:rPr>
                <w:rFonts w:ascii="Arial" w:hAnsi="Arial" w:cs="Arial"/>
                <w:bCs w:val="0"/>
                <w:color w:val="auto"/>
                <w:sz w:val="16"/>
                <w:szCs w:val="16"/>
              </w:rPr>
              <w:instrText xml:space="preserve"> SEQ Figura_4. \* ARABIC </w:instrText>
            </w:r>
            <w:r w:rsidR="00990535" w:rsidRPr="00B65871">
              <w:rPr>
                <w:rFonts w:ascii="Arial" w:hAnsi="Arial" w:cs="Arial"/>
                <w:bCs w:val="0"/>
                <w:color w:val="auto"/>
                <w:sz w:val="16"/>
                <w:szCs w:val="16"/>
              </w:rPr>
              <w:fldChar w:fldCharType="separate"/>
            </w:r>
            <w:r w:rsidR="00A242E0">
              <w:rPr>
                <w:rFonts w:ascii="Arial" w:hAnsi="Arial" w:cs="Arial"/>
                <w:bCs w:val="0"/>
                <w:noProof/>
                <w:color w:val="auto"/>
                <w:sz w:val="16"/>
                <w:szCs w:val="16"/>
              </w:rPr>
              <w:t>30</w:t>
            </w:r>
            <w:bookmarkEnd w:id="567"/>
            <w:r w:rsidR="00990535" w:rsidRPr="00B65871">
              <w:rPr>
                <w:rFonts w:ascii="Arial" w:hAnsi="Arial" w:cs="Arial"/>
                <w:bCs w:val="0"/>
                <w:color w:val="auto"/>
                <w:sz w:val="16"/>
                <w:szCs w:val="16"/>
              </w:rPr>
              <w:fldChar w:fldCharType="end"/>
            </w:r>
          </w:p>
          <w:p w:rsidR="000D176A" w:rsidRDefault="000D176A" w:rsidP="000D176A">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Tasa de </w:t>
            </w:r>
            <w:r w:rsidRPr="00AC14FD">
              <w:rPr>
                <w:rFonts w:ascii="Arial" w:hAnsi="Arial" w:cs="Arial"/>
                <w:b/>
                <w:i/>
                <w:sz w:val="16"/>
                <w:szCs w:val="16"/>
              </w:rPr>
              <w:t xml:space="preserve">Inmigración </w:t>
            </w:r>
            <w:r>
              <w:rPr>
                <w:rFonts w:ascii="Arial" w:hAnsi="Arial" w:cs="Arial"/>
                <w:b/>
                <w:i/>
                <w:sz w:val="16"/>
                <w:szCs w:val="16"/>
              </w:rPr>
              <w:t>peruana</w:t>
            </w:r>
            <w:r>
              <w:rPr>
                <w:rFonts w:ascii="Arial" w:hAnsi="Arial" w:cs="Arial"/>
                <w:i/>
                <w:sz w:val="16"/>
                <w:szCs w:val="16"/>
              </w:rPr>
              <w:t xml:space="preserve"> por cada 1000 residentes a nivel Provincial </w:t>
            </w:r>
          </w:p>
          <w:p w:rsidR="000D176A" w:rsidRDefault="000D176A" w:rsidP="000D176A">
            <w:pPr>
              <w:rPr>
                <w:rFonts w:ascii="Arial" w:hAnsi="Arial" w:cs="Arial"/>
                <w:i/>
                <w:sz w:val="16"/>
                <w:szCs w:val="16"/>
              </w:rPr>
            </w:pPr>
            <w:r>
              <w:rPr>
                <w:rFonts w:ascii="Arial" w:hAnsi="Arial" w:cs="Arial"/>
                <w:i/>
                <w:sz w:val="16"/>
                <w:szCs w:val="16"/>
              </w:rPr>
              <w:t>ordenada alfabéticamente y en forma descendente</w:t>
            </w:r>
          </w:p>
          <w:p w:rsidR="00361FCE" w:rsidRDefault="00361FCE" w:rsidP="00902050">
            <w:pPr>
              <w:rPr>
                <w:rFonts w:ascii="Arial" w:hAnsi="Arial" w:cs="Arial"/>
                <w:i/>
                <w:sz w:val="16"/>
                <w:szCs w:val="16"/>
              </w:rPr>
            </w:pPr>
            <w:r>
              <w:rPr>
                <w:noProof/>
                <w:lang w:eastAsia="es-EC"/>
              </w:rPr>
              <w:drawing>
                <wp:inline distT="0" distB="0" distL="0" distR="0">
                  <wp:extent cx="4608000" cy="2124000"/>
                  <wp:effectExtent l="0" t="0" r="0" b="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361FCE" w:rsidRDefault="00361FCE" w:rsidP="00902050">
            <w:pPr>
              <w:rPr>
                <w:rFonts w:ascii="Arial" w:hAnsi="Arial" w:cs="Arial"/>
                <w:i/>
                <w:sz w:val="16"/>
                <w:szCs w:val="16"/>
              </w:rPr>
            </w:pPr>
          </w:p>
          <w:p w:rsidR="00361FCE" w:rsidRPr="00660711" w:rsidRDefault="00361FCE" w:rsidP="00902050">
            <w:pPr>
              <w:rPr>
                <w:rFonts w:ascii="Arial" w:hAnsi="Arial" w:cs="Arial"/>
                <w:i/>
                <w:sz w:val="16"/>
                <w:szCs w:val="16"/>
              </w:rPr>
            </w:pPr>
            <w:r>
              <w:rPr>
                <w:noProof/>
                <w:lang w:eastAsia="es-EC"/>
              </w:rPr>
              <w:drawing>
                <wp:inline distT="0" distB="0" distL="0" distR="0">
                  <wp:extent cx="4608000" cy="2124000"/>
                  <wp:effectExtent l="0" t="0" r="0" b="0"/>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r>
    </w:tbl>
    <w:p w:rsidR="00361FCE" w:rsidRPr="000D176A" w:rsidRDefault="00361FCE" w:rsidP="000D176A">
      <w:pPr>
        <w:pStyle w:val="Prrafodelista"/>
        <w:spacing w:line="276" w:lineRule="auto"/>
        <w:ind w:left="851"/>
        <w:jc w:val="both"/>
        <w:rPr>
          <w:rFonts w:ascii="Arial" w:hAnsi="Arial" w:cs="Arial"/>
          <w:sz w:val="17"/>
          <w:szCs w:val="17"/>
        </w:rPr>
      </w:pPr>
    </w:p>
    <w:p w:rsidR="00361FCE" w:rsidRPr="000D176A" w:rsidRDefault="00361FCE" w:rsidP="000D176A">
      <w:pPr>
        <w:pStyle w:val="Prrafodelista"/>
        <w:spacing w:line="276" w:lineRule="auto"/>
        <w:ind w:left="851"/>
        <w:jc w:val="both"/>
        <w:rPr>
          <w:rFonts w:ascii="Arial" w:hAnsi="Arial" w:cs="Arial"/>
          <w:sz w:val="17"/>
          <w:szCs w:val="17"/>
        </w:rPr>
      </w:pPr>
      <w:r w:rsidRPr="000D176A">
        <w:rPr>
          <w:rFonts w:ascii="Arial" w:hAnsi="Arial" w:cs="Arial"/>
          <w:b/>
          <w:i/>
          <w:sz w:val="17"/>
          <w:szCs w:val="17"/>
        </w:rPr>
        <w:t>Fuente:</w:t>
      </w:r>
      <w:r w:rsidRPr="000D176A">
        <w:rPr>
          <w:rFonts w:ascii="Arial" w:hAnsi="Arial" w:cs="Arial"/>
          <w:sz w:val="17"/>
          <w:szCs w:val="17"/>
        </w:rPr>
        <w:t xml:space="preserve"> </w:t>
      </w:r>
      <w:r w:rsidRPr="000D176A">
        <w:rPr>
          <w:rFonts w:ascii="Arial" w:hAnsi="Arial" w:cs="Arial"/>
          <w:b/>
          <w:sz w:val="17"/>
          <w:szCs w:val="17"/>
        </w:rPr>
        <w:t xml:space="preserve">INEC </w:t>
      </w:r>
      <w:r w:rsidRPr="000D176A">
        <w:rPr>
          <w:rFonts w:ascii="Arial" w:hAnsi="Arial" w:cs="Arial"/>
          <w:sz w:val="17"/>
          <w:szCs w:val="17"/>
        </w:rPr>
        <w:t>(2010), Base de Datos del VII Censo de Población y VI de Vivienda.</w:t>
      </w:r>
    </w:p>
    <w:p w:rsidR="00361FCE" w:rsidRDefault="00361FCE" w:rsidP="000D176A">
      <w:pPr>
        <w:pStyle w:val="Prrafodelista"/>
        <w:spacing w:line="276" w:lineRule="auto"/>
        <w:ind w:left="851"/>
        <w:jc w:val="both"/>
        <w:rPr>
          <w:rFonts w:ascii="Arial" w:hAnsi="Arial" w:cs="Arial"/>
          <w:sz w:val="18"/>
          <w:szCs w:val="18"/>
        </w:rPr>
      </w:pPr>
      <w:r w:rsidRPr="000D176A">
        <w:rPr>
          <w:rFonts w:ascii="Arial" w:hAnsi="Arial" w:cs="Arial"/>
          <w:b/>
          <w:i/>
          <w:sz w:val="17"/>
          <w:szCs w:val="17"/>
        </w:rPr>
        <w:t>Elaborado por:</w:t>
      </w:r>
      <w:r w:rsidRPr="000D176A">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361FCE" w:rsidP="000D176A">
      <w:pPr>
        <w:pStyle w:val="Estilo42"/>
        <w:ind w:left="1560" w:hanging="709"/>
      </w:pPr>
      <w:bookmarkStart w:id="568" w:name="_Toc337135531"/>
      <w:bookmarkStart w:id="569" w:name="_Toc341040681"/>
      <w:r>
        <w:t>Área de residencia</w:t>
      </w:r>
      <w:bookmarkEnd w:id="568"/>
      <w:r w:rsidR="000D176A">
        <w:t xml:space="preserve"> de los peruanos</w:t>
      </w:r>
      <w:bookmarkEnd w:id="569"/>
    </w:p>
    <w:p w:rsidR="00361FCE" w:rsidRDefault="00361FCE" w:rsidP="000D176A">
      <w:pPr>
        <w:pStyle w:val="Prrafodelista"/>
        <w:spacing w:line="480" w:lineRule="auto"/>
        <w:ind w:left="851"/>
        <w:jc w:val="both"/>
        <w:rPr>
          <w:rFonts w:ascii="Arial" w:hAnsi="Arial" w:cs="Arial"/>
        </w:rPr>
      </w:pPr>
      <w:r>
        <w:rPr>
          <w:rFonts w:ascii="Arial" w:hAnsi="Arial" w:cs="Arial"/>
        </w:rPr>
        <w:t xml:space="preserve">Los peruanos residentes en el país la mayoría viven en zonas urbanizadas, aunque los que residen en Zamora Chinchipe o en las Zonas no Delimitadas es mayor la cantidad de los que están en las áreas rurales </w:t>
      </w:r>
      <w:r>
        <w:rPr>
          <w:rFonts w:ascii="Arial" w:hAnsi="Arial" w:cs="Arial"/>
        </w:rPr>
        <w:lastRenderedPageBreak/>
        <w:t>respecto a los de áreas urbanas; además se puede notar que los peruanos que habitualmente residen en Galápagos todos están en las zonas urbanizadas; y, de los que viven en Pastaza el 50% se encuentran en el área urbana y el mismo porcentaje en el área rural.</w:t>
      </w:r>
    </w:p>
    <w:p w:rsidR="00361FCE" w:rsidRDefault="00361FCE" w:rsidP="000D176A">
      <w:pPr>
        <w:pStyle w:val="Prrafodelista"/>
        <w:spacing w:line="480" w:lineRule="auto"/>
        <w:ind w:left="851"/>
        <w:jc w:val="both"/>
        <w:rPr>
          <w:rFonts w:ascii="Arial" w:hAnsi="Arial" w:cs="Arial"/>
        </w:rPr>
      </w:pPr>
    </w:p>
    <w:p w:rsidR="00361FCE" w:rsidRPr="0096237B" w:rsidRDefault="00361FCE" w:rsidP="000D176A">
      <w:pPr>
        <w:pStyle w:val="Prrafodelista"/>
        <w:spacing w:line="480" w:lineRule="auto"/>
        <w:ind w:left="851"/>
        <w:jc w:val="both"/>
        <w:rPr>
          <w:rFonts w:ascii="Arial" w:hAnsi="Arial" w:cs="Arial"/>
          <w:i/>
        </w:rPr>
      </w:pPr>
      <w:r>
        <w:rPr>
          <w:rFonts w:ascii="Arial" w:hAnsi="Arial" w:cs="Arial"/>
        </w:rPr>
        <w:t xml:space="preserve">Las tasas más altas de urbanización de los peruanos que habitualmente residen en el país se presentan en las provincias de Galápagos, Guayas, Esmeraldas, Manabí, Chimborazo y Cañar. Además, por cada 1000 peruanos que viven en Guayas 923.46 están en áreas urbanizadas y 76.54 en áreas rurales, mientras que de los que residen habitualmente en Pichincha hay 77.19 por cada 1000 peruanos en áreas urbanas y 221.81 en áreas rurales; y, en Zamora Chinchipe en cambio hay 388.06 y 611.94 por cada 1000 peruanos que viven en el área urbana y rural respectivamente. </w:t>
      </w:r>
      <w:r>
        <w:rPr>
          <w:rFonts w:ascii="Arial" w:hAnsi="Arial" w:cs="Arial"/>
          <w:i/>
        </w:rPr>
        <w:t>Véase Figura 4.31.</w:t>
      </w:r>
    </w:p>
    <w:tbl>
      <w:tblPr>
        <w:tblStyle w:val="Tablaconcuadrcula"/>
        <w:tblW w:w="7355" w:type="dxa"/>
        <w:jc w:val="right"/>
        <w:tblInd w:w="1101"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79"/>
      </w:tblGrid>
      <w:tr w:rsidR="00361FCE" w:rsidRPr="00840530" w:rsidTr="009466E6">
        <w:trPr>
          <w:trHeight w:val="3809"/>
          <w:jc w:val="right"/>
        </w:trPr>
        <w:tc>
          <w:tcPr>
            <w:tcW w:w="7355" w:type="dxa"/>
          </w:tcPr>
          <w:p w:rsidR="00361FCE" w:rsidRPr="00840530" w:rsidRDefault="00361FCE" w:rsidP="00902050">
            <w:pPr>
              <w:rPr>
                <w:rFonts w:ascii="Arial" w:hAnsi="Arial" w:cs="Arial"/>
                <w:sz w:val="16"/>
                <w:szCs w:val="16"/>
              </w:rPr>
            </w:pPr>
          </w:p>
          <w:p w:rsidR="00B65871" w:rsidRPr="00B65871" w:rsidRDefault="00B65871" w:rsidP="00B65871">
            <w:pPr>
              <w:pStyle w:val="Epgrafe"/>
              <w:rPr>
                <w:rFonts w:ascii="Arial" w:hAnsi="Arial" w:cs="Arial"/>
                <w:bCs w:val="0"/>
                <w:color w:val="auto"/>
                <w:sz w:val="16"/>
                <w:szCs w:val="16"/>
              </w:rPr>
            </w:pPr>
            <w:bookmarkStart w:id="570" w:name="_Toc341044003"/>
            <w:r>
              <w:rPr>
                <w:rFonts w:ascii="Arial" w:hAnsi="Arial" w:cs="Arial"/>
                <w:bCs w:val="0"/>
                <w:color w:val="auto"/>
                <w:sz w:val="16"/>
                <w:szCs w:val="16"/>
              </w:rPr>
              <w:t>Figura 4.</w:t>
            </w:r>
            <w:r w:rsidR="00990535" w:rsidRPr="00B65871">
              <w:rPr>
                <w:rFonts w:ascii="Arial" w:hAnsi="Arial" w:cs="Arial"/>
                <w:bCs w:val="0"/>
                <w:color w:val="auto"/>
                <w:sz w:val="16"/>
                <w:szCs w:val="16"/>
              </w:rPr>
              <w:fldChar w:fldCharType="begin"/>
            </w:r>
            <w:r w:rsidRPr="00B65871">
              <w:rPr>
                <w:rFonts w:ascii="Arial" w:hAnsi="Arial" w:cs="Arial"/>
                <w:bCs w:val="0"/>
                <w:color w:val="auto"/>
                <w:sz w:val="16"/>
                <w:szCs w:val="16"/>
              </w:rPr>
              <w:instrText xml:space="preserve"> SEQ Figura_4. \* ARABIC </w:instrText>
            </w:r>
            <w:r w:rsidR="00990535" w:rsidRPr="00B65871">
              <w:rPr>
                <w:rFonts w:ascii="Arial" w:hAnsi="Arial" w:cs="Arial"/>
                <w:bCs w:val="0"/>
                <w:color w:val="auto"/>
                <w:sz w:val="16"/>
                <w:szCs w:val="16"/>
              </w:rPr>
              <w:fldChar w:fldCharType="separate"/>
            </w:r>
            <w:r w:rsidR="00A242E0">
              <w:rPr>
                <w:rFonts w:ascii="Arial" w:hAnsi="Arial" w:cs="Arial"/>
                <w:bCs w:val="0"/>
                <w:noProof/>
                <w:color w:val="auto"/>
                <w:sz w:val="16"/>
                <w:szCs w:val="16"/>
              </w:rPr>
              <w:t>31</w:t>
            </w:r>
            <w:bookmarkEnd w:id="570"/>
            <w:r w:rsidR="00990535" w:rsidRPr="00B65871">
              <w:rPr>
                <w:rFonts w:ascii="Arial" w:hAnsi="Arial" w:cs="Arial"/>
                <w:bCs w:val="0"/>
                <w:color w:val="auto"/>
                <w:sz w:val="16"/>
                <w:szCs w:val="16"/>
              </w:rPr>
              <w:fldChar w:fldCharType="end"/>
            </w:r>
          </w:p>
          <w:p w:rsidR="000D176A" w:rsidRDefault="000D176A" w:rsidP="000D176A">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Tasa por cada 1000 </w:t>
            </w:r>
            <w:r>
              <w:rPr>
                <w:rFonts w:ascii="Arial" w:hAnsi="Arial" w:cs="Arial"/>
                <w:b/>
                <w:i/>
                <w:sz w:val="16"/>
                <w:szCs w:val="16"/>
              </w:rPr>
              <w:t>peruanos</w:t>
            </w:r>
            <w:r>
              <w:rPr>
                <w:rFonts w:ascii="Arial" w:hAnsi="Arial" w:cs="Arial"/>
                <w:i/>
                <w:sz w:val="16"/>
                <w:szCs w:val="16"/>
              </w:rPr>
              <w:t xml:space="preserve"> por zona urbana y rural a nivel Provincial</w:t>
            </w:r>
          </w:p>
          <w:p w:rsidR="00361FCE" w:rsidRPr="00660711" w:rsidRDefault="00B65871" w:rsidP="00902050">
            <w:pPr>
              <w:rPr>
                <w:rFonts w:ascii="Arial" w:hAnsi="Arial" w:cs="Arial"/>
                <w:i/>
                <w:sz w:val="16"/>
                <w:szCs w:val="16"/>
              </w:rPr>
            </w:pPr>
            <w:r>
              <w:rPr>
                <w:noProof/>
                <w:lang w:eastAsia="es-EC"/>
              </w:rPr>
              <w:drawing>
                <wp:inline distT="0" distB="0" distL="0" distR="0">
                  <wp:extent cx="4638675" cy="2247900"/>
                  <wp:effectExtent l="0" t="0" r="0" b="0"/>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r>
    </w:tbl>
    <w:p w:rsidR="00361FCE" w:rsidRPr="000D176A" w:rsidRDefault="00361FCE" w:rsidP="000D176A">
      <w:pPr>
        <w:pStyle w:val="Prrafodelista"/>
        <w:spacing w:line="276" w:lineRule="auto"/>
        <w:ind w:left="851"/>
        <w:jc w:val="both"/>
        <w:rPr>
          <w:rFonts w:ascii="Arial" w:hAnsi="Arial" w:cs="Arial"/>
          <w:sz w:val="17"/>
          <w:szCs w:val="17"/>
        </w:rPr>
      </w:pPr>
    </w:p>
    <w:p w:rsidR="00361FCE" w:rsidRPr="000D176A" w:rsidRDefault="00361FCE" w:rsidP="000D176A">
      <w:pPr>
        <w:pStyle w:val="Prrafodelista"/>
        <w:spacing w:line="276" w:lineRule="auto"/>
        <w:ind w:left="851"/>
        <w:jc w:val="both"/>
        <w:rPr>
          <w:rFonts w:ascii="Arial" w:hAnsi="Arial" w:cs="Arial"/>
          <w:sz w:val="17"/>
          <w:szCs w:val="17"/>
        </w:rPr>
      </w:pPr>
      <w:r w:rsidRPr="000D176A">
        <w:rPr>
          <w:rFonts w:ascii="Arial" w:hAnsi="Arial" w:cs="Arial"/>
          <w:b/>
          <w:i/>
          <w:sz w:val="17"/>
          <w:szCs w:val="17"/>
        </w:rPr>
        <w:t>Fuente:</w:t>
      </w:r>
      <w:r w:rsidRPr="000D176A">
        <w:rPr>
          <w:rFonts w:ascii="Arial" w:hAnsi="Arial" w:cs="Arial"/>
          <w:sz w:val="17"/>
          <w:szCs w:val="17"/>
        </w:rPr>
        <w:t xml:space="preserve"> </w:t>
      </w:r>
      <w:r w:rsidRPr="000D176A">
        <w:rPr>
          <w:rFonts w:ascii="Arial" w:hAnsi="Arial" w:cs="Arial"/>
          <w:b/>
          <w:sz w:val="17"/>
          <w:szCs w:val="17"/>
        </w:rPr>
        <w:t xml:space="preserve">INEC </w:t>
      </w:r>
      <w:r w:rsidRPr="000D176A">
        <w:rPr>
          <w:rFonts w:ascii="Arial" w:hAnsi="Arial" w:cs="Arial"/>
          <w:sz w:val="17"/>
          <w:szCs w:val="17"/>
        </w:rPr>
        <w:t>(2010), Base de Datos del VII Censo de Población y VI de Vivienda.</w:t>
      </w:r>
    </w:p>
    <w:p w:rsidR="00361FCE" w:rsidRPr="000D176A" w:rsidRDefault="00361FCE" w:rsidP="000D176A">
      <w:pPr>
        <w:pStyle w:val="Prrafodelista"/>
        <w:spacing w:line="276" w:lineRule="auto"/>
        <w:ind w:left="851"/>
        <w:jc w:val="both"/>
        <w:rPr>
          <w:rFonts w:ascii="Arial" w:hAnsi="Arial" w:cs="Arial"/>
          <w:sz w:val="17"/>
          <w:szCs w:val="17"/>
        </w:rPr>
      </w:pPr>
      <w:r w:rsidRPr="000D176A">
        <w:rPr>
          <w:rFonts w:ascii="Arial" w:hAnsi="Arial" w:cs="Arial"/>
          <w:b/>
          <w:i/>
          <w:sz w:val="17"/>
          <w:szCs w:val="17"/>
        </w:rPr>
        <w:t>Elaborado por:</w:t>
      </w:r>
      <w:r w:rsidRPr="000D176A">
        <w:rPr>
          <w:rFonts w:ascii="Arial" w:hAnsi="Arial" w:cs="Arial"/>
          <w:sz w:val="17"/>
          <w:szCs w:val="17"/>
        </w:rPr>
        <w:t xml:space="preserve"> Katherine Loor Valeriano</w:t>
      </w:r>
    </w:p>
    <w:p w:rsidR="000D176A" w:rsidRDefault="00361FCE" w:rsidP="000D176A">
      <w:pPr>
        <w:pStyle w:val="Prrafodelista"/>
        <w:spacing w:line="480" w:lineRule="auto"/>
        <w:ind w:left="851"/>
        <w:jc w:val="both"/>
        <w:rPr>
          <w:rFonts w:ascii="Arial" w:hAnsi="Arial" w:cs="Arial"/>
        </w:rPr>
      </w:pPr>
      <w:r>
        <w:rPr>
          <w:rFonts w:ascii="Arial" w:hAnsi="Arial" w:cs="Arial"/>
        </w:rPr>
        <w:lastRenderedPageBreak/>
        <w:t xml:space="preserve">Ahora analicemos el área de residencia habitual de los peruanos residentes en el país dado un grupo de edad y género, donde en la </w:t>
      </w:r>
      <w:r>
        <w:rPr>
          <w:rFonts w:ascii="Arial" w:hAnsi="Arial" w:cs="Arial"/>
          <w:i/>
        </w:rPr>
        <w:t>Figura 4.32</w:t>
      </w:r>
      <w:r>
        <w:rPr>
          <w:rFonts w:ascii="Arial" w:hAnsi="Arial" w:cs="Arial"/>
        </w:rPr>
        <w:t xml:space="preserve"> podemos notar que para el caso de los hombres la tasa de urbanización empieza a aumentar a medida que aumenta la edad para edades inferiores a 15 años de aquí la tasa empieza a disminuir y nuevamente a partir de los 30 años empieza a incrementar hasta la edad de 60 años y aquí en adelante disminuye a medida que aumenta la edad hasta que los peruanos con edades comprendidas entre 90 y 95 años todos viven en el área urbana, además no hay hombres de esta nacionalidad que tengan edades entre 95 y 100 años; y, de los mayores de 100 años todos viven en áreas rurales. </w:t>
      </w:r>
    </w:p>
    <w:p w:rsidR="000D176A" w:rsidRDefault="000D176A" w:rsidP="000D176A">
      <w:pPr>
        <w:pStyle w:val="Prrafodelista"/>
        <w:spacing w:line="480" w:lineRule="auto"/>
        <w:ind w:left="851"/>
        <w:jc w:val="both"/>
        <w:rPr>
          <w:rFonts w:ascii="Arial" w:hAnsi="Arial" w:cs="Arial"/>
        </w:rPr>
      </w:pPr>
    </w:p>
    <w:p w:rsidR="00361FCE" w:rsidRDefault="000D176A" w:rsidP="000D176A">
      <w:pPr>
        <w:pStyle w:val="Prrafodelista"/>
        <w:spacing w:line="480" w:lineRule="auto"/>
        <w:ind w:left="851"/>
        <w:jc w:val="both"/>
        <w:rPr>
          <w:rFonts w:ascii="Arial" w:hAnsi="Arial" w:cs="Arial"/>
        </w:rPr>
      </w:pPr>
      <w:r>
        <w:rPr>
          <w:rFonts w:ascii="Arial" w:hAnsi="Arial" w:cs="Arial"/>
        </w:rPr>
        <w:t>Para</w:t>
      </w:r>
      <w:r w:rsidR="00361FCE">
        <w:rPr>
          <w:rFonts w:ascii="Arial" w:hAnsi="Arial" w:cs="Arial"/>
        </w:rPr>
        <w:t xml:space="preserve"> el caso de las mujeres, la tasa de urbanización va aumentando para mayores edades presentando en algunos grupos de edad una disminución en el valor de la tasa también; cabe mencionar que las peruanas con 90 años y más todos viven en áreas urbanas y que no hay mujeres de esta nacionalidad que sean mayores de 100 años. Además, podemos notar que en la mayoría de los casos es mayor la tasa de urbanización en las mujeres que en los hombres, exceptuando los peruanos con edades entre 1 y 10 años que esta tasa toma valores mayores para los hombres.</w:t>
      </w:r>
    </w:p>
    <w:p w:rsidR="00361FCE" w:rsidRDefault="00361FCE" w:rsidP="000D176A">
      <w:pPr>
        <w:pStyle w:val="Prrafodelista"/>
        <w:spacing w:line="480" w:lineRule="auto"/>
        <w:ind w:left="851"/>
        <w:jc w:val="both"/>
        <w:rPr>
          <w:rFonts w:ascii="Arial" w:hAnsi="Arial" w:cs="Arial"/>
        </w:rPr>
      </w:pPr>
    </w:p>
    <w:p w:rsidR="00361FCE" w:rsidRPr="00DA2203" w:rsidRDefault="00361FCE" w:rsidP="000D176A">
      <w:pPr>
        <w:pStyle w:val="Prrafodelista"/>
        <w:spacing w:line="480" w:lineRule="auto"/>
        <w:ind w:left="851"/>
        <w:jc w:val="both"/>
        <w:rPr>
          <w:rFonts w:ascii="Arial" w:hAnsi="Arial" w:cs="Arial"/>
          <w:i/>
        </w:rPr>
      </w:pPr>
      <w:r>
        <w:rPr>
          <w:rFonts w:ascii="Arial" w:hAnsi="Arial" w:cs="Arial"/>
        </w:rPr>
        <w:t xml:space="preserve">Analizando algunos casos en particular, tenemos que para los hombres de nacionalidad peruana con edades entre 15 y 20 años 705.19 de capa 1000 peruanos de esta nacionalidad y grupo de edad viven en el área urbana, </w:t>
      </w:r>
      <w:r>
        <w:rPr>
          <w:rFonts w:ascii="Arial" w:hAnsi="Arial" w:cs="Arial"/>
        </w:rPr>
        <w:lastRenderedPageBreak/>
        <w:t xml:space="preserve">mientras que para el caso de las mujeres 741.53 por cada 1000 peruanas de ese mismo grupo etario residen en áreas urbanizadas. Por otra parte, los que tienen entre 80 y 85 años, por cada 1000 peruanos de esta edad 800 viven en áreas urbanas y 200 en áreas rurales; en cambio, por cada 1000 mujeres del mismo grupo de edad 888.89 residen en áreas urbanas y 111.11 en áreas rurales. Para más detalles sobre otros grupos de edad </w:t>
      </w:r>
      <w:r>
        <w:rPr>
          <w:rFonts w:ascii="Arial" w:hAnsi="Arial" w:cs="Arial"/>
          <w:i/>
        </w:rPr>
        <w:t>véase Figura 4.32.</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0D176A">
        <w:trPr>
          <w:trHeight w:val="4658"/>
          <w:jc w:val="right"/>
        </w:trPr>
        <w:tc>
          <w:tcPr>
            <w:tcW w:w="7497" w:type="dxa"/>
          </w:tcPr>
          <w:p w:rsidR="00361FCE" w:rsidRPr="00840530" w:rsidRDefault="00361FCE" w:rsidP="00902050">
            <w:pPr>
              <w:rPr>
                <w:rFonts w:ascii="Arial" w:hAnsi="Arial" w:cs="Arial"/>
                <w:sz w:val="16"/>
                <w:szCs w:val="16"/>
              </w:rPr>
            </w:pPr>
          </w:p>
          <w:p w:rsidR="00B65871" w:rsidRPr="00B65871" w:rsidRDefault="00B65871" w:rsidP="00B65871">
            <w:pPr>
              <w:pStyle w:val="Epgrafe"/>
              <w:rPr>
                <w:rFonts w:ascii="Arial" w:hAnsi="Arial" w:cs="Arial"/>
                <w:bCs w:val="0"/>
                <w:color w:val="auto"/>
                <w:sz w:val="16"/>
                <w:szCs w:val="16"/>
              </w:rPr>
            </w:pPr>
            <w:bookmarkStart w:id="571" w:name="_Toc341044004"/>
            <w:r>
              <w:rPr>
                <w:rFonts w:ascii="Arial" w:hAnsi="Arial" w:cs="Arial"/>
                <w:bCs w:val="0"/>
                <w:color w:val="auto"/>
                <w:sz w:val="16"/>
                <w:szCs w:val="16"/>
              </w:rPr>
              <w:t>Figura 4.</w:t>
            </w:r>
            <w:r w:rsidR="00990535" w:rsidRPr="00B65871">
              <w:rPr>
                <w:rFonts w:ascii="Arial" w:hAnsi="Arial" w:cs="Arial"/>
                <w:bCs w:val="0"/>
                <w:color w:val="auto"/>
                <w:sz w:val="16"/>
                <w:szCs w:val="16"/>
              </w:rPr>
              <w:fldChar w:fldCharType="begin"/>
            </w:r>
            <w:r w:rsidRPr="00B65871">
              <w:rPr>
                <w:rFonts w:ascii="Arial" w:hAnsi="Arial" w:cs="Arial"/>
                <w:bCs w:val="0"/>
                <w:color w:val="auto"/>
                <w:sz w:val="16"/>
                <w:szCs w:val="16"/>
              </w:rPr>
              <w:instrText xml:space="preserve"> SEQ Figura_4. \* ARABIC </w:instrText>
            </w:r>
            <w:r w:rsidR="00990535" w:rsidRPr="00B65871">
              <w:rPr>
                <w:rFonts w:ascii="Arial" w:hAnsi="Arial" w:cs="Arial"/>
                <w:bCs w:val="0"/>
                <w:color w:val="auto"/>
                <w:sz w:val="16"/>
                <w:szCs w:val="16"/>
              </w:rPr>
              <w:fldChar w:fldCharType="separate"/>
            </w:r>
            <w:r w:rsidR="00A242E0">
              <w:rPr>
                <w:rFonts w:ascii="Arial" w:hAnsi="Arial" w:cs="Arial"/>
                <w:bCs w:val="0"/>
                <w:noProof/>
                <w:color w:val="auto"/>
                <w:sz w:val="16"/>
                <w:szCs w:val="16"/>
              </w:rPr>
              <w:t>32</w:t>
            </w:r>
            <w:bookmarkEnd w:id="571"/>
            <w:r w:rsidR="00990535" w:rsidRPr="00B65871">
              <w:rPr>
                <w:rFonts w:ascii="Arial" w:hAnsi="Arial" w:cs="Arial"/>
                <w:bCs w:val="0"/>
                <w:color w:val="auto"/>
                <w:sz w:val="16"/>
                <w:szCs w:val="16"/>
              </w:rPr>
              <w:fldChar w:fldCharType="end"/>
            </w:r>
          </w:p>
          <w:p w:rsidR="000D176A" w:rsidRDefault="000D176A" w:rsidP="000D176A">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Tasa por cada 1000 </w:t>
            </w:r>
            <w:r>
              <w:rPr>
                <w:rFonts w:ascii="Arial" w:hAnsi="Arial" w:cs="Arial"/>
                <w:b/>
                <w:i/>
                <w:sz w:val="16"/>
                <w:szCs w:val="16"/>
              </w:rPr>
              <w:t>peruanos</w:t>
            </w:r>
            <w:r>
              <w:rPr>
                <w:rFonts w:ascii="Arial" w:hAnsi="Arial" w:cs="Arial"/>
                <w:i/>
                <w:sz w:val="16"/>
                <w:szCs w:val="16"/>
              </w:rPr>
              <w:t xml:space="preserve"> por zona urbana y rural por Sexo y Grupo etario</w:t>
            </w:r>
          </w:p>
          <w:p w:rsidR="00361FCE" w:rsidRDefault="00436907" w:rsidP="00902050">
            <w:pPr>
              <w:rPr>
                <w:rFonts w:ascii="Arial" w:hAnsi="Arial" w:cs="Arial"/>
                <w:i/>
                <w:sz w:val="16"/>
                <w:szCs w:val="16"/>
              </w:rPr>
            </w:pPr>
            <w:r>
              <w:rPr>
                <w:rFonts w:ascii="Arial" w:hAnsi="Arial" w:cs="Arial"/>
                <w:noProof/>
                <w:lang w:eastAsia="es-EC"/>
              </w:rPr>
              <w:pict>
                <v:shape id="_x0000_s1552" type="#_x0000_t202" style="position:absolute;left:0;text-align:left;margin-left:147.55pt;margin-top:70.5pt;width:96.95pt;height:20.25pt;z-index:25154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style="mso-next-textbox:#_x0000_s1552">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Área Rural</w:t>
                        </w:r>
                      </w:p>
                    </w:txbxContent>
                  </v:textbox>
                </v:shape>
              </w:pict>
            </w:r>
            <w:r>
              <w:rPr>
                <w:rFonts w:ascii="Arial" w:hAnsi="Arial" w:cs="Arial"/>
                <w:noProof/>
                <w:lang w:eastAsia="es-EC"/>
              </w:rPr>
              <w:pict>
                <v:shape id="_x0000_s2176" type="#_x0000_t32" style="position:absolute;left:0;text-align:left;margin-left:180.3pt;margin-top:82.95pt;width:15pt;height:12.75pt;flip:x;z-index:251942400" o:connectortype="straight" strokecolor="#e36c0a [2409]">
                  <v:stroke endarrow="block"/>
                </v:shape>
              </w:pict>
            </w:r>
            <w:r>
              <w:rPr>
                <w:rFonts w:ascii="Arial" w:hAnsi="Arial" w:cs="Arial"/>
                <w:noProof/>
                <w:lang w:eastAsia="es-EC"/>
              </w:rPr>
              <w:pict>
                <v:shape id="_x0000_s1550" type="#_x0000_t202" style="position:absolute;left:0;text-align:left;margin-left:146.05pt;margin-top:46.5pt;width:96.95pt;height:20.25pt;z-index:25154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style="mso-next-textbox:#_x0000_s1550">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Área Urbana</w:t>
                        </w:r>
                      </w:p>
                    </w:txbxContent>
                  </v:textbox>
                </v:shape>
              </w:pict>
            </w:r>
            <w:r>
              <w:rPr>
                <w:noProof/>
                <w:lang w:eastAsia="es-EC"/>
              </w:rPr>
              <w:pict>
                <v:shape id="_x0000_s2174" type="#_x0000_t32" style="position:absolute;left:0;text-align:left;margin-left:176.55pt;margin-top:40.2pt;width:13.2pt;height:10.05pt;flip:x y;z-index:251940352" o:connectortype="straight" strokecolor="#0070c0">
                  <v:stroke endarrow="block"/>
                </v:shape>
              </w:pict>
            </w:r>
            <w:r>
              <w:rPr>
                <w:noProof/>
              </w:rPr>
              <w:pict>
                <v:shape id="_x0000_s1548" type="#_x0000_t202" style="position:absolute;left:0;text-align:left;margin-left:199.3pt;margin-top:15.75pt;width:150.2pt;height:20.25pt;z-index:25154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style="mso-next-textbox:#_x0000_s1548">
                    <w:txbxContent>
                      <w:p w:rsidR="006933DF" w:rsidRPr="005B0B7F"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drawing>
                <wp:inline distT="0" distB="0" distL="0" distR="0">
                  <wp:extent cx="4211955" cy="2114550"/>
                  <wp:effectExtent l="0" t="0" r="0" b="0"/>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361FCE" w:rsidRPr="00660711" w:rsidRDefault="00436907" w:rsidP="00902050">
            <w:pPr>
              <w:rPr>
                <w:rFonts w:ascii="Arial" w:hAnsi="Arial" w:cs="Arial"/>
                <w:i/>
                <w:sz w:val="16"/>
                <w:szCs w:val="16"/>
              </w:rPr>
            </w:pPr>
            <w:r>
              <w:rPr>
                <w:rFonts w:ascii="Arial" w:hAnsi="Arial" w:cs="Arial"/>
                <w:b/>
                <w:i/>
                <w:noProof/>
                <w:sz w:val="18"/>
                <w:szCs w:val="18"/>
                <w:lang w:eastAsia="es-EC"/>
              </w:rPr>
              <w:pict>
                <v:shape id="_x0000_s1553" type="#_x0000_t202" style="position:absolute;left:0;text-align:left;margin-left:169.8pt;margin-top:70.95pt;width:96.95pt;height:20.25pt;z-index:25154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style="mso-next-textbox:#_x0000_s1553">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Área Rural</w:t>
                        </w:r>
                      </w:p>
                    </w:txbxContent>
                  </v:textbox>
                </v:shape>
              </w:pict>
            </w:r>
            <w:r>
              <w:rPr>
                <w:rFonts w:ascii="Arial" w:hAnsi="Arial" w:cs="Arial"/>
                <w:noProof/>
                <w:sz w:val="18"/>
                <w:szCs w:val="18"/>
                <w:lang w:eastAsia="es-EC"/>
              </w:rPr>
              <w:pict>
                <v:shape id="_x0000_s2177" type="#_x0000_t32" style="position:absolute;left:0;text-align:left;margin-left:195.3pt;margin-top:83.7pt;width:21pt;height:15.1pt;flip:x;z-index:251943424" o:connectortype="straight" strokecolor="#e36c0a [2409]">
                  <v:stroke endarrow="block"/>
                </v:shape>
              </w:pict>
            </w:r>
            <w:r>
              <w:rPr>
                <w:rFonts w:ascii="Arial" w:hAnsi="Arial" w:cs="Arial"/>
                <w:noProof/>
                <w:sz w:val="18"/>
                <w:szCs w:val="18"/>
                <w:lang w:eastAsia="es-EC"/>
              </w:rPr>
              <w:pict>
                <v:shape id="_x0000_s2175" type="#_x0000_t32" style="position:absolute;left:0;text-align:left;margin-left:199.3pt;margin-top:34.2pt;width:12.5pt;height:11.25pt;flip:x y;z-index:251941376" o:connectortype="straight" strokecolor="#0070c0">
                  <v:stroke endarrow="block"/>
                </v:shape>
              </w:pict>
            </w:r>
            <w:r>
              <w:rPr>
                <w:rFonts w:ascii="Arial" w:hAnsi="Arial" w:cs="Arial"/>
                <w:noProof/>
                <w:lang w:eastAsia="es-EC"/>
              </w:rPr>
              <w:pict>
                <v:shape id="_x0000_s1551" type="#_x0000_t202" style="position:absolute;left:0;text-align:left;margin-left:168.3pt;margin-top:40.2pt;width:96.95pt;height:20.25pt;z-index:25154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style="mso-next-textbox:#_x0000_s1551">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Área Urbana</w:t>
                        </w:r>
                      </w:p>
                    </w:txbxContent>
                  </v:textbox>
                </v:shape>
              </w:pict>
            </w:r>
            <w:r>
              <w:rPr>
                <w:rFonts w:ascii="Arial" w:hAnsi="Arial" w:cs="Arial"/>
                <w:noProof/>
                <w:sz w:val="18"/>
                <w:szCs w:val="18"/>
                <w:lang w:eastAsia="es-EC"/>
              </w:rPr>
              <w:pict>
                <v:shape id="_x0000_s1549" type="#_x0000_t202" style="position:absolute;left:0;text-align:left;margin-left:225.55pt;margin-top:9.55pt;width:96.95pt;height:20.25pt;z-index:25154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style="mso-next-textbox:#_x0000_s1549">
                    <w:txbxContent>
                      <w:p w:rsidR="006933DF" w:rsidRPr="005B0B7F"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drawing>
                <wp:inline distT="0" distB="0" distL="0" distR="0">
                  <wp:extent cx="4211955" cy="2115608"/>
                  <wp:effectExtent l="0" t="0" r="0" b="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r>
    </w:tbl>
    <w:p w:rsidR="00361FCE" w:rsidRPr="000D176A" w:rsidRDefault="00361FCE" w:rsidP="000D176A">
      <w:pPr>
        <w:pStyle w:val="Prrafodelista"/>
        <w:spacing w:line="276" w:lineRule="auto"/>
        <w:ind w:left="851"/>
        <w:jc w:val="both"/>
        <w:rPr>
          <w:rFonts w:ascii="Arial" w:hAnsi="Arial" w:cs="Arial"/>
          <w:sz w:val="17"/>
          <w:szCs w:val="17"/>
        </w:rPr>
      </w:pPr>
    </w:p>
    <w:p w:rsidR="00361FCE" w:rsidRPr="000D176A" w:rsidRDefault="00361FCE" w:rsidP="000D176A">
      <w:pPr>
        <w:pStyle w:val="Prrafodelista"/>
        <w:spacing w:line="276" w:lineRule="auto"/>
        <w:ind w:left="851"/>
        <w:jc w:val="both"/>
        <w:rPr>
          <w:rFonts w:ascii="Arial" w:hAnsi="Arial" w:cs="Arial"/>
          <w:sz w:val="17"/>
          <w:szCs w:val="17"/>
        </w:rPr>
      </w:pPr>
      <w:r w:rsidRPr="000D176A">
        <w:rPr>
          <w:rFonts w:ascii="Arial" w:hAnsi="Arial" w:cs="Arial"/>
          <w:b/>
          <w:i/>
          <w:sz w:val="17"/>
          <w:szCs w:val="17"/>
        </w:rPr>
        <w:t>Fuente:</w:t>
      </w:r>
      <w:r w:rsidRPr="000D176A">
        <w:rPr>
          <w:rFonts w:ascii="Arial" w:hAnsi="Arial" w:cs="Arial"/>
          <w:sz w:val="17"/>
          <w:szCs w:val="17"/>
        </w:rPr>
        <w:t xml:space="preserve"> </w:t>
      </w:r>
      <w:r w:rsidRPr="000D176A">
        <w:rPr>
          <w:rFonts w:ascii="Arial" w:hAnsi="Arial" w:cs="Arial"/>
          <w:b/>
          <w:sz w:val="17"/>
          <w:szCs w:val="17"/>
        </w:rPr>
        <w:t xml:space="preserve">INEC </w:t>
      </w:r>
      <w:r w:rsidRPr="000D176A">
        <w:rPr>
          <w:rFonts w:ascii="Arial" w:hAnsi="Arial" w:cs="Arial"/>
          <w:sz w:val="17"/>
          <w:szCs w:val="17"/>
        </w:rPr>
        <w:t>(2010), Base de Datos del VII Censo de Población y VI de Vivienda.</w:t>
      </w:r>
    </w:p>
    <w:p w:rsidR="00361FCE" w:rsidRPr="000D176A" w:rsidRDefault="00361FCE" w:rsidP="000D176A">
      <w:pPr>
        <w:pStyle w:val="Prrafodelista"/>
        <w:spacing w:line="276" w:lineRule="auto"/>
        <w:ind w:left="851"/>
        <w:jc w:val="both"/>
        <w:rPr>
          <w:rFonts w:ascii="Arial" w:hAnsi="Arial" w:cs="Arial"/>
          <w:sz w:val="17"/>
          <w:szCs w:val="17"/>
        </w:rPr>
      </w:pPr>
      <w:r w:rsidRPr="000D176A">
        <w:rPr>
          <w:rFonts w:ascii="Arial" w:hAnsi="Arial" w:cs="Arial"/>
          <w:b/>
          <w:i/>
          <w:sz w:val="17"/>
          <w:szCs w:val="17"/>
        </w:rPr>
        <w:t>Elaborado por:</w:t>
      </w:r>
      <w:r w:rsidRPr="000D176A">
        <w:rPr>
          <w:rFonts w:ascii="Arial" w:hAnsi="Arial" w:cs="Arial"/>
          <w:sz w:val="17"/>
          <w:szCs w:val="17"/>
        </w:rPr>
        <w:t xml:space="preserve"> Katherine Loor Valeriano</w:t>
      </w:r>
    </w:p>
    <w:p w:rsidR="000D176A" w:rsidRDefault="000D176A" w:rsidP="000D176A">
      <w:pPr>
        <w:pStyle w:val="Estilo42"/>
        <w:numPr>
          <w:ilvl w:val="0"/>
          <w:numId w:val="0"/>
        </w:numPr>
        <w:ind w:left="567"/>
      </w:pPr>
      <w:bookmarkStart w:id="572" w:name="_Toc337135532"/>
    </w:p>
    <w:p w:rsidR="00361FCE" w:rsidRDefault="00361FCE" w:rsidP="000D176A">
      <w:pPr>
        <w:pStyle w:val="Estilo42"/>
        <w:ind w:left="1560" w:hanging="709"/>
      </w:pPr>
      <w:bookmarkStart w:id="573" w:name="_Toc341040682"/>
      <w:r>
        <w:lastRenderedPageBreak/>
        <w:t>Años de residencia en Ecuador</w:t>
      </w:r>
      <w:bookmarkEnd w:id="572"/>
      <w:r w:rsidR="000D176A">
        <w:t xml:space="preserve"> de los peruanos</w:t>
      </w:r>
      <w:bookmarkEnd w:id="573"/>
    </w:p>
    <w:p w:rsidR="00361FCE" w:rsidRPr="00B23686" w:rsidRDefault="00361FCE" w:rsidP="000D176A">
      <w:pPr>
        <w:pStyle w:val="Prrafodelista"/>
        <w:tabs>
          <w:tab w:val="left" w:pos="1785"/>
        </w:tabs>
        <w:spacing w:line="480" w:lineRule="auto"/>
        <w:ind w:left="851"/>
        <w:jc w:val="both"/>
        <w:rPr>
          <w:rFonts w:ascii="Arial" w:hAnsi="Arial" w:cs="Arial"/>
          <w:i/>
        </w:rPr>
      </w:pPr>
      <w:r>
        <w:rPr>
          <w:rFonts w:ascii="Arial" w:hAnsi="Arial" w:cs="Arial"/>
        </w:rPr>
        <w:t>En lo que respecta a la variable año de llegada de los peruanos que habitualmente residen en Ecuador, el 28 de noviembre de 2010 día del empadronamiento se registró un peruano que llegó al país en 1908, además se registra otro peruano que llegó 10 años más tarde, se tiene también que 2144 peruanos llegaron en el 2010, consideremos además que una cantidad similar de peruanos no respondi</w:t>
      </w:r>
      <w:r w:rsidR="000D176A">
        <w:rPr>
          <w:rFonts w:ascii="Arial" w:hAnsi="Arial" w:cs="Arial"/>
        </w:rPr>
        <w:t>eron su año de llegada al país; mientras que, de</w:t>
      </w:r>
      <w:r>
        <w:rPr>
          <w:rFonts w:ascii="Arial" w:hAnsi="Arial" w:cs="Arial"/>
        </w:rPr>
        <w:t xml:space="preserve"> la cantidad</w:t>
      </w:r>
      <w:r w:rsidR="000D176A">
        <w:rPr>
          <w:rFonts w:ascii="Arial" w:hAnsi="Arial" w:cs="Arial"/>
        </w:rPr>
        <w:t xml:space="preserve"> de años viviendo en el Ecuador</w:t>
      </w:r>
      <w:r>
        <w:rPr>
          <w:rFonts w:ascii="Arial" w:hAnsi="Arial" w:cs="Arial"/>
        </w:rPr>
        <w:t xml:space="preserve"> se </w:t>
      </w:r>
      <w:r w:rsidR="00506BFD">
        <w:rPr>
          <w:rFonts w:ascii="Arial" w:hAnsi="Arial" w:cs="Arial"/>
        </w:rPr>
        <w:t>obtuvo</w:t>
      </w:r>
      <w:r>
        <w:rPr>
          <w:rFonts w:ascii="Arial" w:hAnsi="Arial" w:cs="Arial"/>
        </w:rPr>
        <w:t xml:space="preserve"> que el 13.68% de los peruanos llegaron hace menos de 1 año, el 65.04% llegaron hace 1 y 20 años, el 6.58% hace 20 y 40 años, el 1% hace 40 y 60 años, el 0.35% entre 60 y 80 años, el 0.03% y 0.01% llegaron hace 80 y 100 años y hace más de 100 años respectivamente; y, el 13.32% del total de peruanos residentes en el país no respondieron a esta pregunta. </w:t>
      </w:r>
      <w:r>
        <w:rPr>
          <w:rFonts w:ascii="Arial" w:hAnsi="Arial" w:cs="Arial"/>
          <w:i/>
        </w:rPr>
        <w:t>Véase Figura 4.33.</w:t>
      </w:r>
    </w:p>
    <w:tbl>
      <w:tblPr>
        <w:tblStyle w:val="Tablaconcuadrcula"/>
        <w:tblW w:w="7497" w:type="dxa"/>
        <w:jc w:val="right"/>
        <w:tblInd w:w="1074"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36"/>
      </w:tblGrid>
      <w:tr w:rsidR="00361FCE" w:rsidRPr="00840530" w:rsidTr="000D176A">
        <w:trPr>
          <w:trHeight w:val="3414"/>
          <w:jc w:val="right"/>
        </w:trPr>
        <w:tc>
          <w:tcPr>
            <w:tcW w:w="7497" w:type="dxa"/>
          </w:tcPr>
          <w:p w:rsidR="00361FCE" w:rsidRPr="00840530" w:rsidRDefault="00361FCE" w:rsidP="00902050">
            <w:pPr>
              <w:rPr>
                <w:rFonts w:ascii="Arial" w:hAnsi="Arial" w:cs="Arial"/>
                <w:sz w:val="16"/>
                <w:szCs w:val="16"/>
              </w:rPr>
            </w:pPr>
          </w:p>
          <w:p w:rsidR="00B65871" w:rsidRPr="00B65871" w:rsidRDefault="00B65871" w:rsidP="00B65871">
            <w:pPr>
              <w:pStyle w:val="Epgrafe"/>
              <w:rPr>
                <w:rFonts w:ascii="Arial" w:hAnsi="Arial" w:cs="Arial"/>
                <w:bCs w:val="0"/>
                <w:color w:val="auto"/>
                <w:sz w:val="16"/>
                <w:szCs w:val="16"/>
              </w:rPr>
            </w:pPr>
            <w:bookmarkStart w:id="574" w:name="_Toc341044005"/>
            <w:r>
              <w:rPr>
                <w:rFonts w:ascii="Arial" w:hAnsi="Arial" w:cs="Arial"/>
                <w:bCs w:val="0"/>
                <w:color w:val="auto"/>
                <w:sz w:val="16"/>
                <w:szCs w:val="16"/>
              </w:rPr>
              <w:t>Figura 4.</w:t>
            </w:r>
            <w:r w:rsidR="00990535" w:rsidRPr="00B65871">
              <w:rPr>
                <w:rFonts w:ascii="Arial" w:hAnsi="Arial" w:cs="Arial"/>
                <w:bCs w:val="0"/>
                <w:color w:val="auto"/>
                <w:sz w:val="16"/>
                <w:szCs w:val="16"/>
              </w:rPr>
              <w:fldChar w:fldCharType="begin"/>
            </w:r>
            <w:r w:rsidRPr="00B65871">
              <w:rPr>
                <w:rFonts w:ascii="Arial" w:hAnsi="Arial" w:cs="Arial"/>
                <w:bCs w:val="0"/>
                <w:color w:val="auto"/>
                <w:sz w:val="16"/>
                <w:szCs w:val="16"/>
              </w:rPr>
              <w:instrText xml:space="preserve"> SEQ Figura_4. \* ARABIC </w:instrText>
            </w:r>
            <w:r w:rsidR="00990535" w:rsidRPr="00B65871">
              <w:rPr>
                <w:rFonts w:ascii="Arial" w:hAnsi="Arial" w:cs="Arial"/>
                <w:bCs w:val="0"/>
                <w:color w:val="auto"/>
                <w:sz w:val="16"/>
                <w:szCs w:val="16"/>
              </w:rPr>
              <w:fldChar w:fldCharType="separate"/>
            </w:r>
            <w:r w:rsidR="00A242E0">
              <w:rPr>
                <w:rFonts w:ascii="Arial" w:hAnsi="Arial" w:cs="Arial"/>
                <w:bCs w:val="0"/>
                <w:noProof/>
                <w:color w:val="auto"/>
                <w:sz w:val="16"/>
                <w:szCs w:val="16"/>
              </w:rPr>
              <w:t>33</w:t>
            </w:r>
            <w:bookmarkEnd w:id="574"/>
            <w:r w:rsidR="00990535" w:rsidRPr="00B65871">
              <w:rPr>
                <w:rFonts w:ascii="Arial" w:hAnsi="Arial" w:cs="Arial"/>
                <w:bCs w:val="0"/>
                <w:color w:val="auto"/>
                <w:sz w:val="16"/>
                <w:szCs w:val="16"/>
              </w:rPr>
              <w:fldChar w:fldCharType="end"/>
            </w:r>
          </w:p>
          <w:p w:rsidR="000D176A" w:rsidRDefault="000D176A" w:rsidP="000D176A">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Frecuencia Relativa de la cantidad de años de residencia en el</w:t>
            </w:r>
          </w:p>
          <w:p w:rsidR="000D176A" w:rsidRDefault="000D176A" w:rsidP="000D176A">
            <w:pPr>
              <w:rPr>
                <w:rFonts w:ascii="Arial" w:hAnsi="Arial" w:cs="Arial"/>
                <w:i/>
                <w:sz w:val="16"/>
                <w:szCs w:val="16"/>
              </w:rPr>
            </w:pPr>
            <w:r>
              <w:rPr>
                <w:rFonts w:ascii="Arial" w:hAnsi="Arial" w:cs="Arial"/>
                <w:i/>
                <w:sz w:val="16"/>
                <w:szCs w:val="16"/>
              </w:rPr>
              <w:t xml:space="preserve"> país de la población </w:t>
            </w:r>
            <w:r>
              <w:rPr>
                <w:rFonts w:ascii="Arial" w:hAnsi="Arial" w:cs="Arial"/>
                <w:b/>
                <w:i/>
                <w:sz w:val="16"/>
                <w:szCs w:val="16"/>
              </w:rPr>
              <w:t>peruana</w:t>
            </w:r>
          </w:p>
          <w:tbl>
            <w:tblPr>
              <w:tblStyle w:val="Tablaconcuadrcula"/>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797"/>
              <w:gridCol w:w="4599"/>
            </w:tblGrid>
            <w:tr w:rsidR="00361FCE" w:rsidRPr="00A22FF9" w:rsidTr="005A51BD">
              <w:trPr>
                <w:trHeight w:val="2973"/>
                <w:jc w:val="center"/>
              </w:trPr>
              <w:tc>
                <w:tcPr>
                  <w:tcW w:w="2797" w:type="dxa"/>
                </w:tcPr>
                <w:p w:rsidR="00361FCE" w:rsidRDefault="00361FCE" w:rsidP="00902050">
                  <w:pPr>
                    <w:rPr>
                      <w:rFonts w:ascii="Arial" w:hAnsi="Arial" w:cs="Arial"/>
                      <w:b/>
                      <w:sz w:val="16"/>
                      <w:szCs w:val="16"/>
                    </w:rPr>
                  </w:pPr>
                  <w:r w:rsidRPr="005400D0">
                    <w:rPr>
                      <w:noProof/>
                      <w:sz w:val="10"/>
                      <w:szCs w:val="10"/>
                      <w:lang w:eastAsia="es-EC"/>
                    </w:rPr>
                    <w:t xml:space="preserve"> </w:t>
                  </w:r>
                </w:p>
                <w:p w:rsidR="00361FCE" w:rsidRPr="00A22FF9" w:rsidRDefault="00361FCE" w:rsidP="00902050">
                  <w:pPr>
                    <w:ind w:left="201"/>
                    <w:rPr>
                      <w:rFonts w:ascii="Arial" w:hAnsi="Arial" w:cs="Arial"/>
                      <w:b/>
                      <w:sz w:val="16"/>
                      <w:szCs w:val="16"/>
                    </w:rPr>
                  </w:pPr>
                  <w:r w:rsidRPr="00A22FF9">
                    <w:rPr>
                      <w:rFonts w:ascii="Arial" w:hAnsi="Arial" w:cs="Arial"/>
                      <w:b/>
                      <w:sz w:val="16"/>
                      <w:szCs w:val="16"/>
                    </w:rPr>
                    <w:t>Tabla de Frecuencias</w:t>
                  </w:r>
                </w:p>
                <w:p w:rsidR="00361FCE" w:rsidRDefault="00361FCE" w:rsidP="00902050">
                  <w:pPr>
                    <w:rPr>
                      <w:rFonts w:ascii="Arial" w:hAnsi="Arial" w:cs="Arial"/>
                      <w:sz w:val="10"/>
                      <w:szCs w:val="10"/>
                    </w:rPr>
                  </w:pPr>
                </w:p>
                <w:p w:rsidR="005A51BD" w:rsidRPr="00A22FF9" w:rsidRDefault="005A51BD" w:rsidP="00902050">
                  <w:pPr>
                    <w:rPr>
                      <w:rFonts w:ascii="Arial" w:hAnsi="Arial" w:cs="Arial"/>
                      <w:sz w:val="10"/>
                      <w:szCs w:val="10"/>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361FCE" w:rsidRPr="007E0001" w:rsidTr="00902050">
                    <w:trPr>
                      <w:trHeight w:val="624"/>
                      <w:jc w:val="center"/>
                    </w:trPr>
                    <w:tc>
                      <w:tcPr>
                        <w:tcW w:w="1200" w:type="dxa"/>
                        <w:tcBorders>
                          <w:top w:val="single" w:sz="4" w:space="0" w:color="auto"/>
                          <w:left w:val="nil"/>
                          <w:bottom w:val="single" w:sz="4" w:space="0" w:color="auto"/>
                          <w:right w:val="nil"/>
                        </w:tcBorders>
                        <w:shd w:val="clear" w:color="auto" w:fill="auto"/>
                        <w:vAlign w:val="center"/>
                        <w:hideMark/>
                      </w:tcPr>
                      <w:p w:rsidR="00361FCE" w:rsidRPr="007E0001" w:rsidRDefault="00361FCE" w:rsidP="00902050">
                        <w:pPr>
                          <w:rPr>
                            <w:rFonts w:ascii="Arial" w:eastAsia="Times New Roman" w:hAnsi="Arial" w:cs="Arial"/>
                            <w:b/>
                            <w:bCs/>
                            <w:color w:val="000000"/>
                            <w:sz w:val="16"/>
                            <w:szCs w:val="16"/>
                            <w:lang w:eastAsia="es-EC"/>
                          </w:rPr>
                        </w:pPr>
                        <w:r w:rsidRPr="007E0001">
                          <w:rPr>
                            <w:rFonts w:ascii="Arial" w:eastAsia="Times New Roman" w:hAnsi="Arial" w:cs="Arial"/>
                            <w:b/>
                            <w:bCs/>
                            <w:color w:val="000000"/>
                            <w:sz w:val="16"/>
                            <w:szCs w:val="16"/>
                            <w:lang w:eastAsia="es-EC"/>
                          </w:rPr>
                          <w:t>Años de residencia en Ecuador</w:t>
                        </w:r>
                      </w:p>
                    </w:tc>
                    <w:tc>
                      <w:tcPr>
                        <w:tcW w:w="1200" w:type="dxa"/>
                        <w:tcBorders>
                          <w:top w:val="single" w:sz="4" w:space="0" w:color="auto"/>
                          <w:left w:val="nil"/>
                          <w:bottom w:val="single" w:sz="4" w:space="0" w:color="auto"/>
                          <w:right w:val="nil"/>
                        </w:tcBorders>
                        <w:shd w:val="clear" w:color="auto" w:fill="auto"/>
                        <w:vAlign w:val="center"/>
                        <w:hideMark/>
                      </w:tcPr>
                      <w:p w:rsidR="00361FCE" w:rsidRPr="007E0001" w:rsidRDefault="00361FCE" w:rsidP="00902050">
                        <w:pPr>
                          <w:rPr>
                            <w:rFonts w:ascii="Arial" w:eastAsia="Times New Roman" w:hAnsi="Arial" w:cs="Arial"/>
                            <w:b/>
                            <w:bCs/>
                            <w:color w:val="000000"/>
                            <w:sz w:val="16"/>
                            <w:szCs w:val="16"/>
                            <w:lang w:eastAsia="es-EC"/>
                          </w:rPr>
                        </w:pPr>
                        <w:r w:rsidRPr="007E0001">
                          <w:rPr>
                            <w:rFonts w:ascii="Arial" w:eastAsia="Times New Roman" w:hAnsi="Arial" w:cs="Arial"/>
                            <w:b/>
                            <w:bCs/>
                            <w:color w:val="000000"/>
                            <w:sz w:val="16"/>
                            <w:szCs w:val="16"/>
                            <w:lang w:eastAsia="es-EC"/>
                          </w:rPr>
                          <w:t>Frecuencia Relativa</w:t>
                        </w:r>
                      </w:p>
                    </w:tc>
                  </w:tr>
                  <w:tr w:rsidR="00361FCE" w:rsidRPr="007E0001" w:rsidTr="005A51BD">
                    <w:trPr>
                      <w:trHeight w:val="20"/>
                      <w:jc w:val="center"/>
                    </w:trPr>
                    <w:tc>
                      <w:tcPr>
                        <w:tcW w:w="1200" w:type="dxa"/>
                        <w:tcBorders>
                          <w:top w:val="nil"/>
                          <w:left w:val="nil"/>
                          <w:bottom w:val="nil"/>
                          <w:right w:val="nil"/>
                        </w:tcBorders>
                        <w:shd w:val="clear" w:color="auto" w:fill="auto"/>
                        <w:noWrap/>
                        <w:vAlign w:val="center"/>
                      </w:tcPr>
                      <w:p w:rsidR="00361FCE" w:rsidRDefault="00361FCE" w:rsidP="000D176A">
                        <w:pPr>
                          <w:jc w:val="left"/>
                          <w:rPr>
                            <w:rFonts w:ascii="Arial" w:hAnsi="Arial" w:cs="Arial"/>
                            <w:color w:val="000000"/>
                            <w:sz w:val="16"/>
                            <w:szCs w:val="16"/>
                          </w:rPr>
                        </w:pPr>
                        <w:r>
                          <w:rPr>
                            <w:rFonts w:ascii="Arial" w:hAnsi="Arial" w:cs="Arial"/>
                            <w:color w:val="000000"/>
                            <w:sz w:val="16"/>
                            <w:szCs w:val="16"/>
                          </w:rPr>
                          <w:t>Menos de 1</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0.137</w:t>
                        </w:r>
                      </w:p>
                    </w:tc>
                  </w:tr>
                  <w:tr w:rsidR="00361FCE" w:rsidRPr="007E0001" w:rsidTr="005A51BD">
                    <w:trPr>
                      <w:trHeight w:val="20"/>
                      <w:jc w:val="center"/>
                    </w:trPr>
                    <w:tc>
                      <w:tcPr>
                        <w:tcW w:w="1200" w:type="dxa"/>
                        <w:tcBorders>
                          <w:top w:val="nil"/>
                          <w:left w:val="nil"/>
                          <w:bottom w:val="nil"/>
                          <w:right w:val="nil"/>
                        </w:tcBorders>
                        <w:shd w:val="clear" w:color="auto" w:fill="auto"/>
                        <w:noWrap/>
                        <w:vAlign w:val="center"/>
                      </w:tcPr>
                      <w:p w:rsidR="00361FCE" w:rsidRDefault="00361FCE" w:rsidP="000D176A">
                        <w:pPr>
                          <w:jc w:val="left"/>
                          <w:rPr>
                            <w:rFonts w:ascii="Arial" w:hAnsi="Arial" w:cs="Arial"/>
                            <w:color w:val="000000"/>
                            <w:sz w:val="16"/>
                            <w:szCs w:val="16"/>
                          </w:rPr>
                        </w:pPr>
                        <w:r>
                          <w:rPr>
                            <w:rFonts w:ascii="Arial" w:hAnsi="Arial" w:cs="Arial"/>
                            <w:color w:val="000000"/>
                            <w:sz w:val="16"/>
                            <w:szCs w:val="16"/>
                          </w:rPr>
                          <w:t>[1 - 20)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0.650</w:t>
                        </w:r>
                      </w:p>
                    </w:tc>
                  </w:tr>
                  <w:tr w:rsidR="00361FCE" w:rsidRPr="007E0001" w:rsidTr="005A51BD">
                    <w:trPr>
                      <w:trHeight w:val="20"/>
                      <w:jc w:val="center"/>
                    </w:trPr>
                    <w:tc>
                      <w:tcPr>
                        <w:tcW w:w="1200" w:type="dxa"/>
                        <w:tcBorders>
                          <w:top w:val="nil"/>
                          <w:left w:val="nil"/>
                          <w:bottom w:val="nil"/>
                          <w:right w:val="nil"/>
                        </w:tcBorders>
                        <w:shd w:val="clear" w:color="auto" w:fill="auto"/>
                        <w:noWrap/>
                        <w:vAlign w:val="center"/>
                      </w:tcPr>
                      <w:p w:rsidR="00361FCE" w:rsidRDefault="00361FCE" w:rsidP="000D176A">
                        <w:pPr>
                          <w:jc w:val="left"/>
                          <w:rPr>
                            <w:rFonts w:ascii="Arial" w:hAnsi="Arial" w:cs="Arial"/>
                            <w:color w:val="000000"/>
                            <w:sz w:val="16"/>
                            <w:szCs w:val="16"/>
                          </w:rPr>
                        </w:pPr>
                        <w:r>
                          <w:rPr>
                            <w:rFonts w:ascii="Arial" w:hAnsi="Arial" w:cs="Arial"/>
                            <w:color w:val="000000"/>
                            <w:sz w:val="16"/>
                            <w:szCs w:val="16"/>
                          </w:rPr>
                          <w:t>[20 - 40)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0.066</w:t>
                        </w:r>
                      </w:p>
                    </w:tc>
                  </w:tr>
                  <w:tr w:rsidR="00361FCE" w:rsidRPr="007E0001" w:rsidTr="005A51BD">
                    <w:trPr>
                      <w:trHeight w:val="20"/>
                      <w:jc w:val="center"/>
                    </w:trPr>
                    <w:tc>
                      <w:tcPr>
                        <w:tcW w:w="1200" w:type="dxa"/>
                        <w:tcBorders>
                          <w:top w:val="nil"/>
                          <w:left w:val="nil"/>
                          <w:bottom w:val="nil"/>
                          <w:right w:val="nil"/>
                        </w:tcBorders>
                        <w:shd w:val="clear" w:color="auto" w:fill="auto"/>
                        <w:noWrap/>
                        <w:vAlign w:val="center"/>
                      </w:tcPr>
                      <w:p w:rsidR="00361FCE" w:rsidRDefault="00361FCE" w:rsidP="000D176A">
                        <w:pPr>
                          <w:jc w:val="left"/>
                          <w:rPr>
                            <w:rFonts w:ascii="Arial" w:hAnsi="Arial" w:cs="Arial"/>
                            <w:color w:val="000000"/>
                            <w:sz w:val="16"/>
                            <w:szCs w:val="16"/>
                          </w:rPr>
                        </w:pPr>
                        <w:r>
                          <w:rPr>
                            <w:rFonts w:ascii="Arial" w:hAnsi="Arial" w:cs="Arial"/>
                            <w:color w:val="000000"/>
                            <w:sz w:val="16"/>
                            <w:szCs w:val="16"/>
                          </w:rPr>
                          <w:t>[40 - 60)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0.010</w:t>
                        </w:r>
                      </w:p>
                    </w:tc>
                  </w:tr>
                  <w:tr w:rsidR="00361FCE" w:rsidRPr="007E0001" w:rsidTr="005A51BD">
                    <w:trPr>
                      <w:trHeight w:val="20"/>
                      <w:jc w:val="center"/>
                    </w:trPr>
                    <w:tc>
                      <w:tcPr>
                        <w:tcW w:w="1200" w:type="dxa"/>
                        <w:tcBorders>
                          <w:top w:val="nil"/>
                          <w:left w:val="nil"/>
                          <w:bottom w:val="nil"/>
                          <w:right w:val="nil"/>
                        </w:tcBorders>
                        <w:shd w:val="clear" w:color="auto" w:fill="auto"/>
                        <w:noWrap/>
                        <w:vAlign w:val="center"/>
                      </w:tcPr>
                      <w:p w:rsidR="00361FCE" w:rsidRDefault="00361FCE" w:rsidP="000D176A">
                        <w:pPr>
                          <w:jc w:val="left"/>
                          <w:rPr>
                            <w:rFonts w:ascii="Arial" w:hAnsi="Arial" w:cs="Arial"/>
                            <w:color w:val="000000"/>
                            <w:sz w:val="16"/>
                            <w:szCs w:val="16"/>
                          </w:rPr>
                        </w:pPr>
                        <w:r>
                          <w:rPr>
                            <w:rFonts w:ascii="Arial" w:hAnsi="Arial" w:cs="Arial"/>
                            <w:color w:val="000000"/>
                            <w:sz w:val="16"/>
                            <w:szCs w:val="16"/>
                          </w:rPr>
                          <w:t>[60 - 80)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0.004</w:t>
                        </w:r>
                      </w:p>
                    </w:tc>
                  </w:tr>
                  <w:tr w:rsidR="00361FCE" w:rsidRPr="007E0001" w:rsidTr="005A51BD">
                    <w:trPr>
                      <w:trHeight w:val="20"/>
                      <w:jc w:val="center"/>
                    </w:trPr>
                    <w:tc>
                      <w:tcPr>
                        <w:tcW w:w="1200" w:type="dxa"/>
                        <w:tcBorders>
                          <w:top w:val="nil"/>
                          <w:left w:val="nil"/>
                          <w:right w:val="nil"/>
                        </w:tcBorders>
                        <w:shd w:val="clear" w:color="auto" w:fill="auto"/>
                        <w:noWrap/>
                        <w:vAlign w:val="center"/>
                      </w:tcPr>
                      <w:p w:rsidR="00361FCE" w:rsidRDefault="00361FCE" w:rsidP="000D176A">
                        <w:pPr>
                          <w:jc w:val="left"/>
                          <w:rPr>
                            <w:rFonts w:ascii="Arial" w:hAnsi="Arial" w:cs="Arial"/>
                            <w:color w:val="000000"/>
                            <w:sz w:val="16"/>
                            <w:szCs w:val="16"/>
                          </w:rPr>
                        </w:pPr>
                        <w:r>
                          <w:rPr>
                            <w:rFonts w:ascii="Arial" w:hAnsi="Arial" w:cs="Arial"/>
                            <w:color w:val="000000"/>
                            <w:sz w:val="16"/>
                            <w:szCs w:val="16"/>
                          </w:rPr>
                          <w:t>[80 - 100]</w:t>
                        </w:r>
                      </w:p>
                    </w:tc>
                    <w:tc>
                      <w:tcPr>
                        <w:tcW w:w="1200" w:type="dxa"/>
                        <w:tcBorders>
                          <w:top w:val="nil"/>
                          <w:left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0.000</w:t>
                        </w:r>
                      </w:p>
                    </w:tc>
                  </w:tr>
                  <w:tr w:rsidR="00361FCE" w:rsidRPr="007E0001" w:rsidTr="005A51BD">
                    <w:trPr>
                      <w:trHeight w:val="20"/>
                      <w:jc w:val="center"/>
                    </w:trPr>
                    <w:tc>
                      <w:tcPr>
                        <w:tcW w:w="1200" w:type="dxa"/>
                        <w:tcBorders>
                          <w:top w:val="nil"/>
                          <w:left w:val="nil"/>
                          <w:right w:val="nil"/>
                        </w:tcBorders>
                        <w:shd w:val="clear" w:color="auto" w:fill="auto"/>
                        <w:noWrap/>
                        <w:vAlign w:val="center"/>
                      </w:tcPr>
                      <w:p w:rsidR="00361FCE" w:rsidRDefault="00361FCE" w:rsidP="000D176A">
                        <w:pPr>
                          <w:jc w:val="left"/>
                          <w:rPr>
                            <w:rFonts w:ascii="Arial" w:hAnsi="Arial" w:cs="Arial"/>
                            <w:color w:val="000000"/>
                            <w:sz w:val="16"/>
                            <w:szCs w:val="16"/>
                          </w:rPr>
                        </w:pPr>
                        <w:r>
                          <w:rPr>
                            <w:rFonts w:ascii="Arial" w:hAnsi="Arial" w:cs="Arial"/>
                            <w:color w:val="000000"/>
                            <w:sz w:val="16"/>
                            <w:szCs w:val="16"/>
                          </w:rPr>
                          <w:t>Más de 100</w:t>
                        </w:r>
                      </w:p>
                    </w:tc>
                    <w:tc>
                      <w:tcPr>
                        <w:tcW w:w="1200" w:type="dxa"/>
                        <w:tcBorders>
                          <w:top w:val="nil"/>
                          <w:left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0.000</w:t>
                        </w:r>
                      </w:p>
                    </w:tc>
                  </w:tr>
                  <w:tr w:rsidR="00361FCE" w:rsidRPr="007E0001" w:rsidTr="005A51BD">
                    <w:trPr>
                      <w:trHeight w:val="20"/>
                      <w:jc w:val="center"/>
                    </w:trPr>
                    <w:tc>
                      <w:tcPr>
                        <w:tcW w:w="1200" w:type="dxa"/>
                        <w:tcBorders>
                          <w:left w:val="nil"/>
                          <w:bottom w:val="single" w:sz="4" w:space="0" w:color="auto"/>
                          <w:right w:val="nil"/>
                        </w:tcBorders>
                        <w:shd w:val="clear" w:color="auto" w:fill="auto"/>
                        <w:noWrap/>
                        <w:vAlign w:val="center"/>
                      </w:tcPr>
                      <w:p w:rsidR="00361FCE" w:rsidRDefault="00361FCE" w:rsidP="000D176A">
                        <w:pPr>
                          <w:jc w:val="left"/>
                          <w:rPr>
                            <w:rFonts w:ascii="Arial" w:hAnsi="Arial" w:cs="Arial"/>
                            <w:color w:val="000000"/>
                            <w:sz w:val="16"/>
                            <w:szCs w:val="16"/>
                          </w:rPr>
                        </w:pPr>
                        <w:r>
                          <w:rPr>
                            <w:rFonts w:ascii="Arial" w:hAnsi="Arial" w:cs="Arial"/>
                            <w:color w:val="000000"/>
                            <w:sz w:val="16"/>
                            <w:szCs w:val="16"/>
                          </w:rPr>
                          <w:t>No declarado</w:t>
                        </w:r>
                      </w:p>
                    </w:tc>
                    <w:tc>
                      <w:tcPr>
                        <w:tcW w:w="1200" w:type="dxa"/>
                        <w:tcBorders>
                          <w:left w:val="nil"/>
                          <w:bottom w:val="single" w:sz="4"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0.133</w:t>
                        </w:r>
                      </w:p>
                    </w:tc>
                  </w:tr>
                  <w:tr w:rsidR="00361FCE" w:rsidRPr="007E0001" w:rsidTr="005A51BD">
                    <w:trPr>
                      <w:trHeight w:val="20"/>
                      <w:jc w:val="center"/>
                    </w:trPr>
                    <w:tc>
                      <w:tcPr>
                        <w:tcW w:w="1200" w:type="dxa"/>
                        <w:tcBorders>
                          <w:left w:val="nil"/>
                          <w:bottom w:val="single" w:sz="4" w:space="0" w:color="auto"/>
                          <w:right w:val="nil"/>
                        </w:tcBorders>
                        <w:shd w:val="clear" w:color="auto" w:fill="auto"/>
                        <w:noWrap/>
                        <w:vAlign w:val="center"/>
                        <w:hideMark/>
                      </w:tcPr>
                      <w:p w:rsidR="00361FCE" w:rsidRPr="007E0001" w:rsidRDefault="00361FCE" w:rsidP="000D176A">
                        <w:pPr>
                          <w:jc w:val="left"/>
                          <w:rPr>
                            <w:rFonts w:ascii="Arial" w:eastAsia="Times New Roman" w:hAnsi="Arial" w:cs="Arial"/>
                            <w:b/>
                            <w:bCs/>
                            <w:i/>
                            <w:iCs/>
                            <w:color w:val="000000"/>
                            <w:sz w:val="16"/>
                            <w:szCs w:val="16"/>
                            <w:lang w:eastAsia="es-EC"/>
                          </w:rPr>
                        </w:pPr>
                        <w:r w:rsidRPr="007E0001">
                          <w:rPr>
                            <w:rFonts w:ascii="Arial" w:eastAsia="Times New Roman" w:hAnsi="Arial" w:cs="Arial"/>
                            <w:b/>
                            <w:bCs/>
                            <w:i/>
                            <w:iCs/>
                            <w:color w:val="000000"/>
                            <w:sz w:val="16"/>
                            <w:szCs w:val="16"/>
                            <w:lang w:eastAsia="es-EC"/>
                          </w:rPr>
                          <w:t>Total</w:t>
                        </w:r>
                      </w:p>
                    </w:tc>
                    <w:tc>
                      <w:tcPr>
                        <w:tcW w:w="1200" w:type="dxa"/>
                        <w:tcBorders>
                          <w:left w:val="nil"/>
                          <w:bottom w:val="single" w:sz="4" w:space="0" w:color="auto"/>
                          <w:right w:val="nil"/>
                        </w:tcBorders>
                        <w:shd w:val="clear" w:color="auto" w:fill="auto"/>
                        <w:noWrap/>
                        <w:vAlign w:val="center"/>
                        <w:hideMark/>
                      </w:tcPr>
                      <w:p w:rsidR="00361FCE" w:rsidRPr="007E0001" w:rsidRDefault="00361FCE" w:rsidP="00902050">
                        <w:pPr>
                          <w:rPr>
                            <w:rFonts w:ascii="Arial" w:eastAsia="Times New Roman" w:hAnsi="Arial" w:cs="Arial"/>
                            <w:b/>
                            <w:bCs/>
                            <w:i/>
                            <w:iCs/>
                            <w:color w:val="000000"/>
                            <w:sz w:val="16"/>
                            <w:szCs w:val="16"/>
                            <w:lang w:eastAsia="es-EC"/>
                          </w:rPr>
                        </w:pPr>
                        <w:r w:rsidRPr="007E0001">
                          <w:rPr>
                            <w:rFonts w:ascii="Arial" w:eastAsia="Times New Roman" w:hAnsi="Arial" w:cs="Arial"/>
                            <w:b/>
                            <w:bCs/>
                            <w:i/>
                            <w:iCs/>
                            <w:color w:val="000000"/>
                            <w:sz w:val="16"/>
                            <w:szCs w:val="16"/>
                            <w:lang w:eastAsia="es-EC"/>
                          </w:rPr>
                          <w:t>1.000</w:t>
                        </w:r>
                      </w:p>
                    </w:tc>
                  </w:tr>
                </w:tbl>
                <w:p w:rsidR="00361FCE" w:rsidRDefault="00361FCE" w:rsidP="00902050">
                  <w:pPr>
                    <w:rPr>
                      <w:rFonts w:ascii="Arial" w:hAnsi="Arial" w:cs="Arial"/>
                      <w:sz w:val="24"/>
                      <w:szCs w:val="24"/>
                    </w:rPr>
                  </w:pPr>
                </w:p>
              </w:tc>
              <w:tc>
                <w:tcPr>
                  <w:tcW w:w="4599" w:type="dxa"/>
                </w:tcPr>
                <w:p w:rsidR="00361FCE" w:rsidRPr="00A22FF9" w:rsidRDefault="00361FCE" w:rsidP="00902050">
                  <w:pPr>
                    <w:rPr>
                      <w:rFonts w:ascii="Arial" w:hAnsi="Arial" w:cs="Arial"/>
                      <w:b/>
                      <w:sz w:val="16"/>
                      <w:szCs w:val="16"/>
                    </w:rPr>
                  </w:pPr>
                </w:p>
                <w:p w:rsidR="00361FCE" w:rsidRDefault="00361FCE" w:rsidP="00902050">
                  <w:pPr>
                    <w:rPr>
                      <w:rFonts w:ascii="Arial" w:hAnsi="Arial" w:cs="Arial"/>
                      <w:b/>
                      <w:sz w:val="16"/>
                      <w:szCs w:val="16"/>
                    </w:rPr>
                  </w:pPr>
                  <w:r w:rsidRPr="00A22FF9">
                    <w:rPr>
                      <w:rFonts w:ascii="Arial" w:hAnsi="Arial" w:cs="Arial"/>
                      <w:b/>
                      <w:sz w:val="16"/>
                      <w:szCs w:val="16"/>
                    </w:rPr>
                    <w:t>Histograma de Frecuencias</w:t>
                  </w:r>
                </w:p>
                <w:p w:rsidR="00361FCE" w:rsidRPr="00A22FF9" w:rsidRDefault="00361FCE" w:rsidP="00902050">
                  <w:pPr>
                    <w:rPr>
                      <w:rFonts w:ascii="Arial" w:hAnsi="Arial" w:cs="Arial"/>
                      <w:b/>
                      <w:sz w:val="16"/>
                      <w:szCs w:val="16"/>
                    </w:rPr>
                  </w:pPr>
                  <w:r>
                    <w:rPr>
                      <w:noProof/>
                      <w:lang w:eastAsia="es-EC"/>
                    </w:rPr>
                    <w:drawing>
                      <wp:inline distT="0" distB="0" distL="0" distR="0">
                        <wp:extent cx="2809875" cy="1876425"/>
                        <wp:effectExtent l="0" t="0" r="0" b="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bl>
          <w:p w:rsidR="00361FCE" w:rsidRPr="00840530" w:rsidRDefault="00361FCE" w:rsidP="00902050">
            <w:pPr>
              <w:rPr>
                <w:rFonts w:ascii="Arial" w:hAnsi="Arial" w:cs="Arial"/>
                <w:sz w:val="24"/>
                <w:szCs w:val="24"/>
              </w:rPr>
            </w:pPr>
          </w:p>
        </w:tc>
      </w:tr>
    </w:tbl>
    <w:p w:rsidR="00361FCE" w:rsidRPr="000D176A" w:rsidRDefault="00361FCE" w:rsidP="000D176A">
      <w:pPr>
        <w:pStyle w:val="Prrafodelista"/>
        <w:spacing w:line="276" w:lineRule="auto"/>
        <w:ind w:left="851"/>
        <w:jc w:val="both"/>
        <w:rPr>
          <w:rFonts w:ascii="Arial" w:hAnsi="Arial" w:cs="Arial"/>
          <w:sz w:val="17"/>
          <w:szCs w:val="17"/>
        </w:rPr>
      </w:pPr>
    </w:p>
    <w:p w:rsidR="00361FCE" w:rsidRPr="000D176A" w:rsidRDefault="00361FCE" w:rsidP="000D176A">
      <w:pPr>
        <w:pStyle w:val="Prrafodelista"/>
        <w:spacing w:line="276" w:lineRule="auto"/>
        <w:ind w:left="851"/>
        <w:jc w:val="both"/>
        <w:rPr>
          <w:rFonts w:ascii="Arial" w:hAnsi="Arial" w:cs="Arial"/>
          <w:sz w:val="17"/>
          <w:szCs w:val="17"/>
        </w:rPr>
      </w:pPr>
      <w:r w:rsidRPr="000D176A">
        <w:rPr>
          <w:rFonts w:ascii="Arial" w:hAnsi="Arial" w:cs="Arial"/>
          <w:b/>
          <w:i/>
          <w:sz w:val="17"/>
          <w:szCs w:val="17"/>
        </w:rPr>
        <w:t>Fuente:</w:t>
      </w:r>
      <w:r w:rsidRPr="000D176A">
        <w:rPr>
          <w:rFonts w:ascii="Arial" w:hAnsi="Arial" w:cs="Arial"/>
          <w:sz w:val="17"/>
          <w:szCs w:val="17"/>
        </w:rPr>
        <w:t xml:space="preserve"> </w:t>
      </w:r>
      <w:r w:rsidRPr="000D176A">
        <w:rPr>
          <w:rFonts w:ascii="Arial" w:hAnsi="Arial" w:cs="Arial"/>
          <w:b/>
          <w:sz w:val="17"/>
          <w:szCs w:val="17"/>
        </w:rPr>
        <w:t xml:space="preserve">INEC </w:t>
      </w:r>
      <w:r w:rsidRPr="000D176A">
        <w:rPr>
          <w:rFonts w:ascii="Arial" w:hAnsi="Arial" w:cs="Arial"/>
          <w:sz w:val="17"/>
          <w:szCs w:val="17"/>
        </w:rPr>
        <w:t>(2010), Base de Datos del VII Censo de Población y VI de Vivienda.</w:t>
      </w:r>
    </w:p>
    <w:p w:rsidR="00361FCE" w:rsidRPr="000D176A" w:rsidRDefault="00361FCE" w:rsidP="000D176A">
      <w:pPr>
        <w:pStyle w:val="Prrafodelista"/>
        <w:spacing w:line="276" w:lineRule="auto"/>
        <w:ind w:left="851"/>
        <w:jc w:val="both"/>
        <w:rPr>
          <w:rFonts w:ascii="Arial" w:hAnsi="Arial" w:cs="Arial"/>
          <w:sz w:val="17"/>
          <w:szCs w:val="17"/>
        </w:rPr>
      </w:pPr>
      <w:r w:rsidRPr="000D176A">
        <w:rPr>
          <w:rFonts w:ascii="Arial" w:hAnsi="Arial" w:cs="Arial"/>
          <w:b/>
          <w:i/>
          <w:sz w:val="17"/>
          <w:szCs w:val="17"/>
        </w:rPr>
        <w:t>Elaborado por:</w:t>
      </w:r>
      <w:r w:rsidRPr="000D176A">
        <w:rPr>
          <w:rFonts w:ascii="Arial" w:hAnsi="Arial" w:cs="Arial"/>
          <w:sz w:val="17"/>
          <w:szCs w:val="17"/>
        </w:rPr>
        <w:t xml:space="preserve"> Katherine Loor Valeriano</w:t>
      </w:r>
    </w:p>
    <w:p w:rsidR="000D176A" w:rsidRDefault="000D176A" w:rsidP="000D176A">
      <w:pPr>
        <w:pStyle w:val="Estilo42"/>
        <w:ind w:left="1560" w:hanging="709"/>
      </w:pPr>
      <w:bookmarkStart w:id="575" w:name="_Toc341040683"/>
      <w:r>
        <w:lastRenderedPageBreak/>
        <w:t>Género de los peruanos que residen en Ecuador</w:t>
      </w:r>
      <w:bookmarkEnd w:id="575"/>
    </w:p>
    <w:p w:rsidR="00361FCE" w:rsidRPr="001F1859" w:rsidRDefault="00361FCE" w:rsidP="000D176A">
      <w:pPr>
        <w:pStyle w:val="Prrafodelista"/>
        <w:spacing w:line="480" w:lineRule="auto"/>
        <w:ind w:left="851"/>
        <w:jc w:val="both"/>
        <w:rPr>
          <w:rFonts w:ascii="Arial" w:hAnsi="Arial" w:cs="Arial"/>
        </w:rPr>
      </w:pPr>
      <w:r>
        <w:rPr>
          <w:rFonts w:ascii="Arial" w:hAnsi="Arial" w:cs="Arial"/>
        </w:rPr>
        <w:t xml:space="preserve">Recordemos nuevamente que al 28 de noviembre de 2010, se registraron en Ecuador 15676 peruanos, de los cuales el 56.97% son hombres y el 43.03% son mujeres. Además, en la </w:t>
      </w:r>
      <w:r>
        <w:rPr>
          <w:rFonts w:ascii="Arial" w:hAnsi="Arial" w:cs="Arial"/>
          <w:i/>
        </w:rPr>
        <w:t>Figura 4.34</w:t>
      </w:r>
      <w:r>
        <w:rPr>
          <w:rFonts w:ascii="Arial" w:hAnsi="Arial" w:cs="Arial"/>
        </w:rPr>
        <w:t xml:space="preserve"> se presentan los índices de feminidad por provincia de residencia habitual de los peruanos en donde podemos observar que en la mayoría de los casos es mayor la cantidad de hombres que de mujeres, a diferencia de la población colombiana en donde el índice de feminidad tomaba valores superiores a 100 para la mayoría de las provincias; excepto en las provincias de Carchi, Galápagos y Orellana en donde la tasa de feminidad es de 107.14, 200 y 110 mujeres peruanas por cada 100 hombres de la misma nacionalidad respectivamente.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5A51BD">
        <w:trPr>
          <w:trHeight w:val="1965"/>
          <w:jc w:val="right"/>
        </w:trPr>
        <w:tc>
          <w:tcPr>
            <w:tcW w:w="7497" w:type="dxa"/>
          </w:tcPr>
          <w:p w:rsidR="00361FCE" w:rsidRPr="00840530" w:rsidRDefault="00361FCE" w:rsidP="00902050">
            <w:pPr>
              <w:rPr>
                <w:rFonts w:ascii="Arial" w:hAnsi="Arial" w:cs="Arial"/>
                <w:sz w:val="16"/>
                <w:szCs w:val="16"/>
              </w:rPr>
            </w:pPr>
          </w:p>
          <w:p w:rsidR="00B65871" w:rsidRPr="00B65871" w:rsidRDefault="00B65871" w:rsidP="00B65871">
            <w:pPr>
              <w:pStyle w:val="Epgrafe"/>
              <w:rPr>
                <w:rFonts w:ascii="Arial" w:hAnsi="Arial" w:cs="Arial"/>
                <w:bCs w:val="0"/>
                <w:color w:val="auto"/>
                <w:sz w:val="16"/>
                <w:szCs w:val="16"/>
              </w:rPr>
            </w:pPr>
            <w:bookmarkStart w:id="576" w:name="_Toc341044006"/>
            <w:r>
              <w:rPr>
                <w:rFonts w:ascii="Arial" w:hAnsi="Arial" w:cs="Arial"/>
                <w:bCs w:val="0"/>
                <w:color w:val="auto"/>
                <w:sz w:val="16"/>
                <w:szCs w:val="16"/>
              </w:rPr>
              <w:t>Figura 4.</w:t>
            </w:r>
            <w:r w:rsidR="00990535" w:rsidRPr="00B65871">
              <w:rPr>
                <w:rFonts w:ascii="Arial" w:hAnsi="Arial" w:cs="Arial"/>
                <w:bCs w:val="0"/>
                <w:color w:val="auto"/>
                <w:sz w:val="16"/>
                <w:szCs w:val="16"/>
              </w:rPr>
              <w:fldChar w:fldCharType="begin"/>
            </w:r>
            <w:r w:rsidRPr="00B65871">
              <w:rPr>
                <w:rFonts w:ascii="Arial" w:hAnsi="Arial" w:cs="Arial"/>
                <w:bCs w:val="0"/>
                <w:color w:val="auto"/>
                <w:sz w:val="16"/>
                <w:szCs w:val="16"/>
              </w:rPr>
              <w:instrText xml:space="preserve"> SEQ Figura_4. \* ARABIC </w:instrText>
            </w:r>
            <w:r w:rsidR="00990535" w:rsidRPr="00B65871">
              <w:rPr>
                <w:rFonts w:ascii="Arial" w:hAnsi="Arial" w:cs="Arial"/>
                <w:bCs w:val="0"/>
                <w:color w:val="auto"/>
                <w:sz w:val="16"/>
                <w:szCs w:val="16"/>
              </w:rPr>
              <w:fldChar w:fldCharType="separate"/>
            </w:r>
            <w:r w:rsidR="00A242E0">
              <w:rPr>
                <w:rFonts w:ascii="Arial" w:hAnsi="Arial" w:cs="Arial"/>
                <w:bCs w:val="0"/>
                <w:noProof/>
                <w:color w:val="auto"/>
                <w:sz w:val="16"/>
                <w:szCs w:val="16"/>
              </w:rPr>
              <w:t>34</w:t>
            </w:r>
            <w:bookmarkEnd w:id="576"/>
            <w:r w:rsidR="00990535" w:rsidRPr="00B65871">
              <w:rPr>
                <w:rFonts w:ascii="Arial" w:hAnsi="Arial" w:cs="Arial"/>
                <w:bCs w:val="0"/>
                <w:color w:val="auto"/>
                <w:sz w:val="16"/>
                <w:szCs w:val="16"/>
              </w:rPr>
              <w:fldChar w:fldCharType="end"/>
            </w:r>
          </w:p>
          <w:p w:rsidR="005A51BD" w:rsidRDefault="005A51BD" w:rsidP="005A51BD">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Índice de Feminidad de los </w:t>
            </w:r>
            <w:r>
              <w:rPr>
                <w:rFonts w:ascii="Arial" w:hAnsi="Arial" w:cs="Arial"/>
                <w:b/>
                <w:i/>
                <w:sz w:val="16"/>
                <w:szCs w:val="16"/>
              </w:rPr>
              <w:t>peruanos</w:t>
            </w:r>
            <w:r>
              <w:rPr>
                <w:rFonts w:ascii="Arial" w:hAnsi="Arial" w:cs="Arial"/>
                <w:i/>
                <w:sz w:val="16"/>
                <w:szCs w:val="16"/>
              </w:rPr>
              <w:t xml:space="preserve"> por Provincia de residencia habitual</w:t>
            </w:r>
          </w:p>
          <w:p w:rsidR="00361FCE" w:rsidRPr="00660711" w:rsidRDefault="00361FCE" w:rsidP="00902050">
            <w:pPr>
              <w:rPr>
                <w:rFonts w:ascii="Arial" w:hAnsi="Arial" w:cs="Arial"/>
                <w:i/>
                <w:sz w:val="16"/>
                <w:szCs w:val="16"/>
              </w:rPr>
            </w:pPr>
            <w:r>
              <w:rPr>
                <w:noProof/>
                <w:lang w:eastAsia="es-EC"/>
              </w:rPr>
              <w:drawing>
                <wp:inline distT="0" distB="0" distL="0" distR="0">
                  <wp:extent cx="4619625" cy="2268000"/>
                  <wp:effectExtent l="0" t="0" r="0" b="0"/>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r>
    </w:tbl>
    <w:p w:rsidR="00361FCE" w:rsidRPr="005A51BD" w:rsidRDefault="00361FCE" w:rsidP="005A51BD">
      <w:pPr>
        <w:pStyle w:val="Prrafodelista"/>
        <w:spacing w:line="276" w:lineRule="auto"/>
        <w:ind w:left="851"/>
        <w:jc w:val="both"/>
        <w:rPr>
          <w:rFonts w:ascii="Arial" w:hAnsi="Arial" w:cs="Arial"/>
          <w:sz w:val="17"/>
          <w:szCs w:val="17"/>
        </w:rPr>
      </w:pPr>
    </w:p>
    <w:p w:rsidR="00361FCE" w:rsidRPr="005A51BD" w:rsidRDefault="00361FCE" w:rsidP="005A51BD">
      <w:pPr>
        <w:pStyle w:val="Prrafodelista"/>
        <w:spacing w:line="276" w:lineRule="auto"/>
        <w:ind w:left="851"/>
        <w:jc w:val="both"/>
        <w:rPr>
          <w:rFonts w:ascii="Arial" w:hAnsi="Arial" w:cs="Arial"/>
          <w:sz w:val="17"/>
          <w:szCs w:val="17"/>
        </w:rPr>
      </w:pPr>
      <w:r w:rsidRPr="005A51BD">
        <w:rPr>
          <w:rFonts w:ascii="Arial" w:hAnsi="Arial" w:cs="Arial"/>
          <w:b/>
          <w:i/>
          <w:sz w:val="17"/>
          <w:szCs w:val="17"/>
        </w:rPr>
        <w:t>Fuente:</w:t>
      </w:r>
      <w:r w:rsidRPr="005A51BD">
        <w:rPr>
          <w:rFonts w:ascii="Arial" w:hAnsi="Arial" w:cs="Arial"/>
          <w:sz w:val="17"/>
          <w:szCs w:val="17"/>
        </w:rPr>
        <w:t xml:space="preserve"> </w:t>
      </w:r>
      <w:r w:rsidRPr="005A51BD">
        <w:rPr>
          <w:rFonts w:ascii="Arial" w:hAnsi="Arial" w:cs="Arial"/>
          <w:b/>
          <w:sz w:val="17"/>
          <w:szCs w:val="17"/>
        </w:rPr>
        <w:t xml:space="preserve">INEC </w:t>
      </w:r>
      <w:r w:rsidRPr="005A51BD">
        <w:rPr>
          <w:rFonts w:ascii="Arial" w:hAnsi="Arial" w:cs="Arial"/>
          <w:sz w:val="17"/>
          <w:szCs w:val="17"/>
        </w:rPr>
        <w:t>(2010), Base de Datos del VII Censo de Población y VI de Vivienda.</w:t>
      </w:r>
    </w:p>
    <w:p w:rsidR="00361FCE" w:rsidRPr="005A51BD" w:rsidRDefault="00361FCE" w:rsidP="005A51BD">
      <w:pPr>
        <w:pStyle w:val="Prrafodelista"/>
        <w:spacing w:line="276" w:lineRule="auto"/>
        <w:ind w:left="851"/>
        <w:jc w:val="both"/>
        <w:rPr>
          <w:rFonts w:ascii="Arial" w:hAnsi="Arial" w:cs="Arial"/>
          <w:sz w:val="17"/>
          <w:szCs w:val="17"/>
        </w:rPr>
      </w:pPr>
      <w:r w:rsidRPr="005A51BD">
        <w:rPr>
          <w:rFonts w:ascii="Arial" w:hAnsi="Arial" w:cs="Arial"/>
          <w:b/>
          <w:i/>
          <w:sz w:val="17"/>
          <w:szCs w:val="17"/>
        </w:rPr>
        <w:t>Elaborado por:</w:t>
      </w:r>
      <w:r w:rsidRPr="005A51BD">
        <w:rPr>
          <w:rFonts w:ascii="Arial" w:hAnsi="Arial" w:cs="Arial"/>
          <w:sz w:val="17"/>
          <w:szCs w:val="17"/>
        </w:rPr>
        <w:t xml:space="preserve"> Katherine Loor Valeriano</w:t>
      </w:r>
    </w:p>
    <w:p w:rsidR="007C5B78" w:rsidRDefault="007C5B78" w:rsidP="005A51BD">
      <w:pPr>
        <w:pStyle w:val="Prrafodelista"/>
        <w:spacing w:line="480" w:lineRule="auto"/>
        <w:ind w:left="851"/>
        <w:jc w:val="both"/>
        <w:rPr>
          <w:rFonts w:ascii="Arial" w:hAnsi="Arial" w:cs="Arial"/>
        </w:rPr>
      </w:pPr>
    </w:p>
    <w:p w:rsidR="005A51BD" w:rsidRDefault="005A51BD" w:rsidP="005A51BD">
      <w:pPr>
        <w:pStyle w:val="Prrafodelista"/>
        <w:spacing w:line="480" w:lineRule="auto"/>
        <w:ind w:left="851"/>
        <w:jc w:val="both"/>
        <w:rPr>
          <w:rFonts w:ascii="Arial" w:hAnsi="Arial" w:cs="Arial"/>
        </w:rPr>
      </w:pPr>
      <w:r>
        <w:rPr>
          <w:rFonts w:ascii="Arial" w:hAnsi="Arial" w:cs="Arial"/>
        </w:rPr>
        <w:t xml:space="preserve">De los peruanos que residen en Cañar, se tiene que hay 40.83 mujeres por cada 100 hombres de la misma nacionalidad; hay 54.13 mujeres por cada </w:t>
      </w:r>
      <w:r>
        <w:rPr>
          <w:rFonts w:ascii="Arial" w:hAnsi="Arial" w:cs="Arial"/>
        </w:rPr>
        <w:lastRenderedPageBreak/>
        <w:t xml:space="preserve">100 peruanos que residen en Santo Domingo, en Imbabura hay 50 peruanas por cada 100 hombres de esta nacionalidad; y, en Cotopaxi y Chimborazo hay 65.08 y 62.50 peruanas por cada 100 peruanos que residen en cada una de las provincias respectivamente. Cabe también mencionar que en Pastaza hay la misma cantidad de hombres que de mujeres de nacionalidad peruana. </w:t>
      </w:r>
      <w:r>
        <w:rPr>
          <w:rFonts w:ascii="Arial" w:hAnsi="Arial" w:cs="Arial"/>
          <w:i/>
        </w:rPr>
        <w:t>Véase Figura 4.34.</w:t>
      </w:r>
      <w:r>
        <w:rPr>
          <w:rFonts w:ascii="Arial" w:hAnsi="Arial" w:cs="Arial"/>
        </w:rPr>
        <w:t xml:space="preserve"> </w:t>
      </w:r>
    </w:p>
    <w:p w:rsidR="005A51BD" w:rsidRPr="005A51BD" w:rsidRDefault="005A51BD" w:rsidP="005A51BD">
      <w:pPr>
        <w:pStyle w:val="Prrafodelista"/>
        <w:spacing w:line="480" w:lineRule="auto"/>
        <w:ind w:left="851"/>
        <w:jc w:val="both"/>
        <w:rPr>
          <w:rFonts w:ascii="Arial" w:hAnsi="Arial" w:cs="Arial"/>
        </w:rPr>
      </w:pPr>
    </w:p>
    <w:p w:rsidR="005A51BD" w:rsidRDefault="005A51BD" w:rsidP="005A51BD">
      <w:pPr>
        <w:pStyle w:val="Estilo42"/>
        <w:ind w:left="1560" w:hanging="709"/>
      </w:pPr>
      <w:bookmarkStart w:id="577" w:name="_Toc341040684"/>
      <w:r>
        <w:t>Edad de los peruanos que residen en Ecuador</w:t>
      </w:r>
      <w:bookmarkEnd w:id="577"/>
    </w:p>
    <w:p w:rsidR="00361FCE" w:rsidRPr="00A16A15" w:rsidRDefault="00361FCE" w:rsidP="007C5B78">
      <w:pPr>
        <w:pStyle w:val="Prrafodelista"/>
        <w:tabs>
          <w:tab w:val="left" w:pos="4253"/>
        </w:tabs>
        <w:spacing w:line="480" w:lineRule="auto"/>
        <w:ind w:left="851"/>
        <w:jc w:val="both"/>
        <w:rPr>
          <w:rFonts w:ascii="MingLiU" w:eastAsia="MingLiU" w:hAnsi="MingLiU" w:cs="MingLiU"/>
        </w:rPr>
      </w:pPr>
      <w:r>
        <w:rPr>
          <w:rFonts w:ascii="Arial" w:hAnsi="Arial" w:cs="Arial"/>
        </w:rPr>
        <w:t xml:space="preserve">De los 15676 peruanos que residían en Ecuador al 28 de noviembre de 2012, la edad promedio es de 30.906 ± 0.120, a diferencia de la población colombiana total cuya edad promedio era mayor; la edad que </w:t>
      </w:r>
      <w:r w:rsidR="007433CE">
        <w:rPr>
          <w:rFonts w:ascii="Arial" w:hAnsi="Arial" w:cs="Arial"/>
        </w:rPr>
        <w:t>más</w:t>
      </w:r>
      <w:r>
        <w:rPr>
          <w:rFonts w:ascii="Arial" w:hAnsi="Arial" w:cs="Arial"/>
        </w:rPr>
        <w:t xml:space="preserve"> se repite, también conocida como Moda es 25 años, la edad mínima es 0 y la máxima 106 años, que para la población colombiana era 111 años. Además, se tiene que el 25% de los colombianos son menores de 22 años, el 50% son menores de 29 años y el 75% tienen edades inferiores a los 40 años. </w:t>
      </w:r>
      <w:r>
        <w:rPr>
          <w:rFonts w:ascii="Arial" w:hAnsi="Arial" w:cs="Arial"/>
          <w:i/>
        </w:rPr>
        <w:t>Véase Tabla 2.</w:t>
      </w:r>
      <w:r w:rsidR="005A51BD">
        <w:rPr>
          <w:rFonts w:ascii="Arial" w:hAnsi="Arial" w:cs="Arial"/>
          <w:i/>
        </w:rPr>
        <w:t xml:space="preserve"> </w:t>
      </w:r>
      <w:r>
        <w:rPr>
          <w:rFonts w:ascii="Arial" w:hAnsi="Arial" w:cs="Arial"/>
        </w:rPr>
        <w:t xml:space="preserve">Si ahora realizamos una diferenciación por cada género tenemos que del total de hombres de nacionalidad peruana que residen en el país, la edad promedio es de 31.596 ± 0.159 años, la edad que más se repite es 25 años, el mínimo es 0 y el máximo 106 años; y, el 50% de la población peruana masculina es menor a 40 años. </w:t>
      </w:r>
      <w:r w:rsidR="007C5B78">
        <w:rPr>
          <w:rFonts w:ascii="Arial" w:hAnsi="Arial" w:cs="Arial"/>
        </w:rPr>
        <w:t>P</w:t>
      </w:r>
      <w:r>
        <w:rPr>
          <w:rFonts w:ascii="Arial" w:hAnsi="Arial" w:cs="Arial"/>
        </w:rPr>
        <w:t>ara el caso de las mujeres de la misma na</w:t>
      </w:r>
      <w:r w:rsidR="00D2679F">
        <w:rPr>
          <w:rFonts w:ascii="Arial" w:hAnsi="Arial" w:cs="Arial"/>
        </w:rPr>
        <w:t>cionalidad, la edad promedio es</w:t>
      </w:r>
      <w:r w:rsidR="007C5B78">
        <w:rPr>
          <w:rFonts w:ascii="Arial" w:hAnsi="Arial" w:cs="Arial"/>
        </w:rPr>
        <w:t xml:space="preserve"> </w:t>
      </w:r>
      <w:r>
        <w:rPr>
          <w:rFonts w:ascii="Arial" w:hAnsi="Arial" w:cs="Arial"/>
        </w:rPr>
        <w:t>29.992 ± 0.185</w:t>
      </w:r>
      <w:r w:rsidR="00D2679F">
        <w:rPr>
          <w:rFonts w:ascii="Arial" w:hAnsi="Arial" w:cs="Arial"/>
        </w:rPr>
        <w:t xml:space="preserve"> años</w:t>
      </w:r>
      <w:r>
        <w:rPr>
          <w:rFonts w:ascii="Arial" w:hAnsi="Arial" w:cs="Arial"/>
        </w:rPr>
        <w:t>, la moda es 24 años, la edad máxima es 99 años; y, el 50% de la población en menor a 21 años.</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5A51BD">
        <w:trPr>
          <w:trHeight w:val="3288"/>
          <w:jc w:val="right"/>
        </w:trPr>
        <w:tc>
          <w:tcPr>
            <w:tcW w:w="7497" w:type="dxa"/>
          </w:tcPr>
          <w:p w:rsidR="00361FCE" w:rsidRPr="00840530" w:rsidRDefault="00361FCE" w:rsidP="00902050">
            <w:pPr>
              <w:rPr>
                <w:rFonts w:ascii="Arial" w:hAnsi="Arial" w:cs="Arial"/>
                <w:sz w:val="16"/>
                <w:szCs w:val="16"/>
              </w:rPr>
            </w:pPr>
          </w:p>
          <w:p w:rsidR="00B65871" w:rsidRPr="00B65871" w:rsidRDefault="00B65871" w:rsidP="00B65871">
            <w:pPr>
              <w:pStyle w:val="Epgrafe"/>
              <w:rPr>
                <w:rFonts w:ascii="Arial" w:hAnsi="Arial" w:cs="Arial"/>
                <w:bCs w:val="0"/>
                <w:color w:val="auto"/>
                <w:sz w:val="16"/>
                <w:szCs w:val="16"/>
              </w:rPr>
            </w:pPr>
            <w:bookmarkStart w:id="578" w:name="_Toc341042056"/>
            <w:r>
              <w:rPr>
                <w:rFonts w:ascii="Arial" w:hAnsi="Arial" w:cs="Arial"/>
                <w:bCs w:val="0"/>
                <w:color w:val="auto"/>
                <w:sz w:val="16"/>
                <w:szCs w:val="16"/>
              </w:rPr>
              <w:t>Tabla 4.</w:t>
            </w:r>
            <w:r w:rsidR="00990535" w:rsidRPr="00B65871">
              <w:rPr>
                <w:rFonts w:ascii="Arial" w:hAnsi="Arial" w:cs="Arial"/>
                <w:bCs w:val="0"/>
                <w:color w:val="auto"/>
                <w:sz w:val="16"/>
                <w:szCs w:val="16"/>
              </w:rPr>
              <w:fldChar w:fldCharType="begin"/>
            </w:r>
            <w:r w:rsidRPr="00B65871">
              <w:rPr>
                <w:rFonts w:ascii="Arial" w:hAnsi="Arial" w:cs="Arial"/>
                <w:bCs w:val="0"/>
                <w:color w:val="auto"/>
                <w:sz w:val="16"/>
                <w:szCs w:val="16"/>
              </w:rPr>
              <w:instrText xml:space="preserve"> SEQ Tabla_4. \* ARABIC </w:instrText>
            </w:r>
            <w:r w:rsidR="00990535" w:rsidRPr="00B65871">
              <w:rPr>
                <w:rFonts w:ascii="Arial" w:hAnsi="Arial" w:cs="Arial"/>
                <w:bCs w:val="0"/>
                <w:color w:val="auto"/>
                <w:sz w:val="16"/>
                <w:szCs w:val="16"/>
              </w:rPr>
              <w:fldChar w:fldCharType="separate"/>
            </w:r>
            <w:r w:rsidR="00A242E0">
              <w:rPr>
                <w:rFonts w:ascii="Arial" w:hAnsi="Arial" w:cs="Arial"/>
                <w:bCs w:val="0"/>
                <w:noProof/>
                <w:color w:val="auto"/>
                <w:sz w:val="16"/>
                <w:szCs w:val="16"/>
              </w:rPr>
              <w:t>2</w:t>
            </w:r>
            <w:bookmarkEnd w:id="578"/>
            <w:r w:rsidR="00990535" w:rsidRPr="00B65871">
              <w:rPr>
                <w:rFonts w:ascii="Arial" w:hAnsi="Arial" w:cs="Arial"/>
                <w:bCs w:val="0"/>
                <w:color w:val="auto"/>
                <w:sz w:val="16"/>
                <w:szCs w:val="16"/>
              </w:rPr>
              <w:fldChar w:fldCharType="end"/>
            </w:r>
          </w:p>
          <w:p w:rsidR="005A51BD" w:rsidRDefault="005A51BD" w:rsidP="005A51BD">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Estadísticas Descriptivas de la Edad de los </w:t>
            </w:r>
            <w:r>
              <w:rPr>
                <w:rFonts w:ascii="Arial" w:hAnsi="Arial" w:cs="Arial"/>
                <w:b/>
                <w:i/>
                <w:sz w:val="16"/>
                <w:szCs w:val="16"/>
              </w:rPr>
              <w:t>peruanos</w:t>
            </w:r>
            <w:r>
              <w:rPr>
                <w:rFonts w:ascii="Arial" w:hAnsi="Arial" w:cs="Arial"/>
                <w:i/>
                <w:sz w:val="16"/>
                <w:szCs w:val="16"/>
              </w:rPr>
              <w:t xml:space="preserve"> residentes en Ecuador</w:t>
            </w:r>
          </w:p>
          <w:p w:rsidR="00361FCE" w:rsidRPr="005A51BD" w:rsidRDefault="00361FCE" w:rsidP="00902050">
            <w:pPr>
              <w:rPr>
                <w:rFonts w:ascii="Arial" w:hAnsi="Arial" w:cs="Arial"/>
                <w:i/>
                <w:sz w:val="10"/>
                <w:szCs w:val="10"/>
              </w:rPr>
            </w:pPr>
          </w:p>
          <w:p w:rsidR="00361FCE" w:rsidRPr="001966F1" w:rsidRDefault="00361FCE" w:rsidP="00902050">
            <w:pPr>
              <w:rPr>
                <w:rFonts w:ascii="Arial" w:hAnsi="Arial" w:cs="Arial"/>
                <w:sz w:val="16"/>
                <w:szCs w:val="16"/>
              </w:rPr>
            </w:pPr>
            <w:r w:rsidRPr="001966F1">
              <w:rPr>
                <w:rFonts w:ascii="Arial" w:hAnsi="Arial" w:cs="Arial"/>
                <w:sz w:val="16"/>
                <w:szCs w:val="16"/>
              </w:rPr>
              <w:t>“</w:t>
            </w:r>
            <w:r w:rsidRPr="001966F1">
              <w:rPr>
                <w:rFonts w:ascii="Arial" w:hAnsi="Arial" w:cs="Arial"/>
                <w:b/>
                <w:sz w:val="16"/>
                <w:szCs w:val="16"/>
              </w:rPr>
              <w:t xml:space="preserve">Todos los </w:t>
            </w:r>
            <w:r>
              <w:rPr>
                <w:rFonts w:ascii="Arial" w:hAnsi="Arial" w:cs="Arial"/>
                <w:b/>
                <w:sz w:val="16"/>
                <w:szCs w:val="16"/>
              </w:rPr>
              <w:t>peruanos</w:t>
            </w:r>
            <w:r w:rsidRPr="001966F1">
              <w:rPr>
                <w:rFonts w:ascii="Arial" w:hAnsi="Arial" w:cs="Arial"/>
                <w:sz w:val="16"/>
                <w:szCs w:val="16"/>
              </w:rPr>
              <w:t xml:space="preserve"> residentes en Ecuador”</w:t>
            </w:r>
          </w:p>
          <w:tbl>
            <w:tblPr>
              <w:tblW w:w="7314" w:type="dxa"/>
              <w:jc w:val="center"/>
              <w:tblCellMar>
                <w:left w:w="70" w:type="dxa"/>
                <w:right w:w="70" w:type="dxa"/>
              </w:tblCellMar>
              <w:tblLook w:val="04A0" w:firstRow="1" w:lastRow="0" w:firstColumn="1" w:lastColumn="0" w:noHBand="0" w:noVBand="1"/>
            </w:tblPr>
            <w:tblGrid>
              <w:gridCol w:w="794"/>
              <w:gridCol w:w="1191"/>
              <w:gridCol w:w="680"/>
              <w:gridCol w:w="964"/>
              <w:gridCol w:w="737"/>
              <w:gridCol w:w="737"/>
              <w:gridCol w:w="737"/>
              <w:gridCol w:w="737"/>
              <w:gridCol w:w="737"/>
            </w:tblGrid>
            <w:tr w:rsidR="00361FCE" w:rsidRPr="00AF20E2" w:rsidTr="00B65871">
              <w:trPr>
                <w:trHeight w:val="20"/>
                <w:jc w:val="center"/>
              </w:trPr>
              <w:tc>
                <w:tcPr>
                  <w:tcW w:w="79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w:t>
                  </w:r>
                </w:p>
              </w:tc>
              <w:tc>
                <w:tcPr>
                  <w:tcW w:w="1191"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Error estándar de la media</w:t>
                  </w:r>
                </w:p>
              </w:tc>
              <w:tc>
                <w:tcPr>
                  <w:tcW w:w="680"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Moda</w:t>
                  </w:r>
                </w:p>
              </w:tc>
              <w:tc>
                <w:tcPr>
                  <w:tcW w:w="96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Desviación estándar</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Mínimo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Máximo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1</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3</w:t>
                  </w:r>
                </w:p>
              </w:tc>
            </w:tr>
            <w:tr w:rsidR="00361FCE" w:rsidRPr="00AF20E2" w:rsidTr="00B65871">
              <w:trPr>
                <w:trHeight w:val="20"/>
                <w:jc w:val="center"/>
              </w:trPr>
              <w:tc>
                <w:tcPr>
                  <w:tcW w:w="794"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30.906</w:t>
                  </w:r>
                </w:p>
              </w:tc>
              <w:tc>
                <w:tcPr>
                  <w:tcW w:w="1191"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0.120</w:t>
                  </w:r>
                </w:p>
              </w:tc>
              <w:tc>
                <w:tcPr>
                  <w:tcW w:w="680"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25</w:t>
                  </w:r>
                </w:p>
              </w:tc>
              <w:tc>
                <w:tcPr>
                  <w:tcW w:w="964"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15.086</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106</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22</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29</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40</w:t>
                  </w:r>
                </w:p>
              </w:tc>
            </w:tr>
          </w:tbl>
          <w:p w:rsidR="00361FCE" w:rsidRPr="005A51BD" w:rsidRDefault="00361FCE" w:rsidP="00902050">
            <w:pPr>
              <w:rPr>
                <w:rFonts w:ascii="Arial" w:hAnsi="Arial" w:cs="Arial"/>
                <w:i/>
                <w:sz w:val="10"/>
                <w:szCs w:val="10"/>
              </w:rPr>
            </w:pPr>
          </w:p>
          <w:p w:rsidR="00361FCE" w:rsidRPr="001966F1" w:rsidRDefault="00361FCE" w:rsidP="00902050">
            <w:pPr>
              <w:rPr>
                <w:rFonts w:ascii="Arial" w:hAnsi="Arial" w:cs="Arial"/>
                <w:sz w:val="16"/>
                <w:szCs w:val="16"/>
              </w:rPr>
            </w:pPr>
            <w:r w:rsidRPr="001966F1">
              <w:rPr>
                <w:rFonts w:ascii="Arial" w:hAnsi="Arial" w:cs="Arial"/>
                <w:sz w:val="16"/>
                <w:szCs w:val="16"/>
              </w:rPr>
              <w:t>“</w:t>
            </w:r>
            <w:r>
              <w:rPr>
                <w:rFonts w:ascii="Arial" w:hAnsi="Arial" w:cs="Arial"/>
                <w:b/>
                <w:sz w:val="16"/>
                <w:szCs w:val="16"/>
              </w:rPr>
              <w:t>Peruanos</w:t>
            </w:r>
            <w:r w:rsidRPr="001966F1">
              <w:rPr>
                <w:rFonts w:ascii="Arial" w:hAnsi="Arial" w:cs="Arial"/>
                <w:sz w:val="16"/>
                <w:szCs w:val="16"/>
              </w:rPr>
              <w:t xml:space="preserve"> de género </w:t>
            </w:r>
            <w:r w:rsidRPr="001966F1">
              <w:rPr>
                <w:rFonts w:ascii="Arial" w:hAnsi="Arial" w:cs="Arial"/>
                <w:b/>
                <w:sz w:val="16"/>
                <w:szCs w:val="16"/>
              </w:rPr>
              <w:t>Masculino</w:t>
            </w:r>
            <w:r w:rsidRPr="001966F1">
              <w:rPr>
                <w:rFonts w:ascii="Arial" w:hAnsi="Arial" w:cs="Arial"/>
                <w:sz w:val="16"/>
                <w:szCs w:val="16"/>
              </w:rPr>
              <w:t xml:space="preserve"> residentes en Ecuador”</w:t>
            </w:r>
          </w:p>
          <w:tbl>
            <w:tblPr>
              <w:tblW w:w="7314" w:type="dxa"/>
              <w:jc w:val="center"/>
              <w:tblCellMar>
                <w:left w:w="70" w:type="dxa"/>
                <w:right w:w="70" w:type="dxa"/>
              </w:tblCellMar>
              <w:tblLook w:val="04A0" w:firstRow="1" w:lastRow="0" w:firstColumn="1" w:lastColumn="0" w:noHBand="0" w:noVBand="1"/>
            </w:tblPr>
            <w:tblGrid>
              <w:gridCol w:w="794"/>
              <w:gridCol w:w="1191"/>
              <w:gridCol w:w="680"/>
              <w:gridCol w:w="964"/>
              <w:gridCol w:w="737"/>
              <w:gridCol w:w="737"/>
              <w:gridCol w:w="737"/>
              <w:gridCol w:w="737"/>
              <w:gridCol w:w="737"/>
            </w:tblGrid>
            <w:tr w:rsidR="00361FCE" w:rsidRPr="00AF20E2" w:rsidTr="00B65871">
              <w:trPr>
                <w:trHeight w:val="20"/>
                <w:jc w:val="center"/>
              </w:trPr>
              <w:tc>
                <w:tcPr>
                  <w:tcW w:w="79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w:t>
                  </w:r>
                </w:p>
              </w:tc>
              <w:tc>
                <w:tcPr>
                  <w:tcW w:w="1191"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Error estándar de la media</w:t>
                  </w:r>
                </w:p>
              </w:tc>
              <w:tc>
                <w:tcPr>
                  <w:tcW w:w="680"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Moda</w:t>
                  </w:r>
                </w:p>
              </w:tc>
              <w:tc>
                <w:tcPr>
                  <w:tcW w:w="96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Desviación estándar</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Mínimo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Máximo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1</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3</w:t>
                  </w:r>
                </w:p>
              </w:tc>
            </w:tr>
            <w:tr w:rsidR="00361FCE" w:rsidRPr="00AF20E2" w:rsidTr="00B65871">
              <w:trPr>
                <w:trHeight w:val="20"/>
                <w:jc w:val="center"/>
              </w:trPr>
              <w:tc>
                <w:tcPr>
                  <w:tcW w:w="794"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31.596</w:t>
                  </w:r>
                </w:p>
              </w:tc>
              <w:tc>
                <w:tcPr>
                  <w:tcW w:w="1191"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0.159</w:t>
                  </w:r>
                </w:p>
              </w:tc>
              <w:tc>
                <w:tcPr>
                  <w:tcW w:w="680"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25</w:t>
                  </w:r>
                </w:p>
              </w:tc>
              <w:tc>
                <w:tcPr>
                  <w:tcW w:w="964"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14.980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106</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22</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30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40</w:t>
                  </w:r>
                </w:p>
              </w:tc>
            </w:tr>
          </w:tbl>
          <w:p w:rsidR="00361FCE" w:rsidRPr="005A51BD" w:rsidRDefault="00361FCE" w:rsidP="00902050">
            <w:pPr>
              <w:rPr>
                <w:rFonts w:ascii="Arial" w:hAnsi="Arial" w:cs="Arial"/>
                <w:i/>
                <w:sz w:val="10"/>
                <w:szCs w:val="10"/>
              </w:rPr>
            </w:pPr>
          </w:p>
          <w:p w:rsidR="00361FCE" w:rsidRPr="001966F1" w:rsidRDefault="00361FCE" w:rsidP="00902050">
            <w:pPr>
              <w:rPr>
                <w:rFonts w:ascii="Arial" w:hAnsi="Arial" w:cs="Arial"/>
                <w:sz w:val="16"/>
                <w:szCs w:val="16"/>
              </w:rPr>
            </w:pPr>
            <w:r w:rsidRPr="001966F1">
              <w:rPr>
                <w:rFonts w:ascii="Arial" w:hAnsi="Arial" w:cs="Arial"/>
                <w:sz w:val="16"/>
                <w:szCs w:val="16"/>
              </w:rPr>
              <w:t>“</w:t>
            </w:r>
            <w:r>
              <w:rPr>
                <w:rFonts w:ascii="Arial" w:hAnsi="Arial" w:cs="Arial"/>
                <w:b/>
                <w:sz w:val="16"/>
                <w:szCs w:val="16"/>
              </w:rPr>
              <w:t>Peruanos</w:t>
            </w:r>
            <w:r>
              <w:rPr>
                <w:rFonts w:ascii="Arial" w:hAnsi="Arial" w:cs="Arial"/>
                <w:sz w:val="16"/>
                <w:szCs w:val="16"/>
              </w:rPr>
              <w:t xml:space="preserve"> de género </w:t>
            </w:r>
            <w:r w:rsidRPr="001966F1">
              <w:rPr>
                <w:rFonts w:ascii="Arial" w:hAnsi="Arial" w:cs="Arial"/>
                <w:b/>
                <w:sz w:val="16"/>
                <w:szCs w:val="16"/>
              </w:rPr>
              <w:t>Femenino</w:t>
            </w:r>
            <w:r w:rsidRPr="001966F1">
              <w:rPr>
                <w:rFonts w:ascii="Arial" w:hAnsi="Arial" w:cs="Arial"/>
                <w:sz w:val="16"/>
                <w:szCs w:val="16"/>
              </w:rPr>
              <w:t xml:space="preserve"> residentes en Ecuador”</w:t>
            </w:r>
          </w:p>
          <w:tbl>
            <w:tblPr>
              <w:tblW w:w="7314" w:type="dxa"/>
              <w:jc w:val="center"/>
              <w:tblCellMar>
                <w:left w:w="70" w:type="dxa"/>
                <w:right w:w="70" w:type="dxa"/>
              </w:tblCellMar>
              <w:tblLook w:val="04A0" w:firstRow="1" w:lastRow="0" w:firstColumn="1" w:lastColumn="0" w:noHBand="0" w:noVBand="1"/>
            </w:tblPr>
            <w:tblGrid>
              <w:gridCol w:w="794"/>
              <w:gridCol w:w="1191"/>
              <w:gridCol w:w="680"/>
              <w:gridCol w:w="964"/>
              <w:gridCol w:w="737"/>
              <w:gridCol w:w="737"/>
              <w:gridCol w:w="737"/>
              <w:gridCol w:w="737"/>
              <w:gridCol w:w="737"/>
            </w:tblGrid>
            <w:tr w:rsidR="00361FCE" w:rsidRPr="00AF20E2" w:rsidTr="00B65871">
              <w:trPr>
                <w:trHeight w:val="20"/>
                <w:jc w:val="center"/>
              </w:trPr>
              <w:tc>
                <w:tcPr>
                  <w:tcW w:w="79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w:t>
                  </w:r>
                </w:p>
              </w:tc>
              <w:tc>
                <w:tcPr>
                  <w:tcW w:w="1191"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Error estándar de la media</w:t>
                  </w:r>
                </w:p>
              </w:tc>
              <w:tc>
                <w:tcPr>
                  <w:tcW w:w="680"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Moda</w:t>
                  </w:r>
                </w:p>
              </w:tc>
              <w:tc>
                <w:tcPr>
                  <w:tcW w:w="96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Desviación estándar</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Mínimo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Máximo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1</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3</w:t>
                  </w:r>
                </w:p>
              </w:tc>
            </w:tr>
            <w:tr w:rsidR="00361FCE" w:rsidRPr="00AF20E2" w:rsidTr="00B65871">
              <w:trPr>
                <w:trHeight w:val="20"/>
                <w:jc w:val="center"/>
              </w:trPr>
              <w:tc>
                <w:tcPr>
                  <w:tcW w:w="794"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29.992</w:t>
                  </w:r>
                </w:p>
              </w:tc>
              <w:tc>
                <w:tcPr>
                  <w:tcW w:w="1191"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0.185</w:t>
                  </w:r>
                </w:p>
              </w:tc>
              <w:tc>
                <w:tcPr>
                  <w:tcW w:w="680"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24</w:t>
                  </w:r>
                </w:p>
              </w:tc>
              <w:tc>
                <w:tcPr>
                  <w:tcW w:w="964"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15.179</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99</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21</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28</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39</w:t>
                  </w:r>
                </w:p>
              </w:tc>
            </w:tr>
          </w:tbl>
          <w:p w:rsidR="00361FCE" w:rsidRPr="00BF74AD" w:rsidRDefault="00361FCE" w:rsidP="00902050">
            <w:pPr>
              <w:rPr>
                <w:rFonts w:ascii="Arial" w:hAnsi="Arial" w:cs="Arial"/>
                <w:i/>
                <w:sz w:val="10"/>
                <w:szCs w:val="10"/>
              </w:rPr>
            </w:pPr>
          </w:p>
        </w:tc>
      </w:tr>
    </w:tbl>
    <w:p w:rsidR="00361FCE" w:rsidRPr="005A51BD" w:rsidRDefault="00361FCE" w:rsidP="005A51BD">
      <w:pPr>
        <w:pStyle w:val="Prrafodelista"/>
        <w:spacing w:line="276" w:lineRule="auto"/>
        <w:ind w:left="851"/>
        <w:jc w:val="both"/>
        <w:rPr>
          <w:rFonts w:ascii="Arial" w:hAnsi="Arial" w:cs="Arial"/>
          <w:sz w:val="17"/>
          <w:szCs w:val="17"/>
        </w:rPr>
      </w:pPr>
    </w:p>
    <w:p w:rsidR="00361FCE" w:rsidRPr="005A51BD" w:rsidRDefault="00361FCE" w:rsidP="005A51BD">
      <w:pPr>
        <w:pStyle w:val="Prrafodelista"/>
        <w:spacing w:line="276" w:lineRule="auto"/>
        <w:ind w:left="851"/>
        <w:jc w:val="both"/>
        <w:rPr>
          <w:rFonts w:ascii="Arial" w:hAnsi="Arial" w:cs="Arial"/>
          <w:sz w:val="17"/>
          <w:szCs w:val="17"/>
        </w:rPr>
      </w:pPr>
      <w:r w:rsidRPr="005A51BD">
        <w:rPr>
          <w:rFonts w:ascii="Arial" w:hAnsi="Arial" w:cs="Arial"/>
          <w:b/>
          <w:i/>
          <w:sz w:val="17"/>
          <w:szCs w:val="17"/>
        </w:rPr>
        <w:t>Fuente:</w:t>
      </w:r>
      <w:r w:rsidRPr="005A51BD">
        <w:rPr>
          <w:rFonts w:ascii="Arial" w:hAnsi="Arial" w:cs="Arial"/>
          <w:sz w:val="17"/>
          <w:szCs w:val="17"/>
        </w:rPr>
        <w:t xml:space="preserve"> </w:t>
      </w:r>
      <w:r w:rsidRPr="005A51BD">
        <w:rPr>
          <w:rFonts w:ascii="Arial" w:hAnsi="Arial" w:cs="Arial"/>
          <w:b/>
          <w:sz w:val="17"/>
          <w:szCs w:val="17"/>
        </w:rPr>
        <w:t xml:space="preserve">INEC </w:t>
      </w:r>
      <w:r w:rsidRPr="005A51BD">
        <w:rPr>
          <w:rFonts w:ascii="Arial" w:hAnsi="Arial" w:cs="Arial"/>
          <w:sz w:val="17"/>
          <w:szCs w:val="17"/>
        </w:rPr>
        <w:t>(2010), Base de Datos del VII Censo de Población y VI de Vivienda.</w:t>
      </w:r>
    </w:p>
    <w:p w:rsidR="00361FCE" w:rsidRPr="005A51BD" w:rsidRDefault="00361FCE" w:rsidP="005A51BD">
      <w:pPr>
        <w:pStyle w:val="Prrafodelista"/>
        <w:spacing w:line="276" w:lineRule="auto"/>
        <w:ind w:left="851"/>
        <w:jc w:val="both"/>
        <w:rPr>
          <w:rFonts w:ascii="Arial" w:hAnsi="Arial" w:cs="Arial"/>
          <w:sz w:val="17"/>
          <w:szCs w:val="17"/>
        </w:rPr>
      </w:pPr>
      <w:r w:rsidRPr="005A51BD">
        <w:rPr>
          <w:rFonts w:ascii="Arial" w:hAnsi="Arial" w:cs="Arial"/>
          <w:b/>
          <w:i/>
          <w:sz w:val="17"/>
          <w:szCs w:val="17"/>
        </w:rPr>
        <w:t>Elaborado por:</w:t>
      </w:r>
      <w:r w:rsidRPr="005A51BD">
        <w:rPr>
          <w:rFonts w:ascii="Arial" w:hAnsi="Arial" w:cs="Arial"/>
          <w:sz w:val="17"/>
          <w:szCs w:val="17"/>
        </w:rPr>
        <w:t xml:space="preserve"> Katherine Loor Valeriano</w:t>
      </w:r>
    </w:p>
    <w:p w:rsidR="005A51BD" w:rsidRDefault="005A51BD" w:rsidP="005A51BD">
      <w:pPr>
        <w:pStyle w:val="Prrafodelista"/>
        <w:spacing w:line="480" w:lineRule="auto"/>
        <w:ind w:left="851"/>
        <w:jc w:val="both"/>
        <w:rPr>
          <w:rFonts w:ascii="Arial" w:hAnsi="Arial" w:cs="Arial"/>
        </w:rPr>
      </w:pPr>
    </w:p>
    <w:p w:rsidR="00361FCE" w:rsidRDefault="00361FCE" w:rsidP="005A51BD">
      <w:pPr>
        <w:pStyle w:val="Prrafodelista"/>
        <w:spacing w:line="480" w:lineRule="auto"/>
        <w:ind w:left="851"/>
        <w:jc w:val="both"/>
        <w:rPr>
          <w:rFonts w:ascii="Arial" w:hAnsi="Arial" w:cs="Arial"/>
        </w:rPr>
      </w:pPr>
      <w:r>
        <w:rPr>
          <w:rFonts w:ascii="Arial" w:hAnsi="Arial" w:cs="Arial"/>
        </w:rPr>
        <w:t xml:space="preserve">En lo que respecta a la distribución de la  edad, como se observa en la </w:t>
      </w:r>
      <w:r>
        <w:rPr>
          <w:rFonts w:ascii="Arial" w:hAnsi="Arial" w:cs="Arial"/>
          <w:i/>
        </w:rPr>
        <w:t>Figura 4.35</w:t>
      </w:r>
      <w:r>
        <w:rPr>
          <w:rFonts w:ascii="Arial" w:hAnsi="Arial" w:cs="Arial"/>
        </w:rPr>
        <w:t>, se tiene que el 11.51% de la población peruana es menor a 15 años, el 85.89% tienen edades comprendidas entre 15 y 65 años; y, el 2.60% tienen 65 años y más, es decir son adultos mayores. Si recordamos la distribución de edad de la población colombiana, podemos notar que en la población peruana es mayor el porcentaje de personas en edad económicamente activa (entre 15 y 65 años), así como también es mayor el porcentaje de la población adulta mayor que reside en el país, también nótese que en la población peruana no hay mujeres con edades superiores a los 100 años, ni hombres que tengan entre 95 y 100 años.</w:t>
      </w:r>
    </w:p>
    <w:p w:rsidR="00361FCE" w:rsidRDefault="00361FCE" w:rsidP="005A51BD">
      <w:pPr>
        <w:pStyle w:val="Prrafodelista"/>
        <w:spacing w:line="480" w:lineRule="auto"/>
        <w:ind w:left="851"/>
        <w:jc w:val="both"/>
        <w:rPr>
          <w:rFonts w:ascii="Arial" w:hAnsi="Arial" w:cs="Arial"/>
        </w:rPr>
      </w:pPr>
    </w:p>
    <w:p w:rsidR="00361FCE" w:rsidRDefault="00361FCE" w:rsidP="005A51BD">
      <w:pPr>
        <w:pStyle w:val="Prrafodelista"/>
        <w:spacing w:line="480" w:lineRule="auto"/>
        <w:ind w:left="851"/>
        <w:jc w:val="both"/>
        <w:rPr>
          <w:rFonts w:ascii="Arial" w:hAnsi="Arial" w:cs="Arial"/>
        </w:rPr>
      </w:pPr>
      <w:r>
        <w:rPr>
          <w:rFonts w:ascii="Arial" w:hAnsi="Arial" w:cs="Arial"/>
        </w:rPr>
        <w:t xml:space="preserve">El porcentaje más alto de población se lo tiene en el grupo de edad de 25 a 30 años, pues el 16.59% de la población peruana tiene edades comprendidas en este grupo etario, también se puede notar por ser la barra de mayor longitud en el gráfico,  la segunda barra de mayor longitud es la </w:t>
      </w:r>
      <w:r>
        <w:rPr>
          <w:rFonts w:ascii="Arial" w:hAnsi="Arial" w:cs="Arial"/>
        </w:rPr>
        <w:lastRenderedPageBreak/>
        <w:t xml:space="preserve">de las edades entre 20 y 25 años donde se concentra el 16.02% de la población peruana total; y, la barra de menor longitud es sin duda alguna la de los peruanos con 100 años y más, ya que en el país solo vivía 1 peruano de esta edad a noviembre de 2010. Además, podríamos analizar la longitud de las barras por cada color, las mismas que se leerían como el porcentaje de la población peruana total que tiene una determinada edad y género, por citar un ejemplo analicemos el quinto grupo etario, en donde tendríamos que el 4.31% de la población peruana son hombres que tienen entre 15 y 20 años; y, el 3.58% son mujeres con edades correspondientes al mismo intervalo de edades. Para más detalles </w:t>
      </w:r>
      <w:r>
        <w:rPr>
          <w:rFonts w:ascii="Arial" w:hAnsi="Arial" w:cs="Arial"/>
          <w:i/>
        </w:rPr>
        <w:t>véase Figura 4.35.</w:t>
      </w:r>
      <w:r>
        <w:rPr>
          <w:rFonts w:ascii="Arial" w:hAnsi="Arial" w:cs="Arial"/>
        </w:rPr>
        <w:t xml:space="preserve">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7C5B78">
        <w:trPr>
          <w:trHeight w:val="4404"/>
          <w:jc w:val="right"/>
        </w:trPr>
        <w:tc>
          <w:tcPr>
            <w:tcW w:w="7497" w:type="dxa"/>
          </w:tcPr>
          <w:p w:rsidR="00361FCE" w:rsidRPr="00840530" w:rsidRDefault="00361FCE" w:rsidP="00902050">
            <w:pPr>
              <w:rPr>
                <w:rFonts w:ascii="Arial" w:hAnsi="Arial" w:cs="Arial"/>
                <w:sz w:val="16"/>
                <w:szCs w:val="16"/>
              </w:rPr>
            </w:pPr>
          </w:p>
          <w:p w:rsidR="002B58DD" w:rsidRPr="002B58DD" w:rsidRDefault="002B58DD" w:rsidP="002B58DD">
            <w:pPr>
              <w:pStyle w:val="Epgrafe"/>
              <w:rPr>
                <w:rFonts w:ascii="Arial" w:hAnsi="Arial" w:cs="Arial"/>
                <w:bCs w:val="0"/>
                <w:color w:val="auto"/>
                <w:sz w:val="16"/>
                <w:szCs w:val="16"/>
              </w:rPr>
            </w:pPr>
            <w:bookmarkStart w:id="579" w:name="_Toc341044007"/>
            <w:r>
              <w:rPr>
                <w:rFonts w:ascii="Arial" w:hAnsi="Arial" w:cs="Arial"/>
                <w:bCs w:val="0"/>
                <w:color w:val="auto"/>
                <w:sz w:val="16"/>
                <w:szCs w:val="16"/>
              </w:rPr>
              <w:t>Figura 4.</w:t>
            </w:r>
            <w:r w:rsidR="00990535" w:rsidRPr="002B58DD">
              <w:rPr>
                <w:rFonts w:ascii="Arial" w:hAnsi="Arial" w:cs="Arial"/>
                <w:bCs w:val="0"/>
                <w:color w:val="auto"/>
                <w:sz w:val="16"/>
                <w:szCs w:val="16"/>
              </w:rPr>
              <w:fldChar w:fldCharType="begin"/>
            </w:r>
            <w:r w:rsidRPr="002B58DD">
              <w:rPr>
                <w:rFonts w:ascii="Arial" w:hAnsi="Arial" w:cs="Arial"/>
                <w:bCs w:val="0"/>
                <w:color w:val="auto"/>
                <w:sz w:val="16"/>
                <w:szCs w:val="16"/>
              </w:rPr>
              <w:instrText xml:space="preserve"> SEQ Figura_4. \* ARABIC </w:instrText>
            </w:r>
            <w:r w:rsidR="00990535" w:rsidRPr="002B58DD">
              <w:rPr>
                <w:rFonts w:ascii="Arial" w:hAnsi="Arial" w:cs="Arial"/>
                <w:bCs w:val="0"/>
                <w:color w:val="auto"/>
                <w:sz w:val="16"/>
                <w:szCs w:val="16"/>
              </w:rPr>
              <w:fldChar w:fldCharType="separate"/>
            </w:r>
            <w:r w:rsidR="00A242E0">
              <w:rPr>
                <w:rFonts w:ascii="Arial" w:hAnsi="Arial" w:cs="Arial"/>
                <w:bCs w:val="0"/>
                <w:noProof/>
                <w:color w:val="auto"/>
                <w:sz w:val="16"/>
                <w:szCs w:val="16"/>
              </w:rPr>
              <w:t>35</w:t>
            </w:r>
            <w:bookmarkEnd w:id="579"/>
            <w:r w:rsidR="00990535" w:rsidRPr="002B58DD">
              <w:rPr>
                <w:rFonts w:ascii="Arial" w:hAnsi="Arial" w:cs="Arial"/>
                <w:bCs w:val="0"/>
                <w:color w:val="auto"/>
                <w:sz w:val="16"/>
                <w:szCs w:val="16"/>
              </w:rPr>
              <w:fldChar w:fldCharType="end"/>
            </w:r>
          </w:p>
          <w:p w:rsidR="007C5B78" w:rsidRDefault="007C5B78" w:rsidP="007C5B78">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Distribución Género – Edad de los </w:t>
            </w:r>
            <w:r>
              <w:rPr>
                <w:rFonts w:ascii="Arial" w:hAnsi="Arial" w:cs="Arial"/>
                <w:b/>
                <w:i/>
                <w:sz w:val="16"/>
                <w:szCs w:val="16"/>
              </w:rPr>
              <w:t>peruanos</w:t>
            </w:r>
            <w:r>
              <w:rPr>
                <w:rFonts w:ascii="Arial" w:hAnsi="Arial" w:cs="Arial"/>
                <w:i/>
                <w:sz w:val="16"/>
                <w:szCs w:val="16"/>
              </w:rPr>
              <w:t xml:space="preserve"> residentes en el país</w:t>
            </w:r>
          </w:p>
          <w:p w:rsidR="00361FCE" w:rsidRPr="00660711" w:rsidRDefault="00436907" w:rsidP="00902050">
            <w:pPr>
              <w:rPr>
                <w:rFonts w:ascii="Arial" w:hAnsi="Arial" w:cs="Arial"/>
                <w:i/>
                <w:sz w:val="16"/>
                <w:szCs w:val="16"/>
              </w:rPr>
            </w:pPr>
            <w:r>
              <w:rPr>
                <w:noProof/>
                <w:lang w:eastAsia="es-EC"/>
              </w:rPr>
              <w:pict>
                <v:shape id="_x0000_s1555" type="#_x0000_t202" style="position:absolute;left:0;text-align:left;margin-left:211.3pt;margin-top:10.7pt;width:142.2pt;height:20.25pt;z-index:25154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2D6729" w:rsidRDefault="006933DF" w:rsidP="00361FCE">
                        <w:pPr>
                          <w:rPr>
                            <w:rFonts w:ascii="Arial" w:hAnsi="Arial" w:cs="Arial"/>
                            <w:b/>
                            <w:sz w:val="15"/>
                            <w:szCs w:val="15"/>
                          </w:rPr>
                        </w:pPr>
                        <w:r w:rsidRPr="002D6729">
                          <w:rPr>
                            <w:rFonts w:ascii="Arial" w:hAnsi="Arial" w:cs="Arial"/>
                            <w:b/>
                            <w:sz w:val="15"/>
                            <w:szCs w:val="15"/>
                          </w:rPr>
                          <w:t>Femenino</w:t>
                        </w:r>
                      </w:p>
                    </w:txbxContent>
                  </v:textbox>
                </v:shape>
              </w:pict>
            </w:r>
            <w:r>
              <w:rPr>
                <w:rFonts w:ascii="Arial" w:hAnsi="Arial" w:cs="Arial"/>
                <w:noProof/>
                <w:lang w:eastAsia="es-EC"/>
              </w:rPr>
              <w:pict>
                <v:shape id="_x0000_s1554" type="#_x0000_t202" style="position:absolute;left:0;text-align:left;margin-left:65.8pt;margin-top:10.7pt;width:142.2pt;height:20.25pt;z-index:25154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2D6729" w:rsidRDefault="006933DF" w:rsidP="00361FCE">
                        <w:pPr>
                          <w:rPr>
                            <w:rFonts w:ascii="Arial" w:hAnsi="Arial" w:cs="Arial"/>
                            <w:b/>
                            <w:sz w:val="15"/>
                            <w:szCs w:val="15"/>
                          </w:rPr>
                        </w:pPr>
                        <w:r w:rsidRPr="002D6729">
                          <w:rPr>
                            <w:rFonts w:ascii="Arial" w:hAnsi="Arial" w:cs="Arial"/>
                            <w:b/>
                            <w:sz w:val="15"/>
                            <w:szCs w:val="15"/>
                          </w:rPr>
                          <w:t>Masculino</w:t>
                        </w:r>
                      </w:p>
                    </w:txbxContent>
                  </v:textbox>
                </v:shape>
              </w:pict>
            </w:r>
            <w:r w:rsidR="00361FCE">
              <w:rPr>
                <w:noProof/>
                <w:lang w:eastAsia="es-EC"/>
              </w:rPr>
              <w:drawing>
                <wp:inline distT="0" distB="0" distL="0" distR="0">
                  <wp:extent cx="4542790" cy="2772000"/>
                  <wp:effectExtent l="0" t="0" r="0" b="0"/>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r>
    </w:tbl>
    <w:p w:rsidR="00361FCE" w:rsidRPr="007C5B78" w:rsidRDefault="00361FCE" w:rsidP="007C5B78">
      <w:pPr>
        <w:pStyle w:val="Prrafodelista"/>
        <w:spacing w:line="276" w:lineRule="auto"/>
        <w:ind w:left="851"/>
        <w:jc w:val="both"/>
        <w:rPr>
          <w:rFonts w:ascii="Arial" w:hAnsi="Arial" w:cs="Arial"/>
          <w:sz w:val="17"/>
          <w:szCs w:val="17"/>
        </w:rPr>
      </w:pPr>
    </w:p>
    <w:p w:rsidR="00361FCE" w:rsidRPr="007C5B78" w:rsidRDefault="00361FCE" w:rsidP="007C5B78">
      <w:pPr>
        <w:pStyle w:val="Prrafodelista"/>
        <w:spacing w:line="276" w:lineRule="auto"/>
        <w:ind w:left="851"/>
        <w:jc w:val="both"/>
        <w:rPr>
          <w:rFonts w:ascii="Arial" w:hAnsi="Arial" w:cs="Arial"/>
          <w:sz w:val="17"/>
          <w:szCs w:val="17"/>
        </w:rPr>
      </w:pPr>
      <w:r w:rsidRPr="007C5B78">
        <w:rPr>
          <w:rFonts w:ascii="Arial" w:hAnsi="Arial" w:cs="Arial"/>
          <w:b/>
          <w:i/>
          <w:sz w:val="17"/>
          <w:szCs w:val="17"/>
        </w:rPr>
        <w:t>Fuente:</w:t>
      </w:r>
      <w:r w:rsidRPr="007C5B78">
        <w:rPr>
          <w:rFonts w:ascii="Arial" w:hAnsi="Arial" w:cs="Arial"/>
          <w:sz w:val="17"/>
          <w:szCs w:val="17"/>
        </w:rPr>
        <w:t xml:space="preserve"> </w:t>
      </w:r>
      <w:r w:rsidRPr="007C5B78">
        <w:rPr>
          <w:rFonts w:ascii="Arial" w:hAnsi="Arial" w:cs="Arial"/>
          <w:b/>
          <w:sz w:val="17"/>
          <w:szCs w:val="17"/>
        </w:rPr>
        <w:t xml:space="preserve">INEC </w:t>
      </w:r>
      <w:r w:rsidRPr="007C5B78">
        <w:rPr>
          <w:rFonts w:ascii="Arial" w:hAnsi="Arial" w:cs="Arial"/>
          <w:sz w:val="17"/>
          <w:szCs w:val="17"/>
        </w:rPr>
        <w:t>(2010), Base de Datos del VII Censo de Población y VI de Vivienda.</w:t>
      </w:r>
    </w:p>
    <w:p w:rsidR="00361FCE" w:rsidRDefault="00361FCE" w:rsidP="007C5B78">
      <w:pPr>
        <w:pStyle w:val="Prrafodelista"/>
        <w:spacing w:line="276" w:lineRule="auto"/>
        <w:ind w:left="851"/>
        <w:jc w:val="both"/>
        <w:rPr>
          <w:rFonts w:ascii="Arial" w:hAnsi="Arial" w:cs="Arial"/>
          <w:sz w:val="18"/>
          <w:szCs w:val="18"/>
        </w:rPr>
      </w:pPr>
      <w:r w:rsidRPr="007C5B78">
        <w:rPr>
          <w:rFonts w:ascii="Arial" w:hAnsi="Arial" w:cs="Arial"/>
          <w:b/>
          <w:i/>
          <w:sz w:val="17"/>
          <w:szCs w:val="17"/>
        </w:rPr>
        <w:t>Elaborado por:</w:t>
      </w:r>
      <w:r w:rsidRPr="007C5B78">
        <w:rPr>
          <w:rFonts w:ascii="Arial" w:hAnsi="Arial" w:cs="Arial"/>
          <w:sz w:val="17"/>
          <w:szCs w:val="17"/>
        </w:rPr>
        <w:t xml:space="preserve"> Katherine Loor Valeriano</w:t>
      </w:r>
    </w:p>
    <w:p w:rsidR="00361FCE" w:rsidRDefault="00361FCE" w:rsidP="007C5B78">
      <w:pPr>
        <w:pStyle w:val="Prrafodelista"/>
        <w:spacing w:line="480" w:lineRule="auto"/>
        <w:ind w:left="851"/>
        <w:jc w:val="both"/>
        <w:rPr>
          <w:rFonts w:ascii="Arial" w:hAnsi="Arial" w:cs="Arial"/>
        </w:rPr>
      </w:pPr>
    </w:p>
    <w:p w:rsidR="00361FCE" w:rsidRPr="00674E7E" w:rsidRDefault="00361FCE" w:rsidP="007C5B78">
      <w:pPr>
        <w:pStyle w:val="Prrafodelista"/>
        <w:spacing w:line="480" w:lineRule="auto"/>
        <w:ind w:left="851"/>
        <w:jc w:val="both"/>
        <w:rPr>
          <w:rFonts w:ascii="Arial" w:hAnsi="Arial" w:cs="Arial"/>
          <w:i/>
        </w:rPr>
      </w:pPr>
      <w:r>
        <w:rPr>
          <w:rFonts w:ascii="Arial" w:hAnsi="Arial" w:cs="Arial"/>
        </w:rPr>
        <w:t xml:space="preserve">Por lo expuesto en párrafos previos, se ha decidido presentar el índice de feminidad por grupos de edad para edades inferiores a 95 años, pues en el </w:t>
      </w:r>
      <w:r>
        <w:rPr>
          <w:rFonts w:ascii="Arial" w:hAnsi="Arial" w:cs="Arial"/>
        </w:rPr>
        <w:lastRenderedPageBreak/>
        <w:t xml:space="preserve">grupo de edad de 95 a 100 años tendríamos una división para cero que nos genera una indeterminación y en el siguiente grupo etario dicho índice tomaría un valor de cero. En la </w:t>
      </w:r>
      <w:r>
        <w:rPr>
          <w:rFonts w:ascii="Arial" w:hAnsi="Arial" w:cs="Arial"/>
          <w:i/>
        </w:rPr>
        <w:t>Figura 4.36</w:t>
      </w:r>
      <w:r>
        <w:rPr>
          <w:rFonts w:ascii="Arial" w:hAnsi="Arial" w:cs="Arial"/>
        </w:rPr>
        <w:t xml:space="preserve">, podemos notar que para la mayoría de los grupos de edad la cantidad de peruanas es menor que la cantidad de hombres de la misma nacionalidad, excepto en los grupos de edad de 5 a 10 años, de 85 a 90 años y de 90 a 95 años cuyo índice toma los valores de 107.59, 111.11 y 150 mujeres por cada 100 hombres con edades comprendidas en cada grupo etario respectivamente. Podemos notar además, que por cada 100 hombres peruanos con edades entre 15 y 20 años hay 83.11 mujeres de la misma nacionalidad; además, hay 69.40 mujeres peruanas por cada 100 hombres con edades entre 35 y 40 años; y, para los grupos de edad de 40 a 45 años, de 45 a 50 años y de 50 a 55 años este índice toma valores de 67.13, 66.41 y 65.84 mujeres por cada 100 hombres con edades pertenecientes a cada intervalo respectivamente. Para más detalles </w:t>
      </w:r>
      <w:r>
        <w:rPr>
          <w:rFonts w:ascii="Arial" w:hAnsi="Arial" w:cs="Arial"/>
          <w:i/>
        </w:rPr>
        <w:t>véase Figura 4.36.</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7C5B78">
        <w:trPr>
          <w:trHeight w:val="3382"/>
          <w:jc w:val="right"/>
        </w:trPr>
        <w:tc>
          <w:tcPr>
            <w:tcW w:w="7497" w:type="dxa"/>
          </w:tcPr>
          <w:p w:rsidR="00361FCE" w:rsidRPr="00840530" w:rsidRDefault="00361FCE" w:rsidP="00902050">
            <w:pPr>
              <w:rPr>
                <w:rFonts w:ascii="Arial" w:hAnsi="Arial" w:cs="Arial"/>
                <w:sz w:val="16"/>
                <w:szCs w:val="16"/>
              </w:rPr>
            </w:pPr>
          </w:p>
          <w:p w:rsidR="002B58DD" w:rsidRPr="002B58DD" w:rsidRDefault="002B58DD" w:rsidP="002B58DD">
            <w:pPr>
              <w:pStyle w:val="Epgrafe"/>
              <w:rPr>
                <w:rFonts w:ascii="Arial" w:hAnsi="Arial" w:cs="Arial"/>
                <w:bCs w:val="0"/>
                <w:color w:val="auto"/>
                <w:sz w:val="16"/>
                <w:szCs w:val="16"/>
              </w:rPr>
            </w:pPr>
            <w:bookmarkStart w:id="580" w:name="_Toc341044008"/>
            <w:r w:rsidRPr="002B58DD">
              <w:rPr>
                <w:rFonts w:ascii="Arial" w:hAnsi="Arial" w:cs="Arial"/>
                <w:bCs w:val="0"/>
                <w:color w:val="auto"/>
                <w:sz w:val="16"/>
                <w:szCs w:val="16"/>
              </w:rPr>
              <w:t>F</w:t>
            </w:r>
            <w:r>
              <w:rPr>
                <w:rFonts w:ascii="Arial" w:hAnsi="Arial" w:cs="Arial"/>
                <w:bCs w:val="0"/>
                <w:color w:val="auto"/>
                <w:sz w:val="16"/>
                <w:szCs w:val="16"/>
              </w:rPr>
              <w:t>igura 4.</w:t>
            </w:r>
            <w:r w:rsidR="00990535" w:rsidRPr="002B58DD">
              <w:rPr>
                <w:rFonts w:ascii="Arial" w:hAnsi="Arial" w:cs="Arial"/>
                <w:bCs w:val="0"/>
                <w:color w:val="auto"/>
                <w:sz w:val="16"/>
                <w:szCs w:val="16"/>
              </w:rPr>
              <w:fldChar w:fldCharType="begin"/>
            </w:r>
            <w:r w:rsidRPr="002B58DD">
              <w:rPr>
                <w:rFonts w:ascii="Arial" w:hAnsi="Arial" w:cs="Arial"/>
                <w:bCs w:val="0"/>
                <w:color w:val="auto"/>
                <w:sz w:val="16"/>
                <w:szCs w:val="16"/>
              </w:rPr>
              <w:instrText xml:space="preserve"> SEQ Figura_4. \* ARABIC </w:instrText>
            </w:r>
            <w:r w:rsidR="00990535" w:rsidRPr="002B58DD">
              <w:rPr>
                <w:rFonts w:ascii="Arial" w:hAnsi="Arial" w:cs="Arial"/>
                <w:bCs w:val="0"/>
                <w:color w:val="auto"/>
                <w:sz w:val="16"/>
                <w:szCs w:val="16"/>
              </w:rPr>
              <w:fldChar w:fldCharType="separate"/>
            </w:r>
            <w:r w:rsidR="00A242E0">
              <w:rPr>
                <w:rFonts w:ascii="Arial" w:hAnsi="Arial" w:cs="Arial"/>
                <w:bCs w:val="0"/>
                <w:noProof/>
                <w:color w:val="auto"/>
                <w:sz w:val="16"/>
                <w:szCs w:val="16"/>
              </w:rPr>
              <w:t>36</w:t>
            </w:r>
            <w:bookmarkEnd w:id="580"/>
            <w:r w:rsidR="00990535" w:rsidRPr="002B58DD">
              <w:rPr>
                <w:rFonts w:ascii="Arial" w:hAnsi="Arial" w:cs="Arial"/>
                <w:bCs w:val="0"/>
                <w:color w:val="auto"/>
                <w:sz w:val="16"/>
                <w:szCs w:val="16"/>
              </w:rPr>
              <w:fldChar w:fldCharType="end"/>
            </w:r>
          </w:p>
          <w:p w:rsidR="007C5B78" w:rsidRPr="00AD4DB1" w:rsidRDefault="007C5B78" w:rsidP="007C5B78">
            <w:pPr>
              <w:rPr>
                <w:rFonts w:ascii="Arial" w:hAnsi="Arial" w:cs="Arial"/>
                <w:b/>
                <w:i/>
                <w:sz w:val="16"/>
                <w:szCs w:val="16"/>
              </w:rPr>
            </w:pPr>
            <w:r>
              <w:rPr>
                <w:rFonts w:ascii="Arial" w:hAnsi="Arial" w:cs="Arial"/>
                <w:b/>
                <w:i/>
                <w:sz w:val="16"/>
                <w:szCs w:val="16"/>
              </w:rPr>
              <w:t xml:space="preserve">Ecuador 2010: </w:t>
            </w:r>
            <w:r>
              <w:rPr>
                <w:rFonts w:ascii="Arial" w:hAnsi="Arial" w:cs="Arial"/>
                <w:i/>
                <w:sz w:val="16"/>
                <w:szCs w:val="16"/>
              </w:rPr>
              <w:t xml:space="preserve">Índice de Feminidad por Grupos etarios de la población </w:t>
            </w:r>
            <w:r>
              <w:rPr>
                <w:rFonts w:ascii="Arial" w:hAnsi="Arial" w:cs="Arial"/>
                <w:b/>
                <w:i/>
                <w:sz w:val="16"/>
                <w:szCs w:val="16"/>
              </w:rPr>
              <w:t>peruana</w:t>
            </w:r>
          </w:p>
          <w:p w:rsidR="00361FCE" w:rsidRPr="00660711" w:rsidRDefault="00361FCE" w:rsidP="00902050">
            <w:pPr>
              <w:rPr>
                <w:rFonts w:ascii="Arial" w:hAnsi="Arial" w:cs="Arial"/>
                <w:i/>
                <w:sz w:val="16"/>
                <w:szCs w:val="16"/>
              </w:rPr>
            </w:pPr>
            <w:r>
              <w:rPr>
                <w:noProof/>
                <w:lang w:eastAsia="es-EC"/>
              </w:rPr>
              <w:drawing>
                <wp:inline distT="0" distB="0" distL="0" distR="0">
                  <wp:extent cx="4505325" cy="1980000"/>
                  <wp:effectExtent l="0" t="0" r="0" b="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r>
    </w:tbl>
    <w:p w:rsidR="00361FCE" w:rsidRPr="007C5B78" w:rsidRDefault="00361FCE" w:rsidP="007C5B78">
      <w:pPr>
        <w:pStyle w:val="Prrafodelista"/>
        <w:spacing w:line="276" w:lineRule="auto"/>
        <w:ind w:left="851"/>
        <w:jc w:val="both"/>
        <w:rPr>
          <w:rFonts w:ascii="Arial" w:hAnsi="Arial" w:cs="Arial"/>
          <w:sz w:val="17"/>
          <w:szCs w:val="17"/>
        </w:rPr>
      </w:pPr>
    </w:p>
    <w:p w:rsidR="00361FCE" w:rsidRPr="007C5B78" w:rsidRDefault="00361FCE" w:rsidP="007C5B78">
      <w:pPr>
        <w:pStyle w:val="Prrafodelista"/>
        <w:spacing w:line="276" w:lineRule="auto"/>
        <w:ind w:left="851"/>
        <w:jc w:val="both"/>
        <w:rPr>
          <w:rFonts w:ascii="Arial" w:hAnsi="Arial" w:cs="Arial"/>
          <w:sz w:val="17"/>
          <w:szCs w:val="17"/>
        </w:rPr>
      </w:pPr>
      <w:r w:rsidRPr="007C5B78">
        <w:rPr>
          <w:rFonts w:ascii="Arial" w:hAnsi="Arial" w:cs="Arial"/>
          <w:b/>
          <w:i/>
          <w:sz w:val="17"/>
          <w:szCs w:val="17"/>
        </w:rPr>
        <w:t>Fuente:</w:t>
      </w:r>
      <w:r w:rsidRPr="007C5B78">
        <w:rPr>
          <w:rFonts w:ascii="Arial" w:hAnsi="Arial" w:cs="Arial"/>
          <w:sz w:val="17"/>
          <w:szCs w:val="17"/>
        </w:rPr>
        <w:t xml:space="preserve"> </w:t>
      </w:r>
      <w:r w:rsidRPr="007C5B78">
        <w:rPr>
          <w:rFonts w:ascii="Arial" w:hAnsi="Arial" w:cs="Arial"/>
          <w:b/>
          <w:sz w:val="17"/>
          <w:szCs w:val="17"/>
        </w:rPr>
        <w:t xml:space="preserve">INEC </w:t>
      </w:r>
      <w:r w:rsidRPr="007C5B78">
        <w:rPr>
          <w:rFonts w:ascii="Arial" w:hAnsi="Arial" w:cs="Arial"/>
          <w:sz w:val="17"/>
          <w:szCs w:val="17"/>
        </w:rPr>
        <w:t>(2010), Base de Datos del VII Censo de Población y VI de Vivienda.</w:t>
      </w:r>
    </w:p>
    <w:p w:rsidR="00361FCE" w:rsidRPr="007C5B78" w:rsidRDefault="00361FCE" w:rsidP="007C5B78">
      <w:pPr>
        <w:pStyle w:val="Prrafodelista"/>
        <w:spacing w:line="276" w:lineRule="auto"/>
        <w:ind w:left="851"/>
        <w:jc w:val="both"/>
        <w:rPr>
          <w:rFonts w:ascii="Arial" w:hAnsi="Arial" w:cs="Arial"/>
          <w:sz w:val="17"/>
          <w:szCs w:val="17"/>
        </w:rPr>
      </w:pPr>
      <w:r w:rsidRPr="007C5B78">
        <w:rPr>
          <w:rFonts w:ascii="Arial" w:hAnsi="Arial" w:cs="Arial"/>
          <w:b/>
          <w:i/>
          <w:sz w:val="17"/>
          <w:szCs w:val="17"/>
        </w:rPr>
        <w:t>Elaborado por:</w:t>
      </w:r>
      <w:r w:rsidRPr="007C5B78">
        <w:rPr>
          <w:rFonts w:ascii="Arial" w:hAnsi="Arial" w:cs="Arial"/>
          <w:sz w:val="17"/>
          <w:szCs w:val="17"/>
        </w:rPr>
        <w:t xml:space="preserve"> Katherine Loor Valeriano</w:t>
      </w:r>
    </w:p>
    <w:p w:rsidR="00361FCE" w:rsidRDefault="00361FCE" w:rsidP="007C5B78">
      <w:pPr>
        <w:pStyle w:val="Estilo42"/>
        <w:ind w:left="1560" w:hanging="709"/>
      </w:pPr>
      <w:bookmarkStart w:id="581" w:name="_Toc337135535"/>
      <w:bookmarkStart w:id="582" w:name="_Toc341040685"/>
      <w:r>
        <w:lastRenderedPageBreak/>
        <w:t>Nivel de Instrucción</w:t>
      </w:r>
      <w:bookmarkEnd w:id="581"/>
      <w:r w:rsidR="007C5B78">
        <w:t xml:space="preserve"> de los peruanos</w:t>
      </w:r>
      <w:bookmarkEnd w:id="582"/>
    </w:p>
    <w:p w:rsidR="00EA045C" w:rsidRDefault="00361FCE" w:rsidP="007C5B78">
      <w:pPr>
        <w:pStyle w:val="Prrafodelista"/>
        <w:spacing w:line="480" w:lineRule="auto"/>
        <w:ind w:left="851"/>
        <w:jc w:val="both"/>
        <w:rPr>
          <w:rFonts w:ascii="Arial" w:hAnsi="Arial" w:cs="Arial"/>
        </w:rPr>
      </w:pPr>
      <w:r>
        <w:rPr>
          <w:rFonts w:ascii="Arial" w:hAnsi="Arial" w:cs="Arial"/>
        </w:rPr>
        <w:t xml:space="preserve">De los peruanos que residen en el Ecuador y que son mayores de 15 años, el 2.08% son analfabetos, es decir, no saber leer ni escribir; además podemos notar que el porcentaje de la población peruana analfabeta es menor que el de los colombianos (6.61%). En la </w:t>
      </w:r>
      <w:r>
        <w:rPr>
          <w:rFonts w:ascii="Arial" w:hAnsi="Arial" w:cs="Arial"/>
          <w:i/>
        </w:rPr>
        <w:t>Figura 4.37</w:t>
      </w:r>
      <w:r>
        <w:rPr>
          <w:rFonts w:ascii="Arial" w:hAnsi="Arial" w:cs="Arial"/>
        </w:rPr>
        <w:t>, se presentan las tasas de analfabetismo por cada 1000 peruanos por género y grupos de edad; en donde podemos observar que para el caso de los hombres la tasa de analfabetismo empieza a aumentar a medida que aumenta la edad, aunque para el grupo de edad de 85 a 90 años esta tasa es igual a cero y para el siguiente grupo de edad vuelve a aumentar y toma el valor de 500 peruanos por cada 1000 de ese grupo etario son anal</w:t>
      </w:r>
      <w:r w:rsidR="007C5B78">
        <w:rPr>
          <w:rFonts w:ascii="Arial" w:hAnsi="Arial" w:cs="Arial"/>
        </w:rPr>
        <w:t xml:space="preserve">fabetos. </w:t>
      </w:r>
    </w:p>
    <w:p w:rsidR="00EA045C" w:rsidRDefault="00EA045C" w:rsidP="007C5B78">
      <w:pPr>
        <w:pStyle w:val="Prrafodelista"/>
        <w:spacing w:line="480" w:lineRule="auto"/>
        <w:ind w:left="851"/>
        <w:jc w:val="both"/>
        <w:rPr>
          <w:rFonts w:ascii="Arial" w:hAnsi="Arial" w:cs="Arial"/>
        </w:rPr>
      </w:pPr>
    </w:p>
    <w:p w:rsidR="00361FCE" w:rsidRDefault="007C5B78" w:rsidP="007C5B78">
      <w:pPr>
        <w:pStyle w:val="Prrafodelista"/>
        <w:spacing w:line="480" w:lineRule="auto"/>
        <w:ind w:left="851"/>
        <w:jc w:val="both"/>
        <w:rPr>
          <w:rFonts w:ascii="Arial" w:hAnsi="Arial" w:cs="Arial"/>
        </w:rPr>
      </w:pPr>
      <w:r>
        <w:rPr>
          <w:rFonts w:ascii="Arial" w:hAnsi="Arial" w:cs="Arial"/>
        </w:rPr>
        <w:t>P</w:t>
      </w:r>
      <w:r w:rsidR="00361FCE">
        <w:rPr>
          <w:rFonts w:ascii="Arial" w:hAnsi="Arial" w:cs="Arial"/>
        </w:rPr>
        <w:t>ara el caso de las mujeres la tasa de analfabetismo también aumenta para las edades mayores, aunque a diferencia de los hombres no toma valores iguales a cero en alguno de los casos. Además, la tasa de analfabetismo toma valores mayores en la mayoría de los grupos de edad para los hombres que para las mujeres. Cabe mencionar, que en la gráfica no se presentan tasas para los mayores a 95 años, pues el único peruano con edades mayores a esta es un hombre y es analfabeto.</w:t>
      </w:r>
    </w:p>
    <w:p w:rsidR="00361FCE" w:rsidRDefault="00361FCE" w:rsidP="007C5B78">
      <w:pPr>
        <w:pStyle w:val="Prrafodelista"/>
        <w:spacing w:line="480" w:lineRule="auto"/>
        <w:ind w:left="851"/>
        <w:jc w:val="both"/>
        <w:rPr>
          <w:rFonts w:ascii="Arial" w:hAnsi="Arial" w:cs="Arial"/>
        </w:rPr>
      </w:pPr>
    </w:p>
    <w:p w:rsidR="00361FCE" w:rsidRDefault="00361FCE" w:rsidP="007C5B78">
      <w:pPr>
        <w:pStyle w:val="Prrafodelista"/>
        <w:spacing w:line="480" w:lineRule="auto"/>
        <w:ind w:left="851"/>
        <w:jc w:val="both"/>
        <w:rPr>
          <w:rFonts w:ascii="Arial" w:hAnsi="Arial" w:cs="Arial"/>
        </w:rPr>
      </w:pPr>
      <w:r>
        <w:rPr>
          <w:rFonts w:ascii="Arial" w:hAnsi="Arial" w:cs="Arial"/>
        </w:rPr>
        <w:t xml:space="preserve">Esta tasa, también puede ser analizada para valores particulares; por citar varios ejemplos tenemos que por cada 1000 peruanos de género masculino con edades comprendidas entre 25 y 30 años 14.44 de ellos son analfabetos y por tanto 985.56 saben leer y escribir; para el caso de las </w:t>
      </w:r>
      <w:r>
        <w:rPr>
          <w:rFonts w:ascii="Arial" w:hAnsi="Arial" w:cs="Arial"/>
        </w:rPr>
        <w:lastRenderedPageBreak/>
        <w:t>mujeres con edades en el mismo grupo etario se tiene que por cada 1000 de ellas hay 7.43 que no saben leer ni escribir y 992.57 que saben leer y escribir.</w:t>
      </w:r>
      <w:r w:rsidR="00F91C02">
        <w:rPr>
          <w:rFonts w:ascii="Arial" w:hAnsi="Arial" w:cs="Arial"/>
        </w:rPr>
        <w:t xml:space="preserve"> P</w:t>
      </w:r>
      <w:r>
        <w:rPr>
          <w:rFonts w:ascii="Arial" w:hAnsi="Arial" w:cs="Arial"/>
        </w:rPr>
        <w:t xml:space="preserve">ara los peruanos con edades entre 40 y 45 años, por cada 1000 de ellos, hay 18.03 analfabetos y 981.97 que saben leer y escribir; y, para las mujeres de las mismas edades se </w:t>
      </w:r>
      <w:r w:rsidR="00506BFD">
        <w:rPr>
          <w:rFonts w:ascii="Arial" w:hAnsi="Arial" w:cs="Arial"/>
        </w:rPr>
        <w:t>encontró</w:t>
      </w:r>
      <w:r>
        <w:rPr>
          <w:rFonts w:ascii="Arial" w:hAnsi="Arial" w:cs="Arial"/>
        </w:rPr>
        <w:t xml:space="preserve"> en cambio que la tasa de analfabetismo es mayor, pues por cada 1000 de ellas 45.45 son analfabetas. Para más detalles </w:t>
      </w:r>
      <w:r>
        <w:rPr>
          <w:rFonts w:ascii="Arial" w:hAnsi="Arial" w:cs="Arial"/>
          <w:i/>
        </w:rPr>
        <w:t>véase Figura 4.37.</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7C5B78">
        <w:trPr>
          <w:trHeight w:val="4096"/>
          <w:jc w:val="right"/>
        </w:trPr>
        <w:tc>
          <w:tcPr>
            <w:tcW w:w="7497" w:type="dxa"/>
          </w:tcPr>
          <w:p w:rsidR="00361FCE" w:rsidRPr="00840530" w:rsidRDefault="00361FCE" w:rsidP="00902050">
            <w:pPr>
              <w:rPr>
                <w:rFonts w:ascii="Arial" w:hAnsi="Arial" w:cs="Arial"/>
                <w:sz w:val="16"/>
                <w:szCs w:val="16"/>
              </w:rPr>
            </w:pPr>
          </w:p>
          <w:p w:rsidR="002B58DD" w:rsidRPr="002B58DD" w:rsidRDefault="002B58DD" w:rsidP="002B58DD">
            <w:pPr>
              <w:pStyle w:val="Epgrafe"/>
              <w:rPr>
                <w:rFonts w:ascii="Arial" w:hAnsi="Arial" w:cs="Arial"/>
                <w:bCs w:val="0"/>
                <w:color w:val="auto"/>
                <w:sz w:val="16"/>
                <w:szCs w:val="16"/>
              </w:rPr>
            </w:pPr>
            <w:bookmarkStart w:id="583" w:name="_Toc341044009"/>
            <w:r>
              <w:rPr>
                <w:rFonts w:ascii="Arial" w:hAnsi="Arial" w:cs="Arial"/>
                <w:bCs w:val="0"/>
                <w:color w:val="auto"/>
                <w:sz w:val="16"/>
                <w:szCs w:val="16"/>
              </w:rPr>
              <w:t>Figura 4.</w:t>
            </w:r>
            <w:r w:rsidR="00990535" w:rsidRPr="002B58DD">
              <w:rPr>
                <w:rFonts w:ascii="Arial" w:hAnsi="Arial" w:cs="Arial"/>
                <w:bCs w:val="0"/>
                <w:color w:val="auto"/>
                <w:sz w:val="16"/>
                <w:szCs w:val="16"/>
              </w:rPr>
              <w:fldChar w:fldCharType="begin"/>
            </w:r>
            <w:r w:rsidRPr="002B58DD">
              <w:rPr>
                <w:rFonts w:ascii="Arial" w:hAnsi="Arial" w:cs="Arial"/>
                <w:bCs w:val="0"/>
                <w:color w:val="auto"/>
                <w:sz w:val="16"/>
                <w:szCs w:val="16"/>
              </w:rPr>
              <w:instrText xml:space="preserve"> SEQ Figura_4. \* ARABIC </w:instrText>
            </w:r>
            <w:r w:rsidR="00990535" w:rsidRPr="002B58DD">
              <w:rPr>
                <w:rFonts w:ascii="Arial" w:hAnsi="Arial" w:cs="Arial"/>
                <w:bCs w:val="0"/>
                <w:color w:val="auto"/>
                <w:sz w:val="16"/>
                <w:szCs w:val="16"/>
              </w:rPr>
              <w:fldChar w:fldCharType="separate"/>
            </w:r>
            <w:r w:rsidR="00A242E0">
              <w:rPr>
                <w:rFonts w:ascii="Arial" w:hAnsi="Arial" w:cs="Arial"/>
                <w:bCs w:val="0"/>
                <w:noProof/>
                <w:color w:val="auto"/>
                <w:sz w:val="16"/>
                <w:szCs w:val="16"/>
              </w:rPr>
              <w:t>37</w:t>
            </w:r>
            <w:bookmarkEnd w:id="583"/>
            <w:r w:rsidR="00990535" w:rsidRPr="002B58DD">
              <w:rPr>
                <w:rFonts w:ascii="Arial" w:hAnsi="Arial" w:cs="Arial"/>
                <w:bCs w:val="0"/>
                <w:color w:val="auto"/>
                <w:sz w:val="16"/>
                <w:szCs w:val="16"/>
              </w:rPr>
              <w:fldChar w:fldCharType="end"/>
            </w:r>
          </w:p>
          <w:p w:rsidR="00EA045C" w:rsidRDefault="00EA045C" w:rsidP="00EA045C">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Tasa de Analfabetismo por cada 1000 </w:t>
            </w:r>
            <w:r>
              <w:rPr>
                <w:rFonts w:ascii="Arial" w:hAnsi="Arial" w:cs="Arial"/>
                <w:b/>
                <w:i/>
                <w:sz w:val="16"/>
                <w:szCs w:val="16"/>
              </w:rPr>
              <w:t>peruanos</w:t>
            </w:r>
            <w:r>
              <w:rPr>
                <w:rFonts w:ascii="Arial" w:hAnsi="Arial" w:cs="Arial"/>
                <w:i/>
                <w:sz w:val="16"/>
                <w:szCs w:val="16"/>
              </w:rPr>
              <w:t xml:space="preserve"> por Género y Grupo etario</w:t>
            </w:r>
          </w:p>
          <w:p w:rsidR="00361FCE" w:rsidRDefault="00436907" w:rsidP="00902050">
            <w:pPr>
              <w:rPr>
                <w:rFonts w:ascii="Arial" w:hAnsi="Arial" w:cs="Arial"/>
                <w:i/>
                <w:sz w:val="16"/>
                <w:szCs w:val="16"/>
              </w:rPr>
            </w:pPr>
            <w:r>
              <w:rPr>
                <w:rFonts w:ascii="Arial" w:hAnsi="Arial" w:cs="Arial"/>
                <w:b/>
                <w:i/>
                <w:noProof/>
                <w:sz w:val="18"/>
                <w:szCs w:val="18"/>
                <w:lang w:eastAsia="es-EC"/>
              </w:rPr>
              <w:pict>
                <v:shape id="_x0000_s2180" type="#_x0000_t32" style="position:absolute;left:0;text-align:left;margin-left:179.55pt;margin-top:95.7pt;width:20.25pt;height:18pt;flip:x;z-index:251946496" o:connectortype="straight" strokecolor="#e36c0a [2409]">
                  <v:stroke endarrow="block"/>
                </v:shape>
              </w:pict>
            </w:r>
            <w:r>
              <w:rPr>
                <w:rFonts w:ascii="Arial" w:hAnsi="Arial" w:cs="Arial"/>
                <w:b/>
                <w:i/>
                <w:noProof/>
                <w:sz w:val="18"/>
                <w:szCs w:val="18"/>
                <w:lang w:eastAsia="es-EC"/>
              </w:rPr>
              <w:pict>
                <v:shape id="_x0000_s1558" type="#_x0000_t202" style="position:absolute;left:0;text-align:left;margin-left:155.95pt;margin-top:83.3pt;width:89.8pt;height:15.8pt;z-index:2515522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558;mso-fit-shape-to-text:t">
                    <w:txbxContent>
                      <w:p w:rsidR="006933DF" w:rsidRPr="009C2ABD" w:rsidRDefault="006933DF" w:rsidP="00361FCE">
                        <w:pPr>
                          <w:rPr>
                            <w:rFonts w:ascii="Arial" w:hAnsi="Arial" w:cs="Arial"/>
                            <w:color w:val="E36C0A" w:themeColor="accent6" w:themeShade="BF"/>
                            <w:sz w:val="15"/>
                            <w:szCs w:val="15"/>
                          </w:rPr>
                        </w:pPr>
                        <w:r w:rsidRPr="009C2ABD">
                          <w:rPr>
                            <w:rFonts w:ascii="Arial" w:hAnsi="Arial" w:cs="Arial"/>
                            <w:color w:val="E36C0A" w:themeColor="accent6" w:themeShade="BF"/>
                            <w:sz w:val="15"/>
                            <w:szCs w:val="15"/>
                          </w:rPr>
                          <w:t>Analfabeto</w:t>
                        </w:r>
                      </w:p>
                    </w:txbxContent>
                  </v:textbox>
                </v:shape>
              </w:pict>
            </w:r>
            <w:r>
              <w:rPr>
                <w:rFonts w:ascii="Arial" w:hAnsi="Arial" w:cs="Arial"/>
                <w:b/>
                <w:i/>
                <w:noProof/>
                <w:sz w:val="18"/>
                <w:szCs w:val="18"/>
                <w:lang w:eastAsia="es-EC"/>
              </w:rPr>
              <w:pict>
                <v:shape id="_x0000_s1556" type="#_x0000_t202" style="position:absolute;left:0;text-align:left;margin-left:146.2pt;margin-top:26.4pt;width:89.8pt;height:15.8pt;z-index:2515502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556;mso-fit-shape-to-text:t">
                    <w:txbxContent>
                      <w:p w:rsidR="006933DF" w:rsidRPr="009C2ABD" w:rsidRDefault="006933DF" w:rsidP="00361FCE">
                        <w:pPr>
                          <w:rPr>
                            <w:rFonts w:ascii="Arial" w:hAnsi="Arial" w:cs="Arial"/>
                            <w:color w:val="0070C0"/>
                            <w:sz w:val="15"/>
                            <w:szCs w:val="15"/>
                          </w:rPr>
                        </w:pPr>
                        <w:r w:rsidRPr="009C2ABD">
                          <w:rPr>
                            <w:rFonts w:ascii="Arial" w:hAnsi="Arial" w:cs="Arial"/>
                            <w:color w:val="0070C0"/>
                            <w:sz w:val="15"/>
                            <w:szCs w:val="15"/>
                          </w:rPr>
                          <w:t>Alfabeto</w:t>
                        </w:r>
                      </w:p>
                    </w:txbxContent>
                  </v:textbox>
                </v:shape>
              </w:pict>
            </w:r>
            <w:r>
              <w:rPr>
                <w:rFonts w:ascii="Arial" w:hAnsi="Arial" w:cs="Arial"/>
                <w:b/>
                <w:i/>
                <w:noProof/>
                <w:sz w:val="18"/>
                <w:szCs w:val="18"/>
                <w:lang w:eastAsia="es-EC"/>
              </w:rPr>
              <w:pict>
                <v:shape id="_x0000_s2178" type="#_x0000_t32" style="position:absolute;left:0;text-align:left;margin-left:173.55pt;margin-top:13.6pt;width:18pt;height:15.8pt;flip:x y;z-index:251944448" o:connectortype="straight" strokecolor="#0070c0">
                  <v:stroke endarrow="block"/>
                </v:shape>
              </w:pict>
            </w:r>
            <w:r>
              <w:rPr>
                <w:rFonts w:ascii="Arial" w:hAnsi="Arial" w:cs="Arial"/>
                <w:b/>
                <w:i/>
                <w:noProof/>
                <w:sz w:val="18"/>
                <w:szCs w:val="18"/>
                <w:lang w:eastAsia="es-EC"/>
              </w:rPr>
              <w:pict>
                <v:shape id="_x0000_s1557" type="#_x0000_t202" style="position:absolute;left:0;text-align:left;margin-left:266pt;margin-top:55.6pt;width:104.75pt;height:17.9pt;z-index:25155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557">
                    <w:txbxContent>
                      <w:p w:rsidR="006933DF" w:rsidRPr="00C800F3"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drawing>
                <wp:inline distT="0" distB="0" distL="0" distR="0">
                  <wp:extent cx="4211955" cy="2016000"/>
                  <wp:effectExtent l="0" t="0" r="0" b="0"/>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561" type="#_x0000_t202" style="position:absolute;left:0;text-align:left;margin-left:155.95pt;margin-top:82pt;width:89.8pt;height:15.8pt;z-index:2515553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561;mso-fit-shape-to-text:t">
                    <w:txbxContent>
                      <w:p w:rsidR="006933DF" w:rsidRPr="009C2ABD" w:rsidRDefault="006933DF" w:rsidP="00361FCE">
                        <w:pPr>
                          <w:rPr>
                            <w:rFonts w:ascii="Arial" w:hAnsi="Arial" w:cs="Arial"/>
                            <w:color w:val="E36C0A" w:themeColor="accent6" w:themeShade="BF"/>
                            <w:sz w:val="15"/>
                            <w:szCs w:val="15"/>
                          </w:rPr>
                        </w:pPr>
                        <w:r w:rsidRPr="009C2ABD">
                          <w:rPr>
                            <w:rFonts w:ascii="Arial" w:hAnsi="Arial" w:cs="Arial"/>
                            <w:color w:val="E36C0A" w:themeColor="accent6" w:themeShade="BF"/>
                            <w:sz w:val="15"/>
                            <w:szCs w:val="15"/>
                          </w:rPr>
                          <w:t>Analfabeto</w:t>
                        </w:r>
                      </w:p>
                    </w:txbxContent>
                  </v:textbox>
                </v:shape>
              </w:pict>
            </w:r>
            <w:r>
              <w:rPr>
                <w:rFonts w:ascii="Arial" w:hAnsi="Arial" w:cs="Arial"/>
                <w:noProof/>
                <w:sz w:val="16"/>
                <w:szCs w:val="16"/>
                <w:lang w:eastAsia="es-EC"/>
              </w:rPr>
              <w:pict>
                <v:shape id="_x0000_s2181" type="#_x0000_t32" style="position:absolute;left:0;text-align:left;margin-left:179.55pt;margin-top:94.5pt;width:20.25pt;height:15.75pt;flip:x;z-index:251947520" o:connectortype="straight" strokecolor="#e36c0a [2409]">
                  <v:stroke endarrow="block"/>
                </v:shape>
              </w:pict>
            </w:r>
            <w:r>
              <w:rPr>
                <w:rFonts w:ascii="Arial" w:hAnsi="Arial" w:cs="Arial"/>
                <w:noProof/>
                <w:sz w:val="16"/>
                <w:szCs w:val="16"/>
                <w:lang w:eastAsia="es-EC"/>
              </w:rPr>
              <w:pict>
                <v:shape id="_x0000_s1559" type="#_x0000_t202" style="position:absolute;left:0;text-align:left;margin-left:156.7pt;margin-top:28.8pt;width:89.8pt;height:15.8pt;z-index:2515532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559;mso-fit-shape-to-text:t">
                    <w:txbxContent>
                      <w:p w:rsidR="006933DF" w:rsidRPr="009C2ABD" w:rsidRDefault="006933DF" w:rsidP="00361FCE">
                        <w:pPr>
                          <w:rPr>
                            <w:rFonts w:ascii="Arial" w:hAnsi="Arial" w:cs="Arial"/>
                            <w:color w:val="0070C0"/>
                            <w:sz w:val="15"/>
                            <w:szCs w:val="15"/>
                          </w:rPr>
                        </w:pPr>
                        <w:r w:rsidRPr="009C2ABD">
                          <w:rPr>
                            <w:rFonts w:ascii="Arial" w:hAnsi="Arial" w:cs="Arial"/>
                            <w:color w:val="0070C0"/>
                            <w:sz w:val="15"/>
                            <w:szCs w:val="15"/>
                          </w:rPr>
                          <w:t>Alfabeto</w:t>
                        </w:r>
                      </w:p>
                    </w:txbxContent>
                  </v:textbox>
                </v:shape>
              </w:pict>
            </w:r>
            <w:r>
              <w:rPr>
                <w:rFonts w:ascii="Arial" w:hAnsi="Arial" w:cs="Arial"/>
                <w:noProof/>
                <w:sz w:val="16"/>
                <w:szCs w:val="16"/>
                <w:lang w:eastAsia="es-EC"/>
              </w:rPr>
              <w:pict>
                <v:shape id="_x0000_s2179" type="#_x0000_t32" style="position:absolute;left:0;text-align:left;margin-left:180.3pt;margin-top:17.2pt;width:20.25pt;height:15.8pt;flip:x y;z-index:251945472" o:connectortype="straight" strokecolor="#0070c0">
                  <v:stroke endarrow="block"/>
                </v:shape>
              </w:pict>
            </w:r>
            <w:r>
              <w:rPr>
                <w:rFonts w:ascii="Arial" w:hAnsi="Arial" w:cs="Arial"/>
                <w:noProof/>
                <w:sz w:val="16"/>
                <w:szCs w:val="16"/>
                <w:lang w:eastAsia="es-EC"/>
              </w:rPr>
              <w:pict>
                <v:shape id="_x0000_s1560" type="#_x0000_t202" style="position:absolute;left:0;text-align:left;margin-left:246.5pt;margin-top:48.35pt;width:104.75pt;height:17.9pt;z-index:251554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560">
                    <w:txbxContent>
                      <w:p w:rsidR="006933DF" w:rsidRPr="00C800F3"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drawing>
                <wp:inline distT="0" distB="0" distL="0" distR="0">
                  <wp:extent cx="4211955" cy="2016000"/>
                  <wp:effectExtent l="0" t="0" r="0" b="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r>
    </w:tbl>
    <w:p w:rsidR="00361FCE" w:rsidRPr="00EA045C" w:rsidRDefault="00361FCE" w:rsidP="00EA045C">
      <w:pPr>
        <w:pStyle w:val="Prrafodelista"/>
        <w:spacing w:line="276" w:lineRule="auto"/>
        <w:ind w:left="851"/>
        <w:jc w:val="both"/>
        <w:rPr>
          <w:rFonts w:ascii="Arial" w:hAnsi="Arial" w:cs="Arial"/>
          <w:sz w:val="17"/>
          <w:szCs w:val="17"/>
        </w:rPr>
      </w:pPr>
    </w:p>
    <w:p w:rsidR="00361FCE" w:rsidRPr="00EA045C" w:rsidRDefault="00361FCE" w:rsidP="00EA045C">
      <w:pPr>
        <w:pStyle w:val="Prrafodelista"/>
        <w:spacing w:line="276" w:lineRule="auto"/>
        <w:ind w:left="851"/>
        <w:jc w:val="both"/>
        <w:rPr>
          <w:rFonts w:ascii="Arial" w:hAnsi="Arial" w:cs="Arial"/>
          <w:sz w:val="17"/>
          <w:szCs w:val="17"/>
        </w:rPr>
      </w:pPr>
      <w:r w:rsidRPr="00EA045C">
        <w:rPr>
          <w:rFonts w:ascii="Arial" w:hAnsi="Arial" w:cs="Arial"/>
          <w:b/>
          <w:i/>
          <w:sz w:val="17"/>
          <w:szCs w:val="17"/>
        </w:rPr>
        <w:t>Fuente:</w:t>
      </w:r>
      <w:r w:rsidRPr="00EA045C">
        <w:rPr>
          <w:rFonts w:ascii="Arial" w:hAnsi="Arial" w:cs="Arial"/>
          <w:sz w:val="17"/>
          <w:szCs w:val="17"/>
        </w:rPr>
        <w:t xml:space="preserve"> </w:t>
      </w:r>
      <w:r w:rsidRPr="00EA045C">
        <w:rPr>
          <w:rFonts w:ascii="Arial" w:hAnsi="Arial" w:cs="Arial"/>
          <w:b/>
          <w:sz w:val="17"/>
          <w:szCs w:val="17"/>
        </w:rPr>
        <w:t xml:space="preserve">INEC </w:t>
      </w:r>
      <w:r w:rsidRPr="00EA045C">
        <w:rPr>
          <w:rFonts w:ascii="Arial" w:hAnsi="Arial" w:cs="Arial"/>
          <w:sz w:val="17"/>
          <w:szCs w:val="17"/>
        </w:rPr>
        <w:t>(2010), Base de Datos del VII Censo de Población y VI de Vivienda.</w:t>
      </w:r>
    </w:p>
    <w:p w:rsidR="00361FCE" w:rsidRPr="00EA045C" w:rsidRDefault="00361FCE" w:rsidP="00EA045C">
      <w:pPr>
        <w:pStyle w:val="Prrafodelista"/>
        <w:spacing w:line="276" w:lineRule="auto"/>
        <w:ind w:left="851"/>
        <w:jc w:val="both"/>
        <w:rPr>
          <w:rFonts w:ascii="Arial" w:hAnsi="Arial" w:cs="Arial"/>
          <w:sz w:val="17"/>
          <w:szCs w:val="17"/>
        </w:rPr>
      </w:pPr>
      <w:r w:rsidRPr="00EA045C">
        <w:rPr>
          <w:rFonts w:ascii="Arial" w:hAnsi="Arial" w:cs="Arial"/>
          <w:b/>
          <w:i/>
          <w:sz w:val="17"/>
          <w:szCs w:val="17"/>
        </w:rPr>
        <w:t>Elaborado por:</w:t>
      </w:r>
      <w:r w:rsidRPr="00EA045C">
        <w:rPr>
          <w:rFonts w:ascii="Arial" w:hAnsi="Arial" w:cs="Arial"/>
          <w:sz w:val="17"/>
          <w:szCs w:val="17"/>
        </w:rPr>
        <w:t xml:space="preserve"> Katherine Loor Valeriano</w:t>
      </w:r>
    </w:p>
    <w:p w:rsidR="00361FCE" w:rsidRDefault="00361FCE" w:rsidP="00EA045C">
      <w:pPr>
        <w:pStyle w:val="Prrafodelista"/>
        <w:spacing w:line="480" w:lineRule="auto"/>
        <w:ind w:left="851"/>
        <w:jc w:val="both"/>
        <w:rPr>
          <w:rFonts w:ascii="Arial" w:hAnsi="Arial" w:cs="Arial"/>
        </w:rPr>
      </w:pPr>
    </w:p>
    <w:p w:rsidR="00EA045C" w:rsidRPr="00EA045C" w:rsidRDefault="00361FCE" w:rsidP="00EA045C">
      <w:pPr>
        <w:pStyle w:val="Prrafodelista"/>
        <w:spacing w:line="480" w:lineRule="auto"/>
        <w:ind w:left="851"/>
        <w:jc w:val="both"/>
        <w:rPr>
          <w:rFonts w:ascii="Arial" w:hAnsi="Arial" w:cs="Arial"/>
          <w:i/>
        </w:rPr>
      </w:pPr>
      <w:r>
        <w:rPr>
          <w:rFonts w:ascii="Arial" w:hAnsi="Arial" w:cs="Arial"/>
        </w:rPr>
        <w:lastRenderedPageBreak/>
        <w:t>Ahora vamos a considerar el nivel más alto de instrucción que tienen los peruanos que residen habitualmente en el Ecuador, de donde tenemos que el 0.12% de los peruanos asisten a un Centro de Alfabetización, el 25.12% tienen hasta instrucción primaria, el 47.90% secundaria, el 22.80% tiene hasta instrucción superior; y, el porcentaje restante son aquellos que no tienen instrucción alguna o no respondieron a esta pregunta. Pero, si solamente consideramos a la población peruana de género masculino tendríamos que el 0.14% de los hombres asisten a un Centro de Alfabetización, el 24.06% tienen hasta instrucción primaria, el 48.38% hasta secundaria, el 26.36% hasta superior sea pregrado o postgrado; mientras que si solo consideramos a las mujeres de esta misma nacionalidad tendríamos que el 0.09% asisten a un Centro de Alfabetización, el 26.54% tienen hasta instrucción primaria, el 47.25% secundaria y el 22.07% superior.</w:t>
      </w:r>
      <w:r w:rsidR="00EA045C">
        <w:rPr>
          <w:rFonts w:ascii="Arial" w:hAnsi="Arial" w:cs="Arial"/>
        </w:rPr>
        <w:t xml:space="preserve"> </w:t>
      </w:r>
      <w:r w:rsidR="00EA045C">
        <w:rPr>
          <w:rFonts w:ascii="Arial" w:hAnsi="Arial" w:cs="Arial"/>
          <w:i/>
        </w:rPr>
        <w:t>Véase Figura 4.38.</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EA045C">
        <w:trPr>
          <w:trHeight w:val="2674"/>
          <w:jc w:val="right"/>
        </w:trPr>
        <w:tc>
          <w:tcPr>
            <w:tcW w:w="7497" w:type="dxa"/>
          </w:tcPr>
          <w:p w:rsidR="00361FCE" w:rsidRPr="00840530" w:rsidRDefault="00361FCE" w:rsidP="00902050">
            <w:pPr>
              <w:rPr>
                <w:rFonts w:ascii="Arial" w:hAnsi="Arial" w:cs="Arial"/>
                <w:sz w:val="16"/>
                <w:szCs w:val="16"/>
              </w:rPr>
            </w:pPr>
          </w:p>
          <w:p w:rsidR="002B58DD" w:rsidRPr="002B58DD" w:rsidRDefault="002B58DD" w:rsidP="002B58DD">
            <w:pPr>
              <w:pStyle w:val="Epgrafe"/>
              <w:rPr>
                <w:rFonts w:ascii="Arial" w:hAnsi="Arial" w:cs="Arial"/>
                <w:bCs w:val="0"/>
                <w:color w:val="auto"/>
                <w:sz w:val="16"/>
                <w:szCs w:val="16"/>
              </w:rPr>
            </w:pPr>
            <w:bookmarkStart w:id="584" w:name="_Toc341044010"/>
            <w:r>
              <w:rPr>
                <w:rFonts w:ascii="Arial" w:hAnsi="Arial" w:cs="Arial"/>
                <w:bCs w:val="0"/>
                <w:color w:val="auto"/>
                <w:sz w:val="16"/>
                <w:szCs w:val="16"/>
              </w:rPr>
              <w:t>Figura 4.</w:t>
            </w:r>
            <w:r w:rsidR="00990535" w:rsidRPr="002B58DD">
              <w:rPr>
                <w:rFonts w:ascii="Arial" w:hAnsi="Arial" w:cs="Arial"/>
                <w:bCs w:val="0"/>
                <w:color w:val="auto"/>
                <w:sz w:val="16"/>
                <w:szCs w:val="16"/>
              </w:rPr>
              <w:fldChar w:fldCharType="begin"/>
            </w:r>
            <w:r w:rsidRPr="002B58DD">
              <w:rPr>
                <w:rFonts w:ascii="Arial" w:hAnsi="Arial" w:cs="Arial"/>
                <w:bCs w:val="0"/>
                <w:color w:val="auto"/>
                <w:sz w:val="16"/>
                <w:szCs w:val="16"/>
              </w:rPr>
              <w:instrText xml:space="preserve"> SEQ Figura_4. \* ARABIC </w:instrText>
            </w:r>
            <w:r w:rsidR="00990535" w:rsidRPr="002B58DD">
              <w:rPr>
                <w:rFonts w:ascii="Arial" w:hAnsi="Arial" w:cs="Arial"/>
                <w:bCs w:val="0"/>
                <w:color w:val="auto"/>
                <w:sz w:val="16"/>
                <w:szCs w:val="16"/>
              </w:rPr>
              <w:fldChar w:fldCharType="separate"/>
            </w:r>
            <w:r w:rsidR="00A242E0">
              <w:rPr>
                <w:rFonts w:ascii="Arial" w:hAnsi="Arial" w:cs="Arial"/>
                <w:bCs w:val="0"/>
                <w:noProof/>
                <w:color w:val="auto"/>
                <w:sz w:val="16"/>
                <w:szCs w:val="16"/>
              </w:rPr>
              <w:t>38</w:t>
            </w:r>
            <w:bookmarkEnd w:id="584"/>
            <w:r w:rsidR="00990535" w:rsidRPr="002B58DD">
              <w:rPr>
                <w:rFonts w:ascii="Arial" w:hAnsi="Arial" w:cs="Arial"/>
                <w:bCs w:val="0"/>
                <w:color w:val="auto"/>
                <w:sz w:val="16"/>
                <w:szCs w:val="16"/>
              </w:rPr>
              <w:fldChar w:fldCharType="end"/>
            </w:r>
          </w:p>
          <w:p w:rsidR="00EA045C" w:rsidRDefault="00EA045C" w:rsidP="00EA045C">
            <w:pPr>
              <w:rPr>
                <w:rFonts w:ascii="Arial" w:hAnsi="Arial" w:cs="Arial"/>
                <w:b/>
                <w:i/>
                <w:sz w:val="16"/>
                <w:szCs w:val="16"/>
              </w:rPr>
            </w:pPr>
            <w:r>
              <w:rPr>
                <w:rFonts w:ascii="Arial" w:hAnsi="Arial" w:cs="Arial"/>
                <w:b/>
                <w:i/>
                <w:sz w:val="16"/>
                <w:szCs w:val="16"/>
              </w:rPr>
              <w:t xml:space="preserve">Ecuador 2010: </w:t>
            </w:r>
            <w:r>
              <w:rPr>
                <w:rFonts w:ascii="Arial" w:hAnsi="Arial" w:cs="Arial"/>
                <w:i/>
                <w:sz w:val="16"/>
                <w:szCs w:val="16"/>
              </w:rPr>
              <w:t xml:space="preserve">Distribución Género – Edad – Nivel de Instrucción de los </w:t>
            </w:r>
            <w:r>
              <w:rPr>
                <w:rFonts w:ascii="Arial" w:hAnsi="Arial" w:cs="Arial"/>
                <w:b/>
                <w:i/>
                <w:sz w:val="16"/>
                <w:szCs w:val="16"/>
              </w:rPr>
              <w:t>peruanos</w:t>
            </w:r>
          </w:p>
          <w:p w:rsidR="00EA045C" w:rsidRPr="00EA045C" w:rsidRDefault="00EA045C" w:rsidP="00EA045C">
            <w:pPr>
              <w:rPr>
                <w:rFonts w:ascii="Arial" w:hAnsi="Arial" w:cs="Arial"/>
                <w:sz w:val="10"/>
                <w:szCs w:val="10"/>
              </w:rPr>
            </w:pP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563" type="#_x0000_t202" style="position:absolute;left:0;text-align:left;margin-left:183.25pt;margin-top:5.05pt;width:127.3pt;height:16.3pt;z-index:25155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OC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iEiNElncgTkitg2HQcTFRaMB9p6TD&#10;Ia+o/3ZgTlKi3xlsz3I8ncatSMp0Ni9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0+Dgi8CAABWBAAADgAAAAAAAAAAAAAAAAAuAgAAZHJz&#10;L2Uyb0RvYy54bWxQSwECLQAUAAYACAAAACEA/S8y1tsAAAAFAQAADwAAAAAAAAAAAAAAAACJBAAA&#10;ZHJzL2Rvd25yZXYueG1sUEsFBgAAAAAEAAQA8wAAAJEFAAAAAA==&#10;" filled="f" stroked="f">
                  <v:textbox>
                    <w:txbxContent>
                      <w:p w:rsidR="006933DF" w:rsidRPr="002D6729" w:rsidRDefault="006933DF" w:rsidP="00361FCE">
                        <w:pPr>
                          <w:rPr>
                            <w:rFonts w:ascii="Arial" w:hAnsi="Arial" w:cs="Arial"/>
                            <w:b/>
                            <w:sz w:val="15"/>
                            <w:szCs w:val="15"/>
                          </w:rPr>
                        </w:pPr>
                        <w:r w:rsidRPr="002D6729">
                          <w:rPr>
                            <w:rFonts w:ascii="Arial" w:hAnsi="Arial" w:cs="Arial"/>
                            <w:b/>
                            <w:sz w:val="15"/>
                            <w:szCs w:val="15"/>
                          </w:rPr>
                          <w:t>Femenino</w:t>
                        </w:r>
                      </w:p>
                    </w:txbxContent>
                  </v:textbox>
                </v:shape>
              </w:pict>
            </w:r>
            <w:r>
              <w:rPr>
                <w:noProof/>
              </w:rPr>
              <w:pict>
                <v:shape id="_x0000_s1562" type="#_x0000_t202" style="position:absolute;left:0;text-align:left;margin-left:55.95pt;margin-top:5.8pt;width:127.3pt;height:16.3pt;z-index:25155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OC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iEiNElncgTkitg2HQcTFRaMB9p6TD&#10;Ia+o/3ZgTlKi3xlsz3I8ncatSMp0Ni9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0+Dgi8CAABWBAAADgAAAAAAAAAAAAAAAAAuAgAAZHJz&#10;L2Uyb0RvYy54bWxQSwECLQAUAAYACAAAACEA/S8y1tsAAAAFAQAADwAAAAAAAAAAAAAAAACJBAAA&#10;ZHJzL2Rvd25yZXYueG1sUEsFBgAAAAAEAAQA8wAAAJEFAAAAAA==&#10;" filled="f" stroked="f">
                  <v:textbox>
                    <w:txbxContent>
                      <w:p w:rsidR="006933DF" w:rsidRPr="002D6729" w:rsidRDefault="006933DF" w:rsidP="00361FCE">
                        <w:pPr>
                          <w:rPr>
                            <w:rFonts w:ascii="Arial" w:hAnsi="Arial" w:cs="Arial"/>
                            <w:b/>
                            <w:sz w:val="15"/>
                            <w:szCs w:val="15"/>
                          </w:rPr>
                        </w:pPr>
                        <w:r w:rsidRPr="002D6729">
                          <w:rPr>
                            <w:rFonts w:ascii="Arial" w:hAnsi="Arial" w:cs="Arial"/>
                            <w:b/>
                            <w:sz w:val="15"/>
                            <w:szCs w:val="15"/>
                          </w:rPr>
                          <w:t>Masculino</w:t>
                        </w:r>
                      </w:p>
                    </w:txbxContent>
                  </v:textbox>
                </v:shape>
              </w:pict>
            </w:r>
            <w:r w:rsidR="00361FCE">
              <w:rPr>
                <w:noProof/>
                <w:lang w:eastAsia="es-EC"/>
              </w:rPr>
              <w:t xml:space="preserve"> </w:t>
            </w:r>
            <w:r w:rsidR="00361FCE">
              <w:rPr>
                <w:noProof/>
                <w:lang w:eastAsia="es-EC"/>
              </w:rPr>
              <w:drawing>
                <wp:inline distT="0" distB="0" distL="0" distR="0">
                  <wp:extent cx="4591050" cy="2232000"/>
                  <wp:effectExtent l="0" t="0" r="0" b="0"/>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bl>
    <w:p w:rsidR="00361FCE" w:rsidRPr="00EA045C" w:rsidRDefault="00361FCE" w:rsidP="00EA045C">
      <w:pPr>
        <w:pStyle w:val="Prrafodelista"/>
        <w:spacing w:line="276" w:lineRule="auto"/>
        <w:ind w:left="851"/>
        <w:jc w:val="both"/>
        <w:rPr>
          <w:rFonts w:ascii="Arial" w:hAnsi="Arial" w:cs="Arial"/>
          <w:sz w:val="17"/>
          <w:szCs w:val="17"/>
        </w:rPr>
      </w:pPr>
    </w:p>
    <w:p w:rsidR="00361FCE" w:rsidRPr="00EA045C" w:rsidRDefault="00361FCE" w:rsidP="00EA045C">
      <w:pPr>
        <w:pStyle w:val="Prrafodelista"/>
        <w:spacing w:line="276" w:lineRule="auto"/>
        <w:ind w:left="851"/>
        <w:jc w:val="both"/>
        <w:rPr>
          <w:rFonts w:ascii="Arial" w:hAnsi="Arial" w:cs="Arial"/>
          <w:sz w:val="17"/>
          <w:szCs w:val="17"/>
        </w:rPr>
      </w:pPr>
      <w:r w:rsidRPr="00EA045C">
        <w:rPr>
          <w:rFonts w:ascii="Arial" w:hAnsi="Arial" w:cs="Arial"/>
          <w:b/>
          <w:i/>
          <w:sz w:val="17"/>
          <w:szCs w:val="17"/>
        </w:rPr>
        <w:t>Fuente:</w:t>
      </w:r>
      <w:r w:rsidRPr="00EA045C">
        <w:rPr>
          <w:rFonts w:ascii="Arial" w:hAnsi="Arial" w:cs="Arial"/>
          <w:sz w:val="17"/>
          <w:szCs w:val="17"/>
        </w:rPr>
        <w:t xml:space="preserve"> </w:t>
      </w:r>
      <w:r w:rsidRPr="00EA045C">
        <w:rPr>
          <w:rFonts w:ascii="Arial" w:hAnsi="Arial" w:cs="Arial"/>
          <w:b/>
          <w:sz w:val="17"/>
          <w:szCs w:val="17"/>
        </w:rPr>
        <w:t xml:space="preserve">INEC </w:t>
      </w:r>
      <w:r w:rsidRPr="00EA045C">
        <w:rPr>
          <w:rFonts w:ascii="Arial" w:hAnsi="Arial" w:cs="Arial"/>
          <w:sz w:val="17"/>
          <w:szCs w:val="17"/>
        </w:rPr>
        <w:t>(2010), Base de Datos del VII Censo de Población y VI de Vivienda.</w:t>
      </w:r>
    </w:p>
    <w:p w:rsidR="00361FCE" w:rsidRPr="00EA045C" w:rsidRDefault="00361FCE" w:rsidP="00EA045C">
      <w:pPr>
        <w:pStyle w:val="Prrafodelista"/>
        <w:spacing w:line="276" w:lineRule="auto"/>
        <w:ind w:left="851"/>
        <w:jc w:val="both"/>
        <w:rPr>
          <w:rFonts w:ascii="Arial" w:hAnsi="Arial" w:cs="Arial"/>
          <w:sz w:val="17"/>
          <w:szCs w:val="17"/>
        </w:rPr>
      </w:pPr>
      <w:r w:rsidRPr="00EA045C">
        <w:rPr>
          <w:rFonts w:ascii="Arial" w:hAnsi="Arial" w:cs="Arial"/>
          <w:b/>
          <w:i/>
          <w:sz w:val="17"/>
          <w:szCs w:val="17"/>
        </w:rPr>
        <w:t>Elaborado por:</w:t>
      </w:r>
      <w:r w:rsidRPr="00EA045C">
        <w:rPr>
          <w:rFonts w:ascii="Arial" w:hAnsi="Arial" w:cs="Arial"/>
          <w:sz w:val="17"/>
          <w:szCs w:val="17"/>
        </w:rPr>
        <w:t xml:space="preserve"> Katherine Loor Valeriano</w:t>
      </w:r>
    </w:p>
    <w:p w:rsidR="00EA045C" w:rsidRDefault="00EA045C" w:rsidP="00EA045C">
      <w:pPr>
        <w:pStyle w:val="Prrafodelista"/>
        <w:spacing w:line="480" w:lineRule="auto"/>
        <w:ind w:left="851"/>
        <w:jc w:val="both"/>
        <w:rPr>
          <w:rFonts w:ascii="Arial" w:hAnsi="Arial" w:cs="Arial"/>
        </w:rPr>
      </w:pPr>
      <w:r>
        <w:rPr>
          <w:rFonts w:ascii="Arial" w:hAnsi="Arial" w:cs="Arial"/>
        </w:rPr>
        <w:lastRenderedPageBreak/>
        <w:t xml:space="preserve">Además, en la </w:t>
      </w:r>
      <w:r>
        <w:rPr>
          <w:rFonts w:ascii="Arial" w:hAnsi="Arial" w:cs="Arial"/>
          <w:i/>
        </w:rPr>
        <w:t>Figura 4.38</w:t>
      </w:r>
      <w:r>
        <w:rPr>
          <w:rFonts w:ascii="Arial" w:hAnsi="Arial" w:cs="Arial"/>
        </w:rPr>
        <w:t>, se presenta la distribución género, edad y nivel más alto de instrucción en donde la longitud de la barra de un determinado color representa el porcentaje de la población peruana que tiene una determinada edad, género y nivel de instrucción; por citar un ejemplo, consideremos el cuarto grupo de edad en donde tenemos que el 5.60% de la población peruana total son hombres con edades entre 20 y 25 años que tienen hasta instrucción secundaria (barra celeste).</w:t>
      </w:r>
    </w:p>
    <w:p w:rsidR="00EA045C" w:rsidRDefault="00EA045C" w:rsidP="00EA045C">
      <w:pPr>
        <w:pStyle w:val="Prrafodelista"/>
        <w:spacing w:line="480" w:lineRule="auto"/>
        <w:ind w:left="851"/>
        <w:jc w:val="both"/>
        <w:rPr>
          <w:rFonts w:ascii="Arial" w:hAnsi="Arial" w:cs="Arial"/>
        </w:rPr>
      </w:pPr>
    </w:p>
    <w:p w:rsidR="00361FCE" w:rsidRPr="0027425A" w:rsidRDefault="00361FCE" w:rsidP="00EA045C">
      <w:pPr>
        <w:pStyle w:val="Prrafodelista"/>
        <w:spacing w:line="480" w:lineRule="auto"/>
        <w:ind w:left="851"/>
        <w:jc w:val="both"/>
        <w:rPr>
          <w:rFonts w:ascii="Arial" w:hAnsi="Arial" w:cs="Arial"/>
          <w:i/>
        </w:rPr>
      </w:pPr>
      <w:r>
        <w:rPr>
          <w:rFonts w:ascii="Arial" w:hAnsi="Arial" w:cs="Arial"/>
        </w:rPr>
        <w:t xml:space="preserve">En la </w:t>
      </w:r>
      <w:r>
        <w:rPr>
          <w:rFonts w:ascii="Arial" w:hAnsi="Arial" w:cs="Arial"/>
          <w:i/>
        </w:rPr>
        <w:t>Figura 4.39</w:t>
      </w:r>
      <w:r>
        <w:rPr>
          <w:rFonts w:ascii="Arial" w:hAnsi="Arial" w:cs="Arial"/>
        </w:rPr>
        <w:t>, se presenta la distribución del género de la población peruana dado que se conoce el nivel más alto de instrucción; en donde, podemos observar que de los peruanos que asisten a un Centro de Alfabetización el 66.67% son hombres y el porcentaje restante son mujeres; mientras que, de los  que asisten o tienen hasta instrucción primaria el 45.34% son mujeres y el 54.66% son hombres; y, de los que tienen hasta instrucción superior sea a nivel de pregrado o postgrado el 58.45% son hombres y el 41.55% son mujeres.</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EA045C">
        <w:trPr>
          <w:trHeight w:val="2532"/>
          <w:jc w:val="right"/>
        </w:trPr>
        <w:tc>
          <w:tcPr>
            <w:tcW w:w="7497" w:type="dxa"/>
          </w:tcPr>
          <w:p w:rsidR="00361FCE" w:rsidRPr="00840530" w:rsidRDefault="00361FCE" w:rsidP="00902050">
            <w:pPr>
              <w:rPr>
                <w:rFonts w:ascii="Arial" w:hAnsi="Arial" w:cs="Arial"/>
                <w:sz w:val="16"/>
                <w:szCs w:val="16"/>
              </w:rPr>
            </w:pPr>
          </w:p>
          <w:p w:rsidR="002B58DD" w:rsidRPr="002B58DD" w:rsidRDefault="002B58DD" w:rsidP="002B58DD">
            <w:pPr>
              <w:pStyle w:val="Epgrafe"/>
              <w:rPr>
                <w:rFonts w:ascii="Arial" w:hAnsi="Arial" w:cs="Arial"/>
                <w:bCs w:val="0"/>
                <w:color w:val="auto"/>
                <w:sz w:val="16"/>
                <w:szCs w:val="16"/>
              </w:rPr>
            </w:pPr>
            <w:bookmarkStart w:id="585" w:name="_Toc341044011"/>
            <w:r w:rsidRPr="002B58DD">
              <w:rPr>
                <w:rFonts w:ascii="Arial" w:hAnsi="Arial" w:cs="Arial"/>
                <w:bCs w:val="0"/>
                <w:color w:val="auto"/>
                <w:sz w:val="16"/>
                <w:szCs w:val="16"/>
              </w:rPr>
              <w:t>Figura 4.</w:t>
            </w:r>
            <w:r w:rsidR="00990535" w:rsidRPr="002B58DD">
              <w:rPr>
                <w:rFonts w:ascii="Arial" w:hAnsi="Arial" w:cs="Arial"/>
                <w:bCs w:val="0"/>
                <w:color w:val="auto"/>
                <w:sz w:val="16"/>
                <w:szCs w:val="16"/>
              </w:rPr>
              <w:fldChar w:fldCharType="begin"/>
            </w:r>
            <w:r w:rsidRPr="002B58DD">
              <w:rPr>
                <w:rFonts w:ascii="Arial" w:hAnsi="Arial" w:cs="Arial"/>
                <w:bCs w:val="0"/>
                <w:color w:val="auto"/>
                <w:sz w:val="16"/>
                <w:szCs w:val="16"/>
              </w:rPr>
              <w:instrText xml:space="preserve"> SEQ Figura_4. \* ARABIC </w:instrText>
            </w:r>
            <w:r w:rsidR="00990535" w:rsidRPr="002B58DD">
              <w:rPr>
                <w:rFonts w:ascii="Arial" w:hAnsi="Arial" w:cs="Arial"/>
                <w:bCs w:val="0"/>
                <w:color w:val="auto"/>
                <w:sz w:val="16"/>
                <w:szCs w:val="16"/>
              </w:rPr>
              <w:fldChar w:fldCharType="separate"/>
            </w:r>
            <w:r w:rsidR="00A242E0">
              <w:rPr>
                <w:rFonts w:ascii="Arial" w:hAnsi="Arial" w:cs="Arial"/>
                <w:bCs w:val="0"/>
                <w:noProof/>
                <w:color w:val="auto"/>
                <w:sz w:val="16"/>
                <w:szCs w:val="16"/>
              </w:rPr>
              <w:t>39</w:t>
            </w:r>
            <w:bookmarkEnd w:id="585"/>
            <w:r w:rsidR="00990535" w:rsidRPr="002B58DD">
              <w:rPr>
                <w:rFonts w:ascii="Arial" w:hAnsi="Arial" w:cs="Arial"/>
                <w:bCs w:val="0"/>
                <w:color w:val="auto"/>
                <w:sz w:val="16"/>
                <w:szCs w:val="16"/>
              </w:rPr>
              <w:fldChar w:fldCharType="end"/>
            </w:r>
          </w:p>
          <w:p w:rsidR="00EA045C" w:rsidRDefault="00EA045C" w:rsidP="00EA045C">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Distribución condicional de Género de los </w:t>
            </w:r>
            <w:r>
              <w:rPr>
                <w:rFonts w:ascii="Arial" w:hAnsi="Arial" w:cs="Arial"/>
                <w:b/>
                <w:i/>
                <w:sz w:val="16"/>
                <w:szCs w:val="16"/>
              </w:rPr>
              <w:t xml:space="preserve">peruanos </w:t>
            </w:r>
            <w:r>
              <w:rPr>
                <w:rFonts w:ascii="Arial" w:hAnsi="Arial" w:cs="Arial"/>
                <w:i/>
                <w:sz w:val="16"/>
                <w:szCs w:val="16"/>
              </w:rPr>
              <w:t xml:space="preserve">dado que se </w:t>
            </w:r>
          </w:p>
          <w:p w:rsidR="00EA045C" w:rsidRDefault="00EA045C" w:rsidP="00EA045C">
            <w:pPr>
              <w:rPr>
                <w:rFonts w:ascii="Arial" w:hAnsi="Arial" w:cs="Arial"/>
                <w:i/>
                <w:sz w:val="16"/>
                <w:szCs w:val="16"/>
              </w:rPr>
            </w:pPr>
            <w:r>
              <w:rPr>
                <w:rFonts w:ascii="Arial" w:hAnsi="Arial" w:cs="Arial"/>
                <w:i/>
                <w:sz w:val="16"/>
                <w:szCs w:val="16"/>
              </w:rPr>
              <w:t>conoce el Nivel más alto de instrucción</w:t>
            </w:r>
          </w:p>
          <w:p w:rsidR="00361FCE" w:rsidRPr="00660711" w:rsidRDefault="00361FCE" w:rsidP="00902050">
            <w:pPr>
              <w:rPr>
                <w:rFonts w:ascii="Arial" w:hAnsi="Arial" w:cs="Arial"/>
                <w:i/>
                <w:sz w:val="16"/>
                <w:szCs w:val="16"/>
              </w:rPr>
            </w:pPr>
            <w:r>
              <w:rPr>
                <w:noProof/>
                <w:lang w:eastAsia="es-EC"/>
              </w:rPr>
              <w:drawing>
                <wp:inline distT="0" distB="0" distL="0" distR="0">
                  <wp:extent cx="4410075" cy="1543050"/>
                  <wp:effectExtent l="0" t="0" r="0" b="0"/>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r>
    </w:tbl>
    <w:p w:rsidR="00361FCE" w:rsidRPr="00EA045C" w:rsidRDefault="00361FCE" w:rsidP="00EA045C">
      <w:pPr>
        <w:pStyle w:val="Prrafodelista"/>
        <w:spacing w:line="276" w:lineRule="auto"/>
        <w:ind w:left="851"/>
        <w:jc w:val="both"/>
        <w:rPr>
          <w:rFonts w:ascii="Arial" w:hAnsi="Arial" w:cs="Arial"/>
          <w:sz w:val="17"/>
          <w:szCs w:val="17"/>
        </w:rPr>
      </w:pPr>
    </w:p>
    <w:p w:rsidR="00361FCE" w:rsidRPr="00EA045C" w:rsidRDefault="00361FCE" w:rsidP="00EA045C">
      <w:pPr>
        <w:pStyle w:val="Prrafodelista"/>
        <w:spacing w:line="276" w:lineRule="auto"/>
        <w:ind w:left="851"/>
        <w:jc w:val="both"/>
        <w:rPr>
          <w:rFonts w:ascii="Arial" w:hAnsi="Arial" w:cs="Arial"/>
          <w:sz w:val="17"/>
          <w:szCs w:val="17"/>
        </w:rPr>
      </w:pPr>
      <w:r w:rsidRPr="00EA045C">
        <w:rPr>
          <w:rFonts w:ascii="Arial" w:hAnsi="Arial" w:cs="Arial"/>
          <w:b/>
          <w:i/>
          <w:sz w:val="17"/>
          <w:szCs w:val="17"/>
        </w:rPr>
        <w:t>Fuente:</w:t>
      </w:r>
      <w:r w:rsidRPr="00EA045C">
        <w:rPr>
          <w:rFonts w:ascii="Arial" w:hAnsi="Arial" w:cs="Arial"/>
          <w:sz w:val="17"/>
          <w:szCs w:val="17"/>
        </w:rPr>
        <w:t xml:space="preserve"> </w:t>
      </w:r>
      <w:r w:rsidRPr="00EA045C">
        <w:rPr>
          <w:rFonts w:ascii="Arial" w:hAnsi="Arial" w:cs="Arial"/>
          <w:b/>
          <w:sz w:val="17"/>
          <w:szCs w:val="17"/>
        </w:rPr>
        <w:t xml:space="preserve">INEC </w:t>
      </w:r>
      <w:r w:rsidRPr="00EA045C">
        <w:rPr>
          <w:rFonts w:ascii="Arial" w:hAnsi="Arial" w:cs="Arial"/>
          <w:sz w:val="17"/>
          <w:szCs w:val="17"/>
        </w:rPr>
        <w:t>(2010), Base de Datos del VII Censo de Población y VI de Vivienda.</w:t>
      </w:r>
    </w:p>
    <w:p w:rsidR="00361FCE" w:rsidRDefault="00361FCE" w:rsidP="00EA045C">
      <w:pPr>
        <w:pStyle w:val="Prrafodelista"/>
        <w:spacing w:line="276" w:lineRule="auto"/>
        <w:ind w:left="851"/>
        <w:jc w:val="both"/>
        <w:rPr>
          <w:rFonts w:ascii="Arial" w:hAnsi="Arial" w:cs="Arial"/>
          <w:sz w:val="18"/>
          <w:szCs w:val="18"/>
        </w:rPr>
      </w:pPr>
      <w:r w:rsidRPr="00EA045C">
        <w:rPr>
          <w:rFonts w:ascii="Arial" w:hAnsi="Arial" w:cs="Arial"/>
          <w:b/>
          <w:i/>
          <w:sz w:val="17"/>
          <w:szCs w:val="17"/>
        </w:rPr>
        <w:t>Elaborado por:</w:t>
      </w:r>
      <w:r w:rsidRPr="00EA045C">
        <w:rPr>
          <w:rFonts w:ascii="Arial" w:hAnsi="Arial" w:cs="Arial"/>
          <w:sz w:val="17"/>
          <w:szCs w:val="17"/>
        </w:rPr>
        <w:t xml:space="preserve"> Katherine Loor Valeriano</w:t>
      </w:r>
    </w:p>
    <w:p w:rsidR="004161C9" w:rsidRDefault="00361FCE" w:rsidP="00EA045C">
      <w:pPr>
        <w:pStyle w:val="Prrafodelista"/>
        <w:spacing w:line="480" w:lineRule="auto"/>
        <w:ind w:left="851"/>
        <w:jc w:val="both"/>
        <w:rPr>
          <w:rFonts w:ascii="Arial" w:hAnsi="Arial" w:cs="Arial"/>
        </w:rPr>
      </w:pPr>
      <w:r>
        <w:rPr>
          <w:rFonts w:ascii="Arial" w:hAnsi="Arial" w:cs="Arial"/>
        </w:rPr>
        <w:lastRenderedPageBreak/>
        <w:t xml:space="preserve">Como se mencionó en líneas previas el 23.36% del total de peruanas de género masculino tienen hasta instrucción superior y el 22.07% del total de mujeres de la misma nacionalidad tienen hasta instrucción superior también; por tanto, ahora analizaremos las tasas de universitarios por cada 1000 peruanos dado el género y el grupo de edad. En la </w:t>
      </w:r>
      <w:r>
        <w:rPr>
          <w:rFonts w:ascii="Arial" w:hAnsi="Arial" w:cs="Arial"/>
          <w:i/>
        </w:rPr>
        <w:t>Figura 4.40</w:t>
      </w:r>
      <w:r>
        <w:rPr>
          <w:rFonts w:ascii="Arial" w:hAnsi="Arial" w:cs="Arial"/>
        </w:rPr>
        <w:t xml:space="preserve">, podemos notar en el caso de los hombres que la tasa de universitarios aumenta hasta edades inferiores a 65 años, de aquí en adelante empieza a disminuir y nuevamente en el último grupo de edad se presenta un ascenso en el valor de dicha tasa; mientras que en la mujeres la tasa de universitarios también se incrementa hasta los 65 años y a partir de aquí presentan descensos muy notorios, finalmente incrementándose en el último grupo de edad. Cabe mencionar que la tasa de universitarios es mayor para los hombres en la mayoría de los grupos de edad, excepto entre las edades comprendidas entre 20 y 40 años, además no hay peruanas mayores de 95 años que tengan instrucción superior; y, el único peruano mayor de 100 años que vive en Ecuador, según Censo 2010, tiene instrucción primaria por tanto la tasa de universitarios para esa edad es igual a cero. </w:t>
      </w:r>
    </w:p>
    <w:p w:rsidR="004161C9" w:rsidRDefault="004161C9" w:rsidP="00EA045C">
      <w:pPr>
        <w:pStyle w:val="Prrafodelista"/>
        <w:spacing w:line="480" w:lineRule="auto"/>
        <w:ind w:left="851"/>
        <w:jc w:val="both"/>
        <w:rPr>
          <w:rFonts w:ascii="Arial" w:hAnsi="Arial" w:cs="Arial"/>
        </w:rPr>
      </w:pPr>
    </w:p>
    <w:p w:rsidR="00361FCE" w:rsidRPr="00225441" w:rsidRDefault="00361FCE" w:rsidP="00EA045C">
      <w:pPr>
        <w:pStyle w:val="Prrafodelista"/>
        <w:spacing w:line="480" w:lineRule="auto"/>
        <w:ind w:left="851"/>
        <w:jc w:val="both"/>
        <w:rPr>
          <w:rFonts w:ascii="Arial" w:hAnsi="Arial" w:cs="Arial"/>
          <w:i/>
        </w:rPr>
      </w:pPr>
      <w:r>
        <w:rPr>
          <w:rFonts w:ascii="Arial" w:hAnsi="Arial" w:cs="Arial"/>
        </w:rPr>
        <w:t xml:space="preserve">De los peruanos de género masculino con edades comprendidas entre 25 y 30 años, por cada 1000 de ellos, 194.23 han asistido a la universidad, 786.75 no lo han hecho y 19.03 no respondieron; mientras que las mujeres de la misma nacionalidad y grupo de edad, por cada 1000 de ellas, 241.64 tienen hasta instrucción superior, 749.07 no han asistido a la universidad y </w:t>
      </w:r>
      <w:r>
        <w:rPr>
          <w:rFonts w:ascii="Arial" w:hAnsi="Arial" w:cs="Arial"/>
        </w:rPr>
        <w:lastRenderedPageBreak/>
        <w:t xml:space="preserve">9.29 no respondieron a esta pregunta el día del empadronamiento, por tanto constituyen datos ignorados. Ahora analicemos qué sucede con los hombres nativos de Perú que residen en Ecuador y cuyas edades están comprendidas entre 60 y 65 años, por cada 1000 de ellos, 475.68 tienen hasta instrucción superior sea a nivel de pregrado o postgrado, 497.30 no han asistido a la universidad y 27.03 no declararon; mientras que las mujeres del mismo grupo de edad, por cada 1000 de ellas, 333.33 tienen hasta instrucción superior, 666.67 no tienen algún título universitario y para este grupo de edad en particular todas las mujeres respondieron a esta pregunta. </w:t>
      </w:r>
      <w:r w:rsidR="004161C9">
        <w:rPr>
          <w:rFonts w:ascii="Arial" w:hAnsi="Arial" w:cs="Arial"/>
          <w:i/>
        </w:rPr>
        <w:t>V</w:t>
      </w:r>
      <w:r>
        <w:rPr>
          <w:rFonts w:ascii="Arial" w:hAnsi="Arial" w:cs="Arial"/>
          <w:i/>
        </w:rPr>
        <w:t>éase Figura 4.40.</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EA045C">
        <w:trPr>
          <w:trHeight w:val="3666"/>
          <w:jc w:val="right"/>
        </w:trPr>
        <w:tc>
          <w:tcPr>
            <w:tcW w:w="7497" w:type="dxa"/>
          </w:tcPr>
          <w:p w:rsidR="00361FCE" w:rsidRPr="00840530" w:rsidRDefault="00361FCE" w:rsidP="00902050">
            <w:pPr>
              <w:rPr>
                <w:rFonts w:ascii="Arial" w:hAnsi="Arial" w:cs="Arial"/>
                <w:sz w:val="16"/>
                <w:szCs w:val="16"/>
              </w:rPr>
            </w:pPr>
          </w:p>
          <w:p w:rsidR="002B58DD" w:rsidRPr="002B58DD" w:rsidRDefault="002B58DD" w:rsidP="002B58DD">
            <w:pPr>
              <w:pStyle w:val="Epgrafe"/>
              <w:rPr>
                <w:rFonts w:ascii="Arial" w:hAnsi="Arial" w:cs="Arial"/>
                <w:bCs w:val="0"/>
                <w:color w:val="auto"/>
                <w:sz w:val="16"/>
                <w:szCs w:val="16"/>
              </w:rPr>
            </w:pPr>
            <w:bookmarkStart w:id="586" w:name="_Toc341044012"/>
            <w:r>
              <w:rPr>
                <w:rFonts w:ascii="Arial" w:hAnsi="Arial" w:cs="Arial"/>
                <w:bCs w:val="0"/>
                <w:color w:val="auto"/>
                <w:sz w:val="16"/>
                <w:szCs w:val="16"/>
              </w:rPr>
              <w:t>Figura 4.</w:t>
            </w:r>
            <w:r w:rsidR="00990535" w:rsidRPr="002B58DD">
              <w:rPr>
                <w:rFonts w:ascii="Arial" w:hAnsi="Arial" w:cs="Arial"/>
                <w:bCs w:val="0"/>
                <w:color w:val="auto"/>
                <w:sz w:val="16"/>
                <w:szCs w:val="16"/>
              </w:rPr>
              <w:fldChar w:fldCharType="begin"/>
            </w:r>
            <w:r w:rsidRPr="002B58DD">
              <w:rPr>
                <w:rFonts w:ascii="Arial" w:hAnsi="Arial" w:cs="Arial"/>
                <w:bCs w:val="0"/>
                <w:color w:val="auto"/>
                <w:sz w:val="16"/>
                <w:szCs w:val="16"/>
              </w:rPr>
              <w:instrText xml:space="preserve"> SEQ Figura_4. \* ARABIC </w:instrText>
            </w:r>
            <w:r w:rsidR="00990535" w:rsidRPr="002B58DD">
              <w:rPr>
                <w:rFonts w:ascii="Arial" w:hAnsi="Arial" w:cs="Arial"/>
                <w:bCs w:val="0"/>
                <w:color w:val="auto"/>
                <w:sz w:val="16"/>
                <w:szCs w:val="16"/>
              </w:rPr>
              <w:fldChar w:fldCharType="separate"/>
            </w:r>
            <w:r w:rsidR="00A242E0">
              <w:rPr>
                <w:rFonts w:ascii="Arial" w:hAnsi="Arial" w:cs="Arial"/>
                <w:bCs w:val="0"/>
                <w:noProof/>
                <w:color w:val="auto"/>
                <w:sz w:val="16"/>
                <w:szCs w:val="16"/>
              </w:rPr>
              <w:t>40</w:t>
            </w:r>
            <w:bookmarkEnd w:id="586"/>
            <w:r w:rsidR="00990535" w:rsidRPr="002B58DD">
              <w:rPr>
                <w:rFonts w:ascii="Arial" w:hAnsi="Arial" w:cs="Arial"/>
                <w:bCs w:val="0"/>
                <w:color w:val="auto"/>
                <w:sz w:val="16"/>
                <w:szCs w:val="16"/>
              </w:rPr>
              <w:fldChar w:fldCharType="end"/>
            </w:r>
          </w:p>
          <w:p w:rsidR="001233F7" w:rsidRDefault="001233F7" w:rsidP="001233F7">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Tasa de universitarios por cada 1000 </w:t>
            </w:r>
            <w:r>
              <w:rPr>
                <w:rFonts w:ascii="Arial" w:hAnsi="Arial" w:cs="Arial"/>
                <w:b/>
                <w:i/>
                <w:sz w:val="16"/>
                <w:szCs w:val="16"/>
              </w:rPr>
              <w:t>peruanos</w:t>
            </w:r>
            <w:r>
              <w:rPr>
                <w:rFonts w:ascii="Arial" w:hAnsi="Arial" w:cs="Arial"/>
                <w:i/>
                <w:sz w:val="16"/>
                <w:szCs w:val="16"/>
              </w:rPr>
              <w:t xml:space="preserve"> por Género y Grupo etario</w:t>
            </w:r>
          </w:p>
          <w:p w:rsidR="00361FCE" w:rsidRDefault="00436907" w:rsidP="00902050">
            <w:pPr>
              <w:rPr>
                <w:rFonts w:ascii="Arial" w:hAnsi="Arial" w:cs="Arial"/>
                <w:i/>
                <w:sz w:val="16"/>
                <w:szCs w:val="16"/>
              </w:rPr>
            </w:pPr>
            <w:r>
              <w:rPr>
                <w:rFonts w:ascii="Arial" w:hAnsi="Arial" w:cs="Arial"/>
                <w:noProof/>
                <w:sz w:val="16"/>
                <w:szCs w:val="16"/>
                <w:lang w:eastAsia="es-EC"/>
              </w:rPr>
              <w:pict>
                <v:shape id="_x0000_s1568" type="#_x0000_t202" style="position:absolute;left:0;text-align:left;margin-left:101.8pt;margin-top:74.75pt;width:133.5pt;height:15.35pt;z-index:25156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sidRPr="005B0B7F">
                          <w:rPr>
                            <w:rFonts w:ascii="Arial" w:hAnsi="Arial" w:cs="Arial"/>
                            <w:color w:val="CC0099"/>
                            <w:sz w:val="15"/>
                            <w:szCs w:val="15"/>
                          </w:rPr>
                          <w:t>Se ignora</w:t>
                        </w:r>
                      </w:p>
                    </w:txbxContent>
                  </v:textbox>
                </v:shape>
              </w:pict>
            </w:r>
            <w:r>
              <w:rPr>
                <w:rFonts w:ascii="Arial" w:hAnsi="Arial" w:cs="Arial"/>
                <w:noProof/>
                <w:sz w:val="16"/>
                <w:szCs w:val="16"/>
                <w:lang w:eastAsia="es-EC"/>
              </w:rPr>
              <w:pict>
                <v:shape id="_x0000_s2186" type="#_x0000_t32" style="position:absolute;left:0;text-align:left;margin-left:150.55pt;margin-top:85.6pt;width:13.25pt;height:10.9pt;flip:x;z-index:251952640" o:connectortype="straight" strokecolor="#d60093">
                  <v:stroke endarrow="block"/>
                </v:shape>
              </w:pict>
            </w:r>
            <w:r>
              <w:rPr>
                <w:rFonts w:ascii="Arial" w:hAnsi="Arial" w:cs="Arial"/>
                <w:noProof/>
                <w:sz w:val="16"/>
                <w:szCs w:val="16"/>
                <w:lang w:eastAsia="es-EC"/>
              </w:rPr>
              <w:pict>
                <v:shape id="_x0000_s1566" type="#_x0000_t202" style="position:absolute;left:0;text-align:left;margin-left:62.8pt;margin-top:45.5pt;width:133.5pt;height:15.35pt;z-index:25156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Universitarios</w:t>
                        </w:r>
                      </w:p>
                    </w:txbxContent>
                  </v:textbox>
                </v:shape>
              </w:pict>
            </w:r>
            <w:r>
              <w:rPr>
                <w:rFonts w:ascii="Arial" w:hAnsi="Arial" w:cs="Arial"/>
                <w:noProof/>
                <w:sz w:val="16"/>
                <w:szCs w:val="16"/>
                <w:lang w:eastAsia="es-EC"/>
              </w:rPr>
              <w:pict>
                <v:shape id="_x0000_s2184" type="#_x0000_t32" style="position:absolute;left:0;text-align:left;margin-left:131.55pt;margin-top:56.75pt;width:19pt;height:12.75pt;z-index:251950592" o:connectortype="straight" strokecolor="#0070c0">
                  <v:stroke endarrow="block"/>
                </v:shape>
              </w:pict>
            </w:r>
            <w:r>
              <w:rPr>
                <w:rFonts w:ascii="Arial" w:hAnsi="Arial" w:cs="Arial"/>
                <w:noProof/>
                <w:sz w:val="16"/>
                <w:szCs w:val="16"/>
                <w:lang w:eastAsia="es-EC"/>
              </w:rPr>
              <w:pict>
                <v:shape id="_x0000_s1567" type="#_x0000_t202" style="position:absolute;left:0;text-align:left;margin-left:150.55pt;margin-top:21pt;width:133.5pt;height:15.35pt;z-index:25156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No Universitarios</w:t>
                        </w:r>
                      </w:p>
                    </w:txbxContent>
                  </v:textbox>
                </v:shape>
              </w:pict>
            </w:r>
            <w:r>
              <w:rPr>
                <w:rFonts w:ascii="Arial" w:hAnsi="Arial" w:cs="Arial"/>
                <w:noProof/>
                <w:sz w:val="16"/>
                <w:szCs w:val="16"/>
                <w:lang w:eastAsia="es-EC"/>
              </w:rPr>
              <w:pict>
                <v:shape id="_x0000_s2182" type="#_x0000_t32" style="position:absolute;left:0;text-align:left;margin-left:198.3pt;margin-top:32.75pt;width:13.75pt;height:12pt;flip:x;z-index:251948544" o:connectortype="straight" strokecolor="#e36c0a [2409]">
                  <v:stroke endarrow="block"/>
                </v:shape>
              </w:pict>
            </w:r>
            <w:r>
              <w:rPr>
                <w:noProof/>
              </w:rPr>
              <w:pict>
                <v:shape id="_x0000_s1564" type="#_x0000_t202" style="position:absolute;left:0;text-align:left;margin-left:77.8pt;margin-top:13.5pt;width:133.5pt;height:15.35pt;z-index:25155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sidRPr="005B0B7F">
                          <w:rPr>
                            <w:rFonts w:ascii="Arial" w:hAnsi="Arial" w:cs="Arial"/>
                            <w:b/>
                            <w:sz w:val="15"/>
                            <w:szCs w:val="15"/>
                          </w:rPr>
                          <w:t>Hombres</w:t>
                        </w:r>
                      </w:p>
                    </w:txbxContent>
                  </v:textbox>
                </v:shape>
              </w:pict>
            </w:r>
            <w:r w:rsidR="00361FCE">
              <w:rPr>
                <w:noProof/>
                <w:lang w:eastAsia="es-EC"/>
              </w:rPr>
              <w:drawing>
                <wp:inline distT="0" distB="0" distL="0" distR="0">
                  <wp:extent cx="4211955" cy="1800000"/>
                  <wp:effectExtent l="0" t="0" r="0" b="0"/>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571" type="#_x0000_t202" style="position:absolute;left:0;text-align:left;margin-left:101.05pt;margin-top:75.55pt;width:133.5pt;height:15.35pt;z-index:25156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sidRPr="005B0B7F">
                          <w:rPr>
                            <w:rFonts w:ascii="Arial" w:hAnsi="Arial" w:cs="Arial"/>
                            <w:color w:val="CC0099"/>
                            <w:sz w:val="15"/>
                            <w:szCs w:val="15"/>
                          </w:rPr>
                          <w:t>Se ignora</w:t>
                        </w:r>
                      </w:p>
                    </w:txbxContent>
                  </v:textbox>
                </v:shape>
              </w:pict>
            </w:r>
            <w:r>
              <w:rPr>
                <w:rFonts w:ascii="Arial" w:hAnsi="Arial" w:cs="Arial"/>
                <w:noProof/>
                <w:sz w:val="16"/>
                <w:szCs w:val="16"/>
                <w:lang w:eastAsia="es-EC"/>
              </w:rPr>
              <w:pict>
                <v:shape id="_x0000_s2187" type="#_x0000_t32" style="position:absolute;left:0;text-align:left;margin-left:160.05pt;margin-top:86.8pt;width:9.75pt;height:11.25pt;flip:x;z-index:251953664" o:connectortype="straight" strokecolor="#d60093">
                  <v:stroke endarrow="block"/>
                </v:shape>
              </w:pict>
            </w:r>
            <w:r>
              <w:rPr>
                <w:rFonts w:ascii="Arial" w:hAnsi="Arial" w:cs="Arial"/>
                <w:noProof/>
                <w:sz w:val="16"/>
                <w:szCs w:val="16"/>
                <w:lang w:eastAsia="es-EC"/>
              </w:rPr>
              <w:pict>
                <v:shape id="_x0000_s1569" type="#_x0000_t202" style="position:absolute;left:0;text-align:left;margin-left:78.55pt;margin-top:48.55pt;width:133.5pt;height:15.35pt;z-index:25156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Universitarios</w:t>
                        </w:r>
                      </w:p>
                    </w:txbxContent>
                  </v:textbox>
                </v:shape>
              </w:pict>
            </w:r>
            <w:r>
              <w:rPr>
                <w:rFonts w:ascii="Arial" w:hAnsi="Arial" w:cs="Arial"/>
                <w:noProof/>
                <w:sz w:val="16"/>
                <w:szCs w:val="16"/>
                <w:lang w:eastAsia="es-EC"/>
              </w:rPr>
              <w:pict>
                <v:shape id="_x0000_s2185" type="#_x0000_t32" style="position:absolute;left:0;text-align:left;margin-left:145.05pt;margin-top:59.4pt;width:15pt;height:12.4pt;z-index:251951616" o:connectortype="straight" strokecolor="#0070c0">
                  <v:stroke endarrow="block"/>
                </v:shape>
              </w:pict>
            </w:r>
            <w:r>
              <w:rPr>
                <w:rFonts w:ascii="Arial" w:hAnsi="Arial" w:cs="Arial"/>
                <w:noProof/>
                <w:sz w:val="16"/>
                <w:szCs w:val="16"/>
                <w:lang w:eastAsia="es-EC"/>
              </w:rPr>
              <w:pict>
                <v:shape id="_x0000_s1570" type="#_x0000_t202" style="position:absolute;left:0;text-align:left;margin-left:194.05pt;margin-top:44.05pt;width:133.5pt;height:15.35pt;z-index:25156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No Universitarios</w:t>
                        </w:r>
                      </w:p>
                    </w:txbxContent>
                  </v:textbox>
                </v:shape>
              </w:pict>
            </w:r>
            <w:r>
              <w:rPr>
                <w:rFonts w:ascii="Arial" w:hAnsi="Arial" w:cs="Arial"/>
                <w:noProof/>
                <w:sz w:val="16"/>
                <w:szCs w:val="16"/>
                <w:lang w:eastAsia="es-EC"/>
              </w:rPr>
              <w:pict>
                <v:shape id="_x0000_s2183" type="#_x0000_t32" style="position:absolute;left:0;text-align:left;margin-left:243.3pt;margin-top:35.4pt;width:18.75pt;height:10.9pt;flip:x y;z-index:251949568" o:connectortype="straight" strokecolor="#e36c0a [2409]">
                  <v:stroke endarrow="block"/>
                </v:shape>
              </w:pict>
            </w:r>
            <w:r>
              <w:rPr>
                <w:rFonts w:ascii="Arial" w:hAnsi="Arial" w:cs="Arial"/>
                <w:noProof/>
                <w:sz w:val="16"/>
                <w:szCs w:val="16"/>
                <w:lang w:eastAsia="es-EC"/>
              </w:rPr>
              <w:pict>
                <v:shape id="_x0000_s1565" type="#_x0000_t202" style="position:absolute;left:0;text-align:left;margin-left:78.55pt;margin-top:13.3pt;width:133.5pt;height:15.35pt;z-index:251559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sidRPr="005B0B7F">
                          <w:rPr>
                            <w:rFonts w:ascii="Arial" w:hAnsi="Arial" w:cs="Arial"/>
                            <w:b/>
                            <w:sz w:val="15"/>
                            <w:szCs w:val="15"/>
                          </w:rPr>
                          <w:t>Mujeres</w:t>
                        </w:r>
                      </w:p>
                    </w:txbxContent>
                  </v:textbox>
                </v:shape>
              </w:pict>
            </w:r>
            <w:r w:rsidR="00361FCE">
              <w:rPr>
                <w:noProof/>
                <w:lang w:eastAsia="es-EC"/>
              </w:rPr>
              <w:drawing>
                <wp:inline distT="0" distB="0" distL="0" distR="0">
                  <wp:extent cx="4211955" cy="1800000"/>
                  <wp:effectExtent l="0" t="0" r="0" b="0"/>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r>
    </w:tbl>
    <w:p w:rsidR="00361FCE" w:rsidRPr="001233F7" w:rsidRDefault="00361FCE" w:rsidP="001233F7">
      <w:pPr>
        <w:pStyle w:val="Prrafodelista"/>
        <w:spacing w:line="276" w:lineRule="auto"/>
        <w:ind w:left="851"/>
        <w:jc w:val="both"/>
        <w:rPr>
          <w:rFonts w:ascii="Arial" w:hAnsi="Arial" w:cs="Arial"/>
          <w:sz w:val="17"/>
          <w:szCs w:val="17"/>
        </w:rPr>
      </w:pPr>
    </w:p>
    <w:p w:rsidR="00361FCE" w:rsidRPr="001233F7" w:rsidRDefault="00361FCE" w:rsidP="001233F7">
      <w:pPr>
        <w:pStyle w:val="Prrafodelista"/>
        <w:spacing w:line="276" w:lineRule="auto"/>
        <w:ind w:left="851"/>
        <w:jc w:val="both"/>
        <w:rPr>
          <w:rFonts w:ascii="Arial" w:hAnsi="Arial" w:cs="Arial"/>
          <w:sz w:val="17"/>
          <w:szCs w:val="17"/>
        </w:rPr>
      </w:pPr>
      <w:r w:rsidRPr="001233F7">
        <w:rPr>
          <w:rFonts w:ascii="Arial" w:hAnsi="Arial" w:cs="Arial"/>
          <w:b/>
          <w:i/>
          <w:sz w:val="17"/>
          <w:szCs w:val="17"/>
        </w:rPr>
        <w:t>Fuente:</w:t>
      </w:r>
      <w:r w:rsidRPr="001233F7">
        <w:rPr>
          <w:rFonts w:ascii="Arial" w:hAnsi="Arial" w:cs="Arial"/>
          <w:sz w:val="17"/>
          <w:szCs w:val="17"/>
        </w:rPr>
        <w:t xml:space="preserve"> </w:t>
      </w:r>
      <w:r w:rsidRPr="001233F7">
        <w:rPr>
          <w:rFonts w:ascii="Arial" w:hAnsi="Arial" w:cs="Arial"/>
          <w:b/>
          <w:sz w:val="17"/>
          <w:szCs w:val="17"/>
        </w:rPr>
        <w:t xml:space="preserve">INEC </w:t>
      </w:r>
      <w:r w:rsidRPr="001233F7">
        <w:rPr>
          <w:rFonts w:ascii="Arial" w:hAnsi="Arial" w:cs="Arial"/>
          <w:sz w:val="17"/>
          <w:szCs w:val="17"/>
        </w:rPr>
        <w:t>(2010), Base de Datos del VII Censo de Población y VI de Vivienda.</w:t>
      </w:r>
    </w:p>
    <w:p w:rsidR="00361FCE" w:rsidRPr="001233F7" w:rsidRDefault="00361FCE" w:rsidP="001233F7">
      <w:pPr>
        <w:pStyle w:val="Prrafodelista"/>
        <w:spacing w:line="276" w:lineRule="auto"/>
        <w:ind w:left="851"/>
        <w:jc w:val="both"/>
        <w:rPr>
          <w:rFonts w:ascii="Arial" w:hAnsi="Arial" w:cs="Arial"/>
          <w:sz w:val="17"/>
          <w:szCs w:val="17"/>
        </w:rPr>
      </w:pPr>
      <w:r w:rsidRPr="001233F7">
        <w:rPr>
          <w:rFonts w:ascii="Arial" w:hAnsi="Arial" w:cs="Arial"/>
          <w:b/>
          <w:i/>
          <w:sz w:val="17"/>
          <w:szCs w:val="17"/>
        </w:rPr>
        <w:t>Elaborado por:</w:t>
      </w:r>
      <w:r w:rsidRPr="001233F7">
        <w:rPr>
          <w:rFonts w:ascii="Arial" w:hAnsi="Arial" w:cs="Arial"/>
          <w:sz w:val="17"/>
          <w:szCs w:val="17"/>
        </w:rPr>
        <w:t xml:space="preserve"> Katherine Loor Valeriano</w:t>
      </w:r>
    </w:p>
    <w:p w:rsidR="00361FCE" w:rsidRDefault="00361FCE" w:rsidP="001233F7">
      <w:pPr>
        <w:pStyle w:val="Estilo42"/>
        <w:ind w:left="1560" w:hanging="709"/>
      </w:pPr>
      <w:bookmarkStart w:id="587" w:name="_Toc337135536"/>
      <w:bookmarkStart w:id="588" w:name="_Toc341040686"/>
      <w:r>
        <w:lastRenderedPageBreak/>
        <w:t>Estado Civil</w:t>
      </w:r>
      <w:bookmarkEnd w:id="587"/>
      <w:r w:rsidR="001233F7">
        <w:t xml:space="preserve"> de los peruanos</w:t>
      </w:r>
      <w:bookmarkEnd w:id="588"/>
    </w:p>
    <w:p w:rsidR="00361FCE" w:rsidRPr="00097868" w:rsidRDefault="00361FCE" w:rsidP="001233F7">
      <w:pPr>
        <w:pStyle w:val="Prrafodelista"/>
        <w:spacing w:line="480" w:lineRule="auto"/>
        <w:ind w:left="851"/>
        <w:jc w:val="both"/>
        <w:rPr>
          <w:rFonts w:ascii="Arial" w:hAnsi="Arial" w:cs="Arial"/>
          <w:i/>
        </w:rPr>
      </w:pPr>
      <w:r>
        <w:rPr>
          <w:rFonts w:ascii="Arial" w:hAnsi="Arial" w:cs="Arial"/>
        </w:rPr>
        <w:t xml:space="preserve">En lo que respecta al estado conyugal o civil, dentro de las opciones presentadas en la boleta censal usada para el empadronamiento de la población estaban soltero, casado, unido, divorciado, separado o viudo; dicha pregunta fue consultada a la población mayor de 12 de años. Para la población peruana residente en el país, tenemos que el 28.86% son solteros, el 24.42% están casado, el 40.03% están unidos, el 4.24% son separados, el 1.08% están divorciados; y, el 1.37% del total de peruanos son viudos; como se puede notar alrededor del 64.46% de la población proveniente de Perú son casados o unidos, a diferencia de los colombianos que eran el 61.53% el total de la población colombiana que estaba casada </w:t>
      </w:r>
      <w:r w:rsidRPr="00A45606">
        <w:rPr>
          <w:rFonts w:ascii="Arial" w:hAnsi="Arial" w:cs="Arial"/>
        </w:rPr>
        <w:t xml:space="preserve">o unida. </w:t>
      </w:r>
      <w:r w:rsidRPr="00A45606">
        <w:rPr>
          <w:rFonts w:ascii="Arial" w:hAnsi="Arial" w:cs="Arial"/>
          <w:i/>
        </w:rPr>
        <w:t>Véase Figura 4.41.</w:t>
      </w:r>
    </w:p>
    <w:tbl>
      <w:tblPr>
        <w:tblStyle w:val="Tablaconcuadrcula"/>
        <w:tblW w:w="7497" w:type="dxa"/>
        <w:jc w:val="right"/>
        <w:tblInd w:w="1113"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36"/>
      </w:tblGrid>
      <w:tr w:rsidR="00361FCE" w:rsidRPr="00840530" w:rsidTr="004161C9">
        <w:trPr>
          <w:trHeight w:val="2733"/>
          <w:jc w:val="right"/>
        </w:trPr>
        <w:tc>
          <w:tcPr>
            <w:tcW w:w="7497" w:type="dxa"/>
          </w:tcPr>
          <w:p w:rsidR="00361FCE" w:rsidRPr="00840530" w:rsidRDefault="00361FCE" w:rsidP="00902050">
            <w:pPr>
              <w:rPr>
                <w:rFonts w:ascii="Arial" w:hAnsi="Arial" w:cs="Arial"/>
                <w:sz w:val="16"/>
                <w:szCs w:val="16"/>
              </w:rPr>
            </w:pPr>
          </w:p>
          <w:p w:rsidR="004C1B57" w:rsidRPr="004C1B57" w:rsidRDefault="004C1B57" w:rsidP="004C1B57">
            <w:pPr>
              <w:pStyle w:val="Epgrafe"/>
              <w:rPr>
                <w:rFonts w:ascii="Arial" w:hAnsi="Arial" w:cs="Arial"/>
                <w:bCs w:val="0"/>
                <w:color w:val="auto"/>
                <w:sz w:val="16"/>
                <w:szCs w:val="16"/>
              </w:rPr>
            </w:pPr>
            <w:bookmarkStart w:id="589" w:name="_Toc341044013"/>
            <w:r>
              <w:rPr>
                <w:rFonts w:ascii="Arial" w:hAnsi="Arial" w:cs="Arial"/>
                <w:bCs w:val="0"/>
                <w:color w:val="auto"/>
                <w:sz w:val="16"/>
                <w:szCs w:val="16"/>
              </w:rPr>
              <w:t>Figura 4.</w:t>
            </w:r>
            <w:r w:rsidR="00990535" w:rsidRPr="004C1B57">
              <w:rPr>
                <w:rFonts w:ascii="Arial" w:hAnsi="Arial" w:cs="Arial"/>
                <w:bCs w:val="0"/>
                <w:color w:val="auto"/>
                <w:sz w:val="16"/>
                <w:szCs w:val="16"/>
              </w:rPr>
              <w:fldChar w:fldCharType="begin"/>
            </w:r>
            <w:r w:rsidRPr="004C1B57">
              <w:rPr>
                <w:rFonts w:ascii="Arial" w:hAnsi="Arial" w:cs="Arial"/>
                <w:bCs w:val="0"/>
                <w:color w:val="auto"/>
                <w:sz w:val="16"/>
                <w:szCs w:val="16"/>
              </w:rPr>
              <w:instrText xml:space="preserve"> SEQ Figura_4. \* ARABIC </w:instrText>
            </w:r>
            <w:r w:rsidR="00990535" w:rsidRPr="004C1B57">
              <w:rPr>
                <w:rFonts w:ascii="Arial" w:hAnsi="Arial" w:cs="Arial"/>
                <w:bCs w:val="0"/>
                <w:color w:val="auto"/>
                <w:sz w:val="16"/>
                <w:szCs w:val="16"/>
              </w:rPr>
              <w:fldChar w:fldCharType="separate"/>
            </w:r>
            <w:r w:rsidR="00A242E0">
              <w:rPr>
                <w:rFonts w:ascii="Arial" w:hAnsi="Arial" w:cs="Arial"/>
                <w:bCs w:val="0"/>
                <w:noProof/>
                <w:color w:val="auto"/>
                <w:sz w:val="16"/>
                <w:szCs w:val="16"/>
              </w:rPr>
              <w:t>41</w:t>
            </w:r>
            <w:bookmarkEnd w:id="589"/>
            <w:r w:rsidR="00990535" w:rsidRPr="004C1B57">
              <w:rPr>
                <w:rFonts w:ascii="Arial" w:hAnsi="Arial" w:cs="Arial"/>
                <w:bCs w:val="0"/>
                <w:color w:val="auto"/>
                <w:sz w:val="16"/>
                <w:szCs w:val="16"/>
              </w:rPr>
              <w:fldChar w:fldCharType="end"/>
            </w:r>
          </w:p>
          <w:p w:rsidR="00361FCE" w:rsidRPr="00BE1AC4" w:rsidRDefault="00BE1AC4" w:rsidP="00BE1AC4">
            <w:pPr>
              <w:rPr>
                <w:rFonts w:ascii="Arial" w:hAnsi="Arial" w:cs="Arial"/>
                <w:b/>
                <w:i/>
                <w:sz w:val="16"/>
                <w:szCs w:val="16"/>
              </w:rPr>
            </w:pPr>
            <w:r>
              <w:rPr>
                <w:rFonts w:ascii="Arial" w:hAnsi="Arial" w:cs="Arial"/>
                <w:b/>
                <w:i/>
                <w:sz w:val="16"/>
                <w:szCs w:val="16"/>
              </w:rPr>
              <w:t xml:space="preserve">Ecuador 2010: </w:t>
            </w:r>
            <w:r>
              <w:rPr>
                <w:rFonts w:ascii="Arial" w:hAnsi="Arial" w:cs="Arial"/>
                <w:i/>
                <w:sz w:val="16"/>
                <w:szCs w:val="16"/>
              </w:rPr>
              <w:t xml:space="preserve">Frecuencia Relativa de Estado Civil de los </w:t>
            </w:r>
            <w:r>
              <w:rPr>
                <w:rFonts w:ascii="Arial" w:hAnsi="Arial" w:cs="Arial"/>
                <w:b/>
                <w:i/>
                <w:sz w:val="16"/>
                <w:szCs w:val="16"/>
              </w:rPr>
              <w:t>peruanos</w:t>
            </w:r>
          </w:p>
          <w:tbl>
            <w:tblPr>
              <w:tblStyle w:val="Tablaconcuadrcula"/>
              <w:tblW w:w="7285" w:type="dxa"/>
              <w:jc w:val="center"/>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686"/>
              <w:gridCol w:w="4599"/>
            </w:tblGrid>
            <w:tr w:rsidR="00361FCE" w:rsidRPr="00A22FF9" w:rsidTr="00BE1AC4">
              <w:trPr>
                <w:trHeight w:val="2778"/>
                <w:jc w:val="center"/>
              </w:trPr>
              <w:tc>
                <w:tcPr>
                  <w:tcW w:w="2686" w:type="dxa"/>
                </w:tcPr>
                <w:p w:rsidR="00361FCE" w:rsidRDefault="00361FCE" w:rsidP="00902050">
                  <w:pPr>
                    <w:rPr>
                      <w:rFonts w:ascii="Arial" w:hAnsi="Arial" w:cs="Arial"/>
                      <w:b/>
                      <w:sz w:val="16"/>
                      <w:szCs w:val="16"/>
                    </w:rPr>
                  </w:pPr>
                  <w:r w:rsidRPr="005400D0">
                    <w:rPr>
                      <w:noProof/>
                      <w:sz w:val="10"/>
                      <w:szCs w:val="10"/>
                      <w:lang w:eastAsia="es-EC"/>
                    </w:rPr>
                    <w:t xml:space="preserve"> </w:t>
                  </w:r>
                </w:p>
                <w:p w:rsidR="00361FCE" w:rsidRPr="00A22FF9" w:rsidRDefault="00361FCE" w:rsidP="00902050">
                  <w:pPr>
                    <w:ind w:left="201"/>
                    <w:rPr>
                      <w:rFonts w:ascii="Arial" w:hAnsi="Arial" w:cs="Arial"/>
                      <w:b/>
                      <w:sz w:val="16"/>
                      <w:szCs w:val="16"/>
                    </w:rPr>
                  </w:pPr>
                  <w:r w:rsidRPr="00A22FF9">
                    <w:rPr>
                      <w:rFonts w:ascii="Arial" w:hAnsi="Arial" w:cs="Arial"/>
                      <w:b/>
                      <w:sz w:val="16"/>
                      <w:szCs w:val="16"/>
                    </w:rPr>
                    <w:t>Tabla de Frecuencias</w:t>
                  </w:r>
                </w:p>
                <w:p w:rsidR="00361FCE" w:rsidRDefault="00361FCE" w:rsidP="00902050">
                  <w:pPr>
                    <w:rPr>
                      <w:rFonts w:ascii="Arial" w:hAnsi="Arial" w:cs="Arial"/>
                      <w:sz w:val="10"/>
                      <w:szCs w:val="10"/>
                    </w:rPr>
                  </w:pPr>
                </w:p>
                <w:p w:rsidR="00361FCE" w:rsidRPr="00A22FF9" w:rsidRDefault="00361FCE" w:rsidP="00902050">
                  <w:pPr>
                    <w:rPr>
                      <w:rFonts w:ascii="Arial" w:hAnsi="Arial" w:cs="Arial"/>
                      <w:sz w:val="10"/>
                      <w:szCs w:val="10"/>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361FCE" w:rsidRPr="00AD7AE2" w:rsidTr="00902050">
                    <w:trPr>
                      <w:trHeight w:val="465"/>
                      <w:jc w:val="center"/>
                    </w:trPr>
                    <w:tc>
                      <w:tcPr>
                        <w:tcW w:w="1200" w:type="dxa"/>
                        <w:tcBorders>
                          <w:top w:val="single" w:sz="4" w:space="0" w:color="auto"/>
                          <w:left w:val="nil"/>
                          <w:bottom w:val="single" w:sz="4" w:space="0" w:color="auto"/>
                          <w:right w:val="nil"/>
                        </w:tcBorders>
                        <w:shd w:val="clear" w:color="auto" w:fill="auto"/>
                        <w:vAlign w:val="center"/>
                        <w:hideMark/>
                      </w:tcPr>
                      <w:p w:rsidR="00361FCE" w:rsidRPr="00AD7AE2" w:rsidRDefault="00361FCE" w:rsidP="00902050">
                        <w:pPr>
                          <w:rPr>
                            <w:rFonts w:ascii="Arial" w:eastAsia="Times New Roman" w:hAnsi="Arial" w:cs="Arial"/>
                            <w:b/>
                            <w:bCs/>
                            <w:color w:val="000000"/>
                            <w:sz w:val="16"/>
                            <w:szCs w:val="16"/>
                            <w:lang w:eastAsia="es-EC"/>
                          </w:rPr>
                        </w:pPr>
                        <w:r w:rsidRPr="00AD7AE2">
                          <w:rPr>
                            <w:rFonts w:ascii="Arial" w:eastAsia="Times New Roman" w:hAnsi="Arial" w:cs="Arial"/>
                            <w:b/>
                            <w:bCs/>
                            <w:color w:val="000000"/>
                            <w:sz w:val="16"/>
                            <w:szCs w:val="16"/>
                            <w:lang w:eastAsia="es-EC"/>
                          </w:rPr>
                          <w:t>Estado Civil</w:t>
                        </w:r>
                      </w:p>
                    </w:tc>
                    <w:tc>
                      <w:tcPr>
                        <w:tcW w:w="1200" w:type="dxa"/>
                        <w:tcBorders>
                          <w:top w:val="single" w:sz="4" w:space="0" w:color="auto"/>
                          <w:left w:val="nil"/>
                          <w:bottom w:val="single" w:sz="4" w:space="0" w:color="auto"/>
                          <w:right w:val="nil"/>
                        </w:tcBorders>
                        <w:shd w:val="clear" w:color="auto" w:fill="auto"/>
                        <w:vAlign w:val="center"/>
                        <w:hideMark/>
                      </w:tcPr>
                      <w:p w:rsidR="00361FCE" w:rsidRPr="00AD7AE2" w:rsidRDefault="00361FCE" w:rsidP="00902050">
                        <w:pPr>
                          <w:rPr>
                            <w:rFonts w:ascii="Arial" w:eastAsia="Times New Roman" w:hAnsi="Arial" w:cs="Arial"/>
                            <w:b/>
                            <w:bCs/>
                            <w:color w:val="000000"/>
                            <w:sz w:val="16"/>
                            <w:szCs w:val="16"/>
                            <w:lang w:eastAsia="es-EC"/>
                          </w:rPr>
                        </w:pPr>
                        <w:r w:rsidRPr="00AD7AE2">
                          <w:rPr>
                            <w:rFonts w:ascii="Arial" w:eastAsia="Times New Roman" w:hAnsi="Arial" w:cs="Arial"/>
                            <w:b/>
                            <w:bCs/>
                            <w:color w:val="000000"/>
                            <w:sz w:val="16"/>
                            <w:szCs w:val="16"/>
                            <w:lang w:eastAsia="es-EC"/>
                          </w:rPr>
                          <w:t>Frecuencia Relativa</w:t>
                        </w:r>
                      </w:p>
                    </w:tc>
                  </w:tr>
                  <w:tr w:rsidR="00361FCE" w:rsidRPr="00AD7AE2" w:rsidTr="004161C9">
                    <w:trPr>
                      <w:trHeight w:val="198"/>
                      <w:jc w:val="center"/>
                    </w:trPr>
                    <w:tc>
                      <w:tcPr>
                        <w:tcW w:w="1200" w:type="dxa"/>
                        <w:tcBorders>
                          <w:top w:val="nil"/>
                          <w:left w:val="nil"/>
                          <w:bottom w:val="nil"/>
                          <w:right w:val="nil"/>
                        </w:tcBorders>
                        <w:shd w:val="clear" w:color="auto" w:fill="auto"/>
                        <w:noWrap/>
                        <w:vAlign w:val="center"/>
                        <w:hideMark/>
                      </w:tcPr>
                      <w:p w:rsidR="00361FCE" w:rsidRPr="00AD7AE2" w:rsidRDefault="00361FCE" w:rsidP="004161C9">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Soltero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0.289</w:t>
                        </w:r>
                      </w:p>
                    </w:tc>
                  </w:tr>
                  <w:tr w:rsidR="00361FCE" w:rsidRPr="00AD7AE2" w:rsidTr="004161C9">
                    <w:trPr>
                      <w:trHeight w:val="198"/>
                      <w:jc w:val="center"/>
                    </w:trPr>
                    <w:tc>
                      <w:tcPr>
                        <w:tcW w:w="1200" w:type="dxa"/>
                        <w:tcBorders>
                          <w:top w:val="nil"/>
                          <w:left w:val="nil"/>
                          <w:bottom w:val="nil"/>
                          <w:right w:val="nil"/>
                        </w:tcBorders>
                        <w:shd w:val="clear" w:color="auto" w:fill="auto"/>
                        <w:noWrap/>
                        <w:vAlign w:val="center"/>
                        <w:hideMark/>
                      </w:tcPr>
                      <w:p w:rsidR="00361FCE" w:rsidRPr="00AD7AE2" w:rsidRDefault="00361FCE" w:rsidP="004161C9">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Casado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0.244</w:t>
                        </w:r>
                      </w:p>
                    </w:tc>
                  </w:tr>
                  <w:tr w:rsidR="00361FCE" w:rsidRPr="00AD7AE2" w:rsidTr="004161C9">
                    <w:trPr>
                      <w:trHeight w:val="198"/>
                      <w:jc w:val="center"/>
                    </w:trPr>
                    <w:tc>
                      <w:tcPr>
                        <w:tcW w:w="1200" w:type="dxa"/>
                        <w:tcBorders>
                          <w:top w:val="nil"/>
                          <w:left w:val="nil"/>
                          <w:bottom w:val="nil"/>
                          <w:right w:val="nil"/>
                        </w:tcBorders>
                        <w:shd w:val="clear" w:color="auto" w:fill="auto"/>
                        <w:noWrap/>
                        <w:vAlign w:val="center"/>
                        <w:hideMark/>
                      </w:tcPr>
                      <w:p w:rsidR="00361FCE" w:rsidRPr="00AD7AE2" w:rsidRDefault="00361FCE" w:rsidP="004161C9">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Unido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0.400</w:t>
                        </w:r>
                      </w:p>
                    </w:tc>
                  </w:tr>
                  <w:tr w:rsidR="00361FCE" w:rsidRPr="00AD7AE2" w:rsidTr="004161C9">
                    <w:trPr>
                      <w:trHeight w:val="198"/>
                      <w:jc w:val="center"/>
                    </w:trPr>
                    <w:tc>
                      <w:tcPr>
                        <w:tcW w:w="1200" w:type="dxa"/>
                        <w:tcBorders>
                          <w:top w:val="nil"/>
                          <w:left w:val="nil"/>
                          <w:bottom w:val="nil"/>
                          <w:right w:val="nil"/>
                        </w:tcBorders>
                        <w:shd w:val="clear" w:color="auto" w:fill="auto"/>
                        <w:noWrap/>
                        <w:vAlign w:val="center"/>
                        <w:hideMark/>
                      </w:tcPr>
                      <w:p w:rsidR="00361FCE" w:rsidRPr="00AD7AE2" w:rsidRDefault="00361FCE" w:rsidP="004161C9">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Separado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0.042</w:t>
                        </w:r>
                      </w:p>
                    </w:tc>
                  </w:tr>
                  <w:tr w:rsidR="00361FCE" w:rsidRPr="00AD7AE2" w:rsidTr="004161C9">
                    <w:trPr>
                      <w:trHeight w:val="198"/>
                      <w:jc w:val="center"/>
                    </w:trPr>
                    <w:tc>
                      <w:tcPr>
                        <w:tcW w:w="1200" w:type="dxa"/>
                        <w:tcBorders>
                          <w:top w:val="nil"/>
                          <w:left w:val="nil"/>
                          <w:bottom w:val="nil"/>
                          <w:right w:val="nil"/>
                        </w:tcBorders>
                        <w:shd w:val="clear" w:color="auto" w:fill="auto"/>
                        <w:noWrap/>
                        <w:vAlign w:val="center"/>
                        <w:hideMark/>
                      </w:tcPr>
                      <w:p w:rsidR="00361FCE" w:rsidRPr="00AD7AE2" w:rsidRDefault="00361FCE" w:rsidP="004161C9">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Divorciado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0.011</w:t>
                        </w:r>
                      </w:p>
                    </w:tc>
                  </w:tr>
                  <w:tr w:rsidR="00361FCE" w:rsidRPr="00AD7AE2" w:rsidTr="004161C9">
                    <w:trPr>
                      <w:trHeight w:val="198"/>
                      <w:jc w:val="center"/>
                    </w:trPr>
                    <w:tc>
                      <w:tcPr>
                        <w:tcW w:w="1200" w:type="dxa"/>
                        <w:tcBorders>
                          <w:top w:val="nil"/>
                          <w:left w:val="nil"/>
                          <w:bottom w:val="nil"/>
                          <w:right w:val="nil"/>
                        </w:tcBorders>
                        <w:shd w:val="clear" w:color="auto" w:fill="auto"/>
                        <w:noWrap/>
                        <w:vAlign w:val="center"/>
                        <w:hideMark/>
                      </w:tcPr>
                      <w:p w:rsidR="00361FCE" w:rsidRPr="00AD7AE2" w:rsidRDefault="00361FCE" w:rsidP="004161C9">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Viudo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0.014</w:t>
                        </w:r>
                      </w:p>
                    </w:tc>
                  </w:tr>
                  <w:tr w:rsidR="00361FCE" w:rsidRPr="00AD7AE2" w:rsidTr="004161C9">
                    <w:trPr>
                      <w:trHeight w:val="198"/>
                      <w:jc w:val="center"/>
                    </w:trPr>
                    <w:tc>
                      <w:tcPr>
                        <w:tcW w:w="1200" w:type="dxa"/>
                        <w:tcBorders>
                          <w:top w:val="nil"/>
                          <w:left w:val="nil"/>
                          <w:bottom w:val="single" w:sz="4" w:space="0" w:color="auto"/>
                          <w:right w:val="nil"/>
                        </w:tcBorders>
                        <w:shd w:val="clear" w:color="auto" w:fill="auto"/>
                        <w:noWrap/>
                        <w:vAlign w:val="center"/>
                        <w:hideMark/>
                      </w:tcPr>
                      <w:p w:rsidR="00361FCE" w:rsidRPr="00AD7AE2" w:rsidRDefault="00361FCE" w:rsidP="004161C9">
                        <w:pPr>
                          <w:jc w:val="left"/>
                          <w:rPr>
                            <w:rFonts w:ascii="Arial" w:eastAsia="Times New Roman" w:hAnsi="Arial" w:cs="Arial"/>
                            <w:b/>
                            <w:bCs/>
                            <w:i/>
                            <w:iCs/>
                            <w:color w:val="000000"/>
                            <w:sz w:val="16"/>
                            <w:szCs w:val="16"/>
                            <w:lang w:eastAsia="es-EC"/>
                          </w:rPr>
                        </w:pPr>
                        <w:r w:rsidRPr="00AD7AE2">
                          <w:rPr>
                            <w:rFonts w:ascii="Arial" w:eastAsia="Times New Roman" w:hAnsi="Arial" w:cs="Arial"/>
                            <w:b/>
                            <w:bCs/>
                            <w:i/>
                            <w:iCs/>
                            <w:color w:val="000000"/>
                            <w:sz w:val="16"/>
                            <w:szCs w:val="16"/>
                            <w:lang w:eastAsia="es-EC"/>
                          </w:rPr>
                          <w:t>Total</w:t>
                        </w:r>
                      </w:p>
                    </w:tc>
                    <w:tc>
                      <w:tcPr>
                        <w:tcW w:w="1200" w:type="dxa"/>
                        <w:tcBorders>
                          <w:top w:val="nil"/>
                          <w:left w:val="nil"/>
                          <w:bottom w:val="single" w:sz="4" w:space="0" w:color="auto"/>
                          <w:right w:val="nil"/>
                        </w:tcBorders>
                        <w:shd w:val="clear" w:color="auto" w:fill="auto"/>
                        <w:noWrap/>
                        <w:vAlign w:val="center"/>
                        <w:hideMark/>
                      </w:tcPr>
                      <w:p w:rsidR="00361FCE" w:rsidRPr="00AD7AE2" w:rsidRDefault="00361FCE" w:rsidP="00902050">
                        <w:pPr>
                          <w:rPr>
                            <w:rFonts w:ascii="Arial" w:eastAsia="Times New Roman" w:hAnsi="Arial" w:cs="Arial"/>
                            <w:b/>
                            <w:bCs/>
                            <w:i/>
                            <w:iCs/>
                            <w:color w:val="000000"/>
                            <w:sz w:val="16"/>
                            <w:szCs w:val="16"/>
                            <w:lang w:eastAsia="es-EC"/>
                          </w:rPr>
                        </w:pPr>
                        <w:r w:rsidRPr="00AD7AE2">
                          <w:rPr>
                            <w:rFonts w:ascii="Arial" w:eastAsia="Times New Roman" w:hAnsi="Arial" w:cs="Arial"/>
                            <w:b/>
                            <w:bCs/>
                            <w:i/>
                            <w:iCs/>
                            <w:color w:val="000000"/>
                            <w:sz w:val="16"/>
                            <w:szCs w:val="16"/>
                            <w:lang w:eastAsia="es-EC"/>
                          </w:rPr>
                          <w:t>1.000</w:t>
                        </w:r>
                      </w:p>
                    </w:tc>
                  </w:tr>
                </w:tbl>
                <w:p w:rsidR="00361FCE" w:rsidRDefault="00361FCE" w:rsidP="00902050">
                  <w:pPr>
                    <w:rPr>
                      <w:rFonts w:ascii="Arial" w:hAnsi="Arial" w:cs="Arial"/>
                      <w:sz w:val="24"/>
                      <w:szCs w:val="24"/>
                    </w:rPr>
                  </w:pPr>
                </w:p>
              </w:tc>
              <w:tc>
                <w:tcPr>
                  <w:tcW w:w="4599" w:type="dxa"/>
                </w:tcPr>
                <w:p w:rsidR="00361FCE" w:rsidRPr="00A22FF9" w:rsidRDefault="00361FCE" w:rsidP="00902050">
                  <w:pPr>
                    <w:rPr>
                      <w:rFonts w:ascii="Arial" w:hAnsi="Arial" w:cs="Arial"/>
                      <w:b/>
                      <w:sz w:val="16"/>
                      <w:szCs w:val="16"/>
                    </w:rPr>
                  </w:pPr>
                </w:p>
                <w:p w:rsidR="00361FCE" w:rsidRDefault="00361FCE" w:rsidP="00902050">
                  <w:pPr>
                    <w:rPr>
                      <w:rFonts w:ascii="Arial" w:hAnsi="Arial" w:cs="Arial"/>
                      <w:b/>
                      <w:sz w:val="16"/>
                      <w:szCs w:val="16"/>
                    </w:rPr>
                  </w:pPr>
                  <w:r w:rsidRPr="00A22FF9">
                    <w:rPr>
                      <w:rFonts w:ascii="Arial" w:hAnsi="Arial" w:cs="Arial"/>
                      <w:b/>
                      <w:sz w:val="16"/>
                      <w:szCs w:val="16"/>
                    </w:rPr>
                    <w:t>Histograma de Frecuencias</w:t>
                  </w:r>
                </w:p>
                <w:p w:rsidR="00361FCE" w:rsidRPr="00A22FF9" w:rsidRDefault="00361FCE" w:rsidP="00902050">
                  <w:pPr>
                    <w:rPr>
                      <w:rFonts w:ascii="Arial" w:hAnsi="Arial" w:cs="Arial"/>
                      <w:b/>
                      <w:sz w:val="16"/>
                      <w:szCs w:val="16"/>
                    </w:rPr>
                  </w:pPr>
                  <w:r>
                    <w:rPr>
                      <w:noProof/>
                      <w:lang w:eastAsia="es-EC"/>
                    </w:rPr>
                    <w:drawing>
                      <wp:inline distT="0" distB="0" distL="0" distR="0">
                        <wp:extent cx="2809875" cy="1514475"/>
                        <wp:effectExtent l="0" t="0" r="0" b="0"/>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r>
          </w:tbl>
          <w:p w:rsidR="00361FCE" w:rsidRPr="00840530" w:rsidRDefault="00361FCE" w:rsidP="00902050">
            <w:pPr>
              <w:rPr>
                <w:rFonts w:ascii="Arial" w:hAnsi="Arial" w:cs="Arial"/>
                <w:sz w:val="24"/>
                <w:szCs w:val="24"/>
              </w:rPr>
            </w:pPr>
          </w:p>
        </w:tc>
      </w:tr>
    </w:tbl>
    <w:p w:rsidR="00361FCE" w:rsidRPr="00BE1AC4" w:rsidRDefault="00361FCE" w:rsidP="00BE1AC4">
      <w:pPr>
        <w:pStyle w:val="Prrafodelista"/>
        <w:spacing w:line="276" w:lineRule="auto"/>
        <w:ind w:left="851"/>
        <w:jc w:val="both"/>
        <w:rPr>
          <w:rFonts w:ascii="Arial" w:hAnsi="Arial" w:cs="Arial"/>
          <w:sz w:val="17"/>
          <w:szCs w:val="17"/>
        </w:rPr>
      </w:pPr>
    </w:p>
    <w:p w:rsidR="00361FCE" w:rsidRPr="00BE1AC4" w:rsidRDefault="00361FCE" w:rsidP="00BE1AC4">
      <w:pPr>
        <w:pStyle w:val="Prrafodelista"/>
        <w:spacing w:line="276" w:lineRule="auto"/>
        <w:ind w:left="851"/>
        <w:jc w:val="both"/>
        <w:rPr>
          <w:rFonts w:ascii="Arial" w:hAnsi="Arial" w:cs="Arial"/>
          <w:sz w:val="17"/>
          <w:szCs w:val="17"/>
        </w:rPr>
      </w:pPr>
      <w:r w:rsidRPr="00BE1AC4">
        <w:rPr>
          <w:rFonts w:ascii="Arial" w:hAnsi="Arial" w:cs="Arial"/>
          <w:b/>
          <w:i/>
          <w:sz w:val="17"/>
          <w:szCs w:val="17"/>
        </w:rPr>
        <w:t>Fuente:</w:t>
      </w:r>
      <w:r w:rsidRPr="00BE1AC4">
        <w:rPr>
          <w:rFonts w:ascii="Arial" w:hAnsi="Arial" w:cs="Arial"/>
          <w:sz w:val="17"/>
          <w:szCs w:val="17"/>
        </w:rPr>
        <w:t xml:space="preserve"> </w:t>
      </w:r>
      <w:r w:rsidRPr="00BE1AC4">
        <w:rPr>
          <w:rFonts w:ascii="Arial" w:hAnsi="Arial" w:cs="Arial"/>
          <w:b/>
          <w:sz w:val="17"/>
          <w:szCs w:val="17"/>
        </w:rPr>
        <w:t xml:space="preserve">INEC </w:t>
      </w:r>
      <w:r w:rsidRPr="00BE1AC4">
        <w:rPr>
          <w:rFonts w:ascii="Arial" w:hAnsi="Arial" w:cs="Arial"/>
          <w:sz w:val="17"/>
          <w:szCs w:val="17"/>
        </w:rPr>
        <w:t>(2010), Base de Datos del VII Censo de Población y VI de Vivienda.</w:t>
      </w:r>
    </w:p>
    <w:p w:rsidR="00361FCE" w:rsidRPr="00BE1AC4" w:rsidRDefault="00361FCE" w:rsidP="00BE1AC4">
      <w:pPr>
        <w:pStyle w:val="Prrafodelista"/>
        <w:spacing w:line="276" w:lineRule="auto"/>
        <w:ind w:left="851"/>
        <w:jc w:val="both"/>
        <w:rPr>
          <w:rFonts w:ascii="Arial" w:hAnsi="Arial" w:cs="Arial"/>
          <w:sz w:val="17"/>
          <w:szCs w:val="17"/>
        </w:rPr>
      </w:pPr>
      <w:r w:rsidRPr="00BE1AC4">
        <w:rPr>
          <w:rFonts w:ascii="Arial" w:hAnsi="Arial" w:cs="Arial"/>
          <w:b/>
          <w:i/>
          <w:sz w:val="17"/>
          <w:szCs w:val="17"/>
        </w:rPr>
        <w:t>Elaborado por:</w:t>
      </w:r>
      <w:r w:rsidRPr="00BE1AC4">
        <w:rPr>
          <w:rFonts w:ascii="Arial" w:hAnsi="Arial" w:cs="Arial"/>
          <w:sz w:val="17"/>
          <w:szCs w:val="17"/>
        </w:rPr>
        <w:t xml:space="preserve"> Katherine Loor Valeriano</w:t>
      </w:r>
    </w:p>
    <w:p w:rsidR="00BE1AC4" w:rsidRDefault="00BE1AC4" w:rsidP="00361FCE">
      <w:pPr>
        <w:pStyle w:val="Prrafodelista"/>
        <w:spacing w:line="480" w:lineRule="auto"/>
        <w:ind w:left="567"/>
        <w:jc w:val="both"/>
        <w:rPr>
          <w:rFonts w:ascii="Arial" w:hAnsi="Arial" w:cs="Arial"/>
        </w:rPr>
      </w:pPr>
    </w:p>
    <w:p w:rsidR="00361FCE" w:rsidRPr="001B24CF" w:rsidRDefault="00361FCE" w:rsidP="00BE1AC4">
      <w:pPr>
        <w:pStyle w:val="Prrafodelista"/>
        <w:spacing w:line="480" w:lineRule="auto"/>
        <w:ind w:left="851"/>
        <w:jc w:val="both"/>
        <w:rPr>
          <w:rFonts w:ascii="Arial" w:hAnsi="Arial" w:cs="Arial"/>
          <w:i/>
        </w:rPr>
      </w:pPr>
      <w:r>
        <w:rPr>
          <w:rFonts w:ascii="Arial" w:hAnsi="Arial" w:cs="Arial"/>
        </w:rPr>
        <w:t xml:space="preserve">En la </w:t>
      </w:r>
      <w:r>
        <w:rPr>
          <w:rFonts w:ascii="Arial" w:hAnsi="Arial" w:cs="Arial"/>
          <w:i/>
        </w:rPr>
        <w:t>Figura 4.42</w:t>
      </w:r>
      <w:r>
        <w:rPr>
          <w:rFonts w:ascii="Arial" w:hAnsi="Arial" w:cs="Arial"/>
        </w:rPr>
        <w:t xml:space="preserve">, se presentan las tasas por estado conyugal de los peruanos residentes en Ecuador por género y grupo de edad, en donde las seis opciones de estado conyugal presentes en la boleta censal fueron </w:t>
      </w:r>
      <w:r>
        <w:rPr>
          <w:rFonts w:ascii="Arial" w:hAnsi="Arial" w:cs="Arial"/>
        </w:rPr>
        <w:lastRenderedPageBreak/>
        <w:t xml:space="preserve">agrupadas en tres categorías una que es soltero, otra casado o unido y la última es separado, divorciado o viudo. En la figura, se puede notar para el caso de los hombres que el valor de la tasa de solteros va disminuyendo a medida que se incrementa la edad, la tasa de casados o unidos en cambio se va incrementando hasta los 75 años de aquí en adelante empieza a disminuir levemente y se observa un cambio mayor en el último grupo de edad y la tasa de divorciados, separados o unidos también se va incrementando a medida que aumenta la edad, teniéndose que todos los peruanos con edades entre 90 y 95 años son divorciados.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161C9">
        <w:trPr>
          <w:trHeight w:val="5509"/>
          <w:jc w:val="right"/>
        </w:trPr>
        <w:tc>
          <w:tcPr>
            <w:tcW w:w="7497" w:type="dxa"/>
          </w:tcPr>
          <w:p w:rsidR="00361FCE" w:rsidRPr="00840530" w:rsidRDefault="00361FCE" w:rsidP="00902050">
            <w:pPr>
              <w:rPr>
                <w:rFonts w:ascii="Arial" w:hAnsi="Arial" w:cs="Arial"/>
                <w:sz w:val="16"/>
                <w:szCs w:val="16"/>
              </w:rPr>
            </w:pPr>
          </w:p>
          <w:p w:rsidR="004C1B57" w:rsidRPr="004C1B57" w:rsidRDefault="004C1B57" w:rsidP="004C1B57">
            <w:pPr>
              <w:pStyle w:val="Epgrafe"/>
              <w:rPr>
                <w:rFonts w:ascii="Arial" w:hAnsi="Arial" w:cs="Arial"/>
                <w:bCs w:val="0"/>
                <w:color w:val="auto"/>
                <w:sz w:val="16"/>
                <w:szCs w:val="16"/>
              </w:rPr>
            </w:pPr>
            <w:bookmarkStart w:id="590" w:name="_Toc341044014"/>
            <w:r w:rsidRPr="004C1B57">
              <w:rPr>
                <w:rFonts w:ascii="Arial" w:hAnsi="Arial" w:cs="Arial"/>
                <w:bCs w:val="0"/>
                <w:color w:val="auto"/>
                <w:sz w:val="16"/>
                <w:szCs w:val="16"/>
              </w:rPr>
              <w:t>Figura 4.</w:t>
            </w:r>
            <w:r w:rsidR="00990535" w:rsidRPr="004C1B57">
              <w:rPr>
                <w:rFonts w:ascii="Arial" w:hAnsi="Arial" w:cs="Arial"/>
                <w:bCs w:val="0"/>
                <w:color w:val="auto"/>
                <w:sz w:val="16"/>
                <w:szCs w:val="16"/>
              </w:rPr>
              <w:fldChar w:fldCharType="begin"/>
            </w:r>
            <w:r w:rsidRPr="004C1B57">
              <w:rPr>
                <w:rFonts w:ascii="Arial" w:hAnsi="Arial" w:cs="Arial"/>
                <w:bCs w:val="0"/>
                <w:color w:val="auto"/>
                <w:sz w:val="16"/>
                <w:szCs w:val="16"/>
              </w:rPr>
              <w:instrText xml:space="preserve"> SEQ Figura_4. \* ARABIC </w:instrText>
            </w:r>
            <w:r w:rsidR="00990535" w:rsidRPr="004C1B57">
              <w:rPr>
                <w:rFonts w:ascii="Arial" w:hAnsi="Arial" w:cs="Arial"/>
                <w:bCs w:val="0"/>
                <w:color w:val="auto"/>
                <w:sz w:val="16"/>
                <w:szCs w:val="16"/>
              </w:rPr>
              <w:fldChar w:fldCharType="separate"/>
            </w:r>
            <w:r w:rsidR="00A242E0">
              <w:rPr>
                <w:rFonts w:ascii="Arial" w:hAnsi="Arial" w:cs="Arial"/>
                <w:bCs w:val="0"/>
                <w:noProof/>
                <w:color w:val="auto"/>
                <w:sz w:val="16"/>
                <w:szCs w:val="16"/>
              </w:rPr>
              <w:t>42</w:t>
            </w:r>
            <w:bookmarkEnd w:id="590"/>
            <w:r w:rsidR="00990535" w:rsidRPr="004C1B57">
              <w:rPr>
                <w:rFonts w:ascii="Arial" w:hAnsi="Arial" w:cs="Arial"/>
                <w:bCs w:val="0"/>
                <w:color w:val="auto"/>
                <w:sz w:val="16"/>
                <w:szCs w:val="16"/>
              </w:rPr>
              <w:fldChar w:fldCharType="end"/>
            </w:r>
          </w:p>
          <w:p w:rsidR="00361FCE" w:rsidRDefault="00436907" w:rsidP="00902050">
            <w:pPr>
              <w:rPr>
                <w:rFonts w:ascii="Arial" w:hAnsi="Arial" w:cs="Arial"/>
                <w:i/>
                <w:sz w:val="16"/>
                <w:szCs w:val="16"/>
              </w:rPr>
            </w:pPr>
            <w:r>
              <w:rPr>
                <w:rFonts w:ascii="Arial" w:hAnsi="Arial" w:cs="Arial"/>
                <w:noProof/>
                <w:sz w:val="16"/>
                <w:szCs w:val="16"/>
                <w:lang w:eastAsia="es-EC"/>
              </w:rPr>
              <w:pict>
                <v:shape id="_x0000_s1575" type="#_x0000_t202" style="position:absolute;left:0;text-align:left;margin-left:97.8pt;margin-top:58.9pt;width:133.5pt;height:15.35pt;z-index:25156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style="mso-next-textbox:#_x0000_s1575">
                    <w:txbxContent>
                      <w:p w:rsidR="006933DF" w:rsidRPr="005B0B7F" w:rsidRDefault="006933DF" w:rsidP="00361FCE">
                        <w:pPr>
                          <w:rPr>
                            <w:rFonts w:ascii="Arial" w:hAnsi="Arial" w:cs="Arial"/>
                            <w:color w:val="E36C0A" w:themeColor="accent6" w:themeShade="BF"/>
                            <w:sz w:val="15"/>
                            <w:szCs w:val="15"/>
                          </w:rPr>
                        </w:pPr>
                        <w:r>
                          <w:rPr>
                            <w:rFonts w:ascii="Arial" w:hAnsi="Arial" w:cs="Arial"/>
                            <w:color w:val="E36C0A" w:themeColor="accent6" w:themeShade="BF"/>
                            <w:sz w:val="15"/>
                            <w:szCs w:val="15"/>
                          </w:rPr>
                          <w:t>Casado o Unido</w:t>
                        </w:r>
                      </w:p>
                    </w:txbxContent>
                  </v:textbox>
                </v:shape>
              </w:pict>
            </w:r>
            <w:r>
              <w:rPr>
                <w:rFonts w:ascii="Arial" w:hAnsi="Arial" w:cs="Arial"/>
                <w:noProof/>
                <w:sz w:val="16"/>
                <w:szCs w:val="16"/>
                <w:lang w:eastAsia="es-EC"/>
              </w:rPr>
              <w:pict>
                <v:shape id="_x0000_s2249" type="#_x0000_t32" style="position:absolute;left:0;text-align:left;margin-left:145.8pt;margin-top:47pt;width:12.75pt;height:16pt;flip:x y;z-index:251959808" o:connectortype="straight" strokecolor="#e36c0a [2409]">
                  <v:stroke endarrow="block"/>
                </v:shape>
              </w:pict>
            </w:r>
            <w:r>
              <w:rPr>
                <w:rFonts w:ascii="Arial" w:hAnsi="Arial" w:cs="Arial"/>
                <w:noProof/>
                <w:sz w:val="16"/>
                <w:szCs w:val="16"/>
                <w:lang w:eastAsia="es-EC"/>
              </w:rPr>
              <w:pict>
                <v:shape id="_x0000_s1574" type="#_x0000_t202" style="position:absolute;left:0;text-align:left;margin-left:91.3pt;margin-top:73.5pt;width:133.5pt;height:15.35pt;z-index:25156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style="mso-next-textbox:#_x0000_s1574">
                    <w:txbxContent>
                      <w:p w:rsidR="006933DF" w:rsidRPr="005B0B7F" w:rsidRDefault="006933DF" w:rsidP="00361FCE">
                        <w:pPr>
                          <w:rPr>
                            <w:rFonts w:ascii="Arial" w:hAnsi="Arial" w:cs="Arial"/>
                            <w:color w:val="0070C0"/>
                            <w:sz w:val="15"/>
                            <w:szCs w:val="15"/>
                          </w:rPr>
                        </w:pPr>
                        <w:r>
                          <w:rPr>
                            <w:rFonts w:ascii="Arial" w:hAnsi="Arial" w:cs="Arial"/>
                            <w:color w:val="0070C0"/>
                            <w:sz w:val="15"/>
                            <w:szCs w:val="15"/>
                          </w:rPr>
                          <w:t>Soltero</w:t>
                        </w:r>
                      </w:p>
                    </w:txbxContent>
                  </v:textbox>
                </v:shape>
              </w:pict>
            </w:r>
            <w:r>
              <w:rPr>
                <w:rFonts w:ascii="Arial" w:hAnsi="Arial" w:cs="Arial"/>
                <w:noProof/>
                <w:sz w:val="16"/>
                <w:szCs w:val="16"/>
                <w:lang w:eastAsia="es-EC"/>
              </w:rPr>
              <w:pict>
                <v:shape id="_x0000_s2246" type="#_x0000_t32" style="position:absolute;left:0;text-align:left;margin-left:145.8pt;margin-top:84.5pt;width:12.75pt;height:13.5pt;flip:x;z-index:251956736" o:connectortype="straight" strokecolor="#0070c0">
                  <v:stroke endarrow="block"/>
                </v:shape>
              </w:pict>
            </w:r>
            <w:r>
              <w:rPr>
                <w:rFonts w:ascii="Arial" w:hAnsi="Arial" w:cs="Arial"/>
                <w:noProof/>
                <w:sz w:val="16"/>
                <w:szCs w:val="16"/>
                <w:lang w:eastAsia="es-EC"/>
              </w:rPr>
              <w:pict>
                <v:shape id="_x0000_s1576" type="#_x0000_t202" style="position:absolute;left:0;text-align:left;margin-left:217.3pt;margin-top:63pt;width:80.25pt;height:28.1pt;z-index:25157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style="mso-next-textbox:#_x0000_s1576">
                    <w:txbxContent>
                      <w:p w:rsidR="006933DF" w:rsidRPr="005B0B7F" w:rsidRDefault="006933DF" w:rsidP="00361FCE">
                        <w:pPr>
                          <w:rPr>
                            <w:rFonts w:ascii="Arial" w:hAnsi="Arial" w:cs="Arial"/>
                            <w:color w:val="CC0099"/>
                            <w:sz w:val="15"/>
                            <w:szCs w:val="15"/>
                          </w:rPr>
                        </w:pPr>
                        <w:r>
                          <w:rPr>
                            <w:rFonts w:ascii="Arial" w:hAnsi="Arial" w:cs="Arial"/>
                            <w:color w:val="CC0099"/>
                            <w:sz w:val="15"/>
                            <w:szCs w:val="15"/>
                          </w:rPr>
                          <w:t>Separado, Divorciado o Viudo</w:t>
                        </w:r>
                      </w:p>
                    </w:txbxContent>
                  </v:textbox>
                </v:shape>
              </w:pict>
            </w:r>
            <w:r>
              <w:rPr>
                <w:noProof/>
                <w:lang w:eastAsia="es-EC"/>
              </w:rPr>
              <w:pict>
                <v:shape id="_x0000_s2244" type="#_x0000_t32" style="position:absolute;left:0;text-align:left;margin-left:269.8pt;margin-top:84.5pt;width:21pt;height:8.5pt;z-index:251954688" o:connectortype="straight" strokecolor="#d60093">
                  <v:stroke endarrow="block"/>
                </v:shape>
              </w:pict>
            </w:r>
            <w:r>
              <w:rPr>
                <w:noProof/>
              </w:rPr>
              <w:pict>
                <v:shape id="_x0000_s1572" type="#_x0000_t202" style="position:absolute;left:0;text-align:left;margin-left:217.3pt;margin-top:21pt;width:133.5pt;height:15.35pt;z-index:25156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style="mso-next-textbox:#_x0000_s1572">
                    <w:txbxContent>
                      <w:p w:rsidR="006933DF" w:rsidRPr="005B0B7F" w:rsidRDefault="006933DF" w:rsidP="00361FCE">
                        <w:pPr>
                          <w:rPr>
                            <w:rFonts w:ascii="Arial" w:hAnsi="Arial" w:cs="Arial"/>
                            <w:b/>
                            <w:sz w:val="15"/>
                            <w:szCs w:val="15"/>
                          </w:rPr>
                        </w:pPr>
                        <w:r w:rsidRPr="005B0B7F">
                          <w:rPr>
                            <w:rFonts w:ascii="Arial" w:hAnsi="Arial" w:cs="Arial"/>
                            <w:b/>
                            <w:sz w:val="15"/>
                            <w:szCs w:val="15"/>
                          </w:rPr>
                          <w:t>Hombre</w:t>
                        </w:r>
                      </w:p>
                    </w:txbxContent>
                  </v:textbox>
                </v:shape>
              </w:pict>
            </w:r>
            <w:r w:rsidR="004161C9">
              <w:rPr>
                <w:rFonts w:ascii="Arial" w:hAnsi="Arial" w:cs="Arial"/>
                <w:b/>
                <w:i/>
                <w:sz w:val="16"/>
                <w:szCs w:val="16"/>
              </w:rPr>
              <w:t xml:space="preserve">Ecuador 2010: </w:t>
            </w:r>
            <w:r w:rsidR="004161C9">
              <w:rPr>
                <w:rFonts w:ascii="Arial" w:hAnsi="Arial" w:cs="Arial"/>
                <w:i/>
                <w:sz w:val="16"/>
                <w:szCs w:val="16"/>
              </w:rPr>
              <w:t xml:space="preserve">Tasa de estado civil por cada 1000 </w:t>
            </w:r>
            <w:r w:rsidR="004161C9">
              <w:rPr>
                <w:rFonts w:ascii="Arial" w:hAnsi="Arial" w:cs="Arial"/>
                <w:b/>
                <w:i/>
                <w:sz w:val="16"/>
                <w:szCs w:val="16"/>
              </w:rPr>
              <w:t>peruanos</w:t>
            </w:r>
            <w:r w:rsidR="004161C9">
              <w:rPr>
                <w:rFonts w:ascii="Arial" w:hAnsi="Arial" w:cs="Arial"/>
                <w:i/>
                <w:sz w:val="16"/>
                <w:szCs w:val="16"/>
              </w:rPr>
              <w:t xml:space="preserve"> por Género y Grupo etario</w:t>
            </w:r>
            <w:r w:rsidR="00361FCE">
              <w:rPr>
                <w:noProof/>
                <w:lang w:eastAsia="es-EC"/>
              </w:rPr>
              <w:drawing>
                <wp:inline distT="0" distB="0" distL="0" distR="0">
                  <wp:extent cx="4211955" cy="1908000"/>
                  <wp:effectExtent l="0" t="0" r="0" b="0"/>
                  <wp:docPr id="320" name="Gráfico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578" type="#_x0000_t202" style="position:absolute;left:0;text-align:left;margin-left:57.55pt;margin-top:46.6pt;width:133.5pt;height:15.35pt;z-index:25157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style="mso-next-textbox:#_x0000_s1578">
                    <w:txbxContent>
                      <w:p w:rsidR="006933DF" w:rsidRPr="005B0B7F" w:rsidRDefault="006933DF" w:rsidP="00361FCE">
                        <w:pPr>
                          <w:rPr>
                            <w:rFonts w:ascii="Arial" w:hAnsi="Arial" w:cs="Arial"/>
                            <w:color w:val="E36C0A" w:themeColor="accent6" w:themeShade="BF"/>
                            <w:sz w:val="15"/>
                            <w:szCs w:val="15"/>
                          </w:rPr>
                        </w:pPr>
                        <w:r>
                          <w:rPr>
                            <w:rFonts w:ascii="Arial" w:hAnsi="Arial" w:cs="Arial"/>
                            <w:color w:val="E36C0A" w:themeColor="accent6" w:themeShade="BF"/>
                            <w:sz w:val="15"/>
                            <w:szCs w:val="15"/>
                          </w:rPr>
                          <w:t>Casado o Unido</w:t>
                        </w:r>
                      </w:p>
                    </w:txbxContent>
                  </v:textbox>
                </v:shape>
              </w:pict>
            </w:r>
            <w:r>
              <w:rPr>
                <w:rFonts w:ascii="Arial" w:hAnsi="Arial" w:cs="Arial"/>
                <w:noProof/>
                <w:sz w:val="16"/>
                <w:szCs w:val="16"/>
                <w:lang w:eastAsia="es-EC"/>
              </w:rPr>
              <w:pict>
                <v:shape id="_x0000_s2248" type="#_x0000_t32" style="position:absolute;left:0;text-align:left;margin-left:107.55pt;margin-top:35.05pt;width:16.5pt;height:15.3pt;flip:x y;z-index:251958784" o:connectortype="straight" strokecolor="#e36c0a [2409]">
                  <v:stroke endarrow="block"/>
                </v:shape>
              </w:pict>
            </w:r>
            <w:r>
              <w:rPr>
                <w:rFonts w:ascii="Arial" w:hAnsi="Arial" w:cs="Arial"/>
                <w:noProof/>
                <w:sz w:val="16"/>
                <w:szCs w:val="16"/>
                <w:lang w:eastAsia="es-EC"/>
              </w:rPr>
              <w:pict>
                <v:shape id="_x0000_s1577" type="#_x0000_t202" style="position:absolute;left:0;text-align:left;margin-left:56.8pt;margin-top:65.8pt;width:133.5pt;height:15.35pt;z-index:25157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style="mso-next-textbox:#_x0000_s1577">
                    <w:txbxContent>
                      <w:p w:rsidR="006933DF" w:rsidRPr="005B0B7F" w:rsidRDefault="006933DF" w:rsidP="00361FCE">
                        <w:pPr>
                          <w:rPr>
                            <w:rFonts w:ascii="Arial" w:hAnsi="Arial" w:cs="Arial"/>
                            <w:color w:val="0070C0"/>
                            <w:sz w:val="15"/>
                            <w:szCs w:val="15"/>
                          </w:rPr>
                        </w:pPr>
                        <w:r>
                          <w:rPr>
                            <w:rFonts w:ascii="Arial" w:hAnsi="Arial" w:cs="Arial"/>
                            <w:color w:val="0070C0"/>
                            <w:sz w:val="15"/>
                            <w:szCs w:val="15"/>
                          </w:rPr>
                          <w:t>Soltero</w:t>
                        </w:r>
                      </w:p>
                    </w:txbxContent>
                  </v:textbox>
                </v:shape>
              </w:pict>
            </w:r>
            <w:r>
              <w:rPr>
                <w:rFonts w:ascii="Arial" w:hAnsi="Arial" w:cs="Arial"/>
                <w:noProof/>
                <w:sz w:val="16"/>
                <w:szCs w:val="16"/>
                <w:lang w:eastAsia="es-EC"/>
              </w:rPr>
              <w:pict>
                <v:shape id="_x0000_s2247" type="#_x0000_t32" style="position:absolute;left:0;text-align:left;margin-left:113.55pt;margin-top:76.6pt;width:10.5pt;height:19.5pt;flip:x;z-index:251957760" o:connectortype="straight" strokecolor="#0070c0">
                  <v:stroke endarrow="block"/>
                </v:shape>
              </w:pict>
            </w:r>
            <w:r>
              <w:rPr>
                <w:rFonts w:ascii="Arial" w:hAnsi="Arial" w:cs="Arial"/>
                <w:noProof/>
                <w:sz w:val="16"/>
                <w:szCs w:val="16"/>
                <w:lang w:eastAsia="es-EC"/>
              </w:rPr>
              <w:pict>
                <v:shape id="_x0000_s1579" type="#_x0000_t202" style="position:absolute;left:0;text-align:left;margin-left:270.55pt;margin-top:54.55pt;width:80.25pt;height:28.1pt;z-index:25157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style="mso-next-textbox:#_x0000_s1579">
                    <w:txbxContent>
                      <w:p w:rsidR="006933DF" w:rsidRPr="005B0B7F" w:rsidRDefault="006933DF" w:rsidP="00361FCE">
                        <w:pPr>
                          <w:rPr>
                            <w:rFonts w:ascii="Arial" w:hAnsi="Arial" w:cs="Arial"/>
                            <w:color w:val="CC0099"/>
                            <w:sz w:val="15"/>
                            <w:szCs w:val="15"/>
                          </w:rPr>
                        </w:pPr>
                        <w:r>
                          <w:rPr>
                            <w:rFonts w:ascii="Arial" w:hAnsi="Arial" w:cs="Arial"/>
                            <w:color w:val="CC0099"/>
                            <w:sz w:val="15"/>
                            <w:szCs w:val="15"/>
                          </w:rPr>
                          <w:t>Separado, Divorciado o Viudo</w:t>
                        </w:r>
                      </w:p>
                    </w:txbxContent>
                  </v:textbox>
                </v:shape>
              </w:pict>
            </w:r>
            <w:r>
              <w:rPr>
                <w:rFonts w:ascii="Arial" w:hAnsi="Arial" w:cs="Arial"/>
                <w:noProof/>
                <w:sz w:val="16"/>
                <w:szCs w:val="16"/>
                <w:lang w:eastAsia="es-EC"/>
              </w:rPr>
              <w:pict>
                <v:shape id="_x0000_s2245" type="#_x0000_t32" style="position:absolute;left:0;text-align:left;margin-left:304.8pt;margin-top:40.6pt;width:10.5pt;height:17.25pt;flip:x y;z-index:251955712" o:connectortype="straight" strokecolor="#d60093">
                  <v:stroke endarrow="block"/>
                </v:shape>
              </w:pict>
            </w:r>
            <w:r>
              <w:rPr>
                <w:rFonts w:ascii="Arial" w:hAnsi="Arial" w:cs="Arial"/>
                <w:noProof/>
                <w:sz w:val="16"/>
                <w:szCs w:val="16"/>
                <w:lang w:eastAsia="es-EC"/>
              </w:rPr>
              <w:pict>
                <v:shape id="_x0000_s1573" type="#_x0000_t202" style="position:absolute;left:0;text-align:left;margin-left:216.55pt;margin-top:12.55pt;width:133.5pt;height:15.35pt;z-index:25156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style="mso-next-textbox:#_x0000_s1573">
                    <w:txbxContent>
                      <w:p w:rsidR="006933DF" w:rsidRPr="005B0B7F" w:rsidRDefault="006933DF" w:rsidP="00361FCE">
                        <w:pPr>
                          <w:rPr>
                            <w:rFonts w:ascii="Arial" w:hAnsi="Arial" w:cs="Arial"/>
                            <w:b/>
                            <w:sz w:val="15"/>
                            <w:szCs w:val="15"/>
                          </w:rPr>
                        </w:pPr>
                        <w:r w:rsidRPr="005B0B7F">
                          <w:rPr>
                            <w:rFonts w:ascii="Arial" w:hAnsi="Arial" w:cs="Arial"/>
                            <w:b/>
                            <w:sz w:val="15"/>
                            <w:szCs w:val="15"/>
                          </w:rPr>
                          <w:t>Muje</w:t>
                        </w:r>
                        <w:r>
                          <w:rPr>
                            <w:rFonts w:ascii="Arial" w:hAnsi="Arial" w:cs="Arial"/>
                            <w:b/>
                            <w:sz w:val="15"/>
                            <w:szCs w:val="15"/>
                          </w:rPr>
                          <w:t>r</w:t>
                        </w:r>
                      </w:p>
                    </w:txbxContent>
                  </v:textbox>
                </v:shape>
              </w:pict>
            </w:r>
            <w:r w:rsidR="00361FCE">
              <w:rPr>
                <w:noProof/>
                <w:lang w:eastAsia="es-EC"/>
              </w:rPr>
              <w:drawing>
                <wp:inline distT="0" distB="0" distL="0" distR="0">
                  <wp:extent cx="4211955" cy="1908000"/>
                  <wp:effectExtent l="0" t="0" r="0" b="0"/>
                  <wp:docPr id="321" name="Gráfico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c>
      </w:tr>
    </w:tbl>
    <w:p w:rsidR="00361FCE" w:rsidRPr="004161C9" w:rsidRDefault="00361FCE" w:rsidP="004161C9">
      <w:pPr>
        <w:pStyle w:val="Prrafodelista"/>
        <w:spacing w:line="276" w:lineRule="auto"/>
        <w:ind w:left="851"/>
        <w:jc w:val="both"/>
        <w:rPr>
          <w:rFonts w:ascii="Arial" w:hAnsi="Arial" w:cs="Arial"/>
          <w:sz w:val="17"/>
          <w:szCs w:val="17"/>
        </w:rPr>
      </w:pPr>
    </w:p>
    <w:p w:rsidR="00361FCE" w:rsidRPr="004161C9" w:rsidRDefault="00361FCE" w:rsidP="004161C9">
      <w:pPr>
        <w:pStyle w:val="Prrafodelista"/>
        <w:spacing w:line="276" w:lineRule="auto"/>
        <w:ind w:left="851"/>
        <w:jc w:val="both"/>
        <w:rPr>
          <w:rFonts w:ascii="Arial" w:hAnsi="Arial" w:cs="Arial"/>
          <w:sz w:val="17"/>
          <w:szCs w:val="17"/>
        </w:rPr>
      </w:pPr>
      <w:r w:rsidRPr="004161C9">
        <w:rPr>
          <w:rFonts w:ascii="Arial" w:hAnsi="Arial" w:cs="Arial"/>
          <w:b/>
          <w:i/>
          <w:sz w:val="17"/>
          <w:szCs w:val="17"/>
        </w:rPr>
        <w:t>Fuente:</w:t>
      </w:r>
      <w:r w:rsidRPr="004161C9">
        <w:rPr>
          <w:rFonts w:ascii="Arial" w:hAnsi="Arial" w:cs="Arial"/>
          <w:sz w:val="17"/>
          <w:szCs w:val="17"/>
        </w:rPr>
        <w:t xml:space="preserve"> </w:t>
      </w:r>
      <w:r w:rsidRPr="004161C9">
        <w:rPr>
          <w:rFonts w:ascii="Arial" w:hAnsi="Arial" w:cs="Arial"/>
          <w:b/>
          <w:sz w:val="17"/>
          <w:szCs w:val="17"/>
        </w:rPr>
        <w:t xml:space="preserve">INEC </w:t>
      </w:r>
      <w:r w:rsidRPr="004161C9">
        <w:rPr>
          <w:rFonts w:ascii="Arial" w:hAnsi="Arial" w:cs="Arial"/>
          <w:sz w:val="17"/>
          <w:szCs w:val="17"/>
        </w:rPr>
        <w:t>(2010), Base de Datos del VII Censo de Población y VI de Vivienda.</w:t>
      </w:r>
    </w:p>
    <w:p w:rsidR="00361FCE" w:rsidRDefault="00361FCE" w:rsidP="004161C9">
      <w:pPr>
        <w:pStyle w:val="Prrafodelista"/>
        <w:spacing w:line="276" w:lineRule="auto"/>
        <w:ind w:left="851"/>
        <w:jc w:val="both"/>
        <w:rPr>
          <w:rFonts w:ascii="Arial" w:hAnsi="Arial" w:cs="Arial"/>
          <w:sz w:val="17"/>
          <w:szCs w:val="17"/>
        </w:rPr>
      </w:pPr>
      <w:r w:rsidRPr="004161C9">
        <w:rPr>
          <w:rFonts w:ascii="Arial" w:hAnsi="Arial" w:cs="Arial"/>
          <w:b/>
          <w:i/>
          <w:sz w:val="17"/>
          <w:szCs w:val="17"/>
        </w:rPr>
        <w:t>Elaborado por:</w:t>
      </w:r>
      <w:r w:rsidRPr="004161C9">
        <w:rPr>
          <w:rFonts w:ascii="Arial" w:hAnsi="Arial" w:cs="Arial"/>
          <w:sz w:val="17"/>
          <w:szCs w:val="17"/>
        </w:rPr>
        <w:t xml:space="preserve"> Katherine Loor Valeriano</w:t>
      </w:r>
    </w:p>
    <w:p w:rsidR="004161C9" w:rsidRPr="004161C9" w:rsidRDefault="004161C9" w:rsidP="004161C9">
      <w:pPr>
        <w:pStyle w:val="Prrafodelista"/>
        <w:spacing w:line="480" w:lineRule="auto"/>
        <w:ind w:left="851"/>
        <w:jc w:val="both"/>
        <w:rPr>
          <w:rFonts w:ascii="Arial" w:hAnsi="Arial" w:cs="Arial"/>
          <w:i/>
        </w:rPr>
      </w:pPr>
      <w:r>
        <w:rPr>
          <w:rFonts w:ascii="Arial" w:hAnsi="Arial" w:cs="Arial"/>
        </w:rPr>
        <w:lastRenderedPageBreak/>
        <w:t xml:space="preserve">Para las mujeres con edades mayores la tasa de solteros va disminuyendo, la tasa de casados o unidos en cambio se incrementa hasta los 35 años y a partir de esta edad empieza a disminuir, dando paso a que la tasa de separados, divorciados o viudos se incremente para las edades mayores. Además, la tasa de separados, viudos o divorciados siempre toma valores mayores en las mujeres. </w:t>
      </w:r>
      <w:r>
        <w:rPr>
          <w:rFonts w:ascii="Arial" w:hAnsi="Arial" w:cs="Arial"/>
          <w:i/>
        </w:rPr>
        <w:t xml:space="preserve">Véase </w:t>
      </w:r>
      <w:r>
        <w:rPr>
          <w:rFonts w:ascii="Arial" w:hAnsi="Arial" w:cs="Arial"/>
        </w:rPr>
        <w:t xml:space="preserve">también </w:t>
      </w:r>
      <w:r>
        <w:rPr>
          <w:rFonts w:ascii="Arial" w:hAnsi="Arial" w:cs="Arial"/>
          <w:i/>
        </w:rPr>
        <w:t>Figura 4.42.</w:t>
      </w:r>
    </w:p>
    <w:p w:rsidR="004161C9" w:rsidRPr="004161C9" w:rsidRDefault="004161C9" w:rsidP="004161C9">
      <w:pPr>
        <w:pStyle w:val="Prrafodelista"/>
        <w:spacing w:line="480" w:lineRule="auto"/>
        <w:ind w:left="851"/>
        <w:jc w:val="both"/>
        <w:rPr>
          <w:rFonts w:ascii="Arial" w:hAnsi="Arial" w:cs="Arial"/>
        </w:rPr>
      </w:pPr>
    </w:p>
    <w:p w:rsidR="00361FCE" w:rsidRDefault="00361FCE" w:rsidP="004161C9">
      <w:pPr>
        <w:pStyle w:val="Estilo42"/>
        <w:ind w:left="1560" w:hanging="709"/>
      </w:pPr>
      <w:bookmarkStart w:id="591" w:name="_Toc337135537"/>
      <w:bookmarkStart w:id="592" w:name="_Toc341040687"/>
      <w:r>
        <w:t>Analfabetismo Digital</w:t>
      </w:r>
      <w:bookmarkEnd w:id="591"/>
      <w:bookmarkEnd w:id="592"/>
    </w:p>
    <w:p w:rsidR="00361FCE" w:rsidRPr="00AB159B" w:rsidRDefault="00361FCE" w:rsidP="004161C9">
      <w:pPr>
        <w:pStyle w:val="Prrafodelista"/>
        <w:spacing w:line="480" w:lineRule="auto"/>
        <w:ind w:left="851"/>
        <w:jc w:val="both"/>
        <w:rPr>
          <w:rFonts w:ascii="Arial" w:hAnsi="Arial" w:cs="Arial"/>
        </w:rPr>
      </w:pPr>
      <w:r>
        <w:rPr>
          <w:rFonts w:ascii="Arial" w:hAnsi="Arial" w:cs="Arial"/>
        </w:rPr>
        <w:t xml:space="preserve">En lo que respecta al analfabetismo digital, conoceremos el porcentaje de la población que no ha utilizado un teléfono celular, Internet o Computadora en los últimos seis meses antes de la fecha de empadronamiento del Censo 2010. En la </w:t>
      </w:r>
      <w:r>
        <w:rPr>
          <w:rFonts w:ascii="Arial" w:hAnsi="Arial" w:cs="Arial"/>
          <w:i/>
        </w:rPr>
        <w:t>Figura 4.43</w:t>
      </w:r>
      <w:r>
        <w:rPr>
          <w:rFonts w:ascii="Arial" w:hAnsi="Arial" w:cs="Arial"/>
        </w:rPr>
        <w:t xml:space="preserve"> se presentan dichos resultados, en donde se tiene que el 74.33% de la población peruana residente en el país ha utilizado un teléfono celular en los últimos seis meses, el 23.37% de ellos no lo han utilizado y el 2.31% no respondieron a esta pregunta; en lo que a la utilización de Internet se refiere, tenemos que el 33.22% de los peruanos lo han utilizado, el 59.33% no lo han hecho y el porcentaje restante constituyen los faltos de respuesta; mientras que, en lo relacionado con la utilización de una computadora en los últimos seis meses, tenemos que el 35.51% de los peruanos han usado una computadora, el 57.03% no lo ha hecho y el 7.45% no respondieron a esta pregunta.</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161C9">
        <w:trPr>
          <w:trHeight w:val="4025"/>
          <w:jc w:val="right"/>
        </w:trPr>
        <w:tc>
          <w:tcPr>
            <w:tcW w:w="7497" w:type="dxa"/>
          </w:tcPr>
          <w:p w:rsidR="00361FCE" w:rsidRDefault="00361FCE" w:rsidP="00902050">
            <w:pPr>
              <w:rPr>
                <w:rFonts w:ascii="Arial" w:hAnsi="Arial" w:cs="Arial"/>
                <w:b/>
                <w:sz w:val="16"/>
                <w:szCs w:val="16"/>
              </w:rPr>
            </w:pPr>
          </w:p>
          <w:p w:rsidR="004C1B57" w:rsidRPr="004C1B57" w:rsidRDefault="004C1B57" w:rsidP="004C1B57">
            <w:pPr>
              <w:pStyle w:val="Epgrafe"/>
              <w:rPr>
                <w:rFonts w:ascii="Arial" w:hAnsi="Arial" w:cs="Arial"/>
                <w:bCs w:val="0"/>
                <w:color w:val="auto"/>
                <w:sz w:val="16"/>
                <w:szCs w:val="16"/>
              </w:rPr>
            </w:pPr>
            <w:bookmarkStart w:id="593" w:name="_Toc341044015"/>
            <w:r>
              <w:rPr>
                <w:rFonts w:ascii="Arial" w:hAnsi="Arial" w:cs="Arial"/>
                <w:bCs w:val="0"/>
                <w:color w:val="auto"/>
                <w:sz w:val="16"/>
                <w:szCs w:val="16"/>
              </w:rPr>
              <w:t>Figura 4.</w:t>
            </w:r>
            <w:r w:rsidR="00990535" w:rsidRPr="004C1B57">
              <w:rPr>
                <w:rFonts w:ascii="Arial" w:hAnsi="Arial" w:cs="Arial"/>
                <w:bCs w:val="0"/>
                <w:color w:val="auto"/>
                <w:sz w:val="16"/>
                <w:szCs w:val="16"/>
              </w:rPr>
              <w:fldChar w:fldCharType="begin"/>
            </w:r>
            <w:r w:rsidRPr="004C1B57">
              <w:rPr>
                <w:rFonts w:ascii="Arial" w:hAnsi="Arial" w:cs="Arial"/>
                <w:bCs w:val="0"/>
                <w:color w:val="auto"/>
                <w:sz w:val="16"/>
                <w:szCs w:val="16"/>
              </w:rPr>
              <w:instrText xml:space="preserve"> SEQ Figura_4. \* ARABIC </w:instrText>
            </w:r>
            <w:r w:rsidR="00990535" w:rsidRPr="004C1B57">
              <w:rPr>
                <w:rFonts w:ascii="Arial" w:hAnsi="Arial" w:cs="Arial"/>
                <w:bCs w:val="0"/>
                <w:color w:val="auto"/>
                <w:sz w:val="16"/>
                <w:szCs w:val="16"/>
              </w:rPr>
              <w:fldChar w:fldCharType="separate"/>
            </w:r>
            <w:r w:rsidR="00A242E0">
              <w:rPr>
                <w:rFonts w:ascii="Arial" w:hAnsi="Arial" w:cs="Arial"/>
                <w:bCs w:val="0"/>
                <w:noProof/>
                <w:color w:val="auto"/>
                <w:sz w:val="16"/>
                <w:szCs w:val="16"/>
              </w:rPr>
              <w:t>43</w:t>
            </w:r>
            <w:bookmarkEnd w:id="593"/>
            <w:r w:rsidR="00990535" w:rsidRPr="004C1B57">
              <w:rPr>
                <w:rFonts w:ascii="Arial" w:hAnsi="Arial" w:cs="Arial"/>
                <w:bCs w:val="0"/>
                <w:color w:val="auto"/>
                <w:sz w:val="16"/>
                <w:szCs w:val="16"/>
              </w:rPr>
              <w:fldChar w:fldCharType="end"/>
            </w:r>
          </w:p>
          <w:p w:rsidR="001850CF" w:rsidRDefault="001850CF" w:rsidP="001850CF">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Frecuencia Relativa de los </w:t>
            </w:r>
            <w:r>
              <w:rPr>
                <w:rFonts w:ascii="Arial" w:hAnsi="Arial" w:cs="Arial"/>
                <w:b/>
                <w:i/>
                <w:sz w:val="16"/>
                <w:szCs w:val="16"/>
              </w:rPr>
              <w:t>peruanos</w:t>
            </w:r>
            <w:r>
              <w:rPr>
                <w:rFonts w:ascii="Arial" w:hAnsi="Arial" w:cs="Arial"/>
                <w:i/>
                <w:sz w:val="16"/>
                <w:szCs w:val="16"/>
              </w:rPr>
              <w:t xml:space="preserve"> que han utilizado Teléfono Celular, </w:t>
            </w:r>
          </w:p>
          <w:p w:rsidR="00361FCE" w:rsidRDefault="001850CF" w:rsidP="001850CF">
            <w:pPr>
              <w:rPr>
                <w:rFonts w:ascii="Arial" w:hAnsi="Arial" w:cs="Arial"/>
                <w:i/>
                <w:sz w:val="16"/>
                <w:szCs w:val="16"/>
              </w:rPr>
            </w:pPr>
            <w:r>
              <w:rPr>
                <w:rFonts w:ascii="Arial" w:hAnsi="Arial" w:cs="Arial"/>
                <w:i/>
                <w:sz w:val="16"/>
                <w:szCs w:val="16"/>
              </w:rPr>
              <w:t>Internet o Computadora en los últimos seis meses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441"/>
              <w:gridCol w:w="2441"/>
              <w:gridCol w:w="2441"/>
            </w:tblGrid>
            <w:tr w:rsidR="00361FCE" w:rsidTr="004161C9">
              <w:trPr>
                <w:jc w:val="center"/>
              </w:trPr>
              <w:tc>
                <w:tcPr>
                  <w:tcW w:w="2268" w:type="dxa"/>
                </w:tcPr>
                <w:p w:rsidR="00361FCE" w:rsidRDefault="00361FCE" w:rsidP="00902050">
                  <w:pPr>
                    <w:rPr>
                      <w:rFonts w:ascii="Arial" w:hAnsi="Arial" w:cs="Arial"/>
                      <w:i/>
                      <w:sz w:val="16"/>
                      <w:szCs w:val="16"/>
                    </w:rPr>
                  </w:pPr>
                </w:p>
                <w:p w:rsidR="00361FCE" w:rsidRDefault="00361FCE" w:rsidP="00902050">
                  <w:pPr>
                    <w:rPr>
                      <w:rFonts w:ascii="Arial" w:hAnsi="Arial" w:cs="Arial"/>
                      <w:i/>
                      <w:sz w:val="16"/>
                      <w:szCs w:val="16"/>
                    </w:rPr>
                  </w:pPr>
                  <w:r>
                    <w:rPr>
                      <w:rFonts w:ascii="Arial" w:hAnsi="Arial" w:cs="Arial"/>
                      <w:i/>
                      <w:sz w:val="16"/>
                      <w:szCs w:val="16"/>
                    </w:rPr>
                    <w:t>“</w:t>
                  </w:r>
                  <w:r>
                    <w:rPr>
                      <w:rFonts w:ascii="Arial" w:hAnsi="Arial" w:cs="Arial"/>
                      <w:b/>
                      <w:i/>
                      <w:sz w:val="16"/>
                      <w:szCs w:val="16"/>
                    </w:rPr>
                    <w:t>Teléfono Celular</w:t>
                  </w:r>
                  <w:r>
                    <w:rPr>
                      <w:rFonts w:ascii="Arial" w:hAnsi="Arial" w:cs="Arial"/>
                      <w:i/>
                      <w:sz w:val="16"/>
                      <w:szCs w:val="16"/>
                    </w:rPr>
                    <w:t>”</w:t>
                  </w:r>
                </w:p>
                <w:p w:rsidR="00361FCE" w:rsidRDefault="00361FCE" w:rsidP="00902050">
                  <w:pPr>
                    <w:rPr>
                      <w:rFonts w:ascii="Arial" w:hAnsi="Arial" w:cs="Arial"/>
                      <w:i/>
                      <w:sz w:val="16"/>
                      <w:szCs w:val="16"/>
                    </w:rPr>
                  </w:pPr>
                  <w:r w:rsidRPr="00491FA1">
                    <w:rPr>
                      <w:noProof/>
                      <w:shd w:val="clear" w:color="auto" w:fill="FFFFFF" w:themeFill="background1"/>
                      <w:lang w:eastAsia="es-EC"/>
                    </w:rPr>
                    <w:drawing>
                      <wp:inline distT="0" distB="0" distL="0" distR="0">
                        <wp:extent cx="1440000" cy="1810385"/>
                        <wp:effectExtent l="0" t="0" r="0" b="0"/>
                        <wp:docPr id="323" name="Gráfico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c>
                <w:tcPr>
                  <w:tcW w:w="2441" w:type="dxa"/>
                </w:tcPr>
                <w:p w:rsidR="00361FCE" w:rsidRDefault="00361FCE" w:rsidP="00902050">
                  <w:pPr>
                    <w:rPr>
                      <w:rFonts w:ascii="Arial" w:hAnsi="Arial" w:cs="Arial"/>
                      <w:i/>
                      <w:sz w:val="16"/>
                      <w:szCs w:val="16"/>
                    </w:rPr>
                  </w:pPr>
                </w:p>
                <w:p w:rsidR="00361FCE" w:rsidRDefault="00361FCE" w:rsidP="00902050">
                  <w:pPr>
                    <w:rPr>
                      <w:rFonts w:ascii="Arial" w:hAnsi="Arial" w:cs="Arial"/>
                      <w:i/>
                      <w:sz w:val="16"/>
                      <w:szCs w:val="16"/>
                    </w:rPr>
                  </w:pPr>
                  <w:r>
                    <w:rPr>
                      <w:rFonts w:ascii="Arial" w:hAnsi="Arial" w:cs="Arial"/>
                      <w:i/>
                      <w:sz w:val="16"/>
                      <w:szCs w:val="16"/>
                    </w:rPr>
                    <w:t>“</w:t>
                  </w:r>
                  <w:r>
                    <w:rPr>
                      <w:rFonts w:ascii="Arial" w:hAnsi="Arial" w:cs="Arial"/>
                      <w:b/>
                      <w:i/>
                      <w:sz w:val="16"/>
                      <w:szCs w:val="16"/>
                    </w:rPr>
                    <w:t>Internet</w:t>
                  </w:r>
                  <w:r>
                    <w:rPr>
                      <w:rFonts w:ascii="Arial" w:hAnsi="Arial" w:cs="Arial"/>
                      <w:i/>
                      <w:sz w:val="16"/>
                      <w:szCs w:val="16"/>
                    </w:rPr>
                    <w:t>”</w:t>
                  </w:r>
                </w:p>
                <w:p w:rsidR="00361FCE" w:rsidRDefault="00361FCE" w:rsidP="00902050">
                  <w:pPr>
                    <w:rPr>
                      <w:rFonts w:ascii="Arial" w:hAnsi="Arial" w:cs="Arial"/>
                      <w:i/>
                      <w:sz w:val="16"/>
                      <w:szCs w:val="16"/>
                    </w:rPr>
                  </w:pPr>
                  <w:r>
                    <w:rPr>
                      <w:noProof/>
                      <w:lang w:eastAsia="es-EC"/>
                    </w:rPr>
                    <w:drawing>
                      <wp:inline distT="0" distB="0" distL="0" distR="0">
                        <wp:extent cx="1440000" cy="1810385"/>
                        <wp:effectExtent l="0" t="0" r="0" b="0"/>
                        <wp:docPr id="324" name="Gráfico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c>
                <w:tcPr>
                  <w:tcW w:w="2441" w:type="dxa"/>
                </w:tcPr>
                <w:p w:rsidR="00361FCE" w:rsidRDefault="00361FCE" w:rsidP="00902050">
                  <w:pPr>
                    <w:rPr>
                      <w:rFonts w:ascii="Arial" w:hAnsi="Arial" w:cs="Arial"/>
                      <w:i/>
                      <w:sz w:val="16"/>
                      <w:szCs w:val="16"/>
                    </w:rPr>
                  </w:pPr>
                </w:p>
                <w:p w:rsidR="00361FCE" w:rsidRDefault="00361FCE" w:rsidP="00902050">
                  <w:pPr>
                    <w:rPr>
                      <w:rFonts w:ascii="Arial" w:hAnsi="Arial" w:cs="Arial"/>
                      <w:i/>
                      <w:sz w:val="16"/>
                      <w:szCs w:val="16"/>
                    </w:rPr>
                  </w:pPr>
                  <w:r>
                    <w:rPr>
                      <w:rFonts w:ascii="Arial" w:hAnsi="Arial" w:cs="Arial"/>
                      <w:i/>
                      <w:sz w:val="16"/>
                      <w:szCs w:val="16"/>
                    </w:rPr>
                    <w:t>“</w:t>
                  </w:r>
                  <w:r>
                    <w:rPr>
                      <w:rFonts w:ascii="Arial" w:hAnsi="Arial" w:cs="Arial"/>
                      <w:b/>
                      <w:i/>
                      <w:sz w:val="16"/>
                      <w:szCs w:val="16"/>
                    </w:rPr>
                    <w:t>Computadora</w:t>
                  </w:r>
                  <w:r>
                    <w:rPr>
                      <w:rFonts w:ascii="Arial" w:hAnsi="Arial" w:cs="Arial"/>
                      <w:i/>
                      <w:sz w:val="16"/>
                      <w:szCs w:val="16"/>
                    </w:rPr>
                    <w:t>”</w:t>
                  </w:r>
                </w:p>
                <w:p w:rsidR="00361FCE" w:rsidRDefault="00361FCE" w:rsidP="00902050">
                  <w:pPr>
                    <w:rPr>
                      <w:rFonts w:ascii="Arial" w:hAnsi="Arial" w:cs="Arial"/>
                      <w:i/>
                      <w:sz w:val="16"/>
                      <w:szCs w:val="16"/>
                    </w:rPr>
                  </w:pPr>
                  <w:r>
                    <w:rPr>
                      <w:noProof/>
                      <w:lang w:eastAsia="es-EC"/>
                    </w:rPr>
                    <w:drawing>
                      <wp:inline distT="0" distB="0" distL="0" distR="0">
                        <wp:extent cx="1440000" cy="1810385"/>
                        <wp:effectExtent l="0" t="0" r="0" b="0"/>
                        <wp:docPr id="325" name="Gráfico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c>
            </w:tr>
          </w:tbl>
          <w:p w:rsidR="00361FCE" w:rsidRPr="0078148C" w:rsidRDefault="00361FCE" w:rsidP="00902050">
            <w:pPr>
              <w:rPr>
                <w:rFonts w:ascii="Arial" w:hAnsi="Arial" w:cs="Arial"/>
                <w:i/>
                <w:sz w:val="16"/>
                <w:szCs w:val="16"/>
              </w:rPr>
            </w:pPr>
          </w:p>
        </w:tc>
      </w:tr>
    </w:tbl>
    <w:p w:rsidR="00361FCE" w:rsidRPr="004161C9" w:rsidRDefault="00361FCE" w:rsidP="004161C9">
      <w:pPr>
        <w:pStyle w:val="Prrafodelista"/>
        <w:spacing w:line="276" w:lineRule="auto"/>
        <w:ind w:left="851"/>
        <w:jc w:val="both"/>
        <w:rPr>
          <w:rFonts w:ascii="Arial" w:hAnsi="Arial" w:cs="Arial"/>
          <w:sz w:val="17"/>
          <w:szCs w:val="17"/>
        </w:rPr>
      </w:pPr>
    </w:p>
    <w:p w:rsidR="00361FCE" w:rsidRPr="004161C9" w:rsidRDefault="00361FCE" w:rsidP="004161C9">
      <w:pPr>
        <w:pStyle w:val="Prrafodelista"/>
        <w:spacing w:line="276" w:lineRule="auto"/>
        <w:ind w:left="851"/>
        <w:jc w:val="both"/>
        <w:rPr>
          <w:rFonts w:ascii="Arial" w:hAnsi="Arial" w:cs="Arial"/>
          <w:sz w:val="17"/>
          <w:szCs w:val="17"/>
        </w:rPr>
      </w:pPr>
      <w:r w:rsidRPr="004161C9">
        <w:rPr>
          <w:rFonts w:ascii="Arial" w:hAnsi="Arial" w:cs="Arial"/>
          <w:b/>
          <w:i/>
          <w:sz w:val="17"/>
          <w:szCs w:val="17"/>
        </w:rPr>
        <w:t>Fuente:</w:t>
      </w:r>
      <w:r w:rsidRPr="004161C9">
        <w:rPr>
          <w:rFonts w:ascii="Arial" w:hAnsi="Arial" w:cs="Arial"/>
          <w:sz w:val="17"/>
          <w:szCs w:val="17"/>
        </w:rPr>
        <w:t xml:space="preserve"> </w:t>
      </w:r>
      <w:r w:rsidRPr="004161C9">
        <w:rPr>
          <w:rFonts w:ascii="Arial" w:hAnsi="Arial" w:cs="Arial"/>
          <w:b/>
          <w:sz w:val="17"/>
          <w:szCs w:val="17"/>
        </w:rPr>
        <w:t xml:space="preserve">INEC </w:t>
      </w:r>
      <w:r w:rsidRPr="004161C9">
        <w:rPr>
          <w:rFonts w:ascii="Arial" w:hAnsi="Arial" w:cs="Arial"/>
          <w:sz w:val="17"/>
          <w:szCs w:val="17"/>
        </w:rPr>
        <w:t>(2010), Base de Datos del VII Censo de Población y VI de Vivienda.</w:t>
      </w:r>
    </w:p>
    <w:p w:rsidR="00361FCE" w:rsidRPr="004161C9" w:rsidRDefault="00361FCE" w:rsidP="004161C9">
      <w:pPr>
        <w:pStyle w:val="Prrafodelista"/>
        <w:spacing w:line="276" w:lineRule="auto"/>
        <w:ind w:left="851"/>
        <w:jc w:val="both"/>
        <w:rPr>
          <w:rFonts w:ascii="Arial" w:hAnsi="Arial" w:cs="Arial"/>
          <w:sz w:val="17"/>
          <w:szCs w:val="17"/>
        </w:rPr>
      </w:pPr>
      <w:r w:rsidRPr="004161C9">
        <w:rPr>
          <w:rFonts w:ascii="Arial" w:hAnsi="Arial" w:cs="Arial"/>
          <w:b/>
          <w:i/>
          <w:sz w:val="17"/>
          <w:szCs w:val="17"/>
        </w:rPr>
        <w:t>Elaborado por:</w:t>
      </w:r>
      <w:r w:rsidRPr="004161C9">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361FCE" w:rsidP="001850CF">
      <w:pPr>
        <w:pStyle w:val="Estilo42"/>
        <w:ind w:left="1701" w:hanging="850"/>
      </w:pPr>
      <w:bookmarkStart w:id="594" w:name="_Toc337135538"/>
      <w:bookmarkStart w:id="595" w:name="_Toc341040688"/>
      <w:r>
        <w:t>Población peruana económicamente activa</w:t>
      </w:r>
      <w:bookmarkEnd w:id="594"/>
      <w:bookmarkEnd w:id="595"/>
    </w:p>
    <w:p w:rsidR="00361FCE" w:rsidRPr="00FA44E5" w:rsidRDefault="00361FCE" w:rsidP="001850CF">
      <w:pPr>
        <w:pStyle w:val="Prrafodelista"/>
        <w:spacing w:line="480" w:lineRule="auto"/>
        <w:ind w:left="851"/>
        <w:jc w:val="both"/>
        <w:rPr>
          <w:rFonts w:ascii="Arial" w:hAnsi="Arial" w:cs="Arial"/>
        </w:rPr>
      </w:pPr>
      <w:r>
        <w:rPr>
          <w:rFonts w:ascii="Arial" w:hAnsi="Arial" w:cs="Arial"/>
        </w:rPr>
        <w:t xml:space="preserve">Ya hablamos de la distribución espacial y de algunas características sociodemográficas de la población peruana residen en Ecuador, ahora tratemos acerca de la estructura económica de dicha población; primeramente recordemos que en Ecuador residen 15676 peruanos de los cuales el 92.52% conforman la población peruana en edad de trabajar, es decir tienen 10 años y más; de éstos últimos el 72.55% son parte de la población económicamente activa, es decir trabajan o están buscando empleo; y, el 37.83% son parte de la población económicamente inactiva. En la </w:t>
      </w:r>
      <w:r>
        <w:rPr>
          <w:rFonts w:ascii="Arial" w:hAnsi="Arial" w:cs="Arial"/>
          <w:i/>
        </w:rPr>
        <w:t>Figura 4.44</w:t>
      </w:r>
      <w:r>
        <w:rPr>
          <w:rFonts w:ascii="Arial" w:hAnsi="Arial" w:cs="Arial"/>
        </w:rPr>
        <w:t>, se presenta lo mencionado en este párrafo en términos absolutos.</w:t>
      </w:r>
    </w:p>
    <w:tbl>
      <w:tblPr>
        <w:tblStyle w:val="Tablaconcuadrcula"/>
        <w:tblW w:w="7459" w:type="dxa"/>
        <w:jc w:val="right"/>
        <w:tblInd w:w="102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29"/>
      </w:tblGrid>
      <w:tr w:rsidR="00361FCE" w:rsidRPr="00840530" w:rsidTr="001850CF">
        <w:trPr>
          <w:trHeight w:val="2390"/>
          <w:jc w:val="right"/>
        </w:trPr>
        <w:tc>
          <w:tcPr>
            <w:tcW w:w="7459" w:type="dxa"/>
          </w:tcPr>
          <w:p w:rsidR="00361FCE" w:rsidRDefault="00361FCE" w:rsidP="00902050">
            <w:pPr>
              <w:rPr>
                <w:rFonts w:ascii="Arial" w:hAnsi="Arial" w:cs="Arial"/>
                <w:b/>
                <w:sz w:val="16"/>
                <w:szCs w:val="16"/>
              </w:rPr>
            </w:pPr>
          </w:p>
          <w:p w:rsidR="004C1B57" w:rsidRPr="004C1B57" w:rsidRDefault="004C1B57" w:rsidP="004C1B57">
            <w:pPr>
              <w:pStyle w:val="Epgrafe"/>
              <w:rPr>
                <w:rFonts w:ascii="Arial" w:hAnsi="Arial" w:cs="Arial"/>
                <w:bCs w:val="0"/>
                <w:color w:val="auto"/>
                <w:sz w:val="16"/>
                <w:szCs w:val="16"/>
              </w:rPr>
            </w:pPr>
            <w:bookmarkStart w:id="596" w:name="_Toc341044016"/>
            <w:r>
              <w:rPr>
                <w:rFonts w:ascii="Arial" w:hAnsi="Arial" w:cs="Arial"/>
                <w:bCs w:val="0"/>
                <w:color w:val="auto"/>
                <w:sz w:val="16"/>
                <w:szCs w:val="16"/>
              </w:rPr>
              <w:t>Figura 4.</w:t>
            </w:r>
            <w:r w:rsidR="00990535" w:rsidRPr="004C1B57">
              <w:rPr>
                <w:rFonts w:ascii="Arial" w:hAnsi="Arial" w:cs="Arial"/>
                <w:bCs w:val="0"/>
                <w:color w:val="auto"/>
                <w:sz w:val="16"/>
                <w:szCs w:val="16"/>
              </w:rPr>
              <w:fldChar w:fldCharType="begin"/>
            </w:r>
            <w:r w:rsidRPr="004C1B57">
              <w:rPr>
                <w:rFonts w:ascii="Arial" w:hAnsi="Arial" w:cs="Arial"/>
                <w:bCs w:val="0"/>
                <w:color w:val="auto"/>
                <w:sz w:val="16"/>
                <w:szCs w:val="16"/>
              </w:rPr>
              <w:instrText xml:space="preserve"> SEQ Figura_4. \* ARABIC </w:instrText>
            </w:r>
            <w:r w:rsidR="00990535" w:rsidRPr="004C1B57">
              <w:rPr>
                <w:rFonts w:ascii="Arial" w:hAnsi="Arial" w:cs="Arial"/>
                <w:bCs w:val="0"/>
                <w:color w:val="auto"/>
                <w:sz w:val="16"/>
                <w:szCs w:val="16"/>
              </w:rPr>
              <w:fldChar w:fldCharType="separate"/>
            </w:r>
            <w:r w:rsidR="00A242E0">
              <w:rPr>
                <w:rFonts w:ascii="Arial" w:hAnsi="Arial" w:cs="Arial"/>
                <w:bCs w:val="0"/>
                <w:noProof/>
                <w:color w:val="auto"/>
                <w:sz w:val="16"/>
                <w:szCs w:val="16"/>
              </w:rPr>
              <w:t>44</w:t>
            </w:r>
            <w:bookmarkEnd w:id="596"/>
            <w:r w:rsidR="00990535" w:rsidRPr="004C1B57">
              <w:rPr>
                <w:rFonts w:ascii="Arial" w:hAnsi="Arial" w:cs="Arial"/>
                <w:bCs w:val="0"/>
                <w:color w:val="auto"/>
                <w:sz w:val="16"/>
                <w:szCs w:val="16"/>
              </w:rPr>
              <w:fldChar w:fldCharType="end"/>
            </w:r>
          </w:p>
          <w:p w:rsidR="001850CF" w:rsidRDefault="001850CF" w:rsidP="001850CF">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Población </w:t>
            </w:r>
            <w:r>
              <w:rPr>
                <w:rFonts w:ascii="Arial" w:hAnsi="Arial" w:cs="Arial"/>
                <w:b/>
                <w:i/>
                <w:sz w:val="16"/>
                <w:szCs w:val="16"/>
              </w:rPr>
              <w:t>peruana</w:t>
            </w:r>
            <w:r>
              <w:rPr>
                <w:rFonts w:ascii="Arial" w:hAnsi="Arial" w:cs="Arial"/>
                <w:i/>
                <w:sz w:val="16"/>
                <w:szCs w:val="16"/>
              </w:rPr>
              <w:t xml:space="preserve"> Económicamente Activa e Inactiva residente en el país</w:t>
            </w:r>
          </w:p>
          <w:tbl>
            <w:tblPr>
              <w:tblStyle w:val="Tablaconcuadrcula"/>
              <w:tblW w:w="0" w:type="auto"/>
              <w:jc w:val="center"/>
              <w:tblInd w:w="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69"/>
              <w:gridCol w:w="2464"/>
            </w:tblGrid>
            <w:tr w:rsidR="00361FCE" w:rsidTr="001850CF">
              <w:trPr>
                <w:jc w:val="center"/>
              </w:trPr>
              <w:tc>
                <w:tcPr>
                  <w:tcW w:w="4569" w:type="dxa"/>
                </w:tcPr>
                <w:p w:rsidR="00361FCE" w:rsidRDefault="00361FCE" w:rsidP="00902050">
                  <w:pPr>
                    <w:rPr>
                      <w:rFonts w:ascii="Arial" w:hAnsi="Arial" w:cs="Arial"/>
                      <w:i/>
                      <w:sz w:val="16"/>
                      <w:szCs w:val="16"/>
                    </w:rPr>
                  </w:pPr>
                  <w:r>
                    <w:rPr>
                      <w:noProof/>
                      <w:lang w:eastAsia="es-EC"/>
                    </w:rPr>
                    <w:drawing>
                      <wp:inline distT="0" distB="0" distL="0" distR="0">
                        <wp:extent cx="2790825" cy="1188000"/>
                        <wp:effectExtent l="0" t="0" r="0" b="0"/>
                        <wp:docPr id="326" name="Gráfico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c>
                <w:tcPr>
                  <w:tcW w:w="2464" w:type="dxa"/>
                </w:tcPr>
                <w:tbl>
                  <w:tblPr>
                    <w:tblStyle w:val="Tablaconcuadrcula"/>
                    <w:tblW w:w="2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tblGrid>
                  <w:tr w:rsidR="001850CF" w:rsidTr="001850CF">
                    <w:trPr>
                      <w:trHeight w:val="425"/>
                    </w:trPr>
                    <w:tc>
                      <w:tcPr>
                        <w:tcW w:w="2324" w:type="dxa"/>
                        <w:vAlign w:val="center"/>
                      </w:tcPr>
                      <w:p w:rsidR="001850CF" w:rsidRPr="001850CF" w:rsidRDefault="00436907" w:rsidP="004B7FC2">
                        <w:pPr>
                          <w:jc w:val="left"/>
                          <w:rPr>
                            <w:rFonts w:ascii="Arial" w:hAnsi="Arial" w:cs="Arial"/>
                            <w:sz w:val="15"/>
                            <w:szCs w:val="15"/>
                          </w:rPr>
                        </w:pPr>
                        <w:r>
                          <w:rPr>
                            <w:rFonts w:ascii="Arial" w:hAnsi="Arial" w:cs="Arial"/>
                            <w:sz w:val="15"/>
                            <w:szCs w:val="15"/>
                          </w:rPr>
                        </w:r>
                        <w:r>
                          <w:rPr>
                            <w:rFonts w:ascii="Arial" w:hAnsi="Arial" w:cs="Arial"/>
                            <w:sz w:val="15"/>
                            <w:szCs w:val="15"/>
                          </w:rPr>
                          <w:pict>
                            <v:rect id="_x0000_s2441" style="width:7.1pt;height:7.15pt;mso-left-percent:-10001;mso-top-percent:-10001;mso-position-horizontal:absolute;mso-position-horizontal-relative:char;mso-position-vertical:absolute;mso-position-vertical-relative:line;mso-left-percent:-10001;mso-top-percent:-10001" fillcolor="#fc0" stroked="f">
                              <w10:wrap type="none"/>
                              <w10:anchorlock/>
                            </v:rect>
                          </w:pict>
                        </w:r>
                        <w:r w:rsidR="001850CF" w:rsidRPr="001850CF">
                          <w:rPr>
                            <w:rFonts w:ascii="Arial" w:hAnsi="Arial" w:cs="Arial"/>
                            <w:sz w:val="15"/>
                            <w:szCs w:val="15"/>
                          </w:rPr>
                          <w:t xml:space="preserve"> Población Extranjera Total</w:t>
                        </w:r>
                      </w:p>
                    </w:tc>
                  </w:tr>
                  <w:tr w:rsidR="001850CF" w:rsidTr="001850CF">
                    <w:trPr>
                      <w:trHeight w:val="425"/>
                    </w:trPr>
                    <w:tc>
                      <w:tcPr>
                        <w:tcW w:w="2324" w:type="dxa"/>
                        <w:vAlign w:val="center"/>
                      </w:tcPr>
                      <w:p w:rsidR="001850CF" w:rsidRPr="001850CF" w:rsidRDefault="00436907" w:rsidP="004B7FC2">
                        <w:pPr>
                          <w:jc w:val="left"/>
                          <w:rPr>
                            <w:rFonts w:ascii="Arial" w:hAnsi="Arial" w:cs="Arial"/>
                            <w:sz w:val="15"/>
                            <w:szCs w:val="15"/>
                          </w:rPr>
                        </w:pPr>
                        <w:r>
                          <w:rPr>
                            <w:rFonts w:ascii="Arial" w:hAnsi="Arial" w:cs="Arial"/>
                            <w:sz w:val="15"/>
                            <w:szCs w:val="15"/>
                          </w:rPr>
                        </w:r>
                        <w:r>
                          <w:rPr>
                            <w:rFonts w:ascii="Arial" w:hAnsi="Arial" w:cs="Arial"/>
                            <w:sz w:val="15"/>
                            <w:szCs w:val="15"/>
                          </w:rPr>
                          <w:pict>
                            <v:rect id="_x0000_s2440" style="width:7.1pt;height:7.15pt;mso-left-percent:-10001;mso-top-percent:-10001;mso-position-horizontal:absolute;mso-position-horizontal-relative:char;mso-position-vertical:absolute;mso-position-vertical-relative:line;mso-left-percent:-10001;mso-top-percent:-10001" fillcolor="#e36c0a [2409]" stroked="f">
                              <w10:wrap type="none"/>
                              <w10:anchorlock/>
                            </v:rect>
                          </w:pict>
                        </w:r>
                        <w:r w:rsidR="001850CF" w:rsidRPr="001850CF">
                          <w:rPr>
                            <w:rFonts w:ascii="Arial" w:hAnsi="Arial" w:cs="Arial"/>
                            <w:sz w:val="15"/>
                            <w:szCs w:val="15"/>
                          </w:rPr>
                          <w:t xml:space="preserve"> Población en Edad de Trabajar</w:t>
                        </w:r>
                      </w:p>
                    </w:tc>
                  </w:tr>
                  <w:tr w:rsidR="001850CF" w:rsidTr="001850CF">
                    <w:trPr>
                      <w:trHeight w:val="425"/>
                    </w:trPr>
                    <w:tc>
                      <w:tcPr>
                        <w:tcW w:w="2324" w:type="dxa"/>
                        <w:vAlign w:val="center"/>
                      </w:tcPr>
                      <w:p w:rsidR="001850CF" w:rsidRPr="001850CF" w:rsidRDefault="00436907" w:rsidP="004B7FC2">
                        <w:pPr>
                          <w:jc w:val="left"/>
                          <w:rPr>
                            <w:rFonts w:ascii="Arial" w:hAnsi="Arial" w:cs="Arial"/>
                            <w:sz w:val="15"/>
                            <w:szCs w:val="15"/>
                          </w:rPr>
                        </w:pPr>
                        <w:r>
                          <w:rPr>
                            <w:rFonts w:ascii="Arial" w:hAnsi="Arial" w:cs="Arial"/>
                            <w:sz w:val="15"/>
                            <w:szCs w:val="15"/>
                          </w:rPr>
                        </w:r>
                        <w:r>
                          <w:rPr>
                            <w:rFonts w:ascii="Arial" w:hAnsi="Arial" w:cs="Arial"/>
                            <w:sz w:val="15"/>
                            <w:szCs w:val="15"/>
                          </w:rPr>
                          <w:pict>
                            <v:rect id="_x0000_s2439" style="width:7.1pt;height:7.15pt;mso-left-percent:-10001;mso-top-percent:-10001;mso-position-horizontal:absolute;mso-position-horizontal-relative:char;mso-position-vertical:absolute;mso-position-vertical-relative:line;mso-left-percent:-10001;mso-top-percent:-10001" fillcolor="fuchsia" stroked="f">
                              <w10:wrap type="none"/>
                              <w10:anchorlock/>
                            </v:rect>
                          </w:pict>
                        </w:r>
                        <w:r w:rsidR="001850CF" w:rsidRPr="001850CF">
                          <w:rPr>
                            <w:rFonts w:ascii="Arial" w:hAnsi="Arial" w:cs="Arial"/>
                            <w:sz w:val="15"/>
                            <w:szCs w:val="15"/>
                          </w:rPr>
                          <w:t xml:space="preserve"> Población Económicamente Activa</w:t>
                        </w:r>
                      </w:p>
                    </w:tc>
                  </w:tr>
                  <w:tr w:rsidR="001850CF" w:rsidTr="001850CF">
                    <w:trPr>
                      <w:trHeight w:val="425"/>
                    </w:trPr>
                    <w:tc>
                      <w:tcPr>
                        <w:tcW w:w="2324" w:type="dxa"/>
                        <w:vAlign w:val="center"/>
                      </w:tcPr>
                      <w:p w:rsidR="001850CF" w:rsidRPr="001850CF" w:rsidRDefault="00436907" w:rsidP="004B7FC2">
                        <w:pPr>
                          <w:jc w:val="left"/>
                          <w:rPr>
                            <w:rFonts w:ascii="Arial" w:hAnsi="Arial" w:cs="Arial"/>
                            <w:sz w:val="15"/>
                            <w:szCs w:val="15"/>
                          </w:rPr>
                        </w:pPr>
                        <w:r>
                          <w:rPr>
                            <w:rFonts w:ascii="Arial" w:hAnsi="Arial" w:cs="Arial"/>
                            <w:sz w:val="15"/>
                            <w:szCs w:val="15"/>
                          </w:rPr>
                        </w:r>
                        <w:r>
                          <w:rPr>
                            <w:rFonts w:ascii="Arial" w:hAnsi="Arial" w:cs="Arial"/>
                            <w:sz w:val="15"/>
                            <w:szCs w:val="15"/>
                          </w:rPr>
                          <w:pict>
                            <v:rect id="_x0000_s2438" style="width:7.1pt;height:7.15pt;mso-left-percent:-10001;mso-top-percent:-10001;mso-position-horizontal:absolute;mso-position-horizontal-relative:char;mso-position-vertical:absolute;mso-position-vertical-relative:line;mso-left-percent:-10001;mso-top-percent:-10001" fillcolor="#00b0f0" stroked="f">
                              <w10:wrap type="none"/>
                              <w10:anchorlock/>
                            </v:rect>
                          </w:pict>
                        </w:r>
                        <w:r w:rsidR="001850CF" w:rsidRPr="001850CF">
                          <w:rPr>
                            <w:rFonts w:ascii="Arial" w:hAnsi="Arial" w:cs="Arial"/>
                            <w:sz w:val="15"/>
                            <w:szCs w:val="15"/>
                          </w:rPr>
                          <w:t xml:space="preserve"> Población Económicamente Inactiva</w:t>
                        </w:r>
                      </w:p>
                    </w:tc>
                  </w:tr>
                </w:tbl>
                <w:p w:rsidR="00361FCE" w:rsidRDefault="00361FCE" w:rsidP="00902050">
                  <w:pPr>
                    <w:rPr>
                      <w:rFonts w:ascii="Arial" w:hAnsi="Arial" w:cs="Arial"/>
                      <w:i/>
                      <w:sz w:val="16"/>
                      <w:szCs w:val="16"/>
                    </w:rPr>
                  </w:pPr>
                </w:p>
              </w:tc>
            </w:tr>
          </w:tbl>
          <w:p w:rsidR="00361FCE" w:rsidRPr="0078148C" w:rsidRDefault="00361FCE" w:rsidP="00902050">
            <w:pPr>
              <w:jc w:val="left"/>
              <w:rPr>
                <w:rFonts w:ascii="Arial" w:hAnsi="Arial" w:cs="Arial"/>
                <w:i/>
                <w:sz w:val="16"/>
                <w:szCs w:val="16"/>
              </w:rPr>
            </w:pPr>
          </w:p>
        </w:tc>
      </w:tr>
    </w:tbl>
    <w:p w:rsidR="00361FCE" w:rsidRPr="001850CF" w:rsidRDefault="00361FCE" w:rsidP="001850CF">
      <w:pPr>
        <w:pStyle w:val="Prrafodelista"/>
        <w:spacing w:line="276" w:lineRule="auto"/>
        <w:ind w:left="851"/>
        <w:jc w:val="both"/>
        <w:rPr>
          <w:rFonts w:ascii="Arial" w:hAnsi="Arial" w:cs="Arial"/>
          <w:sz w:val="17"/>
          <w:szCs w:val="17"/>
        </w:rPr>
      </w:pPr>
    </w:p>
    <w:p w:rsidR="00361FCE" w:rsidRPr="001850CF" w:rsidRDefault="00361FCE" w:rsidP="001850CF">
      <w:pPr>
        <w:pStyle w:val="Prrafodelista"/>
        <w:spacing w:line="276" w:lineRule="auto"/>
        <w:ind w:left="851"/>
        <w:jc w:val="both"/>
        <w:rPr>
          <w:rFonts w:ascii="Arial" w:hAnsi="Arial" w:cs="Arial"/>
          <w:sz w:val="17"/>
          <w:szCs w:val="17"/>
        </w:rPr>
      </w:pPr>
      <w:r w:rsidRPr="001850CF">
        <w:rPr>
          <w:rFonts w:ascii="Arial" w:hAnsi="Arial" w:cs="Arial"/>
          <w:b/>
          <w:i/>
          <w:sz w:val="17"/>
          <w:szCs w:val="17"/>
        </w:rPr>
        <w:t>Fuente:</w:t>
      </w:r>
      <w:r w:rsidRPr="001850CF">
        <w:rPr>
          <w:rFonts w:ascii="Arial" w:hAnsi="Arial" w:cs="Arial"/>
          <w:sz w:val="17"/>
          <w:szCs w:val="17"/>
        </w:rPr>
        <w:t xml:space="preserve"> </w:t>
      </w:r>
      <w:r w:rsidRPr="001850CF">
        <w:rPr>
          <w:rFonts w:ascii="Arial" w:hAnsi="Arial" w:cs="Arial"/>
          <w:b/>
          <w:sz w:val="17"/>
          <w:szCs w:val="17"/>
        </w:rPr>
        <w:t xml:space="preserve">INEC </w:t>
      </w:r>
      <w:r w:rsidRPr="001850CF">
        <w:rPr>
          <w:rFonts w:ascii="Arial" w:hAnsi="Arial" w:cs="Arial"/>
          <w:sz w:val="17"/>
          <w:szCs w:val="17"/>
        </w:rPr>
        <w:t>(2010), Base de Datos del VII Censo de Población y VI de Vivienda.</w:t>
      </w:r>
    </w:p>
    <w:p w:rsidR="00361FCE" w:rsidRPr="001850CF" w:rsidRDefault="00361FCE" w:rsidP="001850CF">
      <w:pPr>
        <w:pStyle w:val="Prrafodelista"/>
        <w:spacing w:line="276" w:lineRule="auto"/>
        <w:ind w:left="851"/>
        <w:jc w:val="both"/>
        <w:rPr>
          <w:rFonts w:ascii="Arial" w:hAnsi="Arial" w:cs="Arial"/>
          <w:sz w:val="17"/>
          <w:szCs w:val="17"/>
        </w:rPr>
      </w:pPr>
      <w:r w:rsidRPr="001850CF">
        <w:rPr>
          <w:rFonts w:ascii="Arial" w:hAnsi="Arial" w:cs="Arial"/>
          <w:b/>
          <w:i/>
          <w:sz w:val="17"/>
          <w:szCs w:val="17"/>
        </w:rPr>
        <w:t>Elaborado por:</w:t>
      </w:r>
      <w:r w:rsidRPr="001850CF">
        <w:rPr>
          <w:rFonts w:ascii="Arial" w:hAnsi="Arial" w:cs="Arial"/>
          <w:sz w:val="17"/>
          <w:szCs w:val="17"/>
        </w:rPr>
        <w:t xml:space="preserve"> Katherine Loor Valeriano</w:t>
      </w:r>
    </w:p>
    <w:p w:rsidR="00361FCE" w:rsidRDefault="00361FCE" w:rsidP="001850CF">
      <w:pPr>
        <w:pStyle w:val="Prrafodelista"/>
        <w:spacing w:line="480" w:lineRule="auto"/>
        <w:ind w:left="851"/>
        <w:jc w:val="both"/>
        <w:rPr>
          <w:rFonts w:ascii="Arial" w:hAnsi="Arial" w:cs="Arial"/>
        </w:rPr>
      </w:pPr>
    </w:p>
    <w:p w:rsidR="00361FCE" w:rsidRPr="004B6CC6" w:rsidRDefault="00361FCE" w:rsidP="001850CF">
      <w:pPr>
        <w:pStyle w:val="Prrafodelista"/>
        <w:spacing w:line="480" w:lineRule="auto"/>
        <w:ind w:left="851"/>
        <w:jc w:val="both"/>
        <w:rPr>
          <w:rFonts w:ascii="Arial" w:hAnsi="Arial" w:cs="Arial"/>
        </w:rPr>
      </w:pPr>
      <w:r>
        <w:rPr>
          <w:rFonts w:ascii="Arial" w:hAnsi="Arial" w:cs="Arial"/>
        </w:rPr>
        <w:t xml:space="preserve">Pero a mas de conocer la estructura económica del total de la población peruana residente en el territorio ecuatoriano, desagreguemos dichos valores por género; que como se presenta en la </w:t>
      </w:r>
      <w:r>
        <w:rPr>
          <w:rFonts w:ascii="Arial" w:hAnsi="Arial" w:cs="Arial"/>
          <w:i/>
        </w:rPr>
        <w:t>Figura 4.45</w:t>
      </w:r>
      <w:r>
        <w:rPr>
          <w:rFonts w:ascii="Arial" w:hAnsi="Arial" w:cs="Arial"/>
        </w:rPr>
        <w:t>, en el país hay 8931 peruanos y 6745 mujeres de la misma nacionalidad. En lo que respecta a los hombres del total mencionado, el 93.30% están en edad de trabajar, de éstos el 88.89% forman parte de la población económicamente activa y el 11.11% de la población inactiva; mientras que, para el caso de las mujeres el 91.49% son mayores de 10 años, de las mujeres en edad de trabajar el 50.49% trabaja o busca empleo y el 49.51% forman parte de la población económicamente inactiva del país.</w:t>
      </w:r>
    </w:p>
    <w:tbl>
      <w:tblPr>
        <w:tblStyle w:val="Tablaconcuadrcula"/>
        <w:tblW w:w="7497" w:type="dxa"/>
        <w:jc w:val="right"/>
        <w:tblInd w:w="123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04"/>
      </w:tblGrid>
      <w:tr w:rsidR="00361FCE" w:rsidRPr="00840530" w:rsidTr="001850CF">
        <w:trPr>
          <w:trHeight w:val="2727"/>
          <w:jc w:val="right"/>
        </w:trPr>
        <w:tc>
          <w:tcPr>
            <w:tcW w:w="7497" w:type="dxa"/>
          </w:tcPr>
          <w:p w:rsidR="00361FCE" w:rsidRDefault="00361FCE" w:rsidP="00902050">
            <w:pPr>
              <w:rPr>
                <w:rFonts w:ascii="Arial" w:hAnsi="Arial" w:cs="Arial"/>
                <w:b/>
                <w:sz w:val="16"/>
                <w:szCs w:val="16"/>
              </w:rPr>
            </w:pPr>
          </w:p>
          <w:p w:rsidR="004C1B57" w:rsidRPr="004C1B57" w:rsidRDefault="004C1B57" w:rsidP="004C1B57">
            <w:pPr>
              <w:pStyle w:val="Epgrafe"/>
              <w:rPr>
                <w:rFonts w:ascii="Arial" w:hAnsi="Arial" w:cs="Arial"/>
                <w:bCs w:val="0"/>
                <w:color w:val="auto"/>
                <w:sz w:val="16"/>
                <w:szCs w:val="16"/>
              </w:rPr>
            </w:pPr>
            <w:bookmarkStart w:id="597" w:name="_Toc341044017"/>
            <w:r>
              <w:rPr>
                <w:rFonts w:ascii="Arial" w:hAnsi="Arial" w:cs="Arial"/>
                <w:bCs w:val="0"/>
                <w:color w:val="auto"/>
                <w:sz w:val="16"/>
                <w:szCs w:val="16"/>
              </w:rPr>
              <w:t>Figura 4.</w:t>
            </w:r>
            <w:r w:rsidR="00990535" w:rsidRPr="004C1B57">
              <w:rPr>
                <w:rFonts w:ascii="Arial" w:hAnsi="Arial" w:cs="Arial"/>
                <w:bCs w:val="0"/>
                <w:color w:val="auto"/>
                <w:sz w:val="16"/>
                <w:szCs w:val="16"/>
              </w:rPr>
              <w:fldChar w:fldCharType="begin"/>
            </w:r>
            <w:r w:rsidRPr="004C1B57">
              <w:rPr>
                <w:rFonts w:ascii="Arial" w:hAnsi="Arial" w:cs="Arial"/>
                <w:bCs w:val="0"/>
                <w:color w:val="auto"/>
                <w:sz w:val="16"/>
                <w:szCs w:val="16"/>
              </w:rPr>
              <w:instrText xml:space="preserve"> SEQ Figura_4. \* ARABIC </w:instrText>
            </w:r>
            <w:r w:rsidR="00990535" w:rsidRPr="004C1B57">
              <w:rPr>
                <w:rFonts w:ascii="Arial" w:hAnsi="Arial" w:cs="Arial"/>
                <w:bCs w:val="0"/>
                <w:color w:val="auto"/>
                <w:sz w:val="16"/>
                <w:szCs w:val="16"/>
              </w:rPr>
              <w:fldChar w:fldCharType="separate"/>
            </w:r>
            <w:r w:rsidR="00A242E0">
              <w:rPr>
                <w:rFonts w:ascii="Arial" w:hAnsi="Arial" w:cs="Arial"/>
                <w:bCs w:val="0"/>
                <w:noProof/>
                <w:color w:val="auto"/>
                <w:sz w:val="16"/>
                <w:szCs w:val="16"/>
              </w:rPr>
              <w:t>45</w:t>
            </w:r>
            <w:bookmarkEnd w:id="597"/>
            <w:r w:rsidR="00990535" w:rsidRPr="004C1B57">
              <w:rPr>
                <w:rFonts w:ascii="Arial" w:hAnsi="Arial" w:cs="Arial"/>
                <w:bCs w:val="0"/>
                <w:color w:val="auto"/>
                <w:sz w:val="16"/>
                <w:szCs w:val="16"/>
              </w:rPr>
              <w:fldChar w:fldCharType="end"/>
            </w:r>
          </w:p>
          <w:p w:rsidR="00361FCE" w:rsidRDefault="001850CF" w:rsidP="001850CF">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Población </w:t>
            </w:r>
            <w:r>
              <w:rPr>
                <w:rFonts w:ascii="Arial" w:hAnsi="Arial" w:cs="Arial"/>
                <w:b/>
                <w:i/>
                <w:sz w:val="16"/>
                <w:szCs w:val="16"/>
              </w:rPr>
              <w:t>peruana</w:t>
            </w:r>
            <w:r>
              <w:rPr>
                <w:rFonts w:ascii="Arial" w:hAnsi="Arial" w:cs="Arial"/>
                <w:i/>
                <w:sz w:val="16"/>
                <w:szCs w:val="16"/>
              </w:rPr>
              <w:t xml:space="preserve"> Económicamente Activa e Inactiva por Género</w:t>
            </w:r>
          </w:p>
          <w:tbl>
            <w:tblPr>
              <w:tblStyle w:val="Tablaconcuadrcula"/>
              <w:tblW w:w="0" w:type="auto"/>
              <w:jc w:val="center"/>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575"/>
              <w:gridCol w:w="3575"/>
            </w:tblGrid>
            <w:tr w:rsidR="00361FCE" w:rsidTr="001850CF">
              <w:trPr>
                <w:jc w:val="center"/>
              </w:trPr>
              <w:tc>
                <w:tcPr>
                  <w:tcW w:w="3624" w:type="dxa"/>
                </w:tcPr>
                <w:p w:rsidR="00361FCE" w:rsidRDefault="00436907" w:rsidP="00902050">
                  <w:pPr>
                    <w:rPr>
                      <w:rFonts w:ascii="Arial" w:hAnsi="Arial" w:cs="Arial"/>
                      <w:i/>
                      <w:sz w:val="16"/>
                      <w:szCs w:val="16"/>
                    </w:rPr>
                  </w:pPr>
                  <w:r>
                    <w:rPr>
                      <w:noProof/>
                    </w:rPr>
                    <w:pict>
                      <v:shape id="_x0000_s1580" type="#_x0000_t202" style="position:absolute;left:0;text-align:left;margin-left:87.85pt;margin-top:2.15pt;width:62.45pt;height:16.05pt;z-index:25157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LT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Mk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e+bi0y8CAABWBAAADgAAAAAAAAAAAAAAAAAuAgAAZHJz&#10;L2Uyb0RvYy54bWxQSwECLQAUAAYACAAAACEA/S8y1tsAAAAFAQAADwAAAAAAAAAAAAAAAACJBAAA&#10;ZHJzL2Rvd25yZXYueG1sUEsFBgAAAAAEAAQA8wAAAJEFAAAAAA==&#10;" filled="f" stroked="f">
                        <v:textbox style="mso-next-textbox:#_x0000_s1580">
                          <w:txbxContent>
                            <w:p w:rsidR="006933DF" w:rsidRPr="003622AA" w:rsidRDefault="006933DF" w:rsidP="00361FCE">
                              <w:pPr>
                                <w:rPr>
                                  <w:rFonts w:ascii="Arial" w:hAnsi="Arial" w:cs="Arial"/>
                                  <w:color w:val="0070C0"/>
                                  <w:sz w:val="16"/>
                                  <w:szCs w:val="16"/>
                                </w:rPr>
                              </w:pPr>
                              <w:r>
                                <w:rPr>
                                  <w:rFonts w:ascii="Arial" w:hAnsi="Arial" w:cs="Arial"/>
                                  <w:color w:val="0070C0"/>
                                  <w:sz w:val="16"/>
                                  <w:szCs w:val="16"/>
                                </w:rPr>
                                <w:t>Hombre</w:t>
                              </w:r>
                            </w:p>
                          </w:txbxContent>
                        </v:textbox>
                      </v:shape>
                    </w:pict>
                  </w:r>
                  <w:r w:rsidR="00361FCE">
                    <w:rPr>
                      <w:noProof/>
                      <w:lang w:eastAsia="es-EC"/>
                    </w:rPr>
                    <w:drawing>
                      <wp:inline distT="0" distB="0" distL="0" distR="0">
                        <wp:extent cx="2160000" cy="1152000"/>
                        <wp:effectExtent l="0" t="0" r="0" b="0"/>
                        <wp:docPr id="327" name="Gráfico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c>
              <w:tc>
                <w:tcPr>
                  <w:tcW w:w="3803" w:type="dxa"/>
                </w:tcPr>
                <w:p w:rsidR="00361FCE" w:rsidRDefault="00436907" w:rsidP="00902050">
                  <w:pPr>
                    <w:rPr>
                      <w:rFonts w:ascii="Arial" w:hAnsi="Arial" w:cs="Arial"/>
                      <w:i/>
                      <w:sz w:val="16"/>
                      <w:szCs w:val="16"/>
                    </w:rPr>
                  </w:pPr>
                  <w:r>
                    <w:rPr>
                      <w:rFonts w:ascii="Arial" w:hAnsi="Arial" w:cs="Arial"/>
                      <w:noProof/>
                      <w:lang w:eastAsia="es-EC"/>
                    </w:rPr>
                    <w:pict>
                      <v:shape id="_x0000_s1581" type="#_x0000_t202" style="position:absolute;left:0;text-align:left;margin-left:82.9pt;margin-top:2.15pt;width:62.45pt;height:16.05pt;z-index:2515758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LT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Mk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e+bi0y8CAABWBAAADgAAAAAAAAAAAAAAAAAuAgAAZHJz&#10;L2Uyb0RvYy54bWxQSwECLQAUAAYACAAAACEA/S8y1tsAAAAFAQAADwAAAAAAAAAAAAAAAACJBAAA&#10;ZHJzL2Rvd25yZXYueG1sUEsFBgAAAAAEAAQA8wAAAJEFAAAAAA==&#10;" filled="f" stroked="f">
                        <v:textbox style="mso-next-textbox:#_x0000_s1581">
                          <w:txbxContent>
                            <w:p w:rsidR="006933DF" w:rsidRPr="003622AA" w:rsidRDefault="006933DF" w:rsidP="00361FCE">
                              <w:pPr>
                                <w:rPr>
                                  <w:rFonts w:ascii="Arial" w:hAnsi="Arial" w:cs="Arial"/>
                                  <w:color w:val="FF00FF"/>
                                  <w:sz w:val="16"/>
                                  <w:szCs w:val="16"/>
                                </w:rPr>
                              </w:pPr>
                              <w:r>
                                <w:rPr>
                                  <w:rFonts w:ascii="Arial" w:hAnsi="Arial" w:cs="Arial"/>
                                  <w:color w:val="FF00FF"/>
                                  <w:sz w:val="16"/>
                                  <w:szCs w:val="16"/>
                                </w:rPr>
                                <w:t>Mujer</w:t>
                              </w:r>
                            </w:p>
                          </w:txbxContent>
                        </v:textbox>
                      </v:shape>
                    </w:pict>
                  </w:r>
                  <w:r w:rsidR="00361FCE">
                    <w:rPr>
                      <w:noProof/>
                      <w:lang w:eastAsia="es-EC"/>
                    </w:rPr>
                    <w:drawing>
                      <wp:inline distT="0" distB="0" distL="0" distR="0">
                        <wp:extent cx="2160000" cy="1152000"/>
                        <wp:effectExtent l="0" t="0" r="0" b="0"/>
                        <wp:docPr id="328" name="Gráfico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c>
            </w:tr>
            <w:tr w:rsidR="00361FCE" w:rsidRPr="001850CF" w:rsidTr="001850CF">
              <w:trPr>
                <w:jc w:val="center"/>
              </w:trPr>
              <w:tc>
                <w:tcPr>
                  <w:tcW w:w="7427" w:type="dxa"/>
                  <w:gridSpan w:val="2"/>
                </w:tcPr>
                <w:tbl>
                  <w:tblPr>
                    <w:tblStyle w:val="Tablaconcuadrcula"/>
                    <w:tblW w:w="6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57"/>
                    <w:gridCol w:w="1644"/>
                    <w:gridCol w:w="1701"/>
                    <w:gridCol w:w="1871"/>
                  </w:tblGrid>
                  <w:tr w:rsidR="00361FCE" w:rsidRPr="001850CF" w:rsidTr="001850CF">
                    <w:trPr>
                      <w:trHeight w:val="340"/>
                    </w:trPr>
                    <w:tc>
                      <w:tcPr>
                        <w:tcW w:w="1757" w:type="dxa"/>
                        <w:vAlign w:val="center"/>
                      </w:tcPr>
                      <w:p w:rsidR="00361FCE" w:rsidRPr="001850CF" w:rsidRDefault="00436907" w:rsidP="00902050">
                        <w:pPr>
                          <w:jc w:val="left"/>
                          <w:rPr>
                            <w:rFonts w:ascii="Arial" w:hAnsi="Arial" w:cs="Arial"/>
                            <w:sz w:val="15"/>
                            <w:szCs w:val="15"/>
                          </w:rPr>
                        </w:pPr>
                        <w:r>
                          <w:rPr>
                            <w:rFonts w:ascii="Arial" w:hAnsi="Arial" w:cs="Arial"/>
                            <w:sz w:val="15"/>
                            <w:szCs w:val="15"/>
                          </w:rPr>
                        </w:r>
                        <w:r>
                          <w:rPr>
                            <w:rFonts w:ascii="Arial" w:hAnsi="Arial" w:cs="Arial"/>
                            <w:sz w:val="15"/>
                            <w:szCs w:val="15"/>
                          </w:rPr>
                          <w:pict>
                            <v:rect id="_x0000_s2437" style="width:7.1pt;height:7.15pt;mso-left-percent:-10001;mso-top-percent:-10001;mso-position-horizontal:absolute;mso-position-horizontal-relative:char;mso-position-vertical:absolute;mso-position-vertical-relative:line;mso-left-percent:-10001;mso-top-percent:-10001" fillcolor="#fc0" stroked="f">
                              <w10:wrap type="none"/>
                              <w10:anchorlock/>
                            </v:rect>
                          </w:pict>
                        </w:r>
                        <w:r w:rsidR="00361FCE" w:rsidRPr="001850CF">
                          <w:rPr>
                            <w:rFonts w:ascii="Arial" w:hAnsi="Arial" w:cs="Arial"/>
                            <w:sz w:val="15"/>
                            <w:szCs w:val="15"/>
                          </w:rPr>
                          <w:t xml:space="preserve"> Población Extranjera      </w:t>
                        </w:r>
                      </w:p>
                      <w:p w:rsidR="00361FCE" w:rsidRPr="001850CF" w:rsidRDefault="00361FCE" w:rsidP="00902050">
                        <w:pPr>
                          <w:jc w:val="left"/>
                          <w:rPr>
                            <w:rFonts w:ascii="Arial" w:hAnsi="Arial" w:cs="Arial"/>
                            <w:sz w:val="15"/>
                            <w:szCs w:val="15"/>
                          </w:rPr>
                        </w:pPr>
                        <w:r w:rsidRPr="001850CF">
                          <w:rPr>
                            <w:rFonts w:ascii="Arial" w:hAnsi="Arial" w:cs="Arial"/>
                            <w:sz w:val="15"/>
                            <w:szCs w:val="15"/>
                          </w:rPr>
                          <w:t xml:space="preserve">    Total</w:t>
                        </w:r>
                      </w:p>
                    </w:tc>
                    <w:tc>
                      <w:tcPr>
                        <w:tcW w:w="1644" w:type="dxa"/>
                        <w:vAlign w:val="center"/>
                      </w:tcPr>
                      <w:p w:rsidR="00361FCE" w:rsidRPr="001850CF" w:rsidRDefault="00436907" w:rsidP="001850CF">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36" style="width:7.1pt;height:7.15pt;mso-left-percent:-10001;mso-top-percent:-10001;mso-position-horizontal:absolute;mso-position-horizontal-relative:char;mso-position-vertical:absolute;mso-position-vertical-relative:line;mso-left-percent:-10001;mso-top-percent:-10001" fillcolor="#e36c0a [2409]" stroked="f">
                              <w10:wrap type="none"/>
                              <w10:anchorlock/>
                            </v:rect>
                          </w:pict>
                        </w:r>
                        <w:r w:rsidR="00361FCE" w:rsidRPr="001850CF">
                          <w:rPr>
                            <w:rFonts w:ascii="Arial" w:hAnsi="Arial" w:cs="Arial"/>
                            <w:sz w:val="15"/>
                            <w:szCs w:val="15"/>
                          </w:rPr>
                          <w:t xml:space="preserve"> Población en Edad de Trabajar</w:t>
                        </w:r>
                        <w:r w:rsidR="00361FCE" w:rsidRPr="001850CF">
                          <w:rPr>
                            <w:rFonts w:ascii="Arial" w:hAnsi="Arial" w:cs="Arial"/>
                            <w:sz w:val="15"/>
                            <w:szCs w:val="15"/>
                          </w:rPr>
                          <w:tab/>
                        </w:r>
                      </w:p>
                    </w:tc>
                    <w:tc>
                      <w:tcPr>
                        <w:tcW w:w="1701" w:type="dxa"/>
                        <w:vAlign w:val="center"/>
                      </w:tcPr>
                      <w:p w:rsidR="00361FCE" w:rsidRPr="001850CF" w:rsidRDefault="00436907" w:rsidP="00902050">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35" style="width:7.1pt;height:7.15pt;mso-left-percent:-10001;mso-top-percent:-10001;mso-position-horizontal:absolute;mso-position-horizontal-relative:char;mso-position-vertical:absolute;mso-position-vertical-relative:line;mso-left-percent:-10001;mso-top-percent:-10001" fillcolor="fuchsia" stroked="f">
                              <w10:wrap type="none"/>
                              <w10:anchorlock/>
                            </v:rect>
                          </w:pict>
                        </w:r>
                        <w:r w:rsidR="00361FCE" w:rsidRPr="001850CF">
                          <w:rPr>
                            <w:rFonts w:ascii="Arial" w:hAnsi="Arial" w:cs="Arial"/>
                            <w:sz w:val="15"/>
                            <w:szCs w:val="15"/>
                          </w:rPr>
                          <w:t xml:space="preserve"> Población Económicamente Activa</w:t>
                        </w:r>
                      </w:p>
                    </w:tc>
                    <w:tc>
                      <w:tcPr>
                        <w:tcW w:w="1871" w:type="dxa"/>
                        <w:vAlign w:val="center"/>
                      </w:tcPr>
                      <w:p w:rsidR="00361FCE" w:rsidRPr="001850CF" w:rsidRDefault="00436907" w:rsidP="00902050">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34" style="width:7.1pt;height:7.15pt;mso-left-percent:-10001;mso-top-percent:-10001;mso-position-horizontal:absolute;mso-position-horizontal-relative:char;mso-position-vertical:absolute;mso-position-vertical-relative:line;mso-left-percent:-10001;mso-top-percent:-10001" fillcolor="#00b0f0" stroked="f">
                              <w10:wrap type="none"/>
                              <w10:anchorlock/>
                            </v:rect>
                          </w:pict>
                        </w:r>
                        <w:r w:rsidR="00361FCE" w:rsidRPr="001850CF">
                          <w:rPr>
                            <w:rFonts w:ascii="Arial" w:hAnsi="Arial" w:cs="Arial"/>
                            <w:sz w:val="15"/>
                            <w:szCs w:val="15"/>
                          </w:rPr>
                          <w:t xml:space="preserve"> Población Económicamente Inactiva</w:t>
                        </w:r>
                      </w:p>
                    </w:tc>
                  </w:tr>
                </w:tbl>
                <w:p w:rsidR="00361FCE" w:rsidRPr="001850CF" w:rsidRDefault="00361FCE" w:rsidP="00902050">
                  <w:pPr>
                    <w:rPr>
                      <w:noProof/>
                      <w:sz w:val="15"/>
                      <w:szCs w:val="15"/>
                      <w:lang w:eastAsia="es-EC"/>
                    </w:rPr>
                  </w:pPr>
                </w:p>
              </w:tc>
            </w:tr>
          </w:tbl>
          <w:p w:rsidR="00361FCE" w:rsidRPr="0078148C" w:rsidRDefault="00361FCE" w:rsidP="00902050">
            <w:pPr>
              <w:jc w:val="left"/>
              <w:rPr>
                <w:rFonts w:ascii="Arial" w:hAnsi="Arial" w:cs="Arial"/>
                <w:i/>
                <w:sz w:val="16"/>
                <w:szCs w:val="16"/>
              </w:rPr>
            </w:pPr>
          </w:p>
        </w:tc>
      </w:tr>
    </w:tbl>
    <w:p w:rsidR="00361FCE" w:rsidRPr="001850CF" w:rsidRDefault="00361FCE" w:rsidP="001850CF">
      <w:pPr>
        <w:pStyle w:val="Prrafodelista"/>
        <w:spacing w:line="276" w:lineRule="auto"/>
        <w:ind w:left="851"/>
        <w:jc w:val="both"/>
        <w:rPr>
          <w:rFonts w:ascii="Arial" w:hAnsi="Arial" w:cs="Arial"/>
          <w:sz w:val="6"/>
          <w:szCs w:val="6"/>
        </w:rPr>
      </w:pPr>
    </w:p>
    <w:p w:rsidR="00361FCE" w:rsidRPr="001850CF" w:rsidRDefault="00361FCE" w:rsidP="001850CF">
      <w:pPr>
        <w:pStyle w:val="Prrafodelista"/>
        <w:spacing w:line="276" w:lineRule="auto"/>
        <w:ind w:left="851"/>
        <w:jc w:val="both"/>
        <w:rPr>
          <w:rFonts w:ascii="Arial" w:hAnsi="Arial" w:cs="Arial"/>
          <w:sz w:val="17"/>
          <w:szCs w:val="17"/>
        </w:rPr>
      </w:pPr>
      <w:r w:rsidRPr="001850CF">
        <w:rPr>
          <w:rFonts w:ascii="Arial" w:hAnsi="Arial" w:cs="Arial"/>
          <w:b/>
          <w:i/>
          <w:sz w:val="17"/>
          <w:szCs w:val="17"/>
        </w:rPr>
        <w:t>Fuente:</w:t>
      </w:r>
      <w:r w:rsidRPr="001850CF">
        <w:rPr>
          <w:rFonts w:ascii="Arial" w:hAnsi="Arial" w:cs="Arial"/>
          <w:sz w:val="17"/>
          <w:szCs w:val="17"/>
        </w:rPr>
        <w:t xml:space="preserve"> </w:t>
      </w:r>
      <w:r w:rsidRPr="001850CF">
        <w:rPr>
          <w:rFonts w:ascii="Arial" w:hAnsi="Arial" w:cs="Arial"/>
          <w:b/>
          <w:sz w:val="17"/>
          <w:szCs w:val="17"/>
        </w:rPr>
        <w:t xml:space="preserve">INEC </w:t>
      </w:r>
      <w:r w:rsidRPr="001850CF">
        <w:rPr>
          <w:rFonts w:ascii="Arial" w:hAnsi="Arial" w:cs="Arial"/>
          <w:sz w:val="17"/>
          <w:szCs w:val="17"/>
        </w:rPr>
        <w:t>(2010), Base de Datos del VII Censo de Población y VI de Vivienda.</w:t>
      </w:r>
    </w:p>
    <w:p w:rsidR="00361FCE" w:rsidRDefault="00361FCE" w:rsidP="001850CF">
      <w:pPr>
        <w:pStyle w:val="Prrafodelista"/>
        <w:spacing w:line="276" w:lineRule="auto"/>
        <w:ind w:left="851"/>
        <w:jc w:val="both"/>
        <w:rPr>
          <w:rFonts w:ascii="Arial" w:hAnsi="Arial" w:cs="Arial"/>
          <w:sz w:val="18"/>
          <w:szCs w:val="18"/>
        </w:rPr>
      </w:pPr>
      <w:r w:rsidRPr="001850CF">
        <w:rPr>
          <w:rFonts w:ascii="Arial" w:hAnsi="Arial" w:cs="Arial"/>
          <w:b/>
          <w:i/>
          <w:sz w:val="17"/>
          <w:szCs w:val="17"/>
        </w:rPr>
        <w:t>Elaborado por:</w:t>
      </w:r>
      <w:r w:rsidRPr="001850CF">
        <w:rPr>
          <w:rFonts w:ascii="Arial" w:hAnsi="Arial" w:cs="Arial"/>
          <w:sz w:val="17"/>
          <w:szCs w:val="17"/>
        </w:rPr>
        <w:t xml:space="preserve"> Katherine Loor Valeriano</w:t>
      </w:r>
    </w:p>
    <w:p w:rsidR="00361FCE" w:rsidRDefault="00361FCE" w:rsidP="00B71878">
      <w:pPr>
        <w:pStyle w:val="Estilo42"/>
        <w:ind w:left="1701" w:hanging="850"/>
      </w:pPr>
      <w:bookmarkStart w:id="598" w:name="_Toc337135539"/>
      <w:bookmarkStart w:id="599" w:name="_Toc341040689"/>
      <w:r>
        <w:lastRenderedPageBreak/>
        <w:t>Trabajo desempeñado por los peruanos</w:t>
      </w:r>
      <w:bookmarkEnd w:id="598"/>
      <w:bookmarkEnd w:id="599"/>
    </w:p>
    <w:p w:rsidR="00361FCE" w:rsidRPr="00066983" w:rsidRDefault="00361FCE" w:rsidP="00B71878">
      <w:pPr>
        <w:pStyle w:val="Prrafodelista"/>
        <w:spacing w:line="480" w:lineRule="auto"/>
        <w:ind w:left="851"/>
        <w:jc w:val="both"/>
        <w:rPr>
          <w:rFonts w:ascii="Arial" w:hAnsi="Arial" w:cs="Arial"/>
        </w:rPr>
      </w:pPr>
      <w:r>
        <w:rPr>
          <w:rFonts w:ascii="Arial" w:hAnsi="Arial" w:cs="Arial"/>
        </w:rPr>
        <w:t xml:space="preserve">Así como conocimos las frecuencias absolutas y relativas de la población peruana que trabaja, ahora conozcamos el trabajo que ellos desempeñan en el país; en la </w:t>
      </w:r>
      <w:r>
        <w:rPr>
          <w:rFonts w:ascii="Arial" w:hAnsi="Arial" w:cs="Arial"/>
          <w:i/>
        </w:rPr>
        <w:t>Figura 4.46</w:t>
      </w:r>
      <w:r>
        <w:rPr>
          <w:rFonts w:ascii="Arial" w:hAnsi="Arial" w:cs="Arial"/>
        </w:rPr>
        <w:t>, se muestra la distribución de la población peruana por trabajo desempeñado, en donde tenemos que el 38.01% trabajan como empleados u obraros públicos, el 30% del total de peruanos trabajan por cuenta propia, el 14.57% son jornaleros o peones, el 4.52% son empleados domésticos, el 3.60% son e</w:t>
      </w:r>
      <w:r w:rsidRPr="0070587A">
        <w:rPr>
          <w:rFonts w:ascii="Arial" w:hAnsi="Arial" w:cs="Arial"/>
        </w:rPr>
        <w:t>mpleado</w:t>
      </w:r>
      <w:r>
        <w:rPr>
          <w:rFonts w:ascii="Arial" w:hAnsi="Arial" w:cs="Arial"/>
        </w:rPr>
        <w:t>s</w:t>
      </w:r>
      <w:r w:rsidRPr="0070587A">
        <w:rPr>
          <w:rFonts w:ascii="Arial" w:hAnsi="Arial" w:cs="Arial"/>
        </w:rPr>
        <w:t xml:space="preserve"> u obrero</w:t>
      </w:r>
      <w:r>
        <w:rPr>
          <w:rFonts w:ascii="Arial" w:hAnsi="Arial" w:cs="Arial"/>
        </w:rPr>
        <w:t>s</w:t>
      </w:r>
      <w:r w:rsidRPr="0070587A">
        <w:rPr>
          <w:rFonts w:ascii="Arial" w:hAnsi="Arial" w:cs="Arial"/>
        </w:rPr>
        <w:t xml:space="preserve"> del Estado, Gobierno</w:t>
      </w:r>
      <w:r>
        <w:rPr>
          <w:rFonts w:ascii="Arial" w:hAnsi="Arial" w:cs="Arial"/>
        </w:rPr>
        <w:t>, Municipio, Consejo Provincial o</w:t>
      </w:r>
      <w:r w:rsidRPr="0070587A">
        <w:rPr>
          <w:rFonts w:ascii="Arial" w:hAnsi="Arial" w:cs="Arial"/>
        </w:rPr>
        <w:t xml:space="preserve"> Juntas Parroquiales</w:t>
      </w:r>
      <w:r>
        <w:rPr>
          <w:rFonts w:ascii="Arial" w:hAnsi="Arial" w:cs="Arial"/>
        </w:rPr>
        <w:t xml:space="preserve"> y el porcentaje restante desempeñan otras labores; podemos notar además, que la distribución de los peruanos por cada uno de los trabajos desempañados es similar a la mostrada en la sección anterior para los colombianos.</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B71878">
        <w:trPr>
          <w:trHeight w:val="2772"/>
          <w:jc w:val="right"/>
        </w:trPr>
        <w:tc>
          <w:tcPr>
            <w:tcW w:w="7497" w:type="dxa"/>
          </w:tcPr>
          <w:p w:rsidR="00361FCE" w:rsidRDefault="00361FCE" w:rsidP="00902050">
            <w:pPr>
              <w:rPr>
                <w:rFonts w:ascii="Arial" w:hAnsi="Arial" w:cs="Arial"/>
                <w:b/>
                <w:sz w:val="16"/>
                <w:szCs w:val="16"/>
              </w:rPr>
            </w:pPr>
          </w:p>
          <w:p w:rsidR="004C1B57" w:rsidRPr="004C1B57" w:rsidRDefault="004C1B57" w:rsidP="004C1B57">
            <w:pPr>
              <w:pStyle w:val="Epgrafe"/>
              <w:rPr>
                <w:rFonts w:ascii="Arial" w:hAnsi="Arial" w:cs="Arial"/>
                <w:bCs w:val="0"/>
                <w:color w:val="auto"/>
                <w:sz w:val="16"/>
                <w:szCs w:val="16"/>
              </w:rPr>
            </w:pPr>
            <w:bookmarkStart w:id="600" w:name="_Toc341044018"/>
            <w:r>
              <w:rPr>
                <w:rFonts w:ascii="Arial" w:hAnsi="Arial" w:cs="Arial"/>
                <w:bCs w:val="0"/>
                <w:color w:val="auto"/>
                <w:sz w:val="16"/>
                <w:szCs w:val="16"/>
              </w:rPr>
              <w:t>Figura 4.</w:t>
            </w:r>
            <w:r w:rsidR="00990535" w:rsidRPr="004C1B57">
              <w:rPr>
                <w:rFonts w:ascii="Arial" w:hAnsi="Arial" w:cs="Arial"/>
                <w:bCs w:val="0"/>
                <w:color w:val="auto"/>
                <w:sz w:val="16"/>
                <w:szCs w:val="16"/>
              </w:rPr>
              <w:fldChar w:fldCharType="begin"/>
            </w:r>
            <w:r w:rsidRPr="004C1B57">
              <w:rPr>
                <w:rFonts w:ascii="Arial" w:hAnsi="Arial" w:cs="Arial"/>
                <w:bCs w:val="0"/>
                <w:color w:val="auto"/>
                <w:sz w:val="16"/>
                <w:szCs w:val="16"/>
              </w:rPr>
              <w:instrText xml:space="preserve"> SEQ Figura_4. \* ARABIC </w:instrText>
            </w:r>
            <w:r w:rsidR="00990535" w:rsidRPr="004C1B57">
              <w:rPr>
                <w:rFonts w:ascii="Arial" w:hAnsi="Arial" w:cs="Arial"/>
                <w:bCs w:val="0"/>
                <w:color w:val="auto"/>
                <w:sz w:val="16"/>
                <w:szCs w:val="16"/>
              </w:rPr>
              <w:fldChar w:fldCharType="separate"/>
            </w:r>
            <w:r w:rsidR="00A242E0">
              <w:rPr>
                <w:rFonts w:ascii="Arial" w:hAnsi="Arial" w:cs="Arial"/>
                <w:bCs w:val="0"/>
                <w:noProof/>
                <w:color w:val="auto"/>
                <w:sz w:val="16"/>
                <w:szCs w:val="16"/>
              </w:rPr>
              <w:t>46</w:t>
            </w:r>
            <w:bookmarkEnd w:id="600"/>
            <w:r w:rsidR="00990535" w:rsidRPr="004C1B57">
              <w:rPr>
                <w:rFonts w:ascii="Arial" w:hAnsi="Arial" w:cs="Arial"/>
                <w:bCs w:val="0"/>
                <w:color w:val="auto"/>
                <w:sz w:val="16"/>
                <w:szCs w:val="16"/>
              </w:rPr>
              <w:fldChar w:fldCharType="end"/>
            </w:r>
          </w:p>
          <w:p w:rsidR="00361FCE" w:rsidRDefault="00B71878" w:rsidP="00B71878">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Frecuencia Relativa del trabajo que desempeñan los </w:t>
            </w:r>
            <w:r>
              <w:rPr>
                <w:rFonts w:ascii="Arial" w:hAnsi="Arial" w:cs="Arial"/>
                <w:b/>
                <w:i/>
                <w:sz w:val="16"/>
                <w:szCs w:val="16"/>
              </w:rPr>
              <w:t>peruanos</w:t>
            </w:r>
            <w:r>
              <w:rPr>
                <w:rFonts w:ascii="Arial" w:hAnsi="Arial" w:cs="Arial"/>
                <w:i/>
                <w:sz w:val="16"/>
                <w:szCs w:val="16"/>
              </w:rPr>
              <w:t xml:space="preserve"> en el país</w:t>
            </w:r>
          </w:p>
          <w:p w:rsidR="00361FCE" w:rsidRPr="0078148C" w:rsidRDefault="00361FCE" w:rsidP="00902050">
            <w:pPr>
              <w:rPr>
                <w:rFonts w:ascii="Arial" w:hAnsi="Arial" w:cs="Arial"/>
                <w:i/>
                <w:sz w:val="16"/>
                <w:szCs w:val="16"/>
              </w:rPr>
            </w:pPr>
            <w:r>
              <w:rPr>
                <w:noProof/>
                <w:lang w:eastAsia="es-EC"/>
              </w:rPr>
              <w:drawing>
                <wp:inline distT="0" distB="0" distL="0" distR="0">
                  <wp:extent cx="4392000" cy="2592000"/>
                  <wp:effectExtent l="0" t="0" r="0" b="0"/>
                  <wp:docPr id="329" name="Gráfico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r>
    </w:tbl>
    <w:p w:rsidR="00361FCE" w:rsidRPr="00B71878" w:rsidRDefault="00361FCE" w:rsidP="00B71878">
      <w:pPr>
        <w:pStyle w:val="Prrafodelista"/>
        <w:spacing w:line="276" w:lineRule="auto"/>
        <w:ind w:left="851"/>
        <w:jc w:val="both"/>
        <w:rPr>
          <w:rFonts w:ascii="Arial" w:hAnsi="Arial" w:cs="Arial"/>
          <w:sz w:val="17"/>
          <w:szCs w:val="17"/>
        </w:rPr>
      </w:pPr>
    </w:p>
    <w:p w:rsidR="00361FCE" w:rsidRPr="00B71878" w:rsidRDefault="00361FCE" w:rsidP="00B71878">
      <w:pPr>
        <w:pStyle w:val="Prrafodelista"/>
        <w:spacing w:line="276" w:lineRule="auto"/>
        <w:ind w:left="851"/>
        <w:jc w:val="both"/>
        <w:rPr>
          <w:rFonts w:ascii="Arial" w:hAnsi="Arial" w:cs="Arial"/>
          <w:sz w:val="17"/>
          <w:szCs w:val="17"/>
        </w:rPr>
      </w:pPr>
      <w:r w:rsidRPr="00B71878">
        <w:rPr>
          <w:rFonts w:ascii="Arial" w:hAnsi="Arial" w:cs="Arial"/>
          <w:b/>
          <w:i/>
          <w:sz w:val="17"/>
          <w:szCs w:val="17"/>
        </w:rPr>
        <w:t>Fuente:</w:t>
      </w:r>
      <w:r w:rsidRPr="00B71878">
        <w:rPr>
          <w:rFonts w:ascii="Arial" w:hAnsi="Arial" w:cs="Arial"/>
          <w:sz w:val="17"/>
          <w:szCs w:val="17"/>
        </w:rPr>
        <w:t xml:space="preserve"> </w:t>
      </w:r>
      <w:r w:rsidRPr="00B71878">
        <w:rPr>
          <w:rFonts w:ascii="Arial" w:hAnsi="Arial" w:cs="Arial"/>
          <w:b/>
          <w:sz w:val="17"/>
          <w:szCs w:val="17"/>
        </w:rPr>
        <w:t xml:space="preserve">INEC </w:t>
      </w:r>
      <w:r w:rsidRPr="00B71878">
        <w:rPr>
          <w:rFonts w:ascii="Arial" w:hAnsi="Arial" w:cs="Arial"/>
          <w:sz w:val="17"/>
          <w:szCs w:val="17"/>
        </w:rPr>
        <w:t>(2010), Base de Datos del VII Censo de Población y VI de Vivienda.</w:t>
      </w:r>
    </w:p>
    <w:p w:rsidR="00361FCE" w:rsidRDefault="00361FCE" w:rsidP="00B71878">
      <w:pPr>
        <w:pStyle w:val="Prrafodelista"/>
        <w:spacing w:line="276" w:lineRule="auto"/>
        <w:ind w:left="851"/>
        <w:jc w:val="both"/>
        <w:rPr>
          <w:rFonts w:ascii="Arial" w:hAnsi="Arial" w:cs="Arial"/>
          <w:sz w:val="18"/>
          <w:szCs w:val="18"/>
        </w:rPr>
      </w:pPr>
      <w:r w:rsidRPr="00B71878">
        <w:rPr>
          <w:rFonts w:ascii="Arial" w:hAnsi="Arial" w:cs="Arial"/>
          <w:b/>
          <w:i/>
          <w:sz w:val="17"/>
          <w:szCs w:val="17"/>
        </w:rPr>
        <w:t>Elaborado por:</w:t>
      </w:r>
      <w:r w:rsidRPr="00B71878">
        <w:rPr>
          <w:rFonts w:ascii="Arial" w:hAnsi="Arial" w:cs="Arial"/>
          <w:sz w:val="17"/>
          <w:szCs w:val="17"/>
        </w:rPr>
        <w:t xml:space="preserve"> Katherine Loor Valeriano</w:t>
      </w:r>
    </w:p>
    <w:p w:rsidR="00361FCE" w:rsidRPr="007714A7" w:rsidRDefault="00361FCE" w:rsidP="00B71878">
      <w:pPr>
        <w:pStyle w:val="Prrafodelista"/>
        <w:spacing w:line="480" w:lineRule="auto"/>
        <w:ind w:left="851"/>
        <w:jc w:val="both"/>
        <w:rPr>
          <w:rFonts w:ascii="Arial" w:hAnsi="Arial" w:cs="Arial"/>
          <w:i/>
        </w:rPr>
      </w:pPr>
      <w:r>
        <w:rPr>
          <w:rFonts w:ascii="Arial" w:hAnsi="Arial" w:cs="Arial"/>
        </w:rPr>
        <w:lastRenderedPageBreak/>
        <w:t>Los porcentajes por trabajo desempeñados ahora se presentan por cada género, en donde podemos notar que de los peruanos de género masculino residentes en Ecuador el 39.05% son empleados u obreros privados, el 29.35% trabajan por cuenta propia, el 19.05% son jornaleros o peones, el 3.39% son empleados u obrero públicos, el 3.49% son patrones, 2.05% realizan trabajos en los cuales no reciben remuneración, el 1.32% son socios, el 0.44% son empleados domésticos; y, los restantes no respondieron</w:t>
      </w:r>
      <w:r w:rsidR="00F91C02">
        <w:rPr>
          <w:rFonts w:ascii="Arial" w:hAnsi="Arial" w:cs="Arial"/>
        </w:rPr>
        <w:t>;</w:t>
      </w:r>
      <w:r>
        <w:rPr>
          <w:rFonts w:ascii="Arial" w:hAnsi="Arial" w:cs="Arial"/>
        </w:rPr>
        <w:t xml:space="preserve"> </w:t>
      </w:r>
      <w:r w:rsidR="00F91C02">
        <w:rPr>
          <w:rFonts w:ascii="Arial" w:hAnsi="Arial" w:cs="Arial"/>
        </w:rPr>
        <w:t>m</w:t>
      </w:r>
      <w:r>
        <w:rPr>
          <w:rFonts w:ascii="Arial" w:hAnsi="Arial" w:cs="Arial"/>
        </w:rPr>
        <w:t>ientras que</w:t>
      </w:r>
      <w:r w:rsidR="00F91C02">
        <w:rPr>
          <w:rFonts w:ascii="Arial" w:hAnsi="Arial" w:cs="Arial"/>
        </w:rPr>
        <w:t>,</w:t>
      </w:r>
      <w:r>
        <w:rPr>
          <w:rFonts w:ascii="Arial" w:hAnsi="Arial" w:cs="Arial"/>
        </w:rPr>
        <w:t xml:space="preserve"> para las mujeres de esta misma nacionalidad, el 35.47% son empleadas u obreras privadas, el 31.58% trabajan por cuenta propia, el 14.45% son empleadas domésticas, el 4.12% son empleadas u obreras públicas, el 3.69% trabajan como jornaleras o peón, el 3.59% como patronas, el 2.08% realizan trabajos en los cuales no tienen salario; y, el porcentaje restante trabajan en sociedad o no respondieron a esta pregunta. Para más detalles </w:t>
      </w:r>
      <w:r>
        <w:rPr>
          <w:rFonts w:ascii="Arial" w:hAnsi="Arial" w:cs="Arial"/>
          <w:i/>
        </w:rPr>
        <w:t>véase Figura 4.47.</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9A464F">
        <w:trPr>
          <w:trHeight w:val="2772"/>
          <w:jc w:val="right"/>
        </w:trPr>
        <w:tc>
          <w:tcPr>
            <w:tcW w:w="7497" w:type="dxa"/>
          </w:tcPr>
          <w:p w:rsidR="00361FCE" w:rsidRDefault="00361FCE" w:rsidP="00902050">
            <w:pPr>
              <w:rPr>
                <w:rFonts w:ascii="Arial" w:hAnsi="Arial" w:cs="Arial"/>
                <w:b/>
                <w:sz w:val="16"/>
                <w:szCs w:val="16"/>
              </w:rPr>
            </w:pPr>
          </w:p>
          <w:p w:rsidR="00156154" w:rsidRPr="00156154" w:rsidRDefault="00156154" w:rsidP="00156154">
            <w:pPr>
              <w:pStyle w:val="Epgrafe"/>
              <w:rPr>
                <w:rFonts w:ascii="Arial" w:hAnsi="Arial" w:cs="Arial"/>
                <w:bCs w:val="0"/>
                <w:color w:val="auto"/>
                <w:sz w:val="16"/>
                <w:szCs w:val="16"/>
              </w:rPr>
            </w:pPr>
            <w:bookmarkStart w:id="601" w:name="_Toc341044019"/>
            <w:r>
              <w:rPr>
                <w:rFonts w:ascii="Arial" w:hAnsi="Arial" w:cs="Arial"/>
                <w:bCs w:val="0"/>
                <w:color w:val="auto"/>
                <w:sz w:val="16"/>
                <w:szCs w:val="16"/>
              </w:rPr>
              <w:t>Figura 4.</w:t>
            </w:r>
            <w:r w:rsidR="00990535" w:rsidRPr="00156154">
              <w:rPr>
                <w:rFonts w:ascii="Arial" w:hAnsi="Arial" w:cs="Arial"/>
                <w:bCs w:val="0"/>
                <w:color w:val="auto"/>
                <w:sz w:val="16"/>
                <w:szCs w:val="16"/>
              </w:rPr>
              <w:fldChar w:fldCharType="begin"/>
            </w:r>
            <w:r w:rsidRPr="00156154">
              <w:rPr>
                <w:rFonts w:ascii="Arial" w:hAnsi="Arial" w:cs="Arial"/>
                <w:bCs w:val="0"/>
                <w:color w:val="auto"/>
                <w:sz w:val="16"/>
                <w:szCs w:val="16"/>
              </w:rPr>
              <w:instrText xml:space="preserve"> SEQ Figura_4. \* ARABIC </w:instrText>
            </w:r>
            <w:r w:rsidR="00990535" w:rsidRPr="00156154">
              <w:rPr>
                <w:rFonts w:ascii="Arial" w:hAnsi="Arial" w:cs="Arial"/>
                <w:bCs w:val="0"/>
                <w:color w:val="auto"/>
                <w:sz w:val="16"/>
                <w:szCs w:val="16"/>
              </w:rPr>
              <w:fldChar w:fldCharType="separate"/>
            </w:r>
            <w:r w:rsidR="00A242E0">
              <w:rPr>
                <w:rFonts w:ascii="Arial" w:hAnsi="Arial" w:cs="Arial"/>
                <w:bCs w:val="0"/>
                <w:noProof/>
                <w:color w:val="auto"/>
                <w:sz w:val="16"/>
                <w:szCs w:val="16"/>
              </w:rPr>
              <w:t>47</w:t>
            </w:r>
            <w:bookmarkEnd w:id="601"/>
            <w:r w:rsidR="00990535" w:rsidRPr="00156154">
              <w:rPr>
                <w:rFonts w:ascii="Arial" w:hAnsi="Arial" w:cs="Arial"/>
                <w:bCs w:val="0"/>
                <w:color w:val="auto"/>
                <w:sz w:val="16"/>
                <w:szCs w:val="16"/>
              </w:rPr>
              <w:fldChar w:fldCharType="end"/>
            </w:r>
          </w:p>
          <w:p w:rsidR="00242C4D" w:rsidRDefault="00242C4D" w:rsidP="00242C4D">
            <w:pPr>
              <w:rPr>
                <w:rFonts w:ascii="Arial" w:hAnsi="Arial" w:cs="Arial"/>
                <w:i/>
                <w:sz w:val="16"/>
                <w:szCs w:val="16"/>
              </w:rPr>
            </w:pPr>
            <w:r w:rsidRPr="00016219">
              <w:rPr>
                <w:rFonts w:ascii="Arial" w:hAnsi="Arial" w:cs="Arial"/>
                <w:b/>
                <w:i/>
                <w:sz w:val="16"/>
                <w:szCs w:val="16"/>
              </w:rPr>
              <w:t xml:space="preserve">Ecuador 2010: </w:t>
            </w:r>
            <w:r>
              <w:rPr>
                <w:rFonts w:ascii="Arial" w:hAnsi="Arial" w:cs="Arial"/>
                <w:i/>
                <w:sz w:val="16"/>
                <w:szCs w:val="16"/>
              </w:rPr>
              <w:t>Distribución condicional</w:t>
            </w:r>
            <w:r w:rsidRPr="00016219">
              <w:rPr>
                <w:rFonts w:ascii="Arial" w:hAnsi="Arial" w:cs="Arial"/>
                <w:i/>
                <w:sz w:val="16"/>
                <w:szCs w:val="16"/>
              </w:rPr>
              <w:t xml:space="preserve"> del Trabajo desempeñado por los </w:t>
            </w:r>
            <w:r>
              <w:rPr>
                <w:rFonts w:ascii="Arial" w:hAnsi="Arial" w:cs="Arial"/>
                <w:b/>
                <w:i/>
                <w:sz w:val="16"/>
                <w:szCs w:val="16"/>
              </w:rPr>
              <w:t>peruanos</w:t>
            </w:r>
            <w:r w:rsidRPr="00016219">
              <w:rPr>
                <w:rFonts w:ascii="Arial" w:hAnsi="Arial" w:cs="Arial"/>
                <w:i/>
                <w:sz w:val="16"/>
                <w:szCs w:val="16"/>
              </w:rPr>
              <w:t xml:space="preserve"> </w:t>
            </w:r>
          </w:p>
          <w:p w:rsidR="00B71878" w:rsidRDefault="00242C4D" w:rsidP="00242C4D">
            <w:pPr>
              <w:rPr>
                <w:rFonts w:ascii="Arial" w:hAnsi="Arial" w:cs="Arial"/>
                <w:i/>
                <w:sz w:val="16"/>
                <w:szCs w:val="16"/>
              </w:rPr>
            </w:pPr>
            <w:r>
              <w:rPr>
                <w:rFonts w:ascii="Arial" w:hAnsi="Arial" w:cs="Arial"/>
                <w:i/>
                <w:sz w:val="16"/>
                <w:szCs w:val="16"/>
              </w:rPr>
              <w:t xml:space="preserve">dado que se conoce el </w:t>
            </w:r>
            <w:r w:rsidRPr="00016219">
              <w:rPr>
                <w:rFonts w:ascii="Arial" w:hAnsi="Arial" w:cs="Arial"/>
                <w:i/>
                <w:sz w:val="16"/>
                <w:szCs w:val="16"/>
              </w:rPr>
              <w:t xml:space="preserve"> Género</w:t>
            </w:r>
          </w:p>
          <w:p w:rsidR="00361FCE" w:rsidRPr="0078148C" w:rsidRDefault="00436907" w:rsidP="00902050">
            <w:pPr>
              <w:rPr>
                <w:rFonts w:ascii="Arial" w:hAnsi="Arial" w:cs="Arial"/>
                <w:i/>
                <w:sz w:val="16"/>
                <w:szCs w:val="16"/>
              </w:rPr>
            </w:pPr>
            <w:r>
              <w:rPr>
                <w:rFonts w:ascii="Arial" w:hAnsi="Arial" w:cs="Arial"/>
                <w:b/>
                <w:i/>
                <w:noProof/>
                <w:sz w:val="18"/>
                <w:szCs w:val="18"/>
                <w:lang w:eastAsia="es-EC"/>
              </w:rPr>
              <w:pict>
                <v:line id="_x0000_s1582" style="position:absolute;left:0;text-align:left;z-index:251576832;visibility:visible" from="259.75pt,8.65pt" to="259.75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" strokecolor="black [3213]"/>
              </w:pict>
            </w:r>
            <w:r w:rsidR="009A464F">
              <w:rPr>
                <w:noProof/>
                <w:lang w:eastAsia="es-EC"/>
              </w:rPr>
              <w:t xml:space="preserve"> </w:t>
            </w:r>
            <w:r w:rsidR="009A464F">
              <w:rPr>
                <w:noProof/>
                <w:lang w:eastAsia="es-EC"/>
              </w:rPr>
              <w:drawing>
                <wp:inline distT="0" distB="0" distL="0" distR="0">
                  <wp:extent cx="4362450" cy="21960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r>
    </w:tbl>
    <w:p w:rsidR="00361FCE" w:rsidRPr="00B71878" w:rsidRDefault="00361FCE" w:rsidP="00B71878">
      <w:pPr>
        <w:pStyle w:val="Prrafodelista"/>
        <w:spacing w:line="276" w:lineRule="auto"/>
        <w:ind w:left="851"/>
        <w:jc w:val="both"/>
        <w:rPr>
          <w:rFonts w:ascii="Arial" w:hAnsi="Arial" w:cs="Arial"/>
          <w:sz w:val="17"/>
          <w:szCs w:val="17"/>
        </w:rPr>
      </w:pPr>
    </w:p>
    <w:p w:rsidR="00361FCE" w:rsidRPr="00B71878" w:rsidRDefault="00361FCE" w:rsidP="00B71878">
      <w:pPr>
        <w:pStyle w:val="Prrafodelista"/>
        <w:spacing w:line="276" w:lineRule="auto"/>
        <w:ind w:left="851"/>
        <w:jc w:val="both"/>
        <w:rPr>
          <w:rFonts w:ascii="Arial" w:hAnsi="Arial" w:cs="Arial"/>
          <w:sz w:val="17"/>
          <w:szCs w:val="17"/>
        </w:rPr>
      </w:pPr>
      <w:r w:rsidRPr="00B71878">
        <w:rPr>
          <w:rFonts w:ascii="Arial" w:hAnsi="Arial" w:cs="Arial"/>
          <w:b/>
          <w:i/>
          <w:sz w:val="17"/>
          <w:szCs w:val="17"/>
        </w:rPr>
        <w:t>Fuente:</w:t>
      </w:r>
      <w:r w:rsidRPr="00B71878">
        <w:rPr>
          <w:rFonts w:ascii="Arial" w:hAnsi="Arial" w:cs="Arial"/>
          <w:sz w:val="17"/>
          <w:szCs w:val="17"/>
        </w:rPr>
        <w:t xml:space="preserve"> </w:t>
      </w:r>
      <w:r w:rsidRPr="00B71878">
        <w:rPr>
          <w:rFonts w:ascii="Arial" w:hAnsi="Arial" w:cs="Arial"/>
          <w:b/>
          <w:sz w:val="17"/>
          <w:szCs w:val="17"/>
        </w:rPr>
        <w:t xml:space="preserve">INEC </w:t>
      </w:r>
      <w:r w:rsidRPr="00B71878">
        <w:rPr>
          <w:rFonts w:ascii="Arial" w:hAnsi="Arial" w:cs="Arial"/>
          <w:sz w:val="17"/>
          <w:szCs w:val="17"/>
        </w:rPr>
        <w:t>(2010), Base de Datos del VII Censo de Población y VI de Vivienda.</w:t>
      </w:r>
    </w:p>
    <w:p w:rsidR="00361FCE" w:rsidRDefault="00361FCE" w:rsidP="00B71878">
      <w:pPr>
        <w:pStyle w:val="Prrafodelista"/>
        <w:spacing w:line="276" w:lineRule="auto"/>
        <w:ind w:left="851"/>
        <w:jc w:val="both"/>
        <w:rPr>
          <w:rFonts w:ascii="Arial" w:hAnsi="Arial" w:cs="Arial"/>
        </w:rPr>
      </w:pPr>
      <w:r w:rsidRPr="00B71878">
        <w:rPr>
          <w:rFonts w:ascii="Arial" w:hAnsi="Arial" w:cs="Arial"/>
          <w:b/>
          <w:i/>
          <w:sz w:val="17"/>
          <w:szCs w:val="17"/>
        </w:rPr>
        <w:t>Elaborado por:</w:t>
      </w:r>
      <w:r w:rsidRPr="00B71878">
        <w:rPr>
          <w:rFonts w:ascii="Arial" w:hAnsi="Arial" w:cs="Arial"/>
          <w:sz w:val="17"/>
          <w:szCs w:val="17"/>
        </w:rPr>
        <w:t xml:space="preserve"> Katherine Loor Valeriano</w:t>
      </w:r>
    </w:p>
    <w:p w:rsidR="00361FCE" w:rsidRPr="00831104" w:rsidRDefault="00361FCE" w:rsidP="009A464F">
      <w:pPr>
        <w:pStyle w:val="Prrafodelista"/>
        <w:spacing w:line="480" w:lineRule="auto"/>
        <w:ind w:left="851"/>
        <w:jc w:val="both"/>
        <w:rPr>
          <w:rFonts w:ascii="Arial" w:hAnsi="Arial" w:cs="Arial"/>
        </w:rPr>
      </w:pPr>
      <w:r>
        <w:rPr>
          <w:rFonts w:ascii="Arial" w:hAnsi="Arial" w:cs="Arial"/>
        </w:rPr>
        <w:lastRenderedPageBreak/>
        <w:t xml:space="preserve">En la </w:t>
      </w:r>
      <w:r>
        <w:rPr>
          <w:rFonts w:ascii="Arial" w:hAnsi="Arial" w:cs="Arial"/>
          <w:i/>
        </w:rPr>
        <w:t>Figura 4.48</w:t>
      </w:r>
      <w:r>
        <w:rPr>
          <w:rFonts w:ascii="Arial" w:hAnsi="Arial" w:cs="Arial"/>
        </w:rPr>
        <w:t xml:space="preserve"> se presenta la frecuencia relativa de la población peruana que desempeña un determinado trabajo dado que se conoce el grupo de edad al cual pertenece; en dicho gráfico podemos notar que los peruanos que son e</w:t>
      </w:r>
      <w:r w:rsidRPr="002648DE">
        <w:rPr>
          <w:rFonts w:ascii="Arial" w:hAnsi="Arial" w:cs="Arial"/>
        </w:rPr>
        <w:t>mpleado</w:t>
      </w:r>
      <w:r>
        <w:rPr>
          <w:rFonts w:ascii="Arial" w:hAnsi="Arial" w:cs="Arial"/>
        </w:rPr>
        <w:t>s</w:t>
      </w:r>
      <w:r w:rsidRPr="002648DE">
        <w:rPr>
          <w:rFonts w:ascii="Arial" w:hAnsi="Arial" w:cs="Arial"/>
        </w:rPr>
        <w:t xml:space="preserve"> u obrero</w:t>
      </w:r>
      <w:r>
        <w:rPr>
          <w:rFonts w:ascii="Arial" w:hAnsi="Arial" w:cs="Arial"/>
        </w:rPr>
        <w:t>s</w:t>
      </w:r>
      <w:r w:rsidRPr="002648DE">
        <w:rPr>
          <w:rFonts w:ascii="Arial" w:hAnsi="Arial" w:cs="Arial"/>
        </w:rPr>
        <w:t xml:space="preserve"> del Estado, Gobierno, Municipio, Consejo Provincial</w:t>
      </w:r>
      <w:r>
        <w:rPr>
          <w:rFonts w:ascii="Arial" w:hAnsi="Arial" w:cs="Arial"/>
        </w:rPr>
        <w:t xml:space="preserve"> o</w:t>
      </w:r>
      <w:r w:rsidRPr="002648DE">
        <w:rPr>
          <w:rFonts w:ascii="Arial" w:hAnsi="Arial" w:cs="Arial"/>
        </w:rPr>
        <w:t xml:space="preserve"> Juntas Parroquiales</w:t>
      </w:r>
      <w:r>
        <w:rPr>
          <w:rFonts w:ascii="Arial" w:hAnsi="Arial" w:cs="Arial"/>
        </w:rPr>
        <w:t xml:space="preserve"> tienen edades entre 15 y 70 años, de los peruanos que trabajan como jornaleros o peones se tiene que mientras mayor es la edad es menor el porcentaje de la población que desempeña esta labor, mientras que </w:t>
      </w:r>
      <w:r w:rsidR="00506BFD">
        <w:rPr>
          <w:rFonts w:ascii="Arial" w:hAnsi="Arial" w:cs="Arial"/>
        </w:rPr>
        <w:t>quienes</w:t>
      </w:r>
      <w:r>
        <w:rPr>
          <w:rFonts w:ascii="Arial" w:hAnsi="Arial" w:cs="Arial"/>
        </w:rPr>
        <w:t xml:space="preserve"> trabajan por cuenta propia se </w:t>
      </w:r>
      <w:r w:rsidR="00506BFD">
        <w:rPr>
          <w:rFonts w:ascii="Arial" w:hAnsi="Arial" w:cs="Arial"/>
        </w:rPr>
        <w:t>observa</w:t>
      </w:r>
      <w:r>
        <w:rPr>
          <w:rFonts w:ascii="Arial" w:hAnsi="Arial" w:cs="Arial"/>
        </w:rPr>
        <w:t xml:space="preserve"> que a mayor edad es mayor también el porcentaje de la población peruana que tienen esta modalidad de trabajo; y, los que trabajan como empleados domésticos en cambio tienen edades comprendidas entre los 10 y 85 años. </w:t>
      </w:r>
    </w:p>
    <w:tbl>
      <w:tblPr>
        <w:tblStyle w:val="Tablaconcuadrcula"/>
        <w:tblW w:w="7527" w:type="dxa"/>
        <w:jc w:val="right"/>
        <w:tblInd w:w="114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27"/>
      </w:tblGrid>
      <w:tr w:rsidR="00361FCE" w:rsidRPr="00840530" w:rsidTr="009A464F">
        <w:trPr>
          <w:trHeight w:val="2772"/>
          <w:jc w:val="right"/>
        </w:trPr>
        <w:tc>
          <w:tcPr>
            <w:tcW w:w="7527" w:type="dxa"/>
          </w:tcPr>
          <w:p w:rsidR="00361FCE" w:rsidRDefault="00361FCE" w:rsidP="00902050">
            <w:pPr>
              <w:rPr>
                <w:rFonts w:ascii="Arial" w:hAnsi="Arial" w:cs="Arial"/>
                <w:b/>
                <w:sz w:val="16"/>
                <w:szCs w:val="16"/>
              </w:rPr>
            </w:pPr>
          </w:p>
          <w:p w:rsidR="00156154" w:rsidRPr="00156154" w:rsidRDefault="00156154" w:rsidP="00156154">
            <w:pPr>
              <w:pStyle w:val="Epgrafe"/>
              <w:rPr>
                <w:rFonts w:ascii="Arial" w:hAnsi="Arial" w:cs="Arial"/>
                <w:bCs w:val="0"/>
                <w:color w:val="auto"/>
                <w:sz w:val="16"/>
                <w:szCs w:val="16"/>
              </w:rPr>
            </w:pPr>
            <w:bookmarkStart w:id="602" w:name="_Toc341044020"/>
            <w:r>
              <w:rPr>
                <w:rFonts w:ascii="Arial" w:hAnsi="Arial" w:cs="Arial"/>
                <w:bCs w:val="0"/>
                <w:color w:val="auto"/>
                <w:sz w:val="16"/>
                <w:szCs w:val="16"/>
              </w:rPr>
              <w:t>Figura 4.</w:t>
            </w:r>
            <w:r w:rsidR="00990535" w:rsidRPr="00156154">
              <w:rPr>
                <w:rFonts w:ascii="Arial" w:hAnsi="Arial" w:cs="Arial"/>
                <w:bCs w:val="0"/>
                <w:color w:val="auto"/>
                <w:sz w:val="16"/>
                <w:szCs w:val="16"/>
              </w:rPr>
              <w:fldChar w:fldCharType="begin"/>
            </w:r>
            <w:r w:rsidRPr="00156154">
              <w:rPr>
                <w:rFonts w:ascii="Arial" w:hAnsi="Arial" w:cs="Arial"/>
                <w:bCs w:val="0"/>
                <w:color w:val="auto"/>
                <w:sz w:val="16"/>
                <w:szCs w:val="16"/>
              </w:rPr>
              <w:instrText xml:space="preserve"> SEQ Figura_4. \* ARABIC </w:instrText>
            </w:r>
            <w:r w:rsidR="00990535" w:rsidRPr="00156154">
              <w:rPr>
                <w:rFonts w:ascii="Arial" w:hAnsi="Arial" w:cs="Arial"/>
                <w:bCs w:val="0"/>
                <w:color w:val="auto"/>
                <w:sz w:val="16"/>
                <w:szCs w:val="16"/>
              </w:rPr>
              <w:fldChar w:fldCharType="separate"/>
            </w:r>
            <w:r w:rsidR="00A242E0">
              <w:rPr>
                <w:rFonts w:ascii="Arial" w:hAnsi="Arial" w:cs="Arial"/>
                <w:bCs w:val="0"/>
                <w:noProof/>
                <w:color w:val="auto"/>
                <w:sz w:val="16"/>
                <w:szCs w:val="16"/>
              </w:rPr>
              <w:t>48</w:t>
            </w:r>
            <w:bookmarkEnd w:id="602"/>
            <w:r w:rsidR="00990535" w:rsidRPr="00156154">
              <w:rPr>
                <w:rFonts w:ascii="Arial" w:hAnsi="Arial" w:cs="Arial"/>
                <w:bCs w:val="0"/>
                <w:color w:val="auto"/>
                <w:sz w:val="16"/>
                <w:szCs w:val="16"/>
              </w:rPr>
              <w:fldChar w:fldCharType="end"/>
            </w:r>
          </w:p>
          <w:p w:rsidR="00242C4D" w:rsidRDefault="00242C4D" w:rsidP="00242C4D">
            <w:pPr>
              <w:rPr>
                <w:rFonts w:ascii="Arial" w:hAnsi="Arial" w:cs="Arial"/>
                <w:i/>
                <w:sz w:val="16"/>
                <w:szCs w:val="16"/>
              </w:rPr>
            </w:pPr>
            <w:r w:rsidRPr="00016219">
              <w:rPr>
                <w:rFonts w:ascii="Arial" w:hAnsi="Arial" w:cs="Arial"/>
                <w:b/>
                <w:i/>
                <w:sz w:val="16"/>
                <w:szCs w:val="16"/>
              </w:rPr>
              <w:t xml:space="preserve">Ecuador 2010: </w:t>
            </w:r>
            <w:r>
              <w:rPr>
                <w:rFonts w:ascii="Arial" w:hAnsi="Arial" w:cs="Arial"/>
                <w:i/>
                <w:sz w:val="16"/>
                <w:szCs w:val="16"/>
              </w:rPr>
              <w:t>Distribución condicional</w:t>
            </w:r>
            <w:r w:rsidRPr="00016219">
              <w:rPr>
                <w:rFonts w:ascii="Arial" w:hAnsi="Arial" w:cs="Arial"/>
                <w:i/>
                <w:sz w:val="16"/>
                <w:szCs w:val="16"/>
              </w:rPr>
              <w:t xml:space="preserve"> del trabajo desempeñado por los </w:t>
            </w:r>
            <w:r>
              <w:rPr>
                <w:rFonts w:ascii="Arial" w:hAnsi="Arial" w:cs="Arial"/>
                <w:b/>
                <w:i/>
                <w:sz w:val="16"/>
                <w:szCs w:val="16"/>
              </w:rPr>
              <w:t>peruanos</w:t>
            </w:r>
            <w:r w:rsidRPr="00016219">
              <w:rPr>
                <w:rFonts w:ascii="Arial" w:hAnsi="Arial" w:cs="Arial"/>
                <w:i/>
                <w:sz w:val="16"/>
                <w:szCs w:val="16"/>
              </w:rPr>
              <w:t xml:space="preserve"> </w:t>
            </w:r>
          </w:p>
          <w:p w:rsidR="00361FCE" w:rsidRDefault="00242C4D" w:rsidP="00242C4D">
            <w:pPr>
              <w:rPr>
                <w:rFonts w:ascii="Arial" w:hAnsi="Arial" w:cs="Arial"/>
                <w:i/>
                <w:sz w:val="16"/>
                <w:szCs w:val="16"/>
              </w:rPr>
            </w:pPr>
            <w:r>
              <w:rPr>
                <w:rFonts w:ascii="Arial" w:hAnsi="Arial" w:cs="Arial"/>
                <w:i/>
                <w:sz w:val="16"/>
                <w:szCs w:val="16"/>
              </w:rPr>
              <w:t>dado que se conoce el</w:t>
            </w:r>
            <w:r w:rsidRPr="00016219">
              <w:rPr>
                <w:rFonts w:ascii="Arial" w:hAnsi="Arial" w:cs="Arial"/>
                <w:i/>
                <w:sz w:val="16"/>
                <w:szCs w:val="16"/>
              </w:rPr>
              <w:t xml:space="preserve"> Grupo etario</w:t>
            </w:r>
          </w:p>
          <w:p w:rsidR="00361FCE" w:rsidRPr="0078148C" w:rsidRDefault="00361FCE" w:rsidP="00902050">
            <w:pPr>
              <w:rPr>
                <w:rFonts w:ascii="Arial" w:hAnsi="Arial" w:cs="Arial"/>
                <w:i/>
                <w:sz w:val="16"/>
                <w:szCs w:val="16"/>
              </w:rPr>
            </w:pPr>
            <w:r>
              <w:rPr>
                <w:noProof/>
                <w:lang w:eastAsia="es-EC"/>
              </w:rPr>
              <w:drawing>
                <wp:inline distT="0" distB="0" distL="0" distR="0">
                  <wp:extent cx="4238625" cy="3168000"/>
                  <wp:effectExtent l="0" t="0" r="0" b="0"/>
                  <wp:docPr id="331" name="Gráfico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r>
    </w:tbl>
    <w:p w:rsidR="00361FCE" w:rsidRPr="009A464F" w:rsidRDefault="00361FCE" w:rsidP="009A464F">
      <w:pPr>
        <w:pStyle w:val="Prrafodelista"/>
        <w:spacing w:line="276" w:lineRule="auto"/>
        <w:ind w:left="851"/>
        <w:jc w:val="both"/>
        <w:rPr>
          <w:rFonts w:ascii="Arial" w:hAnsi="Arial" w:cs="Arial"/>
          <w:sz w:val="17"/>
          <w:szCs w:val="17"/>
        </w:rPr>
      </w:pPr>
    </w:p>
    <w:p w:rsidR="00361FCE" w:rsidRPr="009A464F" w:rsidRDefault="00361FCE" w:rsidP="009A464F">
      <w:pPr>
        <w:pStyle w:val="Prrafodelista"/>
        <w:spacing w:line="276" w:lineRule="auto"/>
        <w:ind w:left="851"/>
        <w:jc w:val="both"/>
        <w:rPr>
          <w:rFonts w:ascii="Arial" w:hAnsi="Arial" w:cs="Arial"/>
          <w:sz w:val="17"/>
          <w:szCs w:val="17"/>
        </w:rPr>
      </w:pPr>
      <w:r w:rsidRPr="009A464F">
        <w:rPr>
          <w:rFonts w:ascii="Arial" w:hAnsi="Arial" w:cs="Arial"/>
          <w:b/>
          <w:i/>
          <w:sz w:val="17"/>
          <w:szCs w:val="17"/>
        </w:rPr>
        <w:t>Fuente:</w:t>
      </w:r>
      <w:r w:rsidRPr="009A464F">
        <w:rPr>
          <w:rFonts w:ascii="Arial" w:hAnsi="Arial" w:cs="Arial"/>
          <w:sz w:val="17"/>
          <w:szCs w:val="17"/>
        </w:rPr>
        <w:t xml:space="preserve"> </w:t>
      </w:r>
      <w:r w:rsidRPr="009A464F">
        <w:rPr>
          <w:rFonts w:ascii="Arial" w:hAnsi="Arial" w:cs="Arial"/>
          <w:b/>
          <w:sz w:val="17"/>
          <w:szCs w:val="17"/>
        </w:rPr>
        <w:t xml:space="preserve">INEC </w:t>
      </w:r>
      <w:r w:rsidRPr="009A464F">
        <w:rPr>
          <w:rFonts w:ascii="Arial" w:hAnsi="Arial" w:cs="Arial"/>
          <w:sz w:val="17"/>
          <w:szCs w:val="17"/>
        </w:rPr>
        <w:t>(2010), Base de Datos del VII Censo de Población y VI de Vivienda.</w:t>
      </w:r>
    </w:p>
    <w:p w:rsidR="00361FCE" w:rsidRPr="009A464F" w:rsidRDefault="00361FCE" w:rsidP="009A464F">
      <w:pPr>
        <w:pStyle w:val="Prrafodelista"/>
        <w:spacing w:line="276" w:lineRule="auto"/>
        <w:ind w:left="851"/>
        <w:jc w:val="both"/>
        <w:rPr>
          <w:rFonts w:ascii="Arial" w:hAnsi="Arial" w:cs="Arial"/>
          <w:sz w:val="17"/>
          <w:szCs w:val="17"/>
        </w:rPr>
      </w:pPr>
      <w:r w:rsidRPr="009A464F">
        <w:rPr>
          <w:rFonts w:ascii="Arial" w:hAnsi="Arial" w:cs="Arial"/>
          <w:b/>
          <w:i/>
          <w:sz w:val="17"/>
          <w:szCs w:val="17"/>
        </w:rPr>
        <w:t>Elaborado por:</w:t>
      </w:r>
      <w:r w:rsidRPr="009A464F">
        <w:rPr>
          <w:rFonts w:ascii="Arial" w:hAnsi="Arial" w:cs="Arial"/>
          <w:sz w:val="17"/>
          <w:szCs w:val="17"/>
        </w:rPr>
        <w:t xml:space="preserve"> Katherine Loor Valeriano</w:t>
      </w:r>
    </w:p>
    <w:p w:rsidR="009A464F" w:rsidRPr="009A464F" w:rsidRDefault="009A464F" w:rsidP="009A464F">
      <w:pPr>
        <w:pStyle w:val="Prrafodelista"/>
        <w:spacing w:line="480" w:lineRule="auto"/>
        <w:ind w:left="851"/>
        <w:jc w:val="both"/>
        <w:rPr>
          <w:rFonts w:ascii="Arial" w:hAnsi="Arial" w:cs="Arial"/>
          <w:i/>
        </w:rPr>
      </w:pPr>
      <w:r>
        <w:rPr>
          <w:rFonts w:ascii="Arial" w:hAnsi="Arial" w:cs="Arial"/>
        </w:rPr>
        <w:lastRenderedPageBreak/>
        <w:t xml:space="preserve">Cabe mencionar que de los peruanos residentes en Ecuador mayores a 90 años, no hay datos referentes al trabajo que desempeñan en el país. Si consideramos el grupo de edades entre 30 y 35 años, tenemos que el 3.62% con trabajadores u obreros públicos, el 38.66% son empleados u obreros privados, el 14.86% son jornaleros o peones, el 2.56% son patrones, el 1.51% trabajan en sociedad, el 29.85%  trabajan por cuenta propia y los restantes realizan otras actividades. </w:t>
      </w:r>
      <w:r>
        <w:rPr>
          <w:rFonts w:ascii="Arial" w:hAnsi="Arial" w:cs="Arial"/>
          <w:i/>
        </w:rPr>
        <w:t>Véase Figura 4.48.</w:t>
      </w:r>
    </w:p>
    <w:p w:rsidR="009A464F" w:rsidRDefault="009A464F" w:rsidP="009A464F">
      <w:pPr>
        <w:pStyle w:val="Prrafodelista"/>
        <w:spacing w:line="480" w:lineRule="auto"/>
        <w:ind w:left="851"/>
        <w:jc w:val="both"/>
        <w:rPr>
          <w:rFonts w:ascii="Arial" w:hAnsi="Arial" w:cs="Arial"/>
          <w:sz w:val="18"/>
          <w:szCs w:val="18"/>
        </w:rPr>
      </w:pPr>
    </w:p>
    <w:p w:rsidR="00361FCE" w:rsidRDefault="00361FCE" w:rsidP="009A464F">
      <w:pPr>
        <w:pStyle w:val="Estilo42"/>
        <w:ind w:left="1701" w:hanging="850"/>
      </w:pPr>
      <w:bookmarkStart w:id="603" w:name="_Toc337135540"/>
      <w:bookmarkStart w:id="604" w:name="_Toc341040690"/>
      <w:r>
        <w:t>Ocupación de los peruanos en Ecuador</w:t>
      </w:r>
      <w:bookmarkEnd w:id="603"/>
      <w:bookmarkEnd w:id="604"/>
    </w:p>
    <w:p w:rsidR="00361FCE" w:rsidRDefault="00361FCE" w:rsidP="009A464F">
      <w:pPr>
        <w:pStyle w:val="Prrafodelista"/>
        <w:spacing w:line="480" w:lineRule="auto"/>
        <w:ind w:left="851"/>
        <w:jc w:val="both"/>
        <w:rPr>
          <w:rFonts w:ascii="Arial" w:hAnsi="Arial" w:cs="Arial"/>
        </w:rPr>
      </w:pPr>
      <w:r>
        <w:rPr>
          <w:rFonts w:ascii="Arial" w:hAnsi="Arial" w:cs="Arial"/>
        </w:rPr>
        <w:t xml:space="preserve">La mayor cantidad de los peruanos que residen en el Ecuador realizan ocupaciones elementales (25.36% del total), el 24.37% son trabajadores de los servicios o vendedores, el 14.32% son oficiales, operarios o artesanos, el 7.70% son agricultores o trabajadores calificados, el 5.41% son profesionales científicos e intelectuales, el 5.27% son operadores de instalaciones y maquinarias, el 3.77% son personal de apoyo administrativo, el 3.73% son técnicos o profesionales de nivel medio, el 2.76% son trabajadores nuevos; y, el porcentaje restante son quienes realizan ocupaciones militares o no respondieron a esta pregunta. Además, podemos notar que el porcentaje de la población peruana que son profesionales científicos e intelectuales es similar al de los colombianos que realizan la misma ocupación. Para más detalles </w:t>
      </w:r>
      <w:r w:rsidRPr="00960398">
        <w:rPr>
          <w:rFonts w:ascii="Arial" w:hAnsi="Arial" w:cs="Arial"/>
          <w:i/>
        </w:rPr>
        <w:t>véase Figura 4.49</w:t>
      </w:r>
      <w:r w:rsidRPr="000B2222">
        <w:rPr>
          <w:rFonts w:ascii="Arial" w:hAnsi="Arial" w:cs="Arial"/>
        </w:rPr>
        <w:t>.</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9A464F">
        <w:trPr>
          <w:trHeight w:val="2772"/>
          <w:jc w:val="right"/>
        </w:trPr>
        <w:tc>
          <w:tcPr>
            <w:tcW w:w="7497" w:type="dxa"/>
          </w:tcPr>
          <w:p w:rsidR="00361FCE" w:rsidRDefault="00361FCE" w:rsidP="00902050">
            <w:pPr>
              <w:rPr>
                <w:rFonts w:ascii="Arial" w:hAnsi="Arial" w:cs="Arial"/>
                <w:b/>
                <w:sz w:val="16"/>
                <w:szCs w:val="16"/>
              </w:rPr>
            </w:pPr>
          </w:p>
          <w:p w:rsidR="00156154" w:rsidRPr="00156154" w:rsidRDefault="00156154" w:rsidP="00156154">
            <w:pPr>
              <w:pStyle w:val="Epgrafe"/>
              <w:rPr>
                <w:rFonts w:ascii="Arial" w:hAnsi="Arial" w:cs="Arial"/>
                <w:bCs w:val="0"/>
                <w:color w:val="auto"/>
                <w:sz w:val="16"/>
                <w:szCs w:val="16"/>
              </w:rPr>
            </w:pPr>
            <w:bookmarkStart w:id="605" w:name="_Toc341044021"/>
            <w:r>
              <w:rPr>
                <w:rFonts w:ascii="Arial" w:hAnsi="Arial" w:cs="Arial"/>
                <w:bCs w:val="0"/>
                <w:color w:val="auto"/>
                <w:sz w:val="16"/>
                <w:szCs w:val="16"/>
              </w:rPr>
              <w:t>Figura 4.</w:t>
            </w:r>
            <w:r w:rsidR="00990535" w:rsidRPr="00156154">
              <w:rPr>
                <w:rFonts w:ascii="Arial" w:hAnsi="Arial" w:cs="Arial"/>
                <w:bCs w:val="0"/>
                <w:color w:val="auto"/>
                <w:sz w:val="16"/>
                <w:szCs w:val="16"/>
              </w:rPr>
              <w:fldChar w:fldCharType="begin"/>
            </w:r>
            <w:r w:rsidRPr="00156154">
              <w:rPr>
                <w:rFonts w:ascii="Arial" w:hAnsi="Arial" w:cs="Arial"/>
                <w:bCs w:val="0"/>
                <w:color w:val="auto"/>
                <w:sz w:val="16"/>
                <w:szCs w:val="16"/>
              </w:rPr>
              <w:instrText xml:space="preserve"> SEQ Figura_4. \* ARABIC </w:instrText>
            </w:r>
            <w:r w:rsidR="00990535" w:rsidRPr="00156154">
              <w:rPr>
                <w:rFonts w:ascii="Arial" w:hAnsi="Arial" w:cs="Arial"/>
                <w:bCs w:val="0"/>
                <w:color w:val="auto"/>
                <w:sz w:val="16"/>
                <w:szCs w:val="16"/>
              </w:rPr>
              <w:fldChar w:fldCharType="separate"/>
            </w:r>
            <w:r w:rsidR="00A242E0">
              <w:rPr>
                <w:rFonts w:ascii="Arial" w:hAnsi="Arial" w:cs="Arial"/>
                <w:bCs w:val="0"/>
                <w:noProof/>
                <w:color w:val="auto"/>
                <w:sz w:val="16"/>
                <w:szCs w:val="16"/>
              </w:rPr>
              <w:t>49</w:t>
            </w:r>
            <w:bookmarkEnd w:id="605"/>
            <w:r w:rsidR="00990535" w:rsidRPr="00156154">
              <w:rPr>
                <w:rFonts w:ascii="Arial" w:hAnsi="Arial" w:cs="Arial"/>
                <w:bCs w:val="0"/>
                <w:color w:val="auto"/>
                <w:sz w:val="16"/>
                <w:szCs w:val="16"/>
              </w:rPr>
              <w:fldChar w:fldCharType="end"/>
            </w:r>
          </w:p>
          <w:p w:rsidR="00361FCE" w:rsidRDefault="009A464F" w:rsidP="00902050">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Frecuencia Relativa de la ocupación de los </w:t>
            </w:r>
            <w:r>
              <w:rPr>
                <w:rFonts w:ascii="Arial" w:hAnsi="Arial" w:cs="Arial"/>
                <w:b/>
                <w:i/>
                <w:sz w:val="16"/>
                <w:szCs w:val="16"/>
              </w:rPr>
              <w:t>peruanos</w:t>
            </w:r>
            <w:r>
              <w:rPr>
                <w:rFonts w:ascii="Arial" w:hAnsi="Arial" w:cs="Arial"/>
                <w:i/>
                <w:sz w:val="16"/>
                <w:szCs w:val="16"/>
              </w:rPr>
              <w:t xml:space="preserve"> en el país</w:t>
            </w:r>
          </w:p>
          <w:p w:rsidR="00361FCE" w:rsidRPr="0078148C" w:rsidRDefault="00361FCE" w:rsidP="00902050">
            <w:pPr>
              <w:rPr>
                <w:rFonts w:ascii="Arial" w:hAnsi="Arial" w:cs="Arial"/>
                <w:i/>
                <w:sz w:val="16"/>
                <w:szCs w:val="16"/>
              </w:rPr>
            </w:pPr>
            <w:r>
              <w:rPr>
                <w:noProof/>
                <w:lang w:eastAsia="es-EC"/>
              </w:rPr>
              <w:drawing>
                <wp:inline distT="0" distB="0" distL="0" distR="0">
                  <wp:extent cx="4371975" cy="2628900"/>
                  <wp:effectExtent l="0" t="0" r="0" b="0"/>
                  <wp:docPr id="332" name="Gráfico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r>
    </w:tbl>
    <w:p w:rsidR="00361FCE" w:rsidRPr="009A464F" w:rsidRDefault="00361FCE" w:rsidP="009A464F">
      <w:pPr>
        <w:pStyle w:val="Prrafodelista"/>
        <w:spacing w:line="276" w:lineRule="auto"/>
        <w:ind w:left="851"/>
        <w:jc w:val="both"/>
        <w:rPr>
          <w:rFonts w:ascii="Arial" w:hAnsi="Arial" w:cs="Arial"/>
          <w:sz w:val="17"/>
          <w:szCs w:val="17"/>
        </w:rPr>
      </w:pPr>
    </w:p>
    <w:p w:rsidR="00361FCE" w:rsidRPr="009A464F" w:rsidRDefault="00361FCE" w:rsidP="009A464F">
      <w:pPr>
        <w:pStyle w:val="Prrafodelista"/>
        <w:spacing w:line="276" w:lineRule="auto"/>
        <w:ind w:left="851"/>
        <w:jc w:val="both"/>
        <w:rPr>
          <w:rFonts w:ascii="Arial" w:hAnsi="Arial" w:cs="Arial"/>
          <w:sz w:val="17"/>
          <w:szCs w:val="17"/>
        </w:rPr>
      </w:pPr>
      <w:r w:rsidRPr="009A464F">
        <w:rPr>
          <w:rFonts w:ascii="Arial" w:hAnsi="Arial" w:cs="Arial"/>
          <w:b/>
          <w:i/>
          <w:sz w:val="17"/>
          <w:szCs w:val="17"/>
        </w:rPr>
        <w:t>Fuente:</w:t>
      </w:r>
      <w:r w:rsidRPr="009A464F">
        <w:rPr>
          <w:rFonts w:ascii="Arial" w:hAnsi="Arial" w:cs="Arial"/>
          <w:sz w:val="17"/>
          <w:szCs w:val="17"/>
        </w:rPr>
        <w:t xml:space="preserve"> </w:t>
      </w:r>
      <w:r w:rsidRPr="009A464F">
        <w:rPr>
          <w:rFonts w:ascii="Arial" w:hAnsi="Arial" w:cs="Arial"/>
          <w:b/>
          <w:sz w:val="17"/>
          <w:szCs w:val="17"/>
        </w:rPr>
        <w:t xml:space="preserve">INEC </w:t>
      </w:r>
      <w:r w:rsidRPr="009A464F">
        <w:rPr>
          <w:rFonts w:ascii="Arial" w:hAnsi="Arial" w:cs="Arial"/>
          <w:sz w:val="17"/>
          <w:szCs w:val="17"/>
        </w:rPr>
        <w:t>(2010), Base de Datos del VII Censo de Población y VI de Vivienda.</w:t>
      </w:r>
    </w:p>
    <w:p w:rsidR="00361FCE" w:rsidRDefault="00361FCE" w:rsidP="009A464F">
      <w:pPr>
        <w:pStyle w:val="Prrafodelista"/>
        <w:spacing w:line="276" w:lineRule="auto"/>
        <w:ind w:left="851"/>
        <w:jc w:val="both"/>
        <w:rPr>
          <w:rFonts w:ascii="Arial" w:hAnsi="Arial" w:cs="Arial"/>
        </w:rPr>
      </w:pPr>
      <w:r w:rsidRPr="009A464F">
        <w:rPr>
          <w:rFonts w:ascii="Arial" w:hAnsi="Arial" w:cs="Arial"/>
          <w:b/>
          <w:i/>
          <w:sz w:val="17"/>
          <w:szCs w:val="17"/>
        </w:rPr>
        <w:t>Elaborado por:</w:t>
      </w:r>
      <w:r w:rsidRPr="009A464F">
        <w:rPr>
          <w:rFonts w:ascii="Arial" w:hAnsi="Arial" w:cs="Arial"/>
          <w:sz w:val="17"/>
          <w:szCs w:val="17"/>
        </w:rPr>
        <w:t xml:space="preserve"> Katherine Loor Valeriano</w:t>
      </w:r>
    </w:p>
    <w:p w:rsidR="009A464F" w:rsidRDefault="009A464F" w:rsidP="009A464F">
      <w:pPr>
        <w:pStyle w:val="Prrafodelista"/>
        <w:spacing w:line="480" w:lineRule="auto"/>
        <w:ind w:left="851"/>
        <w:jc w:val="both"/>
        <w:rPr>
          <w:rFonts w:ascii="Arial" w:hAnsi="Arial" w:cs="Arial"/>
        </w:rPr>
      </w:pPr>
    </w:p>
    <w:p w:rsidR="00361FCE" w:rsidRPr="00240CD5" w:rsidRDefault="00361FCE" w:rsidP="009A464F">
      <w:pPr>
        <w:pStyle w:val="Prrafodelista"/>
        <w:spacing w:line="480" w:lineRule="auto"/>
        <w:ind w:left="851"/>
        <w:jc w:val="both"/>
        <w:rPr>
          <w:rFonts w:ascii="Arial" w:hAnsi="Arial" w:cs="Arial"/>
          <w:i/>
        </w:rPr>
      </w:pPr>
      <w:r>
        <w:rPr>
          <w:rFonts w:ascii="Arial" w:hAnsi="Arial" w:cs="Arial"/>
        </w:rPr>
        <w:t xml:space="preserve">Consideremos ahora la ocupación de los peruanos residentes en el país por cada género, en donde de los hombres de esta nacionalidad el 23.92% tienen ocupaciones elementales, el 21.39% son trabajadores de los servicios o vendedores, el 18.18% oficiales,  operarios o artesanos, el 9.43% son agricultores o trabajadores calificados, el 6.78% son operadores de instalaciones y maquinarias, el 5.21% son profesionales científicos e intelectuales; y, el porcentaje restante tienen otras ocupaciones. </w:t>
      </w:r>
      <w:r w:rsidR="00F91C02">
        <w:rPr>
          <w:rFonts w:ascii="Arial" w:hAnsi="Arial" w:cs="Arial"/>
        </w:rPr>
        <w:t>D</w:t>
      </w:r>
      <w:r>
        <w:rPr>
          <w:rFonts w:ascii="Arial" w:hAnsi="Arial" w:cs="Arial"/>
        </w:rPr>
        <w:t xml:space="preserve"> las mujeres se tiene que el 31.44% son trabajadores de los servicios o vendedores, el 28.78% realizan ocupaciones elementales, el 5.90% son profesionales científicos e intelectuales, no hay mujeres que realicen ocupaciones militares; y, el porcentaje restante tienen otras ocupaciones. </w:t>
      </w:r>
      <w:r>
        <w:rPr>
          <w:rFonts w:ascii="Arial" w:hAnsi="Arial" w:cs="Arial"/>
          <w:i/>
        </w:rPr>
        <w:t>Véase Figura 4.50.</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89194D">
        <w:trPr>
          <w:trHeight w:val="2772"/>
          <w:jc w:val="right"/>
        </w:trPr>
        <w:tc>
          <w:tcPr>
            <w:tcW w:w="7497" w:type="dxa"/>
          </w:tcPr>
          <w:p w:rsidR="00361FCE" w:rsidRDefault="00361FCE" w:rsidP="00902050">
            <w:pPr>
              <w:rPr>
                <w:rFonts w:ascii="Arial" w:hAnsi="Arial" w:cs="Arial"/>
                <w:b/>
                <w:sz w:val="16"/>
                <w:szCs w:val="16"/>
              </w:rPr>
            </w:pPr>
          </w:p>
          <w:p w:rsidR="00156154" w:rsidRPr="00156154" w:rsidRDefault="00156154" w:rsidP="00156154">
            <w:pPr>
              <w:pStyle w:val="Epgrafe"/>
              <w:rPr>
                <w:rFonts w:ascii="Arial" w:hAnsi="Arial" w:cs="Arial"/>
                <w:bCs w:val="0"/>
                <w:color w:val="auto"/>
                <w:sz w:val="16"/>
                <w:szCs w:val="16"/>
              </w:rPr>
            </w:pPr>
            <w:bookmarkStart w:id="606" w:name="_Toc341044022"/>
            <w:r>
              <w:rPr>
                <w:rFonts w:ascii="Arial" w:hAnsi="Arial" w:cs="Arial"/>
                <w:bCs w:val="0"/>
                <w:color w:val="auto"/>
                <w:sz w:val="16"/>
                <w:szCs w:val="16"/>
              </w:rPr>
              <w:t>Figura 4.</w:t>
            </w:r>
            <w:r w:rsidR="00990535" w:rsidRPr="00156154">
              <w:rPr>
                <w:rFonts w:ascii="Arial" w:hAnsi="Arial" w:cs="Arial"/>
                <w:bCs w:val="0"/>
                <w:color w:val="auto"/>
                <w:sz w:val="16"/>
                <w:szCs w:val="16"/>
              </w:rPr>
              <w:fldChar w:fldCharType="begin"/>
            </w:r>
            <w:r w:rsidRPr="00156154">
              <w:rPr>
                <w:rFonts w:ascii="Arial" w:hAnsi="Arial" w:cs="Arial"/>
                <w:bCs w:val="0"/>
                <w:color w:val="auto"/>
                <w:sz w:val="16"/>
                <w:szCs w:val="16"/>
              </w:rPr>
              <w:instrText xml:space="preserve"> SEQ Figura_4. \* ARABIC </w:instrText>
            </w:r>
            <w:r w:rsidR="00990535" w:rsidRPr="00156154">
              <w:rPr>
                <w:rFonts w:ascii="Arial" w:hAnsi="Arial" w:cs="Arial"/>
                <w:bCs w:val="0"/>
                <w:color w:val="auto"/>
                <w:sz w:val="16"/>
                <w:szCs w:val="16"/>
              </w:rPr>
              <w:fldChar w:fldCharType="separate"/>
            </w:r>
            <w:r w:rsidR="00A242E0">
              <w:rPr>
                <w:rFonts w:ascii="Arial" w:hAnsi="Arial" w:cs="Arial"/>
                <w:bCs w:val="0"/>
                <w:noProof/>
                <w:color w:val="auto"/>
                <w:sz w:val="16"/>
                <w:szCs w:val="16"/>
              </w:rPr>
              <w:t>50</w:t>
            </w:r>
            <w:bookmarkEnd w:id="606"/>
            <w:r w:rsidR="00990535" w:rsidRPr="00156154">
              <w:rPr>
                <w:rFonts w:ascii="Arial" w:hAnsi="Arial" w:cs="Arial"/>
                <w:bCs w:val="0"/>
                <w:color w:val="auto"/>
                <w:sz w:val="16"/>
                <w:szCs w:val="16"/>
              </w:rPr>
              <w:fldChar w:fldCharType="end"/>
            </w:r>
          </w:p>
          <w:p w:rsidR="00242C4D" w:rsidRDefault="00242C4D" w:rsidP="00242C4D">
            <w:pPr>
              <w:rPr>
                <w:rFonts w:ascii="Arial" w:hAnsi="Arial" w:cs="Arial"/>
                <w:i/>
                <w:sz w:val="16"/>
                <w:szCs w:val="16"/>
              </w:rPr>
            </w:pPr>
            <w:r w:rsidRPr="00016219">
              <w:rPr>
                <w:rFonts w:ascii="Arial" w:hAnsi="Arial" w:cs="Arial"/>
                <w:b/>
                <w:i/>
                <w:sz w:val="16"/>
                <w:szCs w:val="16"/>
              </w:rPr>
              <w:t xml:space="preserve">Ecuador 2010: </w:t>
            </w:r>
            <w:r>
              <w:rPr>
                <w:rFonts w:ascii="Arial" w:hAnsi="Arial" w:cs="Arial"/>
                <w:i/>
                <w:sz w:val="16"/>
                <w:szCs w:val="16"/>
              </w:rPr>
              <w:t>Distribución condicional</w:t>
            </w:r>
            <w:r w:rsidRPr="00016219">
              <w:rPr>
                <w:rFonts w:ascii="Arial" w:hAnsi="Arial" w:cs="Arial"/>
                <w:i/>
                <w:sz w:val="16"/>
                <w:szCs w:val="16"/>
              </w:rPr>
              <w:t xml:space="preserve"> de la ocupación de los </w:t>
            </w:r>
            <w:r>
              <w:rPr>
                <w:rFonts w:ascii="Arial" w:hAnsi="Arial" w:cs="Arial"/>
                <w:b/>
                <w:i/>
                <w:sz w:val="16"/>
                <w:szCs w:val="16"/>
              </w:rPr>
              <w:t>peruanos</w:t>
            </w:r>
            <w:r w:rsidRPr="00016219">
              <w:rPr>
                <w:rFonts w:ascii="Arial" w:hAnsi="Arial" w:cs="Arial"/>
                <w:i/>
                <w:sz w:val="16"/>
                <w:szCs w:val="16"/>
              </w:rPr>
              <w:t xml:space="preserve"> </w:t>
            </w:r>
          </w:p>
          <w:p w:rsidR="00361FCE" w:rsidRDefault="00242C4D" w:rsidP="00242C4D">
            <w:pPr>
              <w:rPr>
                <w:rFonts w:ascii="Arial" w:hAnsi="Arial" w:cs="Arial"/>
                <w:i/>
                <w:sz w:val="16"/>
                <w:szCs w:val="16"/>
              </w:rPr>
            </w:pPr>
            <w:r>
              <w:rPr>
                <w:rFonts w:ascii="Arial" w:hAnsi="Arial" w:cs="Arial"/>
                <w:i/>
                <w:sz w:val="16"/>
                <w:szCs w:val="16"/>
              </w:rPr>
              <w:t>dado que se conoce el</w:t>
            </w:r>
            <w:r w:rsidRPr="00016219">
              <w:rPr>
                <w:rFonts w:ascii="Arial" w:hAnsi="Arial" w:cs="Arial"/>
                <w:i/>
                <w:sz w:val="16"/>
                <w:szCs w:val="16"/>
              </w:rPr>
              <w:t xml:space="preserve"> Género</w:t>
            </w:r>
          </w:p>
          <w:p w:rsidR="00361FCE" w:rsidRPr="0078148C" w:rsidRDefault="00436907" w:rsidP="00902050">
            <w:pPr>
              <w:rPr>
                <w:rFonts w:ascii="Arial" w:hAnsi="Arial" w:cs="Arial"/>
                <w:i/>
                <w:sz w:val="16"/>
                <w:szCs w:val="16"/>
              </w:rPr>
            </w:pPr>
            <w:r>
              <w:rPr>
                <w:rFonts w:ascii="Arial" w:hAnsi="Arial" w:cs="Arial"/>
                <w:noProof/>
                <w:sz w:val="18"/>
                <w:szCs w:val="18"/>
                <w:lang w:eastAsia="es-EC"/>
              </w:rPr>
              <w:pict>
                <v:line id="_x0000_s1583" style="position:absolute;left:0;text-align:left;z-index:251577856;visibility:visible" from="256pt,10.2pt" to="256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" strokecolor="black [3213]"/>
              </w:pict>
            </w:r>
            <w:r w:rsidR="009A464F">
              <w:rPr>
                <w:noProof/>
                <w:lang w:eastAsia="es-EC"/>
              </w:rPr>
              <w:drawing>
                <wp:inline distT="0" distB="0" distL="0" distR="0">
                  <wp:extent cx="4400550" cy="28956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r>
    </w:tbl>
    <w:p w:rsidR="00361FCE" w:rsidRPr="009A464F" w:rsidRDefault="00361FCE" w:rsidP="009A464F">
      <w:pPr>
        <w:pStyle w:val="Prrafodelista"/>
        <w:spacing w:line="276" w:lineRule="auto"/>
        <w:ind w:left="851"/>
        <w:jc w:val="both"/>
        <w:rPr>
          <w:rFonts w:ascii="Arial" w:hAnsi="Arial" w:cs="Arial"/>
          <w:sz w:val="17"/>
          <w:szCs w:val="17"/>
        </w:rPr>
      </w:pPr>
    </w:p>
    <w:p w:rsidR="00361FCE" w:rsidRPr="009A464F" w:rsidRDefault="00361FCE" w:rsidP="009A464F">
      <w:pPr>
        <w:pStyle w:val="Prrafodelista"/>
        <w:spacing w:line="276" w:lineRule="auto"/>
        <w:ind w:left="851"/>
        <w:jc w:val="both"/>
        <w:rPr>
          <w:rFonts w:ascii="Arial" w:hAnsi="Arial" w:cs="Arial"/>
          <w:sz w:val="17"/>
          <w:szCs w:val="17"/>
        </w:rPr>
      </w:pPr>
      <w:r w:rsidRPr="009A464F">
        <w:rPr>
          <w:rFonts w:ascii="Arial" w:hAnsi="Arial" w:cs="Arial"/>
          <w:b/>
          <w:i/>
          <w:sz w:val="17"/>
          <w:szCs w:val="17"/>
        </w:rPr>
        <w:t>Fuente:</w:t>
      </w:r>
      <w:r w:rsidRPr="009A464F">
        <w:rPr>
          <w:rFonts w:ascii="Arial" w:hAnsi="Arial" w:cs="Arial"/>
          <w:sz w:val="17"/>
          <w:szCs w:val="17"/>
        </w:rPr>
        <w:t xml:space="preserve"> </w:t>
      </w:r>
      <w:r w:rsidRPr="009A464F">
        <w:rPr>
          <w:rFonts w:ascii="Arial" w:hAnsi="Arial" w:cs="Arial"/>
          <w:b/>
          <w:sz w:val="17"/>
          <w:szCs w:val="17"/>
        </w:rPr>
        <w:t xml:space="preserve">INEC </w:t>
      </w:r>
      <w:r w:rsidRPr="009A464F">
        <w:rPr>
          <w:rFonts w:ascii="Arial" w:hAnsi="Arial" w:cs="Arial"/>
          <w:sz w:val="17"/>
          <w:szCs w:val="17"/>
        </w:rPr>
        <w:t>(2010), Base de Datos del VII Censo de Población y VI de Vivienda.</w:t>
      </w:r>
    </w:p>
    <w:p w:rsidR="00361FCE" w:rsidRPr="009A464F" w:rsidRDefault="00361FCE" w:rsidP="009A464F">
      <w:pPr>
        <w:pStyle w:val="Prrafodelista"/>
        <w:spacing w:line="276" w:lineRule="auto"/>
        <w:ind w:left="851"/>
        <w:jc w:val="both"/>
        <w:rPr>
          <w:rFonts w:ascii="Arial" w:hAnsi="Arial" w:cs="Arial"/>
          <w:sz w:val="17"/>
          <w:szCs w:val="17"/>
        </w:rPr>
      </w:pPr>
      <w:r w:rsidRPr="009A464F">
        <w:rPr>
          <w:rFonts w:ascii="Arial" w:hAnsi="Arial" w:cs="Arial"/>
          <w:b/>
          <w:i/>
          <w:sz w:val="17"/>
          <w:szCs w:val="17"/>
        </w:rPr>
        <w:t>Elaborado por:</w:t>
      </w:r>
      <w:r w:rsidRPr="009A464F">
        <w:rPr>
          <w:rFonts w:ascii="Arial" w:hAnsi="Arial" w:cs="Arial"/>
          <w:sz w:val="17"/>
          <w:szCs w:val="17"/>
        </w:rPr>
        <w:t xml:space="preserve"> Katherine Loor Valeriano</w:t>
      </w:r>
    </w:p>
    <w:p w:rsidR="009A464F" w:rsidRDefault="009A464F" w:rsidP="0089194D">
      <w:pPr>
        <w:pStyle w:val="Prrafodelista"/>
        <w:spacing w:line="480" w:lineRule="auto"/>
        <w:ind w:left="851"/>
        <w:jc w:val="both"/>
        <w:rPr>
          <w:rFonts w:ascii="Arial" w:hAnsi="Arial" w:cs="Arial"/>
        </w:rPr>
      </w:pPr>
    </w:p>
    <w:p w:rsidR="00361FCE" w:rsidRPr="00C7116D" w:rsidRDefault="00361FCE" w:rsidP="0089194D">
      <w:pPr>
        <w:pStyle w:val="Prrafodelista"/>
        <w:spacing w:line="480" w:lineRule="auto"/>
        <w:ind w:left="851"/>
        <w:jc w:val="both"/>
        <w:rPr>
          <w:rFonts w:ascii="Arial" w:hAnsi="Arial" w:cs="Arial"/>
          <w:i/>
        </w:rPr>
      </w:pPr>
      <w:r>
        <w:rPr>
          <w:rFonts w:ascii="Arial" w:hAnsi="Arial" w:cs="Arial"/>
        </w:rPr>
        <w:t xml:space="preserve">Analicemos ahora la ocupación que tienen los peruanos que residen en el país, pero por grupos de edad; se puede observar que los peruanos que realizan trabajos como directores o gerentes tienen entre 20 y 85 años, los que trabajan como profesionales científicos o intelectuales son mayores de 20 años, los que trabajan como trabajadores de servicios o vendedores son menores de 85 años, quienes desempeñan actividades como agricultores o trabajadores calificados tienen entre 15 y 85 años, los que trabajan como personal de apoyo administrativo tienen edades entre 10 y 75 años; y, para las edades mayores disminuye el porcentaje de peruanos que tienen ocupaciones elementales. Para más detalles sobre el porcentaje de la población que tiene una determinada ocupación y edad </w:t>
      </w:r>
      <w:r>
        <w:rPr>
          <w:rFonts w:ascii="Arial" w:hAnsi="Arial" w:cs="Arial"/>
          <w:i/>
        </w:rPr>
        <w:t>véase Figura 4.51.</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89194D">
        <w:trPr>
          <w:trHeight w:val="2772"/>
          <w:jc w:val="right"/>
        </w:trPr>
        <w:tc>
          <w:tcPr>
            <w:tcW w:w="7497" w:type="dxa"/>
          </w:tcPr>
          <w:p w:rsidR="00361FCE" w:rsidRDefault="00361FCE" w:rsidP="00902050">
            <w:pPr>
              <w:rPr>
                <w:rFonts w:ascii="Arial" w:hAnsi="Arial" w:cs="Arial"/>
                <w:b/>
                <w:sz w:val="16"/>
                <w:szCs w:val="16"/>
              </w:rPr>
            </w:pPr>
          </w:p>
          <w:p w:rsidR="00156154" w:rsidRPr="00156154" w:rsidRDefault="00156154" w:rsidP="00156154">
            <w:pPr>
              <w:pStyle w:val="Epgrafe"/>
              <w:rPr>
                <w:rFonts w:ascii="Arial" w:hAnsi="Arial" w:cs="Arial"/>
                <w:bCs w:val="0"/>
                <w:color w:val="auto"/>
                <w:sz w:val="16"/>
                <w:szCs w:val="16"/>
              </w:rPr>
            </w:pPr>
            <w:bookmarkStart w:id="607" w:name="_Toc341044023"/>
            <w:r>
              <w:rPr>
                <w:rFonts w:ascii="Arial" w:hAnsi="Arial" w:cs="Arial"/>
                <w:bCs w:val="0"/>
                <w:color w:val="auto"/>
                <w:sz w:val="16"/>
                <w:szCs w:val="16"/>
              </w:rPr>
              <w:t>Figura 4.</w:t>
            </w:r>
            <w:r w:rsidR="00990535" w:rsidRPr="00156154">
              <w:rPr>
                <w:rFonts w:ascii="Arial" w:hAnsi="Arial" w:cs="Arial"/>
                <w:bCs w:val="0"/>
                <w:color w:val="auto"/>
                <w:sz w:val="16"/>
                <w:szCs w:val="16"/>
              </w:rPr>
              <w:fldChar w:fldCharType="begin"/>
            </w:r>
            <w:r w:rsidRPr="00156154">
              <w:rPr>
                <w:rFonts w:ascii="Arial" w:hAnsi="Arial" w:cs="Arial"/>
                <w:bCs w:val="0"/>
                <w:color w:val="auto"/>
                <w:sz w:val="16"/>
                <w:szCs w:val="16"/>
              </w:rPr>
              <w:instrText xml:space="preserve"> SEQ Figura_4. \* ARABIC </w:instrText>
            </w:r>
            <w:r w:rsidR="00990535" w:rsidRPr="00156154">
              <w:rPr>
                <w:rFonts w:ascii="Arial" w:hAnsi="Arial" w:cs="Arial"/>
                <w:bCs w:val="0"/>
                <w:color w:val="auto"/>
                <w:sz w:val="16"/>
                <w:szCs w:val="16"/>
              </w:rPr>
              <w:fldChar w:fldCharType="separate"/>
            </w:r>
            <w:r w:rsidR="00A242E0">
              <w:rPr>
                <w:rFonts w:ascii="Arial" w:hAnsi="Arial" w:cs="Arial"/>
                <w:bCs w:val="0"/>
                <w:noProof/>
                <w:color w:val="auto"/>
                <w:sz w:val="16"/>
                <w:szCs w:val="16"/>
              </w:rPr>
              <w:t>51</w:t>
            </w:r>
            <w:bookmarkEnd w:id="607"/>
            <w:r w:rsidR="00990535" w:rsidRPr="00156154">
              <w:rPr>
                <w:rFonts w:ascii="Arial" w:hAnsi="Arial" w:cs="Arial"/>
                <w:bCs w:val="0"/>
                <w:color w:val="auto"/>
                <w:sz w:val="16"/>
                <w:szCs w:val="16"/>
              </w:rPr>
              <w:fldChar w:fldCharType="end"/>
            </w:r>
          </w:p>
          <w:p w:rsidR="00242C4D" w:rsidRDefault="00242C4D" w:rsidP="00242C4D">
            <w:pPr>
              <w:rPr>
                <w:rFonts w:ascii="Arial" w:hAnsi="Arial" w:cs="Arial"/>
                <w:i/>
                <w:sz w:val="16"/>
                <w:szCs w:val="16"/>
              </w:rPr>
            </w:pPr>
            <w:r w:rsidRPr="00016219">
              <w:rPr>
                <w:rFonts w:ascii="Arial" w:hAnsi="Arial" w:cs="Arial"/>
                <w:b/>
                <w:i/>
                <w:sz w:val="16"/>
                <w:szCs w:val="16"/>
              </w:rPr>
              <w:t xml:space="preserve">Ecuador 2010: </w:t>
            </w:r>
            <w:r>
              <w:rPr>
                <w:rFonts w:ascii="Arial" w:hAnsi="Arial" w:cs="Arial"/>
                <w:i/>
                <w:sz w:val="16"/>
                <w:szCs w:val="16"/>
              </w:rPr>
              <w:t>Distribución condicional</w:t>
            </w:r>
            <w:r w:rsidRPr="00016219">
              <w:rPr>
                <w:rFonts w:ascii="Arial" w:hAnsi="Arial" w:cs="Arial"/>
                <w:i/>
                <w:sz w:val="16"/>
                <w:szCs w:val="16"/>
              </w:rPr>
              <w:t xml:space="preserve"> de la ocupación de los </w:t>
            </w:r>
            <w:r>
              <w:rPr>
                <w:rFonts w:ascii="Arial" w:hAnsi="Arial" w:cs="Arial"/>
                <w:b/>
                <w:i/>
                <w:sz w:val="16"/>
                <w:szCs w:val="16"/>
              </w:rPr>
              <w:t>peruanos</w:t>
            </w:r>
            <w:r w:rsidRPr="00016219">
              <w:rPr>
                <w:rFonts w:ascii="Arial" w:hAnsi="Arial" w:cs="Arial"/>
                <w:i/>
                <w:sz w:val="16"/>
                <w:szCs w:val="16"/>
              </w:rPr>
              <w:t xml:space="preserve"> </w:t>
            </w:r>
          </w:p>
          <w:p w:rsidR="00361FCE" w:rsidRDefault="00242C4D" w:rsidP="00242C4D">
            <w:pPr>
              <w:rPr>
                <w:rFonts w:ascii="Arial" w:hAnsi="Arial" w:cs="Arial"/>
                <w:i/>
                <w:sz w:val="16"/>
                <w:szCs w:val="16"/>
              </w:rPr>
            </w:pPr>
            <w:r>
              <w:rPr>
                <w:rFonts w:ascii="Arial" w:hAnsi="Arial" w:cs="Arial"/>
                <w:i/>
                <w:sz w:val="16"/>
                <w:szCs w:val="16"/>
              </w:rPr>
              <w:t>dado que se conoce el</w:t>
            </w:r>
            <w:r w:rsidRPr="00016219">
              <w:rPr>
                <w:rFonts w:ascii="Arial" w:hAnsi="Arial" w:cs="Arial"/>
                <w:i/>
                <w:sz w:val="16"/>
                <w:szCs w:val="16"/>
              </w:rPr>
              <w:t xml:space="preserve"> Grupo etario</w:t>
            </w:r>
          </w:p>
          <w:p w:rsidR="00361FCE" w:rsidRPr="0078148C" w:rsidRDefault="00361FCE" w:rsidP="00902050">
            <w:pPr>
              <w:rPr>
                <w:rFonts w:ascii="Arial" w:hAnsi="Arial" w:cs="Arial"/>
                <w:i/>
                <w:sz w:val="16"/>
                <w:szCs w:val="16"/>
              </w:rPr>
            </w:pPr>
            <w:r>
              <w:rPr>
                <w:noProof/>
                <w:lang w:eastAsia="es-EC"/>
              </w:rPr>
              <w:drawing>
                <wp:inline distT="0" distB="0" distL="0" distR="0">
                  <wp:extent cx="4343400" cy="3219450"/>
                  <wp:effectExtent l="0" t="0" r="0" b="0"/>
                  <wp:docPr id="334" name="Gráfico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r>
    </w:tbl>
    <w:p w:rsidR="00361FCE" w:rsidRPr="0089194D" w:rsidRDefault="00361FCE" w:rsidP="0089194D">
      <w:pPr>
        <w:pStyle w:val="Prrafodelista"/>
        <w:spacing w:line="276" w:lineRule="auto"/>
        <w:ind w:left="851"/>
        <w:jc w:val="both"/>
        <w:rPr>
          <w:rFonts w:ascii="Arial" w:hAnsi="Arial" w:cs="Arial"/>
          <w:sz w:val="17"/>
          <w:szCs w:val="17"/>
        </w:rPr>
      </w:pPr>
    </w:p>
    <w:p w:rsidR="00361FCE" w:rsidRPr="0089194D" w:rsidRDefault="00361FCE" w:rsidP="0089194D">
      <w:pPr>
        <w:pStyle w:val="Prrafodelista"/>
        <w:spacing w:line="276" w:lineRule="auto"/>
        <w:ind w:left="851"/>
        <w:jc w:val="both"/>
        <w:rPr>
          <w:rFonts w:ascii="Arial" w:hAnsi="Arial" w:cs="Arial"/>
          <w:sz w:val="17"/>
          <w:szCs w:val="17"/>
        </w:rPr>
      </w:pPr>
      <w:r w:rsidRPr="0089194D">
        <w:rPr>
          <w:rFonts w:ascii="Arial" w:hAnsi="Arial" w:cs="Arial"/>
          <w:b/>
          <w:i/>
          <w:sz w:val="17"/>
          <w:szCs w:val="17"/>
        </w:rPr>
        <w:t>Fuente:</w:t>
      </w:r>
      <w:r w:rsidRPr="0089194D">
        <w:rPr>
          <w:rFonts w:ascii="Arial" w:hAnsi="Arial" w:cs="Arial"/>
          <w:sz w:val="17"/>
          <w:szCs w:val="17"/>
        </w:rPr>
        <w:t xml:space="preserve"> </w:t>
      </w:r>
      <w:r w:rsidRPr="0089194D">
        <w:rPr>
          <w:rFonts w:ascii="Arial" w:hAnsi="Arial" w:cs="Arial"/>
          <w:b/>
          <w:sz w:val="17"/>
          <w:szCs w:val="17"/>
        </w:rPr>
        <w:t xml:space="preserve">INEC </w:t>
      </w:r>
      <w:r w:rsidRPr="0089194D">
        <w:rPr>
          <w:rFonts w:ascii="Arial" w:hAnsi="Arial" w:cs="Arial"/>
          <w:sz w:val="17"/>
          <w:szCs w:val="17"/>
        </w:rPr>
        <w:t>(2010), Base de Datos del VII Censo de Población y VI de Vivienda.</w:t>
      </w:r>
    </w:p>
    <w:p w:rsidR="00361FCE" w:rsidRDefault="00361FCE" w:rsidP="0089194D">
      <w:pPr>
        <w:pStyle w:val="Prrafodelista"/>
        <w:spacing w:line="276" w:lineRule="auto"/>
        <w:ind w:left="851"/>
        <w:jc w:val="both"/>
        <w:rPr>
          <w:rFonts w:ascii="Arial" w:hAnsi="Arial" w:cs="Arial"/>
          <w:sz w:val="17"/>
          <w:szCs w:val="17"/>
        </w:rPr>
      </w:pPr>
      <w:r w:rsidRPr="0089194D">
        <w:rPr>
          <w:rFonts w:ascii="Arial" w:hAnsi="Arial" w:cs="Arial"/>
          <w:b/>
          <w:i/>
          <w:sz w:val="17"/>
          <w:szCs w:val="17"/>
        </w:rPr>
        <w:t>Elaborado por:</w:t>
      </w:r>
      <w:r w:rsidRPr="0089194D">
        <w:rPr>
          <w:rFonts w:ascii="Arial" w:hAnsi="Arial" w:cs="Arial"/>
          <w:sz w:val="17"/>
          <w:szCs w:val="17"/>
        </w:rPr>
        <w:t xml:space="preserve"> Katherine Loor Valeriano</w:t>
      </w:r>
    </w:p>
    <w:p w:rsidR="0089194D" w:rsidRPr="0089194D" w:rsidRDefault="0089194D" w:rsidP="0089194D">
      <w:pPr>
        <w:pStyle w:val="Prrafodelista"/>
        <w:spacing w:line="480" w:lineRule="auto"/>
        <w:ind w:left="851"/>
        <w:jc w:val="both"/>
        <w:rPr>
          <w:rFonts w:ascii="Arial" w:hAnsi="Arial" w:cs="Arial"/>
        </w:rPr>
      </w:pPr>
    </w:p>
    <w:p w:rsidR="00361FCE" w:rsidRDefault="00361FCE" w:rsidP="0089194D">
      <w:pPr>
        <w:pStyle w:val="Estilo42"/>
        <w:ind w:left="1701" w:hanging="850"/>
      </w:pPr>
      <w:bookmarkStart w:id="608" w:name="_Toc337135541"/>
      <w:bookmarkStart w:id="609" w:name="_Toc341040691"/>
      <w:r>
        <w:t>Tipo de Vivienda</w:t>
      </w:r>
      <w:bookmarkEnd w:id="608"/>
      <w:r w:rsidR="0089194D">
        <w:t xml:space="preserve"> en las que reside algún peruano</w:t>
      </w:r>
      <w:bookmarkEnd w:id="609"/>
    </w:p>
    <w:p w:rsidR="00361FCE" w:rsidRDefault="00361FCE" w:rsidP="0089194D">
      <w:pPr>
        <w:pStyle w:val="Prrafodelista"/>
        <w:spacing w:line="480" w:lineRule="auto"/>
        <w:ind w:left="851"/>
        <w:jc w:val="both"/>
        <w:rPr>
          <w:rFonts w:ascii="Arial" w:hAnsi="Arial" w:cs="Arial"/>
          <w:i/>
        </w:rPr>
      </w:pPr>
      <w:r>
        <w:rPr>
          <w:rFonts w:ascii="Arial" w:hAnsi="Arial" w:cs="Arial"/>
        </w:rPr>
        <w:t xml:space="preserve">Del tipo de vivienda en la cual viven los peruanos residentes en Ecuador, el 49.55% de ellas son casas/villas, el 21.69% son departamentos en casas o edificios, el 21.32% son cuartos en casas de inquilinato, el 6.46% son otras viviendas particulares sean mediagua, rancho, covacha, choza u otra vivienda particular, el 0.96% son viviendas colectivas y el 0.02% son viviendas en las cuales no hay dormitorios. </w:t>
      </w:r>
      <w:r>
        <w:rPr>
          <w:rFonts w:ascii="Arial" w:hAnsi="Arial" w:cs="Arial"/>
          <w:i/>
        </w:rPr>
        <w:t>Véase Figura 4.52.</w:t>
      </w:r>
    </w:p>
    <w:tbl>
      <w:tblPr>
        <w:tblStyle w:val="Tablaconcuadrcula"/>
        <w:tblW w:w="7527" w:type="dxa"/>
        <w:jc w:val="right"/>
        <w:tblInd w:w="114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27"/>
      </w:tblGrid>
      <w:tr w:rsidR="00361FCE" w:rsidRPr="00840530" w:rsidTr="0089194D">
        <w:trPr>
          <w:trHeight w:val="2772"/>
          <w:jc w:val="right"/>
        </w:trPr>
        <w:tc>
          <w:tcPr>
            <w:tcW w:w="7527" w:type="dxa"/>
          </w:tcPr>
          <w:p w:rsidR="00361FCE" w:rsidRDefault="00361FCE" w:rsidP="00902050">
            <w:pPr>
              <w:rPr>
                <w:rFonts w:ascii="Arial" w:hAnsi="Arial" w:cs="Arial"/>
                <w:b/>
                <w:sz w:val="16"/>
                <w:szCs w:val="16"/>
              </w:rPr>
            </w:pPr>
          </w:p>
          <w:p w:rsidR="008D052C" w:rsidRPr="008D052C" w:rsidRDefault="008D052C" w:rsidP="008D052C">
            <w:pPr>
              <w:pStyle w:val="Epgrafe"/>
              <w:rPr>
                <w:rFonts w:ascii="Arial" w:hAnsi="Arial" w:cs="Arial"/>
                <w:bCs w:val="0"/>
                <w:color w:val="auto"/>
                <w:sz w:val="16"/>
                <w:szCs w:val="16"/>
              </w:rPr>
            </w:pPr>
            <w:bookmarkStart w:id="610" w:name="_Toc341044024"/>
            <w:r>
              <w:rPr>
                <w:rFonts w:ascii="Arial" w:hAnsi="Arial" w:cs="Arial"/>
                <w:bCs w:val="0"/>
                <w:color w:val="auto"/>
                <w:sz w:val="16"/>
                <w:szCs w:val="16"/>
              </w:rPr>
              <w:t>Figura 4.</w:t>
            </w:r>
            <w:r w:rsidR="00990535" w:rsidRPr="008D052C">
              <w:rPr>
                <w:rFonts w:ascii="Arial" w:hAnsi="Arial" w:cs="Arial"/>
                <w:bCs w:val="0"/>
                <w:color w:val="auto"/>
                <w:sz w:val="16"/>
                <w:szCs w:val="16"/>
              </w:rPr>
              <w:fldChar w:fldCharType="begin"/>
            </w:r>
            <w:r w:rsidRPr="008D052C">
              <w:rPr>
                <w:rFonts w:ascii="Arial" w:hAnsi="Arial" w:cs="Arial"/>
                <w:bCs w:val="0"/>
                <w:color w:val="auto"/>
                <w:sz w:val="16"/>
                <w:szCs w:val="16"/>
              </w:rPr>
              <w:instrText xml:space="preserve"> SEQ Figura_4. \* ARABIC </w:instrText>
            </w:r>
            <w:r w:rsidR="00990535" w:rsidRPr="008D052C">
              <w:rPr>
                <w:rFonts w:ascii="Arial" w:hAnsi="Arial" w:cs="Arial"/>
                <w:bCs w:val="0"/>
                <w:color w:val="auto"/>
                <w:sz w:val="16"/>
                <w:szCs w:val="16"/>
              </w:rPr>
              <w:fldChar w:fldCharType="separate"/>
            </w:r>
            <w:r w:rsidR="00A242E0">
              <w:rPr>
                <w:rFonts w:ascii="Arial" w:hAnsi="Arial" w:cs="Arial"/>
                <w:bCs w:val="0"/>
                <w:noProof/>
                <w:color w:val="auto"/>
                <w:sz w:val="16"/>
                <w:szCs w:val="16"/>
              </w:rPr>
              <w:t>52</w:t>
            </w:r>
            <w:bookmarkEnd w:id="610"/>
            <w:r w:rsidR="00990535" w:rsidRPr="008D052C">
              <w:rPr>
                <w:rFonts w:ascii="Arial" w:hAnsi="Arial" w:cs="Arial"/>
                <w:bCs w:val="0"/>
                <w:color w:val="auto"/>
                <w:sz w:val="16"/>
                <w:szCs w:val="16"/>
              </w:rPr>
              <w:fldChar w:fldCharType="end"/>
            </w:r>
          </w:p>
          <w:p w:rsidR="00361FCE" w:rsidRDefault="0089194D" w:rsidP="00902050">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Frecuencia Relativa del Tipo de Vivienda en la que reside al menos un </w:t>
            </w:r>
            <w:r>
              <w:rPr>
                <w:rFonts w:ascii="Arial" w:hAnsi="Arial" w:cs="Arial"/>
                <w:b/>
                <w:i/>
                <w:sz w:val="16"/>
                <w:szCs w:val="16"/>
              </w:rPr>
              <w:t>peruano</w:t>
            </w:r>
          </w:p>
          <w:p w:rsidR="00361FCE" w:rsidRPr="0078148C" w:rsidRDefault="00361FCE" w:rsidP="00902050">
            <w:pPr>
              <w:rPr>
                <w:rFonts w:ascii="Arial" w:hAnsi="Arial" w:cs="Arial"/>
                <w:i/>
                <w:sz w:val="16"/>
                <w:szCs w:val="16"/>
              </w:rPr>
            </w:pPr>
            <w:r>
              <w:rPr>
                <w:noProof/>
                <w:lang w:eastAsia="es-EC"/>
              </w:rPr>
              <w:drawing>
                <wp:inline distT="0" distB="0" distL="0" distR="0">
                  <wp:extent cx="4438650" cy="1800000"/>
                  <wp:effectExtent l="0" t="0" r="0" b="0"/>
                  <wp:docPr id="335" name="Gráfico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r>
    </w:tbl>
    <w:p w:rsidR="00361FCE" w:rsidRPr="0089194D" w:rsidRDefault="00361FCE" w:rsidP="0089194D">
      <w:pPr>
        <w:pStyle w:val="Prrafodelista"/>
        <w:spacing w:line="276" w:lineRule="auto"/>
        <w:ind w:left="851"/>
        <w:jc w:val="both"/>
        <w:rPr>
          <w:rFonts w:ascii="Arial" w:hAnsi="Arial" w:cs="Arial"/>
          <w:sz w:val="17"/>
          <w:szCs w:val="17"/>
        </w:rPr>
      </w:pPr>
    </w:p>
    <w:p w:rsidR="00361FCE" w:rsidRPr="0089194D" w:rsidRDefault="00361FCE" w:rsidP="0089194D">
      <w:pPr>
        <w:pStyle w:val="Prrafodelista"/>
        <w:spacing w:line="276" w:lineRule="auto"/>
        <w:ind w:left="851"/>
        <w:jc w:val="both"/>
        <w:rPr>
          <w:rFonts w:ascii="Arial" w:hAnsi="Arial" w:cs="Arial"/>
          <w:sz w:val="17"/>
          <w:szCs w:val="17"/>
        </w:rPr>
      </w:pPr>
      <w:r w:rsidRPr="0089194D">
        <w:rPr>
          <w:rFonts w:ascii="Arial" w:hAnsi="Arial" w:cs="Arial"/>
          <w:b/>
          <w:i/>
          <w:sz w:val="17"/>
          <w:szCs w:val="17"/>
        </w:rPr>
        <w:t>Fuente:</w:t>
      </w:r>
      <w:r w:rsidRPr="0089194D">
        <w:rPr>
          <w:rFonts w:ascii="Arial" w:hAnsi="Arial" w:cs="Arial"/>
          <w:sz w:val="17"/>
          <w:szCs w:val="17"/>
        </w:rPr>
        <w:t xml:space="preserve"> </w:t>
      </w:r>
      <w:r w:rsidRPr="0089194D">
        <w:rPr>
          <w:rFonts w:ascii="Arial" w:hAnsi="Arial" w:cs="Arial"/>
          <w:b/>
          <w:sz w:val="17"/>
          <w:szCs w:val="17"/>
        </w:rPr>
        <w:t xml:space="preserve">INEC </w:t>
      </w:r>
      <w:r w:rsidRPr="0089194D">
        <w:rPr>
          <w:rFonts w:ascii="Arial" w:hAnsi="Arial" w:cs="Arial"/>
          <w:sz w:val="17"/>
          <w:szCs w:val="17"/>
        </w:rPr>
        <w:t>(2010), Base de Datos del VII Censo de Población y VI de Vivienda.</w:t>
      </w:r>
    </w:p>
    <w:p w:rsidR="00361FCE" w:rsidRPr="0089194D" w:rsidRDefault="00361FCE" w:rsidP="0089194D">
      <w:pPr>
        <w:pStyle w:val="Prrafodelista"/>
        <w:spacing w:line="276" w:lineRule="auto"/>
        <w:ind w:left="851"/>
        <w:jc w:val="both"/>
        <w:rPr>
          <w:rFonts w:ascii="Arial" w:hAnsi="Arial" w:cs="Arial"/>
          <w:sz w:val="17"/>
          <w:szCs w:val="17"/>
        </w:rPr>
      </w:pPr>
      <w:r w:rsidRPr="0089194D">
        <w:rPr>
          <w:rFonts w:ascii="Arial" w:hAnsi="Arial" w:cs="Arial"/>
          <w:b/>
          <w:i/>
          <w:sz w:val="17"/>
          <w:szCs w:val="17"/>
        </w:rPr>
        <w:t>Elaborado por:</w:t>
      </w:r>
      <w:r w:rsidRPr="0089194D">
        <w:rPr>
          <w:rFonts w:ascii="Arial" w:hAnsi="Arial" w:cs="Arial"/>
          <w:sz w:val="17"/>
          <w:szCs w:val="17"/>
        </w:rPr>
        <w:t xml:space="preserve"> Katherine Loor Valeriano</w:t>
      </w:r>
    </w:p>
    <w:p w:rsidR="00361FCE" w:rsidRDefault="00361FCE" w:rsidP="0089194D">
      <w:pPr>
        <w:pStyle w:val="Prrafodelista"/>
        <w:spacing w:line="480" w:lineRule="auto"/>
        <w:ind w:left="851"/>
        <w:jc w:val="both"/>
        <w:rPr>
          <w:rFonts w:ascii="Arial" w:hAnsi="Arial" w:cs="Arial"/>
        </w:rPr>
      </w:pPr>
    </w:p>
    <w:p w:rsidR="00361FCE" w:rsidRDefault="00361FCE" w:rsidP="0089194D">
      <w:pPr>
        <w:pStyle w:val="Prrafodelista"/>
        <w:spacing w:line="480" w:lineRule="auto"/>
        <w:ind w:left="851"/>
        <w:jc w:val="both"/>
        <w:rPr>
          <w:rFonts w:ascii="Arial" w:hAnsi="Arial" w:cs="Arial"/>
          <w:i/>
        </w:rPr>
      </w:pPr>
      <w:r>
        <w:rPr>
          <w:rFonts w:ascii="Arial" w:hAnsi="Arial" w:cs="Arial"/>
        </w:rPr>
        <w:t xml:space="preserve">La vivienda que ocupan lo peruanos que residen en el territorio ecuatoriano, el 13.81% son propias y totalmente pagadas, el 3.65% son propias y la están pagando, el 3.56% son viviendas propias que les han sido regaladas, donadas, heredadas o por posesión, el 8.79% son prestadas o cedidas, el 4.83% son por servicios, el 65.30% son casas arrendadas; y, el 0.05% están en anticresis. </w:t>
      </w:r>
      <w:r>
        <w:rPr>
          <w:rFonts w:ascii="Arial" w:hAnsi="Arial" w:cs="Arial"/>
          <w:i/>
        </w:rPr>
        <w:t>Véase Figura 4.53.</w:t>
      </w:r>
    </w:p>
    <w:tbl>
      <w:tblPr>
        <w:tblStyle w:val="Tablaconcuadrcula"/>
        <w:tblW w:w="7527" w:type="dxa"/>
        <w:jc w:val="right"/>
        <w:tblInd w:w="114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27"/>
      </w:tblGrid>
      <w:tr w:rsidR="00361FCE" w:rsidRPr="00840530" w:rsidTr="0089194D">
        <w:trPr>
          <w:trHeight w:val="2772"/>
          <w:jc w:val="right"/>
        </w:trPr>
        <w:tc>
          <w:tcPr>
            <w:tcW w:w="7527" w:type="dxa"/>
          </w:tcPr>
          <w:p w:rsidR="00361FCE" w:rsidRDefault="00361FCE" w:rsidP="00902050">
            <w:pPr>
              <w:rPr>
                <w:rFonts w:ascii="Arial" w:hAnsi="Arial" w:cs="Arial"/>
                <w:b/>
                <w:sz w:val="16"/>
                <w:szCs w:val="16"/>
              </w:rPr>
            </w:pPr>
          </w:p>
          <w:p w:rsidR="008D052C" w:rsidRPr="008D052C" w:rsidRDefault="008D052C" w:rsidP="008D052C">
            <w:pPr>
              <w:pStyle w:val="Epgrafe"/>
              <w:rPr>
                <w:rFonts w:ascii="Arial" w:hAnsi="Arial" w:cs="Arial"/>
                <w:bCs w:val="0"/>
                <w:color w:val="auto"/>
                <w:sz w:val="16"/>
                <w:szCs w:val="16"/>
              </w:rPr>
            </w:pPr>
            <w:bookmarkStart w:id="611" w:name="_Toc341044025"/>
            <w:r>
              <w:rPr>
                <w:rFonts w:ascii="Arial" w:hAnsi="Arial" w:cs="Arial"/>
                <w:bCs w:val="0"/>
                <w:color w:val="auto"/>
                <w:sz w:val="16"/>
                <w:szCs w:val="16"/>
              </w:rPr>
              <w:t>Figura 4.</w:t>
            </w:r>
            <w:r w:rsidR="00990535" w:rsidRPr="008D052C">
              <w:rPr>
                <w:rFonts w:ascii="Arial" w:hAnsi="Arial" w:cs="Arial"/>
                <w:bCs w:val="0"/>
                <w:color w:val="auto"/>
                <w:sz w:val="16"/>
                <w:szCs w:val="16"/>
              </w:rPr>
              <w:fldChar w:fldCharType="begin"/>
            </w:r>
            <w:r w:rsidRPr="008D052C">
              <w:rPr>
                <w:rFonts w:ascii="Arial" w:hAnsi="Arial" w:cs="Arial"/>
                <w:bCs w:val="0"/>
                <w:color w:val="auto"/>
                <w:sz w:val="16"/>
                <w:szCs w:val="16"/>
              </w:rPr>
              <w:instrText xml:space="preserve"> SEQ Figura_4. \* ARABIC </w:instrText>
            </w:r>
            <w:r w:rsidR="00990535" w:rsidRPr="008D052C">
              <w:rPr>
                <w:rFonts w:ascii="Arial" w:hAnsi="Arial" w:cs="Arial"/>
                <w:bCs w:val="0"/>
                <w:color w:val="auto"/>
                <w:sz w:val="16"/>
                <w:szCs w:val="16"/>
              </w:rPr>
              <w:fldChar w:fldCharType="separate"/>
            </w:r>
            <w:r w:rsidR="00A242E0">
              <w:rPr>
                <w:rFonts w:ascii="Arial" w:hAnsi="Arial" w:cs="Arial"/>
                <w:bCs w:val="0"/>
                <w:noProof/>
                <w:color w:val="auto"/>
                <w:sz w:val="16"/>
                <w:szCs w:val="16"/>
              </w:rPr>
              <w:t>53</w:t>
            </w:r>
            <w:bookmarkEnd w:id="611"/>
            <w:r w:rsidR="00990535" w:rsidRPr="008D052C">
              <w:rPr>
                <w:rFonts w:ascii="Arial" w:hAnsi="Arial" w:cs="Arial"/>
                <w:bCs w:val="0"/>
                <w:color w:val="auto"/>
                <w:sz w:val="16"/>
                <w:szCs w:val="16"/>
              </w:rPr>
              <w:fldChar w:fldCharType="end"/>
            </w:r>
          </w:p>
          <w:p w:rsidR="0089194D" w:rsidRDefault="0089194D" w:rsidP="0089194D">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Frecuencia Relativa de pertenencia de la vivienda </w:t>
            </w:r>
          </w:p>
          <w:p w:rsidR="00361FCE" w:rsidRDefault="0089194D" w:rsidP="0089194D">
            <w:pPr>
              <w:rPr>
                <w:rFonts w:ascii="Arial" w:hAnsi="Arial" w:cs="Arial"/>
                <w:i/>
                <w:sz w:val="16"/>
                <w:szCs w:val="16"/>
              </w:rPr>
            </w:pPr>
            <w:r>
              <w:rPr>
                <w:rFonts w:ascii="Arial" w:hAnsi="Arial" w:cs="Arial"/>
                <w:i/>
                <w:sz w:val="16"/>
                <w:szCs w:val="16"/>
              </w:rPr>
              <w:t xml:space="preserve">donde reside al menos un </w:t>
            </w:r>
            <w:r>
              <w:rPr>
                <w:rFonts w:ascii="Arial" w:hAnsi="Arial" w:cs="Arial"/>
                <w:b/>
                <w:i/>
                <w:sz w:val="16"/>
                <w:szCs w:val="16"/>
              </w:rPr>
              <w:t>colombiano</w:t>
            </w:r>
          </w:p>
          <w:p w:rsidR="00361FCE" w:rsidRPr="0078148C" w:rsidRDefault="00361FCE" w:rsidP="00902050">
            <w:pPr>
              <w:rPr>
                <w:rFonts w:ascii="Arial" w:hAnsi="Arial" w:cs="Arial"/>
                <w:i/>
                <w:sz w:val="16"/>
                <w:szCs w:val="16"/>
              </w:rPr>
            </w:pPr>
            <w:r>
              <w:rPr>
                <w:noProof/>
                <w:lang w:eastAsia="es-EC"/>
              </w:rPr>
              <w:drawing>
                <wp:inline distT="0" distB="0" distL="0" distR="0">
                  <wp:extent cx="4438650" cy="1836000"/>
                  <wp:effectExtent l="0" t="0" r="0" b="0"/>
                  <wp:docPr id="336" name="Gráfico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r>
    </w:tbl>
    <w:p w:rsidR="00361FCE" w:rsidRPr="0089194D" w:rsidRDefault="00361FCE" w:rsidP="0089194D">
      <w:pPr>
        <w:pStyle w:val="Prrafodelista"/>
        <w:spacing w:line="276" w:lineRule="auto"/>
        <w:ind w:left="851"/>
        <w:jc w:val="both"/>
        <w:rPr>
          <w:rFonts w:ascii="Arial" w:hAnsi="Arial" w:cs="Arial"/>
          <w:sz w:val="17"/>
          <w:szCs w:val="17"/>
        </w:rPr>
      </w:pPr>
    </w:p>
    <w:p w:rsidR="00361FCE" w:rsidRPr="0089194D" w:rsidRDefault="00361FCE" w:rsidP="0089194D">
      <w:pPr>
        <w:pStyle w:val="Prrafodelista"/>
        <w:spacing w:line="276" w:lineRule="auto"/>
        <w:ind w:left="851"/>
        <w:jc w:val="both"/>
        <w:rPr>
          <w:rFonts w:ascii="Arial" w:hAnsi="Arial" w:cs="Arial"/>
          <w:sz w:val="17"/>
          <w:szCs w:val="17"/>
        </w:rPr>
      </w:pPr>
      <w:r w:rsidRPr="0089194D">
        <w:rPr>
          <w:rFonts w:ascii="Arial" w:hAnsi="Arial" w:cs="Arial"/>
          <w:b/>
          <w:i/>
          <w:sz w:val="17"/>
          <w:szCs w:val="17"/>
        </w:rPr>
        <w:t>Fuente:</w:t>
      </w:r>
      <w:r w:rsidRPr="0089194D">
        <w:rPr>
          <w:rFonts w:ascii="Arial" w:hAnsi="Arial" w:cs="Arial"/>
          <w:sz w:val="17"/>
          <w:szCs w:val="17"/>
        </w:rPr>
        <w:t xml:space="preserve"> </w:t>
      </w:r>
      <w:r w:rsidRPr="0089194D">
        <w:rPr>
          <w:rFonts w:ascii="Arial" w:hAnsi="Arial" w:cs="Arial"/>
          <w:b/>
          <w:sz w:val="17"/>
          <w:szCs w:val="17"/>
        </w:rPr>
        <w:t xml:space="preserve">INEC </w:t>
      </w:r>
      <w:r w:rsidRPr="0089194D">
        <w:rPr>
          <w:rFonts w:ascii="Arial" w:hAnsi="Arial" w:cs="Arial"/>
          <w:sz w:val="17"/>
          <w:szCs w:val="17"/>
        </w:rPr>
        <w:t>(2010), Base de Datos del VII Censo de Población y VI de Vivienda.</w:t>
      </w:r>
    </w:p>
    <w:p w:rsidR="00361FCE" w:rsidRPr="0089194D" w:rsidRDefault="00361FCE" w:rsidP="0089194D">
      <w:pPr>
        <w:pStyle w:val="Prrafodelista"/>
        <w:spacing w:line="276" w:lineRule="auto"/>
        <w:ind w:left="851"/>
        <w:jc w:val="both"/>
        <w:rPr>
          <w:rFonts w:ascii="Arial" w:hAnsi="Arial" w:cs="Arial"/>
          <w:sz w:val="17"/>
          <w:szCs w:val="17"/>
        </w:rPr>
      </w:pPr>
      <w:r w:rsidRPr="0089194D">
        <w:rPr>
          <w:rFonts w:ascii="Arial" w:hAnsi="Arial" w:cs="Arial"/>
          <w:b/>
          <w:i/>
          <w:sz w:val="17"/>
          <w:szCs w:val="17"/>
        </w:rPr>
        <w:t>Elaborado por:</w:t>
      </w:r>
      <w:r w:rsidRPr="0089194D">
        <w:rPr>
          <w:rFonts w:ascii="Arial" w:hAnsi="Arial" w:cs="Arial"/>
          <w:sz w:val="17"/>
          <w:szCs w:val="17"/>
        </w:rPr>
        <w:t xml:space="preserve"> Katherine Loor Valeriano</w:t>
      </w:r>
    </w:p>
    <w:p w:rsidR="00361FCE" w:rsidRDefault="00361FCE" w:rsidP="0089194D">
      <w:pPr>
        <w:pStyle w:val="Estilo42"/>
        <w:ind w:left="1701" w:hanging="850"/>
      </w:pPr>
      <w:bookmarkStart w:id="612" w:name="_Toc337135542"/>
      <w:bookmarkStart w:id="613" w:name="_Toc341040692"/>
      <w:r>
        <w:lastRenderedPageBreak/>
        <w:t>Número de personas por dormitorio</w:t>
      </w:r>
      <w:bookmarkEnd w:id="612"/>
      <w:bookmarkEnd w:id="613"/>
    </w:p>
    <w:p w:rsidR="00361FCE" w:rsidRPr="00C274F7" w:rsidRDefault="00361FCE" w:rsidP="0089194D">
      <w:pPr>
        <w:pStyle w:val="Prrafodelista"/>
        <w:spacing w:line="480" w:lineRule="auto"/>
        <w:ind w:left="851"/>
        <w:jc w:val="both"/>
        <w:rPr>
          <w:rFonts w:ascii="Arial" w:hAnsi="Arial" w:cs="Arial"/>
          <w:i/>
        </w:rPr>
      </w:pPr>
      <w:r>
        <w:rPr>
          <w:rFonts w:ascii="Arial" w:hAnsi="Arial" w:cs="Arial"/>
        </w:rPr>
        <w:t xml:space="preserve">En lo que respecta al número de personas por dormitorio, se tiene que en el 6.45% de las viviendas no hay cuartos destinados para dormitorios, en el 42.24% de las casas les corresponden menos de 2 personas por dormitorio, en el 35.57% hay entre 2  y 3 personas por dormitorio; y, en el 12.82% y 2.92% de las viviendas hay entre 4 a 5 personas por dormitorios y más de 5 personas respectivamente. </w:t>
      </w:r>
      <w:r>
        <w:rPr>
          <w:rFonts w:ascii="Arial" w:hAnsi="Arial" w:cs="Arial"/>
          <w:i/>
        </w:rPr>
        <w:t>Véase Figura 4.54.</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89194D">
        <w:trPr>
          <w:trHeight w:val="2772"/>
          <w:jc w:val="right"/>
        </w:trPr>
        <w:tc>
          <w:tcPr>
            <w:tcW w:w="7497" w:type="dxa"/>
          </w:tcPr>
          <w:p w:rsidR="00361FCE" w:rsidRDefault="00361FCE" w:rsidP="00902050">
            <w:pPr>
              <w:rPr>
                <w:rFonts w:ascii="Arial" w:hAnsi="Arial" w:cs="Arial"/>
                <w:b/>
                <w:sz w:val="16"/>
                <w:szCs w:val="16"/>
              </w:rPr>
            </w:pPr>
          </w:p>
          <w:p w:rsidR="008D052C" w:rsidRPr="008D052C" w:rsidRDefault="008D052C" w:rsidP="008D052C">
            <w:pPr>
              <w:pStyle w:val="Epgrafe"/>
              <w:rPr>
                <w:rFonts w:ascii="Arial" w:hAnsi="Arial" w:cs="Arial"/>
                <w:bCs w:val="0"/>
                <w:color w:val="auto"/>
                <w:sz w:val="16"/>
                <w:szCs w:val="16"/>
              </w:rPr>
            </w:pPr>
            <w:bookmarkStart w:id="614" w:name="_Toc341044026"/>
            <w:r>
              <w:rPr>
                <w:rFonts w:ascii="Arial" w:hAnsi="Arial" w:cs="Arial"/>
                <w:bCs w:val="0"/>
                <w:color w:val="auto"/>
                <w:sz w:val="16"/>
                <w:szCs w:val="16"/>
              </w:rPr>
              <w:t>Figura 4.</w:t>
            </w:r>
            <w:r w:rsidR="00990535" w:rsidRPr="008D052C">
              <w:rPr>
                <w:rFonts w:ascii="Arial" w:hAnsi="Arial" w:cs="Arial"/>
                <w:bCs w:val="0"/>
                <w:color w:val="auto"/>
                <w:sz w:val="16"/>
                <w:szCs w:val="16"/>
              </w:rPr>
              <w:fldChar w:fldCharType="begin"/>
            </w:r>
            <w:r w:rsidRPr="008D052C">
              <w:rPr>
                <w:rFonts w:ascii="Arial" w:hAnsi="Arial" w:cs="Arial"/>
                <w:bCs w:val="0"/>
                <w:color w:val="auto"/>
                <w:sz w:val="16"/>
                <w:szCs w:val="16"/>
              </w:rPr>
              <w:instrText xml:space="preserve"> SEQ Figura_4. \* ARABIC </w:instrText>
            </w:r>
            <w:r w:rsidR="00990535" w:rsidRPr="008D052C">
              <w:rPr>
                <w:rFonts w:ascii="Arial" w:hAnsi="Arial" w:cs="Arial"/>
                <w:bCs w:val="0"/>
                <w:color w:val="auto"/>
                <w:sz w:val="16"/>
                <w:szCs w:val="16"/>
              </w:rPr>
              <w:fldChar w:fldCharType="separate"/>
            </w:r>
            <w:r w:rsidR="00A242E0">
              <w:rPr>
                <w:rFonts w:ascii="Arial" w:hAnsi="Arial" w:cs="Arial"/>
                <w:bCs w:val="0"/>
                <w:noProof/>
                <w:color w:val="auto"/>
                <w:sz w:val="16"/>
                <w:szCs w:val="16"/>
              </w:rPr>
              <w:t>54</w:t>
            </w:r>
            <w:bookmarkEnd w:id="614"/>
            <w:r w:rsidR="00990535" w:rsidRPr="008D052C">
              <w:rPr>
                <w:rFonts w:ascii="Arial" w:hAnsi="Arial" w:cs="Arial"/>
                <w:bCs w:val="0"/>
                <w:color w:val="auto"/>
                <w:sz w:val="16"/>
                <w:szCs w:val="16"/>
              </w:rPr>
              <w:fldChar w:fldCharType="end"/>
            </w:r>
          </w:p>
          <w:p w:rsidR="0089194D" w:rsidRDefault="0089194D" w:rsidP="0089194D">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Frecuencia Relativa del Número de personas por dormitorio en la vivienda </w:t>
            </w:r>
          </w:p>
          <w:p w:rsidR="00361FCE" w:rsidRDefault="0089194D" w:rsidP="0089194D">
            <w:pPr>
              <w:rPr>
                <w:rFonts w:ascii="Arial" w:hAnsi="Arial" w:cs="Arial"/>
                <w:i/>
                <w:sz w:val="16"/>
                <w:szCs w:val="16"/>
              </w:rPr>
            </w:pPr>
            <w:r>
              <w:rPr>
                <w:rFonts w:ascii="Arial" w:hAnsi="Arial" w:cs="Arial"/>
                <w:i/>
                <w:sz w:val="16"/>
                <w:szCs w:val="16"/>
              </w:rPr>
              <w:t xml:space="preserve">donde reside al menos un </w:t>
            </w:r>
            <w:r>
              <w:rPr>
                <w:rFonts w:ascii="Arial" w:hAnsi="Arial" w:cs="Arial"/>
                <w:b/>
                <w:i/>
                <w:sz w:val="16"/>
                <w:szCs w:val="16"/>
              </w:rPr>
              <w:t>peruano</w:t>
            </w:r>
          </w:p>
          <w:p w:rsidR="00361FCE" w:rsidRPr="0078148C" w:rsidRDefault="00361FCE" w:rsidP="00902050">
            <w:pPr>
              <w:rPr>
                <w:rFonts w:ascii="Arial" w:hAnsi="Arial" w:cs="Arial"/>
                <w:i/>
                <w:sz w:val="16"/>
                <w:szCs w:val="16"/>
              </w:rPr>
            </w:pPr>
            <w:r>
              <w:rPr>
                <w:noProof/>
                <w:lang w:eastAsia="es-EC"/>
              </w:rPr>
              <w:drawing>
                <wp:inline distT="0" distB="0" distL="0" distR="0">
                  <wp:extent cx="4219575" cy="1514475"/>
                  <wp:effectExtent l="0" t="0" r="0" b="0"/>
                  <wp:docPr id="337" name="Gráfico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r>
    </w:tbl>
    <w:p w:rsidR="00361FCE" w:rsidRPr="0089194D" w:rsidRDefault="00361FCE" w:rsidP="0089194D">
      <w:pPr>
        <w:pStyle w:val="Prrafodelista"/>
        <w:spacing w:line="276" w:lineRule="auto"/>
        <w:ind w:left="851"/>
        <w:jc w:val="both"/>
        <w:rPr>
          <w:rFonts w:ascii="Arial" w:hAnsi="Arial" w:cs="Arial"/>
          <w:b/>
          <w:i/>
          <w:sz w:val="17"/>
          <w:szCs w:val="17"/>
        </w:rPr>
      </w:pPr>
    </w:p>
    <w:p w:rsidR="00361FCE" w:rsidRPr="0089194D" w:rsidRDefault="00361FCE" w:rsidP="0089194D">
      <w:pPr>
        <w:pStyle w:val="Prrafodelista"/>
        <w:spacing w:line="276" w:lineRule="auto"/>
        <w:ind w:left="851"/>
        <w:jc w:val="both"/>
        <w:rPr>
          <w:rFonts w:ascii="Arial" w:hAnsi="Arial" w:cs="Arial"/>
          <w:sz w:val="17"/>
          <w:szCs w:val="17"/>
        </w:rPr>
      </w:pPr>
      <w:r w:rsidRPr="0089194D">
        <w:rPr>
          <w:rFonts w:ascii="Arial" w:hAnsi="Arial" w:cs="Arial"/>
          <w:b/>
          <w:i/>
          <w:sz w:val="17"/>
          <w:szCs w:val="17"/>
        </w:rPr>
        <w:t>Fuente:</w:t>
      </w:r>
      <w:r w:rsidRPr="0089194D">
        <w:rPr>
          <w:rFonts w:ascii="Arial" w:hAnsi="Arial" w:cs="Arial"/>
          <w:sz w:val="17"/>
          <w:szCs w:val="17"/>
        </w:rPr>
        <w:t xml:space="preserve"> </w:t>
      </w:r>
      <w:r w:rsidRPr="0089194D">
        <w:rPr>
          <w:rFonts w:ascii="Arial" w:hAnsi="Arial" w:cs="Arial"/>
          <w:b/>
          <w:sz w:val="17"/>
          <w:szCs w:val="17"/>
        </w:rPr>
        <w:t xml:space="preserve">INEC </w:t>
      </w:r>
      <w:r w:rsidRPr="0089194D">
        <w:rPr>
          <w:rFonts w:ascii="Arial" w:hAnsi="Arial" w:cs="Arial"/>
          <w:sz w:val="17"/>
          <w:szCs w:val="17"/>
        </w:rPr>
        <w:t>(2010), Base de Datos del VII Censo de Población y VI de Vivienda.</w:t>
      </w:r>
    </w:p>
    <w:p w:rsidR="00361FCE" w:rsidRPr="0089194D" w:rsidRDefault="00361FCE" w:rsidP="0089194D">
      <w:pPr>
        <w:pStyle w:val="Prrafodelista"/>
        <w:spacing w:line="276" w:lineRule="auto"/>
        <w:ind w:left="851"/>
        <w:jc w:val="both"/>
        <w:rPr>
          <w:rFonts w:ascii="Arial" w:hAnsi="Arial" w:cs="Arial"/>
          <w:sz w:val="17"/>
          <w:szCs w:val="17"/>
        </w:rPr>
      </w:pPr>
      <w:r w:rsidRPr="0089194D">
        <w:rPr>
          <w:rFonts w:ascii="Arial" w:hAnsi="Arial" w:cs="Arial"/>
          <w:b/>
          <w:i/>
          <w:sz w:val="17"/>
          <w:szCs w:val="17"/>
        </w:rPr>
        <w:t>Elaborado por:</w:t>
      </w:r>
      <w:r w:rsidRPr="0089194D">
        <w:rPr>
          <w:rFonts w:ascii="Arial" w:hAnsi="Arial" w:cs="Arial"/>
          <w:sz w:val="17"/>
          <w:szCs w:val="17"/>
        </w:rPr>
        <w:t xml:space="preserve"> Katherine Loor Valeriano</w:t>
      </w:r>
    </w:p>
    <w:p w:rsidR="0089194D" w:rsidRPr="0089194D" w:rsidRDefault="0089194D" w:rsidP="0089194D">
      <w:pPr>
        <w:pStyle w:val="Prrafodelista"/>
        <w:spacing w:line="480" w:lineRule="auto"/>
        <w:ind w:left="567"/>
        <w:jc w:val="both"/>
        <w:rPr>
          <w:rFonts w:ascii="Arial" w:hAnsi="Arial" w:cs="Arial"/>
        </w:rPr>
      </w:pPr>
    </w:p>
    <w:p w:rsidR="00361FCE" w:rsidRDefault="00361FCE" w:rsidP="0089194D">
      <w:pPr>
        <w:pStyle w:val="Estilo41"/>
        <w:ind w:left="851"/>
      </w:pPr>
      <w:bookmarkStart w:id="615" w:name="_Toc337135543"/>
      <w:bookmarkStart w:id="616" w:name="_Toc341040693"/>
      <w:r>
        <w:t>Estadounidenses residentes en Ecuador</w:t>
      </w:r>
      <w:bookmarkEnd w:id="615"/>
      <w:bookmarkEnd w:id="616"/>
    </w:p>
    <w:p w:rsidR="00361FCE" w:rsidRPr="005734B5" w:rsidRDefault="00361FCE" w:rsidP="0089194D">
      <w:pPr>
        <w:pStyle w:val="Estilo42"/>
        <w:ind w:left="1560" w:hanging="709"/>
      </w:pPr>
      <w:bookmarkStart w:id="617" w:name="_Toc337135544"/>
      <w:bookmarkStart w:id="618" w:name="_Toc341040694"/>
      <w:r>
        <w:t>Estadounidenses por provincia de residencia habitual</w:t>
      </w:r>
      <w:bookmarkEnd w:id="617"/>
      <w:bookmarkEnd w:id="618"/>
    </w:p>
    <w:p w:rsidR="00361FCE" w:rsidRDefault="00361FCE" w:rsidP="0089194D">
      <w:pPr>
        <w:pStyle w:val="Prrafodelista"/>
        <w:spacing w:line="480" w:lineRule="auto"/>
        <w:ind w:left="851"/>
        <w:jc w:val="both"/>
        <w:rPr>
          <w:rFonts w:ascii="Arial" w:hAnsi="Arial" w:cs="Arial"/>
        </w:rPr>
      </w:pPr>
      <w:r>
        <w:rPr>
          <w:rFonts w:ascii="Arial" w:hAnsi="Arial" w:cs="Arial"/>
        </w:rPr>
        <w:t xml:space="preserve">Así como en secciones anteriores se trató acerca de las características sociodemográficas y la distribución espacial de las dos comunidades más numerosas de extranjeros que residen en el país, ahora vamos a conocer la distribución espacial de la tercera subpoblación de extranjeros más grande que hay en Ecuador, que son los estadounidenses; los cuales para </w:t>
      </w:r>
      <w:r>
        <w:rPr>
          <w:rFonts w:ascii="Arial" w:hAnsi="Arial" w:cs="Arial"/>
        </w:rPr>
        <w:lastRenderedPageBreak/>
        <w:t>noviembre de 2010 eran 15017, que habitualmente viven dentro del territorio ecuatoriano. Los estadounidenses se han desplazado hacia las diferentes provincias del Ecuador, por tal motivo se puede encontrar al menos una persona de dicha nacionalidad en cualquiera de las veinticuatro provincias que hay en el país e incluso en las denominadas Zonas no delimitas que son tres Las Golondrinas, La Manga del Cura y El Piedrero.</w:t>
      </w:r>
      <w:r w:rsidR="0089194D">
        <w:rPr>
          <w:rFonts w:ascii="Arial" w:hAnsi="Arial" w:cs="Arial"/>
        </w:rPr>
        <w:t xml:space="preserve">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89194D">
        <w:trPr>
          <w:trHeight w:val="4876"/>
          <w:jc w:val="right"/>
        </w:trPr>
        <w:tc>
          <w:tcPr>
            <w:tcW w:w="7497" w:type="dxa"/>
          </w:tcPr>
          <w:p w:rsidR="00361FCE" w:rsidRPr="00840530" w:rsidRDefault="00361FCE" w:rsidP="00902050">
            <w:pPr>
              <w:rPr>
                <w:rFonts w:ascii="Arial" w:hAnsi="Arial" w:cs="Arial"/>
                <w:sz w:val="16"/>
                <w:szCs w:val="16"/>
              </w:rPr>
            </w:pPr>
          </w:p>
          <w:p w:rsidR="008D052C" w:rsidRPr="008D052C" w:rsidRDefault="008D052C" w:rsidP="008D052C">
            <w:pPr>
              <w:pStyle w:val="Epgrafe"/>
              <w:rPr>
                <w:rFonts w:ascii="Arial" w:hAnsi="Arial" w:cs="Arial"/>
                <w:bCs w:val="0"/>
                <w:color w:val="auto"/>
                <w:sz w:val="16"/>
                <w:szCs w:val="16"/>
              </w:rPr>
            </w:pPr>
            <w:bookmarkStart w:id="619" w:name="_Toc341044027"/>
            <w:r>
              <w:rPr>
                <w:rFonts w:ascii="Arial" w:hAnsi="Arial" w:cs="Arial"/>
                <w:bCs w:val="0"/>
                <w:color w:val="auto"/>
                <w:sz w:val="16"/>
                <w:szCs w:val="16"/>
              </w:rPr>
              <w:t>Figura 4.</w:t>
            </w:r>
            <w:r w:rsidR="00990535" w:rsidRPr="008D052C">
              <w:rPr>
                <w:rFonts w:ascii="Arial" w:hAnsi="Arial" w:cs="Arial"/>
                <w:bCs w:val="0"/>
                <w:color w:val="auto"/>
                <w:sz w:val="16"/>
                <w:szCs w:val="16"/>
              </w:rPr>
              <w:fldChar w:fldCharType="begin"/>
            </w:r>
            <w:r w:rsidRPr="008D052C">
              <w:rPr>
                <w:rFonts w:ascii="Arial" w:hAnsi="Arial" w:cs="Arial"/>
                <w:bCs w:val="0"/>
                <w:color w:val="auto"/>
                <w:sz w:val="16"/>
                <w:szCs w:val="16"/>
              </w:rPr>
              <w:instrText xml:space="preserve"> SEQ Figura_4. \* ARABIC </w:instrText>
            </w:r>
            <w:r w:rsidR="00990535" w:rsidRPr="008D052C">
              <w:rPr>
                <w:rFonts w:ascii="Arial" w:hAnsi="Arial" w:cs="Arial"/>
                <w:bCs w:val="0"/>
                <w:color w:val="auto"/>
                <w:sz w:val="16"/>
                <w:szCs w:val="16"/>
              </w:rPr>
              <w:fldChar w:fldCharType="separate"/>
            </w:r>
            <w:r w:rsidR="00A242E0">
              <w:rPr>
                <w:rFonts w:ascii="Arial" w:hAnsi="Arial" w:cs="Arial"/>
                <w:bCs w:val="0"/>
                <w:noProof/>
                <w:color w:val="auto"/>
                <w:sz w:val="16"/>
                <w:szCs w:val="16"/>
              </w:rPr>
              <w:t>55</w:t>
            </w:r>
            <w:bookmarkEnd w:id="619"/>
            <w:r w:rsidR="00990535" w:rsidRPr="008D052C">
              <w:rPr>
                <w:rFonts w:ascii="Arial" w:hAnsi="Arial" w:cs="Arial"/>
                <w:bCs w:val="0"/>
                <w:color w:val="auto"/>
                <w:sz w:val="16"/>
                <w:szCs w:val="16"/>
              </w:rPr>
              <w:fldChar w:fldCharType="end"/>
            </w:r>
          </w:p>
          <w:p w:rsidR="00361FCE" w:rsidRDefault="0089194D"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Frecuencia Relativa de Provincia de residencia habitual de los </w:t>
            </w:r>
            <w:r>
              <w:rPr>
                <w:rFonts w:ascii="Arial" w:hAnsi="Arial" w:cs="Arial"/>
                <w:b/>
                <w:i/>
                <w:sz w:val="16"/>
                <w:szCs w:val="16"/>
              </w:rPr>
              <w:t>estadounidenses</w:t>
            </w:r>
          </w:p>
          <w:p w:rsidR="00361FCE" w:rsidRPr="00660711" w:rsidRDefault="00361FCE" w:rsidP="00902050">
            <w:pPr>
              <w:rPr>
                <w:rFonts w:ascii="Arial" w:hAnsi="Arial" w:cs="Arial"/>
                <w:i/>
                <w:sz w:val="16"/>
                <w:szCs w:val="16"/>
              </w:rPr>
            </w:pPr>
            <w:r>
              <w:rPr>
                <w:noProof/>
                <w:lang w:eastAsia="es-EC"/>
              </w:rPr>
              <w:drawing>
                <wp:inline distT="0" distB="0" distL="0" distR="0">
                  <wp:extent cx="4210050" cy="3514725"/>
                  <wp:effectExtent l="0" t="0" r="0" b="0"/>
                  <wp:docPr id="338" name="Gráfico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r>
    </w:tbl>
    <w:p w:rsidR="00361FCE" w:rsidRPr="0089194D" w:rsidRDefault="00361FCE" w:rsidP="0089194D">
      <w:pPr>
        <w:pStyle w:val="Prrafodelista"/>
        <w:spacing w:line="276" w:lineRule="auto"/>
        <w:ind w:left="851"/>
        <w:jc w:val="both"/>
        <w:rPr>
          <w:rFonts w:ascii="Arial" w:hAnsi="Arial" w:cs="Arial"/>
          <w:sz w:val="17"/>
          <w:szCs w:val="17"/>
        </w:rPr>
      </w:pPr>
    </w:p>
    <w:p w:rsidR="00361FCE" w:rsidRPr="0089194D" w:rsidRDefault="00361FCE" w:rsidP="0089194D">
      <w:pPr>
        <w:pStyle w:val="Prrafodelista"/>
        <w:spacing w:line="276" w:lineRule="auto"/>
        <w:ind w:left="851"/>
        <w:jc w:val="both"/>
        <w:rPr>
          <w:rFonts w:ascii="Arial" w:hAnsi="Arial" w:cs="Arial"/>
          <w:sz w:val="17"/>
          <w:szCs w:val="17"/>
        </w:rPr>
      </w:pPr>
      <w:r w:rsidRPr="0089194D">
        <w:rPr>
          <w:rFonts w:ascii="Arial" w:hAnsi="Arial" w:cs="Arial"/>
          <w:b/>
          <w:i/>
          <w:sz w:val="17"/>
          <w:szCs w:val="17"/>
        </w:rPr>
        <w:t>Fuente:</w:t>
      </w:r>
      <w:r w:rsidRPr="0089194D">
        <w:rPr>
          <w:rFonts w:ascii="Arial" w:hAnsi="Arial" w:cs="Arial"/>
          <w:sz w:val="17"/>
          <w:szCs w:val="17"/>
        </w:rPr>
        <w:t xml:space="preserve"> </w:t>
      </w:r>
      <w:r w:rsidRPr="0089194D">
        <w:rPr>
          <w:rFonts w:ascii="Arial" w:hAnsi="Arial" w:cs="Arial"/>
          <w:b/>
          <w:sz w:val="17"/>
          <w:szCs w:val="17"/>
        </w:rPr>
        <w:t xml:space="preserve">INEC </w:t>
      </w:r>
      <w:r w:rsidRPr="0089194D">
        <w:rPr>
          <w:rFonts w:ascii="Arial" w:hAnsi="Arial" w:cs="Arial"/>
          <w:sz w:val="17"/>
          <w:szCs w:val="17"/>
        </w:rPr>
        <w:t>(2010), Base de Datos del VII Censo de Población y VI de Vivienda.</w:t>
      </w:r>
    </w:p>
    <w:p w:rsidR="00361FCE" w:rsidRPr="0089194D" w:rsidRDefault="00361FCE" w:rsidP="0089194D">
      <w:pPr>
        <w:pStyle w:val="Prrafodelista"/>
        <w:spacing w:line="276" w:lineRule="auto"/>
        <w:ind w:left="851"/>
        <w:jc w:val="both"/>
        <w:rPr>
          <w:rFonts w:ascii="Arial" w:hAnsi="Arial" w:cs="Arial"/>
          <w:sz w:val="17"/>
          <w:szCs w:val="17"/>
        </w:rPr>
      </w:pPr>
      <w:r w:rsidRPr="0089194D">
        <w:rPr>
          <w:rFonts w:ascii="Arial" w:hAnsi="Arial" w:cs="Arial"/>
          <w:b/>
          <w:i/>
          <w:sz w:val="17"/>
          <w:szCs w:val="17"/>
        </w:rPr>
        <w:t>Elaborado por:</w:t>
      </w:r>
      <w:r w:rsidRPr="0089194D">
        <w:rPr>
          <w:rFonts w:ascii="Arial" w:hAnsi="Arial" w:cs="Arial"/>
          <w:sz w:val="17"/>
          <w:szCs w:val="17"/>
        </w:rPr>
        <w:t xml:space="preserve"> Katherine Loor Valeriano</w:t>
      </w:r>
    </w:p>
    <w:p w:rsidR="00361FCE" w:rsidRDefault="00361FCE" w:rsidP="004044BE">
      <w:pPr>
        <w:pStyle w:val="Prrafodelista"/>
        <w:spacing w:line="480" w:lineRule="auto"/>
        <w:ind w:left="851"/>
        <w:jc w:val="both"/>
        <w:rPr>
          <w:rFonts w:ascii="Arial" w:hAnsi="Arial" w:cs="Arial"/>
        </w:rPr>
      </w:pPr>
    </w:p>
    <w:p w:rsidR="0089194D" w:rsidRDefault="0089194D" w:rsidP="004044BE">
      <w:pPr>
        <w:pStyle w:val="Prrafodelista"/>
        <w:spacing w:line="480" w:lineRule="auto"/>
        <w:ind w:left="851"/>
        <w:jc w:val="both"/>
        <w:rPr>
          <w:rFonts w:ascii="Arial" w:hAnsi="Arial" w:cs="Arial"/>
        </w:rPr>
      </w:pPr>
      <w:r>
        <w:rPr>
          <w:rFonts w:ascii="Arial" w:hAnsi="Arial" w:cs="Arial"/>
        </w:rPr>
        <w:t xml:space="preserve">El 71.93% de los estadounidenses residen en las provincias Pichincha, Azuay y Guayas, pues en cada una de ellas están el 28.58%, 21.79% y 21.56% del total de extranjeros de esta nacionalidad que hay en el país </w:t>
      </w:r>
      <w:r>
        <w:rPr>
          <w:rFonts w:ascii="Arial" w:hAnsi="Arial" w:cs="Arial"/>
        </w:rPr>
        <w:lastRenderedPageBreak/>
        <w:t xml:space="preserve">respectivamente, es decir, en las tres provincias donde se encuentran los principales centros económicos del Ecuador; además, el 5.24% están en Cañar, el 4.34% en Manabí, el 2.99% en Tungurahua; y, también hay estadounidenses aunque en menores cantidades en provincias como Bolívar, Orellana, Carchi, Sucumbíos y en las Zonas no Delimitadas, donde viven alrededor del 0.06%, 0.07%, 0.09%, 0.09% y 0.03% respectivamente. Para más detalles </w:t>
      </w:r>
      <w:r>
        <w:rPr>
          <w:rFonts w:ascii="Arial" w:hAnsi="Arial" w:cs="Arial"/>
          <w:i/>
        </w:rPr>
        <w:t>véase Figura 4.55</w:t>
      </w:r>
      <w:r>
        <w:rPr>
          <w:rFonts w:ascii="Arial" w:hAnsi="Arial" w:cs="Arial"/>
        </w:rPr>
        <w:t>.</w:t>
      </w:r>
    </w:p>
    <w:p w:rsidR="0089194D" w:rsidRDefault="0089194D" w:rsidP="00361FCE">
      <w:pPr>
        <w:pStyle w:val="Prrafodelista"/>
        <w:spacing w:line="480" w:lineRule="auto"/>
        <w:ind w:left="567"/>
        <w:jc w:val="both"/>
        <w:rPr>
          <w:rFonts w:ascii="Arial" w:hAnsi="Arial" w:cs="Arial"/>
        </w:rPr>
      </w:pPr>
    </w:p>
    <w:p w:rsidR="00361FCE" w:rsidRPr="005734B5" w:rsidRDefault="00361FCE" w:rsidP="004044BE">
      <w:pPr>
        <w:pStyle w:val="Estilo42"/>
        <w:ind w:left="851" w:firstLine="0"/>
      </w:pPr>
      <w:bookmarkStart w:id="620" w:name="_Toc337135545"/>
      <w:bookmarkStart w:id="621" w:name="_Toc341040695"/>
      <w:r>
        <w:t>Tasa de inmigración estadounidense por cada 1000 habitantes por Provincia de residencia habitual</w:t>
      </w:r>
      <w:bookmarkEnd w:id="620"/>
      <w:bookmarkEnd w:id="621"/>
    </w:p>
    <w:p w:rsidR="00361FCE" w:rsidRDefault="00361FCE" w:rsidP="004044BE">
      <w:pPr>
        <w:pStyle w:val="Prrafodelista"/>
        <w:spacing w:line="480" w:lineRule="auto"/>
        <w:ind w:left="851"/>
        <w:jc w:val="both"/>
        <w:rPr>
          <w:rFonts w:ascii="Arial" w:hAnsi="Arial" w:cs="Arial"/>
        </w:rPr>
      </w:pPr>
      <w:r>
        <w:rPr>
          <w:rFonts w:ascii="Arial" w:hAnsi="Arial" w:cs="Arial"/>
        </w:rPr>
        <w:t xml:space="preserve">En la </w:t>
      </w:r>
      <w:r>
        <w:rPr>
          <w:rFonts w:ascii="Arial" w:hAnsi="Arial" w:cs="Arial"/>
          <w:i/>
        </w:rPr>
        <w:t>Figura 4.56</w:t>
      </w:r>
      <w:r>
        <w:rPr>
          <w:rFonts w:ascii="Arial" w:hAnsi="Arial" w:cs="Arial"/>
        </w:rPr>
        <w:t>, se efectúa una representación gráfica de las tasas de inmigración estadounidense por cada 1000 habitantes a nivel provincial, que como podemos observar en el gráfico las provincias con colores más intensos son aquellas que presentan tasas altas de inmigración y las que están sombreadas con colores más tenues sus tasas toman menores valores. Para el caso de Azuay tenemos que hay 4.60 estadounidenses por cada 1000 residentes en esta provincia, siendo además esta, la tasa más alta de inmigración estadounidense por provincia; la segunda tasa más alta es la de Cañar en donde hay 3.51 inmigrantes proveniente de Estados Unidos por cada 1000 habitantes de esta provincia; y, la tercera tasa más alta corresponde a Galápagos en donde se pueden encontrar 2.96 estadounidenses por cada 1000 habitantes.</w:t>
      </w:r>
      <w:r w:rsidR="004044BE">
        <w:rPr>
          <w:rFonts w:ascii="Arial" w:hAnsi="Arial" w:cs="Arial"/>
        </w:rPr>
        <w:t xml:space="preserve"> L</w:t>
      </w:r>
      <w:r>
        <w:rPr>
          <w:rFonts w:ascii="Arial" w:hAnsi="Arial" w:cs="Arial"/>
        </w:rPr>
        <w:t xml:space="preserve">as tasas de inmigración estadounidense de los dos centros económicos es de 1.66 y 0.89 </w:t>
      </w:r>
      <w:r>
        <w:rPr>
          <w:rFonts w:ascii="Arial" w:hAnsi="Arial" w:cs="Arial"/>
        </w:rPr>
        <w:lastRenderedPageBreak/>
        <w:t xml:space="preserve">ciudadanos de esta nacionalidad por cada 1000 habitantes de Pichincha y Guayas respectivamente, esta tasa toma valores menores en estas dos provincias, a pesar de ser las que más inmigrantes de esta nacionalidad reciben, debido a la cantidad de habitantes que hay en cada una de ellas. Para más detalles acerca de la tasa de inmigración estadounidense en otras provincias </w:t>
      </w:r>
      <w:r>
        <w:rPr>
          <w:rFonts w:ascii="Arial" w:hAnsi="Arial" w:cs="Arial"/>
          <w:i/>
        </w:rPr>
        <w:t>Véase Figura 4.56.</w:t>
      </w:r>
      <w:r>
        <w:rPr>
          <w:rFonts w:ascii="Arial" w:hAnsi="Arial" w:cs="Arial"/>
        </w:rPr>
        <w:t xml:space="preserve"> </w:t>
      </w:r>
    </w:p>
    <w:tbl>
      <w:tblPr>
        <w:tblStyle w:val="Tablaconcuadrcula"/>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361FCE" w:rsidRPr="00840530" w:rsidTr="004044BE">
        <w:trPr>
          <w:trHeight w:val="5046"/>
          <w:jc w:val="right"/>
        </w:trPr>
        <w:tc>
          <w:tcPr>
            <w:tcW w:w="7535" w:type="dxa"/>
          </w:tcPr>
          <w:p w:rsidR="00361FCE" w:rsidRPr="00840530" w:rsidRDefault="00361FCE" w:rsidP="00902050">
            <w:pPr>
              <w:rPr>
                <w:rFonts w:ascii="Arial" w:hAnsi="Arial" w:cs="Arial"/>
                <w:sz w:val="16"/>
                <w:szCs w:val="16"/>
              </w:rPr>
            </w:pPr>
          </w:p>
          <w:p w:rsidR="008D052C" w:rsidRPr="008D052C" w:rsidRDefault="008D052C" w:rsidP="008D052C">
            <w:pPr>
              <w:pStyle w:val="Epgrafe"/>
              <w:rPr>
                <w:rFonts w:ascii="Arial" w:hAnsi="Arial" w:cs="Arial"/>
                <w:bCs w:val="0"/>
                <w:color w:val="auto"/>
                <w:sz w:val="16"/>
                <w:szCs w:val="16"/>
              </w:rPr>
            </w:pPr>
            <w:bookmarkStart w:id="622" w:name="_Toc341044028"/>
            <w:r>
              <w:rPr>
                <w:rFonts w:ascii="Arial" w:hAnsi="Arial" w:cs="Arial"/>
                <w:bCs w:val="0"/>
                <w:color w:val="auto"/>
                <w:sz w:val="16"/>
                <w:szCs w:val="16"/>
              </w:rPr>
              <w:t>Figura 4.</w:t>
            </w:r>
            <w:r w:rsidR="00990535" w:rsidRPr="008D052C">
              <w:rPr>
                <w:rFonts w:ascii="Arial" w:hAnsi="Arial" w:cs="Arial"/>
                <w:bCs w:val="0"/>
                <w:color w:val="auto"/>
                <w:sz w:val="16"/>
                <w:szCs w:val="16"/>
              </w:rPr>
              <w:fldChar w:fldCharType="begin"/>
            </w:r>
            <w:r w:rsidRPr="008D052C">
              <w:rPr>
                <w:rFonts w:ascii="Arial" w:hAnsi="Arial" w:cs="Arial"/>
                <w:bCs w:val="0"/>
                <w:color w:val="auto"/>
                <w:sz w:val="16"/>
                <w:szCs w:val="16"/>
              </w:rPr>
              <w:instrText xml:space="preserve"> SEQ Figura_4. \* ARABIC </w:instrText>
            </w:r>
            <w:r w:rsidR="00990535" w:rsidRPr="008D052C">
              <w:rPr>
                <w:rFonts w:ascii="Arial" w:hAnsi="Arial" w:cs="Arial"/>
                <w:bCs w:val="0"/>
                <w:color w:val="auto"/>
                <w:sz w:val="16"/>
                <w:szCs w:val="16"/>
              </w:rPr>
              <w:fldChar w:fldCharType="separate"/>
            </w:r>
            <w:r w:rsidR="00A242E0">
              <w:rPr>
                <w:rFonts w:ascii="Arial" w:hAnsi="Arial" w:cs="Arial"/>
                <w:bCs w:val="0"/>
                <w:noProof/>
                <w:color w:val="auto"/>
                <w:sz w:val="16"/>
                <w:szCs w:val="16"/>
              </w:rPr>
              <w:t>56</w:t>
            </w:r>
            <w:bookmarkEnd w:id="622"/>
            <w:r w:rsidR="00990535" w:rsidRPr="008D052C">
              <w:rPr>
                <w:rFonts w:ascii="Arial" w:hAnsi="Arial" w:cs="Arial"/>
                <w:bCs w:val="0"/>
                <w:color w:val="auto"/>
                <w:sz w:val="16"/>
                <w:szCs w:val="16"/>
              </w:rPr>
              <w:fldChar w:fldCharType="end"/>
            </w:r>
          </w:p>
          <w:p w:rsidR="00361FCE" w:rsidRDefault="004044BE"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Tasa de </w:t>
            </w:r>
            <w:r w:rsidRPr="008912B6">
              <w:rPr>
                <w:rFonts w:ascii="Arial" w:hAnsi="Arial" w:cs="Arial"/>
                <w:b/>
                <w:i/>
                <w:sz w:val="16"/>
                <w:szCs w:val="16"/>
              </w:rPr>
              <w:t xml:space="preserve">Inmigración </w:t>
            </w:r>
            <w:r>
              <w:rPr>
                <w:rFonts w:ascii="Arial" w:hAnsi="Arial" w:cs="Arial"/>
                <w:b/>
                <w:i/>
                <w:sz w:val="16"/>
                <w:szCs w:val="16"/>
              </w:rPr>
              <w:t>estadounidense</w:t>
            </w:r>
            <w:r w:rsidRPr="008912B6">
              <w:rPr>
                <w:rFonts w:ascii="Arial" w:hAnsi="Arial" w:cs="Arial"/>
                <w:i/>
                <w:sz w:val="16"/>
                <w:szCs w:val="16"/>
              </w:rPr>
              <w:t xml:space="preserve"> por cada 1000 residentes a nivel Provincial</w:t>
            </w:r>
          </w:p>
          <w:p w:rsidR="00361FCE" w:rsidRPr="00660711" w:rsidRDefault="00436907" w:rsidP="00902050">
            <w:pPr>
              <w:rPr>
                <w:rFonts w:ascii="Arial" w:hAnsi="Arial" w:cs="Arial"/>
                <w:i/>
                <w:sz w:val="16"/>
                <w:szCs w:val="16"/>
              </w:rPr>
            </w:pPr>
            <w:r>
              <w:rPr>
                <w:rFonts w:ascii="Arial" w:hAnsi="Arial" w:cs="Arial"/>
                <w:i/>
                <w:noProof/>
                <w:sz w:val="16"/>
                <w:szCs w:val="16"/>
                <w:lang w:eastAsia="es-EC"/>
              </w:rPr>
              <w:pict>
                <v:shape id="_x0000_s1592" type="#_x0000_t202" style="position:absolute;left:0;text-align:left;margin-left:178.7pt;margin-top:160.95pt;width:42pt;height:16.5pt;z-index:251966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style="mso-next-textbox:#_x0000_s1592">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0.39</w:t>
                        </w:r>
                      </w:p>
                    </w:txbxContent>
                  </v:textbox>
                </v:shape>
              </w:pict>
            </w:r>
            <w:r>
              <w:rPr>
                <w:rFonts w:ascii="Arial" w:hAnsi="Arial" w:cs="Arial"/>
                <w:i/>
                <w:noProof/>
                <w:sz w:val="16"/>
                <w:szCs w:val="16"/>
                <w:lang w:eastAsia="es-EC"/>
              </w:rPr>
              <w:pict>
                <v:shape id="_x0000_s1598" type="#_x0000_t202" style="position:absolute;left:0;text-align:left;margin-left:167.2pt;margin-top:76.3pt;width:42pt;height:16.5pt;z-index:251973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style="mso-next-textbox:#_x0000_s1598">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0.48</w:t>
                        </w:r>
                      </w:p>
                    </w:txbxContent>
                  </v:textbox>
                </v:shape>
              </w:pict>
            </w:r>
            <w:r>
              <w:rPr>
                <w:rFonts w:ascii="Arial" w:hAnsi="Arial" w:cs="Arial"/>
                <w:i/>
                <w:noProof/>
                <w:sz w:val="16"/>
                <w:szCs w:val="16"/>
                <w:lang w:eastAsia="es-EC"/>
              </w:rPr>
              <w:pict>
                <v:shape id="_x0000_s1608" type="#_x0000_t202" style="position:absolute;left:0;text-align:left;margin-left:155.45pt;margin-top:118.3pt;width:42pt;height:16.5pt;z-index:251983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hMMA&#10;AADcAAAADwAAAGRycy9kb3ducmV2LnhtbERPy4rCMBTdC/MP4Q6403Q6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0hMMAAADcAAAADwAAAAAAAAAAAAAAAACYAgAAZHJzL2Rv&#10;d25yZXYueG1sUEsFBgAAAAAEAAQA9QAAAIgDAAAAAA==&#10;" filled="f" stroked="f" strokeweight=".5pt">
                  <v:textbox style="mso-next-textbox:#_x0000_s1608">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0.49</w:t>
                        </w:r>
                      </w:p>
                    </w:txbxContent>
                  </v:textbox>
                </v:shape>
              </w:pict>
            </w:r>
            <w:r>
              <w:rPr>
                <w:rFonts w:ascii="Arial" w:hAnsi="Arial" w:cs="Arial"/>
                <w:i/>
                <w:noProof/>
                <w:sz w:val="16"/>
                <w:szCs w:val="16"/>
                <w:lang w:eastAsia="es-EC"/>
              </w:rPr>
              <w:pict>
                <v:shape id="_x0000_s1588" type="#_x0000_t202" style="position:absolute;left:0;text-align:left;margin-left:204.7pt;margin-top:130.3pt;width:42pt;height:14.25pt;z-index:25196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style="mso-next-textbox:#_x0000_s1588">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3.51</w:t>
                        </w:r>
                      </w:p>
                    </w:txbxContent>
                  </v:textbox>
                </v:shape>
              </w:pict>
            </w:r>
            <w:r>
              <w:rPr>
                <w:rFonts w:ascii="Arial" w:hAnsi="Arial" w:cs="Arial"/>
                <w:i/>
                <w:noProof/>
                <w:sz w:val="16"/>
                <w:szCs w:val="16"/>
                <w:lang w:eastAsia="es-EC"/>
              </w:rPr>
              <w:pict>
                <v:shape id="_x0000_s1591" type="#_x0000_t202" style="position:absolute;left:0;text-align:left;margin-left:211.45pt;margin-top:112.3pt;width:42pt;height:16.5pt;z-index:251965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style="mso-next-textbox:#_x0000_s1591">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0.66</w:t>
                        </w:r>
                      </w:p>
                    </w:txbxContent>
                  </v:textbox>
                </v:shape>
              </w:pict>
            </w:r>
            <w:r>
              <w:rPr>
                <w:rFonts w:ascii="Arial" w:hAnsi="Arial" w:cs="Arial"/>
                <w:i/>
                <w:noProof/>
                <w:sz w:val="16"/>
                <w:szCs w:val="16"/>
                <w:lang w:eastAsia="es-EC"/>
              </w:rPr>
              <w:pict>
                <v:shape id="_x0000_s1597" type="#_x0000_t202" style="position:absolute;left:0;text-align:left;margin-left:191.55pt;margin-top:96.6pt;width:31.5pt;height:13.35pt;rotation:-90;z-index:25197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y5cQA&#10;AADcAAAADwAAAGRycy9kb3ducmV2LnhtbESPQYvCMBSE74L/ITxhb5pWQdxqFBFE9+Bhq7Aen82z&#10;7W7zUpqo1V9vFgSPw8x8w8wWranElRpXWlYQDyIQxJnVJecKDvt1fwLCeWSNlWVScCcHi3m3M8NE&#10;2xt/0zX1uQgQdgkqKLyvEyldVpBBN7A1cfDOtjHog2xyqRu8Bbip5DCKxtJgyWGhwJpWBWV/6cUo&#10;+DXu9Dl5UPyz3NzNcJce66+NVeqj1y6nIDy1/h1+tbdawSgewf+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58uXEAAAA3AAAAA8AAAAAAAAAAAAAAAAAmAIAAGRycy9k&#10;b3ducmV2LnhtbFBLBQYAAAAABAAEAPUAAACJAwAAAAA=&#10;" filled="f" stroked="f" strokeweight=".5pt">
                  <v:textbox style="layout-flow:vertical;mso-layout-flow-alt:bottom-to-top;mso-next-textbox:#_x0000_s1597">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0.09</w:t>
                        </w:r>
                      </w:p>
                    </w:txbxContent>
                  </v:textbox>
                </v:shape>
              </w:pict>
            </w:r>
            <w:r>
              <w:rPr>
                <w:rFonts w:ascii="Arial" w:hAnsi="Arial" w:cs="Arial"/>
                <w:i/>
                <w:noProof/>
                <w:sz w:val="16"/>
                <w:szCs w:val="16"/>
                <w:lang w:eastAsia="es-EC"/>
              </w:rPr>
              <w:pict>
                <v:shape id="_x0000_s1590" type="#_x0000_t202" style="position:absolute;left:0;text-align:left;margin-left:208.05pt;margin-top:76.7pt;width:42pt;height:16.5pt;z-index:251964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style="mso-next-textbox:#_x0000_s1590">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0.14</w:t>
                        </w:r>
                      </w:p>
                    </w:txbxContent>
                  </v:textbox>
                </v:shape>
              </w:pict>
            </w:r>
            <w:r>
              <w:rPr>
                <w:rFonts w:ascii="Arial" w:hAnsi="Arial" w:cs="Arial"/>
                <w:i/>
                <w:noProof/>
                <w:sz w:val="16"/>
                <w:szCs w:val="16"/>
                <w:lang w:eastAsia="es-EC"/>
              </w:rPr>
              <w:pict>
                <v:shape id="_x0000_s1607" type="#_x0000_t202" style="position:absolute;left:0;text-align:left;margin-left:197.95pt;margin-top:59.05pt;width:42pt;height:16.5pt;z-index:25198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9scA&#10;AADcAAAADwAAAGRycy9kb3ducmV2LnhtbESPzWvCQBTE70L/h+UVetNNU1o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PbHAAAA3AAAAA8AAAAAAAAAAAAAAAAAmAIAAGRy&#10;cy9kb3ducmV2LnhtbFBLBQYAAAAABAAEAPUAAACMAwAAAAA=&#10;" filled="f" stroked="f" strokeweight=".5pt">
                  <v:textbox style="mso-next-textbox:#_x0000_s1607">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0.33</w:t>
                        </w:r>
                      </w:p>
                    </w:txbxContent>
                  </v:textbox>
                </v:shape>
              </w:pict>
            </w:r>
            <w:r>
              <w:rPr>
                <w:rFonts w:ascii="Arial" w:hAnsi="Arial" w:cs="Arial"/>
                <w:i/>
                <w:noProof/>
                <w:sz w:val="16"/>
                <w:szCs w:val="16"/>
                <w:lang w:eastAsia="es-EC"/>
              </w:rPr>
              <w:pict>
                <v:shape id="_x0000_s1589" type="#_x0000_t202" style="position:absolute;left:0;text-align:left;margin-left:238.45pt;margin-top:28.3pt;width:42pt;height:16.5pt;rotation:2175710fd;z-index:251963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4CcUA&#10;AADcAAAADwAAAGRycy9kb3ducmV2LnhtbESPQWvCQBSE74X+h+UVequbegiaukpbKHjIoVHbXh/Z&#10;ZxKbfRt31yT+e1cQPA4z8w2zWI2mFT0531hW8DpJQBCXVjdcKdhtv15mIHxA1thaJgVn8rBaPj4s&#10;MNN24IL6TahEhLDPUEEdQpdJ6cuaDPqJ7Yijt7fOYIjSVVI7HCLctHKaJKk02HBcqLGjz5rK/83J&#10;KPj45XznDiTb4S8vv4+UFvhzVOr5aXx/AxFoDPfwrb3WCqbzO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vgJxQAAANwAAAAPAAAAAAAAAAAAAAAAAJgCAABkcnMv&#10;ZG93bnJldi54bWxQSwUGAAAAAAQABAD1AAAAigMAAAAA&#10;" filled="f" stroked="f" strokeweight=".5pt">
                  <v:textbox style="mso-next-textbox:#_x0000_s1589">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0.08</w:t>
                        </w:r>
                      </w:p>
                    </w:txbxContent>
                  </v:textbox>
                </v:shape>
              </w:pict>
            </w:r>
            <w:r>
              <w:rPr>
                <w:rFonts w:ascii="Arial" w:hAnsi="Arial" w:cs="Arial"/>
                <w:i/>
                <w:noProof/>
                <w:sz w:val="16"/>
                <w:szCs w:val="16"/>
                <w:lang w:eastAsia="es-EC"/>
              </w:rPr>
              <w:pict>
                <v:shape id="_x0000_s1595" type="#_x0000_t202" style="position:absolute;left:0;text-align:left;margin-left:229.45pt;margin-top:39.9pt;width:42pt;height:16.5pt;z-index:251970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style="mso-next-textbox:#_x0000_s1595">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0.86</w:t>
                        </w:r>
                      </w:p>
                    </w:txbxContent>
                  </v:textbox>
                </v:shape>
              </w:pict>
            </w:r>
            <w:r>
              <w:rPr>
                <w:rFonts w:ascii="Arial" w:hAnsi="Arial" w:cs="Arial"/>
                <w:i/>
                <w:noProof/>
                <w:sz w:val="16"/>
                <w:szCs w:val="16"/>
                <w:lang w:eastAsia="es-EC"/>
              </w:rPr>
              <w:pict>
                <v:shape id="_x0000_s1602" type="#_x0000_t202" style="position:absolute;left:0;text-align:left;margin-left:218.55pt;margin-top:54.15pt;width:42pt;height:16.5pt;z-index:251977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style="mso-next-textbox:#_x0000_s1602">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1.66</w:t>
                        </w:r>
                      </w:p>
                    </w:txbxContent>
                  </v:textbox>
                </v:shape>
              </w:pict>
            </w:r>
            <w:r>
              <w:rPr>
                <w:rFonts w:ascii="Arial" w:hAnsi="Arial" w:cs="Arial"/>
                <w:i/>
                <w:noProof/>
                <w:sz w:val="16"/>
                <w:szCs w:val="16"/>
                <w:lang w:eastAsia="es-EC"/>
              </w:rPr>
              <w:pict>
                <v:shape id="_x0000_s1600" type="#_x0000_t202" style="position:absolute;left:0;text-align:left;margin-left:237.7pt;margin-top:70.55pt;width:42pt;height:16.5pt;z-index:251975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style="mso-next-textbox:#_x0000_s1600">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0.39</w:t>
                        </w:r>
                      </w:p>
                    </w:txbxContent>
                  </v:textbox>
                </v:shape>
              </w:pict>
            </w:r>
            <w:r>
              <w:rPr>
                <w:rFonts w:ascii="Arial" w:hAnsi="Arial" w:cs="Arial"/>
                <w:i/>
                <w:noProof/>
                <w:sz w:val="16"/>
                <w:szCs w:val="16"/>
                <w:lang w:eastAsia="es-EC"/>
              </w:rPr>
              <w:pict>
                <v:shape id="_x0000_s1601" type="#_x0000_t202" style="position:absolute;left:0;text-align:left;margin-left:270.1pt;margin-top:102.55pt;width:42pt;height:16.5pt;z-index:251976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style="mso-next-textbox:#_x0000_s1601">
                    <w:txbxContent>
                      <w:p w:rsidR="006933DF" w:rsidRDefault="006933DF" w:rsidP="004044B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1.70</w:t>
                        </w:r>
                      </w:p>
                    </w:txbxContent>
                  </v:textbox>
                </v:shape>
              </w:pict>
            </w:r>
            <w:r>
              <w:rPr>
                <w:rFonts w:ascii="Arial" w:hAnsi="Arial" w:cs="Arial"/>
                <w:i/>
                <w:noProof/>
                <w:sz w:val="16"/>
                <w:szCs w:val="16"/>
                <w:lang w:eastAsia="es-EC"/>
              </w:rPr>
              <w:pict>
                <v:shape id="_x0000_s1599" type="#_x0000_t202" style="position:absolute;left:0;text-align:left;margin-left:235.2pt;margin-top:134.05pt;width:42pt;height:16.5pt;z-index:251974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style="mso-next-textbox:#_x0000_s1599">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2.19</w:t>
                        </w:r>
                      </w:p>
                    </w:txbxContent>
                  </v:textbox>
                </v:shape>
              </w:pict>
            </w:r>
            <w:r>
              <w:rPr>
                <w:rFonts w:ascii="Arial" w:hAnsi="Arial" w:cs="Arial"/>
                <w:i/>
                <w:noProof/>
                <w:sz w:val="16"/>
                <w:szCs w:val="16"/>
                <w:lang w:eastAsia="es-EC"/>
              </w:rPr>
              <w:pict>
                <v:shape id="_x0000_s1604" type="#_x0000_t202" style="position:absolute;left:0;text-align:left;margin-left:208.45pt;margin-top:182.05pt;width:42pt;height:16.5pt;z-index:251979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style="mso-next-textbox:#_x0000_s1604">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0.31</w:t>
                        </w:r>
                      </w:p>
                    </w:txbxContent>
                  </v:textbox>
                </v:shape>
              </w:pict>
            </w:r>
            <w:r>
              <w:rPr>
                <w:rFonts w:ascii="Arial" w:hAnsi="Arial" w:cs="Arial"/>
                <w:i/>
                <w:noProof/>
                <w:sz w:val="16"/>
                <w:szCs w:val="16"/>
                <w:lang w:eastAsia="es-EC"/>
              </w:rPr>
              <w:pict>
                <v:shape id="_x0000_s1596" type="#_x0000_t202" style="position:absolute;left:0;text-align:left;margin-left:182.2pt;margin-top:179.05pt;width:42pt;height:16.5pt;z-index:251971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style="mso-next-textbox:#_x0000_s1596">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0.70</w:t>
                        </w:r>
                      </w:p>
                    </w:txbxContent>
                  </v:textbox>
                </v:shape>
              </w:pict>
            </w:r>
            <w:r>
              <w:rPr>
                <w:rFonts w:ascii="Arial" w:hAnsi="Arial" w:cs="Arial"/>
                <w:i/>
                <w:noProof/>
                <w:sz w:val="16"/>
                <w:szCs w:val="16"/>
                <w:lang w:eastAsia="es-EC"/>
              </w:rPr>
              <w:pict>
                <v:shape id="_x0000_s1609" type="#_x0000_t202" style="position:absolute;left:0;text-align:left;margin-left:11.2pt;margin-top:79.9pt;width:42pt;height:16.5pt;z-index:251984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style="mso-next-textbox:#_x0000_s1609">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2.96</w:t>
                        </w:r>
                      </w:p>
                    </w:txbxContent>
                  </v:textbox>
                </v:shape>
              </w:pict>
            </w:r>
            <w:r>
              <w:rPr>
                <w:rFonts w:ascii="Arial" w:hAnsi="Arial" w:cs="Arial"/>
                <w:i/>
                <w:noProof/>
                <w:sz w:val="16"/>
                <w:szCs w:val="16"/>
                <w:lang w:eastAsia="es-EC"/>
              </w:rPr>
              <w:pict>
                <v:shape id="_x0000_s1606" type="#_x0000_t202" style="position:absolute;left:0;text-align:left;margin-left:287.95pt;margin-top:74.8pt;width:42pt;height:16.5pt;z-index:251981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FbccA&#10;AADcAAAADwAAAGRycy9kb3ducmV2LnhtbESPzWrDMBCE74G+g9hCbolcl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W3HAAAA3AAAAA8AAAAAAAAAAAAAAAAAmAIAAGRy&#10;cy9kb3ducmV2LnhtbFBLBQYAAAAABAAEAPUAAACMAwAAAAA=&#10;" filled="f" stroked="f" strokeweight=".5pt">
                  <v:textbox style="mso-next-textbox:#_x0000_s1606">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0.07</w:t>
                        </w:r>
                      </w:p>
                    </w:txbxContent>
                  </v:textbox>
                </v:shape>
              </w:pict>
            </w:r>
            <w:r>
              <w:rPr>
                <w:rFonts w:ascii="Arial" w:hAnsi="Arial" w:cs="Arial"/>
                <w:i/>
                <w:noProof/>
                <w:sz w:val="16"/>
                <w:szCs w:val="16"/>
                <w:lang w:eastAsia="es-EC"/>
              </w:rPr>
              <w:pict>
                <v:shape id="_x0000_s1605" type="#_x0000_t202" style="position:absolute;left:0;text-align:left;margin-left:287.55pt;margin-top:49.4pt;width:42pt;height:16.5pt;z-index:251980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GscA&#10;AADcAAAADwAAAGRycy9kb3ducmV2LnhtbESPQWvCQBSE7wX/w/IK3uqmE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xrHAAAA3AAAAA8AAAAAAAAAAAAAAAAAmAIAAGRy&#10;cy9kb3ducmV2LnhtbFBLBQYAAAAABAAEAPUAAACMAwAAAAA=&#10;" filled="f" stroked="f" strokeweight=".5pt">
                  <v:textbox style="mso-next-textbox:#_x0000_s1605">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0.08</w:t>
                        </w:r>
                      </w:p>
                    </w:txbxContent>
                  </v:textbox>
                </v:shape>
              </w:pict>
            </w:r>
            <w:r>
              <w:rPr>
                <w:rFonts w:ascii="Arial" w:hAnsi="Arial" w:cs="Arial"/>
                <w:i/>
                <w:noProof/>
                <w:sz w:val="16"/>
                <w:szCs w:val="16"/>
                <w:lang w:eastAsia="es-EC"/>
              </w:rPr>
              <w:pict>
                <v:shape id="_x0000_s1603" type="#_x0000_t202" style="position:absolute;left:0;text-align:left;margin-left:221.2pt;margin-top:90.9pt;width:42pt;height:16.5pt;z-index:251978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style="mso-next-textbox:#_x0000_s1603">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0.89</w:t>
                        </w:r>
                      </w:p>
                    </w:txbxContent>
                  </v:textbox>
                </v:shape>
              </w:pict>
            </w:r>
            <w:r>
              <w:rPr>
                <w:rFonts w:ascii="Arial" w:hAnsi="Arial" w:cs="Arial"/>
                <w:i/>
                <w:noProof/>
                <w:sz w:val="16"/>
                <w:szCs w:val="16"/>
                <w:lang w:eastAsia="es-EC"/>
              </w:rPr>
              <w:pict>
                <v:shape id="_x0000_s1594" type="#_x0000_t202" style="position:absolute;left:0;text-align:left;margin-left:173.45pt;margin-top:110.4pt;width:42pt;height:16.55pt;z-index:2519690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style="mso-next-textbox:#_x0000_s1594">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0.89</w:t>
                        </w:r>
                      </w:p>
                    </w:txbxContent>
                  </v:textbox>
                </v:shape>
              </w:pict>
            </w:r>
            <w:r>
              <w:rPr>
                <w:rFonts w:ascii="Arial" w:hAnsi="Arial" w:cs="Arial"/>
                <w:i/>
                <w:noProof/>
                <w:sz w:val="16"/>
                <w:szCs w:val="16"/>
                <w:lang w:eastAsia="es-EC"/>
              </w:rPr>
              <w:pict>
                <v:shape id="_x0000_s1593" type="#_x0000_t202" style="position:absolute;left:0;text-align:left;margin-left:197.2pt;margin-top:26.8pt;width:42pt;height:16.5pt;z-index:251968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style="mso-next-textbox:#_x0000_s1593">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0.15</w:t>
                        </w:r>
                      </w:p>
                    </w:txbxContent>
                  </v:textbox>
                </v:shape>
              </w:pict>
            </w:r>
            <w:r>
              <w:rPr>
                <w:rFonts w:ascii="Arial" w:hAnsi="Arial" w:cs="Arial"/>
                <w:i/>
                <w:noProof/>
                <w:sz w:val="16"/>
                <w:szCs w:val="16"/>
                <w:lang w:eastAsia="es-EC"/>
              </w:rPr>
              <w:pict>
                <v:shape id="_x0000_s1587" type="#_x0000_t202" style="position:absolute;left:0;text-align:left;margin-left:202.95pt;margin-top:98.05pt;width:42pt;height:16.5pt;rotation:-5689846fd;z-index:251961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AcMYA&#10;AADcAAAADwAAAGRycy9kb3ducmV2LnhtbESPS2sCQRCE74L/YWjBS4izGohxdRQVxODFR+LBW7vT&#10;+8CdnmVn1PXfO4GAx6KqvqIms8aU4ka1Kywr6PciEMSJ1QVnCn5/Vu9fIJxH1lhaJgUPcjCbtlsT&#10;jLW9855uB5+JAGEXo4Lc+yqW0iU5GXQ9WxEHL7W1QR9knUld4z3ATSkHUfQpDRYcFnKsaJlTcjlc&#10;jYLd8mNxPr5tNil6vI5Oi3Rt5VapbqeZj0F4avwr/N/+1goGoyH8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QAcMYAAADcAAAADwAAAAAAAAAAAAAAAACYAgAAZHJz&#10;L2Rvd25yZXYueG1sUEsFBgAAAAAEAAQA9QAAAIsDAAAAAA==&#10;" filled="f" stroked="f" strokeweight=".5pt">
                  <v:textbox style="layout-flow:vertical;mso-layout-flow-alt:bottom-to-top;mso-next-textbox:#_x0000_s1587">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0.05</w:t>
                        </w:r>
                      </w:p>
                    </w:txbxContent>
                  </v:textbox>
                </v:shape>
              </w:pict>
            </w:r>
            <w:r>
              <w:rPr>
                <w:rFonts w:ascii="Arial" w:hAnsi="Arial" w:cs="Arial"/>
                <w:i/>
                <w:noProof/>
                <w:sz w:val="16"/>
                <w:szCs w:val="16"/>
                <w:lang w:eastAsia="es-EC"/>
              </w:rPr>
              <w:pict>
                <v:shape id="_x0000_s1586" type="#_x0000_t202" style="position:absolute;left:0;text-align:left;margin-left:198.45pt;margin-top:144.55pt;width:42pt;height:16.5pt;z-index:251960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style="mso-next-textbox:#_x0000_s1586">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4.60</w:t>
                        </w:r>
                      </w:p>
                    </w:txbxContent>
                  </v:textbox>
                </v:shape>
              </w:pict>
            </w:r>
            <w:r w:rsidR="00361FCE">
              <w:rPr>
                <w:noProof/>
                <w:lang w:eastAsia="es-EC"/>
              </w:rPr>
              <w:drawing>
                <wp:inline distT="0" distB="0" distL="0" distR="0">
                  <wp:extent cx="4680000" cy="2780564"/>
                  <wp:effectExtent l="0" t="0" r="0" b="0"/>
                  <wp:docPr id="339"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680000" cy="2780564"/>
                          </a:xfrm>
                          <a:prstGeom prst="rect">
                            <a:avLst/>
                          </a:prstGeom>
                          <a:noFill/>
                          <a:extLst/>
                        </pic:spPr>
                      </pic:pic>
                    </a:graphicData>
                  </a:graphic>
                </wp:inline>
              </w:drawing>
            </w:r>
          </w:p>
        </w:tc>
      </w:tr>
    </w:tbl>
    <w:p w:rsidR="00361FCE" w:rsidRPr="004044BE" w:rsidRDefault="00361FCE" w:rsidP="004044BE">
      <w:pPr>
        <w:pStyle w:val="Prrafodelista"/>
        <w:spacing w:line="276" w:lineRule="auto"/>
        <w:ind w:left="851"/>
        <w:jc w:val="both"/>
        <w:rPr>
          <w:rFonts w:ascii="Arial" w:hAnsi="Arial" w:cs="Arial"/>
          <w:sz w:val="17"/>
          <w:szCs w:val="17"/>
        </w:rPr>
      </w:pPr>
    </w:p>
    <w:p w:rsidR="00361FCE" w:rsidRPr="004044BE" w:rsidRDefault="00361FCE" w:rsidP="004044BE">
      <w:pPr>
        <w:pStyle w:val="Prrafodelista"/>
        <w:spacing w:line="276" w:lineRule="auto"/>
        <w:ind w:left="851"/>
        <w:jc w:val="both"/>
        <w:rPr>
          <w:rFonts w:ascii="Arial" w:hAnsi="Arial" w:cs="Arial"/>
          <w:sz w:val="17"/>
          <w:szCs w:val="17"/>
        </w:rPr>
      </w:pPr>
      <w:r w:rsidRPr="004044BE">
        <w:rPr>
          <w:rFonts w:ascii="Arial" w:hAnsi="Arial" w:cs="Arial"/>
          <w:b/>
          <w:i/>
          <w:sz w:val="17"/>
          <w:szCs w:val="17"/>
        </w:rPr>
        <w:t>Fuente:</w:t>
      </w:r>
      <w:r w:rsidRPr="004044BE">
        <w:rPr>
          <w:rFonts w:ascii="Arial" w:hAnsi="Arial" w:cs="Arial"/>
          <w:sz w:val="17"/>
          <w:szCs w:val="17"/>
        </w:rPr>
        <w:t xml:space="preserve"> </w:t>
      </w:r>
      <w:r w:rsidRPr="004044BE">
        <w:rPr>
          <w:rFonts w:ascii="Arial" w:hAnsi="Arial" w:cs="Arial"/>
          <w:b/>
          <w:sz w:val="17"/>
          <w:szCs w:val="17"/>
        </w:rPr>
        <w:t xml:space="preserve">INEC </w:t>
      </w:r>
      <w:r w:rsidRPr="004044BE">
        <w:rPr>
          <w:rFonts w:ascii="Arial" w:hAnsi="Arial" w:cs="Arial"/>
          <w:sz w:val="17"/>
          <w:szCs w:val="17"/>
        </w:rPr>
        <w:t>(2010), Base de Datos del VII Censo de Población y VI de Vivienda.</w:t>
      </w:r>
    </w:p>
    <w:p w:rsidR="00361FCE" w:rsidRPr="004044BE" w:rsidRDefault="00361FCE" w:rsidP="004044BE">
      <w:pPr>
        <w:pStyle w:val="Prrafodelista"/>
        <w:spacing w:line="276" w:lineRule="auto"/>
        <w:ind w:left="851"/>
        <w:jc w:val="both"/>
        <w:rPr>
          <w:rFonts w:ascii="Arial" w:hAnsi="Arial" w:cs="Arial"/>
          <w:sz w:val="17"/>
          <w:szCs w:val="17"/>
        </w:rPr>
      </w:pPr>
      <w:r w:rsidRPr="004044BE">
        <w:rPr>
          <w:rFonts w:ascii="Arial" w:hAnsi="Arial" w:cs="Arial"/>
          <w:b/>
          <w:i/>
          <w:sz w:val="17"/>
          <w:szCs w:val="17"/>
        </w:rPr>
        <w:t>Elaborado por:</w:t>
      </w:r>
      <w:r w:rsidRPr="004044BE">
        <w:rPr>
          <w:rFonts w:ascii="Arial" w:hAnsi="Arial" w:cs="Arial"/>
          <w:sz w:val="17"/>
          <w:szCs w:val="17"/>
        </w:rPr>
        <w:t xml:space="preserve"> Katherine Loor Valeriano</w:t>
      </w:r>
    </w:p>
    <w:p w:rsidR="004044BE" w:rsidRDefault="004044BE" w:rsidP="004044BE">
      <w:pPr>
        <w:pStyle w:val="Prrafodelista"/>
        <w:spacing w:line="480" w:lineRule="auto"/>
        <w:ind w:left="851"/>
        <w:jc w:val="both"/>
        <w:rPr>
          <w:rFonts w:ascii="Arial" w:hAnsi="Arial" w:cs="Arial"/>
        </w:rPr>
      </w:pPr>
    </w:p>
    <w:p w:rsidR="00361FCE" w:rsidRDefault="00361FCE" w:rsidP="004044BE">
      <w:pPr>
        <w:pStyle w:val="Prrafodelista"/>
        <w:spacing w:line="480" w:lineRule="auto"/>
        <w:ind w:left="851"/>
        <w:jc w:val="both"/>
        <w:rPr>
          <w:rFonts w:ascii="Arial" w:hAnsi="Arial" w:cs="Arial"/>
        </w:rPr>
      </w:pPr>
      <w:r>
        <w:rPr>
          <w:rFonts w:ascii="Arial" w:hAnsi="Arial" w:cs="Arial"/>
        </w:rPr>
        <w:t xml:space="preserve">Las tasas mencionadas en líneas previas, se presentan ordenadas alfabéticamente y en orden descendente en la </w:t>
      </w:r>
      <w:r>
        <w:rPr>
          <w:rFonts w:ascii="Arial" w:hAnsi="Arial" w:cs="Arial"/>
          <w:i/>
        </w:rPr>
        <w:t>Figura 4.57</w:t>
      </w:r>
      <w:r>
        <w:rPr>
          <w:rFonts w:ascii="Arial" w:hAnsi="Arial" w:cs="Arial"/>
        </w:rPr>
        <w:t xml:space="preserve">, además en dicha figura se puede observar la tasa de inmigración estadounidense respecto a la población total del Ecuador; dicha tasa es igual a 1.04, es decir, hay 1.04 estadounidenses por cada 1000 habitantes empadronados </w:t>
      </w:r>
      <w:r>
        <w:rPr>
          <w:rFonts w:ascii="Arial" w:hAnsi="Arial" w:cs="Arial"/>
        </w:rPr>
        <w:lastRenderedPageBreak/>
        <w:t>en el Ecuador a la fecha del Censo, noviembre de 2010. En dichas figuras podemos observar que hay seis provincias que presentan tasas de inmigración estadounidense superiores a la nacional, esas provincias son Azuay, Cañar, Galápagos, Morona Santiago, Pastaza y Pichincha</w:t>
      </w:r>
      <w:r w:rsidR="00F91C02">
        <w:rPr>
          <w:rFonts w:ascii="Arial" w:hAnsi="Arial" w:cs="Arial"/>
        </w:rPr>
        <w:t>;</w:t>
      </w:r>
      <w:r>
        <w:rPr>
          <w:rFonts w:ascii="Arial" w:hAnsi="Arial" w:cs="Arial"/>
        </w:rPr>
        <w:t xml:space="preserve"> </w:t>
      </w:r>
      <w:r w:rsidR="00F91C02">
        <w:rPr>
          <w:rFonts w:ascii="Arial" w:hAnsi="Arial" w:cs="Arial"/>
        </w:rPr>
        <w:t>m</w:t>
      </w:r>
      <w:r>
        <w:rPr>
          <w:rFonts w:ascii="Arial" w:hAnsi="Arial" w:cs="Arial"/>
        </w:rPr>
        <w:t xml:space="preserve">ientras que, las tasas más bajas corresponden a provincias como Los Ríos, Sucumbíos, Carchi, Orellana y Bolívar cuyas tasas toman valores de 0.09, 0.08, 0.08, 0.07 y 0.05 estadounidenses por cada 1000 residentes en cada una de esas provincias respectivamente.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044BE">
        <w:trPr>
          <w:trHeight w:val="4876"/>
          <w:jc w:val="right"/>
        </w:trPr>
        <w:tc>
          <w:tcPr>
            <w:tcW w:w="7497" w:type="dxa"/>
          </w:tcPr>
          <w:p w:rsidR="00361FCE" w:rsidRPr="00840530" w:rsidRDefault="00361FCE" w:rsidP="00902050">
            <w:pPr>
              <w:rPr>
                <w:rFonts w:ascii="Arial" w:hAnsi="Arial" w:cs="Arial"/>
                <w:sz w:val="16"/>
                <w:szCs w:val="16"/>
              </w:rPr>
            </w:pPr>
          </w:p>
          <w:p w:rsidR="008D052C" w:rsidRPr="008D052C" w:rsidRDefault="008D052C" w:rsidP="008D052C">
            <w:pPr>
              <w:pStyle w:val="Epgrafe"/>
              <w:rPr>
                <w:rFonts w:ascii="Arial" w:hAnsi="Arial" w:cs="Arial"/>
                <w:bCs w:val="0"/>
                <w:color w:val="auto"/>
                <w:sz w:val="16"/>
                <w:szCs w:val="16"/>
              </w:rPr>
            </w:pPr>
            <w:bookmarkStart w:id="623" w:name="_Toc341044029"/>
            <w:r w:rsidRPr="008D052C">
              <w:rPr>
                <w:rFonts w:ascii="Arial" w:hAnsi="Arial" w:cs="Arial"/>
                <w:bCs w:val="0"/>
                <w:color w:val="auto"/>
                <w:sz w:val="16"/>
                <w:szCs w:val="16"/>
              </w:rPr>
              <w:t>Figura 4.</w:t>
            </w:r>
            <w:r w:rsidR="00990535" w:rsidRPr="008D052C">
              <w:rPr>
                <w:rFonts w:ascii="Arial" w:hAnsi="Arial" w:cs="Arial"/>
                <w:bCs w:val="0"/>
                <w:color w:val="auto"/>
                <w:sz w:val="16"/>
                <w:szCs w:val="16"/>
              </w:rPr>
              <w:fldChar w:fldCharType="begin"/>
            </w:r>
            <w:r w:rsidRPr="008D052C">
              <w:rPr>
                <w:rFonts w:ascii="Arial" w:hAnsi="Arial" w:cs="Arial"/>
                <w:bCs w:val="0"/>
                <w:color w:val="auto"/>
                <w:sz w:val="16"/>
                <w:szCs w:val="16"/>
              </w:rPr>
              <w:instrText xml:space="preserve"> SEQ Figura_4. \* ARABIC </w:instrText>
            </w:r>
            <w:r w:rsidR="00990535" w:rsidRPr="008D052C">
              <w:rPr>
                <w:rFonts w:ascii="Arial" w:hAnsi="Arial" w:cs="Arial"/>
                <w:bCs w:val="0"/>
                <w:color w:val="auto"/>
                <w:sz w:val="16"/>
                <w:szCs w:val="16"/>
              </w:rPr>
              <w:fldChar w:fldCharType="separate"/>
            </w:r>
            <w:r w:rsidR="00A242E0">
              <w:rPr>
                <w:rFonts w:ascii="Arial" w:hAnsi="Arial" w:cs="Arial"/>
                <w:bCs w:val="0"/>
                <w:noProof/>
                <w:color w:val="auto"/>
                <w:sz w:val="16"/>
                <w:szCs w:val="16"/>
              </w:rPr>
              <w:t>57</w:t>
            </w:r>
            <w:bookmarkEnd w:id="623"/>
            <w:r w:rsidR="00990535" w:rsidRPr="008D052C">
              <w:rPr>
                <w:rFonts w:ascii="Arial" w:hAnsi="Arial" w:cs="Arial"/>
                <w:bCs w:val="0"/>
                <w:color w:val="auto"/>
                <w:sz w:val="16"/>
                <w:szCs w:val="16"/>
              </w:rPr>
              <w:fldChar w:fldCharType="end"/>
            </w:r>
          </w:p>
          <w:p w:rsidR="004044BE" w:rsidRPr="008912B6" w:rsidRDefault="004044BE" w:rsidP="004044BE">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Tasa de </w:t>
            </w:r>
            <w:r w:rsidRPr="008912B6">
              <w:rPr>
                <w:rFonts w:ascii="Arial" w:hAnsi="Arial" w:cs="Arial"/>
                <w:b/>
                <w:i/>
                <w:sz w:val="16"/>
                <w:szCs w:val="16"/>
              </w:rPr>
              <w:t xml:space="preserve">Inmigración </w:t>
            </w:r>
            <w:r>
              <w:rPr>
                <w:rFonts w:ascii="Arial" w:hAnsi="Arial" w:cs="Arial"/>
                <w:b/>
                <w:i/>
                <w:sz w:val="16"/>
                <w:szCs w:val="16"/>
              </w:rPr>
              <w:t>estadounidense</w:t>
            </w:r>
            <w:r w:rsidRPr="008912B6">
              <w:rPr>
                <w:rFonts w:ascii="Arial" w:hAnsi="Arial" w:cs="Arial"/>
                <w:i/>
                <w:sz w:val="16"/>
                <w:szCs w:val="16"/>
              </w:rPr>
              <w:t xml:space="preserve"> por cada 1000 residentes a nivel Provincial </w:t>
            </w:r>
          </w:p>
          <w:p w:rsidR="00361FCE" w:rsidRDefault="004044BE" w:rsidP="004044BE">
            <w:pPr>
              <w:rPr>
                <w:rFonts w:ascii="Arial" w:hAnsi="Arial" w:cs="Arial"/>
                <w:i/>
                <w:sz w:val="16"/>
                <w:szCs w:val="16"/>
              </w:rPr>
            </w:pPr>
            <w:r w:rsidRPr="008912B6">
              <w:rPr>
                <w:rFonts w:ascii="Arial" w:hAnsi="Arial" w:cs="Arial"/>
                <w:i/>
                <w:sz w:val="16"/>
                <w:szCs w:val="16"/>
              </w:rPr>
              <w:t>ordenada alfabéticamente y en forma descendente</w:t>
            </w:r>
          </w:p>
          <w:p w:rsidR="00361FCE" w:rsidRDefault="00361FCE" w:rsidP="00902050">
            <w:pPr>
              <w:rPr>
                <w:rFonts w:ascii="Arial" w:hAnsi="Arial" w:cs="Arial"/>
                <w:i/>
                <w:sz w:val="16"/>
                <w:szCs w:val="16"/>
              </w:rPr>
            </w:pPr>
            <w:r>
              <w:rPr>
                <w:noProof/>
                <w:lang w:eastAsia="es-EC"/>
              </w:rPr>
              <w:drawing>
                <wp:inline distT="0" distB="0" distL="0" distR="0">
                  <wp:extent cx="4608000" cy="2088000"/>
                  <wp:effectExtent l="0" t="0" r="0" b="0"/>
                  <wp:docPr id="340" name="Gráfico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361FCE" w:rsidRPr="00660711" w:rsidRDefault="00361FCE" w:rsidP="00902050">
            <w:pPr>
              <w:rPr>
                <w:rFonts w:ascii="Arial" w:hAnsi="Arial" w:cs="Arial"/>
                <w:i/>
                <w:sz w:val="16"/>
                <w:szCs w:val="16"/>
              </w:rPr>
            </w:pPr>
            <w:r>
              <w:rPr>
                <w:noProof/>
                <w:lang w:eastAsia="es-EC"/>
              </w:rPr>
              <w:drawing>
                <wp:inline distT="0" distB="0" distL="0" distR="0">
                  <wp:extent cx="4608000" cy="2052000"/>
                  <wp:effectExtent l="0" t="0" r="0" b="0"/>
                  <wp:docPr id="341" name="Gráfico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c>
      </w:tr>
    </w:tbl>
    <w:p w:rsidR="00361FCE" w:rsidRPr="004044BE" w:rsidRDefault="00361FCE" w:rsidP="004044BE">
      <w:pPr>
        <w:pStyle w:val="Prrafodelista"/>
        <w:spacing w:line="276" w:lineRule="auto"/>
        <w:ind w:left="851"/>
        <w:jc w:val="both"/>
        <w:rPr>
          <w:rFonts w:ascii="Arial" w:hAnsi="Arial" w:cs="Arial"/>
          <w:sz w:val="17"/>
          <w:szCs w:val="17"/>
        </w:rPr>
      </w:pPr>
    </w:p>
    <w:p w:rsidR="00361FCE" w:rsidRPr="004044BE" w:rsidRDefault="00361FCE" w:rsidP="004044BE">
      <w:pPr>
        <w:pStyle w:val="Prrafodelista"/>
        <w:spacing w:line="276" w:lineRule="auto"/>
        <w:ind w:left="851"/>
        <w:jc w:val="both"/>
        <w:rPr>
          <w:rFonts w:ascii="Arial" w:hAnsi="Arial" w:cs="Arial"/>
          <w:sz w:val="17"/>
          <w:szCs w:val="17"/>
        </w:rPr>
      </w:pPr>
      <w:r w:rsidRPr="004044BE">
        <w:rPr>
          <w:rFonts w:ascii="Arial" w:hAnsi="Arial" w:cs="Arial"/>
          <w:b/>
          <w:i/>
          <w:sz w:val="17"/>
          <w:szCs w:val="17"/>
        </w:rPr>
        <w:t>Fuente:</w:t>
      </w:r>
      <w:r w:rsidRPr="004044BE">
        <w:rPr>
          <w:rFonts w:ascii="Arial" w:hAnsi="Arial" w:cs="Arial"/>
          <w:sz w:val="17"/>
          <w:szCs w:val="17"/>
        </w:rPr>
        <w:t xml:space="preserve"> </w:t>
      </w:r>
      <w:r w:rsidRPr="004044BE">
        <w:rPr>
          <w:rFonts w:ascii="Arial" w:hAnsi="Arial" w:cs="Arial"/>
          <w:b/>
          <w:sz w:val="17"/>
          <w:szCs w:val="17"/>
        </w:rPr>
        <w:t xml:space="preserve">INEC </w:t>
      </w:r>
      <w:r w:rsidRPr="004044BE">
        <w:rPr>
          <w:rFonts w:ascii="Arial" w:hAnsi="Arial" w:cs="Arial"/>
          <w:sz w:val="17"/>
          <w:szCs w:val="17"/>
        </w:rPr>
        <w:t>(2010), Base de Datos del VII Censo de Población y VI de Vivienda.</w:t>
      </w:r>
    </w:p>
    <w:p w:rsidR="00361FCE" w:rsidRDefault="00361FCE" w:rsidP="004044BE">
      <w:pPr>
        <w:pStyle w:val="Prrafodelista"/>
        <w:spacing w:line="276" w:lineRule="auto"/>
        <w:ind w:left="851"/>
        <w:jc w:val="both"/>
        <w:rPr>
          <w:rFonts w:ascii="Arial" w:hAnsi="Arial" w:cs="Arial"/>
          <w:sz w:val="18"/>
          <w:szCs w:val="18"/>
        </w:rPr>
      </w:pPr>
      <w:r w:rsidRPr="004044BE">
        <w:rPr>
          <w:rFonts w:ascii="Arial" w:hAnsi="Arial" w:cs="Arial"/>
          <w:b/>
          <w:i/>
          <w:sz w:val="17"/>
          <w:szCs w:val="17"/>
        </w:rPr>
        <w:t>Elaborado por:</w:t>
      </w:r>
      <w:r w:rsidRPr="004044BE">
        <w:rPr>
          <w:rFonts w:ascii="Arial" w:hAnsi="Arial" w:cs="Arial"/>
          <w:sz w:val="17"/>
          <w:szCs w:val="17"/>
        </w:rPr>
        <w:t xml:space="preserve"> Katherine Loor Valeriano</w:t>
      </w:r>
    </w:p>
    <w:p w:rsidR="004044BE" w:rsidRDefault="004044BE" w:rsidP="004044BE">
      <w:pPr>
        <w:pStyle w:val="Prrafodelista"/>
        <w:spacing w:line="480" w:lineRule="auto"/>
        <w:ind w:left="851"/>
        <w:jc w:val="both"/>
        <w:rPr>
          <w:rFonts w:ascii="Arial" w:hAnsi="Arial" w:cs="Arial"/>
          <w:i/>
        </w:rPr>
      </w:pPr>
      <w:r>
        <w:rPr>
          <w:rFonts w:ascii="Arial" w:hAnsi="Arial" w:cs="Arial"/>
        </w:rPr>
        <w:lastRenderedPageBreak/>
        <w:t xml:space="preserve">Además, consideremos que Guayas a pesar de ser la provincia con la tercera comunidad más grande de estadounidenses residentes en el país el valor de la tasa de inmigración de extranjeros de esta nacionalidad es inferior a la nacional, y eso se da porque la población total de la provincia es la más grande del país. En provincias como Imbabura hay 0.86 estadounidenses por cada 1000 habitantes, en Loja hay 0.70 estadounidenses por cada 1000 habitantes; y, por cada 1000 habitantes que habitualmente residen en Chimborazo hay 0.66 extranjeros que nacieron en Estados Unidos. Para más detalles </w:t>
      </w:r>
      <w:r>
        <w:rPr>
          <w:rFonts w:ascii="Arial" w:hAnsi="Arial" w:cs="Arial"/>
          <w:i/>
        </w:rPr>
        <w:t>véase Figura 4.57.</w:t>
      </w:r>
    </w:p>
    <w:p w:rsidR="004044BE" w:rsidRDefault="004044BE" w:rsidP="004044BE">
      <w:pPr>
        <w:pStyle w:val="Prrafodelista"/>
        <w:spacing w:line="480" w:lineRule="auto"/>
        <w:ind w:left="851"/>
        <w:jc w:val="both"/>
        <w:rPr>
          <w:rFonts w:ascii="Arial" w:hAnsi="Arial" w:cs="Arial"/>
        </w:rPr>
      </w:pPr>
    </w:p>
    <w:p w:rsidR="00361FCE" w:rsidRDefault="00361FCE" w:rsidP="004044BE">
      <w:pPr>
        <w:pStyle w:val="Estilo42"/>
        <w:ind w:left="1560" w:hanging="709"/>
      </w:pPr>
      <w:bookmarkStart w:id="624" w:name="_Toc337135546"/>
      <w:bookmarkStart w:id="625" w:name="_Toc341040696"/>
      <w:r>
        <w:t>Área de residencia</w:t>
      </w:r>
      <w:bookmarkEnd w:id="624"/>
      <w:r w:rsidR="004044BE">
        <w:t xml:space="preserve"> de los estadounidenses</w:t>
      </w:r>
      <w:bookmarkEnd w:id="625"/>
    </w:p>
    <w:p w:rsidR="00361FCE" w:rsidRDefault="00361FCE" w:rsidP="004044BE">
      <w:pPr>
        <w:pStyle w:val="Prrafodelista"/>
        <w:spacing w:line="480" w:lineRule="auto"/>
        <w:ind w:left="851"/>
        <w:jc w:val="both"/>
        <w:rPr>
          <w:rFonts w:ascii="Arial" w:hAnsi="Arial" w:cs="Arial"/>
        </w:rPr>
      </w:pPr>
      <w:r>
        <w:rPr>
          <w:rFonts w:ascii="Arial" w:hAnsi="Arial" w:cs="Arial"/>
        </w:rPr>
        <w:t xml:space="preserve">A mas de conocer la provincia donde habitualmente viven los estadounidenses en el Ecuador, ahora conozcamos que zona prefieren si son áreas urbanizadas o áreas rurales; se tiene que el 79.54% del total de estadounidenses que hay en el país viven en zonas urbanizadas a diferencia de los colombianos que el 68.19% de ellos viven estas zonas y de los peruanos el 75.81%; y el 20.46% de los estudiantes en cambio residen en áreas rurales. </w:t>
      </w:r>
      <w:r w:rsidR="00F91C02">
        <w:rPr>
          <w:rFonts w:ascii="Arial" w:hAnsi="Arial" w:cs="Arial"/>
        </w:rPr>
        <w:t>E</w:t>
      </w:r>
      <w:r>
        <w:rPr>
          <w:rFonts w:ascii="Arial" w:hAnsi="Arial" w:cs="Arial"/>
        </w:rPr>
        <w:t xml:space="preserve">n la </w:t>
      </w:r>
      <w:r>
        <w:rPr>
          <w:rFonts w:ascii="Arial" w:hAnsi="Arial" w:cs="Arial"/>
          <w:i/>
        </w:rPr>
        <w:t>Figura 4.58</w:t>
      </w:r>
      <w:r>
        <w:rPr>
          <w:rFonts w:ascii="Arial" w:hAnsi="Arial" w:cs="Arial"/>
        </w:rPr>
        <w:t>, se presentan las tasas de área de residencia por cada 1000 estadounidenses que viven en una determinada provincia, en donde podemos notar que en la mayoría de las provincias los extranjeros de esta nacionalidad residen preferentemente en el área urbana, pero de los que viven en Pastaza, Sucumbíos o en las Zonas no Delimitadas es mayor la cantidad de estadounidenses que hay en el área rural.</w:t>
      </w:r>
    </w:p>
    <w:p w:rsidR="00361FCE" w:rsidRPr="001F0DF7" w:rsidRDefault="00361FCE" w:rsidP="004044BE">
      <w:pPr>
        <w:pStyle w:val="Prrafodelista"/>
        <w:spacing w:line="480" w:lineRule="auto"/>
        <w:ind w:left="851"/>
        <w:jc w:val="both"/>
        <w:rPr>
          <w:rFonts w:ascii="Arial" w:hAnsi="Arial" w:cs="Arial"/>
          <w:i/>
        </w:rPr>
      </w:pPr>
      <w:r>
        <w:rPr>
          <w:rFonts w:ascii="Arial" w:hAnsi="Arial" w:cs="Arial"/>
        </w:rPr>
        <w:lastRenderedPageBreak/>
        <w:t xml:space="preserve">Para el caso de Guayas tenemos que por cada 1000 estadounidenses que hay en esta provincia 981.16 viven en el área urbana y 18.84 en el área rural, siendo además la de Guayas la tasa más alta de urbanización; mientras que, por cada 1000 extranjeros de esta nacionalidad de residen en Pichincha 717.38 están en áreas urbanizadas y 282.62 en el área rural; y, por cada 1000 estadounidenses que residen habitualmente en Azuay 787.90 viven en el área urbana y 212.10 en el área rural. Además, para las provincias del Oriente tenemos que por cada 1000 estadounidenses que hay en Morona Santiago y Orellana 783.28 y 900 viven en áreas urbanizadas respectivamente; y, en Napo en cambio por cada 1000 extranjeros que nacieron en Estados Unidos 525 residen en el área urbana y 475 en el área rural. </w:t>
      </w:r>
      <w:r w:rsidR="00A22D22">
        <w:rPr>
          <w:rFonts w:ascii="Arial" w:hAnsi="Arial" w:cs="Arial"/>
        </w:rPr>
        <w:t>D</w:t>
      </w:r>
      <w:r>
        <w:rPr>
          <w:rFonts w:ascii="Arial" w:hAnsi="Arial" w:cs="Arial"/>
        </w:rPr>
        <w:t xml:space="preserve">e los estadounidenses que residen habitualmente en provincias como Sucumbíos y Pastaza por cada 1000 de ellos, 357.14 y 309.86 están en el área urbana respectivamente; y, además hay 642.86 y 690.14 en el área rural respectivamente. </w:t>
      </w:r>
      <w:r>
        <w:rPr>
          <w:rFonts w:ascii="Arial" w:hAnsi="Arial" w:cs="Arial"/>
          <w:i/>
        </w:rPr>
        <w:t>Véase Figura 4.58.</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044BE">
        <w:trPr>
          <w:trHeight w:val="3576"/>
          <w:jc w:val="right"/>
        </w:trPr>
        <w:tc>
          <w:tcPr>
            <w:tcW w:w="7497" w:type="dxa"/>
          </w:tcPr>
          <w:p w:rsidR="00361FCE" w:rsidRPr="00840530" w:rsidRDefault="00361FCE" w:rsidP="00902050">
            <w:pPr>
              <w:rPr>
                <w:rFonts w:ascii="Arial" w:hAnsi="Arial" w:cs="Arial"/>
                <w:sz w:val="16"/>
                <w:szCs w:val="16"/>
              </w:rPr>
            </w:pPr>
          </w:p>
          <w:p w:rsidR="008D052C" w:rsidRPr="008D052C" w:rsidRDefault="008D052C" w:rsidP="008D052C">
            <w:pPr>
              <w:pStyle w:val="Epgrafe"/>
              <w:rPr>
                <w:rFonts w:ascii="Arial" w:hAnsi="Arial" w:cs="Arial"/>
                <w:bCs w:val="0"/>
                <w:color w:val="auto"/>
                <w:sz w:val="16"/>
                <w:szCs w:val="16"/>
              </w:rPr>
            </w:pPr>
            <w:bookmarkStart w:id="626" w:name="_Toc341044030"/>
            <w:r w:rsidRPr="008D052C">
              <w:rPr>
                <w:rFonts w:ascii="Arial" w:hAnsi="Arial" w:cs="Arial"/>
                <w:bCs w:val="0"/>
                <w:color w:val="auto"/>
                <w:sz w:val="16"/>
                <w:szCs w:val="16"/>
              </w:rPr>
              <w:t>Figura 4.</w:t>
            </w:r>
            <w:r w:rsidR="00990535" w:rsidRPr="008D052C">
              <w:rPr>
                <w:rFonts w:ascii="Arial" w:hAnsi="Arial" w:cs="Arial"/>
                <w:bCs w:val="0"/>
                <w:color w:val="auto"/>
                <w:sz w:val="16"/>
                <w:szCs w:val="16"/>
              </w:rPr>
              <w:fldChar w:fldCharType="begin"/>
            </w:r>
            <w:r w:rsidRPr="008D052C">
              <w:rPr>
                <w:rFonts w:ascii="Arial" w:hAnsi="Arial" w:cs="Arial"/>
                <w:bCs w:val="0"/>
                <w:color w:val="auto"/>
                <w:sz w:val="16"/>
                <w:szCs w:val="16"/>
              </w:rPr>
              <w:instrText xml:space="preserve"> SEQ Figura_4. \* ARABIC </w:instrText>
            </w:r>
            <w:r w:rsidR="00990535" w:rsidRPr="008D052C">
              <w:rPr>
                <w:rFonts w:ascii="Arial" w:hAnsi="Arial" w:cs="Arial"/>
                <w:bCs w:val="0"/>
                <w:color w:val="auto"/>
                <w:sz w:val="16"/>
                <w:szCs w:val="16"/>
              </w:rPr>
              <w:fldChar w:fldCharType="separate"/>
            </w:r>
            <w:r w:rsidR="00A242E0">
              <w:rPr>
                <w:rFonts w:ascii="Arial" w:hAnsi="Arial" w:cs="Arial"/>
                <w:bCs w:val="0"/>
                <w:noProof/>
                <w:color w:val="auto"/>
                <w:sz w:val="16"/>
                <w:szCs w:val="16"/>
              </w:rPr>
              <w:t>58</w:t>
            </w:r>
            <w:bookmarkEnd w:id="626"/>
            <w:r w:rsidR="00990535" w:rsidRPr="008D052C">
              <w:rPr>
                <w:rFonts w:ascii="Arial" w:hAnsi="Arial" w:cs="Arial"/>
                <w:bCs w:val="0"/>
                <w:color w:val="auto"/>
                <w:sz w:val="16"/>
                <w:szCs w:val="16"/>
              </w:rPr>
              <w:fldChar w:fldCharType="end"/>
            </w:r>
          </w:p>
          <w:p w:rsidR="00361FCE" w:rsidRDefault="004044BE"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Tasa por cada 1000 </w:t>
            </w:r>
            <w:r>
              <w:rPr>
                <w:rFonts w:ascii="Arial" w:hAnsi="Arial" w:cs="Arial"/>
                <w:b/>
                <w:i/>
                <w:sz w:val="16"/>
                <w:szCs w:val="16"/>
              </w:rPr>
              <w:t>estadounidenses</w:t>
            </w:r>
            <w:r w:rsidRPr="008912B6">
              <w:rPr>
                <w:rFonts w:ascii="Arial" w:hAnsi="Arial" w:cs="Arial"/>
                <w:i/>
                <w:sz w:val="16"/>
                <w:szCs w:val="16"/>
              </w:rPr>
              <w:t xml:space="preserve"> por zona urbana y rural a nivel Provincial</w:t>
            </w:r>
          </w:p>
          <w:p w:rsidR="00361FCE" w:rsidRPr="00660711" w:rsidRDefault="008D052C" w:rsidP="00902050">
            <w:pPr>
              <w:rPr>
                <w:rFonts w:ascii="Arial" w:hAnsi="Arial" w:cs="Arial"/>
                <w:i/>
                <w:sz w:val="16"/>
                <w:szCs w:val="16"/>
              </w:rPr>
            </w:pPr>
            <w:r>
              <w:rPr>
                <w:noProof/>
                <w:lang w:eastAsia="es-EC"/>
              </w:rPr>
              <w:drawing>
                <wp:inline distT="0" distB="0" distL="0" distR="0">
                  <wp:extent cx="4591050" cy="2052000"/>
                  <wp:effectExtent l="0" t="0" r="0" b="0"/>
                  <wp:docPr id="342" name="Gráfico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c>
      </w:tr>
    </w:tbl>
    <w:p w:rsidR="00361FCE" w:rsidRPr="004044BE" w:rsidRDefault="00361FCE" w:rsidP="004044BE">
      <w:pPr>
        <w:pStyle w:val="Prrafodelista"/>
        <w:spacing w:line="276" w:lineRule="auto"/>
        <w:ind w:left="851"/>
        <w:jc w:val="both"/>
        <w:rPr>
          <w:rFonts w:ascii="Arial" w:hAnsi="Arial" w:cs="Arial"/>
          <w:sz w:val="12"/>
          <w:szCs w:val="12"/>
        </w:rPr>
      </w:pPr>
    </w:p>
    <w:p w:rsidR="00361FCE" w:rsidRPr="004044BE" w:rsidRDefault="00361FCE" w:rsidP="004044BE">
      <w:pPr>
        <w:pStyle w:val="Prrafodelista"/>
        <w:spacing w:line="276" w:lineRule="auto"/>
        <w:ind w:left="851"/>
        <w:jc w:val="both"/>
        <w:rPr>
          <w:rFonts w:ascii="Arial" w:hAnsi="Arial" w:cs="Arial"/>
          <w:sz w:val="17"/>
          <w:szCs w:val="17"/>
        </w:rPr>
      </w:pPr>
      <w:r w:rsidRPr="004044BE">
        <w:rPr>
          <w:rFonts w:ascii="Arial" w:hAnsi="Arial" w:cs="Arial"/>
          <w:b/>
          <w:i/>
          <w:sz w:val="17"/>
          <w:szCs w:val="17"/>
        </w:rPr>
        <w:t>Fuente:</w:t>
      </w:r>
      <w:r w:rsidRPr="004044BE">
        <w:rPr>
          <w:rFonts w:ascii="Arial" w:hAnsi="Arial" w:cs="Arial"/>
          <w:sz w:val="17"/>
          <w:szCs w:val="17"/>
        </w:rPr>
        <w:t xml:space="preserve"> </w:t>
      </w:r>
      <w:r w:rsidRPr="004044BE">
        <w:rPr>
          <w:rFonts w:ascii="Arial" w:hAnsi="Arial" w:cs="Arial"/>
          <w:b/>
          <w:sz w:val="17"/>
          <w:szCs w:val="17"/>
        </w:rPr>
        <w:t xml:space="preserve">INEC </w:t>
      </w:r>
      <w:r w:rsidRPr="004044BE">
        <w:rPr>
          <w:rFonts w:ascii="Arial" w:hAnsi="Arial" w:cs="Arial"/>
          <w:sz w:val="17"/>
          <w:szCs w:val="17"/>
        </w:rPr>
        <w:t>(2010), Base de Datos del VII Censo de Población y VI de Vivienda.</w:t>
      </w:r>
    </w:p>
    <w:p w:rsidR="00361FCE" w:rsidRPr="004044BE" w:rsidRDefault="00361FCE" w:rsidP="004044BE">
      <w:pPr>
        <w:pStyle w:val="Prrafodelista"/>
        <w:spacing w:line="276" w:lineRule="auto"/>
        <w:ind w:left="851"/>
        <w:jc w:val="both"/>
        <w:rPr>
          <w:rFonts w:ascii="Arial" w:hAnsi="Arial" w:cs="Arial"/>
          <w:sz w:val="17"/>
          <w:szCs w:val="17"/>
        </w:rPr>
      </w:pPr>
      <w:r w:rsidRPr="004044BE">
        <w:rPr>
          <w:rFonts w:ascii="Arial" w:hAnsi="Arial" w:cs="Arial"/>
          <w:b/>
          <w:i/>
          <w:sz w:val="17"/>
          <w:szCs w:val="17"/>
        </w:rPr>
        <w:t>Elaborado por:</w:t>
      </w:r>
      <w:r w:rsidRPr="004044BE">
        <w:rPr>
          <w:rFonts w:ascii="Arial" w:hAnsi="Arial" w:cs="Arial"/>
          <w:sz w:val="17"/>
          <w:szCs w:val="17"/>
        </w:rPr>
        <w:t xml:space="preserve"> Katherine Loor Valeriano</w:t>
      </w:r>
    </w:p>
    <w:p w:rsidR="00361FCE" w:rsidRDefault="00361FCE" w:rsidP="004044BE">
      <w:pPr>
        <w:pStyle w:val="Prrafodelista"/>
        <w:spacing w:line="480" w:lineRule="auto"/>
        <w:ind w:left="851"/>
        <w:jc w:val="both"/>
        <w:rPr>
          <w:rFonts w:ascii="Arial" w:hAnsi="Arial" w:cs="Arial"/>
        </w:rPr>
      </w:pPr>
      <w:r>
        <w:rPr>
          <w:rFonts w:ascii="Arial" w:hAnsi="Arial" w:cs="Arial"/>
        </w:rPr>
        <w:lastRenderedPageBreak/>
        <w:t xml:space="preserve">Ahora ya no solo analicemos la tasa de área de residencia a nivel provincial, sino a nivel de grupos de edad para cada género, dichos resultados se presentan en la </w:t>
      </w:r>
      <w:r>
        <w:rPr>
          <w:rFonts w:ascii="Arial" w:hAnsi="Arial" w:cs="Arial"/>
          <w:i/>
        </w:rPr>
        <w:t>Figura 4.59</w:t>
      </w:r>
      <w:r>
        <w:rPr>
          <w:rFonts w:ascii="Arial" w:hAnsi="Arial" w:cs="Arial"/>
        </w:rPr>
        <w:t xml:space="preserve">, en donde podemos notar que para el caso de los hombres del grupo de estadounidenses menores de un año a los que tienen entre 1 y 5 años la tasa de urbanización disminuye, pero a partir de esta edad la tasa de urbanización empieza a aumentar hasta los 25 años; y, de los 25 años en adelante esta tasa empieza nuevamente a disminuir; pero, en los últimos tres grupos de edad vuelve a aumentar. Cabe mencionar que de los estadounidenses mayores de 90 años de género masculino, todos residen en el área urbana.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A22D22">
        <w:trPr>
          <w:trHeight w:val="4658"/>
          <w:jc w:val="right"/>
        </w:trPr>
        <w:tc>
          <w:tcPr>
            <w:tcW w:w="7497" w:type="dxa"/>
          </w:tcPr>
          <w:p w:rsidR="00361FCE" w:rsidRPr="00840530" w:rsidRDefault="00361FCE" w:rsidP="00902050">
            <w:pPr>
              <w:rPr>
                <w:rFonts w:ascii="Arial" w:hAnsi="Arial" w:cs="Arial"/>
                <w:sz w:val="16"/>
                <w:szCs w:val="16"/>
              </w:rPr>
            </w:pPr>
          </w:p>
          <w:p w:rsidR="008D052C" w:rsidRPr="008D052C" w:rsidRDefault="008D052C" w:rsidP="008D052C">
            <w:pPr>
              <w:pStyle w:val="Epgrafe"/>
              <w:rPr>
                <w:rFonts w:ascii="Arial" w:hAnsi="Arial" w:cs="Arial"/>
                <w:bCs w:val="0"/>
                <w:color w:val="auto"/>
                <w:sz w:val="16"/>
                <w:szCs w:val="16"/>
              </w:rPr>
            </w:pPr>
            <w:bookmarkStart w:id="627" w:name="_Toc341044031"/>
            <w:r w:rsidRPr="008D052C">
              <w:rPr>
                <w:rFonts w:ascii="Arial" w:hAnsi="Arial" w:cs="Arial"/>
                <w:bCs w:val="0"/>
                <w:color w:val="auto"/>
                <w:sz w:val="16"/>
                <w:szCs w:val="16"/>
              </w:rPr>
              <w:t>Figura 4.</w:t>
            </w:r>
            <w:r w:rsidR="00990535" w:rsidRPr="008D052C">
              <w:rPr>
                <w:rFonts w:ascii="Arial" w:hAnsi="Arial" w:cs="Arial"/>
                <w:bCs w:val="0"/>
                <w:color w:val="auto"/>
                <w:sz w:val="16"/>
                <w:szCs w:val="16"/>
              </w:rPr>
              <w:fldChar w:fldCharType="begin"/>
            </w:r>
            <w:r w:rsidRPr="008D052C">
              <w:rPr>
                <w:rFonts w:ascii="Arial" w:hAnsi="Arial" w:cs="Arial"/>
                <w:bCs w:val="0"/>
                <w:color w:val="auto"/>
                <w:sz w:val="16"/>
                <w:szCs w:val="16"/>
              </w:rPr>
              <w:instrText xml:space="preserve"> SEQ Figura_4. \* ARABIC </w:instrText>
            </w:r>
            <w:r w:rsidR="00990535" w:rsidRPr="008D052C">
              <w:rPr>
                <w:rFonts w:ascii="Arial" w:hAnsi="Arial" w:cs="Arial"/>
                <w:bCs w:val="0"/>
                <w:color w:val="auto"/>
                <w:sz w:val="16"/>
                <w:szCs w:val="16"/>
              </w:rPr>
              <w:fldChar w:fldCharType="separate"/>
            </w:r>
            <w:r w:rsidR="00A242E0">
              <w:rPr>
                <w:rFonts w:ascii="Arial" w:hAnsi="Arial" w:cs="Arial"/>
                <w:bCs w:val="0"/>
                <w:noProof/>
                <w:color w:val="auto"/>
                <w:sz w:val="16"/>
                <w:szCs w:val="16"/>
              </w:rPr>
              <w:t>59</w:t>
            </w:r>
            <w:bookmarkEnd w:id="627"/>
            <w:r w:rsidR="00990535" w:rsidRPr="008D052C">
              <w:rPr>
                <w:rFonts w:ascii="Arial" w:hAnsi="Arial" w:cs="Arial"/>
                <w:bCs w:val="0"/>
                <w:color w:val="auto"/>
                <w:sz w:val="16"/>
                <w:szCs w:val="16"/>
              </w:rPr>
              <w:fldChar w:fldCharType="end"/>
            </w:r>
          </w:p>
          <w:p w:rsidR="00A22D22" w:rsidRDefault="00A22D22"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Tasa por cada 1000 </w:t>
            </w:r>
            <w:r>
              <w:rPr>
                <w:rFonts w:ascii="Arial" w:hAnsi="Arial" w:cs="Arial"/>
                <w:b/>
                <w:i/>
                <w:sz w:val="16"/>
                <w:szCs w:val="16"/>
              </w:rPr>
              <w:t>estadounidenses</w:t>
            </w:r>
            <w:r w:rsidRPr="008912B6">
              <w:rPr>
                <w:rFonts w:ascii="Arial" w:hAnsi="Arial" w:cs="Arial"/>
                <w:i/>
                <w:sz w:val="16"/>
                <w:szCs w:val="16"/>
              </w:rPr>
              <w:t xml:space="preserve"> por zona urbana y rural </w:t>
            </w:r>
          </w:p>
          <w:p w:rsidR="00361FCE" w:rsidRDefault="00A22D22" w:rsidP="00902050">
            <w:pPr>
              <w:rPr>
                <w:rFonts w:ascii="Arial" w:hAnsi="Arial" w:cs="Arial"/>
                <w:i/>
                <w:sz w:val="16"/>
                <w:szCs w:val="16"/>
              </w:rPr>
            </w:pPr>
            <w:r w:rsidRPr="008912B6">
              <w:rPr>
                <w:rFonts w:ascii="Arial" w:hAnsi="Arial" w:cs="Arial"/>
                <w:i/>
                <w:sz w:val="16"/>
                <w:szCs w:val="16"/>
              </w:rPr>
              <w:t>por Sexo y Grupo etario</w:t>
            </w:r>
          </w:p>
          <w:p w:rsidR="00361FCE" w:rsidRDefault="00436907" w:rsidP="00902050">
            <w:pPr>
              <w:rPr>
                <w:rFonts w:ascii="Arial" w:hAnsi="Arial" w:cs="Arial"/>
                <w:i/>
                <w:sz w:val="16"/>
                <w:szCs w:val="16"/>
              </w:rPr>
            </w:pPr>
            <w:r>
              <w:rPr>
                <w:rFonts w:ascii="Arial" w:hAnsi="Arial" w:cs="Arial"/>
                <w:noProof/>
                <w:lang w:eastAsia="es-EC"/>
              </w:rPr>
              <w:pict>
                <v:shape id="_x0000_s1638" type="#_x0000_t202" style="position:absolute;left:0;text-align:left;margin-left:128.05pt;margin-top:54.3pt;width:96.95pt;height:20.25pt;z-index:25158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Área Rural</w:t>
                        </w:r>
                      </w:p>
                    </w:txbxContent>
                  </v:textbox>
                </v:shape>
              </w:pict>
            </w:r>
            <w:r>
              <w:rPr>
                <w:rFonts w:ascii="Arial" w:hAnsi="Arial" w:cs="Arial"/>
                <w:noProof/>
                <w:lang w:eastAsia="es-EC"/>
              </w:rPr>
              <w:pict>
                <v:shape id="_x0000_s2256" type="#_x0000_t32" style="position:absolute;left:0;text-align:left;margin-left:157.05pt;margin-top:67.8pt;width:18.75pt;height:15.75pt;flip:x;z-index:251987456" o:connectortype="straight" strokecolor="#e36c0a [2409]">
                  <v:stroke endarrow="block"/>
                </v:shape>
              </w:pict>
            </w:r>
            <w:r>
              <w:rPr>
                <w:rFonts w:ascii="Arial" w:hAnsi="Arial" w:cs="Arial"/>
                <w:noProof/>
                <w:lang w:eastAsia="es-EC"/>
              </w:rPr>
              <w:pict>
                <v:shape id="_x0000_s1636" type="#_x0000_t202" style="position:absolute;left:0;text-align:left;margin-left:127.3pt;margin-top:38.55pt;width:96.95pt;height:20.25pt;z-index:25158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Área Urbana</w:t>
                        </w:r>
                      </w:p>
                    </w:txbxContent>
                  </v:textbox>
                </v:shape>
              </w:pict>
            </w:r>
            <w:r>
              <w:rPr>
                <w:rFonts w:ascii="Arial" w:hAnsi="Arial" w:cs="Arial"/>
                <w:noProof/>
                <w:lang w:eastAsia="es-EC"/>
              </w:rPr>
              <w:pict>
                <v:shape id="_x0000_s2254" type="#_x0000_t32" style="position:absolute;left:0;text-align:left;margin-left:157.05pt;margin-top:30.3pt;width:13.5pt;height:13.5pt;flip:x y;z-index:251985408" o:connectortype="straight" strokecolor="#0070c0">
                  <v:stroke endarrow="block"/>
                </v:shape>
              </w:pict>
            </w:r>
            <w:r>
              <w:rPr>
                <w:noProof/>
              </w:rPr>
              <w:pict>
                <v:shape id="_x0000_s1634" type="#_x0000_t202" style="position:absolute;left:0;text-align:left;margin-left:230.8pt;margin-top:15.75pt;width:118.7pt;height:20.25pt;z-index:25158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b/>
                            <w:sz w:val="15"/>
                            <w:szCs w:val="15"/>
                          </w:rPr>
                        </w:pPr>
                        <w:r w:rsidRPr="005B0B7F">
                          <w:rPr>
                            <w:rFonts w:ascii="Arial" w:hAnsi="Arial" w:cs="Arial"/>
                            <w:b/>
                            <w:sz w:val="15"/>
                            <w:szCs w:val="15"/>
                          </w:rPr>
                          <w:t>Hombre</w:t>
                        </w:r>
                      </w:p>
                    </w:txbxContent>
                  </v:textbox>
                </v:shape>
              </w:pict>
            </w:r>
            <w:r w:rsidR="00361FCE">
              <w:rPr>
                <w:noProof/>
                <w:lang w:eastAsia="es-EC"/>
              </w:rPr>
              <w:t xml:space="preserve"> </w:t>
            </w:r>
            <w:r w:rsidR="00361FCE">
              <w:rPr>
                <w:noProof/>
                <w:lang w:eastAsia="es-EC"/>
              </w:rPr>
              <w:drawing>
                <wp:inline distT="0" distB="0" distL="0" distR="0">
                  <wp:extent cx="4211955" cy="1764000"/>
                  <wp:effectExtent l="0" t="0" r="0" b="0"/>
                  <wp:docPr id="343" name="Gráfico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361FCE" w:rsidRPr="00660711" w:rsidRDefault="00436907" w:rsidP="00902050">
            <w:pPr>
              <w:rPr>
                <w:rFonts w:ascii="Arial" w:hAnsi="Arial" w:cs="Arial"/>
                <w:i/>
                <w:sz w:val="16"/>
                <w:szCs w:val="16"/>
              </w:rPr>
            </w:pPr>
            <w:r>
              <w:rPr>
                <w:rFonts w:ascii="Arial" w:hAnsi="Arial" w:cs="Arial"/>
                <w:b/>
                <w:i/>
                <w:noProof/>
                <w:sz w:val="18"/>
                <w:szCs w:val="18"/>
                <w:lang w:eastAsia="es-EC"/>
              </w:rPr>
              <w:pict>
                <v:shape id="_x0000_s1639" type="#_x0000_t202" style="position:absolute;left:0;text-align:left;margin-left:141.35pt;margin-top:54.95pt;width:96.95pt;height:20.25pt;z-index:25158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Área Rural</w:t>
                        </w:r>
                      </w:p>
                    </w:txbxContent>
                  </v:textbox>
                </v:shape>
              </w:pict>
            </w:r>
            <w:r>
              <w:rPr>
                <w:rFonts w:ascii="Arial" w:hAnsi="Arial" w:cs="Arial"/>
                <w:noProof/>
                <w:lang w:eastAsia="es-EC"/>
              </w:rPr>
              <w:pict>
                <v:shape id="_x0000_s2257" type="#_x0000_t32" style="position:absolute;left:0;text-align:left;margin-left:175.8pt;margin-top:66.95pt;width:13.95pt;height:17.25pt;flip:x;z-index:251988480" o:connectortype="straight" strokecolor="#e36c0a [2409]">
                  <v:stroke endarrow="block"/>
                </v:shape>
              </w:pict>
            </w:r>
            <w:r>
              <w:rPr>
                <w:rFonts w:ascii="Arial" w:hAnsi="Arial" w:cs="Arial"/>
                <w:noProof/>
                <w:lang w:eastAsia="es-EC"/>
              </w:rPr>
              <w:pict>
                <v:shape id="_x0000_s1637" type="#_x0000_t202" style="position:absolute;left:0;text-align:left;margin-left:146.8pt;margin-top:39.2pt;width:96.95pt;height:20.25pt;z-index:25158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Área Urbana</w:t>
                        </w:r>
                      </w:p>
                    </w:txbxContent>
                  </v:textbox>
                </v:shape>
              </w:pict>
            </w:r>
            <w:r>
              <w:rPr>
                <w:rFonts w:ascii="Arial" w:hAnsi="Arial" w:cs="Arial"/>
                <w:noProof/>
                <w:lang w:eastAsia="es-EC"/>
              </w:rPr>
              <w:pict>
                <v:shape id="_x0000_s2255" type="#_x0000_t32" style="position:absolute;left:0;text-align:left;margin-left:175.8pt;margin-top:28.3pt;width:13.95pt;height:16.15pt;flip:x y;z-index:251986432" o:connectortype="straight" strokecolor="#0070c0">
                  <v:stroke endarrow="block"/>
                </v:shape>
              </w:pict>
            </w:r>
            <w:r>
              <w:rPr>
                <w:rFonts w:ascii="Arial" w:hAnsi="Arial" w:cs="Arial"/>
                <w:noProof/>
                <w:sz w:val="18"/>
                <w:szCs w:val="18"/>
                <w:lang w:eastAsia="es-EC"/>
              </w:rPr>
              <w:pict>
                <v:shape id="_x0000_s1635" type="#_x0000_t202" style="position:absolute;left:0;text-align:left;margin-left:252.55pt;margin-top:12.55pt;width:96.95pt;height:20.25pt;z-index:25158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t xml:space="preserve"> </w:t>
            </w:r>
            <w:r w:rsidR="00361FCE">
              <w:rPr>
                <w:noProof/>
                <w:lang w:eastAsia="es-EC"/>
              </w:rPr>
              <w:drawing>
                <wp:inline distT="0" distB="0" distL="0" distR="0">
                  <wp:extent cx="4211955" cy="1764000"/>
                  <wp:effectExtent l="0" t="0" r="0" b="0"/>
                  <wp:docPr id="344" name="Gráfico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c>
      </w:tr>
    </w:tbl>
    <w:p w:rsidR="00361FCE" w:rsidRPr="00A22D22" w:rsidRDefault="00361FCE" w:rsidP="00A22D22">
      <w:pPr>
        <w:pStyle w:val="Prrafodelista"/>
        <w:spacing w:line="276" w:lineRule="auto"/>
        <w:ind w:left="851"/>
        <w:jc w:val="both"/>
        <w:rPr>
          <w:rFonts w:ascii="Arial" w:hAnsi="Arial" w:cs="Arial"/>
          <w:sz w:val="14"/>
          <w:szCs w:val="14"/>
        </w:rPr>
      </w:pPr>
    </w:p>
    <w:p w:rsidR="00361FCE" w:rsidRPr="00A22D22" w:rsidRDefault="00361FCE" w:rsidP="00A22D22">
      <w:pPr>
        <w:pStyle w:val="Prrafodelista"/>
        <w:spacing w:line="276" w:lineRule="auto"/>
        <w:ind w:left="851"/>
        <w:jc w:val="both"/>
        <w:rPr>
          <w:rFonts w:ascii="Arial" w:hAnsi="Arial" w:cs="Arial"/>
          <w:sz w:val="17"/>
          <w:szCs w:val="17"/>
        </w:rPr>
      </w:pPr>
      <w:r w:rsidRPr="00A22D22">
        <w:rPr>
          <w:rFonts w:ascii="Arial" w:hAnsi="Arial" w:cs="Arial"/>
          <w:b/>
          <w:i/>
          <w:sz w:val="17"/>
          <w:szCs w:val="17"/>
        </w:rPr>
        <w:t>Fuente:</w:t>
      </w:r>
      <w:r w:rsidRPr="00A22D22">
        <w:rPr>
          <w:rFonts w:ascii="Arial" w:hAnsi="Arial" w:cs="Arial"/>
          <w:sz w:val="17"/>
          <w:szCs w:val="17"/>
        </w:rPr>
        <w:t xml:space="preserve"> </w:t>
      </w:r>
      <w:r w:rsidRPr="00A22D22">
        <w:rPr>
          <w:rFonts w:ascii="Arial" w:hAnsi="Arial" w:cs="Arial"/>
          <w:b/>
          <w:sz w:val="17"/>
          <w:szCs w:val="17"/>
        </w:rPr>
        <w:t xml:space="preserve">INEC </w:t>
      </w:r>
      <w:r w:rsidRPr="00A22D22">
        <w:rPr>
          <w:rFonts w:ascii="Arial" w:hAnsi="Arial" w:cs="Arial"/>
          <w:sz w:val="17"/>
          <w:szCs w:val="17"/>
        </w:rPr>
        <w:t>(2010), Base de Datos del VII Censo de Población y VI de Vivienda.</w:t>
      </w:r>
    </w:p>
    <w:p w:rsidR="00361FCE" w:rsidRPr="00A22D22" w:rsidRDefault="00361FCE" w:rsidP="00A22D22">
      <w:pPr>
        <w:pStyle w:val="Prrafodelista"/>
        <w:spacing w:line="276" w:lineRule="auto"/>
        <w:ind w:left="851"/>
        <w:jc w:val="both"/>
        <w:rPr>
          <w:rFonts w:ascii="Arial" w:hAnsi="Arial" w:cs="Arial"/>
          <w:sz w:val="17"/>
          <w:szCs w:val="17"/>
        </w:rPr>
      </w:pPr>
      <w:r w:rsidRPr="00A22D22">
        <w:rPr>
          <w:rFonts w:ascii="Arial" w:hAnsi="Arial" w:cs="Arial"/>
          <w:b/>
          <w:i/>
          <w:sz w:val="17"/>
          <w:szCs w:val="17"/>
        </w:rPr>
        <w:t>Elaborado por:</w:t>
      </w:r>
      <w:r w:rsidRPr="00A22D22">
        <w:rPr>
          <w:rFonts w:ascii="Arial" w:hAnsi="Arial" w:cs="Arial"/>
          <w:sz w:val="17"/>
          <w:szCs w:val="17"/>
        </w:rPr>
        <w:t xml:space="preserve"> Katherine Loor Valeriano</w:t>
      </w:r>
    </w:p>
    <w:p w:rsidR="00A22D22" w:rsidRDefault="00A22D22" w:rsidP="00A22D22">
      <w:pPr>
        <w:pStyle w:val="Prrafodelista"/>
        <w:spacing w:line="480" w:lineRule="auto"/>
        <w:ind w:left="851"/>
        <w:jc w:val="both"/>
        <w:rPr>
          <w:rFonts w:ascii="Arial" w:hAnsi="Arial" w:cs="Arial"/>
          <w:i/>
        </w:rPr>
      </w:pPr>
      <w:r>
        <w:rPr>
          <w:rFonts w:ascii="Arial" w:hAnsi="Arial" w:cs="Arial"/>
        </w:rPr>
        <w:lastRenderedPageBreak/>
        <w:t xml:space="preserve">Para el caso de las mujeres la tasa de urbanización disminuye del primero al segundo grupo de edad, pero a partir de aquí empieza a aumentar, experimentando nuevamente una disminución a partir de los 30 años y desde aquí en adelante aumenta y disminuye en reiteradas ocasiones, hasta que de las estadounidenses con edades comprendidas entre los 85 y 90 años todas viven en el área urbana; y, de las que tienen entre 90 y 95 años, de cada 1000 de ellas, 666.67 viven en el área urbana y 333.33 en el área rural. Podemos notar además, que en la mayoría de los grupos de edad es mayor la tasa de las mujeres que viven en el área rural respecto a la de los hombres. Para más detalles </w:t>
      </w:r>
      <w:r>
        <w:rPr>
          <w:rFonts w:ascii="Arial" w:hAnsi="Arial" w:cs="Arial"/>
          <w:i/>
        </w:rPr>
        <w:t>véase Figura 4.59.</w:t>
      </w:r>
    </w:p>
    <w:p w:rsidR="00A22D22" w:rsidRDefault="00A22D22" w:rsidP="00A22D22">
      <w:pPr>
        <w:pStyle w:val="Prrafodelista"/>
        <w:spacing w:line="480" w:lineRule="auto"/>
        <w:ind w:left="851"/>
        <w:jc w:val="both"/>
        <w:rPr>
          <w:rFonts w:ascii="Arial" w:hAnsi="Arial" w:cs="Arial"/>
          <w:sz w:val="18"/>
          <w:szCs w:val="18"/>
        </w:rPr>
      </w:pPr>
    </w:p>
    <w:p w:rsidR="00361FCE" w:rsidRDefault="00361FCE" w:rsidP="00A22D22">
      <w:pPr>
        <w:pStyle w:val="Estilo42"/>
        <w:ind w:left="851" w:firstLine="0"/>
      </w:pPr>
      <w:bookmarkStart w:id="628" w:name="_Toc337135547"/>
      <w:bookmarkStart w:id="629" w:name="_Toc341040697"/>
      <w:r>
        <w:t>Años de residencia en Ecuador</w:t>
      </w:r>
      <w:bookmarkEnd w:id="628"/>
      <w:r w:rsidR="00A22D22">
        <w:t xml:space="preserve"> de los estadounidenses</w:t>
      </w:r>
      <w:bookmarkEnd w:id="629"/>
    </w:p>
    <w:p w:rsidR="00361FCE" w:rsidRPr="000F0055" w:rsidRDefault="00361FCE" w:rsidP="00A22D22">
      <w:pPr>
        <w:pStyle w:val="Prrafodelista"/>
        <w:tabs>
          <w:tab w:val="left" w:pos="1785"/>
        </w:tabs>
        <w:spacing w:line="480" w:lineRule="auto"/>
        <w:ind w:left="851"/>
        <w:jc w:val="both"/>
        <w:rPr>
          <w:rFonts w:ascii="Arial" w:hAnsi="Arial" w:cs="Arial"/>
          <w:i/>
        </w:rPr>
      </w:pPr>
      <w:r>
        <w:rPr>
          <w:rFonts w:ascii="Arial" w:hAnsi="Arial" w:cs="Arial"/>
        </w:rPr>
        <w:t xml:space="preserve">De los 15017 estadounidenses que residen habitualmente en Ecuador, tres llegaron en el año 1924, 1 en 1927, 1 en 1932, 2 en 1933; y, así hasta que en el año del censo (2010) llegaron 2417; cabe mencionar además que el 10.08% de los estadounidenses no declararon su año de llegada al país. Adicionalmente, se conoce que el 16.10% de los estadounidenses tienen menos de 1 año viviendo en el país, el 62.30% tienen entre 1 y 20 años, el 8.62% entre 20 y 40 años, 2.53% tienen entre 40 y 60 años, el 0.35% entre 60 y 80 años; y, el 0.03% tienen entre 80  y 90 años residiendo en el país. </w:t>
      </w:r>
      <w:r>
        <w:rPr>
          <w:rFonts w:ascii="Arial" w:hAnsi="Arial" w:cs="Arial"/>
          <w:i/>
        </w:rPr>
        <w:t>Véase Figura 4.60.</w:t>
      </w:r>
    </w:p>
    <w:tbl>
      <w:tblPr>
        <w:tblStyle w:val="Tablaconcuadrcula"/>
        <w:tblW w:w="7497" w:type="dxa"/>
        <w:jc w:val="right"/>
        <w:tblInd w:w="1074"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3103BA">
        <w:trPr>
          <w:trHeight w:val="3808"/>
          <w:jc w:val="right"/>
        </w:trPr>
        <w:tc>
          <w:tcPr>
            <w:tcW w:w="7497" w:type="dxa"/>
          </w:tcPr>
          <w:p w:rsidR="00361FCE" w:rsidRPr="00840530" w:rsidRDefault="00361FCE" w:rsidP="00902050">
            <w:pPr>
              <w:rPr>
                <w:rFonts w:ascii="Arial" w:hAnsi="Arial" w:cs="Arial"/>
                <w:sz w:val="16"/>
                <w:szCs w:val="16"/>
              </w:rPr>
            </w:pPr>
          </w:p>
          <w:p w:rsidR="008D052C" w:rsidRPr="008D052C" w:rsidRDefault="008D052C" w:rsidP="008D052C">
            <w:pPr>
              <w:pStyle w:val="Epgrafe"/>
              <w:rPr>
                <w:rFonts w:ascii="Arial" w:hAnsi="Arial" w:cs="Arial"/>
                <w:bCs w:val="0"/>
                <w:color w:val="auto"/>
                <w:sz w:val="16"/>
                <w:szCs w:val="16"/>
              </w:rPr>
            </w:pPr>
            <w:bookmarkStart w:id="630" w:name="_Toc341044032"/>
            <w:r>
              <w:rPr>
                <w:rFonts w:ascii="Arial" w:hAnsi="Arial" w:cs="Arial"/>
                <w:bCs w:val="0"/>
                <w:color w:val="auto"/>
                <w:sz w:val="16"/>
                <w:szCs w:val="16"/>
              </w:rPr>
              <w:t>Figura 4.</w:t>
            </w:r>
            <w:r w:rsidR="00990535" w:rsidRPr="008D052C">
              <w:rPr>
                <w:rFonts w:ascii="Arial" w:hAnsi="Arial" w:cs="Arial"/>
                <w:bCs w:val="0"/>
                <w:color w:val="auto"/>
                <w:sz w:val="16"/>
                <w:szCs w:val="16"/>
              </w:rPr>
              <w:fldChar w:fldCharType="begin"/>
            </w:r>
            <w:r w:rsidRPr="008D052C">
              <w:rPr>
                <w:rFonts w:ascii="Arial" w:hAnsi="Arial" w:cs="Arial"/>
                <w:bCs w:val="0"/>
                <w:color w:val="auto"/>
                <w:sz w:val="16"/>
                <w:szCs w:val="16"/>
              </w:rPr>
              <w:instrText xml:space="preserve"> SEQ Figura_4. \* ARABIC </w:instrText>
            </w:r>
            <w:r w:rsidR="00990535" w:rsidRPr="008D052C">
              <w:rPr>
                <w:rFonts w:ascii="Arial" w:hAnsi="Arial" w:cs="Arial"/>
                <w:bCs w:val="0"/>
                <w:color w:val="auto"/>
                <w:sz w:val="16"/>
                <w:szCs w:val="16"/>
              </w:rPr>
              <w:fldChar w:fldCharType="separate"/>
            </w:r>
            <w:r w:rsidR="00A242E0">
              <w:rPr>
                <w:rFonts w:ascii="Arial" w:hAnsi="Arial" w:cs="Arial"/>
                <w:bCs w:val="0"/>
                <w:noProof/>
                <w:color w:val="auto"/>
                <w:sz w:val="16"/>
                <w:szCs w:val="16"/>
              </w:rPr>
              <w:t>60</w:t>
            </w:r>
            <w:bookmarkEnd w:id="630"/>
            <w:r w:rsidR="00990535" w:rsidRPr="008D052C">
              <w:rPr>
                <w:rFonts w:ascii="Arial" w:hAnsi="Arial" w:cs="Arial"/>
                <w:bCs w:val="0"/>
                <w:color w:val="auto"/>
                <w:sz w:val="16"/>
                <w:szCs w:val="16"/>
              </w:rPr>
              <w:fldChar w:fldCharType="end"/>
            </w:r>
          </w:p>
          <w:p w:rsidR="00A22D22" w:rsidRPr="008912B6" w:rsidRDefault="00A22D22" w:rsidP="00A22D22">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Frecuencia Relativa de la cantidad de años de residencia en el</w:t>
            </w:r>
          </w:p>
          <w:p w:rsidR="00361FCE" w:rsidRDefault="00A22D22" w:rsidP="00A22D22">
            <w:pPr>
              <w:rPr>
                <w:rFonts w:ascii="Arial" w:hAnsi="Arial" w:cs="Arial"/>
                <w:i/>
                <w:sz w:val="16"/>
                <w:szCs w:val="16"/>
              </w:rPr>
            </w:pPr>
            <w:r w:rsidRPr="008912B6">
              <w:rPr>
                <w:rFonts w:ascii="Arial" w:hAnsi="Arial" w:cs="Arial"/>
                <w:i/>
                <w:sz w:val="16"/>
                <w:szCs w:val="16"/>
              </w:rPr>
              <w:t xml:space="preserve"> país de la población </w:t>
            </w:r>
            <w:r>
              <w:rPr>
                <w:rFonts w:ascii="Arial" w:hAnsi="Arial" w:cs="Arial"/>
                <w:b/>
                <w:i/>
                <w:sz w:val="16"/>
                <w:szCs w:val="16"/>
              </w:rPr>
              <w:t>estadounidense</w:t>
            </w:r>
          </w:p>
          <w:tbl>
            <w:tblPr>
              <w:tblStyle w:val="Tablaconcuadrcula"/>
              <w:tblW w:w="7010" w:type="dxa"/>
              <w:jc w:val="center"/>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540"/>
              <w:gridCol w:w="4509"/>
            </w:tblGrid>
            <w:tr w:rsidR="00361FCE" w:rsidRPr="00A22FF9" w:rsidTr="00A22D22">
              <w:trPr>
                <w:trHeight w:val="3143"/>
                <w:jc w:val="center"/>
              </w:trPr>
              <w:tc>
                <w:tcPr>
                  <w:tcW w:w="2705" w:type="dxa"/>
                </w:tcPr>
                <w:p w:rsidR="00361FCE" w:rsidRDefault="00361FCE" w:rsidP="00902050">
                  <w:pPr>
                    <w:rPr>
                      <w:rFonts w:ascii="Arial" w:hAnsi="Arial" w:cs="Arial"/>
                      <w:b/>
                      <w:sz w:val="16"/>
                      <w:szCs w:val="16"/>
                    </w:rPr>
                  </w:pPr>
                  <w:r w:rsidRPr="005400D0">
                    <w:rPr>
                      <w:noProof/>
                      <w:sz w:val="10"/>
                      <w:szCs w:val="10"/>
                      <w:lang w:eastAsia="es-EC"/>
                    </w:rPr>
                    <w:t xml:space="preserve"> </w:t>
                  </w:r>
                </w:p>
                <w:p w:rsidR="00361FCE" w:rsidRPr="00A22FF9" w:rsidRDefault="00361FCE" w:rsidP="00902050">
                  <w:pPr>
                    <w:ind w:left="201"/>
                    <w:rPr>
                      <w:rFonts w:ascii="Arial" w:hAnsi="Arial" w:cs="Arial"/>
                      <w:b/>
                      <w:sz w:val="16"/>
                      <w:szCs w:val="16"/>
                    </w:rPr>
                  </w:pPr>
                  <w:r w:rsidRPr="00A22FF9">
                    <w:rPr>
                      <w:rFonts w:ascii="Arial" w:hAnsi="Arial" w:cs="Arial"/>
                      <w:b/>
                      <w:sz w:val="16"/>
                      <w:szCs w:val="16"/>
                    </w:rPr>
                    <w:t>Tabla de Frecuencias</w:t>
                  </w:r>
                </w:p>
                <w:p w:rsidR="00361FCE" w:rsidRDefault="00361FCE" w:rsidP="00902050">
                  <w:pPr>
                    <w:rPr>
                      <w:rFonts w:ascii="Arial" w:hAnsi="Arial" w:cs="Arial"/>
                      <w:sz w:val="10"/>
                      <w:szCs w:val="10"/>
                    </w:rPr>
                  </w:pPr>
                </w:p>
                <w:p w:rsidR="00361FCE" w:rsidRPr="00A22FF9" w:rsidRDefault="00361FCE" w:rsidP="00902050">
                  <w:pPr>
                    <w:rPr>
                      <w:rFonts w:ascii="Arial" w:hAnsi="Arial" w:cs="Arial"/>
                      <w:sz w:val="10"/>
                      <w:szCs w:val="10"/>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361FCE" w:rsidRPr="00760508" w:rsidTr="00902050">
                    <w:trPr>
                      <w:trHeight w:val="227"/>
                      <w:jc w:val="center"/>
                    </w:trPr>
                    <w:tc>
                      <w:tcPr>
                        <w:tcW w:w="1200" w:type="dxa"/>
                        <w:tcBorders>
                          <w:top w:val="single" w:sz="8" w:space="0" w:color="auto"/>
                          <w:left w:val="nil"/>
                          <w:bottom w:val="single" w:sz="8" w:space="0" w:color="auto"/>
                          <w:right w:val="nil"/>
                        </w:tcBorders>
                        <w:shd w:val="clear" w:color="auto" w:fill="auto"/>
                        <w:vAlign w:val="center"/>
                        <w:hideMark/>
                      </w:tcPr>
                      <w:p w:rsidR="00361FCE" w:rsidRPr="00760508" w:rsidRDefault="00361FCE" w:rsidP="00902050">
                        <w:pPr>
                          <w:rPr>
                            <w:rFonts w:ascii="Arial" w:eastAsia="Times New Roman" w:hAnsi="Arial" w:cs="Arial"/>
                            <w:b/>
                            <w:bCs/>
                            <w:color w:val="000000"/>
                            <w:sz w:val="16"/>
                            <w:szCs w:val="16"/>
                            <w:lang w:eastAsia="es-EC"/>
                          </w:rPr>
                        </w:pPr>
                        <w:r w:rsidRPr="00760508">
                          <w:rPr>
                            <w:rFonts w:ascii="Arial" w:eastAsia="Times New Roman" w:hAnsi="Arial" w:cs="Arial"/>
                            <w:b/>
                            <w:bCs/>
                            <w:color w:val="000000"/>
                            <w:sz w:val="16"/>
                            <w:szCs w:val="16"/>
                            <w:lang w:eastAsia="es-EC"/>
                          </w:rPr>
                          <w:t>Años de residencia en Ecuador</w:t>
                        </w:r>
                      </w:p>
                    </w:tc>
                    <w:tc>
                      <w:tcPr>
                        <w:tcW w:w="1200" w:type="dxa"/>
                        <w:tcBorders>
                          <w:top w:val="single" w:sz="8" w:space="0" w:color="auto"/>
                          <w:left w:val="nil"/>
                          <w:bottom w:val="single" w:sz="8" w:space="0" w:color="auto"/>
                          <w:right w:val="nil"/>
                        </w:tcBorders>
                        <w:shd w:val="clear" w:color="auto" w:fill="auto"/>
                        <w:vAlign w:val="center"/>
                        <w:hideMark/>
                      </w:tcPr>
                      <w:p w:rsidR="00361FCE" w:rsidRPr="00760508" w:rsidRDefault="00361FCE" w:rsidP="00902050">
                        <w:pPr>
                          <w:rPr>
                            <w:rFonts w:ascii="Arial" w:eastAsia="Times New Roman" w:hAnsi="Arial" w:cs="Arial"/>
                            <w:b/>
                            <w:bCs/>
                            <w:color w:val="000000"/>
                            <w:sz w:val="16"/>
                            <w:szCs w:val="16"/>
                            <w:lang w:eastAsia="es-EC"/>
                          </w:rPr>
                        </w:pPr>
                        <w:r w:rsidRPr="00760508">
                          <w:rPr>
                            <w:rFonts w:ascii="Arial" w:eastAsia="Times New Roman" w:hAnsi="Arial" w:cs="Arial"/>
                            <w:b/>
                            <w:bCs/>
                            <w:color w:val="000000"/>
                            <w:sz w:val="16"/>
                            <w:szCs w:val="16"/>
                            <w:lang w:eastAsia="es-EC"/>
                          </w:rPr>
                          <w:t>Frecuencia Relativa</w:t>
                        </w:r>
                      </w:p>
                    </w:tc>
                  </w:tr>
                  <w:tr w:rsidR="00361FCE" w:rsidRPr="00760508" w:rsidTr="003103BA">
                    <w:trPr>
                      <w:trHeight w:val="198"/>
                      <w:jc w:val="center"/>
                    </w:trPr>
                    <w:tc>
                      <w:tcPr>
                        <w:tcW w:w="1200" w:type="dxa"/>
                        <w:tcBorders>
                          <w:top w:val="nil"/>
                          <w:left w:val="nil"/>
                          <w:bottom w:val="nil"/>
                          <w:right w:val="nil"/>
                        </w:tcBorders>
                        <w:shd w:val="clear" w:color="auto" w:fill="auto"/>
                        <w:noWrap/>
                        <w:vAlign w:val="center"/>
                      </w:tcPr>
                      <w:p w:rsidR="00361FCE" w:rsidRDefault="00361FCE" w:rsidP="003103BA">
                        <w:pPr>
                          <w:jc w:val="left"/>
                          <w:rPr>
                            <w:rFonts w:ascii="Arial" w:hAnsi="Arial" w:cs="Arial"/>
                            <w:color w:val="000000"/>
                            <w:sz w:val="16"/>
                            <w:szCs w:val="16"/>
                          </w:rPr>
                        </w:pPr>
                        <w:r>
                          <w:rPr>
                            <w:rFonts w:ascii="Arial" w:hAnsi="Arial" w:cs="Arial"/>
                            <w:color w:val="000000"/>
                            <w:sz w:val="16"/>
                            <w:szCs w:val="16"/>
                          </w:rPr>
                          <w:t>Menos de 1</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0.161</w:t>
                        </w:r>
                      </w:p>
                    </w:tc>
                  </w:tr>
                  <w:tr w:rsidR="00361FCE" w:rsidRPr="00760508" w:rsidTr="003103BA">
                    <w:trPr>
                      <w:trHeight w:val="198"/>
                      <w:jc w:val="center"/>
                    </w:trPr>
                    <w:tc>
                      <w:tcPr>
                        <w:tcW w:w="1200" w:type="dxa"/>
                        <w:tcBorders>
                          <w:top w:val="nil"/>
                          <w:left w:val="nil"/>
                          <w:bottom w:val="nil"/>
                          <w:right w:val="nil"/>
                        </w:tcBorders>
                        <w:shd w:val="clear" w:color="auto" w:fill="auto"/>
                        <w:noWrap/>
                        <w:vAlign w:val="center"/>
                      </w:tcPr>
                      <w:p w:rsidR="00361FCE" w:rsidRDefault="00361FCE" w:rsidP="003103BA">
                        <w:pPr>
                          <w:jc w:val="left"/>
                          <w:rPr>
                            <w:rFonts w:ascii="Arial" w:hAnsi="Arial" w:cs="Arial"/>
                            <w:color w:val="000000"/>
                            <w:sz w:val="16"/>
                            <w:szCs w:val="16"/>
                          </w:rPr>
                        </w:pPr>
                        <w:r>
                          <w:rPr>
                            <w:rFonts w:ascii="Arial" w:hAnsi="Arial" w:cs="Arial"/>
                            <w:color w:val="000000"/>
                            <w:sz w:val="16"/>
                            <w:szCs w:val="16"/>
                          </w:rPr>
                          <w:t>[1 - 20)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0.623</w:t>
                        </w:r>
                      </w:p>
                    </w:tc>
                  </w:tr>
                  <w:tr w:rsidR="00361FCE" w:rsidRPr="00760508" w:rsidTr="003103BA">
                    <w:trPr>
                      <w:trHeight w:val="198"/>
                      <w:jc w:val="center"/>
                    </w:trPr>
                    <w:tc>
                      <w:tcPr>
                        <w:tcW w:w="1200" w:type="dxa"/>
                        <w:tcBorders>
                          <w:top w:val="nil"/>
                          <w:left w:val="nil"/>
                          <w:bottom w:val="nil"/>
                          <w:right w:val="nil"/>
                        </w:tcBorders>
                        <w:shd w:val="clear" w:color="auto" w:fill="auto"/>
                        <w:noWrap/>
                        <w:vAlign w:val="center"/>
                      </w:tcPr>
                      <w:p w:rsidR="00361FCE" w:rsidRDefault="00361FCE" w:rsidP="003103BA">
                        <w:pPr>
                          <w:jc w:val="left"/>
                          <w:rPr>
                            <w:rFonts w:ascii="Arial" w:hAnsi="Arial" w:cs="Arial"/>
                            <w:color w:val="000000"/>
                            <w:sz w:val="16"/>
                            <w:szCs w:val="16"/>
                          </w:rPr>
                        </w:pPr>
                        <w:r>
                          <w:rPr>
                            <w:rFonts w:ascii="Arial" w:hAnsi="Arial" w:cs="Arial"/>
                            <w:color w:val="000000"/>
                            <w:sz w:val="16"/>
                            <w:szCs w:val="16"/>
                          </w:rPr>
                          <w:t>[20 - 40)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0.086</w:t>
                        </w:r>
                      </w:p>
                    </w:tc>
                  </w:tr>
                  <w:tr w:rsidR="00361FCE" w:rsidRPr="00760508" w:rsidTr="003103BA">
                    <w:trPr>
                      <w:trHeight w:val="198"/>
                      <w:jc w:val="center"/>
                    </w:trPr>
                    <w:tc>
                      <w:tcPr>
                        <w:tcW w:w="1200" w:type="dxa"/>
                        <w:tcBorders>
                          <w:top w:val="nil"/>
                          <w:left w:val="nil"/>
                          <w:bottom w:val="nil"/>
                          <w:right w:val="nil"/>
                        </w:tcBorders>
                        <w:shd w:val="clear" w:color="auto" w:fill="auto"/>
                        <w:noWrap/>
                        <w:vAlign w:val="center"/>
                      </w:tcPr>
                      <w:p w:rsidR="00361FCE" w:rsidRDefault="00361FCE" w:rsidP="003103BA">
                        <w:pPr>
                          <w:jc w:val="left"/>
                          <w:rPr>
                            <w:rFonts w:ascii="Arial" w:hAnsi="Arial" w:cs="Arial"/>
                            <w:color w:val="000000"/>
                            <w:sz w:val="16"/>
                            <w:szCs w:val="16"/>
                          </w:rPr>
                        </w:pPr>
                        <w:r>
                          <w:rPr>
                            <w:rFonts w:ascii="Arial" w:hAnsi="Arial" w:cs="Arial"/>
                            <w:color w:val="000000"/>
                            <w:sz w:val="16"/>
                            <w:szCs w:val="16"/>
                          </w:rPr>
                          <w:t>[40 - 60)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0.025</w:t>
                        </w:r>
                      </w:p>
                    </w:tc>
                  </w:tr>
                  <w:tr w:rsidR="00361FCE" w:rsidRPr="00760508" w:rsidTr="003103BA">
                    <w:trPr>
                      <w:trHeight w:val="198"/>
                      <w:jc w:val="center"/>
                    </w:trPr>
                    <w:tc>
                      <w:tcPr>
                        <w:tcW w:w="1200" w:type="dxa"/>
                        <w:tcBorders>
                          <w:top w:val="nil"/>
                          <w:left w:val="nil"/>
                          <w:bottom w:val="nil"/>
                          <w:right w:val="nil"/>
                        </w:tcBorders>
                        <w:shd w:val="clear" w:color="auto" w:fill="auto"/>
                        <w:noWrap/>
                        <w:vAlign w:val="center"/>
                      </w:tcPr>
                      <w:p w:rsidR="00361FCE" w:rsidRDefault="00361FCE" w:rsidP="003103BA">
                        <w:pPr>
                          <w:jc w:val="left"/>
                          <w:rPr>
                            <w:rFonts w:ascii="Arial" w:hAnsi="Arial" w:cs="Arial"/>
                            <w:color w:val="000000"/>
                            <w:sz w:val="16"/>
                            <w:szCs w:val="16"/>
                          </w:rPr>
                        </w:pPr>
                        <w:r>
                          <w:rPr>
                            <w:rFonts w:ascii="Arial" w:hAnsi="Arial" w:cs="Arial"/>
                            <w:color w:val="000000"/>
                            <w:sz w:val="16"/>
                            <w:szCs w:val="16"/>
                          </w:rPr>
                          <w:t>[60 - 80)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0.003</w:t>
                        </w:r>
                      </w:p>
                    </w:tc>
                  </w:tr>
                  <w:tr w:rsidR="00361FCE" w:rsidRPr="00760508" w:rsidTr="003103BA">
                    <w:trPr>
                      <w:trHeight w:val="198"/>
                      <w:jc w:val="center"/>
                    </w:trPr>
                    <w:tc>
                      <w:tcPr>
                        <w:tcW w:w="1200" w:type="dxa"/>
                        <w:tcBorders>
                          <w:top w:val="nil"/>
                          <w:left w:val="nil"/>
                          <w:bottom w:val="nil"/>
                          <w:right w:val="nil"/>
                        </w:tcBorders>
                        <w:shd w:val="clear" w:color="auto" w:fill="auto"/>
                        <w:noWrap/>
                        <w:vAlign w:val="center"/>
                      </w:tcPr>
                      <w:p w:rsidR="00361FCE" w:rsidRDefault="00361FCE" w:rsidP="003103BA">
                        <w:pPr>
                          <w:jc w:val="left"/>
                          <w:rPr>
                            <w:rFonts w:ascii="Arial" w:hAnsi="Arial" w:cs="Arial"/>
                            <w:color w:val="000000"/>
                            <w:sz w:val="16"/>
                            <w:szCs w:val="16"/>
                          </w:rPr>
                        </w:pPr>
                        <w:r>
                          <w:rPr>
                            <w:rFonts w:ascii="Arial" w:hAnsi="Arial" w:cs="Arial"/>
                            <w:color w:val="000000"/>
                            <w:sz w:val="16"/>
                            <w:szCs w:val="16"/>
                          </w:rPr>
                          <w:t>[80 - 90]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0.000</w:t>
                        </w:r>
                      </w:p>
                    </w:tc>
                  </w:tr>
                  <w:tr w:rsidR="00361FCE" w:rsidRPr="00760508" w:rsidTr="003103BA">
                    <w:trPr>
                      <w:trHeight w:val="198"/>
                      <w:jc w:val="center"/>
                    </w:trPr>
                    <w:tc>
                      <w:tcPr>
                        <w:tcW w:w="1200" w:type="dxa"/>
                        <w:tcBorders>
                          <w:top w:val="nil"/>
                          <w:left w:val="nil"/>
                          <w:bottom w:val="single" w:sz="8" w:space="0" w:color="auto"/>
                          <w:right w:val="nil"/>
                        </w:tcBorders>
                        <w:shd w:val="clear" w:color="auto" w:fill="auto"/>
                        <w:noWrap/>
                        <w:vAlign w:val="center"/>
                      </w:tcPr>
                      <w:p w:rsidR="00361FCE" w:rsidRDefault="00361FCE" w:rsidP="003103BA">
                        <w:pPr>
                          <w:jc w:val="left"/>
                          <w:rPr>
                            <w:rFonts w:ascii="Arial" w:hAnsi="Arial" w:cs="Arial"/>
                            <w:color w:val="000000"/>
                            <w:sz w:val="16"/>
                            <w:szCs w:val="16"/>
                          </w:rPr>
                        </w:pPr>
                        <w:r>
                          <w:rPr>
                            <w:rFonts w:ascii="Arial" w:hAnsi="Arial" w:cs="Arial"/>
                            <w:color w:val="000000"/>
                            <w:sz w:val="16"/>
                            <w:szCs w:val="16"/>
                          </w:rPr>
                          <w:t>No declarado</w:t>
                        </w:r>
                      </w:p>
                    </w:tc>
                    <w:tc>
                      <w:tcPr>
                        <w:tcW w:w="1200"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0.101</w:t>
                        </w:r>
                      </w:p>
                    </w:tc>
                  </w:tr>
                  <w:tr w:rsidR="00361FCE" w:rsidRPr="00760508" w:rsidTr="003103BA">
                    <w:trPr>
                      <w:trHeight w:val="198"/>
                      <w:jc w:val="center"/>
                    </w:trPr>
                    <w:tc>
                      <w:tcPr>
                        <w:tcW w:w="1200" w:type="dxa"/>
                        <w:tcBorders>
                          <w:top w:val="nil"/>
                          <w:left w:val="nil"/>
                          <w:bottom w:val="single" w:sz="8" w:space="0" w:color="auto"/>
                          <w:right w:val="nil"/>
                        </w:tcBorders>
                        <w:shd w:val="clear" w:color="auto" w:fill="auto"/>
                        <w:noWrap/>
                        <w:vAlign w:val="center"/>
                        <w:hideMark/>
                      </w:tcPr>
                      <w:p w:rsidR="00361FCE" w:rsidRPr="00760508" w:rsidRDefault="00361FCE" w:rsidP="003103BA">
                        <w:pPr>
                          <w:jc w:val="left"/>
                          <w:rPr>
                            <w:rFonts w:ascii="Arial" w:eastAsia="Times New Roman" w:hAnsi="Arial" w:cs="Arial"/>
                            <w:b/>
                            <w:bCs/>
                            <w:i/>
                            <w:iCs/>
                            <w:color w:val="000000"/>
                            <w:sz w:val="16"/>
                            <w:szCs w:val="16"/>
                            <w:lang w:eastAsia="es-EC"/>
                          </w:rPr>
                        </w:pPr>
                        <w:r w:rsidRPr="00760508">
                          <w:rPr>
                            <w:rFonts w:ascii="Arial" w:eastAsia="Times New Roman" w:hAnsi="Arial" w:cs="Arial"/>
                            <w:b/>
                            <w:bCs/>
                            <w:i/>
                            <w:iCs/>
                            <w:color w:val="000000"/>
                            <w:sz w:val="16"/>
                            <w:szCs w:val="16"/>
                            <w:lang w:eastAsia="es-EC"/>
                          </w:rPr>
                          <w:t>Total</w:t>
                        </w:r>
                      </w:p>
                    </w:tc>
                    <w:tc>
                      <w:tcPr>
                        <w:tcW w:w="1200" w:type="dxa"/>
                        <w:tcBorders>
                          <w:top w:val="nil"/>
                          <w:left w:val="nil"/>
                          <w:bottom w:val="single" w:sz="8" w:space="0" w:color="auto"/>
                          <w:right w:val="nil"/>
                        </w:tcBorders>
                        <w:shd w:val="clear" w:color="auto" w:fill="auto"/>
                        <w:noWrap/>
                        <w:vAlign w:val="center"/>
                        <w:hideMark/>
                      </w:tcPr>
                      <w:p w:rsidR="00361FCE" w:rsidRPr="00760508" w:rsidRDefault="00361FCE" w:rsidP="00902050">
                        <w:pPr>
                          <w:rPr>
                            <w:rFonts w:ascii="Arial" w:eastAsia="Times New Roman" w:hAnsi="Arial" w:cs="Arial"/>
                            <w:b/>
                            <w:bCs/>
                            <w:i/>
                            <w:iCs/>
                            <w:color w:val="000000"/>
                            <w:sz w:val="16"/>
                            <w:szCs w:val="16"/>
                            <w:lang w:eastAsia="es-EC"/>
                          </w:rPr>
                        </w:pPr>
                        <w:r w:rsidRPr="00760508">
                          <w:rPr>
                            <w:rFonts w:ascii="Arial" w:eastAsia="Times New Roman" w:hAnsi="Arial" w:cs="Arial"/>
                            <w:b/>
                            <w:bCs/>
                            <w:i/>
                            <w:iCs/>
                            <w:color w:val="000000"/>
                            <w:sz w:val="16"/>
                            <w:szCs w:val="16"/>
                            <w:lang w:eastAsia="es-EC"/>
                          </w:rPr>
                          <w:t>1.000</w:t>
                        </w:r>
                      </w:p>
                    </w:tc>
                  </w:tr>
                </w:tbl>
                <w:p w:rsidR="00361FCE" w:rsidRDefault="00361FCE" w:rsidP="00902050">
                  <w:pPr>
                    <w:rPr>
                      <w:rFonts w:ascii="Arial" w:hAnsi="Arial" w:cs="Arial"/>
                      <w:sz w:val="24"/>
                      <w:szCs w:val="24"/>
                    </w:rPr>
                  </w:pPr>
                </w:p>
              </w:tc>
              <w:tc>
                <w:tcPr>
                  <w:tcW w:w="4305" w:type="dxa"/>
                </w:tcPr>
                <w:p w:rsidR="00361FCE" w:rsidRPr="00A22FF9" w:rsidRDefault="00361FCE" w:rsidP="00902050">
                  <w:pPr>
                    <w:rPr>
                      <w:rFonts w:ascii="Arial" w:hAnsi="Arial" w:cs="Arial"/>
                      <w:b/>
                      <w:sz w:val="16"/>
                      <w:szCs w:val="16"/>
                    </w:rPr>
                  </w:pPr>
                </w:p>
                <w:p w:rsidR="00361FCE" w:rsidRDefault="00361FCE" w:rsidP="00902050">
                  <w:pPr>
                    <w:rPr>
                      <w:rFonts w:ascii="Arial" w:hAnsi="Arial" w:cs="Arial"/>
                      <w:b/>
                      <w:sz w:val="16"/>
                      <w:szCs w:val="16"/>
                    </w:rPr>
                  </w:pPr>
                  <w:r w:rsidRPr="00A22FF9">
                    <w:rPr>
                      <w:rFonts w:ascii="Arial" w:hAnsi="Arial" w:cs="Arial"/>
                      <w:b/>
                      <w:sz w:val="16"/>
                      <w:szCs w:val="16"/>
                    </w:rPr>
                    <w:t>Histograma de Frecuencias</w:t>
                  </w:r>
                </w:p>
                <w:p w:rsidR="00361FCE" w:rsidRPr="00A22FF9" w:rsidRDefault="00361FCE" w:rsidP="00902050">
                  <w:pPr>
                    <w:rPr>
                      <w:rFonts w:ascii="Arial" w:hAnsi="Arial" w:cs="Arial"/>
                      <w:b/>
                      <w:sz w:val="16"/>
                      <w:szCs w:val="16"/>
                    </w:rPr>
                  </w:pPr>
                  <w:r>
                    <w:rPr>
                      <w:noProof/>
                      <w:lang w:eastAsia="es-EC"/>
                    </w:rPr>
                    <w:drawing>
                      <wp:inline distT="0" distB="0" distL="0" distR="0">
                        <wp:extent cx="2752725" cy="1695450"/>
                        <wp:effectExtent l="0" t="0" r="0" b="0"/>
                        <wp:docPr id="345" name="Gráfico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c>
            </w:tr>
          </w:tbl>
          <w:p w:rsidR="00361FCE" w:rsidRPr="00840530" w:rsidRDefault="00361FCE" w:rsidP="00902050">
            <w:pPr>
              <w:rPr>
                <w:rFonts w:ascii="Arial" w:hAnsi="Arial" w:cs="Arial"/>
                <w:sz w:val="24"/>
                <w:szCs w:val="24"/>
              </w:rPr>
            </w:pPr>
          </w:p>
        </w:tc>
      </w:tr>
    </w:tbl>
    <w:p w:rsidR="00361FCE" w:rsidRPr="00A22D22" w:rsidRDefault="00361FCE" w:rsidP="00A22D22">
      <w:pPr>
        <w:pStyle w:val="Prrafodelista"/>
        <w:spacing w:line="276" w:lineRule="auto"/>
        <w:ind w:left="851"/>
        <w:jc w:val="both"/>
        <w:rPr>
          <w:rFonts w:ascii="Arial" w:hAnsi="Arial" w:cs="Arial"/>
          <w:sz w:val="17"/>
          <w:szCs w:val="17"/>
        </w:rPr>
      </w:pPr>
    </w:p>
    <w:p w:rsidR="00361FCE" w:rsidRPr="00A22D22" w:rsidRDefault="00361FCE" w:rsidP="00A22D22">
      <w:pPr>
        <w:pStyle w:val="Prrafodelista"/>
        <w:spacing w:line="276" w:lineRule="auto"/>
        <w:ind w:left="851"/>
        <w:jc w:val="both"/>
        <w:rPr>
          <w:rFonts w:ascii="Arial" w:hAnsi="Arial" w:cs="Arial"/>
          <w:sz w:val="17"/>
          <w:szCs w:val="17"/>
        </w:rPr>
      </w:pPr>
      <w:r w:rsidRPr="00A22D22">
        <w:rPr>
          <w:rFonts w:ascii="Arial" w:hAnsi="Arial" w:cs="Arial"/>
          <w:b/>
          <w:i/>
          <w:sz w:val="17"/>
          <w:szCs w:val="17"/>
        </w:rPr>
        <w:t>Fuente:</w:t>
      </w:r>
      <w:r w:rsidRPr="00A22D22">
        <w:rPr>
          <w:rFonts w:ascii="Arial" w:hAnsi="Arial" w:cs="Arial"/>
          <w:sz w:val="17"/>
          <w:szCs w:val="17"/>
        </w:rPr>
        <w:t xml:space="preserve"> </w:t>
      </w:r>
      <w:r w:rsidRPr="00A22D22">
        <w:rPr>
          <w:rFonts w:ascii="Arial" w:hAnsi="Arial" w:cs="Arial"/>
          <w:b/>
          <w:sz w:val="17"/>
          <w:szCs w:val="17"/>
        </w:rPr>
        <w:t xml:space="preserve">INEC </w:t>
      </w:r>
      <w:r w:rsidRPr="00A22D22">
        <w:rPr>
          <w:rFonts w:ascii="Arial" w:hAnsi="Arial" w:cs="Arial"/>
          <w:sz w:val="17"/>
          <w:szCs w:val="17"/>
        </w:rPr>
        <w:t>(2010), Base de Datos del VII Censo de Población y VI de Vivienda.</w:t>
      </w:r>
    </w:p>
    <w:p w:rsidR="00361FCE" w:rsidRPr="00A22D22" w:rsidRDefault="00361FCE" w:rsidP="00A22D22">
      <w:pPr>
        <w:pStyle w:val="Prrafodelista"/>
        <w:spacing w:line="276" w:lineRule="auto"/>
        <w:ind w:left="851"/>
        <w:jc w:val="both"/>
        <w:rPr>
          <w:rFonts w:ascii="Arial" w:hAnsi="Arial" w:cs="Arial"/>
          <w:sz w:val="17"/>
          <w:szCs w:val="17"/>
        </w:rPr>
      </w:pPr>
      <w:r w:rsidRPr="00A22D22">
        <w:rPr>
          <w:rFonts w:ascii="Arial" w:hAnsi="Arial" w:cs="Arial"/>
          <w:b/>
          <w:i/>
          <w:sz w:val="17"/>
          <w:szCs w:val="17"/>
        </w:rPr>
        <w:t>Elaborado por:</w:t>
      </w:r>
      <w:r w:rsidRPr="00A22D22">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361FCE" w:rsidP="00A22D22">
      <w:pPr>
        <w:pStyle w:val="Estilo42"/>
        <w:ind w:left="851" w:firstLine="0"/>
      </w:pPr>
      <w:bookmarkStart w:id="631" w:name="_Toc337135548"/>
      <w:bookmarkStart w:id="632" w:name="_Toc341040698"/>
      <w:r>
        <w:t>Género</w:t>
      </w:r>
      <w:bookmarkEnd w:id="631"/>
      <w:r w:rsidR="00A22D22">
        <w:t xml:space="preserve"> </w:t>
      </w:r>
      <w:r w:rsidR="00A22D22" w:rsidRPr="008912B6">
        <w:t xml:space="preserve">de los </w:t>
      </w:r>
      <w:r w:rsidR="00A22D22">
        <w:t>estadounidenses</w:t>
      </w:r>
      <w:r w:rsidR="00A22D22" w:rsidRPr="008912B6">
        <w:t xml:space="preserve"> que residen en Ecuador</w:t>
      </w:r>
      <w:bookmarkEnd w:id="632"/>
    </w:p>
    <w:p w:rsidR="00361FCE" w:rsidRPr="00C34601" w:rsidRDefault="00361FCE" w:rsidP="00A22D22">
      <w:pPr>
        <w:pStyle w:val="Prrafodelista"/>
        <w:spacing w:line="480" w:lineRule="auto"/>
        <w:ind w:left="851"/>
        <w:jc w:val="both"/>
        <w:rPr>
          <w:rFonts w:ascii="Arial" w:hAnsi="Arial" w:cs="Arial"/>
          <w:i/>
        </w:rPr>
      </w:pPr>
      <w:r>
        <w:rPr>
          <w:rFonts w:ascii="Arial" w:hAnsi="Arial" w:cs="Arial"/>
        </w:rPr>
        <w:t xml:space="preserve">En lo que respecta al género de los estadounidenses que residen en el país, el 51.12% son hombres y el 48.88% son mujeres, siendo mayor la cantidad de hombres que de mujeres, similar al caso de los peruanos. En la </w:t>
      </w:r>
      <w:r>
        <w:rPr>
          <w:rFonts w:ascii="Arial" w:hAnsi="Arial" w:cs="Arial"/>
          <w:i/>
        </w:rPr>
        <w:t>Figura 4.61</w:t>
      </w:r>
      <w:r>
        <w:rPr>
          <w:rFonts w:ascii="Arial" w:hAnsi="Arial" w:cs="Arial"/>
        </w:rPr>
        <w:t xml:space="preserve">, se presentan los índices de feminidad de los estadounidenses por provincia de residencia habitual, en donde podemos notar que en la mayoría de provincias es mayor la cantidad de hombres que de mujeres, a excepción de siete provincias como Bolívar, Los Ríos, Morona Santiago, Napo, Pastaza, Pichincha, Galápagos y las Zonas no Delimitadas. Las provincias con los menores índices de feminidad son  Carchi y Sucumbíos en donde hay 18.18 y 27.27 mujeres estadounidenses por cada 100 hombres de la misma nacionalidad respectivamente. </w:t>
      </w:r>
      <w:r w:rsidR="00F91C02">
        <w:rPr>
          <w:rFonts w:ascii="Arial" w:hAnsi="Arial" w:cs="Arial"/>
        </w:rPr>
        <w:t>E</w:t>
      </w:r>
      <w:r>
        <w:rPr>
          <w:rFonts w:ascii="Arial" w:hAnsi="Arial" w:cs="Arial"/>
        </w:rPr>
        <w:t xml:space="preserve">n Guayas y </w:t>
      </w:r>
      <w:r>
        <w:rPr>
          <w:rFonts w:ascii="Arial" w:hAnsi="Arial" w:cs="Arial"/>
        </w:rPr>
        <w:lastRenderedPageBreak/>
        <w:t>Pichincha hay 91.20 y 101.69 mujeres estadounidenses por cada 100 hombres que provienen del mismo país respectivamente; y, en Galápagos hay 180 extranjeras que nacieron en Estados Unidos por cada 100 hombres</w:t>
      </w:r>
      <w:r w:rsidR="00A22D22">
        <w:rPr>
          <w:rFonts w:ascii="Arial" w:hAnsi="Arial" w:cs="Arial"/>
        </w:rPr>
        <w:t xml:space="preserve"> que nacieron en el mismo país.</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3103BA">
        <w:trPr>
          <w:trHeight w:val="3624"/>
          <w:jc w:val="right"/>
        </w:trPr>
        <w:tc>
          <w:tcPr>
            <w:tcW w:w="7497" w:type="dxa"/>
          </w:tcPr>
          <w:p w:rsidR="00361FCE" w:rsidRPr="00840530" w:rsidRDefault="00361FCE" w:rsidP="00902050">
            <w:pPr>
              <w:rPr>
                <w:rFonts w:ascii="Arial" w:hAnsi="Arial" w:cs="Arial"/>
                <w:sz w:val="16"/>
                <w:szCs w:val="16"/>
              </w:rPr>
            </w:pPr>
          </w:p>
          <w:p w:rsidR="008D052C" w:rsidRPr="008D052C" w:rsidRDefault="008D052C" w:rsidP="008D052C">
            <w:pPr>
              <w:pStyle w:val="Epgrafe"/>
              <w:rPr>
                <w:rFonts w:ascii="Arial" w:hAnsi="Arial" w:cs="Arial"/>
                <w:bCs w:val="0"/>
                <w:color w:val="auto"/>
                <w:sz w:val="16"/>
                <w:szCs w:val="16"/>
              </w:rPr>
            </w:pPr>
            <w:bookmarkStart w:id="633" w:name="_Toc341044033"/>
            <w:r>
              <w:rPr>
                <w:rFonts w:ascii="Arial" w:hAnsi="Arial" w:cs="Arial"/>
                <w:bCs w:val="0"/>
                <w:color w:val="auto"/>
                <w:sz w:val="16"/>
                <w:szCs w:val="16"/>
              </w:rPr>
              <w:t>Figura 4.</w:t>
            </w:r>
            <w:r w:rsidR="00990535" w:rsidRPr="008D052C">
              <w:rPr>
                <w:rFonts w:ascii="Arial" w:hAnsi="Arial" w:cs="Arial"/>
                <w:bCs w:val="0"/>
                <w:color w:val="auto"/>
                <w:sz w:val="16"/>
                <w:szCs w:val="16"/>
              </w:rPr>
              <w:fldChar w:fldCharType="begin"/>
            </w:r>
            <w:r w:rsidRPr="008D052C">
              <w:rPr>
                <w:rFonts w:ascii="Arial" w:hAnsi="Arial" w:cs="Arial"/>
                <w:bCs w:val="0"/>
                <w:color w:val="auto"/>
                <w:sz w:val="16"/>
                <w:szCs w:val="16"/>
              </w:rPr>
              <w:instrText xml:space="preserve"> SEQ Figura_4. \* ARABIC </w:instrText>
            </w:r>
            <w:r w:rsidR="00990535" w:rsidRPr="008D052C">
              <w:rPr>
                <w:rFonts w:ascii="Arial" w:hAnsi="Arial" w:cs="Arial"/>
                <w:bCs w:val="0"/>
                <w:color w:val="auto"/>
                <w:sz w:val="16"/>
                <w:szCs w:val="16"/>
              </w:rPr>
              <w:fldChar w:fldCharType="separate"/>
            </w:r>
            <w:r w:rsidR="00A242E0">
              <w:rPr>
                <w:rFonts w:ascii="Arial" w:hAnsi="Arial" w:cs="Arial"/>
                <w:bCs w:val="0"/>
                <w:noProof/>
                <w:color w:val="auto"/>
                <w:sz w:val="16"/>
                <w:szCs w:val="16"/>
              </w:rPr>
              <w:t>61</w:t>
            </w:r>
            <w:bookmarkEnd w:id="633"/>
            <w:r w:rsidR="00990535" w:rsidRPr="008D052C">
              <w:rPr>
                <w:rFonts w:ascii="Arial" w:hAnsi="Arial" w:cs="Arial"/>
                <w:bCs w:val="0"/>
                <w:color w:val="auto"/>
                <w:sz w:val="16"/>
                <w:szCs w:val="16"/>
              </w:rPr>
              <w:fldChar w:fldCharType="end"/>
            </w:r>
          </w:p>
          <w:p w:rsidR="00361FCE" w:rsidRDefault="00A22D22"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Índice de Feminidad de los </w:t>
            </w:r>
            <w:r>
              <w:rPr>
                <w:rFonts w:ascii="Arial" w:hAnsi="Arial" w:cs="Arial"/>
                <w:b/>
                <w:i/>
                <w:sz w:val="16"/>
                <w:szCs w:val="16"/>
              </w:rPr>
              <w:t>estadounidenses</w:t>
            </w:r>
            <w:r w:rsidRPr="008912B6">
              <w:rPr>
                <w:rFonts w:ascii="Arial" w:hAnsi="Arial" w:cs="Arial"/>
                <w:i/>
                <w:sz w:val="16"/>
                <w:szCs w:val="16"/>
              </w:rPr>
              <w:t xml:space="preserve"> por Provincia de residencia habitual</w:t>
            </w:r>
          </w:p>
          <w:p w:rsidR="00361FCE" w:rsidRPr="00660711" w:rsidRDefault="00361FCE" w:rsidP="00902050">
            <w:pPr>
              <w:rPr>
                <w:rFonts w:ascii="Arial" w:hAnsi="Arial" w:cs="Arial"/>
                <w:i/>
                <w:sz w:val="16"/>
                <w:szCs w:val="16"/>
              </w:rPr>
            </w:pPr>
            <w:r>
              <w:rPr>
                <w:noProof/>
                <w:lang w:eastAsia="es-EC"/>
              </w:rPr>
              <w:drawing>
                <wp:inline distT="0" distB="0" distL="0" distR="0">
                  <wp:extent cx="4533900" cy="2088000"/>
                  <wp:effectExtent l="0" t="0" r="0" b="0"/>
                  <wp:docPr id="346" name="Gráfico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r>
    </w:tbl>
    <w:p w:rsidR="00361FCE" w:rsidRPr="00A22D22" w:rsidRDefault="00361FCE" w:rsidP="00A22D22">
      <w:pPr>
        <w:pStyle w:val="Prrafodelista"/>
        <w:spacing w:line="276" w:lineRule="auto"/>
        <w:ind w:left="851"/>
        <w:jc w:val="both"/>
        <w:rPr>
          <w:rFonts w:ascii="Arial" w:hAnsi="Arial" w:cs="Arial"/>
          <w:sz w:val="17"/>
          <w:szCs w:val="17"/>
        </w:rPr>
      </w:pPr>
    </w:p>
    <w:p w:rsidR="00361FCE" w:rsidRPr="00A22D22" w:rsidRDefault="00361FCE" w:rsidP="00A22D22">
      <w:pPr>
        <w:pStyle w:val="Prrafodelista"/>
        <w:spacing w:line="276" w:lineRule="auto"/>
        <w:ind w:left="851"/>
        <w:jc w:val="both"/>
        <w:rPr>
          <w:rFonts w:ascii="Arial" w:hAnsi="Arial" w:cs="Arial"/>
          <w:sz w:val="17"/>
          <w:szCs w:val="17"/>
        </w:rPr>
      </w:pPr>
      <w:r w:rsidRPr="00A22D22">
        <w:rPr>
          <w:rFonts w:ascii="Arial" w:hAnsi="Arial" w:cs="Arial"/>
          <w:b/>
          <w:i/>
          <w:sz w:val="17"/>
          <w:szCs w:val="17"/>
        </w:rPr>
        <w:t>Fuente:</w:t>
      </w:r>
      <w:r w:rsidRPr="00A22D22">
        <w:rPr>
          <w:rFonts w:ascii="Arial" w:hAnsi="Arial" w:cs="Arial"/>
          <w:sz w:val="17"/>
          <w:szCs w:val="17"/>
        </w:rPr>
        <w:t xml:space="preserve"> </w:t>
      </w:r>
      <w:r w:rsidRPr="00A22D22">
        <w:rPr>
          <w:rFonts w:ascii="Arial" w:hAnsi="Arial" w:cs="Arial"/>
          <w:b/>
          <w:sz w:val="17"/>
          <w:szCs w:val="17"/>
        </w:rPr>
        <w:t xml:space="preserve">INEC </w:t>
      </w:r>
      <w:r w:rsidRPr="00A22D22">
        <w:rPr>
          <w:rFonts w:ascii="Arial" w:hAnsi="Arial" w:cs="Arial"/>
          <w:sz w:val="17"/>
          <w:szCs w:val="17"/>
        </w:rPr>
        <w:t>(2010), Base de Datos del VII Censo de Población y VI de Vivienda.</w:t>
      </w:r>
    </w:p>
    <w:p w:rsidR="00361FCE" w:rsidRDefault="00361FCE" w:rsidP="00A22D22">
      <w:pPr>
        <w:pStyle w:val="Prrafodelista"/>
        <w:spacing w:line="276" w:lineRule="auto"/>
        <w:ind w:left="851"/>
        <w:jc w:val="both"/>
        <w:rPr>
          <w:rFonts w:ascii="Arial" w:hAnsi="Arial" w:cs="Arial"/>
          <w:sz w:val="18"/>
          <w:szCs w:val="18"/>
        </w:rPr>
      </w:pPr>
      <w:r w:rsidRPr="00A22D22">
        <w:rPr>
          <w:rFonts w:ascii="Arial" w:hAnsi="Arial" w:cs="Arial"/>
          <w:b/>
          <w:i/>
          <w:sz w:val="17"/>
          <w:szCs w:val="17"/>
        </w:rPr>
        <w:t>Elaborado por:</w:t>
      </w:r>
      <w:r w:rsidRPr="00A22D22">
        <w:rPr>
          <w:rFonts w:ascii="Arial" w:hAnsi="Arial" w:cs="Arial"/>
          <w:sz w:val="17"/>
          <w:szCs w:val="17"/>
        </w:rPr>
        <w:t xml:space="preserve"> Katherine Loor Valeriano</w:t>
      </w:r>
    </w:p>
    <w:p w:rsidR="00361FCE" w:rsidRPr="008D052C" w:rsidRDefault="00361FCE" w:rsidP="008D052C">
      <w:pPr>
        <w:pStyle w:val="Prrafodelista"/>
        <w:spacing w:line="480" w:lineRule="auto"/>
        <w:ind w:left="567"/>
        <w:jc w:val="both"/>
        <w:rPr>
          <w:rFonts w:ascii="Arial" w:hAnsi="Arial" w:cs="Arial"/>
        </w:rPr>
      </w:pPr>
    </w:p>
    <w:p w:rsidR="00361FCE" w:rsidRDefault="00361FCE" w:rsidP="00A22D22">
      <w:pPr>
        <w:pStyle w:val="Estilo42"/>
        <w:ind w:left="1560" w:hanging="709"/>
      </w:pPr>
      <w:bookmarkStart w:id="634" w:name="_Toc337135549"/>
      <w:bookmarkStart w:id="635" w:name="_Toc341040699"/>
      <w:r>
        <w:t>Edad</w:t>
      </w:r>
      <w:bookmarkEnd w:id="634"/>
      <w:r w:rsidR="00A22D22">
        <w:t xml:space="preserve"> </w:t>
      </w:r>
      <w:r w:rsidR="00A22D22" w:rsidRPr="008912B6">
        <w:t xml:space="preserve">de los </w:t>
      </w:r>
      <w:r w:rsidR="00A22D22">
        <w:t>estadounidenses</w:t>
      </w:r>
      <w:r w:rsidR="00A22D22" w:rsidRPr="008912B6">
        <w:t xml:space="preserve"> que residen en Ecuador</w:t>
      </w:r>
      <w:bookmarkEnd w:id="635"/>
    </w:p>
    <w:p w:rsidR="00361FCE" w:rsidRPr="00F430D5" w:rsidRDefault="00361FCE" w:rsidP="00A22D22">
      <w:pPr>
        <w:pStyle w:val="Prrafodelista"/>
        <w:tabs>
          <w:tab w:val="left" w:pos="1785"/>
        </w:tabs>
        <w:spacing w:line="480" w:lineRule="auto"/>
        <w:ind w:left="851"/>
        <w:jc w:val="both"/>
        <w:rPr>
          <w:rFonts w:ascii="Arial" w:hAnsi="Arial" w:cs="Arial"/>
          <w:i/>
        </w:rPr>
      </w:pPr>
      <w:r>
        <w:rPr>
          <w:rFonts w:ascii="Arial" w:hAnsi="Arial" w:cs="Arial"/>
        </w:rPr>
        <w:t xml:space="preserve">La edad promedio de todos los estadounidenses que habitualmente residen en el país es de 19.548 ± 0.152 años, la edad que más se repite es 7 años, la edad máxima y mínima de ellos es 0 y 97 años respectivamente; además, el 25% de los estadounidenses tienen menos de 6 años, el 50% son menores de 12 años y el 75% son menores de 27 años. Pero, si solamente consideráramos a los hombres, la edad promedio obtenida es de            20.166 ± 0.222 años, la moda es 6 años, la edad mínima y máximo son 0 y 97 años respectivamente; y, el 75% de los estadounidenses de género masculino son menores de 29 años. Y para el caso de las mujeres de la </w:t>
      </w:r>
      <w:r>
        <w:rPr>
          <w:rFonts w:ascii="Arial" w:hAnsi="Arial" w:cs="Arial"/>
        </w:rPr>
        <w:lastRenderedPageBreak/>
        <w:t xml:space="preserve">misma nacionalidad, la edad promedio de ellas es de 18.901 ± 0.206 años, la edad que más se repite es 7 años al igual que la moda del total de estadounidenses, el mínimo es 0 años y el máximo es 93 años, es decir, hasta noviembre de 2010 no habían mujeres de esta nacionalidad que sean mayores a 93 años. </w:t>
      </w:r>
      <w:r>
        <w:rPr>
          <w:rFonts w:ascii="Arial" w:hAnsi="Arial" w:cs="Arial"/>
          <w:i/>
        </w:rPr>
        <w:t>Véase Tabla 4.3.</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3103BA">
        <w:trPr>
          <w:trHeight w:val="3572"/>
          <w:jc w:val="right"/>
        </w:trPr>
        <w:tc>
          <w:tcPr>
            <w:tcW w:w="7497" w:type="dxa"/>
          </w:tcPr>
          <w:p w:rsidR="00361FCE" w:rsidRPr="00840530" w:rsidRDefault="00361FCE" w:rsidP="00902050">
            <w:pPr>
              <w:rPr>
                <w:rFonts w:ascii="Arial" w:hAnsi="Arial" w:cs="Arial"/>
                <w:sz w:val="16"/>
                <w:szCs w:val="16"/>
              </w:rPr>
            </w:pPr>
          </w:p>
          <w:p w:rsidR="008D052C" w:rsidRPr="008D052C" w:rsidRDefault="008D052C" w:rsidP="008D052C">
            <w:pPr>
              <w:pStyle w:val="Epgrafe"/>
              <w:rPr>
                <w:rFonts w:ascii="Arial" w:hAnsi="Arial" w:cs="Arial"/>
                <w:bCs w:val="0"/>
                <w:color w:val="auto"/>
                <w:sz w:val="16"/>
                <w:szCs w:val="16"/>
              </w:rPr>
            </w:pPr>
            <w:bookmarkStart w:id="636" w:name="_Toc341042057"/>
            <w:r w:rsidRPr="008D052C">
              <w:rPr>
                <w:rFonts w:ascii="Arial" w:hAnsi="Arial" w:cs="Arial"/>
                <w:bCs w:val="0"/>
                <w:color w:val="auto"/>
                <w:sz w:val="16"/>
                <w:szCs w:val="16"/>
              </w:rPr>
              <w:t>Tabla 4.</w:t>
            </w:r>
            <w:r w:rsidR="00990535" w:rsidRPr="008D052C">
              <w:rPr>
                <w:rFonts w:ascii="Arial" w:hAnsi="Arial" w:cs="Arial"/>
                <w:bCs w:val="0"/>
                <w:color w:val="auto"/>
                <w:sz w:val="16"/>
                <w:szCs w:val="16"/>
              </w:rPr>
              <w:fldChar w:fldCharType="begin"/>
            </w:r>
            <w:r w:rsidRPr="008D052C">
              <w:rPr>
                <w:rFonts w:ascii="Arial" w:hAnsi="Arial" w:cs="Arial"/>
                <w:bCs w:val="0"/>
                <w:color w:val="auto"/>
                <w:sz w:val="16"/>
                <w:szCs w:val="16"/>
              </w:rPr>
              <w:instrText xml:space="preserve"> SEQ Tabla_4. \* ARABIC </w:instrText>
            </w:r>
            <w:r w:rsidR="00990535" w:rsidRPr="008D052C">
              <w:rPr>
                <w:rFonts w:ascii="Arial" w:hAnsi="Arial" w:cs="Arial"/>
                <w:bCs w:val="0"/>
                <w:color w:val="auto"/>
                <w:sz w:val="16"/>
                <w:szCs w:val="16"/>
              </w:rPr>
              <w:fldChar w:fldCharType="separate"/>
            </w:r>
            <w:r w:rsidR="00A242E0">
              <w:rPr>
                <w:rFonts w:ascii="Arial" w:hAnsi="Arial" w:cs="Arial"/>
                <w:bCs w:val="0"/>
                <w:noProof/>
                <w:color w:val="auto"/>
                <w:sz w:val="16"/>
                <w:szCs w:val="16"/>
              </w:rPr>
              <w:t>3</w:t>
            </w:r>
            <w:bookmarkEnd w:id="636"/>
            <w:r w:rsidR="00990535" w:rsidRPr="008D052C">
              <w:rPr>
                <w:rFonts w:ascii="Arial" w:hAnsi="Arial" w:cs="Arial"/>
                <w:bCs w:val="0"/>
                <w:color w:val="auto"/>
                <w:sz w:val="16"/>
                <w:szCs w:val="16"/>
              </w:rPr>
              <w:fldChar w:fldCharType="end"/>
            </w:r>
          </w:p>
          <w:p w:rsidR="00361FCE" w:rsidRDefault="00A22D22"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Estadísticas Descriptivas de la Edad de los </w:t>
            </w:r>
            <w:r>
              <w:rPr>
                <w:rFonts w:ascii="Arial" w:hAnsi="Arial" w:cs="Arial"/>
                <w:b/>
                <w:i/>
                <w:sz w:val="16"/>
                <w:szCs w:val="16"/>
              </w:rPr>
              <w:t>estadounidenses</w:t>
            </w:r>
            <w:r w:rsidRPr="008912B6">
              <w:rPr>
                <w:rFonts w:ascii="Arial" w:hAnsi="Arial" w:cs="Arial"/>
                <w:i/>
                <w:sz w:val="16"/>
                <w:szCs w:val="16"/>
              </w:rPr>
              <w:t xml:space="preserve"> residentes en Ecuador</w:t>
            </w:r>
          </w:p>
          <w:p w:rsidR="00361FCE" w:rsidRPr="001966F1" w:rsidRDefault="00361FCE" w:rsidP="00902050">
            <w:pPr>
              <w:rPr>
                <w:rFonts w:ascii="Arial" w:hAnsi="Arial" w:cs="Arial"/>
                <w:i/>
                <w:sz w:val="16"/>
                <w:szCs w:val="16"/>
              </w:rPr>
            </w:pPr>
          </w:p>
          <w:p w:rsidR="00361FCE" w:rsidRPr="001966F1" w:rsidRDefault="00361FCE" w:rsidP="00902050">
            <w:pPr>
              <w:rPr>
                <w:rFonts w:ascii="Arial" w:hAnsi="Arial" w:cs="Arial"/>
                <w:sz w:val="16"/>
                <w:szCs w:val="16"/>
              </w:rPr>
            </w:pPr>
            <w:r w:rsidRPr="001966F1">
              <w:rPr>
                <w:rFonts w:ascii="Arial" w:hAnsi="Arial" w:cs="Arial"/>
                <w:sz w:val="16"/>
                <w:szCs w:val="16"/>
              </w:rPr>
              <w:t>“</w:t>
            </w:r>
            <w:r w:rsidRPr="001966F1">
              <w:rPr>
                <w:rFonts w:ascii="Arial" w:hAnsi="Arial" w:cs="Arial"/>
                <w:b/>
                <w:sz w:val="16"/>
                <w:szCs w:val="16"/>
              </w:rPr>
              <w:t xml:space="preserve">Todos los </w:t>
            </w:r>
            <w:r>
              <w:rPr>
                <w:rFonts w:ascii="Arial" w:hAnsi="Arial" w:cs="Arial"/>
                <w:b/>
                <w:sz w:val="16"/>
                <w:szCs w:val="16"/>
              </w:rPr>
              <w:t>estadounidenses</w:t>
            </w:r>
            <w:r w:rsidRPr="001966F1">
              <w:rPr>
                <w:rFonts w:ascii="Arial" w:hAnsi="Arial" w:cs="Arial"/>
                <w:sz w:val="16"/>
                <w:szCs w:val="16"/>
              </w:rPr>
              <w:t xml:space="preserve"> residentes en Ecuador”</w:t>
            </w:r>
          </w:p>
          <w:tbl>
            <w:tblPr>
              <w:tblW w:w="7314" w:type="dxa"/>
              <w:jc w:val="center"/>
              <w:tblCellMar>
                <w:left w:w="70" w:type="dxa"/>
                <w:right w:w="70" w:type="dxa"/>
              </w:tblCellMar>
              <w:tblLook w:val="04A0" w:firstRow="1" w:lastRow="0" w:firstColumn="1" w:lastColumn="0" w:noHBand="0" w:noVBand="1"/>
            </w:tblPr>
            <w:tblGrid>
              <w:gridCol w:w="794"/>
              <w:gridCol w:w="1191"/>
              <w:gridCol w:w="680"/>
              <w:gridCol w:w="964"/>
              <w:gridCol w:w="737"/>
              <w:gridCol w:w="737"/>
              <w:gridCol w:w="737"/>
              <w:gridCol w:w="737"/>
              <w:gridCol w:w="737"/>
            </w:tblGrid>
            <w:tr w:rsidR="00361FCE" w:rsidRPr="00AF20E2" w:rsidTr="008D052C">
              <w:trPr>
                <w:trHeight w:val="340"/>
                <w:jc w:val="center"/>
              </w:trPr>
              <w:tc>
                <w:tcPr>
                  <w:tcW w:w="79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w:t>
                  </w:r>
                </w:p>
              </w:tc>
              <w:tc>
                <w:tcPr>
                  <w:tcW w:w="1191"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Error estándar de la media</w:t>
                  </w:r>
                </w:p>
              </w:tc>
              <w:tc>
                <w:tcPr>
                  <w:tcW w:w="680"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Moda</w:t>
                  </w:r>
                </w:p>
              </w:tc>
              <w:tc>
                <w:tcPr>
                  <w:tcW w:w="96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Desviación estándar</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Mínimo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Máximo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1</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3</w:t>
                  </w:r>
                </w:p>
              </w:tc>
            </w:tr>
            <w:tr w:rsidR="00361FCE" w:rsidRPr="00AF20E2" w:rsidTr="008D052C">
              <w:trPr>
                <w:trHeight w:val="227"/>
                <w:jc w:val="center"/>
              </w:trPr>
              <w:tc>
                <w:tcPr>
                  <w:tcW w:w="794"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19.548</w:t>
                  </w:r>
                </w:p>
              </w:tc>
              <w:tc>
                <w:tcPr>
                  <w:tcW w:w="1191"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0.152</w:t>
                  </w:r>
                </w:p>
              </w:tc>
              <w:tc>
                <w:tcPr>
                  <w:tcW w:w="680"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7</w:t>
                  </w:r>
                </w:p>
              </w:tc>
              <w:tc>
                <w:tcPr>
                  <w:tcW w:w="964"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18.599</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97</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6</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12</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27</w:t>
                  </w:r>
                </w:p>
              </w:tc>
            </w:tr>
          </w:tbl>
          <w:p w:rsidR="00361FCE" w:rsidRPr="003103BA" w:rsidRDefault="00361FCE" w:rsidP="00902050">
            <w:pPr>
              <w:rPr>
                <w:rFonts w:ascii="Arial" w:hAnsi="Arial" w:cs="Arial"/>
                <w:i/>
                <w:sz w:val="10"/>
                <w:szCs w:val="10"/>
              </w:rPr>
            </w:pPr>
          </w:p>
          <w:p w:rsidR="00361FCE" w:rsidRPr="001966F1" w:rsidRDefault="00361FCE" w:rsidP="00902050">
            <w:pPr>
              <w:rPr>
                <w:rFonts w:ascii="Arial" w:hAnsi="Arial" w:cs="Arial"/>
                <w:sz w:val="16"/>
                <w:szCs w:val="16"/>
              </w:rPr>
            </w:pPr>
            <w:r w:rsidRPr="001966F1">
              <w:rPr>
                <w:rFonts w:ascii="Arial" w:hAnsi="Arial" w:cs="Arial"/>
                <w:sz w:val="16"/>
                <w:szCs w:val="16"/>
              </w:rPr>
              <w:t>“</w:t>
            </w:r>
            <w:r>
              <w:rPr>
                <w:rFonts w:ascii="Arial" w:hAnsi="Arial" w:cs="Arial"/>
                <w:b/>
                <w:sz w:val="16"/>
                <w:szCs w:val="16"/>
              </w:rPr>
              <w:t>Estadounidenses</w:t>
            </w:r>
            <w:r w:rsidRPr="001966F1">
              <w:rPr>
                <w:rFonts w:ascii="Arial" w:hAnsi="Arial" w:cs="Arial"/>
                <w:sz w:val="16"/>
                <w:szCs w:val="16"/>
              </w:rPr>
              <w:t xml:space="preserve"> de género </w:t>
            </w:r>
            <w:r w:rsidRPr="001966F1">
              <w:rPr>
                <w:rFonts w:ascii="Arial" w:hAnsi="Arial" w:cs="Arial"/>
                <w:b/>
                <w:sz w:val="16"/>
                <w:szCs w:val="16"/>
              </w:rPr>
              <w:t>Masculino</w:t>
            </w:r>
            <w:r w:rsidRPr="001966F1">
              <w:rPr>
                <w:rFonts w:ascii="Arial" w:hAnsi="Arial" w:cs="Arial"/>
                <w:sz w:val="16"/>
                <w:szCs w:val="16"/>
              </w:rPr>
              <w:t xml:space="preserve"> residentes en Ecuador”</w:t>
            </w:r>
          </w:p>
          <w:tbl>
            <w:tblPr>
              <w:tblW w:w="7314" w:type="dxa"/>
              <w:jc w:val="center"/>
              <w:tblCellMar>
                <w:left w:w="70" w:type="dxa"/>
                <w:right w:w="70" w:type="dxa"/>
              </w:tblCellMar>
              <w:tblLook w:val="04A0" w:firstRow="1" w:lastRow="0" w:firstColumn="1" w:lastColumn="0" w:noHBand="0" w:noVBand="1"/>
            </w:tblPr>
            <w:tblGrid>
              <w:gridCol w:w="794"/>
              <w:gridCol w:w="1191"/>
              <w:gridCol w:w="680"/>
              <w:gridCol w:w="964"/>
              <w:gridCol w:w="737"/>
              <w:gridCol w:w="737"/>
              <w:gridCol w:w="737"/>
              <w:gridCol w:w="737"/>
              <w:gridCol w:w="737"/>
            </w:tblGrid>
            <w:tr w:rsidR="00361FCE" w:rsidRPr="00AF20E2" w:rsidTr="008D052C">
              <w:trPr>
                <w:trHeight w:val="340"/>
                <w:jc w:val="center"/>
              </w:trPr>
              <w:tc>
                <w:tcPr>
                  <w:tcW w:w="79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w:t>
                  </w:r>
                </w:p>
              </w:tc>
              <w:tc>
                <w:tcPr>
                  <w:tcW w:w="1191"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Error estándar de la media</w:t>
                  </w:r>
                </w:p>
              </w:tc>
              <w:tc>
                <w:tcPr>
                  <w:tcW w:w="680"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Moda</w:t>
                  </w:r>
                </w:p>
              </w:tc>
              <w:tc>
                <w:tcPr>
                  <w:tcW w:w="96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Desviación estándar</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Mínimo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Máximo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1</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3</w:t>
                  </w:r>
                </w:p>
              </w:tc>
            </w:tr>
            <w:tr w:rsidR="00361FCE" w:rsidRPr="00AF20E2" w:rsidTr="008D052C">
              <w:trPr>
                <w:trHeight w:val="227"/>
                <w:jc w:val="center"/>
              </w:trPr>
              <w:tc>
                <w:tcPr>
                  <w:tcW w:w="794"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20.166</w:t>
                  </w:r>
                </w:p>
              </w:tc>
              <w:tc>
                <w:tcPr>
                  <w:tcW w:w="1191"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0.222</w:t>
                  </w:r>
                </w:p>
              </w:tc>
              <w:tc>
                <w:tcPr>
                  <w:tcW w:w="680"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6</w:t>
                  </w:r>
                </w:p>
              </w:tc>
              <w:tc>
                <w:tcPr>
                  <w:tcW w:w="964"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19.414</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97</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6</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12</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29</w:t>
                  </w:r>
                </w:p>
              </w:tc>
            </w:tr>
          </w:tbl>
          <w:p w:rsidR="00361FCE" w:rsidRPr="003103BA" w:rsidRDefault="00361FCE" w:rsidP="00902050">
            <w:pPr>
              <w:rPr>
                <w:rFonts w:ascii="Arial" w:hAnsi="Arial" w:cs="Arial"/>
                <w:i/>
                <w:sz w:val="10"/>
                <w:szCs w:val="10"/>
              </w:rPr>
            </w:pPr>
          </w:p>
          <w:p w:rsidR="00361FCE" w:rsidRPr="001966F1" w:rsidRDefault="00361FCE" w:rsidP="00902050">
            <w:pPr>
              <w:rPr>
                <w:rFonts w:ascii="Arial" w:hAnsi="Arial" w:cs="Arial"/>
                <w:sz w:val="16"/>
                <w:szCs w:val="16"/>
              </w:rPr>
            </w:pPr>
            <w:r w:rsidRPr="001966F1">
              <w:rPr>
                <w:rFonts w:ascii="Arial" w:hAnsi="Arial" w:cs="Arial"/>
                <w:sz w:val="16"/>
                <w:szCs w:val="16"/>
              </w:rPr>
              <w:t>“</w:t>
            </w:r>
            <w:r>
              <w:rPr>
                <w:rFonts w:ascii="Arial" w:hAnsi="Arial" w:cs="Arial"/>
                <w:b/>
                <w:sz w:val="16"/>
                <w:szCs w:val="16"/>
              </w:rPr>
              <w:t>Estadounidenses</w:t>
            </w:r>
            <w:r>
              <w:rPr>
                <w:rFonts w:ascii="Arial" w:hAnsi="Arial" w:cs="Arial"/>
                <w:sz w:val="16"/>
                <w:szCs w:val="16"/>
              </w:rPr>
              <w:t xml:space="preserve"> de género </w:t>
            </w:r>
            <w:r w:rsidRPr="001966F1">
              <w:rPr>
                <w:rFonts w:ascii="Arial" w:hAnsi="Arial" w:cs="Arial"/>
                <w:b/>
                <w:sz w:val="16"/>
                <w:szCs w:val="16"/>
              </w:rPr>
              <w:t>Femenino</w:t>
            </w:r>
            <w:r w:rsidRPr="001966F1">
              <w:rPr>
                <w:rFonts w:ascii="Arial" w:hAnsi="Arial" w:cs="Arial"/>
                <w:sz w:val="16"/>
                <w:szCs w:val="16"/>
              </w:rPr>
              <w:t xml:space="preserve"> residentes en Ecuador”</w:t>
            </w:r>
          </w:p>
          <w:tbl>
            <w:tblPr>
              <w:tblW w:w="7314" w:type="dxa"/>
              <w:jc w:val="center"/>
              <w:tblCellMar>
                <w:left w:w="70" w:type="dxa"/>
                <w:right w:w="70" w:type="dxa"/>
              </w:tblCellMar>
              <w:tblLook w:val="04A0" w:firstRow="1" w:lastRow="0" w:firstColumn="1" w:lastColumn="0" w:noHBand="0" w:noVBand="1"/>
            </w:tblPr>
            <w:tblGrid>
              <w:gridCol w:w="794"/>
              <w:gridCol w:w="1191"/>
              <w:gridCol w:w="680"/>
              <w:gridCol w:w="964"/>
              <w:gridCol w:w="737"/>
              <w:gridCol w:w="737"/>
              <w:gridCol w:w="737"/>
              <w:gridCol w:w="737"/>
              <w:gridCol w:w="737"/>
            </w:tblGrid>
            <w:tr w:rsidR="00361FCE" w:rsidRPr="00AF20E2" w:rsidTr="008D052C">
              <w:trPr>
                <w:trHeight w:val="340"/>
                <w:jc w:val="center"/>
              </w:trPr>
              <w:tc>
                <w:tcPr>
                  <w:tcW w:w="79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w:t>
                  </w:r>
                </w:p>
              </w:tc>
              <w:tc>
                <w:tcPr>
                  <w:tcW w:w="1191"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Error estándar de la media</w:t>
                  </w:r>
                </w:p>
              </w:tc>
              <w:tc>
                <w:tcPr>
                  <w:tcW w:w="680"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Moda</w:t>
                  </w:r>
                </w:p>
              </w:tc>
              <w:tc>
                <w:tcPr>
                  <w:tcW w:w="96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Desviación estándar</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Mínimo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Máximo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1</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3</w:t>
                  </w:r>
                </w:p>
              </w:tc>
            </w:tr>
            <w:tr w:rsidR="00361FCE" w:rsidRPr="00AF20E2" w:rsidTr="008D052C">
              <w:trPr>
                <w:trHeight w:val="227"/>
                <w:jc w:val="center"/>
              </w:trPr>
              <w:tc>
                <w:tcPr>
                  <w:tcW w:w="794"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18.901</w:t>
                  </w:r>
                </w:p>
              </w:tc>
              <w:tc>
                <w:tcPr>
                  <w:tcW w:w="1191"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0.206</w:t>
                  </w:r>
                </w:p>
              </w:tc>
              <w:tc>
                <w:tcPr>
                  <w:tcW w:w="680"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7</w:t>
                  </w:r>
                </w:p>
              </w:tc>
              <w:tc>
                <w:tcPr>
                  <w:tcW w:w="964"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17.684</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93</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6</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12</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26</w:t>
                  </w:r>
                </w:p>
              </w:tc>
            </w:tr>
          </w:tbl>
          <w:p w:rsidR="00361FCE" w:rsidRPr="00BF74AD" w:rsidRDefault="00361FCE" w:rsidP="00902050">
            <w:pPr>
              <w:rPr>
                <w:rFonts w:ascii="Arial" w:hAnsi="Arial" w:cs="Arial"/>
                <w:i/>
                <w:sz w:val="10"/>
                <w:szCs w:val="10"/>
              </w:rPr>
            </w:pPr>
          </w:p>
        </w:tc>
      </w:tr>
    </w:tbl>
    <w:p w:rsidR="00361FCE" w:rsidRPr="00A22D22" w:rsidRDefault="00361FCE" w:rsidP="00A22D22">
      <w:pPr>
        <w:pStyle w:val="Prrafodelista"/>
        <w:spacing w:line="276" w:lineRule="auto"/>
        <w:ind w:left="851"/>
        <w:jc w:val="both"/>
        <w:rPr>
          <w:rFonts w:ascii="Arial" w:hAnsi="Arial" w:cs="Arial"/>
          <w:sz w:val="17"/>
          <w:szCs w:val="17"/>
        </w:rPr>
      </w:pPr>
    </w:p>
    <w:p w:rsidR="00361FCE" w:rsidRPr="00A22D22" w:rsidRDefault="00361FCE" w:rsidP="00A22D22">
      <w:pPr>
        <w:pStyle w:val="Prrafodelista"/>
        <w:spacing w:line="276" w:lineRule="auto"/>
        <w:ind w:left="851"/>
        <w:jc w:val="both"/>
        <w:rPr>
          <w:rFonts w:ascii="Arial" w:hAnsi="Arial" w:cs="Arial"/>
          <w:sz w:val="17"/>
          <w:szCs w:val="17"/>
        </w:rPr>
      </w:pPr>
      <w:r w:rsidRPr="00A22D22">
        <w:rPr>
          <w:rFonts w:ascii="Arial" w:hAnsi="Arial" w:cs="Arial"/>
          <w:b/>
          <w:i/>
          <w:sz w:val="17"/>
          <w:szCs w:val="17"/>
        </w:rPr>
        <w:t>Fuente:</w:t>
      </w:r>
      <w:r w:rsidRPr="00A22D22">
        <w:rPr>
          <w:rFonts w:ascii="Arial" w:hAnsi="Arial" w:cs="Arial"/>
          <w:sz w:val="17"/>
          <w:szCs w:val="17"/>
        </w:rPr>
        <w:t xml:space="preserve"> </w:t>
      </w:r>
      <w:r w:rsidRPr="00A22D22">
        <w:rPr>
          <w:rFonts w:ascii="Arial" w:hAnsi="Arial" w:cs="Arial"/>
          <w:b/>
          <w:sz w:val="17"/>
          <w:szCs w:val="17"/>
        </w:rPr>
        <w:t xml:space="preserve">INEC </w:t>
      </w:r>
      <w:r w:rsidRPr="00A22D22">
        <w:rPr>
          <w:rFonts w:ascii="Arial" w:hAnsi="Arial" w:cs="Arial"/>
          <w:sz w:val="17"/>
          <w:szCs w:val="17"/>
        </w:rPr>
        <w:t>(2010), Base de Datos del VII Censo de Población y VI de Vivienda.</w:t>
      </w:r>
    </w:p>
    <w:p w:rsidR="00361FCE" w:rsidRPr="00A22D22" w:rsidRDefault="00361FCE" w:rsidP="00A22D22">
      <w:pPr>
        <w:pStyle w:val="Prrafodelista"/>
        <w:spacing w:line="276" w:lineRule="auto"/>
        <w:ind w:left="851"/>
        <w:jc w:val="both"/>
        <w:rPr>
          <w:rFonts w:ascii="Arial" w:hAnsi="Arial" w:cs="Arial"/>
          <w:sz w:val="17"/>
          <w:szCs w:val="17"/>
        </w:rPr>
      </w:pPr>
      <w:r w:rsidRPr="00A22D22">
        <w:rPr>
          <w:rFonts w:ascii="Arial" w:hAnsi="Arial" w:cs="Arial"/>
          <w:b/>
          <w:i/>
          <w:sz w:val="17"/>
          <w:szCs w:val="17"/>
        </w:rPr>
        <w:t>Elaborado por:</w:t>
      </w:r>
      <w:r w:rsidRPr="00A22D22">
        <w:rPr>
          <w:rFonts w:ascii="Arial" w:hAnsi="Arial" w:cs="Arial"/>
          <w:sz w:val="17"/>
          <w:szCs w:val="17"/>
        </w:rPr>
        <w:t xml:space="preserve"> Katherine Loor Valeriano</w:t>
      </w:r>
    </w:p>
    <w:p w:rsidR="00A22D22" w:rsidRDefault="00A22D22" w:rsidP="003103BA">
      <w:pPr>
        <w:pStyle w:val="Prrafodelista"/>
        <w:tabs>
          <w:tab w:val="left" w:pos="1785"/>
        </w:tabs>
        <w:spacing w:line="480" w:lineRule="auto"/>
        <w:ind w:left="851"/>
        <w:jc w:val="both"/>
        <w:rPr>
          <w:rFonts w:ascii="Arial" w:hAnsi="Arial" w:cs="Arial"/>
        </w:rPr>
      </w:pPr>
    </w:p>
    <w:p w:rsidR="00361FCE" w:rsidRPr="00E702F6" w:rsidRDefault="00361FCE" w:rsidP="003103BA">
      <w:pPr>
        <w:pStyle w:val="Prrafodelista"/>
        <w:tabs>
          <w:tab w:val="left" w:pos="1785"/>
        </w:tabs>
        <w:spacing w:line="480" w:lineRule="auto"/>
        <w:ind w:left="851"/>
        <w:jc w:val="both"/>
        <w:rPr>
          <w:rFonts w:ascii="Arial" w:hAnsi="Arial" w:cs="Arial"/>
          <w:i/>
        </w:rPr>
      </w:pPr>
      <w:r>
        <w:rPr>
          <w:rFonts w:ascii="Arial" w:hAnsi="Arial" w:cs="Arial"/>
        </w:rPr>
        <w:t xml:space="preserve">Además, el 55.26% del total de estadounidenses son menores de 15 años, el 41.13% tienen edades comprendidas entre 15 y 65 años los cuales están en edades económicamente activa; y, el 3.62% tienen 65 años y más. </w:t>
      </w:r>
      <w:r w:rsidR="00F91C02">
        <w:rPr>
          <w:rFonts w:ascii="Arial" w:hAnsi="Arial" w:cs="Arial"/>
        </w:rPr>
        <w:t>Del</w:t>
      </w:r>
      <w:r>
        <w:rPr>
          <w:rFonts w:ascii="Arial" w:hAnsi="Arial" w:cs="Arial"/>
        </w:rPr>
        <w:t xml:space="preserve"> total de hombres estadounidenses que residen en Ecuador, el 55.36% son menores de 15 años, el 40.26% tienen entre 15 y 65 años y el 4.38% son adultos mayores; y, del total de mujeres de la misma nacionalidad, el 55.15% tienen menos de 15 años, el 42.03% tienen edades comprendidas entre 15 y 65 años y el 2.82% tienen 65 años y más.</w:t>
      </w:r>
      <w:r w:rsidR="003103BA">
        <w:rPr>
          <w:rFonts w:ascii="Arial" w:hAnsi="Arial" w:cs="Arial"/>
        </w:rPr>
        <w:t xml:space="preserve"> </w:t>
      </w:r>
      <w:r>
        <w:rPr>
          <w:rFonts w:ascii="Arial" w:hAnsi="Arial" w:cs="Arial"/>
        </w:rPr>
        <w:t xml:space="preserve">En la </w:t>
      </w:r>
      <w:r>
        <w:rPr>
          <w:rFonts w:ascii="Arial" w:hAnsi="Arial" w:cs="Arial"/>
          <w:i/>
        </w:rPr>
        <w:t>Figura 4.62</w:t>
      </w:r>
      <w:r>
        <w:rPr>
          <w:rFonts w:ascii="Arial" w:hAnsi="Arial" w:cs="Arial"/>
        </w:rPr>
        <w:t xml:space="preserve">, se presenta la distribución de género y edad de los estadounidenses, donde </w:t>
      </w:r>
      <w:r>
        <w:rPr>
          <w:rFonts w:ascii="Arial" w:hAnsi="Arial" w:cs="Arial"/>
        </w:rPr>
        <w:lastRenderedPageBreak/>
        <w:t xml:space="preserve">se observa que la barra de mayor longitud corresponde al grupo de edad comprendido entre 5 y 10 años, la cual indica que el 12.42% de los estadounidenses que viven en el país son hombres con edades en el grupo de edad mencionado, y que el 12.01% del total de estadounidenses son mujeres con edades entre 5 y 10 años también. La segunda barra de mayor longitud es la que corresponde a las edades entre 1 y 5 años, lo cual representa al 15.66% de la población total de estadounidenses, de los cuales el 7.99% son hombres y el 7.67% son mujeres. Las barras de menor longitud, se dan para las edades mayores, en donde se tienen que el 0.30% de los estadounidenses tienen entre 80 y 85 años, el 0.13% entre 85 y 90 años, 0.05% tienen edades comprendidas entre 90 y 95 años; y, el 0.01% tienen entre 95 y 100 años; cabe mencionar que no hay estadounidenses que sean mayores de 100 años; y, además todos los que tienen entre 95 y 100 años son hombres.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3103BA">
        <w:trPr>
          <w:trHeight w:val="3524"/>
          <w:jc w:val="right"/>
        </w:trPr>
        <w:tc>
          <w:tcPr>
            <w:tcW w:w="7497" w:type="dxa"/>
          </w:tcPr>
          <w:p w:rsidR="00361FCE" w:rsidRPr="00840530" w:rsidRDefault="00361FCE" w:rsidP="00902050">
            <w:pPr>
              <w:rPr>
                <w:rFonts w:ascii="Arial" w:hAnsi="Arial" w:cs="Arial"/>
                <w:sz w:val="16"/>
                <w:szCs w:val="16"/>
              </w:rPr>
            </w:pPr>
          </w:p>
          <w:p w:rsidR="00984944" w:rsidRPr="00984944" w:rsidRDefault="00984944" w:rsidP="00984944">
            <w:pPr>
              <w:pStyle w:val="Epgrafe"/>
              <w:rPr>
                <w:rFonts w:ascii="Arial" w:hAnsi="Arial" w:cs="Arial"/>
                <w:bCs w:val="0"/>
                <w:color w:val="auto"/>
                <w:sz w:val="16"/>
                <w:szCs w:val="16"/>
              </w:rPr>
            </w:pPr>
            <w:bookmarkStart w:id="637" w:name="_Toc341044034"/>
            <w:r>
              <w:rPr>
                <w:rFonts w:ascii="Arial" w:hAnsi="Arial" w:cs="Arial"/>
                <w:bCs w:val="0"/>
                <w:color w:val="auto"/>
                <w:sz w:val="16"/>
                <w:szCs w:val="16"/>
              </w:rPr>
              <w:t>Figura 4.</w:t>
            </w:r>
            <w:r w:rsidR="00990535" w:rsidRPr="00984944">
              <w:rPr>
                <w:rFonts w:ascii="Arial" w:hAnsi="Arial" w:cs="Arial"/>
                <w:bCs w:val="0"/>
                <w:color w:val="auto"/>
                <w:sz w:val="16"/>
                <w:szCs w:val="16"/>
              </w:rPr>
              <w:fldChar w:fldCharType="begin"/>
            </w:r>
            <w:r w:rsidRPr="00984944">
              <w:rPr>
                <w:rFonts w:ascii="Arial" w:hAnsi="Arial" w:cs="Arial"/>
                <w:bCs w:val="0"/>
                <w:color w:val="auto"/>
                <w:sz w:val="16"/>
                <w:szCs w:val="16"/>
              </w:rPr>
              <w:instrText xml:space="preserve"> SEQ Figura_4. \* ARABIC </w:instrText>
            </w:r>
            <w:r w:rsidR="00990535" w:rsidRPr="00984944">
              <w:rPr>
                <w:rFonts w:ascii="Arial" w:hAnsi="Arial" w:cs="Arial"/>
                <w:bCs w:val="0"/>
                <w:color w:val="auto"/>
                <w:sz w:val="16"/>
                <w:szCs w:val="16"/>
              </w:rPr>
              <w:fldChar w:fldCharType="separate"/>
            </w:r>
            <w:r w:rsidR="00A242E0">
              <w:rPr>
                <w:rFonts w:ascii="Arial" w:hAnsi="Arial" w:cs="Arial"/>
                <w:bCs w:val="0"/>
                <w:noProof/>
                <w:color w:val="auto"/>
                <w:sz w:val="16"/>
                <w:szCs w:val="16"/>
              </w:rPr>
              <w:t>62</w:t>
            </w:r>
            <w:bookmarkEnd w:id="637"/>
            <w:r w:rsidR="00990535" w:rsidRPr="00984944">
              <w:rPr>
                <w:rFonts w:ascii="Arial" w:hAnsi="Arial" w:cs="Arial"/>
                <w:bCs w:val="0"/>
                <w:color w:val="auto"/>
                <w:sz w:val="16"/>
                <w:szCs w:val="16"/>
              </w:rPr>
              <w:fldChar w:fldCharType="end"/>
            </w:r>
          </w:p>
          <w:p w:rsidR="00361FCE" w:rsidRDefault="003103BA"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Distribución Género – Edad de los </w:t>
            </w:r>
            <w:r>
              <w:rPr>
                <w:rFonts w:ascii="Arial" w:hAnsi="Arial" w:cs="Arial"/>
                <w:b/>
                <w:i/>
                <w:sz w:val="16"/>
                <w:szCs w:val="16"/>
              </w:rPr>
              <w:t>estadounidenses</w:t>
            </w:r>
            <w:r w:rsidRPr="008912B6">
              <w:rPr>
                <w:rFonts w:ascii="Arial" w:hAnsi="Arial" w:cs="Arial"/>
                <w:i/>
                <w:sz w:val="16"/>
                <w:szCs w:val="16"/>
              </w:rPr>
              <w:t xml:space="preserve"> residentes en el país</w:t>
            </w:r>
          </w:p>
          <w:p w:rsidR="00361FCE" w:rsidRPr="00660711" w:rsidRDefault="00436907" w:rsidP="00902050">
            <w:pPr>
              <w:rPr>
                <w:rFonts w:ascii="Arial" w:hAnsi="Arial" w:cs="Arial"/>
                <w:i/>
                <w:sz w:val="16"/>
                <w:szCs w:val="16"/>
              </w:rPr>
            </w:pPr>
            <w:r>
              <w:rPr>
                <w:noProof/>
                <w:lang w:eastAsia="es-EC"/>
              </w:rPr>
              <w:pict>
                <v:shape id="_x0000_s1641" type="#_x0000_t202" style="position:absolute;left:0;text-align:left;margin-left:211.3pt;margin-top:10.7pt;width:142.2pt;height:20.25pt;z-index:25158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2D6729" w:rsidRDefault="006933DF" w:rsidP="00361FCE">
                        <w:pPr>
                          <w:rPr>
                            <w:rFonts w:ascii="Arial" w:hAnsi="Arial" w:cs="Arial"/>
                            <w:b/>
                            <w:sz w:val="15"/>
                            <w:szCs w:val="15"/>
                          </w:rPr>
                        </w:pPr>
                        <w:r w:rsidRPr="002D6729">
                          <w:rPr>
                            <w:rFonts w:ascii="Arial" w:hAnsi="Arial" w:cs="Arial"/>
                            <w:b/>
                            <w:sz w:val="15"/>
                            <w:szCs w:val="15"/>
                          </w:rPr>
                          <w:t>Femenino</w:t>
                        </w:r>
                      </w:p>
                    </w:txbxContent>
                  </v:textbox>
                </v:shape>
              </w:pict>
            </w:r>
            <w:r>
              <w:rPr>
                <w:rFonts w:ascii="Arial" w:hAnsi="Arial" w:cs="Arial"/>
                <w:noProof/>
                <w:lang w:eastAsia="es-EC"/>
              </w:rPr>
              <w:pict>
                <v:shape id="_x0000_s1640" type="#_x0000_t202" style="position:absolute;left:0;text-align:left;margin-left:65.8pt;margin-top:10.7pt;width:142.2pt;height:20.25pt;z-index:25158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2D6729" w:rsidRDefault="006933DF" w:rsidP="00361FCE">
                        <w:pPr>
                          <w:rPr>
                            <w:rFonts w:ascii="Arial" w:hAnsi="Arial" w:cs="Arial"/>
                            <w:b/>
                            <w:sz w:val="15"/>
                            <w:szCs w:val="15"/>
                          </w:rPr>
                        </w:pPr>
                        <w:r w:rsidRPr="002D6729">
                          <w:rPr>
                            <w:rFonts w:ascii="Arial" w:hAnsi="Arial" w:cs="Arial"/>
                            <w:b/>
                            <w:sz w:val="15"/>
                            <w:szCs w:val="15"/>
                          </w:rPr>
                          <w:t>Masculino</w:t>
                        </w:r>
                      </w:p>
                    </w:txbxContent>
                  </v:textbox>
                </v:shape>
              </w:pict>
            </w:r>
            <w:r w:rsidR="00361FCE">
              <w:rPr>
                <w:noProof/>
                <w:lang w:eastAsia="es-EC"/>
              </w:rPr>
              <w:t xml:space="preserve"> </w:t>
            </w:r>
            <w:r w:rsidR="00361FCE">
              <w:rPr>
                <w:noProof/>
                <w:lang w:eastAsia="es-EC"/>
              </w:rPr>
              <w:drawing>
                <wp:inline distT="0" distB="0" distL="0" distR="0">
                  <wp:extent cx="4410075" cy="2305050"/>
                  <wp:effectExtent l="0" t="0" r="0" b="0"/>
                  <wp:docPr id="347" name="Gráfico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c>
      </w:tr>
    </w:tbl>
    <w:p w:rsidR="00361FCE" w:rsidRPr="003103BA" w:rsidRDefault="00361FCE" w:rsidP="003103BA">
      <w:pPr>
        <w:pStyle w:val="Prrafodelista"/>
        <w:spacing w:line="276" w:lineRule="auto"/>
        <w:ind w:left="851"/>
        <w:jc w:val="both"/>
        <w:rPr>
          <w:rFonts w:ascii="Arial" w:hAnsi="Arial" w:cs="Arial"/>
          <w:sz w:val="17"/>
          <w:szCs w:val="17"/>
        </w:rPr>
      </w:pPr>
    </w:p>
    <w:p w:rsidR="00361FCE" w:rsidRPr="003103BA" w:rsidRDefault="00361FCE" w:rsidP="003103BA">
      <w:pPr>
        <w:pStyle w:val="Prrafodelista"/>
        <w:spacing w:line="276" w:lineRule="auto"/>
        <w:ind w:left="851"/>
        <w:jc w:val="both"/>
        <w:rPr>
          <w:rFonts w:ascii="Arial" w:hAnsi="Arial" w:cs="Arial"/>
          <w:sz w:val="17"/>
          <w:szCs w:val="17"/>
        </w:rPr>
      </w:pPr>
      <w:r w:rsidRPr="003103BA">
        <w:rPr>
          <w:rFonts w:ascii="Arial" w:hAnsi="Arial" w:cs="Arial"/>
          <w:b/>
          <w:i/>
          <w:sz w:val="17"/>
          <w:szCs w:val="17"/>
        </w:rPr>
        <w:t>Fuente:</w:t>
      </w:r>
      <w:r w:rsidRPr="003103BA">
        <w:rPr>
          <w:rFonts w:ascii="Arial" w:hAnsi="Arial" w:cs="Arial"/>
          <w:sz w:val="17"/>
          <w:szCs w:val="17"/>
        </w:rPr>
        <w:t xml:space="preserve"> </w:t>
      </w:r>
      <w:r w:rsidRPr="003103BA">
        <w:rPr>
          <w:rFonts w:ascii="Arial" w:hAnsi="Arial" w:cs="Arial"/>
          <w:b/>
          <w:sz w:val="17"/>
          <w:szCs w:val="17"/>
        </w:rPr>
        <w:t xml:space="preserve">INEC </w:t>
      </w:r>
      <w:r w:rsidRPr="003103BA">
        <w:rPr>
          <w:rFonts w:ascii="Arial" w:hAnsi="Arial" w:cs="Arial"/>
          <w:sz w:val="17"/>
          <w:szCs w:val="17"/>
        </w:rPr>
        <w:t>(2010), Base de Datos del VII Censo de Población y VI de Vivienda.</w:t>
      </w:r>
    </w:p>
    <w:p w:rsidR="00361FCE" w:rsidRDefault="00361FCE" w:rsidP="003103BA">
      <w:pPr>
        <w:pStyle w:val="Prrafodelista"/>
        <w:spacing w:line="276" w:lineRule="auto"/>
        <w:ind w:left="851"/>
        <w:jc w:val="both"/>
        <w:rPr>
          <w:rFonts w:ascii="Arial" w:hAnsi="Arial" w:cs="Arial"/>
          <w:sz w:val="18"/>
          <w:szCs w:val="18"/>
        </w:rPr>
      </w:pPr>
      <w:r w:rsidRPr="003103BA">
        <w:rPr>
          <w:rFonts w:ascii="Arial" w:hAnsi="Arial" w:cs="Arial"/>
          <w:b/>
          <w:i/>
          <w:sz w:val="17"/>
          <w:szCs w:val="17"/>
        </w:rPr>
        <w:t>Elaborado por:</w:t>
      </w:r>
      <w:r w:rsidRPr="003103BA">
        <w:rPr>
          <w:rFonts w:ascii="Arial" w:hAnsi="Arial" w:cs="Arial"/>
          <w:sz w:val="17"/>
          <w:szCs w:val="17"/>
        </w:rPr>
        <w:t xml:space="preserve"> Katherine Loor Valeriano</w:t>
      </w:r>
    </w:p>
    <w:p w:rsidR="00361FCE" w:rsidRPr="00753977" w:rsidRDefault="00361FCE" w:rsidP="00D735DC">
      <w:pPr>
        <w:pStyle w:val="Prrafodelista"/>
        <w:spacing w:line="480" w:lineRule="auto"/>
        <w:ind w:left="851"/>
        <w:jc w:val="both"/>
        <w:rPr>
          <w:rFonts w:ascii="Arial" w:hAnsi="Arial" w:cs="Arial"/>
          <w:i/>
        </w:rPr>
      </w:pPr>
      <w:r>
        <w:rPr>
          <w:rFonts w:ascii="Arial" w:hAnsi="Arial" w:cs="Arial"/>
        </w:rPr>
        <w:lastRenderedPageBreak/>
        <w:t xml:space="preserve">Ahora veamos que valor toma el índice de feminidad pero por grupos etarios, en donde como se muestra en la </w:t>
      </w:r>
      <w:r>
        <w:rPr>
          <w:rFonts w:ascii="Arial" w:hAnsi="Arial" w:cs="Arial"/>
          <w:i/>
        </w:rPr>
        <w:t>Figura 4.63</w:t>
      </w:r>
      <w:r>
        <w:rPr>
          <w:rFonts w:ascii="Arial" w:hAnsi="Arial" w:cs="Arial"/>
        </w:rPr>
        <w:t xml:space="preserve">, en la mayoría de los grupos de edad es mayor la cantidad de hombres, a excepción de cinco grupos de edad; como es el caso de los niños menores de 1 años de los cuales hay 101.60 mujeres por cada 100 hombres estadounidenses con edades en el mismo grupo de edad; mientras que por cada 100 hombres estadounidenses con edades entre 20 y 25 años hay 127.98 mujeres que nacieron en el mismo país y que tienen edades comprendidas en el mismo intervalo de edades. Además, se puede notar que para los grupos de edad superiores el valor que toma el índice de feminidad es menor; pues para edades comprendidas de 75 a 80 y de 80 a 85 años el índice de feminidad es de 41.30 y 40.63 mujeres por cada 100 hombres de esos grupos de edad respectivamente. Cabe mencionar que en el último grupo de edad el índice de feminidad es igual a cero porque no hay mujeres que tengas edades comprendidas dentro de dicho intervalo; y, también recordemos que la mujer de mayor </w:t>
      </w:r>
      <w:r w:rsidR="00D735DC">
        <w:rPr>
          <w:rFonts w:ascii="Arial" w:hAnsi="Arial" w:cs="Arial"/>
        </w:rPr>
        <w:t>edad registrada como residente</w:t>
      </w:r>
      <w:r>
        <w:rPr>
          <w:rFonts w:ascii="Arial" w:hAnsi="Arial" w:cs="Arial"/>
        </w:rPr>
        <w:t xml:space="preserve"> tiene 93 años.</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D735DC">
        <w:trPr>
          <w:trHeight w:val="2957"/>
          <w:jc w:val="right"/>
        </w:trPr>
        <w:tc>
          <w:tcPr>
            <w:tcW w:w="7497" w:type="dxa"/>
          </w:tcPr>
          <w:p w:rsidR="00361FCE" w:rsidRPr="00840530" w:rsidRDefault="00361FCE" w:rsidP="00902050">
            <w:pPr>
              <w:rPr>
                <w:rFonts w:ascii="Arial" w:hAnsi="Arial" w:cs="Arial"/>
                <w:sz w:val="16"/>
                <w:szCs w:val="16"/>
              </w:rPr>
            </w:pPr>
          </w:p>
          <w:p w:rsidR="00984944" w:rsidRPr="00984944" w:rsidRDefault="00984944" w:rsidP="00984944">
            <w:pPr>
              <w:pStyle w:val="Epgrafe"/>
              <w:rPr>
                <w:rFonts w:ascii="Arial" w:hAnsi="Arial" w:cs="Arial"/>
                <w:bCs w:val="0"/>
                <w:color w:val="auto"/>
                <w:sz w:val="16"/>
                <w:szCs w:val="16"/>
              </w:rPr>
            </w:pPr>
            <w:bookmarkStart w:id="638" w:name="_Toc341044035"/>
            <w:r>
              <w:rPr>
                <w:rFonts w:ascii="Arial" w:hAnsi="Arial" w:cs="Arial"/>
                <w:bCs w:val="0"/>
                <w:color w:val="auto"/>
                <w:sz w:val="16"/>
                <w:szCs w:val="16"/>
              </w:rPr>
              <w:t>Figura 4.</w:t>
            </w:r>
            <w:r w:rsidR="00990535" w:rsidRPr="00984944">
              <w:rPr>
                <w:rFonts w:ascii="Arial" w:hAnsi="Arial" w:cs="Arial"/>
                <w:bCs w:val="0"/>
                <w:color w:val="auto"/>
                <w:sz w:val="16"/>
                <w:szCs w:val="16"/>
              </w:rPr>
              <w:fldChar w:fldCharType="begin"/>
            </w:r>
            <w:r w:rsidRPr="00984944">
              <w:rPr>
                <w:rFonts w:ascii="Arial" w:hAnsi="Arial" w:cs="Arial"/>
                <w:bCs w:val="0"/>
                <w:color w:val="auto"/>
                <w:sz w:val="16"/>
                <w:szCs w:val="16"/>
              </w:rPr>
              <w:instrText xml:space="preserve"> SEQ Figura_4. \* ARABIC </w:instrText>
            </w:r>
            <w:r w:rsidR="00990535" w:rsidRPr="00984944">
              <w:rPr>
                <w:rFonts w:ascii="Arial" w:hAnsi="Arial" w:cs="Arial"/>
                <w:bCs w:val="0"/>
                <w:color w:val="auto"/>
                <w:sz w:val="16"/>
                <w:szCs w:val="16"/>
              </w:rPr>
              <w:fldChar w:fldCharType="separate"/>
            </w:r>
            <w:r w:rsidR="00A242E0">
              <w:rPr>
                <w:rFonts w:ascii="Arial" w:hAnsi="Arial" w:cs="Arial"/>
                <w:bCs w:val="0"/>
                <w:noProof/>
                <w:color w:val="auto"/>
                <w:sz w:val="16"/>
                <w:szCs w:val="16"/>
              </w:rPr>
              <w:t>63</w:t>
            </w:r>
            <w:bookmarkEnd w:id="638"/>
            <w:r w:rsidR="00990535" w:rsidRPr="00984944">
              <w:rPr>
                <w:rFonts w:ascii="Arial" w:hAnsi="Arial" w:cs="Arial"/>
                <w:bCs w:val="0"/>
                <w:color w:val="auto"/>
                <w:sz w:val="16"/>
                <w:szCs w:val="16"/>
              </w:rPr>
              <w:fldChar w:fldCharType="end"/>
            </w:r>
          </w:p>
          <w:p w:rsidR="00361FCE" w:rsidRDefault="00D735DC"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Índice de Feminidad por Grupos etarios de la población </w:t>
            </w:r>
            <w:r>
              <w:rPr>
                <w:rFonts w:ascii="Arial" w:hAnsi="Arial" w:cs="Arial"/>
                <w:b/>
                <w:i/>
                <w:sz w:val="16"/>
                <w:szCs w:val="16"/>
              </w:rPr>
              <w:t>estadounidense</w:t>
            </w:r>
          </w:p>
          <w:p w:rsidR="00361FCE" w:rsidRPr="00660711" w:rsidRDefault="00361FCE" w:rsidP="00902050">
            <w:pPr>
              <w:rPr>
                <w:rFonts w:ascii="Arial" w:hAnsi="Arial" w:cs="Arial"/>
                <w:i/>
                <w:sz w:val="16"/>
                <w:szCs w:val="16"/>
              </w:rPr>
            </w:pPr>
            <w:r>
              <w:rPr>
                <w:noProof/>
                <w:lang w:eastAsia="es-EC"/>
              </w:rPr>
              <w:drawing>
                <wp:inline distT="0" distB="0" distL="0" distR="0">
                  <wp:extent cx="4581525" cy="1692000"/>
                  <wp:effectExtent l="0" t="0" r="0" b="0"/>
                  <wp:docPr id="348" name="Gráfico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c>
      </w:tr>
    </w:tbl>
    <w:p w:rsidR="00361FCE" w:rsidRPr="00D735DC" w:rsidRDefault="00361FCE" w:rsidP="00D735DC">
      <w:pPr>
        <w:pStyle w:val="Prrafodelista"/>
        <w:spacing w:line="276" w:lineRule="auto"/>
        <w:ind w:left="851"/>
        <w:jc w:val="both"/>
        <w:rPr>
          <w:rFonts w:ascii="Arial" w:hAnsi="Arial" w:cs="Arial"/>
          <w:sz w:val="17"/>
          <w:szCs w:val="17"/>
        </w:rPr>
      </w:pPr>
    </w:p>
    <w:p w:rsidR="00361FCE" w:rsidRPr="00D735DC" w:rsidRDefault="00361FCE" w:rsidP="00D735DC">
      <w:pPr>
        <w:pStyle w:val="Prrafodelista"/>
        <w:spacing w:line="276" w:lineRule="auto"/>
        <w:ind w:left="851"/>
        <w:jc w:val="both"/>
        <w:rPr>
          <w:rFonts w:ascii="Arial" w:hAnsi="Arial" w:cs="Arial"/>
          <w:sz w:val="17"/>
          <w:szCs w:val="17"/>
        </w:rPr>
      </w:pPr>
      <w:r w:rsidRPr="00D735DC">
        <w:rPr>
          <w:rFonts w:ascii="Arial" w:hAnsi="Arial" w:cs="Arial"/>
          <w:b/>
          <w:i/>
          <w:sz w:val="17"/>
          <w:szCs w:val="17"/>
        </w:rPr>
        <w:t>Fuente:</w:t>
      </w:r>
      <w:r w:rsidRPr="00D735DC">
        <w:rPr>
          <w:rFonts w:ascii="Arial" w:hAnsi="Arial" w:cs="Arial"/>
          <w:sz w:val="17"/>
          <w:szCs w:val="17"/>
        </w:rPr>
        <w:t xml:space="preserve"> </w:t>
      </w:r>
      <w:r w:rsidRPr="00D735DC">
        <w:rPr>
          <w:rFonts w:ascii="Arial" w:hAnsi="Arial" w:cs="Arial"/>
          <w:b/>
          <w:sz w:val="17"/>
          <w:szCs w:val="17"/>
        </w:rPr>
        <w:t xml:space="preserve">INEC </w:t>
      </w:r>
      <w:r w:rsidRPr="00D735DC">
        <w:rPr>
          <w:rFonts w:ascii="Arial" w:hAnsi="Arial" w:cs="Arial"/>
          <w:sz w:val="17"/>
          <w:szCs w:val="17"/>
        </w:rPr>
        <w:t>(2010), Base de Datos del VII Censo de Población y VI de Vivienda.</w:t>
      </w:r>
    </w:p>
    <w:p w:rsidR="00361FCE" w:rsidRPr="00D735DC" w:rsidRDefault="00361FCE" w:rsidP="00D735DC">
      <w:pPr>
        <w:pStyle w:val="Prrafodelista"/>
        <w:spacing w:line="276" w:lineRule="auto"/>
        <w:ind w:left="851"/>
        <w:jc w:val="both"/>
        <w:rPr>
          <w:rFonts w:ascii="Arial" w:hAnsi="Arial" w:cs="Arial"/>
          <w:sz w:val="17"/>
          <w:szCs w:val="17"/>
        </w:rPr>
      </w:pPr>
      <w:r w:rsidRPr="00D735DC">
        <w:rPr>
          <w:rFonts w:ascii="Arial" w:hAnsi="Arial" w:cs="Arial"/>
          <w:b/>
          <w:i/>
          <w:sz w:val="17"/>
          <w:szCs w:val="17"/>
        </w:rPr>
        <w:t>Elaborado por:</w:t>
      </w:r>
      <w:r w:rsidRPr="00D735DC">
        <w:rPr>
          <w:rFonts w:ascii="Arial" w:hAnsi="Arial" w:cs="Arial"/>
          <w:sz w:val="17"/>
          <w:szCs w:val="17"/>
        </w:rPr>
        <w:t xml:space="preserve"> Katherine Loor Valeriano</w:t>
      </w:r>
    </w:p>
    <w:p w:rsidR="00361FCE" w:rsidRDefault="00361FCE" w:rsidP="00D735DC">
      <w:pPr>
        <w:pStyle w:val="Estilo42"/>
        <w:ind w:left="1560" w:hanging="709"/>
      </w:pPr>
      <w:bookmarkStart w:id="639" w:name="_Toc337135550"/>
      <w:bookmarkStart w:id="640" w:name="_Toc341040700"/>
      <w:r>
        <w:lastRenderedPageBreak/>
        <w:t>Nivel de Instrucción</w:t>
      </w:r>
      <w:bookmarkEnd w:id="639"/>
      <w:r w:rsidR="00D735DC">
        <w:t xml:space="preserve"> de los estadounidenses</w:t>
      </w:r>
      <w:bookmarkEnd w:id="640"/>
    </w:p>
    <w:p w:rsidR="00361FCE" w:rsidRDefault="00361FCE" w:rsidP="00D735DC">
      <w:pPr>
        <w:pStyle w:val="Prrafodelista"/>
        <w:spacing w:line="480" w:lineRule="auto"/>
        <w:ind w:left="851"/>
        <w:jc w:val="both"/>
        <w:rPr>
          <w:rFonts w:ascii="Arial" w:hAnsi="Arial" w:cs="Arial"/>
        </w:rPr>
      </w:pPr>
      <w:r>
        <w:rPr>
          <w:rFonts w:ascii="Arial" w:hAnsi="Arial" w:cs="Arial"/>
        </w:rPr>
        <w:t xml:space="preserve">En primer lugar hablemos de los estadounidenses que son analfabetos, es decir aquellos que no saben ni leer ni escribir, recordemos además que solamente se consideran analfabetos a los mayores de 15 años. Por tanto del total de estadounidenses mayores de 15 años, el 0.28% de ellos son analfabetos, siendo este el porcentaje más bajo de analfabetismo a nivel de nacionalidad si la comparamos con la de los peruanos (2.08%) y la de los colombianos (6.61%). Además, en la </w:t>
      </w:r>
      <w:r>
        <w:rPr>
          <w:rFonts w:ascii="Arial" w:hAnsi="Arial" w:cs="Arial"/>
          <w:i/>
        </w:rPr>
        <w:t>Figura 4.64</w:t>
      </w:r>
      <w:r>
        <w:rPr>
          <w:rFonts w:ascii="Arial" w:hAnsi="Arial" w:cs="Arial"/>
        </w:rPr>
        <w:t xml:space="preserve">, se presentan las tasas de analfabetismo por cada 1000 estadounidenses por género y grupos de edad; en donde tenemos que para el caso de los hombres en 11 de los 17 grupos de edad la tasa de analfabetismo es igual a cero; mientras que para las mujeres la misma situación se presenta en 10 de los 16 grupos de edad. </w:t>
      </w:r>
    </w:p>
    <w:p w:rsidR="00361FCE" w:rsidRDefault="00361FCE" w:rsidP="00D735DC">
      <w:pPr>
        <w:pStyle w:val="Prrafodelista"/>
        <w:spacing w:line="480" w:lineRule="auto"/>
        <w:ind w:left="851"/>
        <w:jc w:val="both"/>
        <w:rPr>
          <w:rFonts w:ascii="Arial" w:hAnsi="Arial" w:cs="Arial"/>
        </w:rPr>
      </w:pPr>
    </w:p>
    <w:p w:rsidR="00361FCE" w:rsidRDefault="00361FCE" w:rsidP="00D735DC">
      <w:pPr>
        <w:pStyle w:val="Prrafodelista"/>
        <w:spacing w:line="480" w:lineRule="auto"/>
        <w:ind w:left="851"/>
        <w:jc w:val="both"/>
        <w:rPr>
          <w:rFonts w:ascii="Arial" w:hAnsi="Arial" w:cs="Arial"/>
        </w:rPr>
      </w:pPr>
      <w:r>
        <w:rPr>
          <w:rFonts w:ascii="Arial" w:hAnsi="Arial" w:cs="Arial"/>
        </w:rPr>
        <w:t>Por otra parte, la tasa más alta de analfabetismo en los hombres se da para los menores de 1 año, pues hay 5.79 hombres analfabetos por cada 1000 estadounidenses de género masculino y del mismo grupo de edad; y, para las mujeres la tasa más alta de analfabetismo se presenta en las edades comprendidas entre 40 y 45 años, pues hay 8.58 mujeres analfabetas por cada 1000 de ellas. Además, en ambos casos la tasa de analfabetismo para los mayores de 60 años es igual a cero. Por citar algunos casos, tenemos que por cada 1000 hombres estadounidenses con edades entre 20 y 25 años hay 1.96 que son analfabetos y 998.04 que saben leer y escribir; y, las mujeres de la misma nacionalidad y grupo etar</w:t>
      </w:r>
      <w:r w:rsidR="0070236C">
        <w:rPr>
          <w:rFonts w:ascii="Arial" w:hAnsi="Arial" w:cs="Arial"/>
        </w:rPr>
        <w:t>io todas saben leer y escribir; m</w:t>
      </w:r>
      <w:r>
        <w:rPr>
          <w:rFonts w:ascii="Arial" w:hAnsi="Arial" w:cs="Arial"/>
        </w:rPr>
        <w:t xml:space="preserve">ientras que, por cada 1000 hombres de Estados Unidos </w:t>
      </w:r>
      <w:r>
        <w:rPr>
          <w:rFonts w:ascii="Arial" w:hAnsi="Arial" w:cs="Arial"/>
        </w:rPr>
        <w:lastRenderedPageBreak/>
        <w:t>que habitualmente residen en el país y que tienen edades entre 25 y 30 años hay 3.09 que son analfabetos y 996.91 que no lo son; por cada 1000 mujeres con edades comprendidas en el mismo intervalo de edad 2.60 de ellas son analfabetas y 997.40 saben leer y escribir; y, para los estadounidenses con edades entre 30 y 35 años la tasa de analfabetismo es 3.45 para los hombres y 7.81 para las mujeres. V</w:t>
      </w:r>
      <w:r>
        <w:rPr>
          <w:rFonts w:ascii="Arial" w:hAnsi="Arial" w:cs="Arial"/>
          <w:i/>
        </w:rPr>
        <w:t>éase Figura 4.64.</w:t>
      </w:r>
      <w:r>
        <w:rPr>
          <w:rFonts w:ascii="Arial" w:hAnsi="Arial" w:cs="Arial"/>
        </w:rPr>
        <w:t xml:space="preserve"> </w:t>
      </w:r>
      <w:r w:rsidRPr="00C53F5A">
        <w:rPr>
          <w:rFonts w:ascii="Arial" w:hAnsi="Arial" w:cs="Arial"/>
        </w:rPr>
        <w:t xml:space="preserve">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70236C">
        <w:trPr>
          <w:trHeight w:val="4096"/>
          <w:jc w:val="right"/>
        </w:trPr>
        <w:tc>
          <w:tcPr>
            <w:tcW w:w="7497" w:type="dxa"/>
          </w:tcPr>
          <w:p w:rsidR="00361FCE" w:rsidRPr="00840530" w:rsidRDefault="00361FCE" w:rsidP="00902050">
            <w:pPr>
              <w:rPr>
                <w:rFonts w:ascii="Arial" w:hAnsi="Arial" w:cs="Arial"/>
                <w:sz w:val="16"/>
                <w:szCs w:val="16"/>
              </w:rPr>
            </w:pPr>
          </w:p>
          <w:p w:rsidR="00984944" w:rsidRPr="00984944" w:rsidRDefault="00984944" w:rsidP="00984944">
            <w:pPr>
              <w:pStyle w:val="Epgrafe"/>
              <w:rPr>
                <w:rFonts w:ascii="Arial" w:hAnsi="Arial" w:cs="Arial"/>
                <w:bCs w:val="0"/>
                <w:color w:val="auto"/>
                <w:sz w:val="16"/>
                <w:szCs w:val="16"/>
              </w:rPr>
            </w:pPr>
            <w:bookmarkStart w:id="641" w:name="_Toc341044036"/>
            <w:r>
              <w:rPr>
                <w:rFonts w:ascii="Arial" w:hAnsi="Arial" w:cs="Arial"/>
                <w:bCs w:val="0"/>
                <w:color w:val="auto"/>
                <w:sz w:val="16"/>
                <w:szCs w:val="16"/>
              </w:rPr>
              <w:t>Figura 4.</w:t>
            </w:r>
            <w:r w:rsidR="00990535" w:rsidRPr="00984944">
              <w:rPr>
                <w:rFonts w:ascii="Arial" w:hAnsi="Arial" w:cs="Arial"/>
                <w:bCs w:val="0"/>
                <w:color w:val="auto"/>
                <w:sz w:val="16"/>
                <w:szCs w:val="16"/>
              </w:rPr>
              <w:fldChar w:fldCharType="begin"/>
            </w:r>
            <w:r w:rsidRPr="00984944">
              <w:rPr>
                <w:rFonts w:ascii="Arial" w:hAnsi="Arial" w:cs="Arial"/>
                <w:bCs w:val="0"/>
                <w:color w:val="auto"/>
                <w:sz w:val="16"/>
                <w:szCs w:val="16"/>
              </w:rPr>
              <w:instrText xml:space="preserve"> SEQ Figura_4. \* ARABIC </w:instrText>
            </w:r>
            <w:r w:rsidR="00990535" w:rsidRPr="00984944">
              <w:rPr>
                <w:rFonts w:ascii="Arial" w:hAnsi="Arial" w:cs="Arial"/>
                <w:bCs w:val="0"/>
                <w:color w:val="auto"/>
                <w:sz w:val="16"/>
                <w:szCs w:val="16"/>
              </w:rPr>
              <w:fldChar w:fldCharType="separate"/>
            </w:r>
            <w:r w:rsidR="00A242E0">
              <w:rPr>
                <w:rFonts w:ascii="Arial" w:hAnsi="Arial" w:cs="Arial"/>
                <w:bCs w:val="0"/>
                <w:noProof/>
                <w:color w:val="auto"/>
                <w:sz w:val="16"/>
                <w:szCs w:val="16"/>
              </w:rPr>
              <w:t>64</w:t>
            </w:r>
            <w:bookmarkEnd w:id="641"/>
            <w:r w:rsidR="00990535" w:rsidRPr="00984944">
              <w:rPr>
                <w:rFonts w:ascii="Arial" w:hAnsi="Arial" w:cs="Arial"/>
                <w:bCs w:val="0"/>
                <w:color w:val="auto"/>
                <w:sz w:val="16"/>
                <w:szCs w:val="16"/>
              </w:rPr>
              <w:fldChar w:fldCharType="end"/>
            </w:r>
          </w:p>
          <w:p w:rsidR="00361FCE" w:rsidRDefault="0070236C" w:rsidP="00902050">
            <w:pPr>
              <w:rPr>
                <w:rFonts w:ascii="Arial" w:hAnsi="Arial" w:cs="Arial"/>
                <w:i/>
                <w:sz w:val="16"/>
                <w:szCs w:val="16"/>
              </w:rPr>
            </w:pPr>
            <w:r>
              <w:rPr>
                <w:rFonts w:ascii="Arial" w:hAnsi="Arial" w:cs="Arial"/>
                <w:b/>
                <w:i/>
                <w:sz w:val="16"/>
                <w:szCs w:val="16"/>
              </w:rPr>
              <w:t xml:space="preserve">Ecuador 2010: </w:t>
            </w:r>
            <w:r w:rsidRPr="008912B6">
              <w:rPr>
                <w:rFonts w:ascii="Arial" w:hAnsi="Arial" w:cs="Arial"/>
                <w:i/>
                <w:sz w:val="16"/>
                <w:szCs w:val="16"/>
              </w:rPr>
              <w:t xml:space="preserve">Tasa de Analfabetismo por cada 1000 </w:t>
            </w:r>
            <w:r>
              <w:rPr>
                <w:rFonts w:ascii="Arial" w:hAnsi="Arial" w:cs="Arial"/>
                <w:b/>
                <w:i/>
                <w:sz w:val="16"/>
                <w:szCs w:val="16"/>
              </w:rPr>
              <w:t>estadounidenses</w:t>
            </w:r>
            <w:r w:rsidRPr="008912B6">
              <w:rPr>
                <w:rFonts w:ascii="Arial" w:hAnsi="Arial" w:cs="Arial"/>
                <w:i/>
                <w:sz w:val="16"/>
                <w:szCs w:val="16"/>
              </w:rPr>
              <w:t xml:space="preserve"> por Género y Grupo etario</w:t>
            </w:r>
          </w:p>
          <w:p w:rsidR="00361FCE" w:rsidRDefault="00436907" w:rsidP="00902050">
            <w:pPr>
              <w:rPr>
                <w:rFonts w:ascii="Arial" w:hAnsi="Arial" w:cs="Arial"/>
                <w:i/>
                <w:sz w:val="16"/>
                <w:szCs w:val="16"/>
              </w:rPr>
            </w:pPr>
            <w:r>
              <w:rPr>
                <w:rFonts w:ascii="Arial" w:hAnsi="Arial" w:cs="Arial"/>
                <w:b/>
                <w:i/>
                <w:noProof/>
                <w:sz w:val="18"/>
                <w:szCs w:val="18"/>
                <w:lang w:eastAsia="es-EC"/>
              </w:rPr>
              <w:pict>
                <v:shape id="_x0000_s1642" type="#_x0000_t202" style="position:absolute;left:0;text-align:left;margin-left:148.45pt;margin-top:25.75pt;width:89.8pt;height:15.8pt;z-index:2515891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642;mso-fit-shape-to-text:t">
                    <w:txbxContent>
                      <w:p w:rsidR="006933DF" w:rsidRPr="009C2ABD" w:rsidRDefault="006933DF" w:rsidP="00361FCE">
                        <w:pPr>
                          <w:rPr>
                            <w:rFonts w:ascii="Arial" w:hAnsi="Arial" w:cs="Arial"/>
                            <w:color w:val="0070C0"/>
                            <w:sz w:val="15"/>
                            <w:szCs w:val="15"/>
                          </w:rPr>
                        </w:pPr>
                        <w:r w:rsidRPr="009C2ABD">
                          <w:rPr>
                            <w:rFonts w:ascii="Arial" w:hAnsi="Arial" w:cs="Arial"/>
                            <w:color w:val="0070C0"/>
                            <w:sz w:val="15"/>
                            <w:szCs w:val="15"/>
                          </w:rPr>
                          <w:t>Alfabeto</w:t>
                        </w:r>
                      </w:p>
                    </w:txbxContent>
                  </v:textbox>
                </v:shape>
              </w:pict>
            </w:r>
            <w:r>
              <w:rPr>
                <w:rFonts w:ascii="Arial" w:hAnsi="Arial" w:cs="Arial"/>
                <w:b/>
                <w:i/>
                <w:noProof/>
                <w:sz w:val="18"/>
                <w:szCs w:val="18"/>
                <w:lang w:eastAsia="es-EC"/>
              </w:rPr>
              <w:pict>
                <v:shape id="_x0000_s2261" type="#_x0000_t32" style="position:absolute;left:0;text-align:left;margin-left:170.55pt;margin-top:12.95pt;width:21pt;height:15.8pt;flip:x y;z-index:251992576" o:connectortype="straight" strokecolor="#0070c0">
                  <v:stroke endarrow="block"/>
                </v:shape>
              </w:pict>
            </w:r>
            <w:r>
              <w:rPr>
                <w:rFonts w:ascii="Arial" w:hAnsi="Arial" w:cs="Arial"/>
                <w:b/>
                <w:i/>
                <w:noProof/>
                <w:sz w:val="18"/>
                <w:szCs w:val="18"/>
                <w:lang w:eastAsia="es-EC"/>
              </w:rPr>
              <w:pict>
                <v:shape id="_x0000_s1644" type="#_x0000_t202" style="position:absolute;left:0;text-align:left;margin-left:145.45pt;margin-top:74pt;width:89.8pt;height:15.8pt;z-index:2515911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644;mso-fit-shape-to-text:t">
                    <w:txbxContent>
                      <w:p w:rsidR="006933DF" w:rsidRPr="009C2ABD" w:rsidRDefault="006933DF" w:rsidP="00361FCE">
                        <w:pPr>
                          <w:rPr>
                            <w:rFonts w:ascii="Arial" w:hAnsi="Arial" w:cs="Arial"/>
                            <w:color w:val="E36C0A" w:themeColor="accent6" w:themeShade="BF"/>
                            <w:sz w:val="15"/>
                            <w:szCs w:val="15"/>
                          </w:rPr>
                        </w:pPr>
                        <w:r w:rsidRPr="009C2ABD">
                          <w:rPr>
                            <w:rFonts w:ascii="Arial" w:hAnsi="Arial" w:cs="Arial"/>
                            <w:color w:val="E36C0A" w:themeColor="accent6" w:themeShade="BF"/>
                            <w:sz w:val="15"/>
                            <w:szCs w:val="15"/>
                          </w:rPr>
                          <w:t>Analfabeto</w:t>
                        </w:r>
                      </w:p>
                    </w:txbxContent>
                  </v:textbox>
                </v:shape>
              </w:pict>
            </w:r>
            <w:r>
              <w:rPr>
                <w:rFonts w:ascii="Arial" w:hAnsi="Arial" w:cs="Arial"/>
                <w:b/>
                <w:i/>
                <w:noProof/>
                <w:sz w:val="18"/>
                <w:szCs w:val="18"/>
                <w:lang w:eastAsia="es-EC"/>
              </w:rPr>
              <w:pict>
                <v:shape id="_x0000_s2258" type="#_x0000_t32" style="position:absolute;left:0;text-align:left;margin-left:170.55pt;margin-top:85.95pt;width:17.25pt;height:12pt;flip:x;z-index:251989504" o:connectortype="straight" strokecolor="#e36c0a [2409]">
                  <v:stroke endarrow="block"/>
                </v:shape>
              </w:pict>
            </w:r>
            <w:r>
              <w:rPr>
                <w:rFonts w:ascii="Arial" w:hAnsi="Arial" w:cs="Arial"/>
                <w:b/>
                <w:i/>
                <w:noProof/>
                <w:sz w:val="18"/>
                <w:szCs w:val="18"/>
                <w:lang w:eastAsia="es-EC"/>
              </w:rPr>
              <w:pict>
                <v:shape id="_x0000_s1643" type="#_x0000_t202" style="position:absolute;left:0;text-align:left;margin-left:246.5pt;margin-top:13.6pt;width:104.75pt;height:17.9pt;z-index:25159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643">
                    <w:txbxContent>
                      <w:p w:rsidR="006933DF" w:rsidRPr="00C800F3"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t xml:space="preserve"> </w:t>
            </w:r>
            <w:r w:rsidR="00361FCE">
              <w:rPr>
                <w:noProof/>
                <w:lang w:eastAsia="es-EC"/>
              </w:rPr>
              <w:drawing>
                <wp:inline distT="0" distB="0" distL="0" distR="0">
                  <wp:extent cx="4211955" cy="1800000"/>
                  <wp:effectExtent l="0" t="0" r="0" b="0"/>
                  <wp:docPr id="349" name="Gráfico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645" type="#_x0000_t202" style="position:absolute;left:0;text-align:left;margin-left:152.95pt;margin-top:28pt;width:89.8pt;height:15.8pt;z-index:2515921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645;mso-fit-shape-to-text:t">
                    <w:txbxContent>
                      <w:p w:rsidR="006933DF" w:rsidRPr="009C2ABD" w:rsidRDefault="006933DF" w:rsidP="00361FCE">
                        <w:pPr>
                          <w:rPr>
                            <w:rFonts w:ascii="Arial" w:hAnsi="Arial" w:cs="Arial"/>
                            <w:color w:val="0070C0"/>
                            <w:sz w:val="15"/>
                            <w:szCs w:val="15"/>
                          </w:rPr>
                        </w:pPr>
                        <w:r w:rsidRPr="009C2ABD">
                          <w:rPr>
                            <w:rFonts w:ascii="Arial" w:hAnsi="Arial" w:cs="Arial"/>
                            <w:color w:val="0070C0"/>
                            <w:sz w:val="15"/>
                            <w:szCs w:val="15"/>
                          </w:rPr>
                          <w:t>Alfabeto</w:t>
                        </w:r>
                      </w:p>
                    </w:txbxContent>
                  </v:textbox>
                </v:shape>
              </w:pict>
            </w:r>
            <w:r>
              <w:rPr>
                <w:rFonts w:ascii="Arial" w:hAnsi="Arial" w:cs="Arial"/>
                <w:noProof/>
                <w:sz w:val="16"/>
                <w:szCs w:val="16"/>
                <w:lang w:eastAsia="es-EC"/>
              </w:rPr>
              <w:pict>
                <v:shape id="_x0000_s2260" type="#_x0000_t32" style="position:absolute;left:0;text-align:left;margin-left:170.55pt;margin-top:12.35pt;width:25.5pt;height:17.9pt;flip:x y;z-index:251991552" o:connectortype="straight" strokecolor="#0070c0">
                  <v:stroke endarrow="block"/>
                </v:shape>
              </w:pict>
            </w:r>
            <w:r>
              <w:rPr>
                <w:rFonts w:ascii="Arial" w:hAnsi="Arial" w:cs="Arial"/>
                <w:noProof/>
                <w:sz w:val="16"/>
                <w:szCs w:val="16"/>
                <w:lang w:eastAsia="es-EC"/>
              </w:rPr>
              <w:pict>
                <v:shape id="_x0000_s1647" type="#_x0000_t202" style="position:absolute;left:0;text-align:left;margin-left:146.95pt;margin-top:73.95pt;width:89.8pt;height:15.8pt;z-index:251594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647;mso-fit-shape-to-text:t">
                    <w:txbxContent>
                      <w:p w:rsidR="006933DF" w:rsidRPr="009C2ABD" w:rsidRDefault="006933DF" w:rsidP="00361FCE">
                        <w:pPr>
                          <w:rPr>
                            <w:rFonts w:ascii="Arial" w:hAnsi="Arial" w:cs="Arial"/>
                            <w:color w:val="E36C0A" w:themeColor="accent6" w:themeShade="BF"/>
                            <w:sz w:val="15"/>
                            <w:szCs w:val="15"/>
                          </w:rPr>
                        </w:pPr>
                        <w:r w:rsidRPr="009C2ABD">
                          <w:rPr>
                            <w:rFonts w:ascii="Arial" w:hAnsi="Arial" w:cs="Arial"/>
                            <w:color w:val="E36C0A" w:themeColor="accent6" w:themeShade="BF"/>
                            <w:sz w:val="15"/>
                            <w:szCs w:val="15"/>
                          </w:rPr>
                          <w:t>Analfabeto</w:t>
                        </w:r>
                      </w:p>
                    </w:txbxContent>
                  </v:textbox>
                </v:shape>
              </w:pict>
            </w:r>
            <w:r>
              <w:rPr>
                <w:rFonts w:ascii="Arial" w:hAnsi="Arial" w:cs="Arial"/>
                <w:noProof/>
                <w:sz w:val="16"/>
                <w:szCs w:val="16"/>
                <w:lang w:eastAsia="es-EC"/>
              </w:rPr>
              <w:pict>
                <v:shape id="_x0000_s2259" type="#_x0000_t32" style="position:absolute;left:0;text-align:left;margin-left:170.55pt;margin-top:85.25pt;width:21pt;height:15.75pt;flip:x;z-index:251990528" o:connectortype="straight" strokecolor="#e36c0a [2409]">
                  <v:stroke endarrow="block"/>
                </v:shape>
              </w:pict>
            </w:r>
            <w:r>
              <w:rPr>
                <w:rFonts w:ascii="Arial" w:hAnsi="Arial" w:cs="Arial"/>
                <w:noProof/>
                <w:sz w:val="16"/>
                <w:szCs w:val="16"/>
                <w:lang w:eastAsia="es-EC"/>
              </w:rPr>
              <w:pict>
                <v:shape id="_x0000_s1646" type="#_x0000_t202" style="position:absolute;left:0;text-align:left;margin-left:246.5pt;margin-top:12.35pt;width:104.75pt;height:17.9pt;z-index:25159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646">
                    <w:txbxContent>
                      <w:p w:rsidR="006933DF" w:rsidRPr="00C800F3"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t xml:space="preserve"> </w:t>
            </w:r>
            <w:r w:rsidR="00361FCE">
              <w:rPr>
                <w:noProof/>
                <w:lang w:eastAsia="es-EC"/>
              </w:rPr>
              <w:drawing>
                <wp:inline distT="0" distB="0" distL="0" distR="0">
                  <wp:extent cx="4211955" cy="1800000"/>
                  <wp:effectExtent l="0" t="0" r="0" b="0"/>
                  <wp:docPr id="350" name="Gráfico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c>
      </w:tr>
    </w:tbl>
    <w:p w:rsidR="00361FCE" w:rsidRPr="0070236C" w:rsidRDefault="00361FCE" w:rsidP="0070236C">
      <w:pPr>
        <w:pStyle w:val="Prrafodelista"/>
        <w:spacing w:line="276" w:lineRule="auto"/>
        <w:ind w:left="851"/>
        <w:jc w:val="both"/>
        <w:rPr>
          <w:rFonts w:ascii="Arial" w:hAnsi="Arial" w:cs="Arial"/>
          <w:sz w:val="17"/>
          <w:szCs w:val="17"/>
        </w:rPr>
      </w:pPr>
    </w:p>
    <w:p w:rsidR="00361FCE" w:rsidRPr="0070236C" w:rsidRDefault="00361FCE" w:rsidP="0070236C">
      <w:pPr>
        <w:pStyle w:val="Prrafodelista"/>
        <w:spacing w:line="276" w:lineRule="auto"/>
        <w:ind w:left="851"/>
        <w:jc w:val="both"/>
        <w:rPr>
          <w:rFonts w:ascii="Arial" w:hAnsi="Arial" w:cs="Arial"/>
          <w:sz w:val="17"/>
          <w:szCs w:val="17"/>
        </w:rPr>
      </w:pPr>
      <w:r w:rsidRPr="0070236C">
        <w:rPr>
          <w:rFonts w:ascii="Arial" w:hAnsi="Arial" w:cs="Arial"/>
          <w:b/>
          <w:i/>
          <w:sz w:val="17"/>
          <w:szCs w:val="17"/>
        </w:rPr>
        <w:t>Fuente:</w:t>
      </w:r>
      <w:r w:rsidRPr="0070236C">
        <w:rPr>
          <w:rFonts w:ascii="Arial" w:hAnsi="Arial" w:cs="Arial"/>
          <w:sz w:val="17"/>
          <w:szCs w:val="17"/>
        </w:rPr>
        <w:t xml:space="preserve"> </w:t>
      </w:r>
      <w:r w:rsidRPr="0070236C">
        <w:rPr>
          <w:rFonts w:ascii="Arial" w:hAnsi="Arial" w:cs="Arial"/>
          <w:b/>
          <w:sz w:val="17"/>
          <w:szCs w:val="17"/>
        </w:rPr>
        <w:t xml:space="preserve">INEC </w:t>
      </w:r>
      <w:r w:rsidRPr="0070236C">
        <w:rPr>
          <w:rFonts w:ascii="Arial" w:hAnsi="Arial" w:cs="Arial"/>
          <w:sz w:val="17"/>
          <w:szCs w:val="17"/>
        </w:rPr>
        <w:t>(2010), Base de Datos del VII Censo de Población y VI de Vivienda.</w:t>
      </w:r>
    </w:p>
    <w:p w:rsidR="00361FCE" w:rsidRDefault="00361FCE" w:rsidP="0070236C">
      <w:pPr>
        <w:pStyle w:val="Prrafodelista"/>
        <w:spacing w:line="276" w:lineRule="auto"/>
        <w:ind w:left="851"/>
        <w:jc w:val="both"/>
        <w:rPr>
          <w:rFonts w:ascii="Arial" w:hAnsi="Arial" w:cs="Arial"/>
          <w:sz w:val="18"/>
          <w:szCs w:val="18"/>
        </w:rPr>
      </w:pPr>
      <w:r w:rsidRPr="0070236C">
        <w:rPr>
          <w:rFonts w:ascii="Arial" w:hAnsi="Arial" w:cs="Arial"/>
          <w:b/>
          <w:i/>
          <w:sz w:val="17"/>
          <w:szCs w:val="17"/>
        </w:rPr>
        <w:t>Elaborado por:</w:t>
      </w:r>
      <w:r w:rsidRPr="0070236C">
        <w:rPr>
          <w:rFonts w:ascii="Arial" w:hAnsi="Arial" w:cs="Arial"/>
          <w:sz w:val="17"/>
          <w:szCs w:val="17"/>
        </w:rPr>
        <w:t xml:space="preserve"> Katherine Loor Valeriano</w:t>
      </w:r>
    </w:p>
    <w:p w:rsidR="00361FCE" w:rsidRDefault="00361FCE" w:rsidP="0070236C">
      <w:pPr>
        <w:pStyle w:val="Prrafodelista"/>
        <w:spacing w:line="480" w:lineRule="auto"/>
        <w:ind w:left="851"/>
        <w:jc w:val="both"/>
        <w:rPr>
          <w:rFonts w:ascii="Arial" w:hAnsi="Arial" w:cs="Arial"/>
        </w:rPr>
      </w:pPr>
    </w:p>
    <w:p w:rsidR="00361FCE" w:rsidRPr="00E6731D" w:rsidRDefault="00361FCE" w:rsidP="0070236C">
      <w:pPr>
        <w:pStyle w:val="Prrafodelista"/>
        <w:spacing w:line="480" w:lineRule="auto"/>
        <w:ind w:left="851"/>
        <w:jc w:val="both"/>
        <w:rPr>
          <w:rFonts w:ascii="Arial" w:hAnsi="Arial" w:cs="Arial"/>
          <w:i/>
        </w:rPr>
      </w:pPr>
      <w:r>
        <w:rPr>
          <w:rFonts w:ascii="Arial" w:hAnsi="Arial" w:cs="Arial"/>
        </w:rPr>
        <w:t xml:space="preserve">Ahora nuestro interés está en conocer cual es el nivel más alto de instrucción de los estadounidenses que residen en el país, en donde tenemos que el 39.06% del total de estadounidenses tienen hasta </w:t>
      </w:r>
      <w:r>
        <w:rPr>
          <w:rFonts w:ascii="Arial" w:hAnsi="Arial" w:cs="Arial"/>
        </w:rPr>
        <w:lastRenderedPageBreak/>
        <w:t>instrucción primaria, el 24.54% secundaria, 34.88% hasta instrucción superior sea a nivel de pregrado o postgrado; y, el porcentaje restante no respondieron esta pregunta o no han recibido instrucción alguna. Cabe mencionar que a diferencia de los peruanos y de los colombianos ningún estadounidense asiste a algún Centro de Alfabetización.</w:t>
      </w:r>
      <w:r w:rsidR="0070236C">
        <w:rPr>
          <w:rFonts w:ascii="Arial" w:hAnsi="Arial" w:cs="Arial"/>
        </w:rPr>
        <w:t xml:space="preserve"> </w:t>
      </w:r>
      <w:r>
        <w:rPr>
          <w:rFonts w:ascii="Arial" w:hAnsi="Arial" w:cs="Arial"/>
        </w:rPr>
        <w:t xml:space="preserve">En la </w:t>
      </w:r>
      <w:r>
        <w:rPr>
          <w:rFonts w:ascii="Arial" w:hAnsi="Arial" w:cs="Arial"/>
          <w:i/>
        </w:rPr>
        <w:t>Figura 4.65</w:t>
      </w:r>
      <w:r>
        <w:rPr>
          <w:rFonts w:ascii="Arial" w:hAnsi="Arial" w:cs="Arial"/>
        </w:rPr>
        <w:t xml:space="preserve">, se presenta la distribución de género, edad y nivel más alto de instrucción de la población estadounidense que habitualmente reside en el Ecuador, en donde se puede observar que el 14.86% de los estadounidenses son hombres con edades entre 5 y 10 años que tienen hasta instrucción primaria, el 14.38% del total de estadounidenses son mujeres con edades comprendidas en el mismo grupo etarios y con instrucción primaria, el 2.93% son hombres con edades entre 20 y 25 años que tienen hasta instrucción superior; y, el 4.29% son mujeres con edades comprendidas en el mismo grupo de edad y con instrucción superior.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70236C">
        <w:trPr>
          <w:trHeight w:val="3099"/>
          <w:jc w:val="right"/>
        </w:trPr>
        <w:tc>
          <w:tcPr>
            <w:tcW w:w="7497" w:type="dxa"/>
          </w:tcPr>
          <w:p w:rsidR="00361FCE" w:rsidRPr="00840530" w:rsidRDefault="00361FCE" w:rsidP="00902050">
            <w:pPr>
              <w:rPr>
                <w:rFonts w:ascii="Arial" w:hAnsi="Arial" w:cs="Arial"/>
                <w:sz w:val="16"/>
                <w:szCs w:val="16"/>
              </w:rPr>
            </w:pPr>
          </w:p>
          <w:p w:rsidR="00984944" w:rsidRPr="00984944" w:rsidRDefault="00984944" w:rsidP="00984944">
            <w:pPr>
              <w:pStyle w:val="Epgrafe"/>
              <w:rPr>
                <w:rFonts w:ascii="Arial" w:hAnsi="Arial" w:cs="Arial"/>
                <w:bCs w:val="0"/>
                <w:color w:val="auto"/>
                <w:sz w:val="16"/>
                <w:szCs w:val="16"/>
              </w:rPr>
            </w:pPr>
            <w:bookmarkStart w:id="642" w:name="_Toc341044037"/>
            <w:r>
              <w:rPr>
                <w:rFonts w:ascii="Arial" w:hAnsi="Arial" w:cs="Arial"/>
                <w:bCs w:val="0"/>
                <w:color w:val="auto"/>
                <w:sz w:val="16"/>
                <w:szCs w:val="16"/>
              </w:rPr>
              <w:t>Figura 4.</w:t>
            </w:r>
            <w:r w:rsidR="00990535" w:rsidRPr="00984944">
              <w:rPr>
                <w:rFonts w:ascii="Arial" w:hAnsi="Arial" w:cs="Arial"/>
                <w:bCs w:val="0"/>
                <w:color w:val="auto"/>
                <w:sz w:val="16"/>
                <w:szCs w:val="16"/>
              </w:rPr>
              <w:fldChar w:fldCharType="begin"/>
            </w:r>
            <w:r w:rsidRPr="00984944">
              <w:rPr>
                <w:rFonts w:ascii="Arial" w:hAnsi="Arial" w:cs="Arial"/>
                <w:bCs w:val="0"/>
                <w:color w:val="auto"/>
                <w:sz w:val="16"/>
                <w:szCs w:val="16"/>
              </w:rPr>
              <w:instrText xml:space="preserve"> SEQ Figura_4. \* ARABIC </w:instrText>
            </w:r>
            <w:r w:rsidR="00990535" w:rsidRPr="00984944">
              <w:rPr>
                <w:rFonts w:ascii="Arial" w:hAnsi="Arial" w:cs="Arial"/>
                <w:bCs w:val="0"/>
                <w:color w:val="auto"/>
                <w:sz w:val="16"/>
                <w:szCs w:val="16"/>
              </w:rPr>
              <w:fldChar w:fldCharType="separate"/>
            </w:r>
            <w:r w:rsidR="00A242E0">
              <w:rPr>
                <w:rFonts w:ascii="Arial" w:hAnsi="Arial" w:cs="Arial"/>
                <w:bCs w:val="0"/>
                <w:noProof/>
                <w:color w:val="auto"/>
                <w:sz w:val="16"/>
                <w:szCs w:val="16"/>
              </w:rPr>
              <w:t>65</w:t>
            </w:r>
            <w:bookmarkEnd w:id="642"/>
            <w:r w:rsidR="00990535" w:rsidRPr="00984944">
              <w:rPr>
                <w:rFonts w:ascii="Arial" w:hAnsi="Arial" w:cs="Arial"/>
                <w:bCs w:val="0"/>
                <w:color w:val="auto"/>
                <w:sz w:val="16"/>
                <w:szCs w:val="16"/>
              </w:rPr>
              <w:fldChar w:fldCharType="end"/>
            </w:r>
          </w:p>
          <w:p w:rsidR="00361FCE" w:rsidRDefault="0070236C"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Distribución Género – Edad – Nivel de Instrucción de los </w:t>
            </w:r>
            <w:r>
              <w:rPr>
                <w:rFonts w:ascii="Arial" w:hAnsi="Arial" w:cs="Arial"/>
                <w:b/>
                <w:i/>
                <w:sz w:val="16"/>
                <w:szCs w:val="16"/>
              </w:rPr>
              <w:t>estadounidenses</w:t>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649" type="#_x0000_t202" style="position:absolute;left:0;text-align:left;margin-left:183.25pt;margin-top:5.05pt;width:127.3pt;height:16.3pt;z-index:25159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OC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iEiNElncgTkitg2HQcTFRaMB9p6TD&#10;Ia+o/3ZgTlKi3xlsz3I8ncatSMp0Ni9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0+Dgi8CAABWBAAADgAAAAAAAAAAAAAAAAAuAgAAZHJz&#10;L2Uyb0RvYy54bWxQSwECLQAUAAYACAAAACEA/S8y1tsAAAAFAQAADwAAAAAAAAAAAAAAAACJBAAA&#10;ZHJzL2Rvd25yZXYueG1sUEsFBgAAAAAEAAQA8wAAAJEFAAAAAA==&#10;" filled="f" stroked="f">
                  <v:textbox>
                    <w:txbxContent>
                      <w:p w:rsidR="006933DF" w:rsidRPr="002D6729" w:rsidRDefault="006933DF" w:rsidP="00361FCE">
                        <w:pPr>
                          <w:rPr>
                            <w:rFonts w:ascii="Arial" w:hAnsi="Arial" w:cs="Arial"/>
                            <w:b/>
                            <w:sz w:val="15"/>
                            <w:szCs w:val="15"/>
                          </w:rPr>
                        </w:pPr>
                        <w:r w:rsidRPr="002D6729">
                          <w:rPr>
                            <w:rFonts w:ascii="Arial" w:hAnsi="Arial" w:cs="Arial"/>
                            <w:b/>
                            <w:sz w:val="15"/>
                            <w:szCs w:val="15"/>
                          </w:rPr>
                          <w:t>Femenino</w:t>
                        </w:r>
                      </w:p>
                    </w:txbxContent>
                  </v:textbox>
                </v:shape>
              </w:pict>
            </w:r>
            <w:r>
              <w:rPr>
                <w:noProof/>
              </w:rPr>
              <w:pict>
                <v:shape id="_x0000_s1648" type="#_x0000_t202" style="position:absolute;left:0;text-align:left;margin-left:55.95pt;margin-top:5.8pt;width:127.3pt;height:16.3pt;z-index:251595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OC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iEiNElncgTkitg2HQcTFRaMB9p6TD&#10;Ia+o/3ZgTlKi3xlsz3I8ncatSMp0Ni9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20+Dgi8CAABWBAAADgAAAAAAAAAAAAAAAAAuAgAAZHJz&#10;L2Uyb0RvYy54bWxQSwECLQAUAAYACAAAACEA/S8y1tsAAAAFAQAADwAAAAAAAAAAAAAAAACJBAAA&#10;ZHJzL2Rvd25yZXYueG1sUEsFBgAAAAAEAAQA8wAAAJEFAAAAAA==&#10;" filled="f" stroked="f">
                  <v:textbox>
                    <w:txbxContent>
                      <w:p w:rsidR="006933DF" w:rsidRPr="002D6729" w:rsidRDefault="006933DF" w:rsidP="00361FCE">
                        <w:pPr>
                          <w:rPr>
                            <w:rFonts w:ascii="Arial" w:hAnsi="Arial" w:cs="Arial"/>
                            <w:b/>
                            <w:sz w:val="15"/>
                            <w:szCs w:val="15"/>
                          </w:rPr>
                        </w:pPr>
                        <w:r w:rsidRPr="002D6729">
                          <w:rPr>
                            <w:rFonts w:ascii="Arial" w:hAnsi="Arial" w:cs="Arial"/>
                            <w:b/>
                            <w:sz w:val="15"/>
                            <w:szCs w:val="15"/>
                          </w:rPr>
                          <w:t>Masculino</w:t>
                        </w:r>
                      </w:p>
                    </w:txbxContent>
                  </v:textbox>
                </v:shape>
              </w:pict>
            </w:r>
            <w:r w:rsidR="00361FCE">
              <w:rPr>
                <w:noProof/>
                <w:lang w:eastAsia="es-EC"/>
              </w:rPr>
              <w:t xml:space="preserve"> </w:t>
            </w:r>
            <w:r w:rsidR="00361FCE">
              <w:rPr>
                <w:noProof/>
                <w:lang w:eastAsia="es-EC"/>
              </w:rPr>
              <w:drawing>
                <wp:inline distT="0" distB="0" distL="0" distR="0">
                  <wp:extent cx="4486275" cy="2304000"/>
                  <wp:effectExtent l="0" t="0" r="0" b="0"/>
                  <wp:docPr id="351" name="Gráfico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r>
    </w:tbl>
    <w:p w:rsidR="00361FCE" w:rsidRPr="0070236C" w:rsidRDefault="00361FCE" w:rsidP="0070236C">
      <w:pPr>
        <w:pStyle w:val="Prrafodelista"/>
        <w:spacing w:line="276" w:lineRule="auto"/>
        <w:ind w:left="851"/>
        <w:jc w:val="both"/>
        <w:rPr>
          <w:rFonts w:ascii="Arial" w:hAnsi="Arial" w:cs="Arial"/>
          <w:sz w:val="17"/>
          <w:szCs w:val="17"/>
        </w:rPr>
      </w:pPr>
    </w:p>
    <w:p w:rsidR="00361FCE" w:rsidRPr="0070236C" w:rsidRDefault="00361FCE" w:rsidP="0070236C">
      <w:pPr>
        <w:pStyle w:val="Prrafodelista"/>
        <w:spacing w:line="276" w:lineRule="auto"/>
        <w:ind w:left="851"/>
        <w:jc w:val="both"/>
        <w:rPr>
          <w:rFonts w:ascii="Arial" w:hAnsi="Arial" w:cs="Arial"/>
          <w:sz w:val="17"/>
          <w:szCs w:val="17"/>
        </w:rPr>
      </w:pPr>
      <w:r w:rsidRPr="0070236C">
        <w:rPr>
          <w:rFonts w:ascii="Arial" w:hAnsi="Arial" w:cs="Arial"/>
          <w:b/>
          <w:i/>
          <w:sz w:val="17"/>
          <w:szCs w:val="17"/>
        </w:rPr>
        <w:t>Fuente:</w:t>
      </w:r>
      <w:r w:rsidRPr="0070236C">
        <w:rPr>
          <w:rFonts w:ascii="Arial" w:hAnsi="Arial" w:cs="Arial"/>
          <w:sz w:val="17"/>
          <w:szCs w:val="17"/>
        </w:rPr>
        <w:t xml:space="preserve"> </w:t>
      </w:r>
      <w:r w:rsidRPr="0070236C">
        <w:rPr>
          <w:rFonts w:ascii="Arial" w:hAnsi="Arial" w:cs="Arial"/>
          <w:b/>
          <w:sz w:val="17"/>
          <w:szCs w:val="17"/>
        </w:rPr>
        <w:t xml:space="preserve">INEC </w:t>
      </w:r>
      <w:r w:rsidRPr="0070236C">
        <w:rPr>
          <w:rFonts w:ascii="Arial" w:hAnsi="Arial" w:cs="Arial"/>
          <w:sz w:val="17"/>
          <w:szCs w:val="17"/>
        </w:rPr>
        <w:t>(2010), Base de Datos del VII Censo de Población y VI de Vivienda.</w:t>
      </w:r>
    </w:p>
    <w:p w:rsidR="00361FCE" w:rsidRPr="0070236C" w:rsidRDefault="00361FCE" w:rsidP="0070236C">
      <w:pPr>
        <w:pStyle w:val="Prrafodelista"/>
        <w:spacing w:line="276" w:lineRule="auto"/>
        <w:ind w:left="851"/>
        <w:jc w:val="both"/>
        <w:rPr>
          <w:rFonts w:ascii="Arial" w:hAnsi="Arial" w:cs="Arial"/>
          <w:sz w:val="17"/>
          <w:szCs w:val="17"/>
        </w:rPr>
      </w:pPr>
      <w:r w:rsidRPr="0070236C">
        <w:rPr>
          <w:rFonts w:ascii="Arial" w:hAnsi="Arial" w:cs="Arial"/>
          <w:b/>
          <w:i/>
          <w:sz w:val="17"/>
          <w:szCs w:val="17"/>
        </w:rPr>
        <w:t>Elaborado por:</w:t>
      </w:r>
      <w:r w:rsidRPr="0070236C">
        <w:rPr>
          <w:rFonts w:ascii="Arial" w:hAnsi="Arial" w:cs="Arial"/>
          <w:sz w:val="17"/>
          <w:szCs w:val="17"/>
        </w:rPr>
        <w:t xml:space="preserve"> Katherine Loor Valeriano</w:t>
      </w:r>
    </w:p>
    <w:p w:rsidR="00361FCE" w:rsidRPr="00A52A65" w:rsidRDefault="00361FCE" w:rsidP="0070236C">
      <w:pPr>
        <w:pStyle w:val="Prrafodelista"/>
        <w:spacing w:line="480" w:lineRule="auto"/>
        <w:ind w:left="851"/>
        <w:jc w:val="both"/>
        <w:rPr>
          <w:rFonts w:ascii="Arial" w:hAnsi="Arial" w:cs="Arial"/>
          <w:i/>
        </w:rPr>
      </w:pPr>
      <w:r>
        <w:rPr>
          <w:rFonts w:ascii="Arial" w:hAnsi="Arial" w:cs="Arial"/>
        </w:rPr>
        <w:lastRenderedPageBreak/>
        <w:t xml:space="preserve">Del total de estadounidenses que tienen hasta instrucción primaria el 51.09% son hombres y el 48.91% son mujeres; de los que tienen instrucción secundaria el 50.59% son hombres y el 49.41% son de género femenino; y, de quienes tienen instrucción superior sea a nivel de pregrado o de postgrado el 51.41% son hombres y el porcentaje restante (48.59%) son mujeres. Para más detalles </w:t>
      </w:r>
      <w:r>
        <w:rPr>
          <w:rFonts w:ascii="Arial" w:hAnsi="Arial" w:cs="Arial"/>
          <w:i/>
        </w:rPr>
        <w:t>véase Figura 4.66.</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CE7620">
        <w:trPr>
          <w:trHeight w:val="2320"/>
          <w:jc w:val="right"/>
        </w:trPr>
        <w:tc>
          <w:tcPr>
            <w:tcW w:w="7497" w:type="dxa"/>
          </w:tcPr>
          <w:p w:rsidR="00361FCE" w:rsidRPr="00840530" w:rsidRDefault="00361FCE" w:rsidP="00902050">
            <w:pPr>
              <w:rPr>
                <w:rFonts w:ascii="Arial" w:hAnsi="Arial" w:cs="Arial"/>
                <w:sz w:val="16"/>
                <w:szCs w:val="16"/>
              </w:rPr>
            </w:pPr>
          </w:p>
          <w:p w:rsidR="00984944" w:rsidRPr="00984944" w:rsidRDefault="00984944" w:rsidP="00984944">
            <w:pPr>
              <w:pStyle w:val="Epgrafe"/>
              <w:rPr>
                <w:rFonts w:ascii="Arial" w:hAnsi="Arial" w:cs="Arial"/>
                <w:bCs w:val="0"/>
                <w:color w:val="auto"/>
                <w:sz w:val="16"/>
                <w:szCs w:val="16"/>
              </w:rPr>
            </w:pPr>
            <w:bookmarkStart w:id="643" w:name="_Toc341044038"/>
            <w:r>
              <w:rPr>
                <w:rFonts w:ascii="Arial" w:hAnsi="Arial" w:cs="Arial"/>
                <w:bCs w:val="0"/>
                <w:color w:val="auto"/>
                <w:sz w:val="16"/>
                <w:szCs w:val="16"/>
              </w:rPr>
              <w:t>Figura 4.</w:t>
            </w:r>
            <w:r w:rsidR="00990535" w:rsidRPr="00984944">
              <w:rPr>
                <w:rFonts w:ascii="Arial" w:hAnsi="Arial" w:cs="Arial"/>
                <w:bCs w:val="0"/>
                <w:color w:val="auto"/>
                <w:sz w:val="16"/>
                <w:szCs w:val="16"/>
              </w:rPr>
              <w:fldChar w:fldCharType="begin"/>
            </w:r>
            <w:r w:rsidRPr="00984944">
              <w:rPr>
                <w:rFonts w:ascii="Arial" w:hAnsi="Arial" w:cs="Arial"/>
                <w:bCs w:val="0"/>
                <w:color w:val="auto"/>
                <w:sz w:val="16"/>
                <w:szCs w:val="16"/>
              </w:rPr>
              <w:instrText xml:space="preserve"> SEQ Figura_4. \* ARABIC </w:instrText>
            </w:r>
            <w:r w:rsidR="00990535" w:rsidRPr="00984944">
              <w:rPr>
                <w:rFonts w:ascii="Arial" w:hAnsi="Arial" w:cs="Arial"/>
                <w:bCs w:val="0"/>
                <w:color w:val="auto"/>
                <w:sz w:val="16"/>
                <w:szCs w:val="16"/>
              </w:rPr>
              <w:fldChar w:fldCharType="separate"/>
            </w:r>
            <w:r w:rsidR="00A242E0">
              <w:rPr>
                <w:rFonts w:ascii="Arial" w:hAnsi="Arial" w:cs="Arial"/>
                <w:bCs w:val="0"/>
                <w:noProof/>
                <w:color w:val="auto"/>
                <w:sz w:val="16"/>
                <w:szCs w:val="16"/>
              </w:rPr>
              <w:t>66</w:t>
            </w:r>
            <w:bookmarkEnd w:id="643"/>
            <w:r w:rsidR="00990535" w:rsidRPr="00984944">
              <w:rPr>
                <w:rFonts w:ascii="Arial" w:hAnsi="Arial" w:cs="Arial"/>
                <w:bCs w:val="0"/>
                <w:color w:val="auto"/>
                <w:sz w:val="16"/>
                <w:szCs w:val="16"/>
              </w:rPr>
              <w:fldChar w:fldCharType="end"/>
            </w:r>
          </w:p>
          <w:p w:rsidR="0070236C" w:rsidRPr="008912B6" w:rsidRDefault="0070236C" w:rsidP="0070236C">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Distribución condicional de Género de los </w:t>
            </w:r>
            <w:r>
              <w:rPr>
                <w:rFonts w:ascii="Arial" w:hAnsi="Arial" w:cs="Arial"/>
                <w:b/>
                <w:i/>
                <w:sz w:val="16"/>
                <w:szCs w:val="16"/>
              </w:rPr>
              <w:t>estadounidenses</w:t>
            </w:r>
            <w:r w:rsidRPr="008912B6">
              <w:rPr>
                <w:rFonts w:ascii="Arial" w:hAnsi="Arial" w:cs="Arial"/>
                <w:b/>
                <w:i/>
                <w:sz w:val="16"/>
                <w:szCs w:val="16"/>
              </w:rPr>
              <w:t xml:space="preserve"> </w:t>
            </w:r>
            <w:r w:rsidRPr="008912B6">
              <w:rPr>
                <w:rFonts w:ascii="Arial" w:hAnsi="Arial" w:cs="Arial"/>
                <w:i/>
                <w:sz w:val="16"/>
                <w:szCs w:val="16"/>
              </w:rPr>
              <w:t xml:space="preserve">dado que se </w:t>
            </w:r>
          </w:p>
          <w:p w:rsidR="00361FCE" w:rsidRDefault="0070236C" w:rsidP="0070236C">
            <w:pPr>
              <w:rPr>
                <w:rFonts w:ascii="Arial" w:hAnsi="Arial" w:cs="Arial"/>
                <w:i/>
                <w:sz w:val="16"/>
                <w:szCs w:val="16"/>
              </w:rPr>
            </w:pPr>
            <w:r w:rsidRPr="008912B6">
              <w:rPr>
                <w:rFonts w:ascii="Arial" w:hAnsi="Arial" w:cs="Arial"/>
                <w:i/>
                <w:sz w:val="16"/>
                <w:szCs w:val="16"/>
              </w:rPr>
              <w:t>conoce el Nivel más alto de instrucción</w:t>
            </w:r>
          </w:p>
          <w:p w:rsidR="00361FCE" w:rsidRPr="00660711" w:rsidRDefault="00361FCE" w:rsidP="00902050">
            <w:pPr>
              <w:rPr>
                <w:rFonts w:ascii="Arial" w:hAnsi="Arial" w:cs="Arial"/>
                <w:i/>
                <w:sz w:val="16"/>
                <w:szCs w:val="16"/>
              </w:rPr>
            </w:pPr>
            <w:r>
              <w:rPr>
                <w:noProof/>
                <w:lang w:eastAsia="es-EC"/>
              </w:rPr>
              <w:drawing>
                <wp:inline distT="0" distB="0" distL="0" distR="0">
                  <wp:extent cx="4352925" cy="1368000"/>
                  <wp:effectExtent l="0" t="0" r="0" b="0"/>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r>
    </w:tbl>
    <w:p w:rsidR="00361FCE" w:rsidRPr="0070236C" w:rsidRDefault="00361FCE" w:rsidP="0070236C">
      <w:pPr>
        <w:pStyle w:val="Prrafodelista"/>
        <w:spacing w:line="276" w:lineRule="auto"/>
        <w:ind w:left="851"/>
        <w:jc w:val="both"/>
        <w:rPr>
          <w:rFonts w:ascii="Arial" w:hAnsi="Arial" w:cs="Arial"/>
          <w:sz w:val="17"/>
          <w:szCs w:val="17"/>
        </w:rPr>
      </w:pPr>
    </w:p>
    <w:p w:rsidR="00361FCE" w:rsidRPr="0070236C" w:rsidRDefault="00361FCE" w:rsidP="0070236C">
      <w:pPr>
        <w:pStyle w:val="Prrafodelista"/>
        <w:spacing w:line="276" w:lineRule="auto"/>
        <w:ind w:left="851"/>
        <w:jc w:val="both"/>
        <w:rPr>
          <w:rFonts w:ascii="Arial" w:hAnsi="Arial" w:cs="Arial"/>
          <w:sz w:val="17"/>
          <w:szCs w:val="17"/>
        </w:rPr>
      </w:pPr>
      <w:r w:rsidRPr="0070236C">
        <w:rPr>
          <w:rFonts w:ascii="Arial" w:hAnsi="Arial" w:cs="Arial"/>
          <w:b/>
          <w:i/>
          <w:sz w:val="17"/>
          <w:szCs w:val="17"/>
        </w:rPr>
        <w:t>Fuente:</w:t>
      </w:r>
      <w:r w:rsidRPr="0070236C">
        <w:rPr>
          <w:rFonts w:ascii="Arial" w:hAnsi="Arial" w:cs="Arial"/>
          <w:sz w:val="17"/>
          <w:szCs w:val="17"/>
        </w:rPr>
        <w:t xml:space="preserve"> </w:t>
      </w:r>
      <w:r w:rsidRPr="0070236C">
        <w:rPr>
          <w:rFonts w:ascii="Arial" w:hAnsi="Arial" w:cs="Arial"/>
          <w:b/>
          <w:sz w:val="17"/>
          <w:szCs w:val="17"/>
        </w:rPr>
        <w:t xml:space="preserve">INEC </w:t>
      </w:r>
      <w:r w:rsidRPr="0070236C">
        <w:rPr>
          <w:rFonts w:ascii="Arial" w:hAnsi="Arial" w:cs="Arial"/>
          <w:sz w:val="17"/>
          <w:szCs w:val="17"/>
        </w:rPr>
        <w:t>(2010), Base de Datos del VII Censo de Población y VI de Vivienda.</w:t>
      </w:r>
    </w:p>
    <w:p w:rsidR="00361FCE" w:rsidRPr="0070236C" w:rsidRDefault="00361FCE" w:rsidP="0070236C">
      <w:pPr>
        <w:pStyle w:val="Prrafodelista"/>
        <w:spacing w:line="276" w:lineRule="auto"/>
        <w:ind w:left="851"/>
        <w:jc w:val="both"/>
        <w:rPr>
          <w:rFonts w:ascii="Arial" w:hAnsi="Arial" w:cs="Arial"/>
          <w:sz w:val="17"/>
          <w:szCs w:val="17"/>
        </w:rPr>
      </w:pPr>
      <w:r w:rsidRPr="0070236C">
        <w:rPr>
          <w:rFonts w:ascii="Arial" w:hAnsi="Arial" w:cs="Arial"/>
          <w:b/>
          <w:i/>
          <w:sz w:val="17"/>
          <w:szCs w:val="17"/>
        </w:rPr>
        <w:t>Elaborado por:</w:t>
      </w:r>
      <w:r w:rsidRPr="0070236C">
        <w:rPr>
          <w:rFonts w:ascii="Arial" w:hAnsi="Arial" w:cs="Arial"/>
          <w:sz w:val="17"/>
          <w:szCs w:val="17"/>
        </w:rPr>
        <w:t xml:space="preserve"> Katherine Loor Valeriano</w:t>
      </w:r>
    </w:p>
    <w:p w:rsidR="00361FCE" w:rsidRDefault="00361FCE" w:rsidP="0070236C">
      <w:pPr>
        <w:pStyle w:val="Prrafodelista"/>
        <w:spacing w:line="480" w:lineRule="auto"/>
        <w:ind w:left="851"/>
        <w:jc w:val="both"/>
        <w:rPr>
          <w:rFonts w:ascii="Arial" w:hAnsi="Arial" w:cs="Arial"/>
        </w:rPr>
      </w:pPr>
    </w:p>
    <w:p w:rsidR="00361FCE" w:rsidRPr="009E2548" w:rsidRDefault="00361FCE" w:rsidP="0070236C">
      <w:pPr>
        <w:pStyle w:val="Prrafodelista"/>
        <w:spacing w:line="480" w:lineRule="auto"/>
        <w:ind w:left="851"/>
        <w:jc w:val="both"/>
        <w:rPr>
          <w:rFonts w:ascii="Arial" w:hAnsi="Arial" w:cs="Arial"/>
          <w:i/>
        </w:rPr>
      </w:pPr>
      <w:r>
        <w:rPr>
          <w:rFonts w:ascii="Arial" w:hAnsi="Arial" w:cs="Arial"/>
        </w:rPr>
        <w:t xml:space="preserve">Ahora </w:t>
      </w:r>
      <w:r w:rsidR="00CE7620">
        <w:rPr>
          <w:rFonts w:ascii="Arial" w:hAnsi="Arial" w:cs="Arial"/>
        </w:rPr>
        <w:t>analicemos</w:t>
      </w:r>
      <w:r>
        <w:rPr>
          <w:rFonts w:ascii="Arial" w:hAnsi="Arial" w:cs="Arial"/>
        </w:rPr>
        <w:t xml:space="preserve"> la tasa de asistencia a la universidad de los estadounidenses por género y grupo de edad, en donde tenemos que para el caso de los hombres con edades entre 15 y 20 años hay 182.34 que asisten a la universidad por cada 1000 de ellos, dicha tasa aumenta para el siguiente grupo etario y desde ese grupo en adelante se mantiene oscilando entre los 700 y 800 hombres universitarios por cada 1000 de ellos, pero dicha tasa disminuye en los dos últimos grupos de edad en donde hay 500 y 0 hombres que tengan instrucción superior por cada 1000 de cada grupo etario respectivamente. </w:t>
      </w:r>
      <w:r w:rsidR="0070236C">
        <w:rPr>
          <w:rFonts w:ascii="Arial" w:hAnsi="Arial" w:cs="Arial"/>
        </w:rPr>
        <w:t>P</w:t>
      </w:r>
      <w:r>
        <w:rPr>
          <w:rFonts w:ascii="Arial" w:hAnsi="Arial" w:cs="Arial"/>
        </w:rPr>
        <w:t>ara el caso de las mujeres</w:t>
      </w:r>
      <w:r w:rsidR="00CE7620">
        <w:rPr>
          <w:rFonts w:ascii="Arial" w:hAnsi="Arial" w:cs="Arial"/>
        </w:rPr>
        <w:t>,</w:t>
      </w:r>
      <w:r>
        <w:rPr>
          <w:rFonts w:ascii="Arial" w:hAnsi="Arial" w:cs="Arial"/>
        </w:rPr>
        <w:t xml:space="preserve"> tenemos que por cada 1000 mujeres con edades entre 15 y 20 años 168.17 </w:t>
      </w:r>
      <w:r>
        <w:rPr>
          <w:rFonts w:ascii="Arial" w:hAnsi="Arial" w:cs="Arial"/>
        </w:rPr>
        <w:lastRenderedPageBreak/>
        <w:t>de ellas tienen instrucción superior, para el siguiente grupo etario esa tasa asciende a 814.98 universitarias por cada 1000 mujeres con edades entre 20 y 25 años, desde este grupo de edad en adelante empieza a disminuir hasta tomar valores de 500 y 0 en los dos últimos grupos de edad, similar al caso de los hombres.</w:t>
      </w:r>
      <w:r w:rsidR="00CE7620">
        <w:rPr>
          <w:rFonts w:ascii="Arial" w:hAnsi="Arial" w:cs="Arial"/>
        </w:rPr>
        <w:t xml:space="preserve"> E</w:t>
      </w:r>
      <w:r>
        <w:rPr>
          <w:rFonts w:ascii="Arial" w:hAnsi="Arial" w:cs="Arial"/>
        </w:rPr>
        <w:t>n la mayoría de los grupos etarios la tasa de universitarios toma valores mayores para los hombres, a excepción de los grupos de 20 a 25, 30 a 35 y 35 a 40 años en donde la tasa de universitarios es mayor para las mujeres</w:t>
      </w:r>
      <w:r w:rsidR="00CE7620">
        <w:rPr>
          <w:rFonts w:ascii="Arial" w:hAnsi="Arial" w:cs="Arial"/>
        </w:rPr>
        <w:t>; a</w:t>
      </w:r>
      <w:r>
        <w:rPr>
          <w:rFonts w:ascii="Arial" w:hAnsi="Arial" w:cs="Arial"/>
        </w:rPr>
        <w:t xml:space="preserve">demás, por cada 1000 hombres con edades entre 30 y 35 años, 765.62 tienen instrucción superior, 210.34 no tienen título universitario y 24.14 no respondieron. </w:t>
      </w:r>
      <w:r w:rsidR="0070236C">
        <w:rPr>
          <w:rFonts w:ascii="Arial" w:hAnsi="Arial" w:cs="Arial"/>
          <w:i/>
        </w:rPr>
        <w:t>V</w:t>
      </w:r>
      <w:r>
        <w:rPr>
          <w:rFonts w:ascii="Arial" w:hAnsi="Arial" w:cs="Arial"/>
          <w:i/>
        </w:rPr>
        <w:t>éase Figura 4.67.</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70236C">
        <w:trPr>
          <w:trHeight w:val="3666"/>
          <w:jc w:val="right"/>
        </w:trPr>
        <w:tc>
          <w:tcPr>
            <w:tcW w:w="7497" w:type="dxa"/>
          </w:tcPr>
          <w:p w:rsidR="00361FCE" w:rsidRPr="00840530" w:rsidRDefault="00361FCE" w:rsidP="00902050">
            <w:pPr>
              <w:rPr>
                <w:rFonts w:ascii="Arial" w:hAnsi="Arial" w:cs="Arial"/>
                <w:sz w:val="16"/>
                <w:szCs w:val="16"/>
              </w:rPr>
            </w:pPr>
          </w:p>
          <w:p w:rsidR="00984944" w:rsidRPr="00984944" w:rsidRDefault="00984944" w:rsidP="00984944">
            <w:pPr>
              <w:pStyle w:val="Epgrafe"/>
              <w:rPr>
                <w:rFonts w:ascii="Arial" w:hAnsi="Arial" w:cs="Arial"/>
                <w:bCs w:val="0"/>
                <w:color w:val="auto"/>
                <w:sz w:val="16"/>
                <w:szCs w:val="16"/>
              </w:rPr>
            </w:pPr>
            <w:bookmarkStart w:id="644" w:name="_Toc341044039"/>
            <w:r w:rsidRPr="00984944">
              <w:rPr>
                <w:rFonts w:ascii="Arial" w:hAnsi="Arial" w:cs="Arial"/>
                <w:bCs w:val="0"/>
                <w:color w:val="auto"/>
                <w:sz w:val="16"/>
                <w:szCs w:val="16"/>
              </w:rPr>
              <w:t>Figura 4.</w:t>
            </w:r>
            <w:r w:rsidR="00990535" w:rsidRPr="00984944">
              <w:rPr>
                <w:rFonts w:ascii="Arial" w:hAnsi="Arial" w:cs="Arial"/>
                <w:bCs w:val="0"/>
                <w:color w:val="auto"/>
                <w:sz w:val="16"/>
                <w:szCs w:val="16"/>
              </w:rPr>
              <w:fldChar w:fldCharType="begin"/>
            </w:r>
            <w:r w:rsidRPr="00984944">
              <w:rPr>
                <w:rFonts w:ascii="Arial" w:hAnsi="Arial" w:cs="Arial"/>
                <w:bCs w:val="0"/>
                <w:color w:val="auto"/>
                <w:sz w:val="16"/>
                <w:szCs w:val="16"/>
              </w:rPr>
              <w:instrText xml:space="preserve"> SEQ Figura_4. \* ARABIC </w:instrText>
            </w:r>
            <w:r w:rsidR="00990535" w:rsidRPr="00984944">
              <w:rPr>
                <w:rFonts w:ascii="Arial" w:hAnsi="Arial" w:cs="Arial"/>
                <w:bCs w:val="0"/>
                <w:color w:val="auto"/>
                <w:sz w:val="16"/>
                <w:szCs w:val="16"/>
              </w:rPr>
              <w:fldChar w:fldCharType="separate"/>
            </w:r>
            <w:r w:rsidR="00A242E0">
              <w:rPr>
                <w:rFonts w:ascii="Arial" w:hAnsi="Arial" w:cs="Arial"/>
                <w:bCs w:val="0"/>
                <w:noProof/>
                <w:color w:val="auto"/>
                <w:sz w:val="16"/>
                <w:szCs w:val="16"/>
              </w:rPr>
              <w:t>67</w:t>
            </w:r>
            <w:bookmarkEnd w:id="644"/>
            <w:r w:rsidR="00990535" w:rsidRPr="00984944">
              <w:rPr>
                <w:rFonts w:ascii="Arial" w:hAnsi="Arial" w:cs="Arial"/>
                <w:bCs w:val="0"/>
                <w:color w:val="auto"/>
                <w:sz w:val="16"/>
                <w:szCs w:val="16"/>
              </w:rPr>
              <w:fldChar w:fldCharType="end"/>
            </w:r>
          </w:p>
          <w:p w:rsidR="00361FCE" w:rsidRDefault="00CE7620"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Tasa de universitarios por cada 1000 </w:t>
            </w:r>
            <w:r>
              <w:rPr>
                <w:rFonts w:ascii="Arial" w:hAnsi="Arial" w:cs="Arial"/>
                <w:b/>
                <w:i/>
                <w:sz w:val="16"/>
                <w:szCs w:val="16"/>
              </w:rPr>
              <w:t>estadounidenses</w:t>
            </w:r>
            <w:r w:rsidRPr="008912B6">
              <w:rPr>
                <w:rFonts w:ascii="Arial" w:hAnsi="Arial" w:cs="Arial"/>
                <w:i/>
                <w:sz w:val="16"/>
                <w:szCs w:val="16"/>
              </w:rPr>
              <w:t xml:space="preserve"> por Género y Grupo etario</w:t>
            </w:r>
          </w:p>
          <w:p w:rsidR="00361FCE" w:rsidRDefault="00436907" w:rsidP="00902050">
            <w:pPr>
              <w:rPr>
                <w:rFonts w:ascii="Arial" w:hAnsi="Arial" w:cs="Arial"/>
                <w:i/>
                <w:sz w:val="16"/>
                <w:szCs w:val="16"/>
              </w:rPr>
            </w:pPr>
            <w:r>
              <w:rPr>
                <w:rFonts w:ascii="Arial" w:hAnsi="Arial" w:cs="Arial"/>
                <w:noProof/>
                <w:sz w:val="16"/>
                <w:szCs w:val="16"/>
                <w:lang w:eastAsia="es-EC"/>
              </w:rPr>
              <w:pict>
                <v:shape id="_x0000_s1654" type="#_x0000_t202" style="position:absolute;left:0;text-align:left;margin-left:102.55pt;margin-top:83.65pt;width:133.5pt;height:15.35pt;z-index:25160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sidRPr="005B0B7F">
                          <w:rPr>
                            <w:rFonts w:ascii="Arial" w:hAnsi="Arial" w:cs="Arial"/>
                            <w:color w:val="CC0099"/>
                            <w:sz w:val="15"/>
                            <w:szCs w:val="15"/>
                          </w:rPr>
                          <w:t>Se ignora</w:t>
                        </w:r>
                      </w:p>
                    </w:txbxContent>
                  </v:textbox>
                </v:shape>
              </w:pict>
            </w:r>
            <w:r>
              <w:rPr>
                <w:rFonts w:ascii="Arial" w:hAnsi="Arial" w:cs="Arial"/>
                <w:noProof/>
                <w:sz w:val="16"/>
                <w:szCs w:val="16"/>
                <w:lang w:eastAsia="es-EC"/>
              </w:rPr>
              <w:pict>
                <v:shape id="_x0000_s2266" type="#_x0000_t32" style="position:absolute;left:0;text-align:left;margin-left:167.55pt;margin-top:95.75pt;width:0;height:9.25pt;z-index:251997696" o:connectortype="straight" strokecolor="#d60093">
                  <v:stroke endarrow="block"/>
                </v:shape>
              </w:pict>
            </w:r>
            <w:r>
              <w:rPr>
                <w:rFonts w:ascii="Arial" w:hAnsi="Arial" w:cs="Arial"/>
                <w:noProof/>
                <w:sz w:val="16"/>
                <w:szCs w:val="16"/>
                <w:lang w:eastAsia="es-EC"/>
              </w:rPr>
              <w:pict>
                <v:shape id="_x0000_s2262" type="#_x0000_t32" style="position:absolute;left:0;text-align:left;margin-left:167.55pt;margin-top:68pt;width:11.25pt;height:14.9pt;flip:x;z-index:251993600" o:connectortype="straight" strokecolor="#e36c0a [2409]">
                  <v:stroke endarrow="block"/>
                </v:shape>
              </w:pict>
            </w:r>
            <w:r>
              <w:rPr>
                <w:rFonts w:ascii="Arial" w:hAnsi="Arial" w:cs="Arial"/>
                <w:noProof/>
                <w:sz w:val="16"/>
                <w:szCs w:val="16"/>
                <w:lang w:eastAsia="es-EC"/>
              </w:rPr>
              <w:pict>
                <v:shape id="_x0000_s1653" type="#_x0000_t202" style="position:absolute;left:0;text-align:left;margin-left:114.55pt;margin-top:56.2pt;width:133.5pt;height:15.35pt;z-index:25160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No Universitarios</w:t>
                        </w:r>
                      </w:p>
                    </w:txbxContent>
                  </v:textbox>
                </v:shape>
              </w:pict>
            </w:r>
            <w:r>
              <w:rPr>
                <w:rFonts w:ascii="Arial" w:hAnsi="Arial" w:cs="Arial"/>
                <w:noProof/>
                <w:sz w:val="16"/>
                <w:szCs w:val="16"/>
                <w:lang w:eastAsia="es-EC"/>
              </w:rPr>
              <w:pict>
                <v:shape id="_x0000_s1652" type="#_x0000_t202" style="position:absolute;left:0;text-align:left;margin-left:113.8pt;margin-top:41.75pt;width:133.5pt;height:15.35pt;z-index:25159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Universitarios</w:t>
                        </w:r>
                      </w:p>
                    </w:txbxContent>
                  </v:textbox>
                </v:shape>
              </w:pict>
            </w:r>
            <w:r>
              <w:rPr>
                <w:rFonts w:ascii="Arial" w:hAnsi="Arial" w:cs="Arial"/>
                <w:noProof/>
                <w:sz w:val="16"/>
                <w:szCs w:val="16"/>
                <w:lang w:eastAsia="es-EC"/>
              </w:rPr>
              <w:pict>
                <v:shape id="_x0000_s2264" type="#_x0000_t32" style="position:absolute;left:0;text-align:left;margin-left:167.55pt;margin-top:31.85pt;width:11.25pt;height:13.65pt;flip:x y;z-index:251995648" o:connectortype="straight" strokecolor="#0070c0">
                  <v:stroke endarrow="block"/>
                </v:shape>
              </w:pict>
            </w:r>
            <w:r>
              <w:rPr>
                <w:noProof/>
              </w:rPr>
              <w:pict>
                <v:shape id="_x0000_s1650" type="#_x0000_t202" style="position:absolute;left:0;text-align:left;margin-left:77.8pt;margin-top:13.5pt;width:133.5pt;height:15.35pt;z-index:25159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t xml:space="preserve"> </w:t>
            </w:r>
            <w:r w:rsidR="00361FCE">
              <w:rPr>
                <w:noProof/>
                <w:lang w:eastAsia="es-EC"/>
              </w:rPr>
              <w:drawing>
                <wp:inline distT="0" distB="0" distL="0" distR="0">
                  <wp:extent cx="4211955" cy="1800000"/>
                  <wp:effectExtent l="0" t="0" r="0" b="0"/>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657" type="#_x0000_t202" style="position:absolute;left:0;text-align:left;margin-left:107.8pt;margin-top:80.1pt;width:133.5pt;height:15.35pt;z-index:25160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sidRPr="005B0B7F">
                          <w:rPr>
                            <w:rFonts w:ascii="Arial" w:hAnsi="Arial" w:cs="Arial"/>
                            <w:color w:val="CC0099"/>
                            <w:sz w:val="15"/>
                            <w:szCs w:val="15"/>
                          </w:rPr>
                          <w:t>Se ignora</w:t>
                        </w:r>
                      </w:p>
                    </w:txbxContent>
                  </v:textbox>
                </v:shape>
              </w:pict>
            </w:r>
            <w:r>
              <w:rPr>
                <w:rFonts w:ascii="Arial" w:hAnsi="Arial" w:cs="Arial"/>
                <w:noProof/>
                <w:sz w:val="16"/>
                <w:szCs w:val="16"/>
                <w:lang w:eastAsia="es-EC"/>
              </w:rPr>
              <w:pict>
                <v:shape id="_x0000_s2267" type="#_x0000_t32" style="position:absolute;left:0;text-align:left;margin-left:178.8pt;margin-top:91.3pt;width:0;height:11.35pt;z-index:251998720" o:connectortype="straight" strokecolor="#d60093">
                  <v:stroke endarrow="block"/>
                </v:shape>
              </w:pict>
            </w:r>
            <w:r>
              <w:rPr>
                <w:rFonts w:ascii="Arial" w:hAnsi="Arial" w:cs="Arial"/>
                <w:noProof/>
                <w:sz w:val="16"/>
                <w:szCs w:val="16"/>
                <w:lang w:eastAsia="es-EC"/>
              </w:rPr>
              <w:pict>
                <v:shape id="_x0000_s1655" type="#_x0000_t202" style="position:absolute;left:0;text-align:left;margin-left:134.8pt;margin-top:46.75pt;width:133.5pt;height:15.35pt;z-index:25160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Universitarios</w:t>
                        </w:r>
                      </w:p>
                    </w:txbxContent>
                  </v:textbox>
                </v:shape>
              </w:pict>
            </w:r>
            <w:r>
              <w:rPr>
                <w:rFonts w:ascii="Arial" w:hAnsi="Arial" w:cs="Arial"/>
                <w:noProof/>
                <w:sz w:val="16"/>
                <w:szCs w:val="16"/>
                <w:lang w:eastAsia="es-EC"/>
              </w:rPr>
              <w:pict>
                <v:shape id="_x0000_s2263" type="#_x0000_t32" style="position:absolute;left:0;text-align:left;margin-left:173.55pt;margin-top:69.95pt;width:11.25pt;height:11.65pt;flip:x;z-index:251994624" o:connectortype="straight" strokecolor="#e36c0a [2409]">
                  <v:stroke endarrow="block"/>
                </v:shape>
              </w:pict>
            </w:r>
            <w:r>
              <w:rPr>
                <w:rFonts w:ascii="Arial" w:hAnsi="Arial" w:cs="Arial"/>
                <w:noProof/>
                <w:sz w:val="16"/>
                <w:szCs w:val="16"/>
                <w:lang w:eastAsia="es-EC"/>
              </w:rPr>
              <w:pict>
                <v:shape id="_x0000_s1656" type="#_x0000_t202" style="position:absolute;left:0;text-align:left;margin-left:122.8pt;margin-top:59.85pt;width:133.5pt;height:15.35pt;z-index:25160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No Universitarios</w:t>
                        </w:r>
                      </w:p>
                    </w:txbxContent>
                  </v:textbox>
                </v:shape>
              </w:pict>
            </w:r>
            <w:r>
              <w:rPr>
                <w:rFonts w:ascii="Arial" w:hAnsi="Arial" w:cs="Arial"/>
                <w:noProof/>
                <w:sz w:val="16"/>
                <w:szCs w:val="16"/>
                <w:lang w:eastAsia="es-EC"/>
              </w:rPr>
              <w:pict>
                <v:shape id="_x0000_s2265" type="#_x0000_t32" style="position:absolute;left:0;text-align:left;margin-left:189.3pt;margin-top:38.8pt;width:10.75pt;height:11.2pt;flip:x y;z-index:251996672" o:connectortype="straight" strokecolor="#0070c0">
                  <v:stroke endarrow="block"/>
                </v:shape>
              </w:pict>
            </w:r>
            <w:r w:rsidR="00361FCE">
              <w:rPr>
                <w:noProof/>
                <w:lang w:eastAsia="es-EC"/>
              </w:rPr>
              <w:drawing>
                <wp:inline distT="0" distB="0" distL="0" distR="0">
                  <wp:extent cx="4211955" cy="1800000"/>
                  <wp:effectExtent l="0" t="0" r="0" b="0"/>
                  <wp:docPr id="131" name="Gráfico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r>
              <w:rPr>
                <w:rFonts w:ascii="Arial" w:hAnsi="Arial" w:cs="Arial"/>
                <w:noProof/>
                <w:sz w:val="16"/>
                <w:szCs w:val="16"/>
                <w:lang w:eastAsia="es-EC"/>
              </w:rPr>
              <w:pict>
                <v:shape id="_x0000_s1651" type="#_x0000_t202" style="position:absolute;left:0;text-align:left;margin-left:78.55pt;margin-top:14.8pt;width:133.5pt;height:15.35pt;z-index:251598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t xml:space="preserve"> </w:t>
            </w:r>
          </w:p>
        </w:tc>
      </w:tr>
    </w:tbl>
    <w:p w:rsidR="00361FCE" w:rsidRPr="0070236C" w:rsidRDefault="00361FCE" w:rsidP="0070236C">
      <w:pPr>
        <w:pStyle w:val="Prrafodelista"/>
        <w:spacing w:line="276" w:lineRule="auto"/>
        <w:ind w:left="851"/>
        <w:jc w:val="both"/>
        <w:rPr>
          <w:rFonts w:ascii="Arial" w:hAnsi="Arial" w:cs="Arial"/>
          <w:sz w:val="17"/>
          <w:szCs w:val="17"/>
        </w:rPr>
      </w:pPr>
    </w:p>
    <w:p w:rsidR="00361FCE" w:rsidRPr="0070236C" w:rsidRDefault="00361FCE" w:rsidP="0070236C">
      <w:pPr>
        <w:pStyle w:val="Prrafodelista"/>
        <w:spacing w:line="276" w:lineRule="auto"/>
        <w:ind w:left="851"/>
        <w:jc w:val="both"/>
        <w:rPr>
          <w:rFonts w:ascii="Arial" w:hAnsi="Arial" w:cs="Arial"/>
          <w:sz w:val="17"/>
          <w:szCs w:val="17"/>
        </w:rPr>
      </w:pPr>
      <w:r w:rsidRPr="0070236C">
        <w:rPr>
          <w:rFonts w:ascii="Arial" w:hAnsi="Arial" w:cs="Arial"/>
          <w:b/>
          <w:i/>
          <w:sz w:val="17"/>
          <w:szCs w:val="17"/>
        </w:rPr>
        <w:t>Fuente:</w:t>
      </w:r>
      <w:r w:rsidRPr="0070236C">
        <w:rPr>
          <w:rFonts w:ascii="Arial" w:hAnsi="Arial" w:cs="Arial"/>
          <w:sz w:val="17"/>
          <w:szCs w:val="17"/>
        </w:rPr>
        <w:t xml:space="preserve"> </w:t>
      </w:r>
      <w:r w:rsidRPr="0070236C">
        <w:rPr>
          <w:rFonts w:ascii="Arial" w:hAnsi="Arial" w:cs="Arial"/>
          <w:b/>
          <w:sz w:val="17"/>
          <w:szCs w:val="17"/>
        </w:rPr>
        <w:t xml:space="preserve">INEC </w:t>
      </w:r>
      <w:r w:rsidRPr="0070236C">
        <w:rPr>
          <w:rFonts w:ascii="Arial" w:hAnsi="Arial" w:cs="Arial"/>
          <w:sz w:val="17"/>
          <w:szCs w:val="17"/>
        </w:rPr>
        <w:t>(2010), Base de Datos del VII Censo de Población y VI de Vivienda.</w:t>
      </w:r>
    </w:p>
    <w:p w:rsidR="00361FCE" w:rsidRPr="0070236C" w:rsidRDefault="00361FCE" w:rsidP="0070236C">
      <w:pPr>
        <w:pStyle w:val="Prrafodelista"/>
        <w:spacing w:line="276" w:lineRule="auto"/>
        <w:ind w:left="851"/>
        <w:jc w:val="both"/>
        <w:rPr>
          <w:rFonts w:ascii="Arial" w:hAnsi="Arial" w:cs="Arial"/>
          <w:sz w:val="17"/>
          <w:szCs w:val="17"/>
        </w:rPr>
      </w:pPr>
      <w:r w:rsidRPr="0070236C">
        <w:rPr>
          <w:rFonts w:ascii="Arial" w:hAnsi="Arial" w:cs="Arial"/>
          <w:b/>
          <w:i/>
          <w:sz w:val="17"/>
          <w:szCs w:val="17"/>
        </w:rPr>
        <w:t>Elaborado por:</w:t>
      </w:r>
      <w:r w:rsidRPr="0070236C">
        <w:rPr>
          <w:rFonts w:ascii="Arial" w:hAnsi="Arial" w:cs="Arial"/>
          <w:sz w:val="17"/>
          <w:szCs w:val="17"/>
        </w:rPr>
        <w:t xml:space="preserve"> Katherine Loor Valeriano</w:t>
      </w:r>
    </w:p>
    <w:p w:rsidR="00361FCE" w:rsidRDefault="00361FCE" w:rsidP="00CE7620">
      <w:pPr>
        <w:pStyle w:val="Estilo42"/>
        <w:ind w:left="1560" w:hanging="709"/>
      </w:pPr>
      <w:bookmarkStart w:id="645" w:name="_Toc337135551"/>
      <w:bookmarkStart w:id="646" w:name="_Toc341040701"/>
      <w:r>
        <w:lastRenderedPageBreak/>
        <w:t>Estado Civil</w:t>
      </w:r>
      <w:bookmarkEnd w:id="645"/>
      <w:r w:rsidR="00CE7620">
        <w:t xml:space="preserve"> de los estadounidenses</w:t>
      </w:r>
      <w:bookmarkEnd w:id="646"/>
    </w:p>
    <w:p w:rsidR="00361FCE" w:rsidRPr="00174D3C" w:rsidRDefault="00361FCE" w:rsidP="00CE7620">
      <w:pPr>
        <w:pStyle w:val="Prrafodelista"/>
        <w:spacing w:line="480" w:lineRule="auto"/>
        <w:ind w:left="851"/>
        <w:jc w:val="both"/>
        <w:rPr>
          <w:rFonts w:ascii="Arial" w:hAnsi="Arial" w:cs="Arial"/>
          <w:i/>
        </w:rPr>
      </w:pPr>
      <w:r>
        <w:rPr>
          <w:rFonts w:ascii="Arial" w:hAnsi="Arial" w:cs="Arial"/>
        </w:rPr>
        <w:t xml:space="preserve">En lo que respecta al estado conyugal, el 54.66% de los estadounidenses son solteros, el 33.72% son casados, el 5.64% son unidos, el 1.34% de ellos están separados, el 3.55% están divorciados; y, el 1.10% son viudos. Recordemos además que para el caso de los colombianos y peruanos la mayoría eran unidos; mientras que en los estadounidenses es bajo el porcentaje de la población que tienen ese estado conyugal, pues ellos en su mayoría son solteros o están casados. </w:t>
      </w:r>
      <w:r>
        <w:rPr>
          <w:rFonts w:ascii="Arial" w:hAnsi="Arial" w:cs="Arial"/>
          <w:i/>
        </w:rPr>
        <w:t>Véase Figura 4.68.</w:t>
      </w:r>
    </w:p>
    <w:tbl>
      <w:tblPr>
        <w:tblStyle w:val="Tablaconcuadrcula"/>
        <w:tblW w:w="7497" w:type="dxa"/>
        <w:jc w:val="right"/>
        <w:tblInd w:w="1074"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CE7620">
        <w:trPr>
          <w:trHeight w:val="3926"/>
          <w:jc w:val="right"/>
        </w:trPr>
        <w:tc>
          <w:tcPr>
            <w:tcW w:w="7497" w:type="dxa"/>
          </w:tcPr>
          <w:p w:rsidR="00361FCE" w:rsidRPr="00840530" w:rsidRDefault="00361FCE" w:rsidP="00902050">
            <w:pPr>
              <w:rPr>
                <w:rFonts w:ascii="Arial" w:hAnsi="Arial" w:cs="Arial"/>
                <w:sz w:val="16"/>
                <w:szCs w:val="16"/>
              </w:rPr>
            </w:pPr>
          </w:p>
          <w:p w:rsidR="00984944" w:rsidRPr="00984944" w:rsidRDefault="00984944" w:rsidP="00984944">
            <w:pPr>
              <w:pStyle w:val="Epgrafe"/>
              <w:rPr>
                <w:rFonts w:ascii="Arial" w:hAnsi="Arial" w:cs="Arial"/>
                <w:bCs w:val="0"/>
                <w:color w:val="auto"/>
                <w:sz w:val="16"/>
                <w:szCs w:val="16"/>
              </w:rPr>
            </w:pPr>
            <w:bookmarkStart w:id="647" w:name="_Toc341044040"/>
            <w:r>
              <w:rPr>
                <w:rFonts w:ascii="Arial" w:hAnsi="Arial" w:cs="Arial"/>
                <w:bCs w:val="0"/>
                <w:color w:val="auto"/>
                <w:sz w:val="16"/>
                <w:szCs w:val="16"/>
              </w:rPr>
              <w:t>Figura 4.</w:t>
            </w:r>
            <w:r w:rsidR="00990535" w:rsidRPr="00984944">
              <w:rPr>
                <w:rFonts w:ascii="Arial" w:hAnsi="Arial" w:cs="Arial"/>
                <w:bCs w:val="0"/>
                <w:color w:val="auto"/>
                <w:sz w:val="16"/>
                <w:szCs w:val="16"/>
              </w:rPr>
              <w:fldChar w:fldCharType="begin"/>
            </w:r>
            <w:r w:rsidRPr="00984944">
              <w:rPr>
                <w:rFonts w:ascii="Arial" w:hAnsi="Arial" w:cs="Arial"/>
                <w:bCs w:val="0"/>
                <w:color w:val="auto"/>
                <w:sz w:val="16"/>
                <w:szCs w:val="16"/>
              </w:rPr>
              <w:instrText xml:space="preserve"> SEQ Figura_4. \* ARABIC </w:instrText>
            </w:r>
            <w:r w:rsidR="00990535" w:rsidRPr="00984944">
              <w:rPr>
                <w:rFonts w:ascii="Arial" w:hAnsi="Arial" w:cs="Arial"/>
                <w:bCs w:val="0"/>
                <w:color w:val="auto"/>
                <w:sz w:val="16"/>
                <w:szCs w:val="16"/>
              </w:rPr>
              <w:fldChar w:fldCharType="separate"/>
            </w:r>
            <w:r w:rsidR="00A242E0">
              <w:rPr>
                <w:rFonts w:ascii="Arial" w:hAnsi="Arial" w:cs="Arial"/>
                <w:bCs w:val="0"/>
                <w:noProof/>
                <w:color w:val="auto"/>
                <w:sz w:val="16"/>
                <w:szCs w:val="16"/>
              </w:rPr>
              <w:t>68</w:t>
            </w:r>
            <w:bookmarkEnd w:id="647"/>
            <w:r w:rsidR="00990535" w:rsidRPr="00984944">
              <w:rPr>
                <w:rFonts w:ascii="Arial" w:hAnsi="Arial" w:cs="Arial"/>
                <w:bCs w:val="0"/>
                <w:color w:val="auto"/>
                <w:sz w:val="16"/>
                <w:szCs w:val="16"/>
              </w:rPr>
              <w:fldChar w:fldCharType="end"/>
            </w:r>
          </w:p>
          <w:p w:rsidR="00361FCE" w:rsidRDefault="00CE7620"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Frecuencia Relativa de Estado Civil de los </w:t>
            </w:r>
            <w:r>
              <w:rPr>
                <w:rFonts w:ascii="Arial" w:hAnsi="Arial" w:cs="Arial"/>
                <w:b/>
                <w:i/>
                <w:sz w:val="16"/>
                <w:szCs w:val="16"/>
              </w:rPr>
              <w:t>estadounidenses</w:t>
            </w:r>
          </w:p>
          <w:tbl>
            <w:tblPr>
              <w:tblStyle w:val="Tablaconcuadrcula"/>
              <w:tblW w:w="7001" w:type="dxa"/>
              <w:jc w:val="center"/>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540"/>
              <w:gridCol w:w="4509"/>
            </w:tblGrid>
            <w:tr w:rsidR="00361FCE" w:rsidRPr="00A22FF9" w:rsidTr="00CE7620">
              <w:trPr>
                <w:trHeight w:val="3143"/>
                <w:jc w:val="center"/>
              </w:trPr>
              <w:tc>
                <w:tcPr>
                  <w:tcW w:w="2686" w:type="dxa"/>
                </w:tcPr>
                <w:p w:rsidR="00361FCE" w:rsidRDefault="00361FCE" w:rsidP="00902050">
                  <w:pPr>
                    <w:rPr>
                      <w:rFonts w:ascii="Arial" w:hAnsi="Arial" w:cs="Arial"/>
                      <w:b/>
                      <w:sz w:val="16"/>
                      <w:szCs w:val="16"/>
                    </w:rPr>
                  </w:pPr>
                  <w:r w:rsidRPr="005400D0">
                    <w:rPr>
                      <w:noProof/>
                      <w:sz w:val="10"/>
                      <w:szCs w:val="10"/>
                      <w:lang w:eastAsia="es-EC"/>
                    </w:rPr>
                    <w:t xml:space="preserve"> </w:t>
                  </w:r>
                </w:p>
                <w:p w:rsidR="00361FCE" w:rsidRPr="00A22FF9" w:rsidRDefault="00361FCE" w:rsidP="00902050">
                  <w:pPr>
                    <w:ind w:left="201"/>
                    <w:rPr>
                      <w:rFonts w:ascii="Arial" w:hAnsi="Arial" w:cs="Arial"/>
                      <w:b/>
                      <w:sz w:val="16"/>
                      <w:szCs w:val="16"/>
                    </w:rPr>
                  </w:pPr>
                  <w:r w:rsidRPr="00A22FF9">
                    <w:rPr>
                      <w:rFonts w:ascii="Arial" w:hAnsi="Arial" w:cs="Arial"/>
                      <w:b/>
                      <w:sz w:val="16"/>
                      <w:szCs w:val="16"/>
                    </w:rPr>
                    <w:t>Tabla de Frecuencias</w:t>
                  </w:r>
                </w:p>
                <w:p w:rsidR="00361FCE" w:rsidRDefault="00361FCE" w:rsidP="00902050">
                  <w:pPr>
                    <w:rPr>
                      <w:rFonts w:ascii="Arial" w:hAnsi="Arial" w:cs="Arial"/>
                      <w:sz w:val="10"/>
                      <w:szCs w:val="10"/>
                    </w:rPr>
                  </w:pPr>
                </w:p>
                <w:p w:rsidR="00361FCE" w:rsidRPr="00A22FF9" w:rsidRDefault="00361FCE" w:rsidP="00902050">
                  <w:pPr>
                    <w:rPr>
                      <w:rFonts w:ascii="Arial" w:hAnsi="Arial" w:cs="Arial"/>
                      <w:sz w:val="10"/>
                      <w:szCs w:val="10"/>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361FCE" w:rsidRPr="00AD7AE2" w:rsidTr="00902050">
                    <w:trPr>
                      <w:trHeight w:val="465"/>
                      <w:jc w:val="center"/>
                    </w:trPr>
                    <w:tc>
                      <w:tcPr>
                        <w:tcW w:w="1200" w:type="dxa"/>
                        <w:tcBorders>
                          <w:top w:val="single" w:sz="4" w:space="0" w:color="auto"/>
                          <w:left w:val="nil"/>
                          <w:bottom w:val="single" w:sz="4" w:space="0" w:color="auto"/>
                          <w:right w:val="nil"/>
                        </w:tcBorders>
                        <w:shd w:val="clear" w:color="auto" w:fill="auto"/>
                        <w:vAlign w:val="center"/>
                        <w:hideMark/>
                      </w:tcPr>
                      <w:p w:rsidR="00361FCE" w:rsidRPr="00AD7AE2" w:rsidRDefault="00361FCE" w:rsidP="00902050">
                        <w:pPr>
                          <w:rPr>
                            <w:rFonts w:ascii="Arial" w:eastAsia="Times New Roman" w:hAnsi="Arial" w:cs="Arial"/>
                            <w:b/>
                            <w:bCs/>
                            <w:color w:val="000000"/>
                            <w:sz w:val="16"/>
                            <w:szCs w:val="16"/>
                            <w:lang w:eastAsia="es-EC"/>
                          </w:rPr>
                        </w:pPr>
                        <w:r w:rsidRPr="00AD7AE2">
                          <w:rPr>
                            <w:rFonts w:ascii="Arial" w:eastAsia="Times New Roman" w:hAnsi="Arial" w:cs="Arial"/>
                            <w:b/>
                            <w:bCs/>
                            <w:color w:val="000000"/>
                            <w:sz w:val="16"/>
                            <w:szCs w:val="16"/>
                            <w:lang w:eastAsia="es-EC"/>
                          </w:rPr>
                          <w:t>Estado Civil</w:t>
                        </w:r>
                      </w:p>
                    </w:tc>
                    <w:tc>
                      <w:tcPr>
                        <w:tcW w:w="1200" w:type="dxa"/>
                        <w:tcBorders>
                          <w:top w:val="single" w:sz="4" w:space="0" w:color="auto"/>
                          <w:left w:val="nil"/>
                          <w:bottom w:val="single" w:sz="4" w:space="0" w:color="auto"/>
                          <w:right w:val="nil"/>
                        </w:tcBorders>
                        <w:shd w:val="clear" w:color="auto" w:fill="auto"/>
                        <w:vAlign w:val="center"/>
                        <w:hideMark/>
                      </w:tcPr>
                      <w:p w:rsidR="00361FCE" w:rsidRPr="00AD7AE2" w:rsidRDefault="00361FCE" w:rsidP="00902050">
                        <w:pPr>
                          <w:rPr>
                            <w:rFonts w:ascii="Arial" w:eastAsia="Times New Roman" w:hAnsi="Arial" w:cs="Arial"/>
                            <w:b/>
                            <w:bCs/>
                            <w:color w:val="000000"/>
                            <w:sz w:val="16"/>
                            <w:szCs w:val="16"/>
                            <w:lang w:eastAsia="es-EC"/>
                          </w:rPr>
                        </w:pPr>
                        <w:r w:rsidRPr="00AD7AE2">
                          <w:rPr>
                            <w:rFonts w:ascii="Arial" w:eastAsia="Times New Roman" w:hAnsi="Arial" w:cs="Arial"/>
                            <w:b/>
                            <w:bCs/>
                            <w:color w:val="000000"/>
                            <w:sz w:val="16"/>
                            <w:szCs w:val="16"/>
                            <w:lang w:eastAsia="es-EC"/>
                          </w:rPr>
                          <w:t>Frecuencia Relativa</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CE7620">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Soltero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0.547</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CE7620">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Casado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0.337</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CE7620">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Unido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0.056</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CE7620">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Separado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0.013</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CE7620">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Divorciado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0.035</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CE7620">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Viudo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0.011</w:t>
                        </w:r>
                      </w:p>
                    </w:tc>
                  </w:tr>
                  <w:tr w:rsidR="00361FCE" w:rsidRPr="00AD7AE2" w:rsidTr="00902050">
                    <w:trPr>
                      <w:trHeight w:val="240"/>
                      <w:jc w:val="center"/>
                    </w:trPr>
                    <w:tc>
                      <w:tcPr>
                        <w:tcW w:w="1200" w:type="dxa"/>
                        <w:tcBorders>
                          <w:top w:val="nil"/>
                          <w:left w:val="nil"/>
                          <w:bottom w:val="single" w:sz="4" w:space="0" w:color="auto"/>
                          <w:right w:val="nil"/>
                        </w:tcBorders>
                        <w:shd w:val="clear" w:color="auto" w:fill="auto"/>
                        <w:noWrap/>
                        <w:vAlign w:val="center"/>
                        <w:hideMark/>
                      </w:tcPr>
                      <w:p w:rsidR="00361FCE" w:rsidRPr="00AD7AE2" w:rsidRDefault="00361FCE" w:rsidP="00CE7620">
                        <w:pPr>
                          <w:jc w:val="left"/>
                          <w:rPr>
                            <w:rFonts w:ascii="Arial" w:eastAsia="Times New Roman" w:hAnsi="Arial" w:cs="Arial"/>
                            <w:b/>
                            <w:bCs/>
                            <w:i/>
                            <w:iCs/>
                            <w:color w:val="000000"/>
                            <w:sz w:val="16"/>
                            <w:szCs w:val="16"/>
                            <w:lang w:eastAsia="es-EC"/>
                          </w:rPr>
                        </w:pPr>
                        <w:r w:rsidRPr="00AD7AE2">
                          <w:rPr>
                            <w:rFonts w:ascii="Arial" w:eastAsia="Times New Roman" w:hAnsi="Arial" w:cs="Arial"/>
                            <w:b/>
                            <w:bCs/>
                            <w:i/>
                            <w:iCs/>
                            <w:color w:val="000000"/>
                            <w:sz w:val="16"/>
                            <w:szCs w:val="16"/>
                            <w:lang w:eastAsia="es-EC"/>
                          </w:rPr>
                          <w:t>Total</w:t>
                        </w:r>
                      </w:p>
                    </w:tc>
                    <w:tc>
                      <w:tcPr>
                        <w:tcW w:w="1200" w:type="dxa"/>
                        <w:tcBorders>
                          <w:top w:val="nil"/>
                          <w:left w:val="nil"/>
                          <w:bottom w:val="single" w:sz="4" w:space="0" w:color="auto"/>
                          <w:right w:val="nil"/>
                        </w:tcBorders>
                        <w:shd w:val="clear" w:color="auto" w:fill="auto"/>
                        <w:noWrap/>
                        <w:vAlign w:val="center"/>
                        <w:hideMark/>
                      </w:tcPr>
                      <w:p w:rsidR="00361FCE" w:rsidRPr="00AD7AE2" w:rsidRDefault="00361FCE" w:rsidP="00902050">
                        <w:pPr>
                          <w:rPr>
                            <w:rFonts w:ascii="Arial" w:eastAsia="Times New Roman" w:hAnsi="Arial" w:cs="Arial"/>
                            <w:b/>
                            <w:bCs/>
                            <w:i/>
                            <w:iCs/>
                            <w:color w:val="000000"/>
                            <w:sz w:val="16"/>
                            <w:szCs w:val="16"/>
                            <w:lang w:eastAsia="es-EC"/>
                          </w:rPr>
                        </w:pPr>
                        <w:r w:rsidRPr="00AD7AE2">
                          <w:rPr>
                            <w:rFonts w:ascii="Arial" w:eastAsia="Times New Roman" w:hAnsi="Arial" w:cs="Arial"/>
                            <w:b/>
                            <w:bCs/>
                            <w:i/>
                            <w:iCs/>
                            <w:color w:val="000000"/>
                            <w:sz w:val="16"/>
                            <w:szCs w:val="16"/>
                            <w:lang w:eastAsia="es-EC"/>
                          </w:rPr>
                          <w:t>1.000</w:t>
                        </w:r>
                      </w:p>
                    </w:tc>
                  </w:tr>
                </w:tbl>
                <w:p w:rsidR="00361FCE" w:rsidRDefault="00361FCE" w:rsidP="00902050">
                  <w:pPr>
                    <w:rPr>
                      <w:rFonts w:ascii="Arial" w:hAnsi="Arial" w:cs="Arial"/>
                      <w:sz w:val="24"/>
                      <w:szCs w:val="24"/>
                    </w:rPr>
                  </w:pPr>
                </w:p>
              </w:tc>
              <w:tc>
                <w:tcPr>
                  <w:tcW w:w="4315" w:type="dxa"/>
                </w:tcPr>
                <w:p w:rsidR="00361FCE" w:rsidRPr="00A22FF9" w:rsidRDefault="00361FCE" w:rsidP="00902050">
                  <w:pPr>
                    <w:rPr>
                      <w:rFonts w:ascii="Arial" w:hAnsi="Arial" w:cs="Arial"/>
                      <w:b/>
                      <w:sz w:val="16"/>
                      <w:szCs w:val="16"/>
                    </w:rPr>
                  </w:pPr>
                </w:p>
                <w:p w:rsidR="00361FCE" w:rsidRDefault="00361FCE" w:rsidP="00902050">
                  <w:pPr>
                    <w:rPr>
                      <w:rFonts w:ascii="Arial" w:hAnsi="Arial" w:cs="Arial"/>
                      <w:b/>
                      <w:sz w:val="16"/>
                      <w:szCs w:val="16"/>
                    </w:rPr>
                  </w:pPr>
                  <w:r w:rsidRPr="00A22FF9">
                    <w:rPr>
                      <w:rFonts w:ascii="Arial" w:hAnsi="Arial" w:cs="Arial"/>
                      <w:b/>
                      <w:sz w:val="16"/>
                      <w:szCs w:val="16"/>
                    </w:rPr>
                    <w:t>Histograma de Frecuencias</w:t>
                  </w:r>
                </w:p>
                <w:p w:rsidR="00361FCE" w:rsidRPr="00A22FF9" w:rsidRDefault="00361FCE" w:rsidP="00902050">
                  <w:pPr>
                    <w:rPr>
                      <w:rFonts w:ascii="Arial" w:hAnsi="Arial" w:cs="Arial"/>
                      <w:b/>
                      <w:sz w:val="16"/>
                      <w:szCs w:val="16"/>
                    </w:rPr>
                  </w:pPr>
                  <w:r>
                    <w:rPr>
                      <w:noProof/>
                      <w:lang w:eastAsia="es-EC"/>
                    </w:rPr>
                    <w:drawing>
                      <wp:inline distT="0" distB="0" distL="0" distR="0">
                        <wp:extent cx="2752725" cy="1905000"/>
                        <wp:effectExtent l="0" t="0" r="0" b="0"/>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c>
            </w:tr>
          </w:tbl>
          <w:p w:rsidR="00361FCE" w:rsidRPr="00840530" w:rsidRDefault="00361FCE" w:rsidP="00902050">
            <w:pPr>
              <w:rPr>
                <w:rFonts w:ascii="Arial" w:hAnsi="Arial" w:cs="Arial"/>
                <w:sz w:val="24"/>
                <w:szCs w:val="24"/>
              </w:rPr>
            </w:pPr>
          </w:p>
        </w:tc>
      </w:tr>
    </w:tbl>
    <w:p w:rsidR="00361FCE" w:rsidRPr="00CE7620" w:rsidRDefault="00361FCE" w:rsidP="00CE7620">
      <w:pPr>
        <w:pStyle w:val="Prrafodelista"/>
        <w:spacing w:line="276" w:lineRule="auto"/>
        <w:ind w:left="851"/>
        <w:jc w:val="both"/>
        <w:rPr>
          <w:rFonts w:ascii="Arial" w:hAnsi="Arial" w:cs="Arial"/>
          <w:sz w:val="17"/>
          <w:szCs w:val="17"/>
        </w:rPr>
      </w:pPr>
    </w:p>
    <w:p w:rsidR="00361FCE" w:rsidRPr="00CE7620" w:rsidRDefault="00361FCE" w:rsidP="00CE7620">
      <w:pPr>
        <w:pStyle w:val="Prrafodelista"/>
        <w:spacing w:line="276" w:lineRule="auto"/>
        <w:ind w:left="851"/>
        <w:jc w:val="both"/>
        <w:rPr>
          <w:rFonts w:ascii="Arial" w:hAnsi="Arial" w:cs="Arial"/>
          <w:sz w:val="17"/>
          <w:szCs w:val="17"/>
        </w:rPr>
      </w:pPr>
      <w:r w:rsidRPr="00CE7620">
        <w:rPr>
          <w:rFonts w:ascii="Arial" w:hAnsi="Arial" w:cs="Arial"/>
          <w:b/>
          <w:i/>
          <w:sz w:val="17"/>
          <w:szCs w:val="17"/>
        </w:rPr>
        <w:t>Fuente:</w:t>
      </w:r>
      <w:r w:rsidRPr="00CE7620">
        <w:rPr>
          <w:rFonts w:ascii="Arial" w:hAnsi="Arial" w:cs="Arial"/>
          <w:sz w:val="17"/>
          <w:szCs w:val="17"/>
        </w:rPr>
        <w:t xml:space="preserve"> </w:t>
      </w:r>
      <w:r w:rsidRPr="00CE7620">
        <w:rPr>
          <w:rFonts w:ascii="Arial" w:hAnsi="Arial" w:cs="Arial"/>
          <w:b/>
          <w:sz w:val="17"/>
          <w:szCs w:val="17"/>
        </w:rPr>
        <w:t xml:space="preserve">INEC </w:t>
      </w:r>
      <w:r w:rsidRPr="00CE7620">
        <w:rPr>
          <w:rFonts w:ascii="Arial" w:hAnsi="Arial" w:cs="Arial"/>
          <w:sz w:val="17"/>
          <w:szCs w:val="17"/>
        </w:rPr>
        <w:t>(2010), Base de Datos del VII Censo de Población y VI de Vivienda.</w:t>
      </w:r>
    </w:p>
    <w:p w:rsidR="00361FCE" w:rsidRPr="00CE7620" w:rsidRDefault="00361FCE" w:rsidP="00CE7620">
      <w:pPr>
        <w:pStyle w:val="Prrafodelista"/>
        <w:spacing w:line="276" w:lineRule="auto"/>
        <w:ind w:left="851"/>
        <w:jc w:val="both"/>
        <w:rPr>
          <w:rFonts w:ascii="Arial" w:hAnsi="Arial" w:cs="Arial"/>
          <w:sz w:val="17"/>
          <w:szCs w:val="17"/>
        </w:rPr>
      </w:pPr>
      <w:r w:rsidRPr="00CE7620">
        <w:rPr>
          <w:rFonts w:ascii="Arial" w:hAnsi="Arial" w:cs="Arial"/>
          <w:b/>
          <w:i/>
          <w:sz w:val="17"/>
          <w:szCs w:val="17"/>
        </w:rPr>
        <w:t>Elaborado por:</w:t>
      </w:r>
      <w:r w:rsidRPr="00CE7620">
        <w:rPr>
          <w:rFonts w:ascii="Arial" w:hAnsi="Arial" w:cs="Arial"/>
          <w:sz w:val="17"/>
          <w:szCs w:val="17"/>
        </w:rPr>
        <w:t xml:space="preserve"> Katherine Loor Valeriano</w:t>
      </w:r>
    </w:p>
    <w:p w:rsidR="00361FCE" w:rsidRDefault="00361FCE" w:rsidP="00CE7620">
      <w:pPr>
        <w:pStyle w:val="Prrafodelista"/>
        <w:spacing w:line="480" w:lineRule="auto"/>
        <w:ind w:left="851"/>
        <w:jc w:val="both"/>
        <w:rPr>
          <w:rFonts w:ascii="Arial" w:hAnsi="Arial" w:cs="Arial"/>
        </w:rPr>
      </w:pPr>
    </w:p>
    <w:p w:rsidR="00361FCE" w:rsidRDefault="00361FCE" w:rsidP="00CE7620">
      <w:pPr>
        <w:pStyle w:val="Prrafodelista"/>
        <w:spacing w:line="480" w:lineRule="auto"/>
        <w:ind w:left="851"/>
        <w:jc w:val="both"/>
        <w:rPr>
          <w:rFonts w:ascii="Arial" w:hAnsi="Arial" w:cs="Arial"/>
        </w:rPr>
      </w:pPr>
      <w:r>
        <w:rPr>
          <w:rFonts w:ascii="Arial" w:hAnsi="Arial" w:cs="Arial"/>
        </w:rPr>
        <w:t xml:space="preserve">En la </w:t>
      </w:r>
      <w:r>
        <w:rPr>
          <w:rFonts w:ascii="Arial" w:hAnsi="Arial" w:cs="Arial"/>
          <w:i/>
        </w:rPr>
        <w:t>Figura 4.69</w:t>
      </w:r>
      <w:r>
        <w:rPr>
          <w:rFonts w:ascii="Arial" w:hAnsi="Arial" w:cs="Arial"/>
        </w:rPr>
        <w:t xml:space="preserve">, se presentan las tasas de solteros, casados o unidos y de separados, divorciados o viudos por género y grupos de edad. En el primer gráfico, podemos notar que para el caso de los hombres la tasa de solteros va disminuyendo a medida que aumenta la edad; por otra parte la tasa de casados o unidos va aumentando a medida que aumenta la edad, </w:t>
      </w:r>
      <w:r>
        <w:rPr>
          <w:rFonts w:ascii="Arial" w:hAnsi="Arial" w:cs="Arial"/>
        </w:rPr>
        <w:lastRenderedPageBreak/>
        <w:t xml:space="preserve">aunque para el grupo de edad comprendido entre 90 y 95 años esta tasa disminuye; mientras que, la tasa de separados, divorciados o viudos empieza a aumentar también para las edades mayores y presenta un descenso de los 85 a 90 años, luego vuelve a aumentar y disminuye de los 95 a 100 años. Para el caso de las mujeres la tasa de solteras va disminuyen a medida que aumenta la edad, mientras que la tasa de casado o unido incrementa a medida que aumenta la edad hasta los 60 años y a partir de aquí empieza a disminuir; y, la tasa de separado, divorciado o viudo también va aumentando a medida que aumenta la edad. </w:t>
      </w:r>
    </w:p>
    <w:p w:rsidR="00361FCE" w:rsidRDefault="00361FCE" w:rsidP="00CE7620">
      <w:pPr>
        <w:pStyle w:val="Prrafodelista"/>
        <w:spacing w:line="480" w:lineRule="auto"/>
        <w:ind w:left="851"/>
        <w:jc w:val="both"/>
        <w:rPr>
          <w:rFonts w:ascii="Arial" w:hAnsi="Arial" w:cs="Arial"/>
        </w:rPr>
      </w:pPr>
    </w:p>
    <w:p w:rsidR="00361FCE" w:rsidRDefault="00361FCE" w:rsidP="00CE7620">
      <w:pPr>
        <w:pStyle w:val="Prrafodelista"/>
        <w:spacing w:line="480" w:lineRule="auto"/>
        <w:ind w:left="851"/>
        <w:jc w:val="both"/>
        <w:rPr>
          <w:rFonts w:ascii="Arial" w:hAnsi="Arial" w:cs="Arial"/>
          <w:i/>
        </w:rPr>
      </w:pPr>
      <w:r>
        <w:rPr>
          <w:rFonts w:ascii="Arial" w:hAnsi="Arial" w:cs="Arial"/>
        </w:rPr>
        <w:t>Consideremos además, que la tasa de solteros toma valores mayores para los hombres que para las mujeres en la mayoría de los grupos de edad, la tasa de casados o unidos también es mayor en la mayoría de los casos para los hombres a excepción de los cuatro primeros grupos etarios; y, la tasa de separados, divorciados o viudos en cambio toma valores mayores para las mujeres en casi todos los casos a excepción de las edades comprendidas entre 15 y 20 años donde es mayor para los hombres.</w:t>
      </w:r>
      <w:r w:rsidR="00CE7620">
        <w:rPr>
          <w:rFonts w:ascii="Arial" w:hAnsi="Arial" w:cs="Arial"/>
        </w:rPr>
        <w:t xml:space="preserve"> </w:t>
      </w:r>
      <w:r>
        <w:rPr>
          <w:rFonts w:ascii="Arial" w:hAnsi="Arial" w:cs="Arial"/>
        </w:rPr>
        <w:t xml:space="preserve">Además, por cada 1000 estadounidenses de género masculino con edades comprendidas entre 30 y 35 años 268.97 son solteros, 672.41 están casados o unidos y 58.62 son separados, divorciados o viudos; mientras que, por cada 1000 mujeres de la misma nacionalidad y con edades comprendidas en el mismo grupo etario 246.09 son solteras, 652.34 están casadas o unidas y 101.56 están separadas, divorciadas o son viudas. Para más detalles acerca de otros grupos de edad </w:t>
      </w:r>
      <w:r>
        <w:rPr>
          <w:rFonts w:ascii="Arial" w:hAnsi="Arial" w:cs="Arial"/>
          <w:i/>
        </w:rPr>
        <w:t>véase Figura 4.69.</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CE7620">
        <w:trPr>
          <w:trHeight w:val="6217"/>
          <w:jc w:val="right"/>
        </w:trPr>
        <w:tc>
          <w:tcPr>
            <w:tcW w:w="7497" w:type="dxa"/>
          </w:tcPr>
          <w:p w:rsidR="00361FCE" w:rsidRPr="00840530" w:rsidRDefault="00361FCE" w:rsidP="00902050">
            <w:pPr>
              <w:rPr>
                <w:rFonts w:ascii="Arial" w:hAnsi="Arial" w:cs="Arial"/>
                <w:sz w:val="16"/>
                <w:szCs w:val="16"/>
              </w:rPr>
            </w:pPr>
          </w:p>
          <w:p w:rsidR="00984944" w:rsidRPr="00984944" w:rsidRDefault="00984944" w:rsidP="00984944">
            <w:pPr>
              <w:pStyle w:val="Epgrafe"/>
              <w:rPr>
                <w:rFonts w:ascii="Arial" w:hAnsi="Arial" w:cs="Arial"/>
                <w:bCs w:val="0"/>
                <w:color w:val="auto"/>
                <w:sz w:val="16"/>
                <w:szCs w:val="16"/>
              </w:rPr>
            </w:pPr>
            <w:bookmarkStart w:id="648" w:name="_Toc341044041"/>
            <w:r w:rsidRPr="00984944">
              <w:rPr>
                <w:rFonts w:ascii="Arial" w:hAnsi="Arial" w:cs="Arial"/>
                <w:bCs w:val="0"/>
                <w:color w:val="auto"/>
                <w:sz w:val="16"/>
                <w:szCs w:val="16"/>
              </w:rPr>
              <w:t>Figura 4.</w:t>
            </w:r>
            <w:r w:rsidR="00990535" w:rsidRPr="00984944">
              <w:rPr>
                <w:rFonts w:ascii="Arial" w:hAnsi="Arial" w:cs="Arial"/>
                <w:bCs w:val="0"/>
                <w:color w:val="auto"/>
                <w:sz w:val="16"/>
                <w:szCs w:val="16"/>
              </w:rPr>
              <w:fldChar w:fldCharType="begin"/>
            </w:r>
            <w:r w:rsidRPr="00984944">
              <w:rPr>
                <w:rFonts w:ascii="Arial" w:hAnsi="Arial" w:cs="Arial"/>
                <w:bCs w:val="0"/>
                <w:color w:val="auto"/>
                <w:sz w:val="16"/>
                <w:szCs w:val="16"/>
              </w:rPr>
              <w:instrText xml:space="preserve"> SEQ Figura_4. \* ARABIC </w:instrText>
            </w:r>
            <w:r w:rsidR="00990535" w:rsidRPr="00984944">
              <w:rPr>
                <w:rFonts w:ascii="Arial" w:hAnsi="Arial" w:cs="Arial"/>
                <w:bCs w:val="0"/>
                <w:color w:val="auto"/>
                <w:sz w:val="16"/>
                <w:szCs w:val="16"/>
              </w:rPr>
              <w:fldChar w:fldCharType="separate"/>
            </w:r>
            <w:r w:rsidR="00A242E0">
              <w:rPr>
                <w:rFonts w:ascii="Arial" w:hAnsi="Arial" w:cs="Arial"/>
                <w:bCs w:val="0"/>
                <w:noProof/>
                <w:color w:val="auto"/>
                <w:sz w:val="16"/>
                <w:szCs w:val="16"/>
              </w:rPr>
              <w:t>69</w:t>
            </w:r>
            <w:bookmarkEnd w:id="648"/>
            <w:r w:rsidR="00990535" w:rsidRPr="00984944">
              <w:rPr>
                <w:rFonts w:ascii="Arial" w:hAnsi="Arial" w:cs="Arial"/>
                <w:bCs w:val="0"/>
                <w:color w:val="auto"/>
                <w:sz w:val="16"/>
                <w:szCs w:val="16"/>
              </w:rPr>
              <w:fldChar w:fldCharType="end"/>
            </w:r>
          </w:p>
          <w:p w:rsidR="00361FCE" w:rsidRDefault="00CE7620"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Tasa de estado civil por cada 1000 </w:t>
            </w:r>
            <w:r>
              <w:rPr>
                <w:rFonts w:ascii="Arial" w:hAnsi="Arial" w:cs="Arial"/>
                <w:b/>
                <w:i/>
                <w:sz w:val="16"/>
                <w:szCs w:val="16"/>
              </w:rPr>
              <w:t>estadounidenses</w:t>
            </w:r>
            <w:r w:rsidRPr="008912B6">
              <w:rPr>
                <w:rFonts w:ascii="Arial" w:hAnsi="Arial" w:cs="Arial"/>
                <w:i/>
                <w:sz w:val="16"/>
                <w:szCs w:val="16"/>
              </w:rPr>
              <w:t xml:space="preserve"> por Género y Grupo etario</w:t>
            </w:r>
          </w:p>
          <w:p w:rsidR="00361FCE" w:rsidRDefault="00436907" w:rsidP="00902050">
            <w:pPr>
              <w:rPr>
                <w:rFonts w:ascii="Arial" w:hAnsi="Arial" w:cs="Arial"/>
                <w:i/>
                <w:sz w:val="16"/>
                <w:szCs w:val="16"/>
              </w:rPr>
            </w:pPr>
            <w:r>
              <w:rPr>
                <w:rFonts w:ascii="Arial" w:hAnsi="Arial" w:cs="Arial"/>
                <w:noProof/>
                <w:sz w:val="16"/>
                <w:szCs w:val="16"/>
                <w:lang w:eastAsia="es-EC"/>
              </w:rPr>
              <w:pict>
                <v:shape id="_x0000_s1661" type="#_x0000_t202" style="position:absolute;left:0;text-align:left;margin-left:119.05pt;margin-top:41.3pt;width:133.5pt;height:15.35pt;z-index:25160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Pr>
                            <w:rFonts w:ascii="Arial" w:hAnsi="Arial" w:cs="Arial"/>
                            <w:color w:val="E36C0A" w:themeColor="accent6" w:themeShade="BF"/>
                            <w:sz w:val="15"/>
                            <w:szCs w:val="15"/>
                          </w:rPr>
                          <w:t>Casado o Unido</w:t>
                        </w:r>
                      </w:p>
                    </w:txbxContent>
                  </v:textbox>
                </v:shape>
              </w:pict>
            </w:r>
            <w:r>
              <w:rPr>
                <w:rFonts w:ascii="Arial" w:hAnsi="Arial" w:cs="Arial"/>
                <w:noProof/>
                <w:sz w:val="16"/>
                <w:szCs w:val="16"/>
                <w:lang w:eastAsia="es-EC"/>
              </w:rPr>
              <w:pict>
                <v:shape id="_x0000_s2272" type="#_x0000_t32" style="position:absolute;left:0;text-align:left;margin-left:167.55pt;margin-top:33.7pt;width:15pt;height:10.55pt;flip:x y;z-index:252003840" o:connectortype="straight" strokecolor="#e36c0a [2409]">
                  <v:stroke endarrow="block"/>
                </v:shape>
              </w:pict>
            </w:r>
            <w:r>
              <w:rPr>
                <w:rFonts w:ascii="Arial" w:hAnsi="Arial" w:cs="Arial"/>
                <w:noProof/>
                <w:sz w:val="16"/>
                <w:szCs w:val="16"/>
                <w:lang w:eastAsia="es-EC"/>
              </w:rPr>
              <w:pict>
                <v:shape id="_x0000_s1660" type="#_x0000_t202" style="position:absolute;left:0;text-align:left;margin-left:88.3pt;margin-top:64.9pt;width:133.5pt;height:15.35pt;z-index:25160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Pr>
                            <w:rFonts w:ascii="Arial" w:hAnsi="Arial" w:cs="Arial"/>
                            <w:color w:val="0070C0"/>
                            <w:sz w:val="15"/>
                            <w:szCs w:val="15"/>
                          </w:rPr>
                          <w:t>Soltero</w:t>
                        </w:r>
                      </w:p>
                    </w:txbxContent>
                  </v:textbox>
                </v:shape>
              </w:pict>
            </w:r>
            <w:r>
              <w:rPr>
                <w:rFonts w:ascii="Arial" w:hAnsi="Arial" w:cs="Arial"/>
                <w:noProof/>
                <w:sz w:val="16"/>
                <w:szCs w:val="16"/>
                <w:lang w:eastAsia="es-EC"/>
              </w:rPr>
              <w:pict>
                <v:shape id="_x0000_s2270" type="#_x0000_t32" style="position:absolute;left:0;text-align:left;margin-left:142.3pt;margin-top:75.75pt;width:11pt;height:12pt;flip:x;z-index:252001792" o:connectortype="straight" strokecolor="#0070c0">
                  <v:stroke endarrow="block"/>
                </v:shape>
              </w:pict>
            </w:r>
            <w:r>
              <w:rPr>
                <w:rFonts w:ascii="Arial" w:hAnsi="Arial" w:cs="Arial"/>
                <w:noProof/>
                <w:sz w:val="16"/>
                <w:szCs w:val="16"/>
                <w:lang w:eastAsia="es-EC"/>
              </w:rPr>
              <w:pict>
                <v:shape id="_x0000_s1662" type="#_x0000_t202" style="position:absolute;left:0;text-align:left;margin-left:221.8pt;margin-top:56.65pt;width:80.25pt;height:28.1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Pr>
                            <w:rFonts w:ascii="Arial" w:hAnsi="Arial" w:cs="Arial"/>
                            <w:color w:val="CC0099"/>
                            <w:sz w:val="15"/>
                            <w:szCs w:val="15"/>
                          </w:rPr>
                          <w:t>Separado, Divorciado o Viudo</w:t>
                        </w:r>
                      </w:p>
                    </w:txbxContent>
                  </v:textbox>
                </v:shape>
              </w:pict>
            </w:r>
            <w:r>
              <w:rPr>
                <w:rFonts w:ascii="Arial" w:hAnsi="Arial" w:cs="Arial"/>
                <w:noProof/>
                <w:sz w:val="16"/>
                <w:szCs w:val="16"/>
                <w:lang w:eastAsia="es-EC"/>
              </w:rPr>
              <w:pict>
                <v:shape id="_x0000_s2268" type="#_x0000_t32" style="position:absolute;left:0;text-align:left;margin-left:264.55pt;margin-top:76.5pt;width:9.75pt;height:15.75pt;z-index:251999744" o:connectortype="straight" strokecolor="#d60093">
                  <v:stroke endarrow="block"/>
                </v:shape>
              </w:pict>
            </w:r>
            <w:r>
              <w:rPr>
                <w:noProof/>
              </w:rPr>
              <w:pict>
                <v:shape id="_x0000_s1658" type="#_x0000_t202" style="position:absolute;left:0;text-align:left;margin-left:217.3pt;margin-top:12.75pt;width:133.5pt;height:15.35pt;z-index:25160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t xml:space="preserve"> </w:t>
            </w:r>
            <w:r w:rsidR="00361FCE">
              <w:rPr>
                <w:noProof/>
                <w:lang w:eastAsia="es-EC"/>
              </w:rPr>
              <w:drawing>
                <wp:inline distT="0" distB="0" distL="0" distR="0">
                  <wp:extent cx="4211955" cy="1800000"/>
                  <wp:effectExtent l="0" t="0" r="0" b="0"/>
                  <wp:docPr id="133"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664" type="#_x0000_t202" style="position:absolute;left:0;text-align:left;margin-left:100.8pt;margin-top:44.8pt;width:133.5pt;height:15.35pt;z-index:251611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Pr>
                            <w:rFonts w:ascii="Arial" w:hAnsi="Arial" w:cs="Arial"/>
                            <w:color w:val="E36C0A" w:themeColor="accent6" w:themeShade="BF"/>
                            <w:sz w:val="15"/>
                            <w:szCs w:val="15"/>
                          </w:rPr>
                          <w:t>Casado o Unido</w:t>
                        </w:r>
                      </w:p>
                    </w:txbxContent>
                  </v:textbox>
                </v:shape>
              </w:pict>
            </w:r>
            <w:r>
              <w:rPr>
                <w:rFonts w:ascii="Arial" w:hAnsi="Arial" w:cs="Arial"/>
                <w:noProof/>
                <w:sz w:val="16"/>
                <w:szCs w:val="16"/>
                <w:lang w:eastAsia="es-EC"/>
              </w:rPr>
              <w:pict>
                <v:shape id="_x0000_s2273" type="#_x0000_t32" style="position:absolute;left:0;text-align:left;margin-left:157.8pt;margin-top:36.05pt;width:9.75pt;height:12.75pt;flip:x y;z-index:252004864" o:connectortype="straight" strokecolor="#e36c0a [2409]">
                  <v:stroke endarrow="block"/>
                </v:shape>
              </w:pict>
            </w:r>
            <w:r>
              <w:rPr>
                <w:rFonts w:ascii="Arial" w:hAnsi="Arial" w:cs="Arial"/>
                <w:noProof/>
                <w:sz w:val="16"/>
                <w:szCs w:val="16"/>
                <w:lang w:eastAsia="es-EC"/>
              </w:rPr>
              <w:pict>
                <v:shape id="_x0000_s1663" type="#_x0000_t202" style="position:absolute;left:0;text-align:left;margin-left:83.05pt;margin-top:62.85pt;width:133.5pt;height:15.35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Pr>
                            <w:rFonts w:ascii="Arial" w:hAnsi="Arial" w:cs="Arial"/>
                            <w:color w:val="0070C0"/>
                            <w:sz w:val="15"/>
                            <w:szCs w:val="15"/>
                          </w:rPr>
                          <w:t>Soltero</w:t>
                        </w:r>
                      </w:p>
                    </w:txbxContent>
                  </v:textbox>
                </v:shape>
              </w:pict>
            </w:r>
            <w:r>
              <w:rPr>
                <w:rFonts w:ascii="Arial" w:hAnsi="Arial" w:cs="Arial"/>
                <w:noProof/>
                <w:sz w:val="16"/>
                <w:szCs w:val="16"/>
                <w:lang w:eastAsia="es-EC"/>
              </w:rPr>
              <w:pict>
                <v:shape id="_x0000_s2271" type="#_x0000_t32" style="position:absolute;left:0;text-align:left;margin-left:142.3pt;margin-top:72.9pt;width:5.75pt;height:11.9pt;flip:x;z-index:252002816" o:connectortype="straight" strokecolor="#0070c0">
                  <v:stroke endarrow="block"/>
                </v:shape>
              </w:pict>
            </w:r>
            <w:r>
              <w:rPr>
                <w:rFonts w:ascii="Arial" w:hAnsi="Arial" w:cs="Arial"/>
                <w:noProof/>
                <w:sz w:val="16"/>
                <w:szCs w:val="16"/>
                <w:lang w:eastAsia="es-EC"/>
              </w:rPr>
              <w:pict>
                <v:shape id="_x0000_s1665" type="#_x0000_t202" style="position:absolute;left:0;text-align:left;margin-left:197.8pt;margin-top:44.8pt;width:80.25pt;height:28.1pt;z-index:25161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Pr>
                            <w:rFonts w:ascii="Arial" w:hAnsi="Arial" w:cs="Arial"/>
                            <w:color w:val="CC0099"/>
                            <w:sz w:val="15"/>
                            <w:szCs w:val="15"/>
                          </w:rPr>
                          <w:t>Separado, Divorciado o Viudo</w:t>
                        </w:r>
                      </w:p>
                    </w:txbxContent>
                  </v:textbox>
                </v:shape>
              </w:pict>
            </w:r>
            <w:r>
              <w:rPr>
                <w:rFonts w:ascii="Arial" w:hAnsi="Arial" w:cs="Arial"/>
                <w:noProof/>
                <w:sz w:val="16"/>
                <w:szCs w:val="16"/>
                <w:lang w:eastAsia="es-EC"/>
              </w:rPr>
              <w:pict>
                <v:shape id="_x0000_s2269" type="#_x0000_t32" style="position:absolute;left:0;text-align:left;margin-left:241.05pt;margin-top:65.3pt;width:11.5pt;height:12.15pt;z-index:252000768" o:connectortype="straight" strokecolor="#d60093">
                  <v:stroke endarrow="block"/>
                </v:shape>
              </w:pict>
            </w:r>
            <w:r>
              <w:rPr>
                <w:rFonts w:ascii="Arial" w:hAnsi="Arial" w:cs="Arial"/>
                <w:noProof/>
                <w:sz w:val="16"/>
                <w:szCs w:val="16"/>
                <w:lang w:eastAsia="es-EC"/>
              </w:rPr>
              <w:pict>
                <v:shape id="_x0000_s1659" type="#_x0000_t202" style="position:absolute;left:0;text-align:left;margin-left:216.55pt;margin-top:12.55pt;width:133.5pt;height:15.35pt;z-index:25160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t xml:space="preserve"> </w:t>
            </w:r>
            <w:r w:rsidR="00361FCE">
              <w:rPr>
                <w:noProof/>
                <w:lang w:eastAsia="es-EC"/>
              </w:rPr>
              <w:drawing>
                <wp:inline distT="0" distB="0" distL="0" distR="0">
                  <wp:extent cx="4211955" cy="1800000"/>
                  <wp:effectExtent l="0" t="0" r="0" b="0"/>
                  <wp:docPr id="134" name="Gráfico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c>
      </w:tr>
    </w:tbl>
    <w:p w:rsidR="00361FCE" w:rsidRPr="00CE7620" w:rsidRDefault="00361FCE" w:rsidP="00CE7620">
      <w:pPr>
        <w:pStyle w:val="Prrafodelista"/>
        <w:spacing w:line="276" w:lineRule="auto"/>
        <w:ind w:left="851"/>
        <w:jc w:val="both"/>
        <w:rPr>
          <w:rFonts w:ascii="Arial" w:hAnsi="Arial" w:cs="Arial"/>
          <w:sz w:val="17"/>
          <w:szCs w:val="17"/>
        </w:rPr>
      </w:pPr>
    </w:p>
    <w:p w:rsidR="00361FCE" w:rsidRPr="00CE7620" w:rsidRDefault="00361FCE" w:rsidP="00CE7620">
      <w:pPr>
        <w:pStyle w:val="Prrafodelista"/>
        <w:spacing w:line="276" w:lineRule="auto"/>
        <w:ind w:left="851"/>
        <w:jc w:val="both"/>
        <w:rPr>
          <w:rFonts w:ascii="Arial" w:hAnsi="Arial" w:cs="Arial"/>
          <w:sz w:val="17"/>
          <w:szCs w:val="17"/>
        </w:rPr>
      </w:pPr>
      <w:r w:rsidRPr="00CE7620">
        <w:rPr>
          <w:rFonts w:ascii="Arial" w:hAnsi="Arial" w:cs="Arial"/>
          <w:b/>
          <w:i/>
          <w:sz w:val="17"/>
          <w:szCs w:val="17"/>
        </w:rPr>
        <w:t>Fuente:</w:t>
      </w:r>
      <w:r w:rsidRPr="00CE7620">
        <w:rPr>
          <w:rFonts w:ascii="Arial" w:hAnsi="Arial" w:cs="Arial"/>
          <w:sz w:val="17"/>
          <w:szCs w:val="17"/>
        </w:rPr>
        <w:t xml:space="preserve"> </w:t>
      </w:r>
      <w:r w:rsidRPr="00CE7620">
        <w:rPr>
          <w:rFonts w:ascii="Arial" w:hAnsi="Arial" w:cs="Arial"/>
          <w:b/>
          <w:sz w:val="17"/>
          <w:szCs w:val="17"/>
        </w:rPr>
        <w:t xml:space="preserve">INEC </w:t>
      </w:r>
      <w:r w:rsidRPr="00CE7620">
        <w:rPr>
          <w:rFonts w:ascii="Arial" w:hAnsi="Arial" w:cs="Arial"/>
          <w:sz w:val="17"/>
          <w:szCs w:val="17"/>
        </w:rPr>
        <w:t>(2010), Base de Datos del VII Censo de Población y VI de Vivienda.</w:t>
      </w:r>
    </w:p>
    <w:p w:rsidR="00361FCE" w:rsidRPr="00CE7620" w:rsidRDefault="00361FCE" w:rsidP="00CE7620">
      <w:pPr>
        <w:pStyle w:val="Prrafodelista"/>
        <w:spacing w:line="276" w:lineRule="auto"/>
        <w:ind w:left="851"/>
        <w:jc w:val="both"/>
        <w:rPr>
          <w:rFonts w:ascii="Arial" w:hAnsi="Arial" w:cs="Arial"/>
          <w:sz w:val="17"/>
          <w:szCs w:val="17"/>
        </w:rPr>
      </w:pPr>
      <w:r w:rsidRPr="00CE7620">
        <w:rPr>
          <w:rFonts w:ascii="Arial" w:hAnsi="Arial" w:cs="Arial"/>
          <w:b/>
          <w:i/>
          <w:sz w:val="17"/>
          <w:szCs w:val="17"/>
        </w:rPr>
        <w:t>Elaborado por:</w:t>
      </w:r>
      <w:r w:rsidRPr="00CE7620">
        <w:rPr>
          <w:rFonts w:ascii="Arial" w:hAnsi="Arial" w:cs="Arial"/>
          <w:sz w:val="17"/>
          <w:szCs w:val="17"/>
        </w:rPr>
        <w:t xml:space="preserve"> Katherine Loor Valeriano</w:t>
      </w:r>
    </w:p>
    <w:p w:rsidR="00361FCE" w:rsidRDefault="00361FCE" w:rsidP="00361FCE">
      <w:pPr>
        <w:spacing w:line="480" w:lineRule="auto"/>
        <w:jc w:val="both"/>
        <w:rPr>
          <w:rFonts w:ascii="Arial" w:hAnsi="Arial" w:cs="Arial"/>
        </w:rPr>
      </w:pPr>
      <w:r>
        <w:rPr>
          <w:rFonts w:ascii="Arial" w:hAnsi="Arial" w:cs="Arial"/>
        </w:rPr>
        <w:tab/>
      </w:r>
    </w:p>
    <w:p w:rsidR="00361FCE" w:rsidRDefault="00361FCE" w:rsidP="00CE7620">
      <w:pPr>
        <w:pStyle w:val="Estilo42"/>
        <w:ind w:left="1560" w:hanging="709"/>
      </w:pPr>
      <w:bookmarkStart w:id="649" w:name="_Toc337135552"/>
      <w:bookmarkStart w:id="650" w:name="_Toc341040702"/>
      <w:r>
        <w:t>Analfabetismo Digital</w:t>
      </w:r>
      <w:bookmarkEnd w:id="649"/>
      <w:r w:rsidR="00CE7620">
        <w:t xml:space="preserve"> de la población estadounidense</w:t>
      </w:r>
      <w:bookmarkEnd w:id="650"/>
    </w:p>
    <w:p w:rsidR="00361FCE" w:rsidRDefault="00361FCE" w:rsidP="00CE7620">
      <w:pPr>
        <w:pStyle w:val="Prrafodelista"/>
        <w:tabs>
          <w:tab w:val="left" w:pos="1785"/>
        </w:tabs>
        <w:spacing w:line="480" w:lineRule="auto"/>
        <w:ind w:left="851"/>
        <w:jc w:val="both"/>
        <w:rPr>
          <w:rFonts w:ascii="Arial" w:hAnsi="Arial" w:cs="Arial"/>
        </w:rPr>
      </w:pPr>
      <w:r>
        <w:rPr>
          <w:rFonts w:ascii="Arial" w:hAnsi="Arial" w:cs="Arial"/>
        </w:rPr>
        <w:t xml:space="preserve">Ahora vamos a conocer el porcentaje de la población que ha utilizado en los últimos seis meses un teléfono celular, Internet o una computadora; en donde tenemos que el 67.20% de los estadounidenses que habitualmente residen en el país han utilizado algún teléfono celular en los últimos seis meses, el 27.15% no lo han usado y el 5.66% no respondieron a esta pregunta; mientras que del total de estadounidenses el 75.27% han utilizado Internet en los últimos seis meses, el 20.20% no lo han utilizado y el porcentaje restante representan respuestas faltantes o ignoradas; y, en lo </w:t>
      </w:r>
      <w:r>
        <w:rPr>
          <w:rFonts w:ascii="Arial" w:hAnsi="Arial" w:cs="Arial"/>
        </w:rPr>
        <w:lastRenderedPageBreak/>
        <w:t xml:space="preserve">que respecta a la utilización de una computadora, se tiene que el 81.99% de los estadounidenses la han usado, el 13.95% no la han utilizado y el 4.06% representan respuestas faltantes. </w:t>
      </w:r>
      <w:r>
        <w:rPr>
          <w:rFonts w:ascii="Arial" w:hAnsi="Arial" w:cs="Arial"/>
          <w:i/>
        </w:rPr>
        <w:t>Véase Figura 4.70.</w:t>
      </w:r>
      <w:r>
        <w:rPr>
          <w:rFonts w:ascii="Arial" w:hAnsi="Arial" w:cs="Arial"/>
        </w:rPr>
        <w:tab/>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CE7620">
        <w:trPr>
          <w:trHeight w:val="3702"/>
          <w:jc w:val="right"/>
        </w:trPr>
        <w:tc>
          <w:tcPr>
            <w:tcW w:w="7497" w:type="dxa"/>
          </w:tcPr>
          <w:p w:rsidR="00361FCE" w:rsidRDefault="00361FCE" w:rsidP="00902050">
            <w:pPr>
              <w:rPr>
                <w:rFonts w:ascii="Arial" w:hAnsi="Arial" w:cs="Arial"/>
                <w:b/>
                <w:sz w:val="16"/>
                <w:szCs w:val="16"/>
              </w:rPr>
            </w:pPr>
          </w:p>
          <w:p w:rsidR="00B14471" w:rsidRPr="00B14471" w:rsidRDefault="00B14471" w:rsidP="00B14471">
            <w:pPr>
              <w:pStyle w:val="Epgrafe"/>
              <w:rPr>
                <w:rFonts w:ascii="Arial" w:hAnsi="Arial" w:cs="Arial"/>
                <w:bCs w:val="0"/>
                <w:color w:val="auto"/>
                <w:sz w:val="16"/>
                <w:szCs w:val="16"/>
              </w:rPr>
            </w:pPr>
            <w:bookmarkStart w:id="651" w:name="_Toc341044042"/>
            <w:r>
              <w:rPr>
                <w:rFonts w:ascii="Arial" w:hAnsi="Arial" w:cs="Arial"/>
                <w:bCs w:val="0"/>
                <w:color w:val="auto"/>
                <w:sz w:val="16"/>
                <w:szCs w:val="16"/>
              </w:rPr>
              <w:t>Figura 4.</w:t>
            </w:r>
            <w:r w:rsidR="00990535" w:rsidRPr="00B14471">
              <w:rPr>
                <w:rFonts w:ascii="Arial" w:hAnsi="Arial" w:cs="Arial"/>
                <w:bCs w:val="0"/>
                <w:color w:val="auto"/>
                <w:sz w:val="16"/>
                <w:szCs w:val="16"/>
              </w:rPr>
              <w:fldChar w:fldCharType="begin"/>
            </w:r>
            <w:r w:rsidRPr="00B14471">
              <w:rPr>
                <w:rFonts w:ascii="Arial" w:hAnsi="Arial" w:cs="Arial"/>
                <w:bCs w:val="0"/>
                <w:color w:val="auto"/>
                <w:sz w:val="16"/>
                <w:szCs w:val="16"/>
              </w:rPr>
              <w:instrText xml:space="preserve"> SEQ Figura_4. \* ARABIC </w:instrText>
            </w:r>
            <w:r w:rsidR="00990535" w:rsidRPr="00B14471">
              <w:rPr>
                <w:rFonts w:ascii="Arial" w:hAnsi="Arial" w:cs="Arial"/>
                <w:bCs w:val="0"/>
                <w:color w:val="auto"/>
                <w:sz w:val="16"/>
                <w:szCs w:val="16"/>
              </w:rPr>
              <w:fldChar w:fldCharType="separate"/>
            </w:r>
            <w:r w:rsidR="00A242E0">
              <w:rPr>
                <w:rFonts w:ascii="Arial" w:hAnsi="Arial" w:cs="Arial"/>
                <w:bCs w:val="0"/>
                <w:noProof/>
                <w:color w:val="auto"/>
                <w:sz w:val="16"/>
                <w:szCs w:val="16"/>
              </w:rPr>
              <w:t>70</w:t>
            </w:r>
            <w:bookmarkEnd w:id="651"/>
            <w:r w:rsidR="00990535" w:rsidRPr="00B14471">
              <w:rPr>
                <w:rFonts w:ascii="Arial" w:hAnsi="Arial" w:cs="Arial"/>
                <w:bCs w:val="0"/>
                <w:color w:val="auto"/>
                <w:sz w:val="16"/>
                <w:szCs w:val="16"/>
              </w:rPr>
              <w:fldChar w:fldCharType="end"/>
            </w:r>
          </w:p>
          <w:p w:rsidR="00CE7620" w:rsidRPr="008912B6" w:rsidRDefault="00CE7620" w:rsidP="00CE762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Frecuencia Relativa de los </w:t>
            </w:r>
            <w:r>
              <w:rPr>
                <w:rFonts w:ascii="Arial" w:hAnsi="Arial" w:cs="Arial"/>
                <w:b/>
                <w:i/>
                <w:sz w:val="16"/>
                <w:szCs w:val="16"/>
              </w:rPr>
              <w:t>estadounidenses</w:t>
            </w:r>
            <w:r w:rsidRPr="008912B6">
              <w:rPr>
                <w:rFonts w:ascii="Arial" w:hAnsi="Arial" w:cs="Arial"/>
                <w:i/>
                <w:sz w:val="16"/>
                <w:szCs w:val="16"/>
              </w:rPr>
              <w:t xml:space="preserve"> que han utilizado Teléfono Celular, </w:t>
            </w:r>
          </w:p>
          <w:p w:rsidR="00361FCE" w:rsidRDefault="00CE7620" w:rsidP="00CE7620">
            <w:pPr>
              <w:rPr>
                <w:rFonts w:ascii="Arial" w:hAnsi="Arial" w:cs="Arial"/>
                <w:i/>
                <w:sz w:val="16"/>
                <w:szCs w:val="16"/>
              </w:rPr>
            </w:pPr>
            <w:r w:rsidRPr="008912B6">
              <w:rPr>
                <w:rFonts w:ascii="Arial" w:hAnsi="Arial" w:cs="Arial"/>
                <w:i/>
                <w:sz w:val="16"/>
                <w:szCs w:val="16"/>
              </w:rPr>
              <w:t>Internet o Computadora en los últimos seis meses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441"/>
              <w:gridCol w:w="2441"/>
              <w:gridCol w:w="2441"/>
            </w:tblGrid>
            <w:tr w:rsidR="00361FCE" w:rsidTr="00CE7620">
              <w:trPr>
                <w:jc w:val="center"/>
              </w:trPr>
              <w:tc>
                <w:tcPr>
                  <w:tcW w:w="2441" w:type="dxa"/>
                </w:tcPr>
                <w:p w:rsidR="00361FCE" w:rsidRDefault="00361FCE" w:rsidP="00902050">
                  <w:pPr>
                    <w:rPr>
                      <w:rFonts w:ascii="Arial" w:hAnsi="Arial" w:cs="Arial"/>
                      <w:i/>
                      <w:sz w:val="16"/>
                      <w:szCs w:val="16"/>
                    </w:rPr>
                  </w:pPr>
                  <w:r>
                    <w:rPr>
                      <w:rFonts w:ascii="Arial" w:hAnsi="Arial" w:cs="Arial"/>
                      <w:i/>
                      <w:sz w:val="16"/>
                      <w:szCs w:val="16"/>
                    </w:rPr>
                    <w:t>“</w:t>
                  </w:r>
                  <w:r>
                    <w:rPr>
                      <w:rFonts w:ascii="Arial" w:hAnsi="Arial" w:cs="Arial"/>
                      <w:b/>
                      <w:i/>
                      <w:sz w:val="16"/>
                      <w:szCs w:val="16"/>
                    </w:rPr>
                    <w:t>Teléfono Celular</w:t>
                  </w:r>
                  <w:r>
                    <w:rPr>
                      <w:rFonts w:ascii="Arial" w:hAnsi="Arial" w:cs="Arial"/>
                      <w:i/>
                      <w:sz w:val="16"/>
                      <w:szCs w:val="16"/>
                    </w:rPr>
                    <w:t>”</w:t>
                  </w:r>
                </w:p>
                <w:p w:rsidR="00361FCE" w:rsidRDefault="00361FCE" w:rsidP="00902050">
                  <w:pPr>
                    <w:rPr>
                      <w:rFonts w:ascii="Arial" w:hAnsi="Arial" w:cs="Arial"/>
                      <w:i/>
                      <w:sz w:val="16"/>
                      <w:szCs w:val="16"/>
                    </w:rPr>
                  </w:pPr>
                  <w:r>
                    <w:rPr>
                      <w:noProof/>
                      <w:lang w:eastAsia="es-EC"/>
                    </w:rPr>
                    <w:drawing>
                      <wp:inline distT="0" distB="0" distL="0" distR="0">
                        <wp:extent cx="1440000" cy="1810385"/>
                        <wp:effectExtent l="0" t="0" r="0" b="0"/>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c>
              <w:tc>
                <w:tcPr>
                  <w:tcW w:w="2441" w:type="dxa"/>
                </w:tcPr>
                <w:p w:rsidR="00361FCE" w:rsidRDefault="00361FCE" w:rsidP="00902050">
                  <w:pPr>
                    <w:rPr>
                      <w:rFonts w:ascii="Arial" w:hAnsi="Arial" w:cs="Arial"/>
                      <w:i/>
                      <w:sz w:val="16"/>
                      <w:szCs w:val="16"/>
                    </w:rPr>
                  </w:pPr>
                  <w:r>
                    <w:rPr>
                      <w:rFonts w:ascii="Arial" w:hAnsi="Arial" w:cs="Arial"/>
                      <w:i/>
                      <w:sz w:val="16"/>
                      <w:szCs w:val="16"/>
                    </w:rPr>
                    <w:t>“</w:t>
                  </w:r>
                  <w:r>
                    <w:rPr>
                      <w:rFonts w:ascii="Arial" w:hAnsi="Arial" w:cs="Arial"/>
                      <w:b/>
                      <w:i/>
                      <w:sz w:val="16"/>
                      <w:szCs w:val="16"/>
                    </w:rPr>
                    <w:t>Internet</w:t>
                  </w:r>
                  <w:r>
                    <w:rPr>
                      <w:rFonts w:ascii="Arial" w:hAnsi="Arial" w:cs="Arial"/>
                      <w:i/>
                      <w:sz w:val="16"/>
                      <w:szCs w:val="16"/>
                    </w:rPr>
                    <w:t>”</w:t>
                  </w:r>
                </w:p>
                <w:p w:rsidR="00361FCE" w:rsidRDefault="00361FCE" w:rsidP="00902050">
                  <w:pPr>
                    <w:rPr>
                      <w:rFonts w:ascii="Arial" w:hAnsi="Arial" w:cs="Arial"/>
                      <w:i/>
                      <w:sz w:val="16"/>
                      <w:szCs w:val="16"/>
                    </w:rPr>
                  </w:pPr>
                  <w:r>
                    <w:rPr>
                      <w:noProof/>
                      <w:lang w:eastAsia="es-EC"/>
                    </w:rPr>
                    <w:drawing>
                      <wp:inline distT="0" distB="0" distL="0" distR="0">
                        <wp:extent cx="1440000" cy="1810385"/>
                        <wp:effectExtent l="0" t="0" r="0" b="0"/>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c>
                <w:tcPr>
                  <w:tcW w:w="2268" w:type="dxa"/>
                </w:tcPr>
                <w:p w:rsidR="00361FCE" w:rsidRDefault="00361FCE" w:rsidP="00902050">
                  <w:pPr>
                    <w:rPr>
                      <w:rFonts w:ascii="Arial" w:hAnsi="Arial" w:cs="Arial"/>
                      <w:i/>
                      <w:sz w:val="16"/>
                      <w:szCs w:val="16"/>
                    </w:rPr>
                  </w:pPr>
                  <w:r>
                    <w:rPr>
                      <w:rFonts w:ascii="Arial" w:hAnsi="Arial" w:cs="Arial"/>
                      <w:i/>
                      <w:sz w:val="16"/>
                      <w:szCs w:val="16"/>
                    </w:rPr>
                    <w:t>“</w:t>
                  </w:r>
                  <w:r>
                    <w:rPr>
                      <w:rFonts w:ascii="Arial" w:hAnsi="Arial" w:cs="Arial"/>
                      <w:b/>
                      <w:i/>
                      <w:sz w:val="16"/>
                      <w:szCs w:val="16"/>
                    </w:rPr>
                    <w:t>Computadora</w:t>
                  </w:r>
                  <w:r>
                    <w:rPr>
                      <w:rFonts w:ascii="Arial" w:hAnsi="Arial" w:cs="Arial"/>
                      <w:i/>
                      <w:sz w:val="16"/>
                      <w:szCs w:val="16"/>
                    </w:rPr>
                    <w:t>”</w:t>
                  </w:r>
                </w:p>
                <w:p w:rsidR="00361FCE" w:rsidRDefault="00361FCE" w:rsidP="00902050">
                  <w:pPr>
                    <w:rPr>
                      <w:rFonts w:ascii="Arial" w:hAnsi="Arial" w:cs="Arial"/>
                      <w:i/>
                      <w:sz w:val="16"/>
                      <w:szCs w:val="16"/>
                    </w:rPr>
                  </w:pPr>
                  <w:r w:rsidRPr="0023672B">
                    <w:rPr>
                      <w:noProof/>
                      <w:shd w:val="clear" w:color="auto" w:fill="FFFFFF" w:themeFill="background1"/>
                      <w:lang w:eastAsia="es-EC"/>
                    </w:rPr>
                    <w:drawing>
                      <wp:inline distT="0" distB="0" distL="0" distR="0">
                        <wp:extent cx="1440000" cy="1810385"/>
                        <wp:effectExtent l="0" t="0" r="0" b="0"/>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c>
            </w:tr>
          </w:tbl>
          <w:p w:rsidR="00361FCE" w:rsidRPr="0078148C" w:rsidRDefault="00361FCE" w:rsidP="00902050">
            <w:pPr>
              <w:rPr>
                <w:rFonts w:ascii="Arial" w:hAnsi="Arial" w:cs="Arial"/>
                <w:i/>
                <w:sz w:val="16"/>
                <w:szCs w:val="16"/>
              </w:rPr>
            </w:pPr>
          </w:p>
        </w:tc>
      </w:tr>
    </w:tbl>
    <w:p w:rsidR="00361FCE" w:rsidRPr="00CE7620" w:rsidRDefault="00361FCE" w:rsidP="00CE7620">
      <w:pPr>
        <w:pStyle w:val="Prrafodelista"/>
        <w:spacing w:line="276" w:lineRule="auto"/>
        <w:ind w:left="851"/>
        <w:jc w:val="both"/>
        <w:rPr>
          <w:rFonts w:ascii="Arial" w:hAnsi="Arial" w:cs="Arial"/>
          <w:sz w:val="17"/>
          <w:szCs w:val="17"/>
        </w:rPr>
      </w:pPr>
    </w:p>
    <w:p w:rsidR="00361FCE" w:rsidRPr="00CE7620" w:rsidRDefault="00361FCE" w:rsidP="00CE7620">
      <w:pPr>
        <w:pStyle w:val="Prrafodelista"/>
        <w:spacing w:line="276" w:lineRule="auto"/>
        <w:ind w:left="851"/>
        <w:jc w:val="both"/>
        <w:rPr>
          <w:rFonts w:ascii="Arial" w:hAnsi="Arial" w:cs="Arial"/>
          <w:sz w:val="17"/>
          <w:szCs w:val="17"/>
        </w:rPr>
      </w:pPr>
      <w:r w:rsidRPr="00CE7620">
        <w:rPr>
          <w:rFonts w:ascii="Arial" w:hAnsi="Arial" w:cs="Arial"/>
          <w:b/>
          <w:i/>
          <w:sz w:val="17"/>
          <w:szCs w:val="17"/>
        </w:rPr>
        <w:t>Fuente:</w:t>
      </w:r>
      <w:r w:rsidRPr="00CE7620">
        <w:rPr>
          <w:rFonts w:ascii="Arial" w:hAnsi="Arial" w:cs="Arial"/>
          <w:sz w:val="17"/>
          <w:szCs w:val="17"/>
        </w:rPr>
        <w:t xml:space="preserve"> </w:t>
      </w:r>
      <w:r w:rsidRPr="00CE7620">
        <w:rPr>
          <w:rFonts w:ascii="Arial" w:hAnsi="Arial" w:cs="Arial"/>
          <w:b/>
          <w:sz w:val="17"/>
          <w:szCs w:val="17"/>
        </w:rPr>
        <w:t xml:space="preserve">INEC </w:t>
      </w:r>
      <w:r w:rsidRPr="00CE7620">
        <w:rPr>
          <w:rFonts w:ascii="Arial" w:hAnsi="Arial" w:cs="Arial"/>
          <w:sz w:val="17"/>
          <w:szCs w:val="17"/>
        </w:rPr>
        <w:t>(2010), Base de Datos del VII Censo de Población y VI de Vivienda.</w:t>
      </w:r>
    </w:p>
    <w:p w:rsidR="00361FCE" w:rsidRPr="00CE7620" w:rsidRDefault="00361FCE" w:rsidP="00CE7620">
      <w:pPr>
        <w:pStyle w:val="Prrafodelista"/>
        <w:spacing w:line="276" w:lineRule="auto"/>
        <w:ind w:left="851"/>
        <w:jc w:val="both"/>
        <w:rPr>
          <w:rFonts w:ascii="Arial" w:hAnsi="Arial" w:cs="Arial"/>
          <w:sz w:val="17"/>
          <w:szCs w:val="17"/>
        </w:rPr>
      </w:pPr>
      <w:r w:rsidRPr="00CE7620">
        <w:rPr>
          <w:rFonts w:ascii="Arial" w:hAnsi="Arial" w:cs="Arial"/>
          <w:b/>
          <w:i/>
          <w:sz w:val="17"/>
          <w:szCs w:val="17"/>
        </w:rPr>
        <w:t>Elaborado por:</w:t>
      </w:r>
      <w:r w:rsidRPr="00CE7620">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361FCE" w:rsidP="00CE7620">
      <w:pPr>
        <w:pStyle w:val="Estilo42"/>
        <w:ind w:left="1701" w:hanging="850"/>
      </w:pPr>
      <w:bookmarkStart w:id="652" w:name="_Toc337135553"/>
      <w:bookmarkStart w:id="653" w:name="_Toc341040703"/>
      <w:r>
        <w:t>Población estadounidense económicamente activa</w:t>
      </w:r>
      <w:bookmarkEnd w:id="652"/>
      <w:bookmarkEnd w:id="653"/>
    </w:p>
    <w:p w:rsidR="00361FCE" w:rsidRDefault="00361FCE" w:rsidP="00CE7620">
      <w:pPr>
        <w:pStyle w:val="Prrafodelista"/>
        <w:spacing w:line="480" w:lineRule="auto"/>
        <w:ind w:left="851"/>
        <w:jc w:val="both"/>
        <w:rPr>
          <w:rFonts w:ascii="Arial" w:hAnsi="Arial" w:cs="Arial"/>
        </w:rPr>
      </w:pPr>
      <w:r>
        <w:rPr>
          <w:rFonts w:ascii="Arial" w:hAnsi="Arial" w:cs="Arial"/>
        </w:rPr>
        <w:t>Ahora hablaremos acerca de la estructura económica de los estadounidenses que habitualmente residen en el país, recordemos además que hasta el 28 de noviembre de 2010 el total de personas de esta nacionalidad que habitualmente viven en el país es de 15017; de ellos, el 58.23% son personas en edad de trabajar, es decir tienen 10 años y más, de éstos últimos el 39.14% forman parte de la población económicamente activa, es decir ellos trabajan o están buscando empleo; y, el 60.86% forman parte de la población económicamente inactiva. En la</w:t>
      </w:r>
      <w:r>
        <w:rPr>
          <w:rFonts w:ascii="Arial" w:hAnsi="Arial" w:cs="Arial"/>
          <w:i/>
        </w:rPr>
        <w:t xml:space="preserve"> Figura 4.71</w:t>
      </w:r>
      <w:r>
        <w:rPr>
          <w:rFonts w:ascii="Arial" w:hAnsi="Arial" w:cs="Arial"/>
        </w:rPr>
        <w:t xml:space="preserve">, se presentan en cambio las frecuencias absolutas de la población en edad de trabajar, económicamente activa </w:t>
      </w:r>
      <w:r w:rsidR="00CE7620">
        <w:rPr>
          <w:rFonts w:ascii="Arial" w:hAnsi="Arial" w:cs="Arial"/>
        </w:rPr>
        <w:t>e</w:t>
      </w:r>
      <w:r>
        <w:rPr>
          <w:rFonts w:ascii="Arial" w:hAnsi="Arial" w:cs="Arial"/>
        </w:rPr>
        <w:t xml:space="preserve"> inactiva</w:t>
      </w:r>
      <w:r>
        <w:rPr>
          <w:rFonts w:ascii="Arial" w:hAnsi="Arial" w:cs="Arial"/>
          <w:i/>
        </w:rPr>
        <w:t>.</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9B54C1">
        <w:trPr>
          <w:trHeight w:val="2816"/>
          <w:jc w:val="right"/>
        </w:trPr>
        <w:tc>
          <w:tcPr>
            <w:tcW w:w="7497" w:type="dxa"/>
          </w:tcPr>
          <w:p w:rsidR="00361FCE" w:rsidRDefault="00361FCE" w:rsidP="00902050">
            <w:pPr>
              <w:rPr>
                <w:rFonts w:ascii="Arial" w:hAnsi="Arial" w:cs="Arial"/>
                <w:b/>
                <w:sz w:val="16"/>
                <w:szCs w:val="16"/>
              </w:rPr>
            </w:pPr>
          </w:p>
          <w:p w:rsidR="00B14471" w:rsidRPr="00B14471" w:rsidRDefault="00B14471" w:rsidP="00B14471">
            <w:pPr>
              <w:pStyle w:val="Epgrafe"/>
              <w:rPr>
                <w:rFonts w:ascii="Arial" w:hAnsi="Arial" w:cs="Arial"/>
                <w:bCs w:val="0"/>
                <w:color w:val="auto"/>
                <w:sz w:val="16"/>
                <w:szCs w:val="16"/>
              </w:rPr>
            </w:pPr>
            <w:bookmarkStart w:id="654" w:name="_Toc341044043"/>
            <w:r>
              <w:rPr>
                <w:rFonts w:ascii="Arial" w:hAnsi="Arial" w:cs="Arial"/>
                <w:bCs w:val="0"/>
                <w:color w:val="auto"/>
                <w:sz w:val="16"/>
                <w:szCs w:val="16"/>
              </w:rPr>
              <w:t>Figura 4.</w:t>
            </w:r>
            <w:r w:rsidR="00990535" w:rsidRPr="00B14471">
              <w:rPr>
                <w:rFonts w:ascii="Arial" w:hAnsi="Arial" w:cs="Arial"/>
                <w:bCs w:val="0"/>
                <w:color w:val="auto"/>
                <w:sz w:val="16"/>
                <w:szCs w:val="16"/>
              </w:rPr>
              <w:fldChar w:fldCharType="begin"/>
            </w:r>
            <w:r w:rsidRPr="00B14471">
              <w:rPr>
                <w:rFonts w:ascii="Arial" w:hAnsi="Arial" w:cs="Arial"/>
                <w:bCs w:val="0"/>
                <w:color w:val="auto"/>
                <w:sz w:val="16"/>
                <w:szCs w:val="16"/>
              </w:rPr>
              <w:instrText xml:space="preserve"> SEQ Figura_4. \* ARABIC </w:instrText>
            </w:r>
            <w:r w:rsidR="00990535" w:rsidRPr="00B14471">
              <w:rPr>
                <w:rFonts w:ascii="Arial" w:hAnsi="Arial" w:cs="Arial"/>
                <w:bCs w:val="0"/>
                <w:color w:val="auto"/>
                <w:sz w:val="16"/>
                <w:szCs w:val="16"/>
              </w:rPr>
              <w:fldChar w:fldCharType="separate"/>
            </w:r>
            <w:r w:rsidR="00A242E0">
              <w:rPr>
                <w:rFonts w:ascii="Arial" w:hAnsi="Arial" w:cs="Arial"/>
                <w:bCs w:val="0"/>
                <w:noProof/>
                <w:color w:val="auto"/>
                <w:sz w:val="16"/>
                <w:szCs w:val="16"/>
              </w:rPr>
              <w:t>71</w:t>
            </w:r>
            <w:bookmarkEnd w:id="654"/>
            <w:r w:rsidR="00990535" w:rsidRPr="00B14471">
              <w:rPr>
                <w:rFonts w:ascii="Arial" w:hAnsi="Arial" w:cs="Arial"/>
                <w:bCs w:val="0"/>
                <w:color w:val="auto"/>
                <w:sz w:val="16"/>
                <w:szCs w:val="16"/>
              </w:rPr>
              <w:fldChar w:fldCharType="end"/>
            </w:r>
          </w:p>
          <w:p w:rsidR="00361FCE" w:rsidRDefault="00CE7620"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Población </w:t>
            </w:r>
            <w:r>
              <w:rPr>
                <w:rFonts w:ascii="Arial" w:hAnsi="Arial" w:cs="Arial"/>
                <w:b/>
                <w:i/>
                <w:sz w:val="16"/>
                <w:szCs w:val="16"/>
              </w:rPr>
              <w:t>estadounidense</w:t>
            </w:r>
            <w:r w:rsidRPr="008912B6">
              <w:rPr>
                <w:rFonts w:ascii="Arial" w:hAnsi="Arial" w:cs="Arial"/>
                <w:i/>
                <w:sz w:val="16"/>
                <w:szCs w:val="16"/>
              </w:rPr>
              <w:t xml:space="preserve"> Económicamente Activa e Inactiva residente en el país</w:t>
            </w:r>
          </w:p>
          <w:tbl>
            <w:tblPr>
              <w:tblStyle w:val="Tablaconcuadrcula"/>
              <w:tblW w:w="0" w:type="auto"/>
              <w:jc w:val="center"/>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69"/>
              <w:gridCol w:w="2291"/>
            </w:tblGrid>
            <w:tr w:rsidR="00361FCE" w:rsidTr="00CE7620">
              <w:trPr>
                <w:jc w:val="center"/>
              </w:trPr>
              <w:tc>
                <w:tcPr>
                  <w:tcW w:w="4395" w:type="dxa"/>
                </w:tcPr>
                <w:p w:rsidR="00361FCE" w:rsidRDefault="00361FCE" w:rsidP="00902050">
                  <w:pPr>
                    <w:rPr>
                      <w:rFonts w:ascii="Arial" w:hAnsi="Arial" w:cs="Arial"/>
                      <w:i/>
                      <w:sz w:val="16"/>
                      <w:szCs w:val="16"/>
                    </w:rPr>
                  </w:pPr>
                  <w:r>
                    <w:rPr>
                      <w:noProof/>
                      <w:lang w:eastAsia="es-EC"/>
                    </w:rPr>
                    <w:drawing>
                      <wp:inline distT="0" distB="0" distL="0" distR="0">
                        <wp:extent cx="2790825" cy="1188000"/>
                        <wp:effectExtent l="0" t="0" r="0" b="0"/>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c>
                <w:tcPr>
                  <w:tcW w:w="2749" w:type="dxa"/>
                </w:tcPr>
                <w:p w:rsidR="00361FCE" w:rsidRDefault="00361FCE" w:rsidP="00902050">
                  <w:pPr>
                    <w:rPr>
                      <w:rFonts w:ascii="Arial" w:hAnsi="Arial" w:cs="Arial"/>
                      <w: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tblGrid>
                  <w:tr w:rsidR="00361FCE" w:rsidTr="00902050">
                    <w:trPr>
                      <w:trHeight w:val="340"/>
                    </w:trPr>
                    <w:tc>
                      <w:tcPr>
                        <w:tcW w:w="2619" w:type="dxa"/>
                        <w:vAlign w:val="center"/>
                      </w:tcPr>
                      <w:p w:rsidR="00361FCE" w:rsidRPr="0058758E" w:rsidRDefault="00436907" w:rsidP="00902050">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33" style="width:7.1pt;height:7.15pt;mso-left-percent:-10001;mso-top-percent:-10001;mso-position-horizontal:absolute;mso-position-horizontal-relative:char;mso-position-vertical:absolute;mso-position-vertical-relative:line;mso-left-percent:-10001;mso-top-percent:-10001" fillcolor="#fc0" stroked="f">
                              <w10:wrap type="none"/>
                              <w10:anchorlock/>
                            </v:rect>
                          </w:pict>
                        </w:r>
                        <w:r w:rsidR="00361FCE">
                          <w:rPr>
                            <w:rFonts w:ascii="Arial" w:hAnsi="Arial" w:cs="Arial"/>
                            <w:sz w:val="16"/>
                            <w:szCs w:val="16"/>
                          </w:rPr>
                          <w:t xml:space="preserve"> </w:t>
                        </w:r>
                        <w:r w:rsidR="00361FCE" w:rsidRPr="0058758E">
                          <w:rPr>
                            <w:rFonts w:ascii="Arial" w:hAnsi="Arial" w:cs="Arial"/>
                            <w:sz w:val="16"/>
                            <w:szCs w:val="16"/>
                          </w:rPr>
                          <w:t>Población Extranjera Total</w:t>
                        </w:r>
                      </w:p>
                    </w:tc>
                  </w:tr>
                  <w:tr w:rsidR="00361FCE" w:rsidTr="00902050">
                    <w:trPr>
                      <w:trHeight w:val="510"/>
                    </w:trPr>
                    <w:tc>
                      <w:tcPr>
                        <w:tcW w:w="2619" w:type="dxa"/>
                        <w:vAlign w:val="center"/>
                      </w:tcPr>
                      <w:p w:rsidR="00361FCE" w:rsidRPr="0058758E" w:rsidRDefault="00436907" w:rsidP="00902050">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32" style="width:7.1pt;height:7.15pt;mso-left-percent:-10001;mso-top-percent:-10001;mso-position-horizontal:absolute;mso-position-horizontal-relative:char;mso-position-vertical:absolute;mso-position-vertical-relative:line;mso-left-percent:-10001;mso-top-percent:-10001" fillcolor="#e36c0a [2409]" stroked="f">
                              <w10:wrap type="none"/>
                              <w10:anchorlock/>
                            </v:rect>
                          </w:pict>
                        </w:r>
                        <w:r w:rsidR="00361FCE">
                          <w:rPr>
                            <w:rFonts w:ascii="Arial" w:hAnsi="Arial" w:cs="Arial"/>
                            <w:sz w:val="16"/>
                            <w:szCs w:val="16"/>
                          </w:rPr>
                          <w:t xml:space="preserve"> </w:t>
                        </w:r>
                        <w:r w:rsidR="00361FCE" w:rsidRPr="0058758E">
                          <w:rPr>
                            <w:rFonts w:ascii="Arial" w:hAnsi="Arial" w:cs="Arial"/>
                            <w:sz w:val="16"/>
                            <w:szCs w:val="16"/>
                          </w:rPr>
                          <w:t>Población en Edad de Trabajar</w:t>
                        </w:r>
                      </w:p>
                    </w:tc>
                  </w:tr>
                  <w:tr w:rsidR="00361FCE" w:rsidTr="00902050">
                    <w:trPr>
                      <w:trHeight w:val="510"/>
                    </w:trPr>
                    <w:tc>
                      <w:tcPr>
                        <w:tcW w:w="2619" w:type="dxa"/>
                        <w:vAlign w:val="center"/>
                      </w:tcPr>
                      <w:p w:rsidR="00361FCE" w:rsidRPr="0058758E" w:rsidRDefault="00436907" w:rsidP="00902050">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31" style="width:7.1pt;height:7.15pt;mso-left-percent:-10001;mso-top-percent:-10001;mso-position-horizontal:absolute;mso-position-horizontal-relative:char;mso-position-vertical:absolute;mso-position-vertical-relative:line;mso-left-percent:-10001;mso-top-percent:-10001" fillcolor="fuchsia" stroked="f">
                              <w10:wrap type="none"/>
                              <w10:anchorlock/>
                            </v:rect>
                          </w:pict>
                        </w:r>
                        <w:r w:rsidR="00361FCE">
                          <w:rPr>
                            <w:rFonts w:ascii="Arial" w:hAnsi="Arial" w:cs="Arial"/>
                            <w:sz w:val="16"/>
                            <w:szCs w:val="16"/>
                          </w:rPr>
                          <w:t xml:space="preserve"> </w:t>
                        </w:r>
                        <w:r w:rsidR="00361FCE" w:rsidRPr="0058758E">
                          <w:rPr>
                            <w:rFonts w:ascii="Arial" w:hAnsi="Arial" w:cs="Arial"/>
                            <w:sz w:val="16"/>
                            <w:szCs w:val="16"/>
                          </w:rPr>
                          <w:t>Población Económicamente Activa</w:t>
                        </w:r>
                      </w:p>
                    </w:tc>
                  </w:tr>
                  <w:tr w:rsidR="00361FCE" w:rsidTr="00902050">
                    <w:trPr>
                      <w:trHeight w:val="510"/>
                    </w:trPr>
                    <w:tc>
                      <w:tcPr>
                        <w:tcW w:w="2619" w:type="dxa"/>
                        <w:vAlign w:val="center"/>
                      </w:tcPr>
                      <w:p w:rsidR="00361FCE" w:rsidRPr="0058758E" w:rsidRDefault="00436907" w:rsidP="00902050">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30" style="width:7.1pt;height:7.15pt;mso-left-percent:-10001;mso-top-percent:-10001;mso-position-horizontal:absolute;mso-position-horizontal-relative:char;mso-position-vertical:absolute;mso-position-vertical-relative:line;mso-left-percent:-10001;mso-top-percent:-10001" fillcolor="#00b0f0" stroked="f">
                              <w10:wrap type="none"/>
                              <w10:anchorlock/>
                            </v:rect>
                          </w:pict>
                        </w:r>
                        <w:r w:rsidR="00361FCE">
                          <w:rPr>
                            <w:rFonts w:ascii="Arial" w:hAnsi="Arial" w:cs="Arial"/>
                            <w:sz w:val="16"/>
                            <w:szCs w:val="16"/>
                          </w:rPr>
                          <w:t xml:space="preserve"> </w:t>
                        </w:r>
                        <w:r w:rsidR="00361FCE" w:rsidRPr="0058758E">
                          <w:rPr>
                            <w:rFonts w:ascii="Arial" w:hAnsi="Arial" w:cs="Arial"/>
                            <w:sz w:val="16"/>
                            <w:szCs w:val="16"/>
                          </w:rPr>
                          <w:t>Población Económicamente Inactiva</w:t>
                        </w:r>
                      </w:p>
                    </w:tc>
                  </w:tr>
                </w:tbl>
                <w:p w:rsidR="00361FCE" w:rsidRDefault="00361FCE" w:rsidP="00902050">
                  <w:pPr>
                    <w:rPr>
                      <w:rFonts w:ascii="Arial" w:hAnsi="Arial" w:cs="Arial"/>
                      <w:i/>
                      <w:sz w:val="16"/>
                      <w:szCs w:val="16"/>
                    </w:rPr>
                  </w:pPr>
                </w:p>
              </w:tc>
            </w:tr>
          </w:tbl>
          <w:p w:rsidR="00361FCE" w:rsidRPr="0078148C" w:rsidRDefault="00361FCE" w:rsidP="00902050">
            <w:pPr>
              <w:jc w:val="left"/>
              <w:rPr>
                <w:rFonts w:ascii="Arial" w:hAnsi="Arial" w:cs="Arial"/>
                <w:i/>
                <w:sz w:val="16"/>
                <w:szCs w:val="16"/>
              </w:rPr>
            </w:pPr>
          </w:p>
        </w:tc>
      </w:tr>
    </w:tbl>
    <w:p w:rsidR="00361FCE" w:rsidRPr="00CE7620" w:rsidRDefault="00361FCE" w:rsidP="00CE7620">
      <w:pPr>
        <w:pStyle w:val="Prrafodelista"/>
        <w:spacing w:line="276" w:lineRule="auto"/>
        <w:ind w:left="851"/>
        <w:jc w:val="both"/>
        <w:rPr>
          <w:rFonts w:ascii="Arial" w:hAnsi="Arial" w:cs="Arial"/>
          <w:sz w:val="17"/>
          <w:szCs w:val="17"/>
        </w:rPr>
      </w:pPr>
    </w:p>
    <w:p w:rsidR="00361FCE" w:rsidRPr="00CE7620" w:rsidRDefault="00361FCE" w:rsidP="00CE7620">
      <w:pPr>
        <w:pStyle w:val="Prrafodelista"/>
        <w:spacing w:line="276" w:lineRule="auto"/>
        <w:ind w:left="851"/>
        <w:jc w:val="both"/>
        <w:rPr>
          <w:rFonts w:ascii="Arial" w:hAnsi="Arial" w:cs="Arial"/>
          <w:sz w:val="17"/>
          <w:szCs w:val="17"/>
        </w:rPr>
      </w:pPr>
      <w:r w:rsidRPr="00CE7620">
        <w:rPr>
          <w:rFonts w:ascii="Arial" w:hAnsi="Arial" w:cs="Arial"/>
          <w:b/>
          <w:i/>
          <w:sz w:val="17"/>
          <w:szCs w:val="17"/>
        </w:rPr>
        <w:t>Fuente:</w:t>
      </w:r>
      <w:r w:rsidRPr="00CE7620">
        <w:rPr>
          <w:rFonts w:ascii="Arial" w:hAnsi="Arial" w:cs="Arial"/>
          <w:sz w:val="17"/>
          <w:szCs w:val="17"/>
        </w:rPr>
        <w:t xml:space="preserve"> </w:t>
      </w:r>
      <w:r w:rsidRPr="00CE7620">
        <w:rPr>
          <w:rFonts w:ascii="Arial" w:hAnsi="Arial" w:cs="Arial"/>
          <w:b/>
          <w:sz w:val="17"/>
          <w:szCs w:val="17"/>
        </w:rPr>
        <w:t xml:space="preserve">INEC </w:t>
      </w:r>
      <w:r w:rsidRPr="00CE7620">
        <w:rPr>
          <w:rFonts w:ascii="Arial" w:hAnsi="Arial" w:cs="Arial"/>
          <w:sz w:val="17"/>
          <w:szCs w:val="17"/>
        </w:rPr>
        <w:t>(2010), Base de Datos del VII Censo de Población y VI de Vivienda.</w:t>
      </w:r>
    </w:p>
    <w:p w:rsidR="00361FCE" w:rsidRPr="00CE7620" w:rsidRDefault="00361FCE" w:rsidP="00CE7620">
      <w:pPr>
        <w:pStyle w:val="Prrafodelista"/>
        <w:spacing w:line="276" w:lineRule="auto"/>
        <w:ind w:left="851"/>
        <w:jc w:val="both"/>
        <w:rPr>
          <w:rFonts w:ascii="Arial" w:hAnsi="Arial" w:cs="Arial"/>
          <w:sz w:val="17"/>
          <w:szCs w:val="17"/>
        </w:rPr>
      </w:pPr>
      <w:r w:rsidRPr="00CE7620">
        <w:rPr>
          <w:rFonts w:ascii="Arial" w:hAnsi="Arial" w:cs="Arial"/>
          <w:b/>
          <w:i/>
          <w:sz w:val="17"/>
          <w:szCs w:val="17"/>
        </w:rPr>
        <w:t>Elaborado por:</w:t>
      </w:r>
      <w:r w:rsidRPr="00CE7620">
        <w:rPr>
          <w:rFonts w:ascii="Arial" w:hAnsi="Arial" w:cs="Arial"/>
          <w:sz w:val="17"/>
          <w:szCs w:val="17"/>
        </w:rPr>
        <w:t xml:space="preserve"> Katherine Loor Valeriano</w:t>
      </w:r>
    </w:p>
    <w:p w:rsidR="00361FCE" w:rsidRPr="0042344E" w:rsidRDefault="00361FCE" w:rsidP="00CE7620">
      <w:pPr>
        <w:pStyle w:val="Prrafodelista"/>
        <w:spacing w:line="480" w:lineRule="auto"/>
        <w:ind w:left="851"/>
        <w:jc w:val="both"/>
        <w:rPr>
          <w:rFonts w:ascii="Arial" w:hAnsi="Arial" w:cs="Arial"/>
          <w:sz w:val="20"/>
          <w:szCs w:val="20"/>
        </w:rPr>
      </w:pPr>
    </w:p>
    <w:p w:rsidR="00361FCE" w:rsidRPr="0042344E" w:rsidRDefault="00361FCE" w:rsidP="00CE7620">
      <w:pPr>
        <w:pStyle w:val="Prrafodelista"/>
        <w:spacing w:line="480" w:lineRule="auto"/>
        <w:ind w:left="851"/>
        <w:jc w:val="both"/>
        <w:rPr>
          <w:rFonts w:ascii="Arial" w:hAnsi="Arial" w:cs="Arial"/>
          <w:i/>
        </w:rPr>
      </w:pPr>
      <w:r>
        <w:rPr>
          <w:rFonts w:ascii="Arial" w:hAnsi="Arial" w:cs="Arial"/>
        </w:rPr>
        <w:t>Si el análisis anterior ahora lo realizamos para cada género, tenemos que de los 7677 hombres estadounidenses que residen habitualmente en Ecuador el 58.45% están en edad de trabajar, de éstos últimos el 41.61% trabaja o busca empleo y el 58.39% forman parte de la población económicame</w:t>
      </w:r>
      <w:r w:rsidR="00CE7620">
        <w:rPr>
          <w:rFonts w:ascii="Arial" w:hAnsi="Arial" w:cs="Arial"/>
        </w:rPr>
        <w:t>nte inactiva; y,</w:t>
      </w:r>
      <w:r>
        <w:rPr>
          <w:rFonts w:ascii="Arial" w:hAnsi="Arial" w:cs="Arial"/>
        </w:rPr>
        <w:t xml:space="preserve">si consideramos solo a las mujeres de las 7340 que viven en el país, el 58% son mayores de 10 años, de las cuales el 36.53% forman parte de la población económicamente activa y por tanto el 63.47% forman parte de la población inactiva. </w:t>
      </w:r>
      <w:r>
        <w:rPr>
          <w:rFonts w:ascii="Arial" w:hAnsi="Arial" w:cs="Arial"/>
          <w:i/>
        </w:rPr>
        <w:t>Véase Figura 4.72.</w:t>
      </w:r>
    </w:p>
    <w:tbl>
      <w:tblPr>
        <w:tblStyle w:val="Tablaconcuadrcula"/>
        <w:tblW w:w="7497" w:type="dxa"/>
        <w:jc w:val="right"/>
        <w:tblInd w:w="1182"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9B54C1">
        <w:trPr>
          <w:trHeight w:val="2831"/>
          <w:jc w:val="right"/>
        </w:trPr>
        <w:tc>
          <w:tcPr>
            <w:tcW w:w="7497" w:type="dxa"/>
          </w:tcPr>
          <w:p w:rsidR="00361FCE" w:rsidRDefault="00361FCE" w:rsidP="00902050">
            <w:pPr>
              <w:rPr>
                <w:rFonts w:ascii="Arial" w:hAnsi="Arial" w:cs="Arial"/>
                <w:b/>
                <w:sz w:val="16"/>
                <w:szCs w:val="16"/>
              </w:rPr>
            </w:pPr>
          </w:p>
          <w:p w:rsidR="00B14471" w:rsidRPr="00B14471" w:rsidRDefault="00B14471" w:rsidP="00B14471">
            <w:pPr>
              <w:pStyle w:val="Epgrafe"/>
              <w:rPr>
                <w:rFonts w:ascii="Arial" w:hAnsi="Arial" w:cs="Arial"/>
                <w:bCs w:val="0"/>
                <w:color w:val="auto"/>
                <w:sz w:val="16"/>
                <w:szCs w:val="16"/>
              </w:rPr>
            </w:pPr>
            <w:bookmarkStart w:id="655" w:name="_Toc341044044"/>
            <w:r>
              <w:rPr>
                <w:rFonts w:ascii="Arial" w:hAnsi="Arial" w:cs="Arial"/>
                <w:bCs w:val="0"/>
                <w:color w:val="auto"/>
                <w:sz w:val="16"/>
                <w:szCs w:val="16"/>
              </w:rPr>
              <w:t>Figura 4.</w:t>
            </w:r>
            <w:r w:rsidR="00990535" w:rsidRPr="00B14471">
              <w:rPr>
                <w:rFonts w:ascii="Arial" w:hAnsi="Arial" w:cs="Arial"/>
                <w:bCs w:val="0"/>
                <w:color w:val="auto"/>
                <w:sz w:val="16"/>
                <w:szCs w:val="16"/>
              </w:rPr>
              <w:fldChar w:fldCharType="begin"/>
            </w:r>
            <w:r w:rsidRPr="00B14471">
              <w:rPr>
                <w:rFonts w:ascii="Arial" w:hAnsi="Arial" w:cs="Arial"/>
                <w:bCs w:val="0"/>
                <w:color w:val="auto"/>
                <w:sz w:val="16"/>
                <w:szCs w:val="16"/>
              </w:rPr>
              <w:instrText xml:space="preserve"> SEQ Figura_4. \* ARABIC </w:instrText>
            </w:r>
            <w:r w:rsidR="00990535" w:rsidRPr="00B14471">
              <w:rPr>
                <w:rFonts w:ascii="Arial" w:hAnsi="Arial" w:cs="Arial"/>
                <w:bCs w:val="0"/>
                <w:color w:val="auto"/>
                <w:sz w:val="16"/>
                <w:szCs w:val="16"/>
              </w:rPr>
              <w:fldChar w:fldCharType="separate"/>
            </w:r>
            <w:r w:rsidR="00A242E0">
              <w:rPr>
                <w:rFonts w:ascii="Arial" w:hAnsi="Arial" w:cs="Arial"/>
                <w:bCs w:val="0"/>
                <w:noProof/>
                <w:color w:val="auto"/>
                <w:sz w:val="16"/>
                <w:szCs w:val="16"/>
              </w:rPr>
              <w:t>72</w:t>
            </w:r>
            <w:bookmarkEnd w:id="655"/>
            <w:r w:rsidR="00990535" w:rsidRPr="00B14471">
              <w:rPr>
                <w:rFonts w:ascii="Arial" w:hAnsi="Arial" w:cs="Arial"/>
                <w:bCs w:val="0"/>
                <w:color w:val="auto"/>
                <w:sz w:val="16"/>
                <w:szCs w:val="16"/>
              </w:rPr>
              <w:fldChar w:fldCharType="end"/>
            </w:r>
          </w:p>
          <w:p w:rsidR="00361FCE" w:rsidRDefault="00CE7620"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Población </w:t>
            </w:r>
            <w:r>
              <w:rPr>
                <w:rFonts w:ascii="Arial" w:hAnsi="Arial" w:cs="Arial"/>
                <w:b/>
                <w:i/>
                <w:sz w:val="16"/>
                <w:szCs w:val="16"/>
              </w:rPr>
              <w:t>estadounidense</w:t>
            </w:r>
            <w:r w:rsidRPr="008912B6">
              <w:rPr>
                <w:rFonts w:ascii="Arial" w:hAnsi="Arial" w:cs="Arial"/>
                <w:i/>
                <w:sz w:val="16"/>
                <w:szCs w:val="16"/>
              </w:rPr>
              <w:t xml:space="preserve"> Económicamente Activa e Inactiva por Género</w:t>
            </w:r>
          </w:p>
          <w:tbl>
            <w:tblPr>
              <w:tblStyle w:val="Tablaconcuadrcula"/>
              <w:tblW w:w="0" w:type="auto"/>
              <w:jc w:val="center"/>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513"/>
              <w:gridCol w:w="3630"/>
            </w:tblGrid>
            <w:tr w:rsidR="009B54C1" w:rsidTr="009B54C1">
              <w:trPr>
                <w:trHeight w:val="1644"/>
                <w:jc w:val="center"/>
              </w:trPr>
              <w:tc>
                <w:tcPr>
                  <w:tcW w:w="3515" w:type="dxa"/>
                </w:tcPr>
                <w:p w:rsidR="00361FCE" w:rsidRDefault="00436907" w:rsidP="00902050">
                  <w:pPr>
                    <w:rPr>
                      <w:rFonts w:ascii="Arial" w:hAnsi="Arial" w:cs="Arial"/>
                      <w:i/>
                      <w:sz w:val="16"/>
                      <w:szCs w:val="16"/>
                    </w:rPr>
                  </w:pPr>
                  <w:r>
                    <w:rPr>
                      <w:noProof/>
                    </w:rPr>
                    <w:pict>
                      <v:shape id="_x0000_s1666" type="#_x0000_t202" style="position:absolute;left:0;text-align:left;margin-left:87.85pt;margin-top:10.4pt;width:62.45pt;height:16.05pt;z-index:25161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LT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Mk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e+bi0y8CAABWBAAADgAAAAAAAAAAAAAAAAAuAgAAZHJz&#10;L2Uyb0RvYy54bWxQSwECLQAUAAYACAAAACEA/S8y1tsAAAAFAQAADwAAAAAAAAAAAAAAAACJBAAA&#10;ZHJzL2Rvd25yZXYueG1sUEsFBgAAAAAEAAQA8wAAAJEFAAAAAA==&#10;" filled="f" stroked="f">
                        <v:textbox style="mso-next-textbox:#_x0000_s1666">
                          <w:txbxContent>
                            <w:p w:rsidR="006933DF" w:rsidRPr="003622AA" w:rsidRDefault="006933DF" w:rsidP="00361FCE">
                              <w:pPr>
                                <w:rPr>
                                  <w:rFonts w:ascii="Arial" w:hAnsi="Arial" w:cs="Arial"/>
                                  <w:color w:val="0070C0"/>
                                  <w:sz w:val="16"/>
                                  <w:szCs w:val="16"/>
                                </w:rPr>
                              </w:pPr>
                              <w:r>
                                <w:rPr>
                                  <w:rFonts w:ascii="Arial" w:hAnsi="Arial" w:cs="Arial"/>
                                  <w:color w:val="0070C0"/>
                                  <w:sz w:val="16"/>
                                  <w:szCs w:val="16"/>
                                </w:rPr>
                                <w:t>Hombre</w:t>
                              </w:r>
                            </w:p>
                          </w:txbxContent>
                        </v:textbox>
                      </v:shape>
                    </w:pict>
                  </w:r>
                  <w:r w:rsidR="00361FCE">
                    <w:rPr>
                      <w:noProof/>
                      <w:lang w:eastAsia="es-EC"/>
                    </w:rPr>
                    <w:t xml:space="preserve"> </w:t>
                  </w:r>
                  <w:r w:rsidR="00361FCE">
                    <w:rPr>
                      <w:noProof/>
                      <w:lang w:eastAsia="es-EC"/>
                    </w:rPr>
                    <w:drawing>
                      <wp:inline distT="0" distB="0" distL="0" distR="0" wp14:anchorId="40112688" wp14:editId="6CFFFF6D">
                        <wp:extent cx="2088000" cy="1152000"/>
                        <wp:effectExtent l="0" t="0" r="0" b="0"/>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c>
              <w:tc>
                <w:tcPr>
                  <w:tcW w:w="3575" w:type="dxa"/>
                </w:tcPr>
                <w:p w:rsidR="00361FCE" w:rsidRDefault="00436907" w:rsidP="009B54C1">
                  <w:pPr>
                    <w:rPr>
                      <w:rFonts w:ascii="Arial" w:hAnsi="Arial" w:cs="Arial"/>
                      <w:i/>
                      <w:sz w:val="16"/>
                      <w:szCs w:val="16"/>
                    </w:rPr>
                  </w:pPr>
                  <w:r>
                    <w:rPr>
                      <w:rFonts w:ascii="Arial" w:hAnsi="Arial" w:cs="Arial"/>
                      <w:noProof/>
                      <w:lang w:eastAsia="es-EC"/>
                    </w:rPr>
                    <w:pict>
                      <v:shape id="_x0000_s1667" type="#_x0000_t202" style="position:absolute;left:0;text-align:left;margin-left:82.9pt;margin-top:7.4pt;width:62.45pt;height:16.05pt;z-index:251614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LT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Mk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e+bi0y8CAABWBAAADgAAAAAAAAAAAAAAAAAuAgAAZHJz&#10;L2Uyb0RvYy54bWxQSwECLQAUAAYACAAAACEA/S8y1tsAAAAFAQAADwAAAAAAAAAAAAAAAACJBAAA&#10;ZHJzL2Rvd25yZXYueG1sUEsFBgAAAAAEAAQA8wAAAJEFAAAAAA==&#10;" filled="f" stroked="f">
                        <v:textbox style="mso-next-textbox:#_x0000_s1667">
                          <w:txbxContent>
                            <w:p w:rsidR="006933DF" w:rsidRPr="003622AA" w:rsidRDefault="006933DF" w:rsidP="00361FCE">
                              <w:pPr>
                                <w:rPr>
                                  <w:rFonts w:ascii="Arial" w:hAnsi="Arial" w:cs="Arial"/>
                                  <w:color w:val="FF00FF"/>
                                  <w:sz w:val="16"/>
                                  <w:szCs w:val="16"/>
                                </w:rPr>
                              </w:pPr>
                              <w:r>
                                <w:rPr>
                                  <w:rFonts w:ascii="Arial" w:hAnsi="Arial" w:cs="Arial"/>
                                  <w:color w:val="FF00FF"/>
                                  <w:sz w:val="16"/>
                                  <w:szCs w:val="16"/>
                                </w:rPr>
                                <w:t>Mujer</w:t>
                              </w:r>
                            </w:p>
                          </w:txbxContent>
                        </v:textbox>
                      </v:shape>
                    </w:pict>
                  </w:r>
                  <w:r w:rsidR="00361FCE">
                    <w:rPr>
                      <w:noProof/>
                      <w:lang w:eastAsia="es-EC"/>
                    </w:rPr>
                    <w:drawing>
                      <wp:inline distT="0" distB="0" distL="0" distR="0" wp14:anchorId="33F6F880" wp14:editId="24A822BD">
                        <wp:extent cx="2124000" cy="1152000"/>
                        <wp:effectExtent l="0" t="0" r="0" b="0"/>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r>
            <w:tr w:rsidR="00361FCE" w:rsidRPr="009B54C1" w:rsidTr="009B54C1">
              <w:trPr>
                <w:jc w:val="center"/>
              </w:trPr>
              <w:tc>
                <w:tcPr>
                  <w:tcW w:w="7150" w:type="dxa"/>
                  <w:gridSpan w:val="2"/>
                </w:tcPr>
                <w:tbl>
                  <w:tblPr>
                    <w:tblStyle w:val="Tablaconcuadrcula"/>
                    <w:tblW w:w="6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61"/>
                    <w:gridCol w:w="1757"/>
                    <w:gridCol w:w="1701"/>
                    <w:gridCol w:w="1984"/>
                  </w:tblGrid>
                  <w:tr w:rsidR="00361FCE" w:rsidRPr="009B54C1" w:rsidTr="009B54C1">
                    <w:trPr>
                      <w:trHeight w:val="340"/>
                    </w:trPr>
                    <w:tc>
                      <w:tcPr>
                        <w:tcW w:w="1361" w:type="dxa"/>
                        <w:vAlign w:val="center"/>
                      </w:tcPr>
                      <w:p w:rsidR="009B54C1" w:rsidRDefault="00436907" w:rsidP="009B54C1">
                        <w:pPr>
                          <w:jc w:val="left"/>
                          <w:rPr>
                            <w:rFonts w:ascii="Arial" w:hAnsi="Arial" w:cs="Arial"/>
                            <w:sz w:val="15"/>
                            <w:szCs w:val="15"/>
                          </w:rPr>
                        </w:pPr>
                        <w:r>
                          <w:rPr>
                            <w:rFonts w:ascii="Arial" w:hAnsi="Arial" w:cs="Arial"/>
                            <w:sz w:val="15"/>
                            <w:szCs w:val="15"/>
                          </w:rPr>
                        </w:r>
                        <w:r>
                          <w:rPr>
                            <w:rFonts w:ascii="Arial" w:hAnsi="Arial" w:cs="Arial"/>
                            <w:sz w:val="15"/>
                            <w:szCs w:val="15"/>
                          </w:rPr>
                          <w:pict>
                            <v:rect id="_x0000_s2429" style="width:7.1pt;height:7.15pt;mso-left-percent:-10001;mso-top-percent:-10001;mso-position-horizontal:absolute;mso-position-horizontal-relative:char;mso-position-vertical:absolute;mso-position-vertical-relative:line;mso-left-percent:-10001;mso-top-percent:-10001" fillcolor="#fc0" stroked="f">
                              <w10:wrap type="none"/>
                              <w10:anchorlock/>
                            </v:rect>
                          </w:pict>
                        </w:r>
                        <w:r w:rsidR="00361FCE" w:rsidRPr="009B54C1">
                          <w:rPr>
                            <w:rFonts w:ascii="Arial" w:hAnsi="Arial" w:cs="Arial"/>
                            <w:sz w:val="15"/>
                            <w:szCs w:val="15"/>
                          </w:rPr>
                          <w:t xml:space="preserve"> Población </w:t>
                        </w:r>
                        <w:r w:rsidR="009B54C1">
                          <w:rPr>
                            <w:rFonts w:ascii="Arial" w:hAnsi="Arial" w:cs="Arial"/>
                            <w:sz w:val="15"/>
                            <w:szCs w:val="15"/>
                          </w:rPr>
                          <w:t xml:space="preserve">    </w:t>
                        </w:r>
                      </w:p>
                      <w:p w:rsidR="00361FCE" w:rsidRPr="009B54C1" w:rsidRDefault="009B54C1" w:rsidP="009B54C1">
                        <w:pPr>
                          <w:jc w:val="left"/>
                          <w:rPr>
                            <w:rFonts w:ascii="Arial" w:hAnsi="Arial" w:cs="Arial"/>
                            <w:sz w:val="15"/>
                            <w:szCs w:val="15"/>
                          </w:rPr>
                        </w:pPr>
                        <w:r>
                          <w:rPr>
                            <w:rFonts w:ascii="Arial" w:hAnsi="Arial" w:cs="Arial"/>
                            <w:sz w:val="15"/>
                            <w:szCs w:val="15"/>
                          </w:rPr>
                          <w:t xml:space="preserve">    </w:t>
                        </w:r>
                        <w:r w:rsidR="00361FCE" w:rsidRPr="009B54C1">
                          <w:rPr>
                            <w:rFonts w:ascii="Arial" w:hAnsi="Arial" w:cs="Arial"/>
                            <w:sz w:val="15"/>
                            <w:szCs w:val="15"/>
                          </w:rPr>
                          <w:t>Extranjera</w:t>
                        </w:r>
                        <w:r>
                          <w:rPr>
                            <w:rFonts w:ascii="Arial" w:hAnsi="Arial" w:cs="Arial"/>
                            <w:sz w:val="15"/>
                            <w:szCs w:val="15"/>
                          </w:rPr>
                          <w:t xml:space="preserve"> </w:t>
                        </w:r>
                        <w:r w:rsidR="00361FCE" w:rsidRPr="009B54C1">
                          <w:rPr>
                            <w:rFonts w:ascii="Arial" w:hAnsi="Arial" w:cs="Arial"/>
                            <w:sz w:val="15"/>
                            <w:szCs w:val="15"/>
                          </w:rPr>
                          <w:t>Total</w:t>
                        </w:r>
                      </w:p>
                    </w:tc>
                    <w:tc>
                      <w:tcPr>
                        <w:tcW w:w="1757" w:type="dxa"/>
                        <w:vAlign w:val="center"/>
                      </w:tcPr>
                      <w:p w:rsidR="00361FCE" w:rsidRPr="009B54C1" w:rsidRDefault="00436907" w:rsidP="00902050">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28" style="width:7.1pt;height:7.15pt;mso-left-percent:-10001;mso-top-percent:-10001;mso-position-horizontal:absolute;mso-position-horizontal-relative:char;mso-position-vertical:absolute;mso-position-vertical-relative:line;mso-left-percent:-10001;mso-top-percent:-10001" fillcolor="#e36c0a [2409]" stroked="f">
                              <w10:wrap type="none"/>
                              <w10:anchorlock/>
                            </v:rect>
                          </w:pict>
                        </w:r>
                        <w:r w:rsidR="00361FCE" w:rsidRPr="009B54C1">
                          <w:rPr>
                            <w:rFonts w:ascii="Arial" w:hAnsi="Arial" w:cs="Arial"/>
                            <w:sz w:val="15"/>
                            <w:szCs w:val="15"/>
                          </w:rPr>
                          <w:t xml:space="preserve"> Población en Edad de </w:t>
                        </w:r>
                      </w:p>
                      <w:p w:rsidR="00361FCE" w:rsidRPr="009B54C1" w:rsidRDefault="00361FCE" w:rsidP="00902050">
                        <w:pPr>
                          <w:tabs>
                            <w:tab w:val="left" w:pos="675"/>
                          </w:tabs>
                          <w:jc w:val="left"/>
                          <w:rPr>
                            <w:rFonts w:ascii="Arial" w:hAnsi="Arial" w:cs="Arial"/>
                            <w:sz w:val="15"/>
                            <w:szCs w:val="15"/>
                          </w:rPr>
                        </w:pPr>
                        <w:r w:rsidRPr="009B54C1">
                          <w:rPr>
                            <w:rFonts w:ascii="Arial" w:hAnsi="Arial" w:cs="Arial"/>
                            <w:sz w:val="15"/>
                            <w:szCs w:val="15"/>
                          </w:rPr>
                          <w:t xml:space="preserve">    Trabajar</w:t>
                        </w:r>
                        <w:r w:rsidRPr="009B54C1">
                          <w:rPr>
                            <w:rFonts w:ascii="Arial" w:hAnsi="Arial" w:cs="Arial"/>
                            <w:sz w:val="15"/>
                            <w:szCs w:val="15"/>
                          </w:rPr>
                          <w:tab/>
                        </w:r>
                      </w:p>
                    </w:tc>
                    <w:tc>
                      <w:tcPr>
                        <w:tcW w:w="1701" w:type="dxa"/>
                        <w:vAlign w:val="center"/>
                      </w:tcPr>
                      <w:p w:rsidR="00361FCE" w:rsidRPr="009B54C1" w:rsidRDefault="00436907" w:rsidP="00902050">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27" style="width:7.1pt;height:7.15pt;mso-left-percent:-10001;mso-top-percent:-10001;mso-position-horizontal:absolute;mso-position-horizontal-relative:char;mso-position-vertical:absolute;mso-position-vertical-relative:line;mso-left-percent:-10001;mso-top-percent:-10001" fillcolor="fuchsia" stroked="f">
                              <w10:wrap type="none"/>
                              <w10:anchorlock/>
                            </v:rect>
                          </w:pict>
                        </w:r>
                        <w:r w:rsidR="00361FCE" w:rsidRPr="009B54C1">
                          <w:rPr>
                            <w:rFonts w:ascii="Arial" w:hAnsi="Arial" w:cs="Arial"/>
                            <w:sz w:val="15"/>
                            <w:szCs w:val="15"/>
                          </w:rPr>
                          <w:t xml:space="preserve"> Población Económicamente Activa</w:t>
                        </w:r>
                      </w:p>
                    </w:tc>
                    <w:tc>
                      <w:tcPr>
                        <w:tcW w:w="1984" w:type="dxa"/>
                        <w:vAlign w:val="center"/>
                      </w:tcPr>
                      <w:p w:rsidR="00361FCE" w:rsidRPr="009B54C1" w:rsidRDefault="00436907" w:rsidP="00902050">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26" style="width:7.1pt;height:7.15pt;mso-left-percent:-10001;mso-top-percent:-10001;mso-position-horizontal:absolute;mso-position-horizontal-relative:char;mso-position-vertical:absolute;mso-position-vertical-relative:line;mso-left-percent:-10001;mso-top-percent:-10001" fillcolor="#00b0f0" stroked="f">
                              <w10:wrap type="none"/>
                              <w10:anchorlock/>
                            </v:rect>
                          </w:pict>
                        </w:r>
                        <w:r w:rsidR="00361FCE" w:rsidRPr="009B54C1">
                          <w:rPr>
                            <w:rFonts w:ascii="Arial" w:hAnsi="Arial" w:cs="Arial"/>
                            <w:sz w:val="15"/>
                            <w:szCs w:val="15"/>
                          </w:rPr>
                          <w:t xml:space="preserve"> Población Económicamente Inactiva</w:t>
                        </w:r>
                      </w:p>
                    </w:tc>
                  </w:tr>
                </w:tbl>
                <w:p w:rsidR="00361FCE" w:rsidRPr="009B54C1" w:rsidRDefault="00361FCE" w:rsidP="00902050">
                  <w:pPr>
                    <w:rPr>
                      <w:noProof/>
                      <w:sz w:val="15"/>
                      <w:szCs w:val="15"/>
                      <w:lang w:eastAsia="es-EC"/>
                    </w:rPr>
                  </w:pPr>
                </w:p>
              </w:tc>
            </w:tr>
          </w:tbl>
          <w:p w:rsidR="00361FCE" w:rsidRPr="0078148C" w:rsidRDefault="00361FCE" w:rsidP="00902050">
            <w:pPr>
              <w:jc w:val="left"/>
              <w:rPr>
                <w:rFonts w:ascii="Arial" w:hAnsi="Arial" w:cs="Arial"/>
                <w:i/>
                <w:sz w:val="16"/>
                <w:szCs w:val="16"/>
              </w:rPr>
            </w:pPr>
          </w:p>
        </w:tc>
      </w:tr>
    </w:tbl>
    <w:p w:rsidR="00361FCE" w:rsidRPr="00CE7620" w:rsidRDefault="00361FCE" w:rsidP="00CE7620">
      <w:pPr>
        <w:pStyle w:val="Prrafodelista"/>
        <w:spacing w:line="276" w:lineRule="auto"/>
        <w:ind w:left="851"/>
        <w:jc w:val="both"/>
        <w:rPr>
          <w:rFonts w:ascii="Arial" w:hAnsi="Arial" w:cs="Arial"/>
          <w:sz w:val="17"/>
          <w:szCs w:val="17"/>
        </w:rPr>
      </w:pPr>
    </w:p>
    <w:p w:rsidR="00361FCE" w:rsidRPr="00CE7620" w:rsidRDefault="00361FCE" w:rsidP="00CE7620">
      <w:pPr>
        <w:pStyle w:val="Prrafodelista"/>
        <w:spacing w:line="276" w:lineRule="auto"/>
        <w:ind w:left="851"/>
        <w:jc w:val="both"/>
        <w:rPr>
          <w:rFonts w:ascii="Arial" w:hAnsi="Arial" w:cs="Arial"/>
          <w:sz w:val="17"/>
          <w:szCs w:val="17"/>
        </w:rPr>
      </w:pPr>
      <w:r w:rsidRPr="00CE7620">
        <w:rPr>
          <w:rFonts w:ascii="Arial" w:hAnsi="Arial" w:cs="Arial"/>
          <w:b/>
          <w:i/>
          <w:sz w:val="17"/>
          <w:szCs w:val="17"/>
        </w:rPr>
        <w:t>Fuente:</w:t>
      </w:r>
      <w:r w:rsidRPr="00CE7620">
        <w:rPr>
          <w:rFonts w:ascii="Arial" w:hAnsi="Arial" w:cs="Arial"/>
          <w:sz w:val="17"/>
          <w:szCs w:val="17"/>
        </w:rPr>
        <w:t xml:space="preserve"> </w:t>
      </w:r>
      <w:r w:rsidRPr="00CE7620">
        <w:rPr>
          <w:rFonts w:ascii="Arial" w:hAnsi="Arial" w:cs="Arial"/>
          <w:b/>
          <w:sz w:val="17"/>
          <w:szCs w:val="17"/>
        </w:rPr>
        <w:t xml:space="preserve">INEC </w:t>
      </w:r>
      <w:r w:rsidRPr="00CE7620">
        <w:rPr>
          <w:rFonts w:ascii="Arial" w:hAnsi="Arial" w:cs="Arial"/>
          <w:sz w:val="17"/>
          <w:szCs w:val="17"/>
        </w:rPr>
        <w:t>(2010), Base de Datos del VII Censo de Población y VI de Vivienda.</w:t>
      </w:r>
    </w:p>
    <w:p w:rsidR="00361FCE" w:rsidRPr="00CE7620" w:rsidRDefault="00361FCE" w:rsidP="00CE7620">
      <w:pPr>
        <w:pStyle w:val="Prrafodelista"/>
        <w:spacing w:line="276" w:lineRule="auto"/>
        <w:ind w:left="851"/>
        <w:jc w:val="both"/>
        <w:rPr>
          <w:rFonts w:ascii="Arial" w:hAnsi="Arial" w:cs="Arial"/>
          <w:sz w:val="17"/>
          <w:szCs w:val="17"/>
        </w:rPr>
      </w:pPr>
      <w:r w:rsidRPr="00CE7620">
        <w:rPr>
          <w:rFonts w:ascii="Arial" w:hAnsi="Arial" w:cs="Arial"/>
          <w:b/>
          <w:i/>
          <w:sz w:val="17"/>
          <w:szCs w:val="17"/>
        </w:rPr>
        <w:t>Elaborado por:</w:t>
      </w:r>
      <w:r w:rsidRPr="00CE7620">
        <w:rPr>
          <w:rFonts w:ascii="Arial" w:hAnsi="Arial" w:cs="Arial"/>
          <w:sz w:val="17"/>
          <w:szCs w:val="17"/>
        </w:rPr>
        <w:t xml:space="preserve"> Katherine Loor Valeriano</w:t>
      </w:r>
    </w:p>
    <w:p w:rsidR="009B54C1" w:rsidRPr="009B54C1" w:rsidRDefault="009B54C1" w:rsidP="009B54C1">
      <w:pPr>
        <w:pStyle w:val="Estilo42"/>
        <w:numPr>
          <w:ilvl w:val="0"/>
          <w:numId w:val="0"/>
        </w:numPr>
        <w:ind w:left="567"/>
        <w:rPr>
          <w:b w:val="0"/>
          <w:sz w:val="22"/>
          <w:szCs w:val="22"/>
        </w:rPr>
      </w:pPr>
      <w:bookmarkStart w:id="656" w:name="_Toc337135554"/>
    </w:p>
    <w:p w:rsidR="00361FCE" w:rsidRDefault="00361FCE" w:rsidP="009B54C1">
      <w:pPr>
        <w:pStyle w:val="Estilo42"/>
        <w:ind w:left="1701" w:hanging="850"/>
      </w:pPr>
      <w:bookmarkStart w:id="657" w:name="_Toc341040704"/>
      <w:r>
        <w:lastRenderedPageBreak/>
        <w:t>Trabajo desempeñado por los estadounidenses</w:t>
      </w:r>
      <w:bookmarkEnd w:id="657"/>
      <w:r>
        <w:t xml:space="preserve"> </w:t>
      </w:r>
      <w:bookmarkEnd w:id="656"/>
    </w:p>
    <w:p w:rsidR="00361FCE" w:rsidRPr="000E09F3" w:rsidRDefault="00361FCE" w:rsidP="009B54C1">
      <w:pPr>
        <w:pStyle w:val="Prrafodelista"/>
        <w:spacing w:line="480" w:lineRule="auto"/>
        <w:ind w:left="851"/>
        <w:jc w:val="both"/>
        <w:rPr>
          <w:rFonts w:ascii="Arial" w:hAnsi="Arial" w:cs="Arial"/>
          <w:i/>
        </w:rPr>
      </w:pPr>
      <w:r>
        <w:rPr>
          <w:rFonts w:ascii="Arial" w:hAnsi="Arial" w:cs="Arial"/>
        </w:rPr>
        <w:t xml:space="preserve">En lo que respecta al trabajo desempeñado por los estadounidenses que habitualmente residen en el país, tenemos que la mayoría trabajan como empleados u obreros privados (53.69%), el 17.20% trabajan por cuenta propia, el 8.10% trabajan como patrones, el 7.26% como empleados u obreros del Estado, Gobierno, Municipio, Consejo Provincial o Juntas Parroquiales, el 4.85% realizan trabajos en los cuales no reciben remuneración alguna, el 4.04% trabajan en sociedad, el 0.66% son empleados, peones o realizan actividades domésticas; y, el 4.19% no respondieron a esta pregunta. Cabe mencionar que en los colombianos, peruanos y estadounidenses el trabajo que el mayor porcentaje realizan son como empleados u obreros privados  </w:t>
      </w:r>
      <w:r>
        <w:rPr>
          <w:rFonts w:ascii="Arial" w:hAnsi="Arial" w:cs="Arial"/>
          <w:i/>
        </w:rPr>
        <w:t>Véase Figura 4.73.</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5F2F4D">
        <w:trPr>
          <w:trHeight w:val="2772"/>
          <w:jc w:val="right"/>
        </w:trPr>
        <w:tc>
          <w:tcPr>
            <w:tcW w:w="7497" w:type="dxa"/>
          </w:tcPr>
          <w:p w:rsidR="00361FCE" w:rsidRDefault="00361FCE" w:rsidP="00902050">
            <w:pPr>
              <w:rPr>
                <w:rFonts w:ascii="Arial" w:hAnsi="Arial" w:cs="Arial"/>
                <w:b/>
                <w:sz w:val="16"/>
                <w:szCs w:val="16"/>
              </w:rPr>
            </w:pPr>
          </w:p>
          <w:p w:rsidR="00B14471" w:rsidRPr="00B14471" w:rsidRDefault="00B14471" w:rsidP="00B14471">
            <w:pPr>
              <w:pStyle w:val="Epgrafe"/>
              <w:rPr>
                <w:rFonts w:ascii="Arial" w:hAnsi="Arial" w:cs="Arial"/>
                <w:bCs w:val="0"/>
                <w:color w:val="auto"/>
                <w:sz w:val="16"/>
                <w:szCs w:val="16"/>
              </w:rPr>
            </w:pPr>
            <w:bookmarkStart w:id="658" w:name="_Toc341044045"/>
            <w:r>
              <w:rPr>
                <w:rFonts w:ascii="Arial" w:hAnsi="Arial" w:cs="Arial"/>
                <w:bCs w:val="0"/>
                <w:color w:val="auto"/>
                <w:sz w:val="16"/>
                <w:szCs w:val="16"/>
              </w:rPr>
              <w:t>Figura 4.</w:t>
            </w:r>
            <w:r w:rsidR="00990535" w:rsidRPr="00B14471">
              <w:rPr>
                <w:rFonts w:ascii="Arial" w:hAnsi="Arial" w:cs="Arial"/>
                <w:bCs w:val="0"/>
                <w:color w:val="auto"/>
                <w:sz w:val="16"/>
                <w:szCs w:val="16"/>
              </w:rPr>
              <w:fldChar w:fldCharType="begin"/>
            </w:r>
            <w:r w:rsidRPr="00B14471">
              <w:rPr>
                <w:rFonts w:ascii="Arial" w:hAnsi="Arial" w:cs="Arial"/>
                <w:bCs w:val="0"/>
                <w:color w:val="auto"/>
                <w:sz w:val="16"/>
                <w:szCs w:val="16"/>
              </w:rPr>
              <w:instrText xml:space="preserve"> SEQ Figura_4. \* ARABIC </w:instrText>
            </w:r>
            <w:r w:rsidR="00990535" w:rsidRPr="00B14471">
              <w:rPr>
                <w:rFonts w:ascii="Arial" w:hAnsi="Arial" w:cs="Arial"/>
                <w:bCs w:val="0"/>
                <w:color w:val="auto"/>
                <w:sz w:val="16"/>
                <w:szCs w:val="16"/>
              </w:rPr>
              <w:fldChar w:fldCharType="separate"/>
            </w:r>
            <w:r w:rsidR="00A242E0">
              <w:rPr>
                <w:rFonts w:ascii="Arial" w:hAnsi="Arial" w:cs="Arial"/>
                <w:bCs w:val="0"/>
                <w:noProof/>
                <w:color w:val="auto"/>
                <w:sz w:val="16"/>
                <w:szCs w:val="16"/>
              </w:rPr>
              <w:t>73</w:t>
            </w:r>
            <w:bookmarkEnd w:id="658"/>
            <w:r w:rsidR="00990535" w:rsidRPr="00B14471">
              <w:rPr>
                <w:rFonts w:ascii="Arial" w:hAnsi="Arial" w:cs="Arial"/>
                <w:bCs w:val="0"/>
                <w:color w:val="auto"/>
                <w:sz w:val="16"/>
                <w:szCs w:val="16"/>
              </w:rPr>
              <w:fldChar w:fldCharType="end"/>
            </w:r>
          </w:p>
          <w:p w:rsidR="00361FCE" w:rsidRDefault="005F2F4D"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Frecuencia Relativa del trabajo que desempeñan los </w:t>
            </w:r>
            <w:r>
              <w:rPr>
                <w:rFonts w:ascii="Arial" w:hAnsi="Arial" w:cs="Arial"/>
                <w:b/>
                <w:i/>
                <w:sz w:val="16"/>
                <w:szCs w:val="16"/>
              </w:rPr>
              <w:t>estadounidenses</w:t>
            </w:r>
            <w:r w:rsidRPr="008912B6">
              <w:rPr>
                <w:rFonts w:ascii="Arial" w:hAnsi="Arial" w:cs="Arial"/>
                <w:i/>
                <w:sz w:val="16"/>
                <w:szCs w:val="16"/>
              </w:rPr>
              <w:t xml:space="preserve"> en el país</w:t>
            </w:r>
          </w:p>
          <w:p w:rsidR="00361FCE" w:rsidRPr="0078148C" w:rsidRDefault="00361FCE" w:rsidP="00902050">
            <w:pPr>
              <w:rPr>
                <w:rFonts w:ascii="Arial" w:hAnsi="Arial" w:cs="Arial"/>
                <w:i/>
                <w:sz w:val="16"/>
                <w:szCs w:val="16"/>
              </w:rPr>
            </w:pPr>
            <w:r>
              <w:rPr>
                <w:noProof/>
                <w:lang w:eastAsia="es-EC"/>
              </w:rPr>
              <w:drawing>
                <wp:inline distT="0" distB="0" distL="0" distR="0" wp14:anchorId="134165D0" wp14:editId="4EEBA458">
                  <wp:extent cx="4429125" cy="2916000"/>
                  <wp:effectExtent l="0" t="0" r="0" b="0"/>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r>
    </w:tbl>
    <w:p w:rsidR="00361FCE" w:rsidRPr="005F2F4D" w:rsidRDefault="00361FCE" w:rsidP="005F2F4D">
      <w:pPr>
        <w:pStyle w:val="Prrafodelista"/>
        <w:spacing w:line="276" w:lineRule="auto"/>
        <w:ind w:left="851"/>
        <w:jc w:val="both"/>
        <w:rPr>
          <w:rFonts w:ascii="Arial" w:hAnsi="Arial" w:cs="Arial"/>
          <w:sz w:val="17"/>
          <w:szCs w:val="17"/>
        </w:rPr>
      </w:pPr>
    </w:p>
    <w:p w:rsidR="00361FCE" w:rsidRPr="005F2F4D" w:rsidRDefault="00361FCE" w:rsidP="005F2F4D">
      <w:pPr>
        <w:pStyle w:val="Prrafodelista"/>
        <w:spacing w:line="276" w:lineRule="auto"/>
        <w:ind w:left="851"/>
        <w:jc w:val="both"/>
        <w:rPr>
          <w:rFonts w:ascii="Arial" w:hAnsi="Arial" w:cs="Arial"/>
          <w:sz w:val="17"/>
          <w:szCs w:val="17"/>
        </w:rPr>
      </w:pPr>
      <w:r w:rsidRPr="005F2F4D">
        <w:rPr>
          <w:rFonts w:ascii="Arial" w:hAnsi="Arial" w:cs="Arial"/>
          <w:b/>
          <w:i/>
          <w:sz w:val="17"/>
          <w:szCs w:val="17"/>
        </w:rPr>
        <w:t>Fuente:</w:t>
      </w:r>
      <w:r w:rsidRPr="005F2F4D">
        <w:rPr>
          <w:rFonts w:ascii="Arial" w:hAnsi="Arial" w:cs="Arial"/>
          <w:sz w:val="17"/>
          <w:szCs w:val="17"/>
        </w:rPr>
        <w:t xml:space="preserve"> </w:t>
      </w:r>
      <w:r w:rsidRPr="005F2F4D">
        <w:rPr>
          <w:rFonts w:ascii="Arial" w:hAnsi="Arial" w:cs="Arial"/>
          <w:b/>
          <w:sz w:val="17"/>
          <w:szCs w:val="17"/>
        </w:rPr>
        <w:t xml:space="preserve">INEC </w:t>
      </w:r>
      <w:r w:rsidRPr="005F2F4D">
        <w:rPr>
          <w:rFonts w:ascii="Arial" w:hAnsi="Arial" w:cs="Arial"/>
          <w:sz w:val="17"/>
          <w:szCs w:val="17"/>
        </w:rPr>
        <w:t>(2010), Base de Datos del VII Censo de Población y VI de Vivienda.</w:t>
      </w:r>
    </w:p>
    <w:p w:rsidR="00361FCE" w:rsidRPr="005F2F4D" w:rsidRDefault="00361FCE" w:rsidP="005F2F4D">
      <w:pPr>
        <w:pStyle w:val="Prrafodelista"/>
        <w:spacing w:line="276" w:lineRule="auto"/>
        <w:ind w:left="851"/>
        <w:jc w:val="both"/>
        <w:rPr>
          <w:rFonts w:ascii="Arial" w:hAnsi="Arial" w:cs="Arial"/>
          <w:sz w:val="17"/>
          <w:szCs w:val="17"/>
        </w:rPr>
      </w:pPr>
      <w:r w:rsidRPr="005F2F4D">
        <w:rPr>
          <w:rFonts w:ascii="Arial" w:hAnsi="Arial" w:cs="Arial"/>
          <w:b/>
          <w:i/>
          <w:sz w:val="17"/>
          <w:szCs w:val="17"/>
        </w:rPr>
        <w:t>Elaborado por:</w:t>
      </w:r>
      <w:r w:rsidRPr="005F2F4D">
        <w:rPr>
          <w:rFonts w:ascii="Arial" w:hAnsi="Arial" w:cs="Arial"/>
          <w:sz w:val="17"/>
          <w:szCs w:val="17"/>
        </w:rPr>
        <w:t xml:space="preserve"> Katherine Loor Valeriano</w:t>
      </w:r>
    </w:p>
    <w:p w:rsidR="00361FCE" w:rsidRPr="00051C21" w:rsidRDefault="00361FCE" w:rsidP="005F2F4D">
      <w:pPr>
        <w:pStyle w:val="Prrafodelista"/>
        <w:spacing w:line="480" w:lineRule="auto"/>
        <w:ind w:left="851"/>
        <w:jc w:val="both"/>
        <w:rPr>
          <w:rFonts w:ascii="Arial" w:hAnsi="Arial" w:cs="Arial"/>
          <w:i/>
        </w:rPr>
      </w:pPr>
      <w:r>
        <w:rPr>
          <w:rFonts w:ascii="Arial" w:hAnsi="Arial" w:cs="Arial"/>
        </w:rPr>
        <w:lastRenderedPageBreak/>
        <w:t xml:space="preserve">Ahora analicemos la distribución porcentual del trabajo que desempeñan los estadounidenses que residen en Ecuador por género, en donde tenemos que del total de estadounidenses de género masculino el 50.19% trabajan como empleados u obreros privados, el 18.85% por cuenta propia, el 10.17% son patrones, el 7.02% son empleados u obreros públicos, el 4.92% en sociedad, el 4.48% realizan trabajos en los que no reciben alguna remuneración, el 0.50% son jornaleros o peones, el 0.11% son empleados domésticos; y, el porcentaje restante (3.76%) no respondieron. </w:t>
      </w:r>
      <w:r w:rsidR="00506BFD">
        <w:rPr>
          <w:rFonts w:ascii="Arial" w:hAnsi="Arial" w:cs="Arial"/>
        </w:rPr>
        <w:t>D</w:t>
      </w:r>
      <w:r>
        <w:rPr>
          <w:rFonts w:ascii="Arial" w:hAnsi="Arial" w:cs="Arial"/>
        </w:rPr>
        <w:t xml:space="preserve">e las mujeres estadounidenses que viven en el país, el 57.88% son empleadas u obreras privadas, este valor es mayor que el de los hombres en términos relativos pero no en absolutos, el 15.23% trabajan por cuenta propia, el 7.55% son empleados u obreros públicos; y, los restantes desempeñan otros trabajos. Para más detalles </w:t>
      </w:r>
      <w:r w:rsidRPr="00E32FF9">
        <w:rPr>
          <w:rFonts w:ascii="Arial" w:hAnsi="Arial" w:cs="Arial"/>
          <w:i/>
        </w:rPr>
        <w:t>v</w:t>
      </w:r>
      <w:r>
        <w:rPr>
          <w:rFonts w:ascii="Arial" w:hAnsi="Arial" w:cs="Arial"/>
          <w:i/>
        </w:rPr>
        <w:t>éase Figura 4.74.</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5F2F4D">
        <w:trPr>
          <w:trHeight w:val="2772"/>
          <w:jc w:val="right"/>
        </w:trPr>
        <w:tc>
          <w:tcPr>
            <w:tcW w:w="7497" w:type="dxa"/>
          </w:tcPr>
          <w:p w:rsidR="00361FCE" w:rsidRDefault="00361FCE" w:rsidP="00902050">
            <w:pPr>
              <w:rPr>
                <w:rFonts w:ascii="Arial" w:hAnsi="Arial" w:cs="Arial"/>
                <w:b/>
                <w:sz w:val="16"/>
                <w:szCs w:val="16"/>
              </w:rPr>
            </w:pPr>
          </w:p>
          <w:p w:rsidR="00B14471" w:rsidRPr="00B14471" w:rsidRDefault="00B14471" w:rsidP="00B14471">
            <w:pPr>
              <w:pStyle w:val="Epgrafe"/>
              <w:rPr>
                <w:rFonts w:ascii="Arial" w:hAnsi="Arial" w:cs="Arial"/>
                <w:bCs w:val="0"/>
                <w:color w:val="auto"/>
                <w:sz w:val="16"/>
                <w:szCs w:val="16"/>
              </w:rPr>
            </w:pPr>
            <w:bookmarkStart w:id="659" w:name="_Toc341044046"/>
            <w:r>
              <w:rPr>
                <w:rFonts w:ascii="Arial" w:hAnsi="Arial" w:cs="Arial"/>
                <w:bCs w:val="0"/>
                <w:color w:val="auto"/>
                <w:sz w:val="16"/>
                <w:szCs w:val="16"/>
              </w:rPr>
              <w:t>Figura 4.</w:t>
            </w:r>
            <w:r w:rsidR="00990535" w:rsidRPr="00B14471">
              <w:rPr>
                <w:rFonts w:ascii="Arial" w:hAnsi="Arial" w:cs="Arial"/>
                <w:bCs w:val="0"/>
                <w:color w:val="auto"/>
                <w:sz w:val="16"/>
                <w:szCs w:val="16"/>
              </w:rPr>
              <w:fldChar w:fldCharType="begin"/>
            </w:r>
            <w:r w:rsidRPr="00B14471">
              <w:rPr>
                <w:rFonts w:ascii="Arial" w:hAnsi="Arial" w:cs="Arial"/>
                <w:bCs w:val="0"/>
                <w:color w:val="auto"/>
                <w:sz w:val="16"/>
                <w:szCs w:val="16"/>
              </w:rPr>
              <w:instrText xml:space="preserve"> SEQ Figura_4. \* ARABIC </w:instrText>
            </w:r>
            <w:r w:rsidR="00990535" w:rsidRPr="00B14471">
              <w:rPr>
                <w:rFonts w:ascii="Arial" w:hAnsi="Arial" w:cs="Arial"/>
                <w:bCs w:val="0"/>
                <w:color w:val="auto"/>
                <w:sz w:val="16"/>
                <w:szCs w:val="16"/>
              </w:rPr>
              <w:fldChar w:fldCharType="separate"/>
            </w:r>
            <w:r w:rsidR="00A242E0">
              <w:rPr>
                <w:rFonts w:ascii="Arial" w:hAnsi="Arial" w:cs="Arial"/>
                <w:bCs w:val="0"/>
                <w:noProof/>
                <w:color w:val="auto"/>
                <w:sz w:val="16"/>
                <w:szCs w:val="16"/>
              </w:rPr>
              <w:t>74</w:t>
            </w:r>
            <w:bookmarkEnd w:id="659"/>
            <w:r w:rsidR="00990535" w:rsidRPr="00B14471">
              <w:rPr>
                <w:rFonts w:ascii="Arial" w:hAnsi="Arial" w:cs="Arial"/>
                <w:bCs w:val="0"/>
                <w:color w:val="auto"/>
                <w:sz w:val="16"/>
                <w:szCs w:val="16"/>
              </w:rPr>
              <w:fldChar w:fldCharType="end"/>
            </w:r>
          </w:p>
          <w:p w:rsidR="00242C4D" w:rsidRDefault="00242C4D" w:rsidP="00242C4D">
            <w:pPr>
              <w:rPr>
                <w:rFonts w:ascii="Arial" w:hAnsi="Arial" w:cs="Arial"/>
                <w:i/>
                <w:sz w:val="16"/>
                <w:szCs w:val="16"/>
              </w:rPr>
            </w:pPr>
            <w:r w:rsidRPr="00016219">
              <w:rPr>
                <w:rFonts w:ascii="Arial" w:hAnsi="Arial" w:cs="Arial"/>
                <w:b/>
                <w:i/>
                <w:sz w:val="16"/>
                <w:szCs w:val="16"/>
              </w:rPr>
              <w:t xml:space="preserve">Ecuador 2010: </w:t>
            </w:r>
            <w:r>
              <w:rPr>
                <w:rFonts w:ascii="Arial" w:hAnsi="Arial" w:cs="Arial"/>
                <w:i/>
                <w:sz w:val="16"/>
                <w:szCs w:val="16"/>
              </w:rPr>
              <w:t>Distribución condicional</w:t>
            </w:r>
            <w:r w:rsidRPr="00016219">
              <w:rPr>
                <w:rFonts w:ascii="Arial" w:hAnsi="Arial" w:cs="Arial"/>
                <w:i/>
                <w:sz w:val="16"/>
                <w:szCs w:val="16"/>
              </w:rPr>
              <w:t xml:space="preserve"> del Trabajo desempeñado por los </w:t>
            </w:r>
            <w:r>
              <w:rPr>
                <w:rFonts w:ascii="Arial" w:hAnsi="Arial" w:cs="Arial"/>
                <w:b/>
                <w:i/>
                <w:sz w:val="16"/>
                <w:szCs w:val="16"/>
              </w:rPr>
              <w:t>estadounidenses</w:t>
            </w:r>
            <w:r w:rsidRPr="00016219">
              <w:rPr>
                <w:rFonts w:ascii="Arial" w:hAnsi="Arial" w:cs="Arial"/>
                <w:i/>
                <w:sz w:val="16"/>
                <w:szCs w:val="16"/>
              </w:rPr>
              <w:t xml:space="preserve"> </w:t>
            </w:r>
          </w:p>
          <w:p w:rsidR="00361FCE" w:rsidRDefault="00242C4D" w:rsidP="00242C4D">
            <w:pPr>
              <w:rPr>
                <w:rFonts w:ascii="Arial" w:hAnsi="Arial" w:cs="Arial"/>
                <w:i/>
                <w:sz w:val="16"/>
                <w:szCs w:val="16"/>
              </w:rPr>
            </w:pPr>
            <w:r>
              <w:rPr>
                <w:rFonts w:ascii="Arial" w:hAnsi="Arial" w:cs="Arial"/>
                <w:i/>
                <w:sz w:val="16"/>
                <w:szCs w:val="16"/>
              </w:rPr>
              <w:t xml:space="preserve">dado que se conoce el </w:t>
            </w:r>
            <w:r w:rsidRPr="00016219">
              <w:rPr>
                <w:rFonts w:ascii="Arial" w:hAnsi="Arial" w:cs="Arial"/>
                <w:i/>
                <w:sz w:val="16"/>
                <w:szCs w:val="16"/>
              </w:rPr>
              <w:t xml:space="preserve"> Género</w:t>
            </w:r>
          </w:p>
          <w:p w:rsidR="00361FCE" w:rsidRPr="0078148C" w:rsidRDefault="00436907" w:rsidP="00902050">
            <w:pPr>
              <w:rPr>
                <w:rFonts w:ascii="Arial" w:hAnsi="Arial" w:cs="Arial"/>
                <w:i/>
                <w:sz w:val="16"/>
                <w:szCs w:val="16"/>
              </w:rPr>
            </w:pPr>
            <w:r>
              <w:rPr>
                <w:rFonts w:ascii="Arial" w:hAnsi="Arial" w:cs="Arial"/>
                <w:b/>
                <w:i/>
                <w:noProof/>
                <w:sz w:val="18"/>
                <w:szCs w:val="18"/>
                <w:lang w:eastAsia="es-EC"/>
              </w:rPr>
              <w:pict>
                <v:line id="_x0000_s1668" style="position:absolute;left:0;text-align:left;z-index:251615744;visibility:visible" from="263.5pt,.3pt" to="263.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" strokecolor="black [3213]"/>
              </w:pict>
            </w:r>
            <w:r w:rsidR="00361FCE">
              <w:rPr>
                <w:noProof/>
                <w:lang w:eastAsia="es-EC"/>
              </w:rPr>
              <w:drawing>
                <wp:inline distT="0" distB="0" distL="0" distR="0" wp14:anchorId="14F3BEB6" wp14:editId="65E7FE04">
                  <wp:extent cx="4562475" cy="2520000"/>
                  <wp:effectExtent l="0" t="0" r="0" b="0"/>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c>
      </w:tr>
    </w:tbl>
    <w:p w:rsidR="00361FCE" w:rsidRPr="005F2F4D" w:rsidRDefault="00361FCE" w:rsidP="005F2F4D">
      <w:pPr>
        <w:pStyle w:val="Prrafodelista"/>
        <w:spacing w:line="276" w:lineRule="auto"/>
        <w:ind w:left="851"/>
        <w:jc w:val="both"/>
        <w:rPr>
          <w:rFonts w:ascii="Arial" w:hAnsi="Arial" w:cs="Arial"/>
          <w:sz w:val="17"/>
          <w:szCs w:val="17"/>
        </w:rPr>
      </w:pPr>
    </w:p>
    <w:p w:rsidR="00361FCE" w:rsidRPr="005F2F4D" w:rsidRDefault="00361FCE" w:rsidP="005F2F4D">
      <w:pPr>
        <w:pStyle w:val="Prrafodelista"/>
        <w:spacing w:line="276" w:lineRule="auto"/>
        <w:ind w:left="851"/>
        <w:jc w:val="both"/>
        <w:rPr>
          <w:rFonts w:ascii="Arial" w:hAnsi="Arial" w:cs="Arial"/>
          <w:sz w:val="17"/>
          <w:szCs w:val="17"/>
        </w:rPr>
      </w:pPr>
      <w:r w:rsidRPr="005F2F4D">
        <w:rPr>
          <w:rFonts w:ascii="Arial" w:hAnsi="Arial" w:cs="Arial"/>
          <w:b/>
          <w:i/>
          <w:sz w:val="17"/>
          <w:szCs w:val="17"/>
        </w:rPr>
        <w:t>Fuente:</w:t>
      </w:r>
      <w:r w:rsidRPr="005F2F4D">
        <w:rPr>
          <w:rFonts w:ascii="Arial" w:hAnsi="Arial" w:cs="Arial"/>
          <w:sz w:val="17"/>
          <w:szCs w:val="17"/>
        </w:rPr>
        <w:t xml:space="preserve"> </w:t>
      </w:r>
      <w:r w:rsidRPr="005F2F4D">
        <w:rPr>
          <w:rFonts w:ascii="Arial" w:hAnsi="Arial" w:cs="Arial"/>
          <w:b/>
          <w:sz w:val="17"/>
          <w:szCs w:val="17"/>
        </w:rPr>
        <w:t xml:space="preserve">INEC </w:t>
      </w:r>
      <w:r w:rsidRPr="005F2F4D">
        <w:rPr>
          <w:rFonts w:ascii="Arial" w:hAnsi="Arial" w:cs="Arial"/>
          <w:sz w:val="17"/>
          <w:szCs w:val="17"/>
        </w:rPr>
        <w:t>(2010), Base de Datos del VII Censo de Población y VI de Vivienda.</w:t>
      </w:r>
    </w:p>
    <w:p w:rsidR="00361FCE" w:rsidRPr="005F2F4D" w:rsidRDefault="00361FCE" w:rsidP="005F2F4D">
      <w:pPr>
        <w:pStyle w:val="Prrafodelista"/>
        <w:spacing w:line="276" w:lineRule="auto"/>
        <w:ind w:left="851"/>
        <w:jc w:val="both"/>
        <w:rPr>
          <w:rFonts w:ascii="Arial" w:hAnsi="Arial" w:cs="Arial"/>
          <w:sz w:val="17"/>
          <w:szCs w:val="17"/>
        </w:rPr>
      </w:pPr>
      <w:r w:rsidRPr="005F2F4D">
        <w:rPr>
          <w:rFonts w:ascii="Arial" w:hAnsi="Arial" w:cs="Arial"/>
          <w:b/>
          <w:i/>
          <w:sz w:val="17"/>
          <w:szCs w:val="17"/>
        </w:rPr>
        <w:t>Elaborado por:</w:t>
      </w:r>
      <w:r w:rsidRPr="005F2F4D">
        <w:rPr>
          <w:rFonts w:ascii="Arial" w:hAnsi="Arial" w:cs="Arial"/>
          <w:sz w:val="17"/>
          <w:szCs w:val="17"/>
        </w:rPr>
        <w:t xml:space="preserve"> Katherine Loor Valeriano</w:t>
      </w:r>
    </w:p>
    <w:p w:rsidR="00361FCE" w:rsidRDefault="00361FCE" w:rsidP="005F2F4D">
      <w:pPr>
        <w:pStyle w:val="Prrafodelista"/>
        <w:spacing w:line="480" w:lineRule="auto"/>
        <w:ind w:left="851"/>
        <w:jc w:val="both"/>
        <w:rPr>
          <w:rFonts w:ascii="Arial" w:hAnsi="Arial" w:cs="Arial"/>
        </w:rPr>
      </w:pPr>
      <w:r>
        <w:rPr>
          <w:rFonts w:ascii="Arial" w:hAnsi="Arial" w:cs="Arial"/>
        </w:rPr>
        <w:lastRenderedPageBreak/>
        <w:t xml:space="preserve">Ahora bien, veamos que sucede con la distribución del trabajo que realizan los estadounidenses residentes en el país pero por grupos de edad; en la     </w:t>
      </w:r>
      <w:r>
        <w:rPr>
          <w:rFonts w:ascii="Arial" w:hAnsi="Arial" w:cs="Arial"/>
          <w:i/>
        </w:rPr>
        <w:t>Figura 4.75</w:t>
      </w:r>
      <w:r>
        <w:rPr>
          <w:rFonts w:ascii="Arial" w:hAnsi="Arial" w:cs="Arial"/>
        </w:rPr>
        <w:t>, podemos observar que los trabajos como empleados u obreros públicos lo desempeñan estadounidenses con edades entre 15 y 80 años, aunque ninguno de los que tienen entre 70 y 75 años realizan este trabajo; mientras que quienes trabajan como empleados u obreros públicos son mayores de 10 años y además a partir de los 15 años empieza a aumentar el porcentaje de la población que realiza este trabajo, aunque para los últimos grupos etarios vuelve a disminuir; los que trabajan como jornaleros o peones son menores de 70 años con excepciones en algunos grupos de edad, quienes trabajan como socios y patrones son mayores de 15 años, los que realizan trabajos domésticos son menores de 50 años; y, los que realizan trabajos no remunerados son mayores de 10 años. Cabe mencionar que no hay respuesta alguna para los estadounidenses con edades comprendidas entre 95  y 100 años.</w:t>
      </w:r>
    </w:p>
    <w:p w:rsidR="00361FCE" w:rsidRDefault="00361FCE" w:rsidP="005F2F4D">
      <w:pPr>
        <w:pStyle w:val="Prrafodelista"/>
        <w:spacing w:line="480" w:lineRule="auto"/>
        <w:ind w:left="851"/>
        <w:jc w:val="both"/>
        <w:rPr>
          <w:rFonts w:ascii="Arial" w:hAnsi="Arial" w:cs="Arial"/>
        </w:rPr>
      </w:pPr>
    </w:p>
    <w:p w:rsidR="00361FCE" w:rsidRPr="00624339" w:rsidRDefault="00361FCE" w:rsidP="005F2F4D">
      <w:pPr>
        <w:pStyle w:val="Prrafodelista"/>
        <w:spacing w:line="480" w:lineRule="auto"/>
        <w:ind w:left="851"/>
        <w:jc w:val="both"/>
        <w:rPr>
          <w:rFonts w:ascii="Arial" w:hAnsi="Arial" w:cs="Arial"/>
          <w:i/>
        </w:rPr>
      </w:pPr>
      <w:r>
        <w:rPr>
          <w:rFonts w:ascii="Arial" w:hAnsi="Arial" w:cs="Arial"/>
        </w:rPr>
        <w:t xml:space="preserve">Tomemos el caso particular de los estadounidenses con edades entre 30 y 35 años, tenemos que el 6.03% son empleados u obreros públicos, el 59.30% son empleados u obreros privados, el 0.75% trabajan como jornaleros o peones, el 8.79% son patrones, el 3.02% trabajan en sociedad, el 14.32% trabajan por cuenta propia, el 2.51% tienen trabajos no remunerados, 0.25% realizan trabajos domésticos; y, el 5.03% son datos no declarados también denominados datos ignorados. </w:t>
      </w:r>
      <w:r w:rsidR="005F2F4D">
        <w:rPr>
          <w:rFonts w:ascii="Arial" w:hAnsi="Arial" w:cs="Arial"/>
        </w:rPr>
        <w:t>L</w:t>
      </w:r>
      <w:r>
        <w:rPr>
          <w:rFonts w:ascii="Arial" w:hAnsi="Arial" w:cs="Arial"/>
        </w:rPr>
        <w:t xml:space="preserve">os estadounidenses con edades comprendidas entre los 80 y 85 años, el 45.45% trabajan como </w:t>
      </w:r>
      <w:r>
        <w:rPr>
          <w:rFonts w:ascii="Arial" w:hAnsi="Arial" w:cs="Arial"/>
        </w:rPr>
        <w:lastRenderedPageBreak/>
        <w:t xml:space="preserve">empleados u obreros privados, el 18.18% son socios, el 18.18% trabajan por cuenta propia, el 9.09% tienen trabajos sin salario; y, el 9.09% no respondieron. </w:t>
      </w:r>
      <w:r w:rsidR="005F2F4D" w:rsidRPr="005F2F4D">
        <w:rPr>
          <w:rFonts w:ascii="Arial" w:hAnsi="Arial" w:cs="Arial"/>
          <w:i/>
        </w:rPr>
        <w:t>V</w:t>
      </w:r>
      <w:r>
        <w:rPr>
          <w:rFonts w:ascii="Arial" w:hAnsi="Arial" w:cs="Arial"/>
          <w:i/>
        </w:rPr>
        <w:t>éase Figura 4.75.</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5F2F4D">
        <w:trPr>
          <w:trHeight w:val="2772"/>
          <w:jc w:val="right"/>
        </w:trPr>
        <w:tc>
          <w:tcPr>
            <w:tcW w:w="7497" w:type="dxa"/>
          </w:tcPr>
          <w:p w:rsidR="00361FCE" w:rsidRDefault="00361FCE" w:rsidP="00902050">
            <w:pPr>
              <w:rPr>
                <w:rFonts w:ascii="Arial" w:hAnsi="Arial" w:cs="Arial"/>
                <w:b/>
                <w:sz w:val="16"/>
                <w:szCs w:val="16"/>
              </w:rPr>
            </w:pPr>
          </w:p>
          <w:p w:rsidR="00B14471" w:rsidRPr="00B14471" w:rsidRDefault="00B14471" w:rsidP="00B14471">
            <w:pPr>
              <w:pStyle w:val="Epgrafe"/>
              <w:rPr>
                <w:rFonts w:ascii="Arial" w:hAnsi="Arial" w:cs="Arial"/>
                <w:bCs w:val="0"/>
                <w:color w:val="auto"/>
                <w:sz w:val="16"/>
                <w:szCs w:val="16"/>
              </w:rPr>
            </w:pPr>
            <w:bookmarkStart w:id="660" w:name="_Toc341044047"/>
            <w:r>
              <w:rPr>
                <w:rFonts w:ascii="Arial" w:hAnsi="Arial" w:cs="Arial"/>
                <w:bCs w:val="0"/>
                <w:color w:val="auto"/>
                <w:sz w:val="16"/>
                <w:szCs w:val="16"/>
              </w:rPr>
              <w:t>Figura 4.</w:t>
            </w:r>
            <w:r w:rsidR="00990535" w:rsidRPr="00B14471">
              <w:rPr>
                <w:rFonts w:ascii="Arial" w:hAnsi="Arial" w:cs="Arial"/>
                <w:bCs w:val="0"/>
                <w:color w:val="auto"/>
                <w:sz w:val="16"/>
                <w:szCs w:val="16"/>
              </w:rPr>
              <w:fldChar w:fldCharType="begin"/>
            </w:r>
            <w:r w:rsidRPr="00B14471">
              <w:rPr>
                <w:rFonts w:ascii="Arial" w:hAnsi="Arial" w:cs="Arial"/>
                <w:bCs w:val="0"/>
                <w:color w:val="auto"/>
                <w:sz w:val="16"/>
                <w:szCs w:val="16"/>
              </w:rPr>
              <w:instrText xml:space="preserve"> SEQ Figura_4. \* ARABIC </w:instrText>
            </w:r>
            <w:r w:rsidR="00990535" w:rsidRPr="00B14471">
              <w:rPr>
                <w:rFonts w:ascii="Arial" w:hAnsi="Arial" w:cs="Arial"/>
                <w:bCs w:val="0"/>
                <w:color w:val="auto"/>
                <w:sz w:val="16"/>
                <w:szCs w:val="16"/>
              </w:rPr>
              <w:fldChar w:fldCharType="separate"/>
            </w:r>
            <w:r w:rsidR="00A242E0">
              <w:rPr>
                <w:rFonts w:ascii="Arial" w:hAnsi="Arial" w:cs="Arial"/>
                <w:bCs w:val="0"/>
                <w:noProof/>
                <w:color w:val="auto"/>
                <w:sz w:val="16"/>
                <w:szCs w:val="16"/>
              </w:rPr>
              <w:t>75</w:t>
            </w:r>
            <w:bookmarkEnd w:id="660"/>
            <w:r w:rsidR="00990535" w:rsidRPr="00B14471">
              <w:rPr>
                <w:rFonts w:ascii="Arial" w:hAnsi="Arial" w:cs="Arial"/>
                <w:bCs w:val="0"/>
                <w:color w:val="auto"/>
                <w:sz w:val="16"/>
                <w:szCs w:val="16"/>
              </w:rPr>
              <w:fldChar w:fldCharType="end"/>
            </w:r>
          </w:p>
          <w:p w:rsidR="00242C4D" w:rsidRDefault="00242C4D" w:rsidP="00242C4D">
            <w:pPr>
              <w:rPr>
                <w:rFonts w:ascii="Arial" w:hAnsi="Arial" w:cs="Arial"/>
                <w:i/>
                <w:sz w:val="16"/>
                <w:szCs w:val="16"/>
              </w:rPr>
            </w:pPr>
            <w:r w:rsidRPr="00016219">
              <w:rPr>
                <w:rFonts w:ascii="Arial" w:hAnsi="Arial" w:cs="Arial"/>
                <w:b/>
                <w:i/>
                <w:sz w:val="16"/>
                <w:szCs w:val="16"/>
              </w:rPr>
              <w:t xml:space="preserve">Ecuador 2010: </w:t>
            </w:r>
            <w:r>
              <w:rPr>
                <w:rFonts w:ascii="Arial" w:hAnsi="Arial" w:cs="Arial"/>
                <w:i/>
                <w:sz w:val="16"/>
                <w:szCs w:val="16"/>
              </w:rPr>
              <w:t>Distribución condicional</w:t>
            </w:r>
            <w:r w:rsidRPr="00016219">
              <w:rPr>
                <w:rFonts w:ascii="Arial" w:hAnsi="Arial" w:cs="Arial"/>
                <w:i/>
                <w:sz w:val="16"/>
                <w:szCs w:val="16"/>
              </w:rPr>
              <w:t xml:space="preserve"> del trabajo desempeñado por los </w:t>
            </w:r>
            <w:r>
              <w:rPr>
                <w:rFonts w:ascii="Arial" w:hAnsi="Arial" w:cs="Arial"/>
                <w:b/>
                <w:i/>
                <w:sz w:val="16"/>
                <w:szCs w:val="16"/>
              </w:rPr>
              <w:t>estadounidenses</w:t>
            </w:r>
            <w:r w:rsidRPr="00016219">
              <w:rPr>
                <w:rFonts w:ascii="Arial" w:hAnsi="Arial" w:cs="Arial"/>
                <w:i/>
                <w:sz w:val="16"/>
                <w:szCs w:val="16"/>
              </w:rPr>
              <w:t xml:space="preserve"> </w:t>
            </w:r>
          </w:p>
          <w:p w:rsidR="00361FCE" w:rsidRDefault="00242C4D" w:rsidP="00242C4D">
            <w:pPr>
              <w:rPr>
                <w:rFonts w:ascii="Arial" w:hAnsi="Arial" w:cs="Arial"/>
                <w:i/>
                <w:sz w:val="16"/>
                <w:szCs w:val="16"/>
              </w:rPr>
            </w:pPr>
            <w:r>
              <w:rPr>
                <w:rFonts w:ascii="Arial" w:hAnsi="Arial" w:cs="Arial"/>
                <w:i/>
                <w:sz w:val="16"/>
                <w:szCs w:val="16"/>
              </w:rPr>
              <w:t>dado que se conoce el</w:t>
            </w:r>
            <w:r w:rsidRPr="00016219">
              <w:rPr>
                <w:rFonts w:ascii="Arial" w:hAnsi="Arial" w:cs="Arial"/>
                <w:i/>
                <w:sz w:val="16"/>
                <w:szCs w:val="16"/>
              </w:rPr>
              <w:t xml:space="preserve"> Grupo etario</w:t>
            </w:r>
          </w:p>
          <w:p w:rsidR="00361FCE" w:rsidRPr="0078148C" w:rsidRDefault="00361FCE" w:rsidP="00902050">
            <w:pPr>
              <w:rPr>
                <w:rFonts w:ascii="Arial" w:hAnsi="Arial" w:cs="Arial"/>
                <w:i/>
                <w:sz w:val="16"/>
                <w:szCs w:val="16"/>
              </w:rPr>
            </w:pPr>
            <w:r>
              <w:rPr>
                <w:noProof/>
                <w:lang w:eastAsia="es-EC"/>
              </w:rPr>
              <w:drawing>
                <wp:inline distT="0" distB="0" distL="0" distR="0" wp14:anchorId="4B567B69" wp14:editId="4FC94BA7">
                  <wp:extent cx="4429125" cy="3209925"/>
                  <wp:effectExtent l="0" t="0" r="0" b="0"/>
                  <wp:docPr id="353" name="Gráfico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c>
      </w:tr>
    </w:tbl>
    <w:p w:rsidR="00361FCE" w:rsidRPr="005F2F4D" w:rsidRDefault="00361FCE" w:rsidP="005F2F4D">
      <w:pPr>
        <w:pStyle w:val="Prrafodelista"/>
        <w:spacing w:line="276" w:lineRule="auto"/>
        <w:ind w:left="851"/>
        <w:jc w:val="both"/>
        <w:rPr>
          <w:rFonts w:ascii="Arial" w:hAnsi="Arial" w:cs="Arial"/>
          <w:sz w:val="17"/>
          <w:szCs w:val="17"/>
        </w:rPr>
      </w:pPr>
    </w:p>
    <w:p w:rsidR="00361FCE" w:rsidRPr="005F2F4D" w:rsidRDefault="00361FCE" w:rsidP="005F2F4D">
      <w:pPr>
        <w:pStyle w:val="Prrafodelista"/>
        <w:spacing w:line="276" w:lineRule="auto"/>
        <w:ind w:left="851"/>
        <w:jc w:val="both"/>
        <w:rPr>
          <w:rFonts w:ascii="Arial" w:hAnsi="Arial" w:cs="Arial"/>
          <w:sz w:val="17"/>
          <w:szCs w:val="17"/>
        </w:rPr>
      </w:pPr>
      <w:r w:rsidRPr="005F2F4D">
        <w:rPr>
          <w:rFonts w:ascii="Arial" w:hAnsi="Arial" w:cs="Arial"/>
          <w:b/>
          <w:i/>
          <w:sz w:val="17"/>
          <w:szCs w:val="17"/>
        </w:rPr>
        <w:t>Fuente:</w:t>
      </w:r>
      <w:r w:rsidRPr="005F2F4D">
        <w:rPr>
          <w:rFonts w:ascii="Arial" w:hAnsi="Arial" w:cs="Arial"/>
          <w:sz w:val="17"/>
          <w:szCs w:val="17"/>
        </w:rPr>
        <w:t xml:space="preserve"> </w:t>
      </w:r>
      <w:r w:rsidRPr="005F2F4D">
        <w:rPr>
          <w:rFonts w:ascii="Arial" w:hAnsi="Arial" w:cs="Arial"/>
          <w:b/>
          <w:sz w:val="17"/>
          <w:szCs w:val="17"/>
        </w:rPr>
        <w:t xml:space="preserve">INEC </w:t>
      </w:r>
      <w:r w:rsidRPr="005F2F4D">
        <w:rPr>
          <w:rFonts w:ascii="Arial" w:hAnsi="Arial" w:cs="Arial"/>
          <w:sz w:val="17"/>
          <w:szCs w:val="17"/>
        </w:rPr>
        <w:t>(2010), Base de Datos del VII Censo de Población y VI de Vivienda.</w:t>
      </w:r>
    </w:p>
    <w:p w:rsidR="00361FCE" w:rsidRPr="005F2F4D" w:rsidRDefault="00361FCE" w:rsidP="005F2F4D">
      <w:pPr>
        <w:pStyle w:val="Prrafodelista"/>
        <w:spacing w:line="276" w:lineRule="auto"/>
        <w:ind w:left="851"/>
        <w:jc w:val="both"/>
        <w:rPr>
          <w:rFonts w:ascii="Arial" w:hAnsi="Arial" w:cs="Arial"/>
          <w:sz w:val="17"/>
          <w:szCs w:val="17"/>
        </w:rPr>
      </w:pPr>
      <w:r w:rsidRPr="005F2F4D">
        <w:rPr>
          <w:rFonts w:ascii="Arial" w:hAnsi="Arial" w:cs="Arial"/>
          <w:b/>
          <w:i/>
          <w:sz w:val="17"/>
          <w:szCs w:val="17"/>
        </w:rPr>
        <w:t>Elaborado por:</w:t>
      </w:r>
      <w:r w:rsidRPr="005F2F4D">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361FCE" w:rsidP="005F2F4D">
      <w:pPr>
        <w:pStyle w:val="Estilo42"/>
        <w:ind w:left="1701" w:hanging="850"/>
      </w:pPr>
      <w:bookmarkStart w:id="661" w:name="_Toc337135555"/>
      <w:bookmarkStart w:id="662" w:name="_Toc341040705"/>
      <w:r>
        <w:t>Ocupación de los estadounidenses en Ecuador</w:t>
      </w:r>
      <w:bookmarkEnd w:id="661"/>
      <w:bookmarkEnd w:id="662"/>
    </w:p>
    <w:p w:rsidR="00361FCE" w:rsidRPr="00173104" w:rsidRDefault="00361FCE" w:rsidP="00C639E5">
      <w:pPr>
        <w:pStyle w:val="Prrafodelista"/>
        <w:spacing w:line="480" w:lineRule="auto"/>
        <w:ind w:left="851"/>
        <w:jc w:val="both"/>
        <w:rPr>
          <w:rFonts w:ascii="Arial" w:hAnsi="Arial" w:cs="Arial"/>
          <w:i/>
        </w:rPr>
      </w:pPr>
      <w:r>
        <w:rPr>
          <w:rFonts w:ascii="Arial" w:hAnsi="Arial" w:cs="Arial"/>
        </w:rPr>
        <w:t xml:space="preserve">Ahora veamos la ocupación o el cargo que tienen los estadounidenses en el país; tenemos que el 37.07% son profesionales científicos e intelectuales, el 14.39% son directores o gerentes, el 11.28% son trabajadores de los servicios o vendedores, el 10.44% son personal de apoyo administrativo, el 9.33% técnicos y profesionales del nivel medio, el 0.15% tienen ocupaciones militares, el 3.49% son trabajadores nuevos; y, </w:t>
      </w:r>
      <w:r>
        <w:rPr>
          <w:rFonts w:ascii="Arial" w:hAnsi="Arial" w:cs="Arial"/>
        </w:rPr>
        <w:lastRenderedPageBreak/>
        <w:t xml:space="preserve">los restantes tiene otras ocupaciones. Cabe destacar que los estadounidenses, a diferencia de los peruanos y colombianos cuyas ocupaciones principales eran ocupaciones elementales y trabajadores de los servicios y vendedores respectivamente, éstos son en un gran porcentaje profesionales científicos e intelectuales. </w:t>
      </w:r>
      <w:r>
        <w:rPr>
          <w:rFonts w:ascii="Arial" w:hAnsi="Arial" w:cs="Arial"/>
          <w:i/>
        </w:rPr>
        <w:t>Véase Figura 4.76.</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C639E5">
        <w:trPr>
          <w:trHeight w:val="2772"/>
          <w:jc w:val="right"/>
        </w:trPr>
        <w:tc>
          <w:tcPr>
            <w:tcW w:w="7497" w:type="dxa"/>
          </w:tcPr>
          <w:p w:rsidR="00361FCE" w:rsidRDefault="00361FCE" w:rsidP="00902050">
            <w:pPr>
              <w:rPr>
                <w:rFonts w:ascii="Arial" w:hAnsi="Arial" w:cs="Arial"/>
                <w:b/>
                <w:sz w:val="16"/>
                <w:szCs w:val="16"/>
              </w:rPr>
            </w:pPr>
          </w:p>
          <w:p w:rsidR="00B14471" w:rsidRPr="00B14471" w:rsidRDefault="00B14471" w:rsidP="00B14471">
            <w:pPr>
              <w:pStyle w:val="Epgrafe"/>
              <w:rPr>
                <w:rFonts w:ascii="Arial" w:hAnsi="Arial" w:cs="Arial"/>
                <w:bCs w:val="0"/>
                <w:color w:val="auto"/>
                <w:sz w:val="16"/>
                <w:szCs w:val="16"/>
              </w:rPr>
            </w:pPr>
            <w:bookmarkStart w:id="663" w:name="_Toc341044048"/>
            <w:r w:rsidRPr="00B14471">
              <w:rPr>
                <w:rFonts w:ascii="Arial" w:hAnsi="Arial" w:cs="Arial"/>
                <w:bCs w:val="0"/>
                <w:color w:val="auto"/>
                <w:sz w:val="16"/>
                <w:szCs w:val="16"/>
              </w:rPr>
              <w:t>Figura 4.</w:t>
            </w:r>
            <w:r w:rsidR="00990535" w:rsidRPr="00B14471">
              <w:rPr>
                <w:rFonts w:ascii="Arial" w:hAnsi="Arial" w:cs="Arial"/>
                <w:bCs w:val="0"/>
                <w:color w:val="auto"/>
                <w:sz w:val="16"/>
                <w:szCs w:val="16"/>
              </w:rPr>
              <w:fldChar w:fldCharType="begin"/>
            </w:r>
            <w:r w:rsidRPr="00B14471">
              <w:rPr>
                <w:rFonts w:ascii="Arial" w:hAnsi="Arial" w:cs="Arial"/>
                <w:bCs w:val="0"/>
                <w:color w:val="auto"/>
                <w:sz w:val="16"/>
                <w:szCs w:val="16"/>
              </w:rPr>
              <w:instrText xml:space="preserve"> SEQ Figura_4. \* ARABIC </w:instrText>
            </w:r>
            <w:r w:rsidR="00990535" w:rsidRPr="00B14471">
              <w:rPr>
                <w:rFonts w:ascii="Arial" w:hAnsi="Arial" w:cs="Arial"/>
                <w:bCs w:val="0"/>
                <w:color w:val="auto"/>
                <w:sz w:val="16"/>
                <w:szCs w:val="16"/>
              </w:rPr>
              <w:fldChar w:fldCharType="separate"/>
            </w:r>
            <w:r w:rsidR="00A242E0">
              <w:rPr>
                <w:rFonts w:ascii="Arial" w:hAnsi="Arial" w:cs="Arial"/>
                <w:bCs w:val="0"/>
                <w:noProof/>
                <w:color w:val="auto"/>
                <w:sz w:val="16"/>
                <w:szCs w:val="16"/>
              </w:rPr>
              <w:t>76</w:t>
            </w:r>
            <w:bookmarkEnd w:id="663"/>
            <w:r w:rsidR="00990535" w:rsidRPr="00B14471">
              <w:rPr>
                <w:rFonts w:ascii="Arial" w:hAnsi="Arial" w:cs="Arial"/>
                <w:bCs w:val="0"/>
                <w:color w:val="auto"/>
                <w:sz w:val="16"/>
                <w:szCs w:val="16"/>
              </w:rPr>
              <w:fldChar w:fldCharType="end"/>
            </w:r>
          </w:p>
          <w:p w:rsidR="00361FCE" w:rsidRDefault="00C639E5"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Frecuencia Relativa de la ocupación de los </w:t>
            </w:r>
            <w:r>
              <w:rPr>
                <w:rFonts w:ascii="Arial" w:hAnsi="Arial" w:cs="Arial"/>
                <w:b/>
                <w:i/>
                <w:sz w:val="16"/>
                <w:szCs w:val="16"/>
              </w:rPr>
              <w:t>estadounidenses</w:t>
            </w:r>
            <w:r w:rsidRPr="008912B6">
              <w:rPr>
                <w:rFonts w:ascii="Arial" w:hAnsi="Arial" w:cs="Arial"/>
                <w:i/>
                <w:sz w:val="16"/>
                <w:szCs w:val="16"/>
              </w:rPr>
              <w:t xml:space="preserve"> en el país</w:t>
            </w:r>
          </w:p>
          <w:p w:rsidR="00361FCE" w:rsidRPr="0078148C" w:rsidRDefault="00361FCE" w:rsidP="00902050">
            <w:pPr>
              <w:rPr>
                <w:rFonts w:ascii="Arial" w:hAnsi="Arial" w:cs="Arial"/>
                <w:i/>
                <w:sz w:val="16"/>
                <w:szCs w:val="16"/>
              </w:rPr>
            </w:pPr>
            <w:r>
              <w:rPr>
                <w:noProof/>
                <w:lang w:eastAsia="es-EC"/>
              </w:rPr>
              <w:drawing>
                <wp:inline distT="0" distB="0" distL="0" distR="0" wp14:anchorId="28716F19" wp14:editId="22BFE614">
                  <wp:extent cx="4371975" cy="2600325"/>
                  <wp:effectExtent l="0" t="0" r="0" b="0"/>
                  <wp:docPr id="355" name="Gráfico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c>
      </w:tr>
    </w:tbl>
    <w:p w:rsidR="00361FCE" w:rsidRPr="00C639E5" w:rsidRDefault="00361FCE" w:rsidP="00C639E5">
      <w:pPr>
        <w:pStyle w:val="Prrafodelista"/>
        <w:spacing w:line="276" w:lineRule="auto"/>
        <w:ind w:left="851"/>
        <w:jc w:val="both"/>
        <w:rPr>
          <w:rFonts w:ascii="Arial" w:hAnsi="Arial" w:cs="Arial"/>
          <w:sz w:val="17"/>
          <w:szCs w:val="17"/>
        </w:rPr>
      </w:pPr>
    </w:p>
    <w:p w:rsidR="00361FCE" w:rsidRPr="00C639E5" w:rsidRDefault="00361FCE" w:rsidP="00C639E5">
      <w:pPr>
        <w:pStyle w:val="Prrafodelista"/>
        <w:spacing w:line="276" w:lineRule="auto"/>
        <w:ind w:left="851"/>
        <w:jc w:val="both"/>
        <w:rPr>
          <w:rFonts w:ascii="Arial" w:hAnsi="Arial" w:cs="Arial"/>
          <w:sz w:val="17"/>
          <w:szCs w:val="17"/>
        </w:rPr>
      </w:pPr>
      <w:r w:rsidRPr="00C639E5">
        <w:rPr>
          <w:rFonts w:ascii="Arial" w:hAnsi="Arial" w:cs="Arial"/>
          <w:b/>
          <w:i/>
          <w:sz w:val="17"/>
          <w:szCs w:val="17"/>
        </w:rPr>
        <w:t>Fuente:</w:t>
      </w:r>
      <w:r w:rsidRPr="00C639E5">
        <w:rPr>
          <w:rFonts w:ascii="Arial" w:hAnsi="Arial" w:cs="Arial"/>
          <w:sz w:val="17"/>
          <w:szCs w:val="17"/>
        </w:rPr>
        <w:t xml:space="preserve"> </w:t>
      </w:r>
      <w:r w:rsidRPr="00C639E5">
        <w:rPr>
          <w:rFonts w:ascii="Arial" w:hAnsi="Arial" w:cs="Arial"/>
          <w:b/>
          <w:sz w:val="17"/>
          <w:szCs w:val="17"/>
        </w:rPr>
        <w:t xml:space="preserve">INEC </w:t>
      </w:r>
      <w:r w:rsidRPr="00C639E5">
        <w:rPr>
          <w:rFonts w:ascii="Arial" w:hAnsi="Arial" w:cs="Arial"/>
          <w:sz w:val="17"/>
          <w:szCs w:val="17"/>
        </w:rPr>
        <w:t>(2010), Base de Datos del VII Censo de Población y VI de Vivienda.</w:t>
      </w:r>
    </w:p>
    <w:p w:rsidR="00361FCE" w:rsidRDefault="00361FCE" w:rsidP="00C639E5">
      <w:pPr>
        <w:pStyle w:val="Prrafodelista"/>
        <w:spacing w:line="276" w:lineRule="auto"/>
        <w:ind w:left="851"/>
        <w:jc w:val="both"/>
        <w:rPr>
          <w:rFonts w:ascii="Arial" w:hAnsi="Arial" w:cs="Arial"/>
        </w:rPr>
      </w:pPr>
      <w:r w:rsidRPr="00C639E5">
        <w:rPr>
          <w:rFonts w:ascii="Arial" w:hAnsi="Arial" w:cs="Arial"/>
          <w:b/>
          <w:i/>
          <w:sz w:val="17"/>
          <w:szCs w:val="17"/>
        </w:rPr>
        <w:t>Elaborado por:</w:t>
      </w:r>
      <w:r w:rsidRPr="00C639E5">
        <w:rPr>
          <w:rFonts w:ascii="Arial" w:hAnsi="Arial" w:cs="Arial"/>
          <w:sz w:val="17"/>
          <w:szCs w:val="17"/>
        </w:rPr>
        <w:t xml:space="preserve"> Katherine Loor Valeriano</w:t>
      </w:r>
    </w:p>
    <w:p w:rsidR="00361FCE" w:rsidRDefault="00361FCE" w:rsidP="00C639E5">
      <w:pPr>
        <w:pStyle w:val="Prrafodelista"/>
        <w:spacing w:line="480" w:lineRule="auto"/>
        <w:ind w:left="851"/>
        <w:jc w:val="both"/>
        <w:rPr>
          <w:rFonts w:ascii="Arial" w:hAnsi="Arial" w:cs="Arial"/>
        </w:rPr>
      </w:pPr>
    </w:p>
    <w:p w:rsidR="00361FCE" w:rsidRDefault="00361FCE" w:rsidP="00C639E5">
      <w:pPr>
        <w:pStyle w:val="Prrafodelista"/>
        <w:spacing w:line="480" w:lineRule="auto"/>
        <w:ind w:left="851"/>
        <w:jc w:val="both"/>
        <w:rPr>
          <w:rFonts w:ascii="Arial" w:hAnsi="Arial" w:cs="Arial"/>
        </w:rPr>
      </w:pPr>
      <w:r>
        <w:rPr>
          <w:rFonts w:ascii="Arial" w:hAnsi="Arial" w:cs="Arial"/>
        </w:rPr>
        <w:t xml:space="preserve">Si consideramos ahora solamente a los estadounidenses de género masculino, tenemos que el 32% son profesionales científicos e intelectuales, el 17.60% son directores o gerentes, el 11.36% son trabajadores de los servicios y vendedores, el 9.87% son técnicos o profesiones del nivel medio, el 9.33% personal de apoyo administrativo, el 2.08% son agricultores y trabajadores calificados, el 3.84% tienen ocupaciones elementales, el 0.21% tienen ocupaciones elementales, el </w:t>
      </w:r>
      <w:r>
        <w:rPr>
          <w:rFonts w:ascii="Arial" w:hAnsi="Arial" w:cs="Arial"/>
        </w:rPr>
        <w:lastRenderedPageBreak/>
        <w:t xml:space="preserve">3.52% son trabajadores nuevos; y, los restantes tienen otras ocupaciones o respondieron a esta pregunta. </w:t>
      </w:r>
      <w:r w:rsidR="00506BFD">
        <w:rPr>
          <w:rFonts w:ascii="Arial" w:hAnsi="Arial" w:cs="Arial"/>
        </w:rPr>
        <w:t>S</w:t>
      </w:r>
      <w:r>
        <w:rPr>
          <w:rFonts w:ascii="Arial" w:hAnsi="Arial" w:cs="Arial"/>
        </w:rPr>
        <w:t>i solo consideramos a las mujeres, tenemos que el 43.16% son profesionales científicos e intelectuales, cabe mencionar que en lo que respecta a esta ocupación la cantidad de mujeres con este cargo es mayor no solo en términos relativos sino también en valores absolutos, además el 11.76% de las mujeres trabajan como personal de apoyo administrativo, el 11.19% son trabajadores de los servicios o vendedores, el 10.55% son directores o gerentes, el 8.70% son técnicos y profesionales del nivel medio; y, los restantes tienen otras ocupaciones. Además, la cantidad de hombres que son directores o gerentes es el doble que la de mujeres en valores absolutos; y, la cantidad de hombres que tienen ocupaciones elementales es el cuádruplo de la de mujeres.</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E15B34">
        <w:trPr>
          <w:trHeight w:val="2772"/>
          <w:jc w:val="right"/>
        </w:trPr>
        <w:tc>
          <w:tcPr>
            <w:tcW w:w="7497" w:type="dxa"/>
          </w:tcPr>
          <w:p w:rsidR="00361FCE" w:rsidRDefault="00361FCE" w:rsidP="00902050">
            <w:pPr>
              <w:rPr>
                <w:rFonts w:ascii="Arial" w:hAnsi="Arial" w:cs="Arial"/>
                <w:b/>
                <w:sz w:val="16"/>
                <w:szCs w:val="16"/>
              </w:rPr>
            </w:pPr>
          </w:p>
          <w:p w:rsidR="00B14471" w:rsidRPr="00B14471" w:rsidRDefault="00B14471" w:rsidP="00B14471">
            <w:pPr>
              <w:pStyle w:val="Epgrafe"/>
              <w:rPr>
                <w:rFonts w:ascii="Arial" w:hAnsi="Arial" w:cs="Arial"/>
                <w:bCs w:val="0"/>
                <w:color w:val="auto"/>
                <w:sz w:val="16"/>
                <w:szCs w:val="16"/>
              </w:rPr>
            </w:pPr>
            <w:bookmarkStart w:id="664" w:name="_Toc341044049"/>
            <w:r>
              <w:rPr>
                <w:rFonts w:ascii="Arial" w:hAnsi="Arial" w:cs="Arial"/>
                <w:bCs w:val="0"/>
                <w:color w:val="auto"/>
                <w:sz w:val="16"/>
                <w:szCs w:val="16"/>
              </w:rPr>
              <w:t>Figura 4.</w:t>
            </w:r>
            <w:r w:rsidR="00990535" w:rsidRPr="00B14471">
              <w:rPr>
                <w:rFonts w:ascii="Arial" w:hAnsi="Arial" w:cs="Arial"/>
                <w:bCs w:val="0"/>
                <w:color w:val="auto"/>
                <w:sz w:val="16"/>
                <w:szCs w:val="16"/>
              </w:rPr>
              <w:fldChar w:fldCharType="begin"/>
            </w:r>
            <w:r w:rsidRPr="00B14471">
              <w:rPr>
                <w:rFonts w:ascii="Arial" w:hAnsi="Arial" w:cs="Arial"/>
                <w:bCs w:val="0"/>
                <w:color w:val="auto"/>
                <w:sz w:val="16"/>
                <w:szCs w:val="16"/>
              </w:rPr>
              <w:instrText xml:space="preserve"> SEQ Figura_4. \* ARABIC </w:instrText>
            </w:r>
            <w:r w:rsidR="00990535" w:rsidRPr="00B14471">
              <w:rPr>
                <w:rFonts w:ascii="Arial" w:hAnsi="Arial" w:cs="Arial"/>
                <w:bCs w:val="0"/>
                <w:color w:val="auto"/>
                <w:sz w:val="16"/>
                <w:szCs w:val="16"/>
              </w:rPr>
              <w:fldChar w:fldCharType="separate"/>
            </w:r>
            <w:r w:rsidR="00A242E0">
              <w:rPr>
                <w:rFonts w:ascii="Arial" w:hAnsi="Arial" w:cs="Arial"/>
                <w:bCs w:val="0"/>
                <w:noProof/>
                <w:color w:val="auto"/>
                <w:sz w:val="16"/>
                <w:szCs w:val="16"/>
              </w:rPr>
              <w:t>77</w:t>
            </w:r>
            <w:bookmarkEnd w:id="664"/>
            <w:r w:rsidR="00990535" w:rsidRPr="00B14471">
              <w:rPr>
                <w:rFonts w:ascii="Arial" w:hAnsi="Arial" w:cs="Arial"/>
                <w:bCs w:val="0"/>
                <w:color w:val="auto"/>
                <w:sz w:val="16"/>
                <w:szCs w:val="16"/>
              </w:rPr>
              <w:fldChar w:fldCharType="end"/>
            </w:r>
          </w:p>
          <w:p w:rsidR="00242C4D" w:rsidRDefault="00242C4D" w:rsidP="00242C4D">
            <w:pPr>
              <w:rPr>
                <w:rFonts w:ascii="Arial" w:hAnsi="Arial" w:cs="Arial"/>
                <w:i/>
                <w:sz w:val="16"/>
                <w:szCs w:val="16"/>
              </w:rPr>
            </w:pPr>
            <w:r w:rsidRPr="00016219">
              <w:rPr>
                <w:rFonts w:ascii="Arial" w:hAnsi="Arial" w:cs="Arial"/>
                <w:b/>
                <w:i/>
                <w:sz w:val="16"/>
                <w:szCs w:val="16"/>
              </w:rPr>
              <w:t xml:space="preserve">Ecuador 2010: </w:t>
            </w:r>
            <w:r>
              <w:rPr>
                <w:rFonts w:ascii="Arial" w:hAnsi="Arial" w:cs="Arial"/>
                <w:i/>
                <w:sz w:val="16"/>
                <w:szCs w:val="16"/>
              </w:rPr>
              <w:t>Distribución condicional</w:t>
            </w:r>
            <w:r w:rsidRPr="00016219">
              <w:rPr>
                <w:rFonts w:ascii="Arial" w:hAnsi="Arial" w:cs="Arial"/>
                <w:i/>
                <w:sz w:val="16"/>
                <w:szCs w:val="16"/>
              </w:rPr>
              <w:t xml:space="preserve"> de la ocupación de los </w:t>
            </w:r>
            <w:r>
              <w:rPr>
                <w:rFonts w:ascii="Arial" w:hAnsi="Arial" w:cs="Arial"/>
                <w:b/>
                <w:i/>
                <w:sz w:val="16"/>
                <w:szCs w:val="16"/>
              </w:rPr>
              <w:t>estadounidenses</w:t>
            </w:r>
            <w:r w:rsidRPr="00016219">
              <w:rPr>
                <w:rFonts w:ascii="Arial" w:hAnsi="Arial" w:cs="Arial"/>
                <w:i/>
                <w:sz w:val="16"/>
                <w:szCs w:val="16"/>
              </w:rPr>
              <w:t xml:space="preserve"> </w:t>
            </w:r>
          </w:p>
          <w:p w:rsidR="00361FCE" w:rsidRDefault="00242C4D" w:rsidP="00242C4D">
            <w:pPr>
              <w:rPr>
                <w:rFonts w:ascii="Arial" w:hAnsi="Arial" w:cs="Arial"/>
                <w:i/>
                <w:sz w:val="16"/>
                <w:szCs w:val="16"/>
              </w:rPr>
            </w:pPr>
            <w:r>
              <w:rPr>
                <w:rFonts w:ascii="Arial" w:hAnsi="Arial" w:cs="Arial"/>
                <w:i/>
                <w:sz w:val="16"/>
                <w:szCs w:val="16"/>
              </w:rPr>
              <w:t>dado que se conoce el</w:t>
            </w:r>
            <w:r w:rsidRPr="00016219">
              <w:rPr>
                <w:rFonts w:ascii="Arial" w:hAnsi="Arial" w:cs="Arial"/>
                <w:i/>
                <w:sz w:val="16"/>
                <w:szCs w:val="16"/>
              </w:rPr>
              <w:t xml:space="preserve"> Género</w:t>
            </w:r>
          </w:p>
          <w:p w:rsidR="00361FCE" w:rsidRPr="0078148C" w:rsidRDefault="00436907" w:rsidP="00902050">
            <w:pPr>
              <w:rPr>
                <w:rFonts w:ascii="Arial" w:hAnsi="Arial" w:cs="Arial"/>
                <w:i/>
                <w:sz w:val="16"/>
                <w:szCs w:val="16"/>
              </w:rPr>
            </w:pPr>
            <w:r>
              <w:rPr>
                <w:rFonts w:ascii="Arial" w:hAnsi="Arial" w:cs="Arial"/>
                <w:noProof/>
                <w:sz w:val="18"/>
                <w:szCs w:val="18"/>
                <w:lang w:eastAsia="es-EC"/>
              </w:rPr>
              <w:pict>
                <v:line id="_x0000_s1669" style="position:absolute;left:0;text-align:left;z-index:251616768;visibility:visible" from="259.75pt,10.75pt" to="259.7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" strokecolor="black [3213]"/>
              </w:pict>
            </w:r>
            <w:r w:rsidR="00E15B34">
              <w:rPr>
                <w:noProof/>
                <w:lang w:eastAsia="es-EC"/>
              </w:rPr>
              <w:t xml:space="preserve"> </w:t>
            </w:r>
            <w:r w:rsidR="00E15B34">
              <w:rPr>
                <w:noProof/>
                <w:lang w:eastAsia="es-EC"/>
              </w:rPr>
              <w:drawing>
                <wp:inline distT="0" distB="0" distL="0" distR="0" wp14:anchorId="2FA1074F" wp14:editId="4FA23D7C">
                  <wp:extent cx="4352925" cy="25200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c>
      </w:tr>
    </w:tbl>
    <w:p w:rsidR="00361FCE" w:rsidRPr="00E15B34" w:rsidRDefault="00361FCE" w:rsidP="00E15B34">
      <w:pPr>
        <w:pStyle w:val="Prrafodelista"/>
        <w:spacing w:line="276" w:lineRule="auto"/>
        <w:ind w:left="851"/>
        <w:jc w:val="both"/>
        <w:rPr>
          <w:rFonts w:ascii="Arial" w:hAnsi="Arial" w:cs="Arial"/>
          <w:sz w:val="17"/>
          <w:szCs w:val="17"/>
        </w:rPr>
      </w:pPr>
    </w:p>
    <w:p w:rsidR="00361FCE" w:rsidRPr="00E15B34" w:rsidRDefault="00361FCE" w:rsidP="00E15B34">
      <w:pPr>
        <w:pStyle w:val="Prrafodelista"/>
        <w:spacing w:line="276" w:lineRule="auto"/>
        <w:ind w:left="851"/>
        <w:jc w:val="both"/>
        <w:rPr>
          <w:rFonts w:ascii="Arial" w:hAnsi="Arial" w:cs="Arial"/>
          <w:sz w:val="17"/>
          <w:szCs w:val="17"/>
        </w:rPr>
      </w:pPr>
      <w:r w:rsidRPr="00E15B34">
        <w:rPr>
          <w:rFonts w:ascii="Arial" w:hAnsi="Arial" w:cs="Arial"/>
          <w:b/>
          <w:i/>
          <w:sz w:val="17"/>
          <w:szCs w:val="17"/>
        </w:rPr>
        <w:t>Fuente:</w:t>
      </w:r>
      <w:r w:rsidRPr="00E15B34">
        <w:rPr>
          <w:rFonts w:ascii="Arial" w:hAnsi="Arial" w:cs="Arial"/>
          <w:sz w:val="17"/>
          <w:szCs w:val="17"/>
        </w:rPr>
        <w:t xml:space="preserve"> </w:t>
      </w:r>
      <w:r w:rsidRPr="00E15B34">
        <w:rPr>
          <w:rFonts w:ascii="Arial" w:hAnsi="Arial" w:cs="Arial"/>
          <w:b/>
          <w:sz w:val="17"/>
          <w:szCs w:val="17"/>
        </w:rPr>
        <w:t xml:space="preserve">INEC </w:t>
      </w:r>
      <w:r w:rsidRPr="00E15B34">
        <w:rPr>
          <w:rFonts w:ascii="Arial" w:hAnsi="Arial" w:cs="Arial"/>
          <w:sz w:val="17"/>
          <w:szCs w:val="17"/>
        </w:rPr>
        <w:t>(2010), Base de Datos del VII Censo de Población y VI de Vivienda.</w:t>
      </w:r>
    </w:p>
    <w:p w:rsidR="00361FCE" w:rsidRPr="00E15B34" w:rsidRDefault="00361FCE" w:rsidP="00E15B34">
      <w:pPr>
        <w:pStyle w:val="Prrafodelista"/>
        <w:spacing w:line="276" w:lineRule="auto"/>
        <w:ind w:left="851"/>
        <w:jc w:val="both"/>
        <w:rPr>
          <w:rFonts w:ascii="Arial" w:hAnsi="Arial" w:cs="Arial"/>
          <w:sz w:val="17"/>
          <w:szCs w:val="17"/>
        </w:rPr>
      </w:pPr>
      <w:r w:rsidRPr="00E15B34">
        <w:rPr>
          <w:rFonts w:ascii="Arial" w:hAnsi="Arial" w:cs="Arial"/>
          <w:b/>
          <w:i/>
          <w:sz w:val="17"/>
          <w:szCs w:val="17"/>
        </w:rPr>
        <w:t>Elaborado por:</w:t>
      </w:r>
      <w:r w:rsidRPr="00E15B34">
        <w:rPr>
          <w:rFonts w:ascii="Arial" w:hAnsi="Arial" w:cs="Arial"/>
          <w:sz w:val="17"/>
          <w:szCs w:val="17"/>
        </w:rPr>
        <w:t xml:space="preserve"> Katherine Loor Valeriano</w:t>
      </w:r>
    </w:p>
    <w:p w:rsidR="00361FCE" w:rsidRPr="00E6026B" w:rsidRDefault="00E15B34" w:rsidP="00E15B34">
      <w:pPr>
        <w:pStyle w:val="Prrafodelista"/>
        <w:spacing w:line="480" w:lineRule="auto"/>
        <w:ind w:left="851"/>
        <w:jc w:val="both"/>
        <w:rPr>
          <w:rFonts w:ascii="Arial" w:hAnsi="Arial" w:cs="Arial"/>
        </w:rPr>
      </w:pPr>
      <w:r>
        <w:rPr>
          <w:rFonts w:ascii="Arial" w:hAnsi="Arial" w:cs="Arial"/>
        </w:rPr>
        <w:lastRenderedPageBreak/>
        <w:t>L</w:t>
      </w:r>
      <w:r w:rsidR="00361FCE">
        <w:rPr>
          <w:rFonts w:ascii="Arial" w:hAnsi="Arial" w:cs="Arial"/>
        </w:rPr>
        <w:t xml:space="preserve">os estadounidenses que tienen cargos como directores o gerentes tienen edades entre 20 y 85 años; los que trabajan como profesionales científicos e intelectuales son mayores de 20 años; los trabajadores nuevos tienen entre 10 y 60 años; quienes tienen ocupaciones militares, tienen entre 15 y 50 años; en la mayoría de grupos de edad se tienen personas que no declararon la ocupación que tienen exceptuando en el último grupo etario. Si consideramos los estadounidenses con edades comprendidas entre 25 y 30 años, tenemos que el 9.59% son directores o gerentes, el 45.68% profesionales científicos e intelectuales, el 9.77% son técnicos y profesionales del nivel medio, el 11.09% personal de apoyo administrativo; y, los restantes tienen otras ocupaciones. </w:t>
      </w:r>
      <w:r w:rsidR="00361FCE">
        <w:rPr>
          <w:rFonts w:ascii="Arial" w:hAnsi="Arial" w:cs="Arial"/>
          <w:i/>
        </w:rPr>
        <w:t>Véase Figura 4.78.</w:t>
      </w:r>
      <w:r w:rsidR="00361FCE" w:rsidRPr="00E6026B">
        <w:rPr>
          <w:rFonts w:ascii="Arial" w:hAnsi="Arial" w:cs="Arial"/>
        </w:rPr>
        <w:t xml:space="preserve"> </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E15B34">
        <w:trPr>
          <w:trHeight w:val="2211"/>
          <w:jc w:val="right"/>
        </w:trPr>
        <w:tc>
          <w:tcPr>
            <w:tcW w:w="7497" w:type="dxa"/>
          </w:tcPr>
          <w:p w:rsidR="00361FCE" w:rsidRDefault="00361FCE" w:rsidP="00902050">
            <w:pPr>
              <w:rPr>
                <w:rFonts w:ascii="Arial" w:hAnsi="Arial" w:cs="Arial"/>
                <w:b/>
                <w:sz w:val="16"/>
                <w:szCs w:val="16"/>
              </w:rPr>
            </w:pPr>
          </w:p>
          <w:p w:rsidR="00B14471" w:rsidRPr="00B14471" w:rsidRDefault="00B14471" w:rsidP="00B14471">
            <w:pPr>
              <w:pStyle w:val="Epgrafe"/>
              <w:rPr>
                <w:rFonts w:ascii="Arial" w:hAnsi="Arial" w:cs="Arial"/>
                <w:bCs w:val="0"/>
                <w:color w:val="auto"/>
                <w:sz w:val="16"/>
                <w:szCs w:val="16"/>
              </w:rPr>
            </w:pPr>
            <w:bookmarkStart w:id="665" w:name="_Toc341044050"/>
            <w:r w:rsidRPr="00B14471">
              <w:rPr>
                <w:rFonts w:ascii="Arial" w:hAnsi="Arial" w:cs="Arial"/>
                <w:bCs w:val="0"/>
                <w:color w:val="auto"/>
                <w:sz w:val="16"/>
                <w:szCs w:val="16"/>
              </w:rPr>
              <w:t>Figura 4.</w:t>
            </w:r>
            <w:r w:rsidR="00990535" w:rsidRPr="00B14471">
              <w:rPr>
                <w:rFonts w:ascii="Arial" w:hAnsi="Arial" w:cs="Arial"/>
                <w:bCs w:val="0"/>
                <w:color w:val="auto"/>
                <w:sz w:val="16"/>
                <w:szCs w:val="16"/>
              </w:rPr>
              <w:fldChar w:fldCharType="begin"/>
            </w:r>
            <w:r w:rsidRPr="00B14471">
              <w:rPr>
                <w:rFonts w:ascii="Arial" w:hAnsi="Arial" w:cs="Arial"/>
                <w:bCs w:val="0"/>
                <w:color w:val="auto"/>
                <w:sz w:val="16"/>
                <w:szCs w:val="16"/>
              </w:rPr>
              <w:instrText xml:space="preserve"> SEQ Figura_4. \* ARABIC </w:instrText>
            </w:r>
            <w:r w:rsidR="00990535" w:rsidRPr="00B14471">
              <w:rPr>
                <w:rFonts w:ascii="Arial" w:hAnsi="Arial" w:cs="Arial"/>
                <w:bCs w:val="0"/>
                <w:color w:val="auto"/>
                <w:sz w:val="16"/>
                <w:szCs w:val="16"/>
              </w:rPr>
              <w:fldChar w:fldCharType="separate"/>
            </w:r>
            <w:r w:rsidR="00A242E0">
              <w:rPr>
                <w:rFonts w:ascii="Arial" w:hAnsi="Arial" w:cs="Arial"/>
                <w:bCs w:val="0"/>
                <w:noProof/>
                <w:color w:val="auto"/>
                <w:sz w:val="16"/>
                <w:szCs w:val="16"/>
              </w:rPr>
              <w:t>78</w:t>
            </w:r>
            <w:bookmarkEnd w:id="665"/>
            <w:r w:rsidR="00990535" w:rsidRPr="00B14471">
              <w:rPr>
                <w:rFonts w:ascii="Arial" w:hAnsi="Arial" w:cs="Arial"/>
                <w:bCs w:val="0"/>
                <w:color w:val="auto"/>
                <w:sz w:val="16"/>
                <w:szCs w:val="16"/>
              </w:rPr>
              <w:fldChar w:fldCharType="end"/>
            </w:r>
          </w:p>
          <w:p w:rsidR="00242C4D" w:rsidRDefault="00242C4D" w:rsidP="00242C4D">
            <w:pPr>
              <w:rPr>
                <w:rFonts w:ascii="Arial" w:hAnsi="Arial" w:cs="Arial"/>
                <w:i/>
                <w:sz w:val="16"/>
                <w:szCs w:val="16"/>
              </w:rPr>
            </w:pPr>
            <w:r w:rsidRPr="00016219">
              <w:rPr>
                <w:rFonts w:ascii="Arial" w:hAnsi="Arial" w:cs="Arial"/>
                <w:b/>
                <w:i/>
                <w:sz w:val="16"/>
                <w:szCs w:val="16"/>
              </w:rPr>
              <w:t xml:space="preserve">Ecuador 2010: </w:t>
            </w:r>
            <w:r>
              <w:rPr>
                <w:rFonts w:ascii="Arial" w:hAnsi="Arial" w:cs="Arial"/>
                <w:i/>
                <w:sz w:val="16"/>
                <w:szCs w:val="16"/>
              </w:rPr>
              <w:t>Distribución condicional</w:t>
            </w:r>
            <w:r w:rsidRPr="00016219">
              <w:rPr>
                <w:rFonts w:ascii="Arial" w:hAnsi="Arial" w:cs="Arial"/>
                <w:i/>
                <w:sz w:val="16"/>
                <w:szCs w:val="16"/>
              </w:rPr>
              <w:t xml:space="preserve"> de la ocupación de los </w:t>
            </w:r>
            <w:r>
              <w:rPr>
                <w:rFonts w:ascii="Arial" w:hAnsi="Arial" w:cs="Arial"/>
                <w:b/>
                <w:i/>
                <w:sz w:val="16"/>
                <w:szCs w:val="16"/>
              </w:rPr>
              <w:t>estadounidenses</w:t>
            </w:r>
            <w:r w:rsidRPr="00016219">
              <w:rPr>
                <w:rFonts w:ascii="Arial" w:hAnsi="Arial" w:cs="Arial"/>
                <w:i/>
                <w:sz w:val="16"/>
                <w:szCs w:val="16"/>
              </w:rPr>
              <w:t xml:space="preserve"> </w:t>
            </w:r>
          </w:p>
          <w:p w:rsidR="00361FCE" w:rsidRDefault="00242C4D" w:rsidP="00242C4D">
            <w:pPr>
              <w:rPr>
                <w:rFonts w:ascii="Arial" w:hAnsi="Arial" w:cs="Arial"/>
                <w:i/>
                <w:sz w:val="16"/>
                <w:szCs w:val="16"/>
              </w:rPr>
            </w:pPr>
            <w:r>
              <w:rPr>
                <w:rFonts w:ascii="Arial" w:hAnsi="Arial" w:cs="Arial"/>
                <w:i/>
                <w:sz w:val="16"/>
                <w:szCs w:val="16"/>
              </w:rPr>
              <w:t>dado que se conoce el</w:t>
            </w:r>
            <w:r w:rsidRPr="00016219">
              <w:rPr>
                <w:rFonts w:ascii="Arial" w:hAnsi="Arial" w:cs="Arial"/>
                <w:i/>
                <w:sz w:val="16"/>
                <w:szCs w:val="16"/>
              </w:rPr>
              <w:t xml:space="preserve"> Grupo etario</w:t>
            </w:r>
          </w:p>
          <w:p w:rsidR="00361FCE" w:rsidRPr="0078148C" w:rsidRDefault="00361FCE" w:rsidP="00902050">
            <w:pPr>
              <w:rPr>
                <w:rFonts w:ascii="Arial" w:hAnsi="Arial" w:cs="Arial"/>
                <w:i/>
                <w:sz w:val="16"/>
                <w:szCs w:val="16"/>
              </w:rPr>
            </w:pPr>
            <w:r>
              <w:rPr>
                <w:noProof/>
                <w:lang w:eastAsia="es-EC"/>
              </w:rPr>
              <w:drawing>
                <wp:inline distT="0" distB="0" distL="0" distR="0" wp14:anchorId="275B3870" wp14:editId="7190E83E">
                  <wp:extent cx="4572000" cy="3168000"/>
                  <wp:effectExtent l="0" t="0" r="0" b="0"/>
                  <wp:docPr id="359" name="Gráfico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r>
    </w:tbl>
    <w:p w:rsidR="00361FCE" w:rsidRPr="00E15B34" w:rsidRDefault="00361FCE" w:rsidP="00E15B34">
      <w:pPr>
        <w:pStyle w:val="Prrafodelista"/>
        <w:spacing w:line="276" w:lineRule="auto"/>
        <w:ind w:left="851"/>
        <w:jc w:val="both"/>
        <w:rPr>
          <w:rFonts w:ascii="Arial" w:hAnsi="Arial" w:cs="Arial"/>
          <w:sz w:val="17"/>
          <w:szCs w:val="17"/>
        </w:rPr>
      </w:pPr>
    </w:p>
    <w:p w:rsidR="00361FCE" w:rsidRPr="00E15B34" w:rsidRDefault="00361FCE" w:rsidP="00E15B34">
      <w:pPr>
        <w:pStyle w:val="Prrafodelista"/>
        <w:spacing w:line="276" w:lineRule="auto"/>
        <w:ind w:left="851"/>
        <w:jc w:val="both"/>
        <w:rPr>
          <w:rFonts w:ascii="Arial" w:hAnsi="Arial" w:cs="Arial"/>
          <w:sz w:val="17"/>
          <w:szCs w:val="17"/>
        </w:rPr>
      </w:pPr>
      <w:r w:rsidRPr="00E15B34">
        <w:rPr>
          <w:rFonts w:ascii="Arial" w:hAnsi="Arial" w:cs="Arial"/>
          <w:b/>
          <w:i/>
          <w:sz w:val="17"/>
          <w:szCs w:val="17"/>
        </w:rPr>
        <w:t>Fuente:</w:t>
      </w:r>
      <w:r w:rsidRPr="00E15B34">
        <w:rPr>
          <w:rFonts w:ascii="Arial" w:hAnsi="Arial" w:cs="Arial"/>
          <w:sz w:val="17"/>
          <w:szCs w:val="17"/>
        </w:rPr>
        <w:t xml:space="preserve"> </w:t>
      </w:r>
      <w:r w:rsidRPr="00E15B34">
        <w:rPr>
          <w:rFonts w:ascii="Arial" w:hAnsi="Arial" w:cs="Arial"/>
          <w:b/>
          <w:sz w:val="17"/>
          <w:szCs w:val="17"/>
        </w:rPr>
        <w:t xml:space="preserve">INEC </w:t>
      </w:r>
      <w:r w:rsidRPr="00E15B34">
        <w:rPr>
          <w:rFonts w:ascii="Arial" w:hAnsi="Arial" w:cs="Arial"/>
          <w:sz w:val="17"/>
          <w:szCs w:val="17"/>
        </w:rPr>
        <w:t>(2010), Base de Datos del VII Censo de Población y VI de Vivienda.</w:t>
      </w:r>
    </w:p>
    <w:p w:rsidR="00361FCE" w:rsidRPr="00E15B34" w:rsidRDefault="00361FCE" w:rsidP="00E15B34">
      <w:pPr>
        <w:pStyle w:val="Prrafodelista"/>
        <w:spacing w:line="276" w:lineRule="auto"/>
        <w:ind w:left="851"/>
        <w:jc w:val="both"/>
        <w:rPr>
          <w:rFonts w:ascii="Arial" w:hAnsi="Arial" w:cs="Arial"/>
          <w:sz w:val="17"/>
          <w:szCs w:val="17"/>
        </w:rPr>
      </w:pPr>
      <w:r w:rsidRPr="00E15B34">
        <w:rPr>
          <w:rFonts w:ascii="Arial" w:hAnsi="Arial" w:cs="Arial"/>
          <w:b/>
          <w:i/>
          <w:sz w:val="17"/>
          <w:szCs w:val="17"/>
        </w:rPr>
        <w:t>Elaborado por:</w:t>
      </w:r>
      <w:r w:rsidRPr="00E15B34">
        <w:rPr>
          <w:rFonts w:ascii="Arial" w:hAnsi="Arial" w:cs="Arial"/>
          <w:sz w:val="17"/>
          <w:szCs w:val="17"/>
        </w:rPr>
        <w:t xml:space="preserve"> Katherine Loor Valeriano</w:t>
      </w:r>
    </w:p>
    <w:p w:rsidR="00361FCE" w:rsidRDefault="00361FCE" w:rsidP="00E15B34">
      <w:pPr>
        <w:pStyle w:val="Estilo42"/>
        <w:ind w:left="851" w:firstLine="0"/>
      </w:pPr>
      <w:bookmarkStart w:id="666" w:name="_Toc337135556"/>
      <w:bookmarkStart w:id="667" w:name="_Toc341040706"/>
      <w:r>
        <w:lastRenderedPageBreak/>
        <w:t>Tipo de Vivienda</w:t>
      </w:r>
      <w:bookmarkEnd w:id="666"/>
      <w:r w:rsidR="00E15B34">
        <w:t xml:space="preserve"> </w:t>
      </w:r>
      <w:r w:rsidR="00E15B34" w:rsidRPr="008912B6">
        <w:t>en las que reside algún</w:t>
      </w:r>
      <w:r w:rsidR="00E15B34">
        <w:t xml:space="preserve"> estadounidense</w:t>
      </w:r>
      <w:bookmarkEnd w:id="667"/>
    </w:p>
    <w:p w:rsidR="00361FCE" w:rsidRPr="006A6B46" w:rsidRDefault="00361FCE" w:rsidP="00E15B34">
      <w:pPr>
        <w:pStyle w:val="Prrafodelista"/>
        <w:spacing w:line="480" w:lineRule="auto"/>
        <w:ind w:left="851"/>
        <w:jc w:val="both"/>
        <w:rPr>
          <w:rFonts w:ascii="Arial" w:hAnsi="Arial" w:cs="Arial"/>
          <w:i/>
        </w:rPr>
      </w:pPr>
      <w:r>
        <w:rPr>
          <w:rFonts w:ascii="Arial" w:hAnsi="Arial" w:cs="Arial"/>
        </w:rPr>
        <w:t xml:space="preserve">Ya se trató acerca de la distribución espacial, algunas características sociodemográficas y económicas de los estadounidenses en el país, ahora veamos el tipo de vivienda en la cual residen; donde tenemos que el 54.57% de las viviendas son casas o villas, el 39.88% son departamentos en casas o edificios, el 3.59% son cuartos en casas de inquilinato, el 0.98% son otras viviendas particulares que pueden ser mediagua, rancho, covacha, choza u otra, el 0.93% son hoteles, pensiones, hostales, centros de rehabilitación u otras viviendas colectivas; y, el 0.04% son sin viviendas. </w:t>
      </w:r>
      <w:r>
        <w:rPr>
          <w:rFonts w:ascii="Arial" w:hAnsi="Arial" w:cs="Arial"/>
          <w:i/>
        </w:rPr>
        <w:t>Véase Figura 4.79.</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E15B34">
        <w:trPr>
          <w:trHeight w:val="2772"/>
          <w:jc w:val="right"/>
        </w:trPr>
        <w:tc>
          <w:tcPr>
            <w:tcW w:w="7497" w:type="dxa"/>
          </w:tcPr>
          <w:p w:rsidR="00361FCE" w:rsidRDefault="00361FCE" w:rsidP="00902050">
            <w:pPr>
              <w:rPr>
                <w:rFonts w:ascii="Arial" w:hAnsi="Arial" w:cs="Arial"/>
                <w:b/>
                <w:sz w:val="16"/>
                <w:szCs w:val="16"/>
              </w:rPr>
            </w:pPr>
          </w:p>
          <w:p w:rsidR="00B14471" w:rsidRPr="00B14471" w:rsidRDefault="00B14471" w:rsidP="00B14471">
            <w:pPr>
              <w:pStyle w:val="Epgrafe"/>
              <w:rPr>
                <w:rFonts w:ascii="Arial" w:hAnsi="Arial" w:cs="Arial"/>
                <w:bCs w:val="0"/>
                <w:color w:val="auto"/>
                <w:sz w:val="16"/>
                <w:szCs w:val="16"/>
              </w:rPr>
            </w:pPr>
            <w:bookmarkStart w:id="668" w:name="_Toc341044051"/>
            <w:r w:rsidRPr="00B14471">
              <w:rPr>
                <w:rFonts w:ascii="Arial" w:hAnsi="Arial" w:cs="Arial"/>
                <w:bCs w:val="0"/>
                <w:color w:val="auto"/>
                <w:sz w:val="16"/>
                <w:szCs w:val="16"/>
              </w:rPr>
              <w:t>Figura 4.</w:t>
            </w:r>
            <w:r w:rsidR="00990535" w:rsidRPr="00B14471">
              <w:rPr>
                <w:rFonts w:ascii="Arial" w:hAnsi="Arial" w:cs="Arial"/>
                <w:bCs w:val="0"/>
                <w:color w:val="auto"/>
                <w:sz w:val="16"/>
                <w:szCs w:val="16"/>
              </w:rPr>
              <w:fldChar w:fldCharType="begin"/>
            </w:r>
            <w:r w:rsidRPr="00B14471">
              <w:rPr>
                <w:rFonts w:ascii="Arial" w:hAnsi="Arial" w:cs="Arial"/>
                <w:bCs w:val="0"/>
                <w:color w:val="auto"/>
                <w:sz w:val="16"/>
                <w:szCs w:val="16"/>
              </w:rPr>
              <w:instrText xml:space="preserve"> SEQ Figura_4. \* ARABIC </w:instrText>
            </w:r>
            <w:r w:rsidR="00990535" w:rsidRPr="00B14471">
              <w:rPr>
                <w:rFonts w:ascii="Arial" w:hAnsi="Arial" w:cs="Arial"/>
                <w:bCs w:val="0"/>
                <w:color w:val="auto"/>
                <w:sz w:val="16"/>
                <w:szCs w:val="16"/>
              </w:rPr>
              <w:fldChar w:fldCharType="separate"/>
            </w:r>
            <w:r w:rsidR="00A242E0">
              <w:rPr>
                <w:rFonts w:ascii="Arial" w:hAnsi="Arial" w:cs="Arial"/>
                <w:bCs w:val="0"/>
                <w:noProof/>
                <w:color w:val="auto"/>
                <w:sz w:val="16"/>
                <w:szCs w:val="16"/>
              </w:rPr>
              <w:t>79</w:t>
            </w:r>
            <w:bookmarkEnd w:id="668"/>
            <w:r w:rsidR="00990535" w:rsidRPr="00B14471">
              <w:rPr>
                <w:rFonts w:ascii="Arial" w:hAnsi="Arial" w:cs="Arial"/>
                <w:bCs w:val="0"/>
                <w:color w:val="auto"/>
                <w:sz w:val="16"/>
                <w:szCs w:val="16"/>
              </w:rPr>
              <w:fldChar w:fldCharType="end"/>
            </w:r>
          </w:p>
          <w:p w:rsidR="00361FCE" w:rsidRDefault="00E15B34" w:rsidP="00902050">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Frecuencia Relativa del Tipo de Vivienda en la que reside al menos un </w:t>
            </w:r>
            <w:r>
              <w:rPr>
                <w:rFonts w:ascii="Arial" w:hAnsi="Arial" w:cs="Arial"/>
                <w:b/>
                <w:i/>
                <w:sz w:val="16"/>
                <w:szCs w:val="16"/>
              </w:rPr>
              <w:t>estadounidense</w:t>
            </w:r>
          </w:p>
          <w:p w:rsidR="00361FCE" w:rsidRPr="0078148C" w:rsidRDefault="00361FCE" w:rsidP="00902050">
            <w:pPr>
              <w:rPr>
                <w:rFonts w:ascii="Arial" w:hAnsi="Arial" w:cs="Arial"/>
                <w:i/>
                <w:sz w:val="16"/>
                <w:szCs w:val="16"/>
              </w:rPr>
            </w:pPr>
            <w:r>
              <w:rPr>
                <w:noProof/>
                <w:lang w:eastAsia="es-EC"/>
              </w:rPr>
              <w:drawing>
                <wp:inline distT="0" distB="0" distL="0" distR="0" wp14:anchorId="136F2CCF" wp14:editId="2B16C2EA">
                  <wp:extent cx="4438650" cy="1944000"/>
                  <wp:effectExtent l="0" t="0" r="0" b="0"/>
                  <wp:docPr id="361" name="Gráfico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c>
      </w:tr>
    </w:tbl>
    <w:p w:rsidR="00361FCE" w:rsidRPr="00E15B34" w:rsidRDefault="00361FCE" w:rsidP="00E15B34">
      <w:pPr>
        <w:pStyle w:val="Prrafodelista"/>
        <w:spacing w:line="276" w:lineRule="auto"/>
        <w:ind w:left="851"/>
        <w:jc w:val="both"/>
        <w:rPr>
          <w:rFonts w:ascii="Arial" w:hAnsi="Arial" w:cs="Arial"/>
          <w:sz w:val="17"/>
          <w:szCs w:val="17"/>
        </w:rPr>
      </w:pPr>
    </w:p>
    <w:p w:rsidR="00361FCE" w:rsidRPr="00E15B34" w:rsidRDefault="00361FCE" w:rsidP="00E15B34">
      <w:pPr>
        <w:pStyle w:val="Prrafodelista"/>
        <w:spacing w:line="276" w:lineRule="auto"/>
        <w:ind w:left="851"/>
        <w:jc w:val="both"/>
        <w:rPr>
          <w:rFonts w:ascii="Arial" w:hAnsi="Arial" w:cs="Arial"/>
          <w:sz w:val="17"/>
          <w:szCs w:val="17"/>
        </w:rPr>
      </w:pPr>
      <w:r w:rsidRPr="00E15B34">
        <w:rPr>
          <w:rFonts w:ascii="Arial" w:hAnsi="Arial" w:cs="Arial"/>
          <w:b/>
          <w:i/>
          <w:sz w:val="17"/>
          <w:szCs w:val="17"/>
        </w:rPr>
        <w:t>Fuente:</w:t>
      </w:r>
      <w:r w:rsidRPr="00E15B34">
        <w:rPr>
          <w:rFonts w:ascii="Arial" w:hAnsi="Arial" w:cs="Arial"/>
          <w:sz w:val="17"/>
          <w:szCs w:val="17"/>
        </w:rPr>
        <w:t xml:space="preserve"> </w:t>
      </w:r>
      <w:r w:rsidRPr="00E15B34">
        <w:rPr>
          <w:rFonts w:ascii="Arial" w:hAnsi="Arial" w:cs="Arial"/>
          <w:b/>
          <w:sz w:val="17"/>
          <w:szCs w:val="17"/>
        </w:rPr>
        <w:t xml:space="preserve">INEC </w:t>
      </w:r>
      <w:r w:rsidRPr="00E15B34">
        <w:rPr>
          <w:rFonts w:ascii="Arial" w:hAnsi="Arial" w:cs="Arial"/>
          <w:sz w:val="17"/>
          <w:szCs w:val="17"/>
        </w:rPr>
        <w:t>(2010), Base de Datos del VII Censo de Población y VI de Vivienda.</w:t>
      </w:r>
    </w:p>
    <w:p w:rsidR="00361FCE" w:rsidRDefault="00361FCE" w:rsidP="00E15B34">
      <w:pPr>
        <w:pStyle w:val="Prrafodelista"/>
        <w:spacing w:line="276" w:lineRule="auto"/>
        <w:ind w:left="851"/>
        <w:jc w:val="both"/>
        <w:rPr>
          <w:rFonts w:ascii="Arial" w:hAnsi="Arial" w:cs="Arial"/>
          <w:sz w:val="18"/>
          <w:szCs w:val="18"/>
        </w:rPr>
      </w:pPr>
      <w:r w:rsidRPr="00E15B34">
        <w:rPr>
          <w:rFonts w:ascii="Arial" w:hAnsi="Arial" w:cs="Arial"/>
          <w:b/>
          <w:i/>
          <w:sz w:val="17"/>
          <w:szCs w:val="17"/>
        </w:rPr>
        <w:t>Elaborado por:</w:t>
      </w:r>
      <w:r w:rsidRPr="00E15B34">
        <w:rPr>
          <w:rFonts w:ascii="Arial" w:hAnsi="Arial" w:cs="Arial"/>
          <w:sz w:val="17"/>
          <w:szCs w:val="17"/>
        </w:rPr>
        <w:t xml:space="preserve"> Katherine Loor Valeriano</w:t>
      </w:r>
    </w:p>
    <w:p w:rsidR="00361FCE" w:rsidRDefault="00361FCE" w:rsidP="00E15B34">
      <w:pPr>
        <w:pStyle w:val="Prrafodelista"/>
        <w:spacing w:line="480" w:lineRule="auto"/>
        <w:ind w:left="851"/>
        <w:jc w:val="both"/>
        <w:rPr>
          <w:rFonts w:ascii="Arial" w:hAnsi="Arial" w:cs="Arial"/>
        </w:rPr>
      </w:pPr>
    </w:p>
    <w:p w:rsidR="00361FCE" w:rsidRPr="001F6962" w:rsidRDefault="00361FCE" w:rsidP="00E15B34">
      <w:pPr>
        <w:pStyle w:val="Prrafodelista"/>
        <w:spacing w:line="480" w:lineRule="auto"/>
        <w:ind w:left="851"/>
        <w:jc w:val="both"/>
        <w:rPr>
          <w:rFonts w:ascii="Arial" w:hAnsi="Arial" w:cs="Arial"/>
          <w:i/>
        </w:rPr>
      </w:pPr>
      <w:r>
        <w:rPr>
          <w:rFonts w:ascii="Arial" w:hAnsi="Arial" w:cs="Arial"/>
        </w:rPr>
        <w:t xml:space="preserve">Otra variable interesante de estudiar está relacionado con la pertenencia de la vivienda, es decir si la misma es propia, prestada, regala, arrendada, </w:t>
      </w:r>
      <w:r>
        <w:rPr>
          <w:rFonts w:ascii="Arial" w:hAnsi="Arial" w:cs="Arial"/>
        </w:rPr>
        <w:lastRenderedPageBreak/>
        <w:t xml:space="preserve">anticresis, entre otros; en donde tenemos que el 50.44% de las viviendas son arrendadas, el 32.69% son propias y totalmente pagadas, el 8.57% son propias y las están pagando, el 4.66% son prestadas o cedidas, el 2.37% son regaladas, donadas, heredadas o por posesión, el 1.14% por servicios; y, el 0.13% en anticresis. Recordemos además, que tanto para colombianos, peruanos y estadounidenses la mayoría viven en casas arrendadas. </w:t>
      </w:r>
      <w:r>
        <w:rPr>
          <w:rFonts w:ascii="Arial" w:hAnsi="Arial" w:cs="Arial"/>
          <w:i/>
        </w:rPr>
        <w:t>Véase Figura 4.80.</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E15B34">
        <w:trPr>
          <w:trHeight w:val="2772"/>
          <w:jc w:val="right"/>
        </w:trPr>
        <w:tc>
          <w:tcPr>
            <w:tcW w:w="7497" w:type="dxa"/>
          </w:tcPr>
          <w:p w:rsidR="00361FCE" w:rsidRDefault="00361FCE" w:rsidP="00902050">
            <w:pPr>
              <w:rPr>
                <w:rFonts w:ascii="Arial" w:hAnsi="Arial" w:cs="Arial"/>
                <w:b/>
                <w:sz w:val="16"/>
                <w:szCs w:val="16"/>
              </w:rPr>
            </w:pPr>
          </w:p>
          <w:p w:rsidR="00B14471" w:rsidRPr="00B14471" w:rsidRDefault="00B14471" w:rsidP="00B14471">
            <w:pPr>
              <w:pStyle w:val="Epgrafe"/>
              <w:rPr>
                <w:rFonts w:ascii="Arial" w:hAnsi="Arial" w:cs="Arial"/>
                <w:bCs w:val="0"/>
                <w:color w:val="auto"/>
                <w:sz w:val="16"/>
                <w:szCs w:val="16"/>
              </w:rPr>
            </w:pPr>
            <w:bookmarkStart w:id="669" w:name="_Toc341044052"/>
            <w:r>
              <w:rPr>
                <w:rFonts w:ascii="Arial" w:hAnsi="Arial" w:cs="Arial"/>
                <w:bCs w:val="0"/>
                <w:color w:val="auto"/>
                <w:sz w:val="16"/>
                <w:szCs w:val="16"/>
              </w:rPr>
              <w:t>Figura 4.</w:t>
            </w:r>
            <w:r w:rsidR="00990535" w:rsidRPr="00B14471">
              <w:rPr>
                <w:rFonts w:ascii="Arial" w:hAnsi="Arial" w:cs="Arial"/>
                <w:bCs w:val="0"/>
                <w:color w:val="auto"/>
                <w:sz w:val="16"/>
                <w:szCs w:val="16"/>
              </w:rPr>
              <w:fldChar w:fldCharType="begin"/>
            </w:r>
            <w:r w:rsidRPr="00B14471">
              <w:rPr>
                <w:rFonts w:ascii="Arial" w:hAnsi="Arial" w:cs="Arial"/>
                <w:bCs w:val="0"/>
                <w:color w:val="auto"/>
                <w:sz w:val="16"/>
                <w:szCs w:val="16"/>
              </w:rPr>
              <w:instrText xml:space="preserve"> SEQ Figura_4. \* ARABIC </w:instrText>
            </w:r>
            <w:r w:rsidR="00990535" w:rsidRPr="00B14471">
              <w:rPr>
                <w:rFonts w:ascii="Arial" w:hAnsi="Arial" w:cs="Arial"/>
                <w:bCs w:val="0"/>
                <w:color w:val="auto"/>
                <w:sz w:val="16"/>
                <w:szCs w:val="16"/>
              </w:rPr>
              <w:fldChar w:fldCharType="separate"/>
            </w:r>
            <w:r w:rsidR="00A242E0">
              <w:rPr>
                <w:rFonts w:ascii="Arial" w:hAnsi="Arial" w:cs="Arial"/>
                <w:bCs w:val="0"/>
                <w:noProof/>
                <w:color w:val="auto"/>
                <w:sz w:val="16"/>
                <w:szCs w:val="16"/>
              </w:rPr>
              <w:t>80</w:t>
            </w:r>
            <w:bookmarkEnd w:id="669"/>
            <w:r w:rsidR="00990535" w:rsidRPr="00B14471">
              <w:rPr>
                <w:rFonts w:ascii="Arial" w:hAnsi="Arial" w:cs="Arial"/>
                <w:bCs w:val="0"/>
                <w:color w:val="auto"/>
                <w:sz w:val="16"/>
                <w:szCs w:val="16"/>
              </w:rPr>
              <w:fldChar w:fldCharType="end"/>
            </w:r>
          </w:p>
          <w:p w:rsidR="00E15B34" w:rsidRPr="008912B6" w:rsidRDefault="00E15B34" w:rsidP="00E15B34">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Frecuencia Relativa de pertenencia de la vivienda </w:t>
            </w:r>
          </w:p>
          <w:p w:rsidR="00361FCE" w:rsidRDefault="00E15B34" w:rsidP="00E15B34">
            <w:pPr>
              <w:rPr>
                <w:rFonts w:ascii="Arial" w:hAnsi="Arial" w:cs="Arial"/>
                <w:i/>
                <w:sz w:val="16"/>
                <w:szCs w:val="16"/>
              </w:rPr>
            </w:pPr>
            <w:r w:rsidRPr="008912B6">
              <w:rPr>
                <w:rFonts w:ascii="Arial" w:hAnsi="Arial" w:cs="Arial"/>
                <w:i/>
                <w:sz w:val="16"/>
                <w:szCs w:val="16"/>
              </w:rPr>
              <w:t xml:space="preserve">donde reside al menos un </w:t>
            </w:r>
            <w:r>
              <w:rPr>
                <w:rFonts w:ascii="Arial" w:hAnsi="Arial" w:cs="Arial"/>
                <w:b/>
                <w:i/>
                <w:sz w:val="16"/>
                <w:szCs w:val="16"/>
              </w:rPr>
              <w:t>estadounidense</w:t>
            </w:r>
          </w:p>
          <w:p w:rsidR="00361FCE" w:rsidRPr="0078148C" w:rsidRDefault="00361FCE" w:rsidP="00902050">
            <w:pPr>
              <w:rPr>
                <w:rFonts w:ascii="Arial" w:hAnsi="Arial" w:cs="Arial"/>
                <w:i/>
                <w:sz w:val="16"/>
                <w:szCs w:val="16"/>
              </w:rPr>
            </w:pPr>
            <w:r>
              <w:rPr>
                <w:noProof/>
                <w:lang w:eastAsia="es-EC"/>
              </w:rPr>
              <w:drawing>
                <wp:inline distT="0" distB="0" distL="0" distR="0" wp14:anchorId="2BD6C554" wp14:editId="695CEA59">
                  <wp:extent cx="4438650" cy="1908000"/>
                  <wp:effectExtent l="0" t="0" r="0" b="0"/>
                  <wp:docPr id="363" name="Gráfico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c>
      </w:tr>
    </w:tbl>
    <w:p w:rsidR="00361FCE" w:rsidRPr="00E15B34" w:rsidRDefault="00361FCE" w:rsidP="00E15B34">
      <w:pPr>
        <w:pStyle w:val="Prrafodelista"/>
        <w:spacing w:line="276" w:lineRule="auto"/>
        <w:ind w:left="851"/>
        <w:jc w:val="both"/>
        <w:rPr>
          <w:rFonts w:ascii="Arial" w:hAnsi="Arial" w:cs="Arial"/>
          <w:sz w:val="17"/>
          <w:szCs w:val="17"/>
        </w:rPr>
      </w:pPr>
    </w:p>
    <w:p w:rsidR="00361FCE" w:rsidRPr="00E15B34" w:rsidRDefault="00361FCE" w:rsidP="00E15B34">
      <w:pPr>
        <w:pStyle w:val="Prrafodelista"/>
        <w:spacing w:line="276" w:lineRule="auto"/>
        <w:ind w:left="851"/>
        <w:jc w:val="both"/>
        <w:rPr>
          <w:rFonts w:ascii="Arial" w:hAnsi="Arial" w:cs="Arial"/>
          <w:sz w:val="17"/>
          <w:szCs w:val="17"/>
        </w:rPr>
      </w:pPr>
      <w:r w:rsidRPr="00E15B34">
        <w:rPr>
          <w:rFonts w:ascii="Arial" w:hAnsi="Arial" w:cs="Arial"/>
          <w:b/>
          <w:i/>
          <w:sz w:val="17"/>
          <w:szCs w:val="17"/>
        </w:rPr>
        <w:t>Fuente:</w:t>
      </w:r>
      <w:r w:rsidRPr="00E15B34">
        <w:rPr>
          <w:rFonts w:ascii="Arial" w:hAnsi="Arial" w:cs="Arial"/>
          <w:sz w:val="17"/>
          <w:szCs w:val="17"/>
        </w:rPr>
        <w:t xml:space="preserve"> </w:t>
      </w:r>
      <w:r w:rsidRPr="00E15B34">
        <w:rPr>
          <w:rFonts w:ascii="Arial" w:hAnsi="Arial" w:cs="Arial"/>
          <w:b/>
          <w:sz w:val="17"/>
          <w:szCs w:val="17"/>
        </w:rPr>
        <w:t xml:space="preserve">INEC </w:t>
      </w:r>
      <w:r w:rsidRPr="00E15B34">
        <w:rPr>
          <w:rFonts w:ascii="Arial" w:hAnsi="Arial" w:cs="Arial"/>
          <w:sz w:val="17"/>
          <w:szCs w:val="17"/>
        </w:rPr>
        <w:t>(2010), Base de Datos del VII Censo de Población y VI de Vivienda.</w:t>
      </w:r>
    </w:p>
    <w:p w:rsidR="00361FCE" w:rsidRPr="00E15B34" w:rsidRDefault="00361FCE" w:rsidP="00E15B34">
      <w:pPr>
        <w:pStyle w:val="Prrafodelista"/>
        <w:spacing w:line="276" w:lineRule="auto"/>
        <w:ind w:left="851"/>
        <w:jc w:val="both"/>
        <w:rPr>
          <w:rFonts w:ascii="Arial" w:hAnsi="Arial" w:cs="Arial"/>
          <w:sz w:val="17"/>
          <w:szCs w:val="17"/>
        </w:rPr>
      </w:pPr>
      <w:r w:rsidRPr="00E15B34">
        <w:rPr>
          <w:rFonts w:ascii="Arial" w:hAnsi="Arial" w:cs="Arial"/>
          <w:b/>
          <w:i/>
          <w:sz w:val="17"/>
          <w:szCs w:val="17"/>
        </w:rPr>
        <w:t>Elaborado por:</w:t>
      </w:r>
      <w:r w:rsidRPr="00E15B34">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361FCE" w:rsidP="00E15B34">
      <w:pPr>
        <w:pStyle w:val="Estilo42"/>
        <w:ind w:left="1701" w:hanging="850"/>
      </w:pPr>
      <w:bookmarkStart w:id="670" w:name="_Toc337135557"/>
      <w:bookmarkStart w:id="671" w:name="_Toc341040707"/>
      <w:r>
        <w:t>Número de personas por dormitorio</w:t>
      </w:r>
      <w:bookmarkEnd w:id="670"/>
      <w:bookmarkEnd w:id="671"/>
    </w:p>
    <w:p w:rsidR="004B7FC2" w:rsidRDefault="00361FCE" w:rsidP="00E15B34">
      <w:pPr>
        <w:pStyle w:val="Prrafodelista"/>
        <w:spacing w:line="480" w:lineRule="auto"/>
        <w:ind w:left="851"/>
        <w:jc w:val="both"/>
        <w:rPr>
          <w:rFonts w:ascii="Arial" w:hAnsi="Arial" w:cs="Arial"/>
        </w:rPr>
      </w:pPr>
      <w:r>
        <w:rPr>
          <w:rFonts w:ascii="Arial" w:hAnsi="Arial" w:cs="Arial"/>
        </w:rPr>
        <w:t xml:space="preserve">En la </w:t>
      </w:r>
      <w:r>
        <w:rPr>
          <w:rFonts w:ascii="Arial" w:hAnsi="Arial" w:cs="Arial"/>
          <w:i/>
        </w:rPr>
        <w:t>Figura 4.81</w:t>
      </w:r>
      <w:r>
        <w:rPr>
          <w:rFonts w:ascii="Arial" w:hAnsi="Arial" w:cs="Arial"/>
        </w:rPr>
        <w:t>, podemos observar que en el 82.48% de las viviendas tienen dormitorios en los cuales corresponden menos de 2 personas por dormitorio, en el 15.28% hay entre 2 y 3 personas por dormitorio, en el 1.25% entre 4 y 5 personas, en el 0.04% más de 5 personas; y, en el 0.94% de las viviendas no hay dormitorios.</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B7FC2">
        <w:trPr>
          <w:trHeight w:val="2772"/>
          <w:jc w:val="right"/>
        </w:trPr>
        <w:tc>
          <w:tcPr>
            <w:tcW w:w="7497" w:type="dxa"/>
          </w:tcPr>
          <w:p w:rsidR="00361FCE" w:rsidRDefault="00361FCE" w:rsidP="00902050">
            <w:pPr>
              <w:rPr>
                <w:rFonts w:ascii="Arial" w:hAnsi="Arial" w:cs="Arial"/>
                <w:b/>
                <w:sz w:val="16"/>
                <w:szCs w:val="16"/>
              </w:rPr>
            </w:pPr>
          </w:p>
          <w:p w:rsidR="00B14471" w:rsidRPr="00B14471" w:rsidRDefault="00B14471" w:rsidP="00B14471">
            <w:pPr>
              <w:pStyle w:val="Epgrafe"/>
              <w:rPr>
                <w:rFonts w:ascii="Arial" w:hAnsi="Arial" w:cs="Arial"/>
                <w:bCs w:val="0"/>
                <w:color w:val="auto"/>
                <w:sz w:val="16"/>
                <w:szCs w:val="16"/>
              </w:rPr>
            </w:pPr>
            <w:bookmarkStart w:id="672" w:name="_Toc341044053"/>
            <w:r>
              <w:rPr>
                <w:rFonts w:ascii="Arial" w:hAnsi="Arial" w:cs="Arial"/>
                <w:bCs w:val="0"/>
                <w:color w:val="auto"/>
                <w:sz w:val="16"/>
                <w:szCs w:val="16"/>
              </w:rPr>
              <w:t>Figura 4.</w:t>
            </w:r>
            <w:r w:rsidR="00990535" w:rsidRPr="00B14471">
              <w:rPr>
                <w:rFonts w:ascii="Arial" w:hAnsi="Arial" w:cs="Arial"/>
                <w:bCs w:val="0"/>
                <w:color w:val="auto"/>
                <w:sz w:val="16"/>
                <w:szCs w:val="16"/>
              </w:rPr>
              <w:fldChar w:fldCharType="begin"/>
            </w:r>
            <w:r w:rsidRPr="00B14471">
              <w:rPr>
                <w:rFonts w:ascii="Arial" w:hAnsi="Arial" w:cs="Arial"/>
                <w:bCs w:val="0"/>
                <w:color w:val="auto"/>
                <w:sz w:val="16"/>
                <w:szCs w:val="16"/>
              </w:rPr>
              <w:instrText xml:space="preserve"> SEQ Figura_4. \* ARABIC </w:instrText>
            </w:r>
            <w:r w:rsidR="00990535" w:rsidRPr="00B14471">
              <w:rPr>
                <w:rFonts w:ascii="Arial" w:hAnsi="Arial" w:cs="Arial"/>
                <w:bCs w:val="0"/>
                <w:color w:val="auto"/>
                <w:sz w:val="16"/>
                <w:szCs w:val="16"/>
              </w:rPr>
              <w:fldChar w:fldCharType="separate"/>
            </w:r>
            <w:r w:rsidR="00A242E0">
              <w:rPr>
                <w:rFonts w:ascii="Arial" w:hAnsi="Arial" w:cs="Arial"/>
                <w:bCs w:val="0"/>
                <w:noProof/>
                <w:color w:val="auto"/>
                <w:sz w:val="16"/>
                <w:szCs w:val="16"/>
              </w:rPr>
              <w:t>81</w:t>
            </w:r>
            <w:bookmarkEnd w:id="672"/>
            <w:r w:rsidR="00990535" w:rsidRPr="00B14471">
              <w:rPr>
                <w:rFonts w:ascii="Arial" w:hAnsi="Arial" w:cs="Arial"/>
                <w:bCs w:val="0"/>
                <w:color w:val="auto"/>
                <w:sz w:val="16"/>
                <w:szCs w:val="16"/>
              </w:rPr>
              <w:fldChar w:fldCharType="end"/>
            </w:r>
          </w:p>
          <w:p w:rsidR="004B7FC2" w:rsidRPr="008912B6" w:rsidRDefault="004B7FC2" w:rsidP="004B7FC2">
            <w:pPr>
              <w:rPr>
                <w:rFonts w:ascii="Arial" w:hAnsi="Arial" w:cs="Arial"/>
                <w:i/>
                <w:sz w:val="16"/>
                <w:szCs w:val="16"/>
              </w:rPr>
            </w:pPr>
            <w:r w:rsidRPr="008912B6">
              <w:rPr>
                <w:rFonts w:ascii="Arial" w:hAnsi="Arial" w:cs="Arial"/>
                <w:b/>
                <w:i/>
                <w:sz w:val="16"/>
                <w:szCs w:val="16"/>
              </w:rPr>
              <w:t xml:space="preserve">Ecuador 2010: </w:t>
            </w:r>
            <w:r w:rsidRPr="008912B6">
              <w:rPr>
                <w:rFonts w:ascii="Arial" w:hAnsi="Arial" w:cs="Arial"/>
                <w:i/>
                <w:sz w:val="16"/>
                <w:szCs w:val="16"/>
              </w:rPr>
              <w:t xml:space="preserve">Frecuencia Relativa del Número de personas por dormitorio en la vivienda </w:t>
            </w:r>
          </w:p>
          <w:p w:rsidR="00361FCE" w:rsidRDefault="004B7FC2" w:rsidP="004B7FC2">
            <w:pPr>
              <w:rPr>
                <w:rFonts w:ascii="Arial" w:hAnsi="Arial" w:cs="Arial"/>
                <w:i/>
                <w:sz w:val="16"/>
                <w:szCs w:val="16"/>
              </w:rPr>
            </w:pPr>
            <w:r w:rsidRPr="008912B6">
              <w:rPr>
                <w:rFonts w:ascii="Arial" w:hAnsi="Arial" w:cs="Arial"/>
                <w:i/>
                <w:sz w:val="16"/>
                <w:szCs w:val="16"/>
              </w:rPr>
              <w:t xml:space="preserve">donde reside al menos un </w:t>
            </w:r>
            <w:r>
              <w:rPr>
                <w:rFonts w:ascii="Arial" w:hAnsi="Arial" w:cs="Arial"/>
                <w:b/>
                <w:i/>
                <w:sz w:val="16"/>
                <w:szCs w:val="16"/>
              </w:rPr>
              <w:t>estadounidenses</w:t>
            </w:r>
          </w:p>
          <w:p w:rsidR="00361FCE" w:rsidRPr="0078148C" w:rsidRDefault="00361FCE" w:rsidP="00902050">
            <w:pPr>
              <w:rPr>
                <w:rFonts w:ascii="Arial" w:hAnsi="Arial" w:cs="Arial"/>
                <w:i/>
                <w:sz w:val="16"/>
                <w:szCs w:val="16"/>
              </w:rPr>
            </w:pPr>
            <w:r>
              <w:rPr>
                <w:noProof/>
                <w:lang w:eastAsia="es-EC"/>
              </w:rPr>
              <w:drawing>
                <wp:inline distT="0" distB="0" distL="0" distR="0" wp14:anchorId="42806A52" wp14:editId="537B9DE9">
                  <wp:extent cx="4438650" cy="1656000"/>
                  <wp:effectExtent l="0" t="0" r="0" b="0"/>
                  <wp:docPr id="365" name="Gráfico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c>
      </w:tr>
    </w:tbl>
    <w:p w:rsidR="00361FCE" w:rsidRPr="004B7FC2" w:rsidRDefault="00361FCE" w:rsidP="004B7FC2">
      <w:pPr>
        <w:pStyle w:val="Prrafodelista"/>
        <w:spacing w:line="276" w:lineRule="auto"/>
        <w:ind w:left="851"/>
        <w:jc w:val="both"/>
        <w:rPr>
          <w:rFonts w:ascii="Arial" w:hAnsi="Arial" w:cs="Arial"/>
          <w:sz w:val="17"/>
          <w:szCs w:val="17"/>
        </w:rPr>
      </w:pPr>
    </w:p>
    <w:p w:rsidR="00361FCE" w:rsidRPr="004B7FC2" w:rsidRDefault="00361FCE" w:rsidP="004B7FC2">
      <w:pPr>
        <w:pStyle w:val="Prrafodelista"/>
        <w:spacing w:line="276" w:lineRule="auto"/>
        <w:ind w:left="851"/>
        <w:jc w:val="both"/>
        <w:rPr>
          <w:rFonts w:ascii="Arial" w:hAnsi="Arial" w:cs="Arial"/>
          <w:sz w:val="17"/>
          <w:szCs w:val="17"/>
        </w:rPr>
      </w:pPr>
      <w:r w:rsidRPr="004B7FC2">
        <w:rPr>
          <w:rFonts w:ascii="Arial" w:hAnsi="Arial" w:cs="Arial"/>
          <w:b/>
          <w:i/>
          <w:sz w:val="17"/>
          <w:szCs w:val="17"/>
        </w:rPr>
        <w:t>Fuente:</w:t>
      </w:r>
      <w:r w:rsidRPr="004B7FC2">
        <w:rPr>
          <w:rFonts w:ascii="Arial" w:hAnsi="Arial" w:cs="Arial"/>
          <w:sz w:val="17"/>
          <w:szCs w:val="17"/>
        </w:rPr>
        <w:t xml:space="preserve"> </w:t>
      </w:r>
      <w:r w:rsidRPr="004B7FC2">
        <w:rPr>
          <w:rFonts w:ascii="Arial" w:hAnsi="Arial" w:cs="Arial"/>
          <w:b/>
          <w:sz w:val="17"/>
          <w:szCs w:val="17"/>
        </w:rPr>
        <w:t xml:space="preserve">INEC </w:t>
      </w:r>
      <w:r w:rsidRPr="004B7FC2">
        <w:rPr>
          <w:rFonts w:ascii="Arial" w:hAnsi="Arial" w:cs="Arial"/>
          <w:sz w:val="17"/>
          <w:szCs w:val="17"/>
        </w:rPr>
        <w:t>(2010), Base de Datos del VII Censo de Población y VI de Vivienda.</w:t>
      </w:r>
    </w:p>
    <w:p w:rsidR="00361FCE" w:rsidRDefault="00361FCE" w:rsidP="004B7FC2">
      <w:pPr>
        <w:pStyle w:val="Prrafodelista"/>
        <w:spacing w:line="276" w:lineRule="auto"/>
        <w:ind w:left="851"/>
        <w:jc w:val="both"/>
        <w:rPr>
          <w:rFonts w:ascii="Arial" w:hAnsi="Arial" w:cs="Arial"/>
          <w:sz w:val="17"/>
          <w:szCs w:val="17"/>
        </w:rPr>
      </w:pPr>
      <w:r w:rsidRPr="004B7FC2">
        <w:rPr>
          <w:rFonts w:ascii="Arial" w:hAnsi="Arial" w:cs="Arial"/>
          <w:b/>
          <w:i/>
          <w:sz w:val="17"/>
          <w:szCs w:val="17"/>
        </w:rPr>
        <w:t>Elaborado por:</w:t>
      </w:r>
      <w:r w:rsidRPr="004B7FC2">
        <w:rPr>
          <w:rFonts w:ascii="Arial" w:hAnsi="Arial" w:cs="Arial"/>
          <w:sz w:val="17"/>
          <w:szCs w:val="17"/>
        </w:rPr>
        <w:t xml:space="preserve"> Katherine Loor Valeriano</w:t>
      </w:r>
    </w:p>
    <w:p w:rsidR="004B7FC2" w:rsidRPr="004B7FC2" w:rsidRDefault="004B7FC2" w:rsidP="004B7FC2">
      <w:pPr>
        <w:pStyle w:val="Prrafodelista"/>
        <w:spacing w:line="480" w:lineRule="auto"/>
        <w:ind w:left="851"/>
        <w:jc w:val="both"/>
        <w:rPr>
          <w:rFonts w:ascii="Arial" w:hAnsi="Arial" w:cs="Arial"/>
        </w:rPr>
      </w:pPr>
    </w:p>
    <w:p w:rsidR="00361FCE" w:rsidRDefault="00361FCE" w:rsidP="004B7FC2">
      <w:pPr>
        <w:pStyle w:val="Estilo41"/>
        <w:ind w:left="851"/>
      </w:pPr>
      <w:bookmarkStart w:id="673" w:name="_Toc337135558"/>
      <w:bookmarkStart w:id="674" w:name="_Toc341040708"/>
      <w:r>
        <w:t>Españoles residentes en Ecuador</w:t>
      </w:r>
      <w:bookmarkEnd w:id="673"/>
      <w:bookmarkEnd w:id="674"/>
    </w:p>
    <w:p w:rsidR="00361FCE" w:rsidRPr="005734B5" w:rsidRDefault="00361FCE" w:rsidP="004B7FC2">
      <w:pPr>
        <w:pStyle w:val="Estilo42"/>
        <w:ind w:left="1560" w:hanging="709"/>
      </w:pPr>
      <w:bookmarkStart w:id="675" w:name="_Toc337135559"/>
      <w:bookmarkStart w:id="676" w:name="_Toc341040709"/>
      <w:r>
        <w:t>Españoles por provincia de residencia habitual</w:t>
      </w:r>
      <w:bookmarkEnd w:id="675"/>
      <w:bookmarkEnd w:id="676"/>
    </w:p>
    <w:p w:rsidR="00361FCE" w:rsidRPr="00D23750" w:rsidRDefault="00361FCE" w:rsidP="004B7FC2">
      <w:pPr>
        <w:pStyle w:val="Prrafodelista"/>
        <w:spacing w:line="480" w:lineRule="auto"/>
        <w:ind w:left="851"/>
        <w:jc w:val="both"/>
        <w:rPr>
          <w:rFonts w:ascii="Arial" w:hAnsi="Arial" w:cs="Arial"/>
          <w:i/>
        </w:rPr>
      </w:pPr>
      <w:r>
        <w:rPr>
          <w:rFonts w:ascii="Arial" w:hAnsi="Arial" w:cs="Arial"/>
        </w:rPr>
        <w:t>La cuarta comunidad de extranjeros más grande que reside en el país es la de españoles, pues hasta noviembre de 2010 se registraron 13993 inmigrantes de esta nacionalidad que habitualmente viven en el Ecuador. En lo que respecta a la provincia de residencia habitual de estos extranjeros, tenemos que el 27.67% del total de españoles viven en Pichincha, el 16.52% en Guayas, el 10.24% en Loja, el 7.05% en El Oro; además, podemos notar que no hay un gran porcentaje de españoles que residan en Azuay, a diferencia de los estadounidenses y peruanos cuyo porcentaje de extranjeros de cada una de estas nacionalidades en esa provincia era alrededor del 23% y 22% respectivamente.</w:t>
      </w:r>
      <w:r w:rsidR="004B7FC2">
        <w:rPr>
          <w:rFonts w:ascii="Arial" w:hAnsi="Arial" w:cs="Arial"/>
        </w:rPr>
        <w:t xml:space="preserve"> E</w:t>
      </w:r>
      <w:r>
        <w:rPr>
          <w:rFonts w:ascii="Arial" w:hAnsi="Arial" w:cs="Arial"/>
        </w:rPr>
        <w:t xml:space="preserve">n otras provincias como Santo Domingo residen el 5.55% del total de españoles, en Manabí están el 4.67%, en Azuay el 3.59%, en Tungurahua el 3.41%; y, </w:t>
      </w:r>
      <w:r>
        <w:rPr>
          <w:rFonts w:ascii="Arial" w:hAnsi="Arial" w:cs="Arial"/>
        </w:rPr>
        <w:lastRenderedPageBreak/>
        <w:t xml:space="preserve">en Chimborazo el 3.19%. Nótese también, que el porcentaje de extranjeros de esta nacionalidad que residen en cada una de las provincias del Oriente oscila entre el 0.36% y 2.36%, siendo el 6.07% el porcentaje total de españoles que residen en esta región. Podemos notar además que en todas las provincias del país reside al menos un español, incluso en las Zonas no Delimitadas residen el 0.08% del total de españoles que habitualmente viven en Ecuador; y, también hay españoles en menores proporciones en provincias como Galápagos, Carchi, Orellana, Napo y Bolívar. Para más detalles </w:t>
      </w:r>
      <w:r>
        <w:rPr>
          <w:rFonts w:ascii="Arial" w:hAnsi="Arial" w:cs="Arial"/>
          <w:i/>
        </w:rPr>
        <w:t>véase Figura 4.82.</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B7FC2">
        <w:trPr>
          <w:trHeight w:val="4876"/>
          <w:jc w:val="right"/>
        </w:trPr>
        <w:tc>
          <w:tcPr>
            <w:tcW w:w="7497" w:type="dxa"/>
          </w:tcPr>
          <w:p w:rsidR="00361FCE" w:rsidRPr="00840530" w:rsidRDefault="00361FCE" w:rsidP="00902050">
            <w:pPr>
              <w:rPr>
                <w:rFonts w:ascii="Arial" w:hAnsi="Arial" w:cs="Arial"/>
                <w:sz w:val="16"/>
                <w:szCs w:val="16"/>
              </w:rPr>
            </w:pPr>
          </w:p>
          <w:p w:rsidR="006D100D" w:rsidRPr="006D100D" w:rsidRDefault="006D100D" w:rsidP="006D100D">
            <w:pPr>
              <w:pStyle w:val="Epgrafe"/>
              <w:rPr>
                <w:rFonts w:ascii="Arial" w:hAnsi="Arial" w:cs="Arial"/>
                <w:bCs w:val="0"/>
                <w:color w:val="auto"/>
                <w:sz w:val="16"/>
                <w:szCs w:val="16"/>
              </w:rPr>
            </w:pPr>
            <w:bookmarkStart w:id="677" w:name="_Toc341044054"/>
            <w:r>
              <w:rPr>
                <w:rFonts w:ascii="Arial" w:hAnsi="Arial" w:cs="Arial"/>
                <w:bCs w:val="0"/>
                <w:color w:val="auto"/>
                <w:sz w:val="16"/>
                <w:szCs w:val="16"/>
              </w:rPr>
              <w:t>Figura 4.</w:t>
            </w:r>
            <w:r w:rsidR="00990535" w:rsidRPr="006D100D">
              <w:rPr>
                <w:rFonts w:ascii="Arial" w:hAnsi="Arial" w:cs="Arial"/>
                <w:bCs w:val="0"/>
                <w:color w:val="auto"/>
                <w:sz w:val="16"/>
                <w:szCs w:val="16"/>
              </w:rPr>
              <w:fldChar w:fldCharType="begin"/>
            </w:r>
            <w:r w:rsidRPr="006D100D">
              <w:rPr>
                <w:rFonts w:ascii="Arial" w:hAnsi="Arial" w:cs="Arial"/>
                <w:bCs w:val="0"/>
                <w:color w:val="auto"/>
                <w:sz w:val="16"/>
                <w:szCs w:val="16"/>
              </w:rPr>
              <w:instrText xml:space="preserve"> SEQ Figura_4. \* ARABIC </w:instrText>
            </w:r>
            <w:r w:rsidR="00990535" w:rsidRPr="006D100D">
              <w:rPr>
                <w:rFonts w:ascii="Arial" w:hAnsi="Arial" w:cs="Arial"/>
                <w:bCs w:val="0"/>
                <w:color w:val="auto"/>
                <w:sz w:val="16"/>
                <w:szCs w:val="16"/>
              </w:rPr>
              <w:fldChar w:fldCharType="separate"/>
            </w:r>
            <w:r w:rsidR="00A242E0">
              <w:rPr>
                <w:rFonts w:ascii="Arial" w:hAnsi="Arial" w:cs="Arial"/>
                <w:bCs w:val="0"/>
                <w:noProof/>
                <w:color w:val="auto"/>
                <w:sz w:val="16"/>
                <w:szCs w:val="16"/>
              </w:rPr>
              <w:t>82</w:t>
            </w:r>
            <w:bookmarkEnd w:id="677"/>
            <w:r w:rsidR="00990535" w:rsidRPr="006D100D">
              <w:rPr>
                <w:rFonts w:ascii="Arial" w:hAnsi="Arial" w:cs="Arial"/>
                <w:bCs w:val="0"/>
                <w:color w:val="auto"/>
                <w:sz w:val="16"/>
                <w:szCs w:val="16"/>
              </w:rPr>
              <w:fldChar w:fldCharType="end"/>
            </w:r>
          </w:p>
          <w:p w:rsidR="00361FCE" w:rsidRDefault="004B7FC2"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Frecuencia Relativa de Provincia de residencia habitual de los </w:t>
            </w:r>
            <w:r>
              <w:rPr>
                <w:rFonts w:ascii="Arial" w:hAnsi="Arial" w:cs="Arial"/>
                <w:b/>
                <w:i/>
                <w:sz w:val="16"/>
                <w:szCs w:val="16"/>
              </w:rPr>
              <w:t>españoles</w:t>
            </w:r>
          </w:p>
          <w:p w:rsidR="00361FCE" w:rsidRPr="00660711" w:rsidRDefault="00361FCE" w:rsidP="00902050">
            <w:pPr>
              <w:rPr>
                <w:rFonts w:ascii="Arial" w:hAnsi="Arial" w:cs="Arial"/>
                <w:i/>
                <w:sz w:val="16"/>
                <w:szCs w:val="16"/>
              </w:rPr>
            </w:pPr>
            <w:r>
              <w:rPr>
                <w:noProof/>
                <w:lang w:eastAsia="es-EC"/>
              </w:rPr>
              <w:drawing>
                <wp:inline distT="0" distB="0" distL="0" distR="0" wp14:anchorId="3304B135" wp14:editId="560F19E4">
                  <wp:extent cx="4210050" cy="3914775"/>
                  <wp:effectExtent l="0" t="0" r="0" b="0"/>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c>
      </w:tr>
    </w:tbl>
    <w:p w:rsidR="00361FCE" w:rsidRPr="004B7FC2" w:rsidRDefault="00361FCE" w:rsidP="004B7FC2">
      <w:pPr>
        <w:pStyle w:val="Prrafodelista"/>
        <w:spacing w:line="276" w:lineRule="auto"/>
        <w:ind w:left="851"/>
        <w:jc w:val="both"/>
        <w:rPr>
          <w:rFonts w:ascii="Arial" w:hAnsi="Arial" w:cs="Arial"/>
          <w:sz w:val="17"/>
          <w:szCs w:val="17"/>
        </w:rPr>
      </w:pPr>
    </w:p>
    <w:p w:rsidR="00361FCE" w:rsidRPr="004B7FC2" w:rsidRDefault="00361FCE" w:rsidP="004B7FC2">
      <w:pPr>
        <w:pStyle w:val="Prrafodelista"/>
        <w:spacing w:line="276" w:lineRule="auto"/>
        <w:ind w:left="851"/>
        <w:jc w:val="both"/>
        <w:rPr>
          <w:rFonts w:ascii="Arial" w:hAnsi="Arial" w:cs="Arial"/>
          <w:sz w:val="17"/>
          <w:szCs w:val="17"/>
        </w:rPr>
      </w:pPr>
      <w:r w:rsidRPr="004B7FC2">
        <w:rPr>
          <w:rFonts w:ascii="Arial" w:hAnsi="Arial" w:cs="Arial"/>
          <w:b/>
          <w:i/>
          <w:sz w:val="17"/>
          <w:szCs w:val="17"/>
        </w:rPr>
        <w:t>Fuente:</w:t>
      </w:r>
      <w:r w:rsidRPr="004B7FC2">
        <w:rPr>
          <w:rFonts w:ascii="Arial" w:hAnsi="Arial" w:cs="Arial"/>
          <w:sz w:val="17"/>
          <w:szCs w:val="17"/>
        </w:rPr>
        <w:t xml:space="preserve"> </w:t>
      </w:r>
      <w:r w:rsidRPr="004B7FC2">
        <w:rPr>
          <w:rFonts w:ascii="Arial" w:hAnsi="Arial" w:cs="Arial"/>
          <w:b/>
          <w:sz w:val="17"/>
          <w:szCs w:val="17"/>
        </w:rPr>
        <w:t xml:space="preserve">INEC </w:t>
      </w:r>
      <w:r w:rsidRPr="004B7FC2">
        <w:rPr>
          <w:rFonts w:ascii="Arial" w:hAnsi="Arial" w:cs="Arial"/>
          <w:sz w:val="17"/>
          <w:szCs w:val="17"/>
        </w:rPr>
        <w:t>(2010), Base de Datos del VII Censo de Población y VI de Vivienda.</w:t>
      </w:r>
    </w:p>
    <w:p w:rsidR="00361FCE" w:rsidRDefault="00361FCE" w:rsidP="004B7FC2">
      <w:pPr>
        <w:pStyle w:val="Prrafodelista"/>
        <w:spacing w:line="276" w:lineRule="auto"/>
        <w:ind w:left="851"/>
        <w:jc w:val="both"/>
        <w:rPr>
          <w:rFonts w:ascii="Arial" w:hAnsi="Arial" w:cs="Arial"/>
          <w:sz w:val="18"/>
          <w:szCs w:val="18"/>
        </w:rPr>
      </w:pPr>
      <w:r w:rsidRPr="004B7FC2">
        <w:rPr>
          <w:rFonts w:ascii="Arial" w:hAnsi="Arial" w:cs="Arial"/>
          <w:b/>
          <w:i/>
          <w:sz w:val="17"/>
          <w:szCs w:val="17"/>
        </w:rPr>
        <w:t>Elaborado por:</w:t>
      </w:r>
      <w:r w:rsidRPr="004B7FC2">
        <w:rPr>
          <w:rFonts w:ascii="Arial" w:hAnsi="Arial" w:cs="Arial"/>
          <w:sz w:val="17"/>
          <w:szCs w:val="17"/>
        </w:rPr>
        <w:t xml:space="preserve"> Katherine Loor Valeriano</w:t>
      </w:r>
    </w:p>
    <w:p w:rsidR="00361FCE" w:rsidRPr="005734B5" w:rsidRDefault="00361FCE" w:rsidP="004B7FC2">
      <w:pPr>
        <w:pStyle w:val="Estilo42"/>
        <w:ind w:left="851" w:firstLine="0"/>
      </w:pPr>
      <w:bookmarkStart w:id="678" w:name="_Toc337135560"/>
      <w:bookmarkStart w:id="679" w:name="_Toc341040710"/>
      <w:r>
        <w:lastRenderedPageBreak/>
        <w:t>Tasa de inmigración española por cada 1000 habitantes por Provincia de residencia habitual</w:t>
      </w:r>
      <w:bookmarkEnd w:id="678"/>
      <w:bookmarkEnd w:id="679"/>
    </w:p>
    <w:p w:rsidR="00361FCE" w:rsidRDefault="00361FCE" w:rsidP="004B7FC2">
      <w:pPr>
        <w:pStyle w:val="Prrafodelista"/>
        <w:spacing w:line="480" w:lineRule="auto"/>
        <w:ind w:left="851"/>
        <w:jc w:val="both"/>
        <w:rPr>
          <w:rFonts w:ascii="Arial" w:hAnsi="Arial" w:cs="Arial"/>
          <w:color w:val="000000"/>
        </w:rPr>
      </w:pPr>
      <w:r>
        <w:rPr>
          <w:rFonts w:ascii="Arial" w:hAnsi="Arial" w:cs="Arial"/>
        </w:rPr>
        <w:t xml:space="preserve">Ya conocimos la distribución porcentual del total de españoles en cada una de las provincias del Ecuador, ahora veamos cual es la tasa de inmigración española por cada 1000 habitantes a nivel provincial. En la </w:t>
      </w:r>
      <w:r>
        <w:rPr>
          <w:rFonts w:ascii="Arial" w:hAnsi="Arial" w:cs="Arial"/>
          <w:i/>
        </w:rPr>
        <w:t>Figura 4.83</w:t>
      </w:r>
      <w:r>
        <w:rPr>
          <w:rFonts w:ascii="Arial" w:hAnsi="Arial" w:cs="Arial"/>
        </w:rPr>
        <w:t xml:space="preserve">, podemos notar que la tasa de inmigración española toma valores mayores para las provincias del sur del país, así como también para algunas provincias del Oriente y de la Sierra, mientras que en lo que respecta a provincias de la Costa y Galápagos en todos los casos los colores del cual están sombreados son tenues representando por lo tanto las menores tasas de inmigración de extranjeros de esta nacionalidad. </w:t>
      </w:r>
    </w:p>
    <w:p w:rsidR="00361FCE" w:rsidRDefault="00361FCE" w:rsidP="004B7FC2">
      <w:pPr>
        <w:pStyle w:val="Prrafodelista"/>
        <w:spacing w:line="480" w:lineRule="auto"/>
        <w:ind w:left="851"/>
        <w:jc w:val="both"/>
        <w:rPr>
          <w:rFonts w:ascii="Arial" w:hAnsi="Arial" w:cs="Arial"/>
          <w:color w:val="000000"/>
        </w:rPr>
      </w:pPr>
    </w:p>
    <w:p w:rsidR="00361FCE" w:rsidRDefault="00361FCE" w:rsidP="004B7FC2">
      <w:pPr>
        <w:pStyle w:val="Prrafodelista"/>
        <w:spacing w:line="480" w:lineRule="auto"/>
        <w:ind w:left="851"/>
        <w:jc w:val="both"/>
        <w:rPr>
          <w:rFonts w:ascii="Arial" w:hAnsi="Arial" w:cs="Arial"/>
          <w:color w:val="000000"/>
        </w:rPr>
      </w:pPr>
      <w:r>
        <w:rPr>
          <w:rFonts w:ascii="Arial" w:hAnsi="Arial" w:cs="Arial"/>
          <w:color w:val="000000"/>
        </w:rPr>
        <w:t>Para las provincias de la Costa, tenemos que en Esmeraldas hay 0.56 españoles por cada 1000 residentes en esa provincia, en Manabí es menor la tasa pues hay 0.48 extranjeros de dicha nacionalidad por cada 1000 habitantes, en Los Ríos en cambio hay 0.37 españoles por cada 1000 habitantes, en Guayas a pesar de ser la provincia en donde viven el segundo porcentaje más alto de españoles podemos notar que el valor que toma la tasa es bajo respecto a la tasa de otras provincias, pues hay 0.64 inmigrantes nacidos en España por cada 1000 residentes; y, de las provincias de esta región El Oro es la que tiene la tasa más alta de inmigración española pues hay 1.65 personas de esta nacionalidad por cada 1000 residentes de la provincia.</w:t>
      </w:r>
    </w:p>
    <w:p w:rsidR="00361FCE" w:rsidRPr="00D23E90" w:rsidRDefault="004B7FC2" w:rsidP="004B7FC2">
      <w:pPr>
        <w:pStyle w:val="Prrafodelista"/>
        <w:spacing w:line="480" w:lineRule="auto"/>
        <w:ind w:left="851"/>
        <w:jc w:val="both"/>
        <w:rPr>
          <w:rFonts w:ascii="Arial" w:hAnsi="Arial" w:cs="Arial"/>
          <w:i/>
        </w:rPr>
      </w:pPr>
      <w:r>
        <w:rPr>
          <w:rFonts w:ascii="Arial" w:hAnsi="Arial" w:cs="Arial"/>
          <w:color w:val="000000"/>
        </w:rPr>
        <w:lastRenderedPageBreak/>
        <w:t>E</w:t>
      </w:r>
      <w:r w:rsidR="00361FCE">
        <w:rPr>
          <w:rFonts w:ascii="Arial" w:hAnsi="Arial" w:cs="Arial"/>
          <w:color w:val="000000"/>
        </w:rPr>
        <w:t xml:space="preserve">n provincias como Pichincha que en párrafos anteriores se mencionó es la provincia donde residen el mayor porcentaje de extranjeros de esta nacionalidad la tasa de inmigración toma un valor de 1.50 españoles por cada 1000 residentes en esta provincia, incluso en Santo Domingo hay 2.12 extranjeros de dicha nacionalidad por cada 1000 habitantes. Y de las provincias del Oriente, tenemos que en Zamora Chinchipe viven 3.65 españoles por cada 1000 habitantes, en Morona Santiago y Pastaza residen 1.45 y 1.40 extranjeros de esta nacionalidad por cada 1000 habitantes respectivamente; y, la menor tasa de inmigración es la de Orellana en donde hay 0.37 españoles por cada 1000 residentes. Para más detalles </w:t>
      </w:r>
      <w:r w:rsidR="00361FCE">
        <w:rPr>
          <w:rFonts w:ascii="Arial" w:hAnsi="Arial" w:cs="Arial"/>
          <w:i/>
          <w:color w:val="000000"/>
        </w:rPr>
        <w:t>véase Figura 4.83.</w:t>
      </w:r>
    </w:p>
    <w:tbl>
      <w:tblPr>
        <w:tblStyle w:val="Tablaconcuadrcula"/>
        <w:tblW w:w="0" w:type="auto"/>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7535"/>
      </w:tblGrid>
      <w:tr w:rsidR="00361FCE" w:rsidRPr="00840530" w:rsidTr="004B7FC2">
        <w:trPr>
          <w:trHeight w:val="5046"/>
          <w:jc w:val="right"/>
        </w:trPr>
        <w:tc>
          <w:tcPr>
            <w:tcW w:w="7535" w:type="dxa"/>
          </w:tcPr>
          <w:p w:rsidR="00361FCE" w:rsidRPr="00840530" w:rsidRDefault="00361FCE" w:rsidP="00902050">
            <w:pPr>
              <w:rPr>
                <w:rFonts w:ascii="Arial" w:hAnsi="Arial" w:cs="Arial"/>
                <w:sz w:val="16"/>
                <w:szCs w:val="16"/>
              </w:rPr>
            </w:pPr>
          </w:p>
          <w:p w:rsidR="006D100D" w:rsidRPr="006D100D" w:rsidRDefault="006D100D" w:rsidP="006D100D">
            <w:pPr>
              <w:pStyle w:val="Epgrafe"/>
              <w:rPr>
                <w:rFonts w:ascii="Arial" w:hAnsi="Arial" w:cs="Arial"/>
                <w:bCs w:val="0"/>
                <w:color w:val="auto"/>
                <w:sz w:val="16"/>
                <w:szCs w:val="16"/>
              </w:rPr>
            </w:pPr>
            <w:bookmarkStart w:id="680" w:name="_Toc341044055"/>
            <w:r>
              <w:rPr>
                <w:rFonts w:ascii="Arial" w:hAnsi="Arial" w:cs="Arial"/>
                <w:bCs w:val="0"/>
                <w:color w:val="auto"/>
                <w:sz w:val="16"/>
                <w:szCs w:val="16"/>
              </w:rPr>
              <w:t>Figura 4.</w:t>
            </w:r>
            <w:r w:rsidR="00990535" w:rsidRPr="006D100D">
              <w:rPr>
                <w:rFonts w:ascii="Arial" w:hAnsi="Arial" w:cs="Arial"/>
                <w:bCs w:val="0"/>
                <w:color w:val="auto"/>
                <w:sz w:val="16"/>
                <w:szCs w:val="16"/>
              </w:rPr>
              <w:fldChar w:fldCharType="begin"/>
            </w:r>
            <w:r w:rsidRPr="006D100D">
              <w:rPr>
                <w:rFonts w:ascii="Arial" w:hAnsi="Arial" w:cs="Arial"/>
                <w:bCs w:val="0"/>
                <w:color w:val="auto"/>
                <w:sz w:val="16"/>
                <w:szCs w:val="16"/>
              </w:rPr>
              <w:instrText xml:space="preserve"> SEQ Figura_4. \* ARABIC </w:instrText>
            </w:r>
            <w:r w:rsidR="00990535" w:rsidRPr="006D100D">
              <w:rPr>
                <w:rFonts w:ascii="Arial" w:hAnsi="Arial" w:cs="Arial"/>
                <w:bCs w:val="0"/>
                <w:color w:val="auto"/>
                <w:sz w:val="16"/>
                <w:szCs w:val="16"/>
              </w:rPr>
              <w:fldChar w:fldCharType="separate"/>
            </w:r>
            <w:r w:rsidR="00A242E0">
              <w:rPr>
                <w:rFonts w:ascii="Arial" w:hAnsi="Arial" w:cs="Arial"/>
                <w:bCs w:val="0"/>
                <w:noProof/>
                <w:color w:val="auto"/>
                <w:sz w:val="16"/>
                <w:szCs w:val="16"/>
              </w:rPr>
              <w:t>83</w:t>
            </w:r>
            <w:bookmarkEnd w:id="680"/>
            <w:r w:rsidR="00990535" w:rsidRPr="006D100D">
              <w:rPr>
                <w:rFonts w:ascii="Arial" w:hAnsi="Arial" w:cs="Arial"/>
                <w:bCs w:val="0"/>
                <w:color w:val="auto"/>
                <w:sz w:val="16"/>
                <w:szCs w:val="16"/>
              </w:rPr>
              <w:fldChar w:fldCharType="end"/>
            </w:r>
          </w:p>
          <w:p w:rsidR="00361FCE" w:rsidRDefault="004B7FC2" w:rsidP="004B7FC2">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Tasa de </w:t>
            </w:r>
            <w:r w:rsidRPr="00016219">
              <w:rPr>
                <w:rFonts w:ascii="Arial" w:hAnsi="Arial" w:cs="Arial"/>
                <w:b/>
                <w:i/>
                <w:sz w:val="16"/>
                <w:szCs w:val="16"/>
              </w:rPr>
              <w:t xml:space="preserve">Inmigración </w:t>
            </w:r>
            <w:r>
              <w:rPr>
                <w:rFonts w:ascii="Arial" w:hAnsi="Arial" w:cs="Arial"/>
                <w:b/>
                <w:i/>
                <w:sz w:val="16"/>
                <w:szCs w:val="16"/>
              </w:rPr>
              <w:t>española</w:t>
            </w:r>
            <w:r w:rsidRPr="00016219">
              <w:rPr>
                <w:rFonts w:ascii="Arial" w:hAnsi="Arial" w:cs="Arial"/>
                <w:i/>
                <w:sz w:val="16"/>
                <w:szCs w:val="16"/>
              </w:rPr>
              <w:t xml:space="preserve"> por cada 1000 residentes a nivel Provincial</w:t>
            </w:r>
          </w:p>
          <w:p w:rsidR="00361FCE" w:rsidRPr="00660711" w:rsidRDefault="00436907" w:rsidP="00902050">
            <w:pPr>
              <w:rPr>
                <w:rFonts w:ascii="Arial" w:hAnsi="Arial" w:cs="Arial"/>
                <w:i/>
                <w:sz w:val="16"/>
                <w:szCs w:val="16"/>
              </w:rPr>
            </w:pPr>
            <w:r>
              <w:rPr>
                <w:rFonts w:ascii="Arial" w:hAnsi="Arial" w:cs="Arial"/>
                <w:i/>
                <w:noProof/>
                <w:sz w:val="16"/>
                <w:szCs w:val="16"/>
                <w:lang w:eastAsia="es-EC"/>
              </w:rPr>
              <w:pict>
                <v:shape id="_x0000_s1671" type="#_x0000_t202" style="position:absolute;left:0;text-align:left;margin-left:196.2pt;margin-top:91.55pt;width:42pt;height:16.5pt;rotation:-5689846fd;z-index:251618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AcMYA&#10;AADcAAAADwAAAGRycy9kb3ducmV2LnhtbESPS2sCQRCE74L/YWjBS4izGohxdRQVxODFR+LBW7vT&#10;+8CdnmVn1PXfO4GAx6KqvqIms8aU4ka1Kywr6PciEMSJ1QVnCn5/Vu9fIJxH1lhaJgUPcjCbtlsT&#10;jLW9855uB5+JAGEXo4Lc+yqW0iU5GXQ9WxEHL7W1QR9knUld4z3ATSkHUfQpDRYcFnKsaJlTcjlc&#10;jYLd8mNxPr5tNil6vI5Oi3Rt5VapbqeZj0F4avwr/N/+1goGoyH8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QAcMYAAADcAAAADwAAAAAAAAAAAAAAAACYAgAAZHJz&#10;L2Rvd25yZXYueG1sUEsFBgAAAAAEAAQA9QAAAIsDAAAAAA==&#10;" filled="f" stroked="f" strokeweight=".5pt">
                  <v:textbox style="layout-flow:vertical;mso-layout-flow-alt:bottom-to-top;mso-next-textbox:#_x0000_s1671">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0.36</w:t>
                        </w:r>
                      </w:p>
                    </w:txbxContent>
                  </v:textbox>
                </v:shape>
              </w:pict>
            </w:r>
            <w:r>
              <w:rPr>
                <w:rFonts w:ascii="Arial" w:hAnsi="Arial" w:cs="Arial"/>
                <w:i/>
                <w:noProof/>
                <w:sz w:val="16"/>
                <w:szCs w:val="16"/>
                <w:lang w:eastAsia="es-EC"/>
              </w:rPr>
              <w:pict>
                <v:shape id="_x0000_s1670" type="#_x0000_t202" style="position:absolute;left:0;text-align:left;margin-left:192.45pt;margin-top:138.8pt;width:42pt;height:16.5pt;z-index:251617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style="mso-next-textbox:#_x0000_s1670">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0.71</w:t>
                        </w:r>
                      </w:p>
                    </w:txbxContent>
                  </v:textbox>
                </v:shape>
              </w:pict>
            </w:r>
            <w:r>
              <w:rPr>
                <w:rFonts w:ascii="Arial" w:hAnsi="Arial" w:cs="Arial"/>
                <w:i/>
                <w:noProof/>
                <w:sz w:val="16"/>
                <w:szCs w:val="16"/>
                <w:lang w:eastAsia="es-EC"/>
              </w:rPr>
              <w:pict>
                <v:shape id="_x0000_s1672" type="#_x0000_t202" style="position:absolute;left:0;text-align:left;margin-left:199.45pt;margin-top:125.3pt;width:42pt;height:14.25pt;z-index:251619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style="mso-next-textbox:#_x0000_s1672">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1.34</w:t>
                        </w:r>
                      </w:p>
                    </w:txbxContent>
                  </v:textbox>
                </v:shape>
              </w:pict>
            </w:r>
            <w:r>
              <w:rPr>
                <w:rFonts w:ascii="Arial" w:hAnsi="Arial" w:cs="Arial"/>
                <w:i/>
                <w:noProof/>
                <w:sz w:val="16"/>
                <w:szCs w:val="16"/>
                <w:lang w:eastAsia="es-EC"/>
              </w:rPr>
              <w:pict>
                <v:shape id="_x0000_s1675" type="#_x0000_t202" style="position:absolute;left:0;text-align:left;margin-left:206.95pt;margin-top:105.05pt;width:42pt;height:16.5pt;z-index:251622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style="mso-next-textbox:#_x0000_s1675">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0.97</w:t>
                        </w:r>
                      </w:p>
                    </w:txbxContent>
                  </v:textbox>
                </v:shape>
              </w:pict>
            </w:r>
            <w:r>
              <w:rPr>
                <w:rFonts w:ascii="Arial" w:hAnsi="Arial" w:cs="Arial"/>
                <w:i/>
                <w:noProof/>
                <w:sz w:val="16"/>
                <w:szCs w:val="16"/>
                <w:lang w:eastAsia="es-EC"/>
              </w:rPr>
              <w:pict>
                <v:shape id="_x0000_s1687" type="#_x0000_t202" style="position:absolute;left:0;text-align:left;margin-left:214.45pt;margin-top:85.75pt;width:42pt;height:16.5pt;z-index:251635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style="mso-next-textbox:#_x0000_s1687">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0.95</w:t>
                        </w:r>
                      </w:p>
                    </w:txbxContent>
                  </v:textbox>
                </v:shape>
              </w:pict>
            </w:r>
            <w:r>
              <w:rPr>
                <w:rFonts w:ascii="Arial" w:hAnsi="Arial" w:cs="Arial"/>
                <w:i/>
                <w:noProof/>
                <w:sz w:val="16"/>
                <w:szCs w:val="16"/>
                <w:lang w:eastAsia="es-EC"/>
              </w:rPr>
              <w:pict>
                <v:shape id="_x0000_s1674" type="#_x0000_t202" style="position:absolute;left:0;text-align:left;margin-left:203.55pt;margin-top:74.45pt;width:42pt;height:16.5pt;z-index:251621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style="mso-next-textbox:#_x0000_s1674">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0.47</w:t>
                        </w:r>
                      </w:p>
                    </w:txbxContent>
                  </v:textbox>
                </v:shape>
              </w:pict>
            </w:r>
            <w:r>
              <w:rPr>
                <w:rFonts w:ascii="Arial" w:hAnsi="Arial" w:cs="Arial"/>
                <w:i/>
                <w:noProof/>
                <w:sz w:val="16"/>
                <w:szCs w:val="16"/>
                <w:lang w:eastAsia="es-EC"/>
              </w:rPr>
              <w:pict>
                <v:shape id="_x0000_s1686" type="#_x0000_t202" style="position:absolute;left:0;text-align:left;margin-left:214.05pt;margin-top:53.85pt;width:42pt;height:16.5pt;z-index:251634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style="mso-next-textbox:#_x0000_s1686">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1.50</w:t>
                        </w:r>
                      </w:p>
                    </w:txbxContent>
                  </v:textbox>
                </v:shape>
              </w:pict>
            </w:r>
            <w:r>
              <w:rPr>
                <w:rFonts w:ascii="Arial" w:hAnsi="Arial" w:cs="Arial"/>
                <w:i/>
                <w:noProof/>
                <w:sz w:val="16"/>
                <w:szCs w:val="16"/>
                <w:lang w:eastAsia="es-EC"/>
              </w:rPr>
              <w:pict>
                <v:shape id="_x0000_s1691" type="#_x0000_t202" style="position:absolute;left:0;text-align:left;margin-left:193.45pt;margin-top:56.05pt;width:42pt;height:16.5pt;z-index:251639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9scA&#10;AADcAAAADwAAAGRycy9kb3ducmV2LnhtbESPzWvCQBTE70L/h+UVetNNU1o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PbHAAAA3AAAAA8AAAAAAAAAAAAAAAAAmAIAAGRy&#10;cy9kb3ducmV2LnhtbFBLBQYAAAAABAAEAPUAAACMAwAAAAA=&#10;" filled="f" stroked="f" strokeweight=".5pt">
                  <v:textbox style="mso-next-textbox:#_x0000_s1691">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2.12</w:t>
                        </w:r>
                      </w:p>
                    </w:txbxContent>
                  </v:textbox>
                </v:shape>
              </w:pict>
            </w:r>
            <w:r>
              <w:rPr>
                <w:rFonts w:ascii="Arial" w:hAnsi="Arial" w:cs="Arial"/>
                <w:i/>
                <w:noProof/>
                <w:sz w:val="16"/>
                <w:szCs w:val="16"/>
                <w:lang w:eastAsia="es-EC"/>
              </w:rPr>
              <w:pict>
                <v:shape id="_x0000_s1690" type="#_x0000_t202" style="position:absolute;left:0;text-align:left;margin-left:276.7pt;margin-top:70.6pt;width:42pt;height:16.5pt;z-index:251638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FbccA&#10;AADcAAAADwAAAGRycy9kb3ducmV2LnhtbESPzWrDMBCE74G+g9hCbolcl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W3HAAAA3AAAAA8AAAAAAAAAAAAAAAAAmAIAAGRy&#10;cy9kb3ducmV2LnhtbFBLBQYAAAAABAAEAPUAAACMAwAAAAA=&#10;" filled="f" stroked="f" strokeweight=".5pt">
                  <v:textbox style="mso-next-textbox:#_x0000_s1690">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0.37</w:t>
                        </w:r>
                      </w:p>
                    </w:txbxContent>
                  </v:textbox>
                </v:shape>
              </w:pict>
            </w:r>
            <w:r>
              <w:rPr>
                <w:rFonts w:ascii="Arial" w:hAnsi="Arial" w:cs="Arial"/>
                <w:i/>
                <w:noProof/>
                <w:sz w:val="16"/>
                <w:szCs w:val="16"/>
                <w:lang w:eastAsia="es-EC"/>
              </w:rPr>
              <w:pict>
                <v:shape id="_x0000_s1679" type="#_x0000_t202" style="position:absolute;left:0;text-align:left;margin-left:222.7pt;margin-top:36.75pt;width:42pt;height:16.5pt;z-index:251627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style="mso-next-textbox:#_x0000_s1679">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1.03</w:t>
                        </w:r>
                      </w:p>
                    </w:txbxContent>
                  </v:textbox>
                </v:shape>
              </w:pict>
            </w:r>
            <w:r>
              <w:rPr>
                <w:rFonts w:ascii="Arial" w:hAnsi="Arial" w:cs="Arial"/>
                <w:i/>
                <w:noProof/>
                <w:sz w:val="16"/>
                <w:szCs w:val="16"/>
                <w:lang w:eastAsia="es-EC"/>
              </w:rPr>
              <w:pict>
                <v:shape id="_x0000_s1673" type="#_x0000_t202" style="position:absolute;left:0;text-align:left;margin-left:231.7pt;margin-top:27pt;width:42pt;height:16.5pt;rotation:2175710fd;z-index:251620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4CcUA&#10;AADcAAAADwAAAGRycy9kb3ducmV2LnhtbESPQWvCQBSE74X+h+UVequbegiaukpbKHjIoVHbXh/Z&#10;ZxKbfRt31yT+e1cQPA4z8w2zWI2mFT0531hW8DpJQBCXVjdcKdhtv15mIHxA1thaJgVn8rBaPj4s&#10;MNN24IL6TahEhLDPUEEdQpdJ6cuaDPqJ7Yijt7fOYIjSVVI7HCLctHKaJKk02HBcqLGjz5rK/83J&#10;KPj45XznDiTb4S8vv4+UFvhzVOr5aXx/AxFoDPfwrb3WCqbzO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vgJxQAAANwAAAAPAAAAAAAAAAAAAAAAAJgCAABkcnMv&#10;ZG93bnJldi54bWxQSwUGAAAAAAQABAD1AAAAigMAAAAA&#10;" filled="f" stroked="f" strokeweight=".5pt">
                  <v:textbox style="mso-next-textbox:#_x0000_s1673">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0.20</w:t>
                        </w:r>
                      </w:p>
                    </w:txbxContent>
                  </v:textbox>
                </v:shape>
              </w:pict>
            </w:r>
            <w:r>
              <w:rPr>
                <w:rFonts w:ascii="Arial" w:hAnsi="Arial" w:cs="Arial"/>
                <w:i/>
                <w:noProof/>
                <w:sz w:val="16"/>
                <w:szCs w:val="16"/>
                <w:lang w:eastAsia="es-EC"/>
              </w:rPr>
              <w:pict>
                <v:shape id="_x0000_s1683" type="#_x0000_t202" style="position:absolute;left:0;text-align:left;margin-left:228.45pt;margin-top:127.35pt;width:42pt;height:16.5pt;z-index:251631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style="mso-next-textbox:#_x0000_s1683">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1.45</w:t>
                        </w:r>
                      </w:p>
                    </w:txbxContent>
                  </v:textbox>
                </v:shape>
              </w:pict>
            </w:r>
            <w:r>
              <w:rPr>
                <w:rFonts w:ascii="Arial" w:hAnsi="Arial" w:cs="Arial"/>
                <w:i/>
                <w:noProof/>
                <w:sz w:val="16"/>
                <w:szCs w:val="16"/>
                <w:lang w:eastAsia="es-EC"/>
              </w:rPr>
              <w:pict>
                <v:shape id="_x0000_s1688" type="#_x0000_t202" style="position:absolute;left:0;text-align:left;margin-left:201.7pt;margin-top:174.75pt;width:42pt;height:16.5pt;z-index:251636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style="mso-next-textbox:#_x0000_s1688">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3.65</w:t>
                        </w:r>
                      </w:p>
                    </w:txbxContent>
                  </v:textbox>
                </v:shape>
              </w:pict>
            </w:r>
            <w:r>
              <w:rPr>
                <w:rFonts w:ascii="Arial" w:hAnsi="Arial" w:cs="Arial"/>
                <w:i/>
                <w:noProof/>
                <w:sz w:val="16"/>
                <w:szCs w:val="16"/>
                <w:lang w:eastAsia="es-EC"/>
              </w:rPr>
              <w:pict>
                <v:shape id="_x0000_s1685" type="#_x0000_t202" style="position:absolute;left:0;text-align:left;margin-left:268.6pt;margin-top:98.95pt;width:42pt;height:16.5pt;z-index:251633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style="mso-next-textbox:#_x0000_s1685">
                    <w:txbxContent>
                      <w:p w:rsidR="006933DF" w:rsidRDefault="006933DF" w:rsidP="00361FCE">
                        <w:pPr>
                          <w:pStyle w:val="NormalWeb"/>
                          <w:spacing w:before="0" w:beforeAutospacing="0" w:after="0" w:afterAutospacing="0"/>
                          <w:textAlignment w:val="baseline"/>
                        </w:pPr>
                        <w:r>
                          <w:rPr>
                            <w:rFonts w:ascii="Arial" w:eastAsia="Calibri" w:hAnsi="Arial" w:cs="Arial"/>
                            <w:color w:val="000000" w:themeColor="text1"/>
                            <w:kern w:val="24"/>
                            <w:sz w:val="12"/>
                            <w:szCs w:val="12"/>
                          </w:rPr>
                          <w:t>1.40</w:t>
                        </w:r>
                      </w:p>
                    </w:txbxContent>
                  </v:textbox>
                </v:shape>
              </w:pict>
            </w:r>
            <w:r>
              <w:rPr>
                <w:rFonts w:ascii="Arial" w:hAnsi="Arial" w:cs="Arial"/>
                <w:i/>
                <w:noProof/>
                <w:sz w:val="16"/>
                <w:szCs w:val="16"/>
                <w:lang w:eastAsia="es-EC"/>
              </w:rPr>
              <w:pict>
                <v:shape id="_x0000_s1689" type="#_x0000_t202" style="position:absolute;left:0;text-align:left;margin-left:281.55pt;margin-top:49.15pt;width:42pt;height:16.5pt;z-index:251637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GscA&#10;AADcAAAADwAAAGRycy9kb3ducmV2LnhtbESPQWvCQBSE7wX/w/IK3uqmE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xrHAAAA3AAAAA8AAAAAAAAAAAAAAAAAmAIAAGRy&#10;cy9kb3ducmV2LnhtbFBLBQYAAAAABAAEAPUAAACMAwAAAAA=&#10;" filled="f" stroked="f" strokeweight=".5pt">
                  <v:textbox style="mso-next-textbox:#_x0000_s1689">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0.42</w:t>
                        </w:r>
                      </w:p>
                    </w:txbxContent>
                  </v:textbox>
                </v:shape>
              </w:pict>
            </w:r>
            <w:r>
              <w:rPr>
                <w:rFonts w:ascii="Arial" w:hAnsi="Arial" w:cs="Arial"/>
                <w:i/>
                <w:noProof/>
                <w:sz w:val="16"/>
                <w:szCs w:val="16"/>
                <w:lang w:eastAsia="es-EC"/>
              </w:rPr>
              <w:pict>
                <v:shape id="_x0000_s1677" type="#_x0000_t202" style="position:absolute;left:0;text-align:left;margin-left:192.7pt;margin-top:25.15pt;width:42pt;height:16.5pt;z-index:251624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style="mso-next-textbox:#_x0000_s1677">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0.56</w:t>
                        </w:r>
                      </w:p>
                    </w:txbxContent>
                  </v:textbox>
                </v:shape>
              </w:pict>
            </w:r>
            <w:r>
              <w:rPr>
                <w:rFonts w:ascii="Arial" w:hAnsi="Arial" w:cs="Arial"/>
                <w:i/>
                <w:noProof/>
                <w:sz w:val="16"/>
                <w:szCs w:val="16"/>
                <w:lang w:eastAsia="es-EC"/>
              </w:rPr>
              <w:pict>
                <v:shape id="_x0000_s1692" type="#_x0000_t202" style="position:absolute;left:0;text-align:left;margin-left:151.7pt;margin-top:113.15pt;width:42pt;height:16.5pt;z-index:251640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hMMA&#10;AADcAAAADwAAAGRycy9kb3ducmV2LnhtbERPy4rCMBTdC/MP4Q6403Q6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0hMMAAADcAAAADwAAAAAAAAAAAAAAAACYAgAAZHJzL2Rv&#10;d25yZXYueG1sUEsFBgAAAAAEAAQA9QAAAIgDAAAAAA==&#10;" filled="f" stroked="f" strokeweight=".5pt">
                  <v:textbox style="mso-next-textbox:#_x0000_s1692">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0.23</w:t>
                        </w:r>
                      </w:p>
                    </w:txbxContent>
                  </v:textbox>
                </v:shape>
              </w:pict>
            </w:r>
            <w:r>
              <w:rPr>
                <w:rFonts w:ascii="Arial" w:hAnsi="Arial" w:cs="Arial"/>
                <w:i/>
                <w:noProof/>
                <w:sz w:val="16"/>
                <w:szCs w:val="16"/>
                <w:lang w:eastAsia="es-EC"/>
              </w:rPr>
              <w:pict>
                <v:shape id="_x0000_s1682" type="#_x0000_t202" style="position:absolute;left:0;text-align:left;margin-left:164.95pt;margin-top:70.45pt;width:42pt;height:16.5pt;z-index:251630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style="mso-next-textbox:#_x0000_s1682">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0.48</w:t>
                        </w:r>
                      </w:p>
                    </w:txbxContent>
                  </v:textbox>
                </v:shape>
              </w:pict>
            </w:r>
            <w:r>
              <w:rPr>
                <w:rFonts w:ascii="Arial" w:hAnsi="Arial" w:cs="Arial"/>
                <w:i/>
                <w:noProof/>
                <w:sz w:val="16"/>
                <w:szCs w:val="16"/>
                <w:lang w:eastAsia="es-EC"/>
              </w:rPr>
              <w:pict>
                <v:shape id="_x0000_s1681" type="#_x0000_t202" style="position:absolute;left:0;text-align:left;margin-left:185.55pt;margin-top:90.2pt;width:31.5pt;height:13.35pt;rotation:-90;z-index:251629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y5cQA&#10;AADcAAAADwAAAGRycy9kb3ducmV2LnhtbESPQYvCMBSE74L/ITxhb5pWQdxqFBFE9+Bhq7Aen82z&#10;7W7zUpqo1V9vFgSPw8x8w8wWranElRpXWlYQDyIQxJnVJecKDvt1fwLCeWSNlWVScCcHi3m3M8NE&#10;2xt/0zX1uQgQdgkqKLyvEyldVpBBN7A1cfDOtjHog2xyqRu8Bbip5DCKxtJgyWGhwJpWBWV/6cUo&#10;+DXu9Dl5UPyz3NzNcJce66+NVeqj1y6nIDy1/h1+tbdawSgewf+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58uXEAAAA3AAAAA8AAAAAAAAAAAAAAAAAmAIAAGRycy9k&#10;b3ducmV2LnhtbFBLBQYAAAAABAAEAPUAAACJAwAAAAA=&#10;" filled="f" stroked="f" strokeweight=".5pt">
                  <v:textbox style="layout-flow:vertical;mso-layout-flow-alt:bottom-to-top;mso-next-textbox:#_x0000_s1681">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0.37</w:t>
                        </w:r>
                      </w:p>
                    </w:txbxContent>
                  </v:textbox>
                </v:shape>
              </w:pict>
            </w:r>
            <w:r>
              <w:rPr>
                <w:rFonts w:ascii="Arial" w:hAnsi="Arial" w:cs="Arial"/>
                <w:i/>
                <w:noProof/>
                <w:sz w:val="16"/>
                <w:szCs w:val="16"/>
                <w:lang w:eastAsia="es-EC"/>
              </w:rPr>
              <w:pict>
                <v:shape id="_x0000_s1680" type="#_x0000_t202" style="position:absolute;left:0;text-align:left;margin-left:177.7pt;margin-top:172.65pt;width:42pt;height:16.5pt;z-index:251628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style="mso-next-textbox:#_x0000_s1680">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3.18</w:t>
                        </w:r>
                      </w:p>
                    </w:txbxContent>
                  </v:textbox>
                </v:shape>
              </w:pict>
            </w:r>
            <w:r>
              <w:rPr>
                <w:rFonts w:ascii="Arial" w:hAnsi="Arial" w:cs="Arial"/>
                <w:i/>
                <w:noProof/>
                <w:sz w:val="16"/>
                <w:szCs w:val="16"/>
                <w:lang w:eastAsia="es-EC"/>
              </w:rPr>
              <w:pict>
                <v:shape id="_x0000_s1678" type="#_x0000_t202" style="position:absolute;left:0;text-align:left;margin-left:166.7pt;margin-top:101.75pt;width:42pt;height:16.55pt;z-index:251625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style="mso-next-textbox:#_x0000_s1678">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0.64</w:t>
                        </w:r>
                      </w:p>
                    </w:txbxContent>
                  </v:textbox>
                </v:shape>
              </w:pict>
            </w:r>
            <w:r>
              <w:rPr>
                <w:rFonts w:ascii="Arial" w:hAnsi="Arial" w:cs="Arial"/>
                <w:i/>
                <w:noProof/>
                <w:sz w:val="16"/>
                <w:szCs w:val="16"/>
                <w:lang w:eastAsia="es-EC"/>
              </w:rPr>
              <w:pict>
                <v:shape id="_x0000_s1676" type="#_x0000_t202" style="position:absolute;left:0;text-align:left;margin-left:172.7pt;margin-top:154.55pt;width:42pt;height:16.5pt;z-index:251623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style="mso-next-textbox:#_x0000_s1676">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1.65</w:t>
                        </w:r>
                      </w:p>
                    </w:txbxContent>
                  </v:textbox>
                </v:shape>
              </w:pict>
            </w:r>
            <w:r>
              <w:rPr>
                <w:rFonts w:ascii="Arial" w:hAnsi="Arial" w:cs="Arial"/>
                <w:i/>
                <w:noProof/>
                <w:sz w:val="16"/>
                <w:szCs w:val="16"/>
                <w:lang w:eastAsia="es-EC"/>
              </w:rPr>
              <w:pict>
                <v:shape id="_x0000_s1684" type="#_x0000_t202" style="position:absolute;left:0;text-align:left;margin-left:234.7pt;margin-top:63.4pt;width:42pt;height:16.5pt;z-index:251632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style="mso-next-textbox:#_x0000_s1684">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0.63</w:t>
                        </w:r>
                      </w:p>
                    </w:txbxContent>
                  </v:textbox>
                </v:shape>
              </w:pict>
            </w:r>
            <w:r>
              <w:rPr>
                <w:rFonts w:ascii="Arial" w:hAnsi="Arial" w:cs="Arial"/>
                <w:i/>
                <w:noProof/>
                <w:sz w:val="16"/>
                <w:szCs w:val="16"/>
                <w:lang w:eastAsia="es-EC"/>
              </w:rPr>
              <w:pict>
                <v:shape id="_x0000_s1693" type="#_x0000_t202" style="position:absolute;left:0;text-align:left;margin-left:10.45pt;margin-top:73.5pt;width:42pt;height:16.5pt;z-index:251641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style="mso-next-textbox:#_x0000_s1693">
                    <w:txbxContent>
                      <w:p w:rsidR="006933DF" w:rsidRDefault="006933DF" w:rsidP="00361FCE">
                        <w:pPr>
                          <w:pStyle w:val="NormalWeb"/>
                          <w:spacing w:before="0" w:beforeAutospacing="0" w:after="0" w:afterAutospacing="0"/>
                          <w:jc w:val="center"/>
                          <w:textAlignment w:val="baseline"/>
                        </w:pPr>
                        <w:r>
                          <w:rPr>
                            <w:rFonts w:ascii="Arial" w:eastAsia="Calibri" w:hAnsi="Arial" w:cs="Arial"/>
                            <w:color w:val="000000" w:themeColor="text1"/>
                            <w:kern w:val="24"/>
                            <w:sz w:val="12"/>
                            <w:szCs w:val="12"/>
                          </w:rPr>
                          <w:t>0.55</w:t>
                        </w:r>
                      </w:p>
                    </w:txbxContent>
                  </v:textbox>
                </v:shape>
              </w:pict>
            </w:r>
            <w:r w:rsidR="00361FCE">
              <w:rPr>
                <w:noProof/>
                <w:lang w:eastAsia="es-EC"/>
              </w:rPr>
              <w:drawing>
                <wp:inline distT="0" distB="0" distL="0" distR="0" wp14:anchorId="48C296F5" wp14:editId="6C25FFEE">
                  <wp:extent cx="4644000" cy="2689715"/>
                  <wp:effectExtent l="0" t="0" r="0" b="0"/>
                  <wp:docPr id="144"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Imagen"/>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644000" cy="2689715"/>
                          </a:xfrm>
                          <a:prstGeom prst="rect">
                            <a:avLst/>
                          </a:prstGeom>
                          <a:noFill/>
                          <a:extLst/>
                        </pic:spPr>
                      </pic:pic>
                    </a:graphicData>
                  </a:graphic>
                </wp:inline>
              </w:drawing>
            </w:r>
          </w:p>
        </w:tc>
      </w:tr>
    </w:tbl>
    <w:p w:rsidR="00361FCE" w:rsidRPr="004B7FC2" w:rsidRDefault="00361FCE" w:rsidP="004B7FC2">
      <w:pPr>
        <w:pStyle w:val="Prrafodelista"/>
        <w:spacing w:line="276" w:lineRule="auto"/>
        <w:ind w:left="851"/>
        <w:jc w:val="both"/>
        <w:rPr>
          <w:rFonts w:ascii="Arial" w:hAnsi="Arial" w:cs="Arial"/>
          <w:sz w:val="17"/>
          <w:szCs w:val="17"/>
        </w:rPr>
      </w:pPr>
    </w:p>
    <w:p w:rsidR="00361FCE" w:rsidRPr="004B7FC2" w:rsidRDefault="00361FCE" w:rsidP="004B7FC2">
      <w:pPr>
        <w:pStyle w:val="Prrafodelista"/>
        <w:spacing w:line="276" w:lineRule="auto"/>
        <w:ind w:left="851"/>
        <w:jc w:val="both"/>
        <w:rPr>
          <w:rFonts w:ascii="Arial" w:hAnsi="Arial" w:cs="Arial"/>
          <w:sz w:val="17"/>
          <w:szCs w:val="17"/>
        </w:rPr>
      </w:pPr>
      <w:r w:rsidRPr="004B7FC2">
        <w:rPr>
          <w:rFonts w:ascii="Arial" w:hAnsi="Arial" w:cs="Arial"/>
          <w:b/>
          <w:i/>
          <w:sz w:val="17"/>
          <w:szCs w:val="17"/>
        </w:rPr>
        <w:t>Fuente:</w:t>
      </w:r>
      <w:r w:rsidRPr="004B7FC2">
        <w:rPr>
          <w:rFonts w:ascii="Arial" w:hAnsi="Arial" w:cs="Arial"/>
          <w:sz w:val="17"/>
          <w:szCs w:val="17"/>
        </w:rPr>
        <w:t xml:space="preserve"> </w:t>
      </w:r>
      <w:r w:rsidRPr="004B7FC2">
        <w:rPr>
          <w:rFonts w:ascii="Arial" w:hAnsi="Arial" w:cs="Arial"/>
          <w:b/>
          <w:sz w:val="17"/>
          <w:szCs w:val="17"/>
        </w:rPr>
        <w:t xml:space="preserve">INEC </w:t>
      </w:r>
      <w:r w:rsidRPr="004B7FC2">
        <w:rPr>
          <w:rFonts w:ascii="Arial" w:hAnsi="Arial" w:cs="Arial"/>
          <w:sz w:val="17"/>
          <w:szCs w:val="17"/>
        </w:rPr>
        <w:t>(2010), Base de Datos del VII Censo de Población y VI de Vivienda.</w:t>
      </w:r>
    </w:p>
    <w:p w:rsidR="00361FCE" w:rsidRPr="004B7FC2" w:rsidRDefault="00361FCE" w:rsidP="004B7FC2">
      <w:pPr>
        <w:pStyle w:val="Prrafodelista"/>
        <w:spacing w:line="276" w:lineRule="auto"/>
        <w:ind w:left="851"/>
        <w:jc w:val="both"/>
        <w:rPr>
          <w:rFonts w:ascii="Arial" w:hAnsi="Arial" w:cs="Arial"/>
          <w:sz w:val="17"/>
          <w:szCs w:val="17"/>
        </w:rPr>
      </w:pPr>
      <w:r w:rsidRPr="004B7FC2">
        <w:rPr>
          <w:rFonts w:ascii="Arial" w:hAnsi="Arial" w:cs="Arial"/>
          <w:b/>
          <w:i/>
          <w:sz w:val="17"/>
          <w:szCs w:val="17"/>
        </w:rPr>
        <w:t>Elaborado por:</w:t>
      </w:r>
      <w:r w:rsidRPr="004B7FC2">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Pr="00604B7B" w:rsidRDefault="00361FCE" w:rsidP="004B7FC2">
      <w:pPr>
        <w:pStyle w:val="Prrafodelista"/>
        <w:spacing w:line="480" w:lineRule="auto"/>
        <w:ind w:left="851"/>
        <w:jc w:val="both"/>
        <w:rPr>
          <w:rFonts w:ascii="Arial" w:hAnsi="Arial" w:cs="Arial"/>
          <w:i/>
        </w:rPr>
      </w:pPr>
      <w:r>
        <w:rPr>
          <w:rFonts w:ascii="Arial" w:hAnsi="Arial" w:cs="Arial"/>
        </w:rPr>
        <w:lastRenderedPageBreak/>
        <w:t xml:space="preserve">En la </w:t>
      </w:r>
      <w:r>
        <w:rPr>
          <w:rFonts w:ascii="Arial" w:hAnsi="Arial" w:cs="Arial"/>
          <w:i/>
        </w:rPr>
        <w:t>Figura 4.84</w:t>
      </w:r>
      <w:r>
        <w:rPr>
          <w:rFonts w:ascii="Arial" w:hAnsi="Arial" w:cs="Arial"/>
        </w:rPr>
        <w:t xml:space="preserve">, se presentan las tasas de inmigración española ordenadas alfabéticamente y en orden descendente, así como también se muestra la tasa de inmigración nacional, que es de 0.97 españoles por cada 1000 habitantes que fueron registrados el día del empadronamiento (28 de noviembre de 2010). </w:t>
      </w:r>
    </w:p>
    <w:tbl>
      <w:tblPr>
        <w:tblStyle w:val="Tablaconcuadrcula"/>
        <w:tblW w:w="7497" w:type="dxa"/>
        <w:jc w:val="right"/>
        <w:tblInd w:w="1034"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B7FC2">
        <w:trPr>
          <w:trHeight w:val="4876"/>
          <w:jc w:val="right"/>
        </w:trPr>
        <w:tc>
          <w:tcPr>
            <w:tcW w:w="7497" w:type="dxa"/>
          </w:tcPr>
          <w:p w:rsidR="00361FCE" w:rsidRPr="00840530" w:rsidRDefault="00361FCE" w:rsidP="00902050">
            <w:pPr>
              <w:rPr>
                <w:rFonts w:ascii="Arial" w:hAnsi="Arial" w:cs="Arial"/>
                <w:sz w:val="16"/>
                <w:szCs w:val="16"/>
              </w:rPr>
            </w:pPr>
          </w:p>
          <w:p w:rsidR="006D100D" w:rsidRPr="006D100D" w:rsidRDefault="006D100D" w:rsidP="006D100D">
            <w:pPr>
              <w:pStyle w:val="Epgrafe"/>
              <w:rPr>
                <w:rFonts w:ascii="Arial" w:hAnsi="Arial" w:cs="Arial"/>
                <w:bCs w:val="0"/>
                <w:color w:val="auto"/>
                <w:sz w:val="16"/>
                <w:szCs w:val="16"/>
              </w:rPr>
            </w:pPr>
            <w:bookmarkStart w:id="681" w:name="_Toc341044056"/>
            <w:r>
              <w:rPr>
                <w:rFonts w:ascii="Arial" w:hAnsi="Arial" w:cs="Arial"/>
                <w:bCs w:val="0"/>
                <w:color w:val="auto"/>
                <w:sz w:val="16"/>
                <w:szCs w:val="16"/>
              </w:rPr>
              <w:t>Figura 4.</w:t>
            </w:r>
            <w:r w:rsidR="00990535" w:rsidRPr="006D100D">
              <w:rPr>
                <w:rFonts w:ascii="Arial" w:hAnsi="Arial" w:cs="Arial"/>
                <w:bCs w:val="0"/>
                <w:color w:val="auto"/>
                <w:sz w:val="16"/>
                <w:szCs w:val="16"/>
              </w:rPr>
              <w:fldChar w:fldCharType="begin"/>
            </w:r>
            <w:r w:rsidRPr="006D100D">
              <w:rPr>
                <w:rFonts w:ascii="Arial" w:hAnsi="Arial" w:cs="Arial"/>
                <w:bCs w:val="0"/>
                <w:color w:val="auto"/>
                <w:sz w:val="16"/>
                <w:szCs w:val="16"/>
              </w:rPr>
              <w:instrText xml:space="preserve"> SEQ Figura_4. \* ARABIC </w:instrText>
            </w:r>
            <w:r w:rsidR="00990535" w:rsidRPr="006D100D">
              <w:rPr>
                <w:rFonts w:ascii="Arial" w:hAnsi="Arial" w:cs="Arial"/>
                <w:bCs w:val="0"/>
                <w:color w:val="auto"/>
                <w:sz w:val="16"/>
                <w:szCs w:val="16"/>
              </w:rPr>
              <w:fldChar w:fldCharType="separate"/>
            </w:r>
            <w:r w:rsidR="00A242E0">
              <w:rPr>
                <w:rFonts w:ascii="Arial" w:hAnsi="Arial" w:cs="Arial"/>
                <w:bCs w:val="0"/>
                <w:noProof/>
                <w:color w:val="auto"/>
                <w:sz w:val="16"/>
                <w:szCs w:val="16"/>
              </w:rPr>
              <w:t>84</w:t>
            </w:r>
            <w:bookmarkEnd w:id="681"/>
            <w:r w:rsidR="00990535" w:rsidRPr="006D100D">
              <w:rPr>
                <w:rFonts w:ascii="Arial" w:hAnsi="Arial" w:cs="Arial"/>
                <w:bCs w:val="0"/>
                <w:color w:val="auto"/>
                <w:sz w:val="16"/>
                <w:szCs w:val="16"/>
              </w:rPr>
              <w:fldChar w:fldCharType="end"/>
            </w:r>
          </w:p>
          <w:p w:rsidR="004B7FC2" w:rsidRPr="00016219" w:rsidRDefault="004B7FC2" w:rsidP="004B7FC2">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Tasa de </w:t>
            </w:r>
            <w:r w:rsidRPr="00016219">
              <w:rPr>
                <w:rFonts w:ascii="Arial" w:hAnsi="Arial" w:cs="Arial"/>
                <w:b/>
                <w:i/>
                <w:sz w:val="16"/>
                <w:szCs w:val="16"/>
              </w:rPr>
              <w:t xml:space="preserve">Inmigración </w:t>
            </w:r>
            <w:r>
              <w:rPr>
                <w:rFonts w:ascii="Arial" w:hAnsi="Arial" w:cs="Arial"/>
                <w:b/>
                <w:i/>
                <w:sz w:val="16"/>
                <w:szCs w:val="16"/>
              </w:rPr>
              <w:t>española</w:t>
            </w:r>
            <w:r w:rsidRPr="00016219">
              <w:rPr>
                <w:rFonts w:ascii="Arial" w:hAnsi="Arial" w:cs="Arial"/>
                <w:i/>
                <w:sz w:val="16"/>
                <w:szCs w:val="16"/>
              </w:rPr>
              <w:t xml:space="preserve"> por cada 1000 residentes a nivel Provincial </w:t>
            </w:r>
          </w:p>
          <w:p w:rsidR="00361FCE" w:rsidRDefault="004B7FC2" w:rsidP="004B7FC2">
            <w:pPr>
              <w:rPr>
                <w:rFonts w:ascii="Arial" w:hAnsi="Arial" w:cs="Arial"/>
                <w:i/>
                <w:sz w:val="16"/>
                <w:szCs w:val="16"/>
              </w:rPr>
            </w:pPr>
            <w:r w:rsidRPr="00016219">
              <w:rPr>
                <w:rFonts w:ascii="Arial" w:hAnsi="Arial" w:cs="Arial"/>
                <w:i/>
                <w:sz w:val="16"/>
                <w:szCs w:val="16"/>
              </w:rPr>
              <w:t>ordenada alfabéticamente y en forma descendente</w:t>
            </w:r>
          </w:p>
          <w:p w:rsidR="00361FCE" w:rsidRDefault="00361FCE" w:rsidP="00902050">
            <w:pPr>
              <w:rPr>
                <w:rFonts w:ascii="Arial" w:hAnsi="Arial" w:cs="Arial"/>
                <w:i/>
                <w:sz w:val="16"/>
                <w:szCs w:val="16"/>
              </w:rPr>
            </w:pPr>
            <w:r>
              <w:rPr>
                <w:noProof/>
                <w:lang w:eastAsia="es-EC"/>
              </w:rPr>
              <w:drawing>
                <wp:inline distT="0" distB="0" distL="0" distR="0" wp14:anchorId="714134C9" wp14:editId="6D92F61B">
                  <wp:extent cx="4608000" cy="2052000"/>
                  <wp:effectExtent l="0" t="0" r="0" b="0"/>
                  <wp:docPr id="145" name="Gráfico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361FCE" w:rsidRDefault="00361FCE" w:rsidP="00902050">
            <w:pPr>
              <w:rPr>
                <w:rFonts w:ascii="Arial" w:hAnsi="Arial" w:cs="Arial"/>
                <w:i/>
                <w:sz w:val="16"/>
                <w:szCs w:val="16"/>
              </w:rPr>
            </w:pPr>
          </w:p>
          <w:p w:rsidR="00361FCE" w:rsidRPr="00660711" w:rsidRDefault="00361FCE" w:rsidP="00902050">
            <w:pPr>
              <w:rPr>
                <w:rFonts w:ascii="Arial" w:hAnsi="Arial" w:cs="Arial"/>
                <w:i/>
                <w:sz w:val="16"/>
                <w:szCs w:val="16"/>
              </w:rPr>
            </w:pPr>
            <w:r>
              <w:rPr>
                <w:noProof/>
                <w:lang w:eastAsia="es-EC"/>
              </w:rPr>
              <w:drawing>
                <wp:inline distT="0" distB="0" distL="0" distR="0" wp14:anchorId="39F86A03" wp14:editId="0A07C6D7">
                  <wp:extent cx="4608000" cy="2052000"/>
                  <wp:effectExtent l="0" t="0" r="0" b="0"/>
                  <wp:docPr id="146" name="Gráfico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c>
      </w:tr>
    </w:tbl>
    <w:p w:rsidR="00361FCE" w:rsidRPr="004B7FC2" w:rsidRDefault="00361FCE" w:rsidP="004B7FC2">
      <w:pPr>
        <w:pStyle w:val="Prrafodelista"/>
        <w:spacing w:line="276" w:lineRule="auto"/>
        <w:ind w:left="851"/>
        <w:jc w:val="both"/>
        <w:rPr>
          <w:rFonts w:ascii="Arial" w:hAnsi="Arial" w:cs="Arial"/>
          <w:sz w:val="17"/>
          <w:szCs w:val="17"/>
        </w:rPr>
      </w:pPr>
    </w:p>
    <w:p w:rsidR="00361FCE" w:rsidRPr="004B7FC2" w:rsidRDefault="00361FCE" w:rsidP="004B7FC2">
      <w:pPr>
        <w:pStyle w:val="Prrafodelista"/>
        <w:spacing w:line="276" w:lineRule="auto"/>
        <w:ind w:left="851"/>
        <w:jc w:val="both"/>
        <w:rPr>
          <w:rFonts w:ascii="Arial" w:hAnsi="Arial" w:cs="Arial"/>
          <w:sz w:val="17"/>
          <w:szCs w:val="17"/>
        </w:rPr>
      </w:pPr>
      <w:r w:rsidRPr="004B7FC2">
        <w:rPr>
          <w:rFonts w:ascii="Arial" w:hAnsi="Arial" w:cs="Arial"/>
          <w:b/>
          <w:i/>
          <w:sz w:val="17"/>
          <w:szCs w:val="17"/>
        </w:rPr>
        <w:t>Fuente:</w:t>
      </w:r>
      <w:r w:rsidRPr="004B7FC2">
        <w:rPr>
          <w:rFonts w:ascii="Arial" w:hAnsi="Arial" w:cs="Arial"/>
          <w:sz w:val="17"/>
          <w:szCs w:val="17"/>
        </w:rPr>
        <w:t xml:space="preserve"> </w:t>
      </w:r>
      <w:r w:rsidRPr="004B7FC2">
        <w:rPr>
          <w:rFonts w:ascii="Arial" w:hAnsi="Arial" w:cs="Arial"/>
          <w:b/>
          <w:sz w:val="17"/>
          <w:szCs w:val="17"/>
        </w:rPr>
        <w:t xml:space="preserve">INEC </w:t>
      </w:r>
      <w:r w:rsidRPr="004B7FC2">
        <w:rPr>
          <w:rFonts w:ascii="Arial" w:hAnsi="Arial" w:cs="Arial"/>
          <w:sz w:val="17"/>
          <w:szCs w:val="17"/>
        </w:rPr>
        <w:t>(2010), Base de Datos del VII Censo de Población y VI de Vivienda.</w:t>
      </w:r>
    </w:p>
    <w:p w:rsidR="00361FCE" w:rsidRDefault="00361FCE" w:rsidP="004B7FC2">
      <w:pPr>
        <w:pStyle w:val="Prrafodelista"/>
        <w:spacing w:line="276" w:lineRule="auto"/>
        <w:ind w:left="851"/>
        <w:jc w:val="both"/>
        <w:rPr>
          <w:rFonts w:ascii="Arial" w:hAnsi="Arial" w:cs="Arial"/>
          <w:sz w:val="18"/>
          <w:szCs w:val="18"/>
        </w:rPr>
      </w:pPr>
      <w:r w:rsidRPr="004B7FC2">
        <w:rPr>
          <w:rFonts w:ascii="Arial" w:hAnsi="Arial" w:cs="Arial"/>
          <w:b/>
          <w:i/>
          <w:sz w:val="17"/>
          <w:szCs w:val="17"/>
        </w:rPr>
        <w:t>Elaborado por:</w:t>
      </w:r>
      <w:r w:rsidRPr="004B7FC2">
        <w:rPr>
          <w:rFonts w:ascii="Arial" w:hAnsi="Arial" w:cs="Arial"/>
          <w:sz w:val="17"/>
          <w:szCs w:val="17"/>
        </w:rPr>
        <w:t xml:space="preserve"> Katherine Loor Valeriano</w:t>
      </w:r>
    </w:p>
    <w:p w:rsidR="00361FCE" w:rsidRDefault="00361FCE" w:rsidP="004B7FC2">
      <w:pPr>
        <w:pStyle w:val="Prrafodelista"/>
        <w:spacing w:line="480" w:lineRule="auto"/>
        <w:ind w:left="851"/>
        <w:jc w:val="both"/>
        <w:rPr>
          <w:rFonts w:ascii="Arial" w:hAnsi="Arial" w:cs="Arial"/>
        </w:rPr>
      </w:pPr>
    </w:p>
    <w:p w:rsidR="004B7FC2" w:rsidRDefault="004B7FC2" w:rsidP="004B7FC2">
      <w:pPr>
        <w:pStyle w:val="Prrafodelista"/>
        <w:spacing w:line="480" w:lineRule="auto"/>
        <w:ind w:left="851"/>
        <w:jc w:val="both"/>
        <w:rPr>
          <w:rFonts w:ascii="Arial" w:hAnsi="Arial" w:cs="Arial"/>
        </w:rPr>
      </w:pPr>
      <w:r>
        <w:rPr>
          <w:rFonts w:ascii="Arial" w:hAnsi="Arial" w:cs="Arial"/>
        </w:rPr>
        <w:t xml:space="preserve">En esta figura es notable también que hay nueve provincias en las cuales la tasa de inmigración es mayor a la tasa nacional, siendo estas provincias </w:t>
      </w:r>
      <w:r>
        <w:rPr>
          <w:rFonts w:ascii="Arial" w:hAnsi="Arial" w:cs="Arial"/>
        </w:rPr>
        <w:lastRenderedPageBreak/>
        <w:t>Zamora Chinchipe, Loja y Santo Domingo cuyas tasas son 3.65, 3.18 y 2.12 españoles por cada 1000 habitantes respectivamente; mientras que la tasa de inmigración de Chimborazo es igual a la nacional. Además, las provincias que tienen las menores tasas de inmigración española son Orellana, Bolívar, Santa Elena y Carchi cuyas tasas tienen valores iguales a 0.37, 0.36, 0.23 y 0.20 españoles por cada 1000 habitantes.</w:t>
      </w:r>
    </w:p>
    <w:p w:rsidR="004B7FC2" w:rsidRDefault="004B7FC2" w:rsidP="00361FCE">
      <w:pPr>
        <w:pStyle w:val="Prrafodelista"/>
        <w:spacing w:line="480" w:lineRule="auto"/>
        <w:ind w:left="567"/>
        <w:jc w:val="both"/>
        <w:rPr>
          <w:rFonts w:ascii="Arial" w:hAnsi="Arial" w:cs="Arial"/>
        </w:rPr>
      </w:pPr>
    </w:p>
    <w:p w:rsidR="00361FCE" w:rsidRDefault="00361FCE" w:rsidP="004B7FC2">
      <w:pPr>
        <w:pStyle w:val="Estilo42"/>
        <w:ind w:left="1560" w:hanging="709"/>
      </w:pPr>
      <w:bookmarkStart w:id="682" w:name="_Toc337135561"/>
      <w:bookmarkStart w:id="683" w:name="_Toc341040711"/>
      <w:r>
        <w:t>Área de residencia</w:t>
      </w:r>
      <w:bookmarkEnd w:id="682"/>
      <w:r w:rsidR="004B7FC2">
        <w:t xml:space="preserve"> de los españoles</w:t>
      </w:r>
      <w:bookmarkEnd w:id="683"/>
    </w:p>
    <w:p w:rsidR="00361FCE" w:rsidRDefault="00361FCE" w:rsidP="004B7FC2">
      <w:pPr>
        <w:pStyle w:val="Prrafodelista"/>
        <w:spacing w:line="480" w:lineRule="auto"/>
        <w:ind w:left="851"/>
        <w:jc w:val="both"/>
        <w:rPr>
          <w:rFonts w:ascii="Arial" w:hAnsi="Arial" w:cs="Arial"/>
        </w:rPr>
      </w:pPr>
      <w:r>
        <w:rPr>
          <w:rFonts w:ascii="Arial" w:hAnsi="Arial" w:cs="Arial"/>
        </w:rPr>
        <w:t xml:space="preserve">Del total de españoles que residen en Ecuador, el 78.08% viven en áreas urbanas y el 21.92% en áreas rurales; ahora consideremos la tasa de área de residencia de los extranjeros de esta nacionalidad por provincia de residencia habitual, dichos resultados se muestran en la </w:t>
      </w:r>
      <w:r>
        <w:rPr>
          <w:rFonts w:ascii="Arial" w:hAnsi="Arial" w:cs="Arial"/>
          <w:i/>
        </w:rPr>
        <w:t>Figura 4.85</w:t>
      </w:r>
      <w:r>
        <w:rPr>
          <w:rFonts w:ascii="Arial" w:hAnsi="Arial" w:cs="Arial"/>
        </w:rPr>
        <w:t xml:space="preserve">, en la cual podemos notar que en la mayoría de las provincias es mayor la tasa de quienes viven en áreas urbanizadas a excepción de los que residen en Cañar y las Zonas no Delimitadas en las cuales la tasa de los que viven en áreas rurales toma valores mayores que la de urbanización. </w:t>
      </w:r>
    </w:p>
    <w:p w:rsidR="00361FCE" w:rsidRDefault="00361FCE" w:rsidP="004B7FC2">
      <w:pPr>
        <w:pStyle w:val="Prrafodelista"/>
        <w:spacing w:line="480" w:lineRule="auto"/>
        <w:ind w:left="851"/>
        <w:jc w:val="both"/>
        <w:rPr>
          <w:rFonts w:ascii="Arial" w:hAnsi="Arial" w:cs="Arial"/>
        </w:rPr>
      </w:pPr>
    </w:p>
    <w:p w:rsidR="00361FCE" w:rsidRDefault="00361FCE" w:rsidP="004B7FC2">
      <w:pPr>
        <w:pStyle w:val="Prrafodelista"/>
        <w:spacing w:line="480" w:lineRule="auto"/>
        <w:ind w:left="851"/>
        <w:jc w:val="both"/>
        <w:rPr>
          <w:rFonts w:ascii="Arial" w:hAnsi="Arial" w:cs="Arial"/>
          <w:i/>
        </w:rPr>
      </w:pPr>
      <w:r>
        <w:rPr>
          <w:rFonts w:ascii="Arial" w:hAnsi="Arial" w:cs="Arial"/>
        </w:rPr>
        <w:t xml:space="preserve">Por citar algunos ejemplos, tenemos que por cada 1000 españoles que viven en Pichincha 731.40 viven en el área urbana y 268.60 en el área rural; por cada 1000 extranjeros de esta nacionalidad que habitualmente viven en Guayas 939.42 viven en áreas urbanizadas y 60.58 en el área rural, nótese además que esta es la tasa de urbanización más alta; y, de los que residen en las Zonas no Delimitas todos viven en áreas rurales. </w:t>
      </w:r>
      <w:r>
        <w:rPr>
          <w:rFonts w:ascii="Arial" w:hAnsi="Arial" w:cs="Arial"/>
          <w:i/>
        </w:rPr>
        <w:t>Véase Figura 4.85.</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BA50A8">
        <w:trPr>
          <w:trHeight w:val="3099"/>
          <w:jc w:val="right"/>
        </w:trPr>
        <w:tc>
          <w:tcPr>
            <w:tcW w:w="7497" w:type="dxa"/>
          </w:tcPr>
          <w:p w:rsidR="00361FCE" w:rsidRPr="00840530" w:rsidRDefault="00361FCE" w:rsidP="00902050">
            <w:pPr>
              <w:rPr>
                <w:rFonts w:ascii="Arial" w:hAnsi="Arial" w:cs="Arial"/>
                <w:sz w:val="16"/>
                <w:szCs w:val="16"/>
              </w:rPr>
            </w:pPr>
          </w:p>
          <w:p w:rsidR="006D100D" w:rsidRPr="006D100D" w:rsidRDefault="006D100D" w:rsidP="006D100D">
            <w:pPr>
              <w:pStyle w:val="Epgrafe"/>
              <w:rPr>
                <w:rFonts w:ascii="Arial" w:hAnsi="Arial" w:cs="Arial"/>
                <w:bCs w:val="0"/>
                <w:color w:val="auto"/>
                <w:sz w:val="16"/>
                <w:szCs w:val="16"/>
              </w:rPr>
            </w:pPr>
            <w:bookmarkStart w:id="684" w:name="_Toc341044057"/>
            <w:r>
              <w:rPr>
                <w:rFonts w:ascii="Arial" w:hAnsi="Arial" w:cs="Arial"/>
                <w:bCs w:val="0"/>
                <w:color w:val="auto"/>
                <w:sz w:val="16"/>
                <w:szCs w:val="16"/>
              </w:rPr>
              <w:t>Figura 4.</w:t>
            </w:r>
            <w:r w:rsidR="00990535" w:rsidRPr="006D100D">
              <w:rPr>
                <w:rFonts w:ascii="Arial" w:hAnsi="Arial" w:cs="Arial"/>
                <w:bCs w:val="0"/>
                <w:color w:val="auto"/>
                <w:sz w:val="16"/>
                <w:szCs w:val="16"/>
              </w:rPr>
              <w:fldChar w:fldCharType="begin"/>
            </w:r>
            <w:r w:rsidRPr="006D100D">
              <w:rPr>
                <w:rFonts w:ascii="Arial" w:hAnsi="Arial" w:cs="Arial"/>
                <w:bCs w:val="0"/>
                <w:color w:val="auto"/>
                <w:sz w:val="16"/>
                <w:szCs w:val="16"/>
              </w:rPr>
              <w:instrText xml:space="preserve"> SEQ Figura_4. \* ARABIC </w:instrText>
            </w:r>
            <w:r w:rsidR="00990535" w:rsidRPr="006D100D">
              <w:rPr>
                <w:rFonts w:ascii="Arial" w:hAnsi="Arial" w:cs="Arial"/>
                <w:bCs w:val="0"/>
                <w:color w:val="auto"/>
                <w:sz w:val="16"/>
                <w:szCs w:val="16"/>
              </w:rPr>
              <w:fldChar w:fldCharType="separate"/>
            </w:r>
            <w:r w:rsidR="00A242E0">
              <w:rPr>
                <w:rFonts w:ascii="Arial" w:hAnsi="Arial" w:cs="Arial"/>
                <w:bCs w:val="0"/>
                <w:noProof/>
                <w:color w:val="auto"/>
                <w:sz w:val="16"/>
                <w:szCs w:val="16"/>
              </w:rPr>
              <w:t>85</w:t>
            </w:r>
            <w:bookmarkEnd w:id="684"/>
            <w:r w:rsidR="00990535" w:rsidRPr="006D100D">
              <w:rPr>
                <w:rFonts w:ascii="Arial" w:hAnsi="Arial" w:cs="Arial"/>
                <w:bCs w:val="0"/>
                <w:color w:val="auto"/>
                <w:sz w:val="16"/>
                <w:szCs w:val="16"/>
              </w:rPr>
              <w:fldChar w:fldCharType="end"/>
            </w:r>
          </w:p>
          <w:p w:rsidR="00361FCE" w:rsidRDefault="004B7FC2"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Tasa por cada 1000 </w:t>
            </w:r>
            <w:r>
              <w:rPr>
                <w:rFonts w:ascii="Arial" w:hAnsi="Arial" w:cs="Arial"/>
                <w:b/>
                <w:i/>
                <w:sz w:val="16"/>
                <w:szCs w:val="16"/>
              </w:rPr>
              <w:t>españoles</w:t>
            </w:r>
            <w:r w:rsidRPr="00016219">
              <w:rPr>
                <w:rFonts w:ascii="Arial" w:hAnsi="Arial" w:cs="Arial"/>
                <w:i/>
                <w:sz w:val="16"/>
                <w:szCs w:val="16"/>
              </w:rPr>
              <w:t xml:space="preserve"> por zona urbana y rural a nivel Provincial</w:t>
            </w:r>
          </w:p>
          <w:p w:rsidR="00361FCE" w:rsidRPr="00660711" w:rsidRDefault="006D100D" w:rsidP="00902050">
            <w:pPr>
              <w:rPr>
                <w:rFonts w:ascii="Arial" w:hAnsi="Arial" w:cs="Arial"/>
                <w:i/>
                <w:sz w:val="16"/>
                <w:szCs w:val="16"/>
              </w:rPr>
            </w:pPr>
            <w:r>
              <w:rPr>
                <w:noProof/>
                <w:lang w:eastAsia="es-EC"/>
              </w:rPr>
              <w:drawing>
                <wp:inline distT="0" distB="0" distL="0" distR="0" wp14:anchorId="5C03BB88" wp14:editId="163E2C0C">
                  <wp:extent cx="4638675" cy="2340000"/>
                  <wp:effectExtent l="0" t="0" r="0" b="0"/>
                  <wp:docPr id="147" name="Gráfico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c>
      </w:tr>
    </w:tbl>
    <w:p w:rsidR="00361FCE" w:rsidRPr="004B7FC2" w:rsidRDefault="00361FCE" w:rsidP="004B7FC2">
      <w:pPr>
        <w:pStyle w:val="Prrafodelista"/>
        <w:spacing w:line="276" w:lineRule="auto"/>
        <w:ind w:left="851"/>
        <w:jc w:val="both"/>
        <w:rPr>
          <w:rFonts w:ascii="Arial" w:hAnsi="Arial" w:cs="Arial"/>
          <w:sz w:val="17"/>
          <w:szCs w:val="17"/>
        </w:rPr>
      </w:pPr>
    </w:p>
    <w:p w:rsidR="00361FCE" w:rsidRPr="004B7FC2" w:rsidRDefault="00361FCE" w:rsidP="004B7FC2">
      <w:pPr>
        <w:pStyle w:val="Prrafodelista"/>
        <w:spacing w:line="276" w:lineRule="auto"/>
        <w:ind w:left="851"/>
        <w:jc w:val="both"/>
        <w:rPr>
          <w:rFonts w:ascii="Arial" w:hAnsi="Arial" w:cs="Arial"/>
          <w:sz w:val="17"/>
          <w:szCs w:val="17"/>
        </w:rPr>
      </w:pPr>
      <w:r w:rsidRPr="004B7FC2">
        <w:rPr>
          <w:rFonts w:ascii="Arial" w:hAnsi="Arial" w:cs="Arial"/>
          <w:b/>
          <w:i/>
          <w:sz w:val="17"/>
          <w:szCs w:val="17"/>
        </w:rPr>
        <w:t>Fuente:</w:t>
      </w:r>
      <w:r w:rsidRPr="004B7FC2">
        <w:rPr>
          <w:rFonts w:ascii="Arial" w:hAnsi="Arial" w:cs="Arial"/>
          <w:sz w:val="17"/>
          <w:szCs w:val="17"/>
        </w:rPr>
        <w:t xml:space="preserve"> </w:t>
      </w:r>
      <w:r w:rsidRPr="004B7FC2">
        <w:rPr>
          <w:rFonts w:ascii="Arial" w:hAnsi="Arial" w:cs="Arial"/>
          <w:b/>
          <w:sz w:val="17"/>
          <w:szCs w:val="17"/>
        </w:rPr>
        <w:t xml:space="preserve">INEC </w:t>
      </w:r>
      <w:r w:rsidRPr="004B7FC2">
        <w:rPr>
          <w:rFonts w:ascii="Arial" w:hAnsi="Arial" w:cs="Arial"/>
          <w:sz w:val="17"/>
          <w:szCs w:val="17"/>
        </w:rPr>
        <w:t>(2010), Base de Datos del VII Censo de Población y VI de Vivienda.</w:t>
      </w:r>
    </w:p>
    <w:p w:rsidR="00361FCE" w:rsidRDefault="00361FCE" w:rsidP="004B7FC2">
      <w:pPr>
        <w:pStyle w:val="Prrafodelista"/>
        <w:spacing w:line="276" w:lineRule="auto"/>
        <w:ind w:left="851"/>
        <w:jc w:val="both"/>
        <w:rPr>
          <w:rFonts w:ascii="Arial" w:hAnsi="Arial" w:cs="Arial"/>
          <w:sz w:val="18"/>
          <w:szCs w:val="18"/>
        </w:rPr>
      </w:pPr>
      <w:r w:rsidRPr="004B7FC2">
        <w:rPr>
          <w:rFonts w:ascii="Arial" w:hAnsi="Arial" w:cs="Arial"/>
          <w:b/>
          <w:i/>
          <w:sz w:val="17"/>
          <w:szCs w:val="17"/>
        </w:rPr>
        <w:t>Elaborado por:</w:t>
      </w:r>
      <w:r w:rsidRPr="004B7FC2">
        <w:rPr>
          <w:rFonts w:ascii="Arial" w:hAnsi="Arial" w:cs="Arial"/>
          <w:sz w:val="17"/>
          <w:szCs w:val="17"/>
        </w:rPr>
        <w:t xml:space="preserve"> Katherine Loor Valeriano</w:t>
      </w:r>
    </w:p>
    <w:p w:rsidR="00361FCE" w:rsidRDefault="00361FCE" w:rsidP="004B7FC2">
      <w:pPr>
        <w:pStyle w:val="Prrafodelista"/>
        <w:spacing w:line="480" w:lineRule="auto"/>
        <w:ind w:left="851"/>
        <w:jc w:val="both"/>
        <w:rPr>
          <w:rFonts w:ascii="Arial" w:hAnsi="Arial" w:cs="Arial"/>
        </w:rPr>
      </w:pPr>
    </w:p>
    <w:p w:rsidR="00361FCE" w:rsidRDefault="00361FCE" w:rsidP="004B7FC2">
      <w:pPr>
        <w:pStyle w:val="Prrafodelista"/>
        <w:spacing w:line="480" w:lineRule="auto"/>
        <w:ind w:left="851"/>
        <w:jc w:val="both"/>
        <w:rPr>
          <w:rFonts w:ascii="Arial" w:hAnsi="Arial" w:cs="Arial"/>
        </w:rPr>
      </w:pPr>
      <w:r>
        <w:rPr>
          <w:rFonts w:ascii="Arial" w:hAnsi="Arial" w:cs="Arial"/>
        </w:rPr>
        <w:t xml:space="preserve">En la </w:t>
      </w:r>
      <w:r>
        <w:rPr>
          <w:rFonts w:ascii="Arial" w:hAnsi="Arial" w:cs="Arial"/>
          <w:i/>
        </w:rPr>
        <w:t>Figura 4.86</w:t>
      </w:r>
      <w:r>
        <w:rPr>
          <w:rFonts w:ascii="Arial" w:hAnsi="Arial" w:cs="Arial"/>
        </w:rPr>
        <w:t>, se presentan las tasas de área de residencia por cada 1000 españoles para cada género y grupo de edad; en donde para el caso de los hombres podemos notar que la tasa de urbanización aumenta del primero al segundo grupo etario, pero a partir de aquí empieza a disminuir, presentando nuevamente un crecimiento en el grupo de edades comprendidas entre los 20 y 25 años, de aquí en adelante disminuye y aumenta, pero entre los 80 y 85 años la tasa disminuye considerablemente, aunque para los dos últimos grupos de edad podemos notar que la tasa es igual a 1000 lo que significa que todos los españoles de género masculino y que tienen edades comprendidas en esos intervalos viven en el área urbana.</w:t>
      </w:r>
      <w:r w:rsidR="00BA50A8">
        <w:rPr>
          <w:rFonts w:ascii="Arial" w:hAnsi="Arial" w:cs="Arial"/>
        </w:rPr>
        <w:t xml:space="preserve"> P</w:t>
      </w:r>
      <w:r>
        <w:rPr>
          <w:rFonts w:ascii="Arial" w:hAnsi="Arial" w:cs="Arial"/>
        </w:rPr>
        <w:t xml:space="preserve">ara el caso de las mujeres podemos notar que el valor que toma la tasa de urbanización aumenta y disminuye oscilando entre 746.48 y 1000 españoles que viven en el área urbana por cada 1000 españoles por grupo </w:t>
      </w:r>
      <w:r>
        <w:rPr>
          <w:rFonts w:ascii="Arial" w:hAnsi="Arial" w:cs="Arial"/>
        </w:rPr>
        <w:lastRenderedPageBreak/>
        <w:t>etario, además de las mujeres que tienen edades entre 85 a 90 y 95 a 100 todas viven en áreas urbanizadas.</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BA50A8">
        <w:trPr>
          <w:trHeight w:val="4658"/>
          <w:jc w:val="right"/>
        </w:trPr>
        <w:tc>
          <w:tcPr>
            <w:tcW w:w="7497" w:type="dxa"/>
          </w:tcPr>
          <w:p w:rsidR="00361FCE" w:rsidRPr="00840530" w:rsidRDefault="00361FCE" w:rsidP="00902050">
            <w:pPr>
              <w:rPr>
                <w:rFonts w:ascii="Arial" w:hAnsi="Arial" w:cs="Arial"/>
                <w:sz w:val="16"/>
                <w:szCs w:val="16"/>
              </w:rPr>
            </w:pPr>
          </w:p>
          <w:p w:rsidR="006D100D" w:rsidRPr="006D100D" w:rsidRDefault="006D100D" w:rsidP="006D100D">
            <w:pPr>
              <w:pStyle w:val="Epgrafe"/>
              <w:rPr>
                <w:rFonts w:ascii="Arial" w:hAnsi="Arial" w:cs="Arial"/>
                <w:bCs w:val="0"/>
                <w:color w:val="auto"/>
                <w:sz w:val="16"/>
                <w:szCs w:val="16"/>
              </w:rPr>
            </w:pPr>
            <w:bookmarkStart w:id="685" w:name="_Toc341044058"/>
            <w:r>
              <w:rPr>
                <w:rFonts w:ascii="Arial" w:hAnsi="Arial" w:cs="Arial"/>
                <w:bCs w:val="0"/>
                <w:color w:val="auto"/>
                <w:sz w:val="16"/>
                <w:szCs w:val="16"/>
              </w:rPr>
              <w:t>Figura 4.</w:t>
            </w:r>
            <w:r w:rsidR="00990535" w:rsidRPr="006D100D">
              <w:rPr>
                <w:rFonts w:ascii="Arial" w:hAnsi="Arial" w:cs="Arial"/>
                <w:bCs w:val="0"/>
                <w:color w:val="auto"/>
                <w:sz w:val="16"/>
                <w:szCs w:val="16"/>
              </w:rPr>
              <w:fldChar w:fldCharType="begin"/>
            </w:r>
            <w:r w:rsidRPr="006D100D">
              <w:rPr>
                <w:rFonts w:ascii="Arial" w:hAnsi="Arial" w:cs="Arial"/>
                <w:bCs w:val="0"/>
                <w:color w:val="auto"/>
                <w:sz w:val="16"/>
                <w:szCs w:val="16"/>
              </w:rPr>
              <w:instrText xml:space="preserve"> SEQ Figura_4. \* ARABIC </w:instrText>
            </w:r>
            <w:r w:rsidR="00990535" w:rsidRPr="006D100D">
              <w:rPr>
                <w:rFonts w:ascii="Arial" w:hAnsi="Arial" w:cs="Arial"/>
                <w:bCs w:val="0"/>
                <w:color w:val="auto"/>
                <w:sz w:val="16"/>
                <w:szCs w:val="16"/>
              </w:rPr>
              <w:fldChar w:fldCharType="separate"/>
            </w:r>
            <w:r w:rsidR="00A242E0">
              <w:rPr>
                <w:rFonts w:ascii="Arial" w:hAnsi="Arial" w:cs="Arial"/>
                <w:bCs w:val="0"/>
                <w:noProof/>
                <w:color w:val="auto"/>
                <w:sz w:val="16"/>
                <w:szCs w:val="16"/>
              </w:rPr>
              <w:t>86</w:t>
            </w:r>
            <w:bookmarkEnd w:id="685"/>
            <w:r w:rsidR="00990535" w:rsidRPr="006D100D">
              <w:rPr>
                <w:rFonts w:ascii="Arial" w:hAnsi="Arial" w:cs="Arial"/>
                <w:bCs w:val="0"/>
                <w:color w:val="auto"/>
                <w:sz w:val="16"/>
                <w:szCs w:val="16"/>
              </w:rPr>
              <w:fldChar w:fldCharType="end"/>
            </w:r>
          </w:p>
          <w:p w:rsidR="00361FCE" w:rsidRDefault="00BA50A8"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Tasa por cada 1000 </w:t>
            </w:r>
            <w:r>
              <w:rPr>
                <w:rFonts w:ascii="Arial" w:hAnsi="Arial" w:cs="Arial"/>
                <w:b/>
                <w:i/>
                <w:sz w:val="16"/>
                <w:szCs w:val="16"/>
              </w:rPr>
              <w:t>españoles</w:t>
            </w:r>
            <w:r w:rsidRPr="00016219">
              <w:rPr>
                <w:rFonts w:ascii="Arial" w:hAnsi="Arial" w:cs="Arial"/>
                <w:i/>
                <w:sz w:val="16"/>
                <w:szCs w:val="16"/>
              </w:rPr>
              <w:t xml:space="preserve"> por zona urbana y rural por Sexo y Grupo etario</w:t>
            </w:r>
          </w:p>
          <w:p w:rsidR="00361FCE" w:rsidRDefault="00436907" w:rsidP="00902050">
            <w:pPr>
              <w:rPr>
                <w:rFonts w:ascii="Arial" w:hAnsi="Arial" w:cs="Arial"/>
                <w:i/>
                <w:sz w:val="16"/>
                <w:szCs w:val="16"/>
              </w:rPr>
            </w:pPr>
            <w:r>
              <w:rPr>
                <w:rFonts w:ascii="Arial" w:hAnsi="Arial" w:cs="Arial"/>
                <w:noProof/>
                <w:lang w:eastAsia="es-EC"/>
              </w:rPr>
              <w:pict>
                <v:shape id="_x0000_s1722" type="#_x0000_t202" style="position:absolute;left:0;text-align:left;margin-left:158.05pt;margin-top:58.9pt;width:96.95pt;height:20.25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Área Rural</w:t>
                        </w:r>
                      </w:p>
                    </w:txbxContent>
                  </v:textbox>
                </v:shape>
              </w:pict>
            </w:r>
            <w:r>
              <w:rPr>
                <w:rFonts w:ascii="Arial" w:hAnsi="Arial" w:cs="Arial"/>
                <w:noProof/>
                <w:lang w:eastAsia="es-EC"/>
              </w:rPr>
              <w:pict>
                <v:shape id="_x0000_s2276" type="#_x0000_t32" style="position:absolute;left:0;text-align:left;margin-left:194.55pt;margin-top:71.65pt;width:11.25pt;height:13.1pt;flip:x;z-index:252007936" o:connectortype="straight" strokecolor="#e36c0a [2409]">
                  <v:stroke endarrow="block"/>
                </v:shape>
              </w:pict>
            </w:r>
            <w:r>
              <w:rPr>
                <w:rFonts w:ascii="Arial" w:hAnsi="Arial" w:cs="Arial"/>
                <w:noProof/>
                <w:lang w:eastAsia="es-EC"/>
              </w:rPr>
              <w:pict>
                <v:shape id="_x0000_s2274" type="#_x0000_t32" style="position:absolute;left:0;text-align:left;margin-left:190.05pt;margin-top:30.75pt;width:9.75pt;height:9.75pt;flip:x y;z-index:252005888" o:connectortype="straight" strokecolor="#0070c0">
                  <v:stroke endarrow="block"/>
                </v:shape>
              </w:pict>
            </w:r>
            <w:r>
              <w:rPr>
                <w:rFonts w:ascii="Arial" w:hAnsi="Arial" w:cs="Arial"/>
                <w:noProof/>
                <w:lang w:eastAsia="es-EC"/>
              </w:rPr>
              <w:pict>
                <v:shape id="_x0000_s1720" type="#_x0000_t202" style="position:absolute;left:0;text-align:left;margin-left:157.3pt;margin-top:35.25pt;width:96.95pt;height:20.2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Área Urbana</w:t>
                        </w:r>
                      </w:p>
                    </w:txbxContent>
                  </v:textbox>
                </v:shape>
              </w:pict>
            </w:r>
            <w:r>
              <w:rPr>
                <w:noProof/>
              </w:rPr>
              <w:pict>
                <v:shape id="_x0000_s1718" type="#_x0000_t202" style="position:absolute;left:0;text-align:left;margin-left:230.8pt;margin-top:11.25pt;width:118.7pt;height:20.25pt;z-index:25164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t xml:space="preserve"> </w:t>
            </w:r>
            <w:r w:rsidR="00361FCE">
              <w:rPr>
                <w:noProof/>
                <w:lang w:eastAsia="es-EC"/>
              </w:rPr>
              <w:drawing>
                <wp:inline distT="0" distB="0" distL="0" distR="0" wp14:anchorId="0964A0FF" wp14:editId="7481095C">
                  <wp:extent cx="4211955" cy="1800000"/>
                  <wp:effectExtent l="0" t="0" r="0" b="0"/>
                  <wp:docPr id="148" name="Gráfico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361FCE" w:rsidRPr="00660711" w:rsidRDefault="00436907" w:rsidP="00902050">
            <w:pPr>
              <w:rPr>
                <w:rFonts w:ascii="Arial" w:hAnsi="Arial" w:cs="Arial"/>
                <w:i/>
                <w:sz w:val="16"/>
                <w:szCs w:val="16"/>
              </w:rPr>
            </w:pPr>
            <w:r>
              <w:rPr>
                <w:rFonts w:ascii="Arial" w:hAnsi="Arial" w:cs="Arial"/>
                <w:b/>
                <w:i/>
                <w:noProof/>
                <w:sz w:val="18"/>
                <w:szCs w:val="18"/>
                <w:lang w:eastAsia="es-EC"/>
              </w:rPr>
              <w:pict>
                <v:shape id="_x0000_s1723" type="#_x0000_t202" style="position:absolute;left:0;text-align:left;margin-left:172.3pt;margin-top:59.7pt;width:96.95pt;height:20.25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Área Rural</w:t>
                        </w:r>
                      </w:p>
                    </w:txbxContent>
                  </v:textbox>
                </v:shape>
              </w:pict>
            </w:r>
            <w:r>
              <w:rPr>
                <w:rFonts w:ascii="Arial" w:hAnsi="Arial" w:cs="Arial"/>
                <w:noProof/>
                <w:lang w:eastAsia="es-EC"/>
              </w:rPr>
              <w:pict>
                <v:shape id="_x0000_s2277" type="#_x0000_t32" style="position:absolute;left:0;text-align:left;margin-left:210.3pt;margin-top:72.45pt;width:12pt;height:8.25pt;flip:x;z-index:252008960" o:connectortype="straight" strokecolor="#e36c0a [2409]">
                  <v:stroke endarrow="block"/>
                </v:shape>
              </w:pict>
            </w:r>
            <w:r>
              <w:rPr>
                <w:rFonts w:ascii="Arial" w:hAnsi="Arial" w:cs="Arial"/>
                <w:noProof/>
                <w:lang w:eastAsia="es-EC"/>
              </w:rPr>
              <w:pict>
                <v:shape id="_x0000_s1721" type="#_x0000_t202" style="position:absolute;left:0;text-align:left;margin-left:174.55pt;margin-top:36.55pt;width:96.95pt;height:20.2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Área Urbana</w:t>
                        </w:r>
                      </w:p>
                    </w:txbxContent>
                  </v:textbox>
                </v:shape>
              </w:pict>
            </w:r>
            <w:r>
              <w:rPr>
                <w:rFonts w:ascii="Arial" w:hAnsi="Arial" w:cs="Arial"/>
                <w:noProof/>
                <w:sz w:val="18"/>
                <w:szCs w:val="18"/>
                <w:lang w:eastAsia="es-EC"/>
              </w:rPr>
              <w:pict>
                <v:shape id="_x0000_s2275" type="#_x0000_t32" style="position:absolute;left:0;text-align:left;margin-left:205.8pt;margin-top:32.8pt;width:12.75pt;height:9pt;flip:x y;z-index:252006912" o:connectortype="straight" strokecolor="#0070c0">
                  <v:stroke endarrow="block"/>
                </v:shape>
              </w:pict>
            </w:r>
            <w:r>
              <w:rPr>
                <w:rFonts w:ascii="Arial" w:hAnsi="Arial" w:cs="Arial"/>
                <w:noProof/>
                <w:sz w:val="18"/>
                <w:szCs w:val="18"/>
                <w:lang w:eastAsia="es-EC"/>
              </w:rPr>
              <w:pict>
                <v:shape id="_x0000_s1719" type="#_x0000_t202" style="position:absolute;left:0;text-align:left;margin-left:235.3pt;margin-top:10.3pt;width:96.95pt;height:20.25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t xml:space="preserve"> </w:t>
            </w:r>
            <w:r w:rsidR="00361FCE">
              <w:rPr>
                <w:noProof/>
                <w:lang w:eastAsia="es-EC"/>
              </w:rPr>
              <w:drawing>
                <wp:inline distT="0" distB="0" distL="0" distR="0" wp14:anchorId="15510D81" wp14:editId="617FC3BC">
                  <wp:extent cx="4211955" cy="1800000"/>
                  <wp:effectExtent l="0" t="0" r="0" b="0"/>
                  <wp:docPr id="149" name="Gráfico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c>
      </w:tr>
    </w:tbl>
    <w:p w:rsidR="00361FCE" w:rsidRPr="00BA50A8" w:rsidRDefault="00361FCE" w:rsidP="00BA50A8">
      <w:pPr>
        <w:pStyle w:val="Prrafodelista"/>
        <w:spacing w:line="276" w:lineRule="auto"/>
        <w:ind w:left="851"/>
        <w:jc w:val="both"/>
        <w:rPr>
          <w:rFonts w:ascii="Arial" w:hAnsi="Arial" w:cs="Arial"/>
          <w:sz w:val="17"/>
          <w:szCs w:val="17"/>
        </w:rPr>
      </w:pPr>
    </w:p>
    <w:p w:rsidR="00361FCE" w:rsidRPr="00BA50A8" w:rsidRDefault="00361FCE" w:rsidP="00BA50A8">
      <w:pPr>
        <w:pStyle w:val="Prrafodelista"/>
        <w:spacing w:line="276" w:lineRule="auto"/>
        <w:ind w:left="851"/>
        <w:jc w:val="both"/>
        <w:rPr>
          <w:rFonts w:ascii="Arial" w:hAnsi="Arial" w:cs="Arial"/>
          <w:sz w:val="17"/>
          <w:szCs w:val="17"/>
        </w:rPr>
      </w:pPr>
      <w:r w:rsidRPr="00BA50A8">
        <w:rPr>
          <w:rFonts w:ascii="Arial" w:hAnsi="Arial" w:cs="Arial"/>
          <w:b/>
          <w:i/>
          <w:sz w:val="17"/>
          <w:szCs w:val="17"/>
        </w:rPr>
        <w:t>Fuente:</w:t>
      </w:r>
      <w:r w:rsidRPr="00BA50A8">
        <w:rPr>
          <w:rFonts w:ascii="Arial" w:hAnsi="Arial" w:cs="Arial"/>
          <w:sz w:val="17"/>
          <w:szCs w:val="17"/>
        </w:rPr>
        <w:t xml:space="preserve"> </w:t>
      </w:r>
      <w:r w:rsidRPr="00BA50A8">
        <w:rPr>
          <w:rFonts w:ascii="Arial" w:hAnsi="Arial" w:cs="Arial"/>
          <w:b/>
          <w:sz w:val="17"/>
          <w:szCs w:val="17"/>
        </w:rPr>
        <w:t xml:space="preserve">INEC </w:t>
      </w:r>
      <w:r w:rsidRPr="00BA50A8">
        <w:rPr>
          <w:rFonts w:ascii="Arial" w:hAnsi="Arial" w:cs="Arial"/>
          <w:sz w:val="17"/>
          <w:szCs w:val="17"/>
        </w:rPr>
        <w:t>(2010), Base de Datos del VII Censo de Población y VI de Vivienda.</w:t>
      </w:r>
    </w:p>
    <w:p w:rsidR="00361FCE" w:rsidRPr="00BA50A8" w:rsidRDefault="00361FCE" w:rsidP="00BA50A8">
      <w:pPr>
        <w:pStyle w:val="Prrafodelista"/>
        <w:spacing w:line="276" w:lineRule="auto"/>
        <w:ind w:left="851"/>
        <w:jc w:val="both"/>
        <w:rPr>
          <w:rFonts w:ascii="Arial" w:hAnsi="Arial" w:cs="Arial"/>
          <w:sz w:val="17"/>
          <w:szCs w:val="17"/>
        </w:rPr>
      </w:pPr>
      <w:r w:rsidRPr="00BA50A8">
        <w:rPr>
          <w:rFonts w:ascii="Arial" w:hAnsi="Arial" w:cs="Arial"/>
          <w:b/>
          <w:i/>
          <w:sz w:val="17"/>
          <w:szCs w:val="17"/>
        </w:rPr>
        <w:t>Elaborado por:</w:t>
      </w:r>
      <w:r w:rsidRPr="00BA50A8">
        <w:rPr>
          <w:rFonts w:ascii="Arial" w:hAnsi="Arial" w:cs="Arial"/>
          <w:sz w:val="17"/>
          <w:szCs w:val="17"/>
        </w:rPr>
        <w:t xml:space="preserve"> Katherine Loor Valeriano</w:t>
      </w:r>
    </w:p>
    <w:p w:rsidR="00BA50A8" w:rsidRDefault="00BA50A8" w:rsidP="00BA50A8">
      <w:pPr>
        <w:pStyle w:val="Prrafodelista"/>
        <w:spacing w:line="480" w:lineRule="auto"/>
        <w:ind w:left="851"/>
        <w:jc w:val="both"/>
        <w:rPr>
          <w:rFonts w:ascii="Arial" w:hAnsi="Arial" w:cs="Arial"/>
        </w:rPr>
      </w:pPr>
    </w:p>
    <w:p w:rsidR="00BA50A8" w:rsidRDefault="00BA50A8" w:rsidP="00BA50A8">
      <w:pPr>
        <w:pStyle w:val="Prrafodelista"/>
        <w:spacing w:line="480" w:lineRule="auto"/>
        <w:ind w:left="851"/>
        <w:jc w:val="both"/>
        <w:rPr>
          <w:rFonts w:ascii="Arial" w:hAnsi="Arial" w:cs="Arial"/>
          <w:i/>
        </w:rPr>
      </w:pPr>
      <w:r>
        <w:rPr>
          <w:rFonts w:ascii="Arial" w:hAnsi="Arial" w:cs="Arial"/>
        </w:rPr>
        <w:t xml:space="preserve">Por citar algunos ejemplos, tenemos que por cada 1000 españoles de género masculino con edades comprendidas entre 20 y 25 años 813.56 viven en el área urbana y 186.44 en el área rural; mientras que, por cada 1000 mujeres de la misma nacionalidad y con edad comprendidas en el mismo grupo de edad 771.43 residen en áreas urbanizadas y 228.57 en áreas rurales. Cabe mencionar que en la mayoría de los grupos de edad la tasa de urbanización de los hombres toma valores mayores que la tasa de las mujeres a excepción de seis grupos de edad, como el de los menores de 1 año en el cual por cada 1000 hombres 669.81 viven en el área urbana, mientras que pos cada 1000 niñas 764.71 están en zonas urbanizadas. </w:t>
      </w:r>
      <w:r>
        <w:rPr>
          <w:rFonts w:ascii="Arial" w:hAnsi="Arial" w:cs="Arial"/>
          <w:i/>
        </w:rPr>
        <w:t>Véase Figura 4.86.</w:t>
      </w:r>
    </w:p>
    <w:p w:rsidR="00BA50A8" w:rsidRDefault="00BA50A8" w:rsidP="00BA50A8">
      <w:pPr>
        <w:pStyle w:val="Prrafodelista"/>
        <w:spacing w:line="480" w:lineRule="auto"/>
        <w:ind w:left="851"/>
        <w:jc w:val="both"/>
        <w:rPr>
          <w:rFonts w:ascii="Arial" w:hAnsi="Arial" w:cs="Arial"/>
        </w:rPr>
      </w:pPr>
    </w:p>
    <w:p w:rsidR="00361FCE" w:rsidRDefault="00361FCE" w:rsidP="00BA50A8">
      <w:pPr>
        <w:pStyle w:val="Estilo42"/>
        <w:ind w:left="1560" w:hanging="709"/>
      </w:pPr>
      <w:bookmarkStart w:id="686" w:name="_Toc337135562"/>
      <w:bookmarkStart w:id="687" w:name="_Toc341040712"/>
      <w:r>
        <w:t>Años de residencia en Ecuador</w:t>
      </w:r>
      <w:bookmarkEnd w:id="686"/>
      <w:r w:rsidR="00BA50A8">
        <w:t xml:space="preserve"> de los españoles</w:t>
      </w:r>
      <w:bookmarkEnd w:id="687"/>
    </w:p>
    <w:p w:rsidR="00361FCE" w:rsidRPr="00672004" w:rsidRDefault="00361FCE" w:rsidP="00BA50A8">
      <w:pPr>
        <w:pStyle w:val="Prrafodelista"/>
        <w:tabs>
          <w:tab w:val="left" w:pos="1785"/>
        </w:tabs>
        <w:spacing w:line="480" w:lineRule="auto"/>
        <w:ind w:left="851"/>
        <w:jc w:val="both"/>
        <w:rPr>
          <w:rFonts w:ascii="Arial" w:hAnsi="Arial" w:cs="Arial"/>
          <w:i/>
        </w:rPr>
      </w:pPr>
      <w:r>
        <w:rPr>
          <w:rFonts w:ascii="Arial" w:hAnsi="Arial" w:cs="Arial"/>
        </w:rPr>
        <w:t xml:space="preserve">De los españoles que residen en Ecuador y que fueron empadronados el 28 de noviembre de 2010, 2 de ellos llegaron en 1932, 1 en 1933, 2 en 1937; y, la mayoría se registra que llegaron en el 2010 (año del Censo); además como se muestra en la </w:t>
      </w:r>
      <w:r>
        <w:rPr>
          <w:rFonts w:ascii="Arial" w:hAnsi="Arial" w:cs="Arial"/>
          <w:i/>
        </w:rPr>
        <w:t>Figura 4.87</w:t>
      </w:r>
      <w:r>
        <w:rPr>
          <w:rFonts w:ascii="Arial" w:hAnsi="Arial" w:cs="Arial"/>
        </w:rPr>
        <w:t xml:space="preserve">, el 57.66% tienen residiendo en el país entre 1 y 20 años, el 23.38% tienen menos de 1 años viviendo en el país, el 3.24% entre 20 y 40 años, el 1.46% entre 40 y 60 años, el 0.26% del total de españoles llegaron hace 60 y 80 años; y, además el 14% de ellos no respondieron a esta pregunta. </w:t>
      </w:r>
      <w:r>
        <w:rPr>
          <w:rFonts w:ascii="Arial" w:hAnsi="Arial" w:cs="Arial"/>
          <w:i/>
        </w:rPr>
        <w:t>Véase Figura 4.87.</w:t>
      </w:r>
    </w:p>
    <w:tbl>
      <w:tblPr>
        <w:tblStyle w:val="Tablaconcuadrcula"/>
        <w:tblW w:w="7497" w:type="dxa"/>
        <w:jc w:val="right"/>
        <w:tblInd w:w="1074"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BA50A8">
        <w:trPr>
          <w:trHeight w:val="3979"/>
          <w:jc w:val="right"/>
        </w:trPr>
        <w:tc>
          <w:tcPr>
            <w:tcW w:w="7497" w:type="dxa"/>
          </w:tcPr>
          <w:p w:rsidR="00361FCE" w:rsidRPr="00840530" w:rsidRDefault="00361FCE" w:rsidP="00902050">
            <w:pPr>
              <w:rPr>
                <w:rFonts w:ascii="Arial" w:hAnsi="Arial" w:cs="Arial"/>
                <w:sz w:val="16"/>
                <w:szCs w:val="16"/>
              </w:rPr>
            </w:pPr>
          </w:p>
          <w:p w:rsidR="006D100D" w:rsidRPr="006D100D" w:rsidRDefault="006D100D" w:rsidP="006D100D">
            <w:pPr>
              <w:pStyle w:val="Epgrafe"/>
              <w:rPr>
                <w:rFonts w:ascii="Arial" w:hAnsi="Arial" w:cs="Arial"/>
                <w:bCs w:val="0"/>
                <w:color w:val="auto"/>
                <w:sz w:val="16"/>
                <w:szCs w:val="16"/>
              </w:rPr>
            </w:pPr>
            <w:bookmarkStart w:id="688" w:name="_Toc341044059"/>
            <w:r>
              <w:rPr>
                <w:rFonts w:ascii="Arial" w:hAnsi="Arial" w:cs="Arial"/>
                <w:bCs w:val="0"/>
                <w:color w:val="auto"/>
                <w:sz w:val="16"/>
                <w:szCs w:val="16"/>
              </w:rPr>
              <w:t>Figura 4.</w:t>
            </w:r>
            <w:r w:rsidR="00990535" w:rsidRPr="006D100D">
              <w:rPr>
                <w:rFonts w:ascii="Arial" w:hAnsi="Arial" w:cs="Arial"/>
                <w:bCs w:val="0"/>
                <w:color w:val="auto"/>
                <w:sz w:val="16"/>
                <w:szCs w:val="16"/>
              </w:rPr>
              <w:fldChar w:fldCharType="begin"/>
            </w:r>
            <w:r w:rsidRPr="006D100D">
              <w:rPr>
                <w:rFonts w:ascii="Arial" w:hAnsi="Arial" w:cs="Arial"/>
                <w:bCs w:val="0"/>
                <w:color w:val="auto"/>
                <w:sz w:val="16"/>
                <w:szCs w:val="16"/>
              </w:rPr>
              <w:instrText xml:space="preserve"> SEQ Figura_4. \* ARABIC </w:instrText>
            </w:r>
            <w:r w:rsidR="00990535" w:rsidRPr="006D100D">
              <w:rPr>
                <w:rFonts w:ascii="Arial" w:hAnsi="Arial" w:cs="Arial"/>
                <w:bCs w:val="0"/>
                <w:color w:val="auto"/>
                <w:sz w:val="16"/>
                <w:szCs w:val="16"/>
              </w:rPr>
              <w:fldChar w:fldCharType="separate"/>
            </w:r>
            <w:r w:rsidR="00A242E0">
              <w:rPr>
                <w:rFonts w:ascii="Arial" w:hAnsi="Arial" w:cs="Arial"/>
                <w:bCs w:val="0"/>
                <w:noProof/>
                <w:color w:val="auto"/>
                <w:sz w:val="16"/>
                <w:szCs w:val="16"/>
              </w:rPr>
              <w:t>87</w:t>
            </w:r>
            <w:bookmarkEnd w:id="688"/>
            <w:r w:rsidR="00990535" w:rsidRPr="006D100D">
              <w:rPr>
                <w:rFonts w:ascii="Arial" w:hAnsi="Arial" w:cs="Arial"/>
                <w:bCs w:val="0"/>
                <w:color w:val="auto"/>
                <w:sz w:val="16"/>
                <w:szCs w:val="16"/>
              </w:rPr>
              <w:fldChar w:fldCharType="end"/>
            </w:r>
          </w:p>
          <w:p w:rsidR="00BA50A8" w:rsidRPr="00016219" w:rsidRDefault="00BA50A8" w:rsidP="00BA50A8">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Frecuencia Relativa de la cantidad de años de residencia en el</w:t>
            </w:r>
          </w:p>
          <w:p w:rsidR="00361FCE" w:rsidRDefault="00BA50A8" w:rsidP="00BA50A8">
            <w:pPr>
              <w:rPr>
                <w:rFonts w:ascii="Arial" w:hAnsi="Arial" w:cs="Arial"/>
                <w:i/>
                <w:sz w:val="16"/>
                <w:szCs w:val="16"/>
              </w:rPr>
            </w:pPr>
            <w:r w:rsidRPr="00016219">
              <w:rPr>
                <w:rFonts w:ascii="Arial" w:hAnsi="Arial" w:cs="Arial"/>
                <w:i/>
                <w:sz w:val="16"/>
                <w:szCs w:val="16"/>
              </w:rPr>
              <w:t xml:space="preserve"> país de la población </w:t>
            </w:r>
            <w:r>
              <w:rPr>
                <w:rFonts w:ascii="Arial" w:hAnsi="Arial" w:cs="Arial"/>
                <w:b/>
                <w:i/>
                <w:sz w:val="16"/>
                <w:szCs w:val="16"/>
              </w:rPr>
              <w:t>española</w:t>
            </w:r>
          </w:p>
          <w:tbl>
            <w:tblPr>
              <w:tblStyle w:val="Tablaconcuadrcula"/>
              <w:tblW w:w="7010" w:type="dxa"/>
              <w:jc w:val="center"/>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540"/>
              <w:gridCol w:w="4509"/>
            </w:tblGrid>
            <w:tr w:rsidR="00361FCE" w:rsidRPr="00A22FF9" w:rsidTr="00BA50A8">
              <w:trPr>
                <w:trHeight w:val="3143"/>
                <w:jc w:val="center"/>
              </w:trPr>
              <w:tc>
                <w:tcPr>
                  <w:tcW w:w="2705" w:type="dxa"/>
                </w:tcPr>
                <w:p w:rsidR="00361FCE" w:rsidRDefault="00361FCE" w:rsidP="00902050">
                  <w:pPr>
                    <w:rPr>
                      <w:rFonts w:ascii="Arial" w:hAnsi="Arial" w:cs="Arial"/>
                      <w:b/>
                      <w:sz w:val="16"/>
                      <w:szCs w:val="16"/>
                    </w:rPr>
                  </w:pPr>
                  <w:r w:rsidRPr="005400D0">
                    <w:rPr>
                      <w:noProof/>
                      <w:sz w:val="10"/>
                      <w:szCs w:val="10"/>
                      <w:lang w:eastAsia="es-EC"/>
                    </w:rPr>
                    <w:t xml:space="preserve"> </w:t>
                  </w:r>
                </w:p>
                <w:p w:rsidR="00361FCE" w:rsidRPr="00A22FF9" w:rsidRDefault="00361FCE" w:rsidP="00902050">
                  <w:pPr>
                    <w:ind w:left="201"/>
                    <w:rPr>
                      <w:rFonts w:ascii="Arial" w:hAnsi="Arial" w:cs="Arial"/>
                      <w:b/>
                      <w:sz w:val="16"/>
                      <w:szCs w:val="16"/>
                    </w:rPr>
                  </w:pPr>
                  <w:r w:rsidRPr="00A22FF9">
                    <w:rPr>
                      <w:rFonts w:ascii="Arial" w:hAnsi="Arial" w:cs="Arial"/>
                      <w:b/>
                      <w:sz w:val="16"/>
                      <w:szCs w:val="16"/>
                    </w:rPr>
                    <w:t>Tabla de Frecuencias</w:t>
                  </w:r>
                </w:p>
                <w:p w:rsidR="00361FCE" w:rsidRDefault="00361FCE" w:rsidP="00902050">
                  <w:pPr>
                    <w:rPr>
                      <w:rFonts w:ascii="Arial" w:hAnsi="Arial" w:cs="Arial"/>
                      <w:sz w:val="10"/>
                      <w:szCs w:val="10"/>
                    </w:rPr>
                  </w:pPr>
                </w:p>
                <w:p w:rsidR="00361FCE" w:rsidRPr="00A22FF9" w:rsidRDefault="00361FCE" w:rsidP="00902050">
                  <w:pPr>
                    <w:rPr>
                      <w:rFonts w:ascii="Arial" w:hAnsi="Arial" w:cs="Arial"/>
                      <w:sz w:val="10"/>
                      <w:szCs w:val="10"/>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361FCE" w:rsidRPr="00760508" w:rsidTr="00902050">
                    <w:trPr>
                      <w:trHeight w:val="227"/>
                      <w:jc w:val="center"/>
                    </w:trPr>
                    <w:tc>
                      <w:tcPr>
                        <w:tcW w:w="1200" w:type="dxa"/>
                        <w:tcBorders>
                          <w:top w:val="single" w:sz="8" w:space="0" w:color="auto"/>
                          <w:left w:val="nil"/>
                          <w:bottom w:val="single" w:sz="8" w:space="0" w:color="auto"/>
                          <w:right w:val="nil"/>
                        </w:tcBorders>
                        <w:shd w:val="clear" w:color="auto" w:fill="auto"/>
                        <w:vAlign w:val="center"/>
                        <w:hideMark/>
                      </w:tcPr>
                      <w:p w:rsidR="00361FCE" w:rsidRPr="00760508" w:rsidRDefault="00361FCE" w:rsidP="00902050">
                        <w:pPr>
                          <w:rPr>
                            <w:rFonts w:ascii="Arial" w:eastAsia="Times New Roman" w:hAnsi="Arial" w:cs="Arial"/>
                            <w:b/>
                            <w:bCs/>
                            <w:color w:val="000000"/>
                            <w:sz w:val="16"/>
                            <w:szCs w:val="16"/>
                            <w:lang w:eastAsia="es-EC"/>
                          </w:rPr>
                        </w:pPr>
                        <w:r w:rsidRPr="00760508">
                          <w:rPr>
                            <w:rFonts w:ascii="Arial" w:eastAsia="Times New Roman" w:hAnsi="Arial" w:cs="Arial"/>
                            <w:b/>
                            <w:bCs/>
                            <w:color w:val="000000"/>
                            <w:sz w:val="16"/>
                            <w:szCs w:val="16"/>
                            <w:lang w:eastAsia="es-EC"/>
                          </w:rPr>
                          <w:t>Años de residencia en Ecuador</w:t>
                        </w:r>
                      </w:p>
                    </w:tc>
                    <w:tc>
                      <w:tcPr>
                        <w:tcW w:w="1200" w:type="dxa"/>
                        <w:tcBorders>
                          <w:top w:val="single" w:sz="8" w:space="0" w:color="auto"/>
                          <w:left w:val="nil"/>
                          <w:bottom w:val="single" w:sz="8" w:space="0" w:color="auto"/>
                          <w:right w:val="nil"/>
                        </w:tcBorders>
                        <w:shd w:val="clear" w:color="auto" w:fill="auto"/>
                        <w:vAlign w:val="center"/>
                        <w:hideMark/>
                      </w:tcPr>
                      <w:p w:rsidR="00361FCE" w:rsidRPr="00760508" w:rsidRDefault="00361FCE" w:rsidP="00902050">
                        <w:pPr>
                          <w:rPr>
                            <w:rFonts w:ascii="Arial" w:eastAsia="Times New Roman" w:hAnsi="Arial" w:cs="Arial"/>
                            <w:b/>
                            <w:bCs/>
                            <w:color w:val="000000"/>
                            <w:sz w:val="16"/>
                            <w:szCs w:val="16"/>
                            <w:lang w:eastAsia="es-EC"/>
                          </w:rPr>
                        </w:pPr>
                        <w:r w:rsidRPr="00760508">
                          <w:rPr>
                            <w:rFonts w:ascii="Arial" w:eastAsia="Times New Roman" w:hAnsi="Arial" w:cs="Arial"/>
                            <w:b/>
                            <w:bCs/>
                            <w:color w:val="000000"/>
                            <w:sz w:val="16"/>
                            <w:szCs w:val="16"/>
                            <w:lang w:eastAsia="es-EC"/>
                          </w:rPr>
                          <w:t>Frecuencia Relativa</w:t>
                        </w:r>
                      </w:p>
                    </w:tc>
                  </w:tr>
                  <w:tr w:rsidR="00361FCE" w:rsidRPr="00760508" w:rsidTr="00902050">
                    <w:trPr>
                      <w:trHeight w:val="227"/>
                      <w:jc w:val="center"/>
                    </w:trPr>
                    <w:tc>
                      <w:tcPr>
                        <w:tcW w:w="1200" w:type="dxa"/>
                        <w:tcBorders>
                          <w:top w:val="nil"/>
                          <w:left w:val="nil"/>
                          <w:bottom w:val="nil"/>
                          <w:right w:val="nil"/>
                        </w:tcBorders>
                        <w:shd w:val="clear" w:color="auto" w:fill="auto"/>
                        <w:noWrap/>
                        <w:vAlign w:val="center"/>
                      </w:tcPr>
                      <w:p w:rsidR="00361FCE" w:rsidRDefault="00361FCE" w:rsidP="00BA50A8">
                        <w:pPr>
                          <w:jc w:val="left"/>
                          <w:rPr>
                            <w:rFonts w:ascii="Arial" w:hAnsi="Arial" w:cs="Arial"/>
                            <w:color w:val="000000"/>
                            <w:sz w:val="16"/>
                            <w:szCs w:val="16"/>
                          </w:rPr>
                        </w:pPr>
                        <w:r>
                          <w:rPr>
                            <w:rFonts w:ascii="Arial" w:hAnsi="Arial" w:cs="Arial"/>
                            <w:color w:val="000000"/>
                            <w:sz w:val="16"/>
                            <w:szCs w:val="16"/>
                          </w:rPr>
                          <w:t>Menos de 1</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0.234</w:t>
                        </w:r>
                      </w:p>
                    </w:tc>
                  </w:tr>
                  <w:tr w:rsidR="00361FCE" w:rsidRPr="00760508" w:rsidTr="00902050">
                    <w:trPr>
                      <w:trHeight w:val="227"/>
                      <w:jc w:val="center"/>
                    </w:trPr>
                    <w:tc>
                      <w:tcPr>
                        <w:tcW w:w="1200" w:type="dxa"/>
                        <w:tcBorders>
                          <w:top w:val="nil"/>
                          <w:left w:val="nil"/>
                          <w:bottom w:val="nil"/>
                          <w:right w:val="nil"/>
                        </w:tcBorders>
                        <w:shd w:val="clear" w:color="auto" w:fill="auto"/>
                        <w:noWrap/>
                        <w:vAlign w:val="center"/>
                      </w:tcPr>
                      <w:p w:rsidR="00361FCE" w:rsidRDefault="00361FCE" w:rsidP="00BA50A8">
                        <w:pPr>
                          <w:jc w:val="left"/>
                          <w:rPr>
                            <w:rFonts w:ascii="Arial" w:hAnsi="Arial" w:cs="Arial"/>
                            <w:color w:val="000000"/>
                            <w:sz w:val="16"/>
                            <w:szCs w:val="16"/>
                          </w:rPr>
                        </w:pPr>
                        <w:r>
                          <w:rPr>
                            <w:rFonts w:ascii="Arial" w:hAnsi="Arial" w:cs="Arial"/>
                            <w:color w:val="000000"/>
                            <w:sz w:val="16"/>
                            <w:szCs w:val="16"/>
                          </w:rPr>
                          <w:t>[1 - 20)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0.577</w:t>
                        </w:r>
                      </w:p>
                    </w:tc>
                  </w:tr>
                  <w:tr w:rsidR="00361FCE" w:rsidRPr="00760508" w:rsidTr="00902050">
                    <w:trPr>
                      <w:trHeight w:val="227"/>
                      <w:jc w:val="center"/>
                    </w:trPr>
                    <w:tc>
                      <w:tcPr>
                        <w:tcW w:w="1200" w:type="dxa"/>
                        <w:tcBorders>
                          <w:top w:val="nil"/>
                          <w:left w:val="nil"/>
                          <w:bottom w:val="nil"/>
                          <w:right w:val="nil"/>
                        </w:tcBorders>
                        <w:shd w:val="clear" w:color="auto" w:fill="auto"/>
                        <w:noWrap/>
                        <w:vAlign w:val="center"/>
                      </w:tcPr>
                      <w:p w:rsidR="00361FCE" w:rsidRDefault="00361FCE" w:rsidP="00BA50A8">
                        <w:pPr>
                          <w:jc w:val="left"/>
                          <w:rPr>
                            <w:rFonts w:ascii="Arial" w:hAnsi="Arial" w:cs="Arial"/>
                            <w:color w:val="000000"/>
                            <w:sz w:val="16"/>
                            <w:szCs w:val="16"/>
                          </w:rPr>
                        </w:pPr>
                        <w:r>
                          <w:rPr>
                            <w:rFonts w:ascii="Arial" w:hAnsi="Arial" w:cs="Arial"/>
                            <w:color w:val="000000"/>
                            <w:sz w:val="16"/>
                            <w:szCs w:val="16"/>
                          </w:rPr>
                          <w:t>[20 - 40)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0.032</w:t>
                        </w:r>
                      </w:p>
                    </w:tc>
                  </w:tr>
                  <w:tr w:rsidR="00361FCE" w:rsidRPr="00760508" w:rsidTr="00902050">
                    <w:trPr>
                      <w:trHeight w:val="227"/>
                      <w:jc w:val="center"/>
                    </w:trPr>
                    <w:tc>
                      <w:tcPr>
                        <w:tcW w:w="1200" w:type="dxa"/>
                        <w:tcBorders>
                          <w:top w:val="nil"/>
                          <w:left w:val="nil"/>
                          <w:bottom w:val="nil"/>
                          <w:right w:val="nil"/>
                        </w:tcBorders>
                        <w:shd w:val="clear" w:color="auto" w:fill="auto"/>
                        <w:noWrap/>
                        <w:vAlign w:val="center"/>
                      </w:tcPr>
                      <w:p w:rsidR="00361FCE" w:rsidRDefault="00361FCE" w:rsidP="00BA50A8">
                        <w:pPr>
                          <w:jc w:val="left"/>
                          <w:rPr>
                            <w:rFonts w:ascii="Arial" w:hAnsi="Arial" w:cs="Arial"/>
                            <w:color w:val="000000"/>
                            <w:sz w:val="16"/>
                            <w:szCs w:val="16"/>
                          </w:rPr>
                        </w:pPr>
                        <w:r>
                          <w:rPr>
                            <w:rFonts w:ascii="Arial" w:hAnsi="Arial" w:cs="Arial"/>
                            <w:color w:val="000000"/>
                            <w:sz w:val="16"/>
                            <w:szCs w:val="16"/>
                          </w:rPr>
                          <w:t>[40 - 60)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0.015</w:t>
                        </w:r>
                      </w:p>
                    </w:tc>
                  </w:tr>
                  <w:tr w:rsidR="00361FCE" w:rsidRPr="00760508" w:rsidTr="00902050">
                    <w:trPr>
                      <w:trHeight w:val="227"/>
                      <w:jc w:val="center"/>
                    </w:trPr>
                    <w:tc>
                      <w:tcPr>
                        <w:tcW w:w="1200" w:type="dxa"/>
                        <w:tcBorders>
                          <w:top w:val="nil"/>
                          <w:left w:val="nil"/>
                          <w:bottom w:val="nil"/>
                          <w:right w:val="nil"/>
                        </w:tcBorders>
                        <w:shd w:val="clear" w:color="auto" w:fill="auto"/>
                        <w:noWrap/>
                        <w:vAlign w:val="center"/>
                      </w:tcPr>
                      <w:p w:rsidR="00361FCE" w:rsidRDefault="00361FCE" w:rsidP="00BA50A8">
                        <w:pPr>
                          <w:jc w:val="left"/>
                          <w:rPr>
                            <w:rFonts w:ascii="Arial" w:hAnsi="Arial" w:cs="Arial"/>
                            <w:color w:val="000000"/>
                            <w:sz w:val="16"/>
                            <w:szCs w:val="16"/>
                          </w:rPr>
                        </w:pPr>
                        <w:r>
                          <w:rPr>
                            <w:rFonts w:ascii="Arial" w:hAnsi="Arial" w:cs="Arial"/>
                            <w:color w:val="000000"/>
                            <w:sz w:val="16"/>
                            <w:szCs w:val="16"/>
                          </w:rPr>
                          <w:t>[60 - 80]</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0.003</w:t>
                        </w:r>
                      </w:p>
                    </w:tc>
                  </w:tr>
                  <w:tr w:rsidR="00361FCE" w:rsidRPr="00760508" w:rsidTr="00902050">
                    <w:trPr>
                      <w:trHeight w:val="227"/>
                      <w:jc w:val="center"/>
                    </w:trPr>
                    <w:tc>
                      <w:tcPr>
                        <w:tcW w:w="1200" w:type="dxa"/>
                        <w:tcBorders>
                          <w:top w:val="nil"/>
                          <w:left w:val="nil"/>
                          <w:bottom w:val="nil"/>
                          <w:right w:val="nil"/>
                        </w:tcBorders>
                        <w:shd w:val="clear" w:color="auto" w:fill="auto"/>
                        <w:noWrap/>
                        <w:vAlign w:val="center"/>
                      </w:tcPr>
                      <w:p w:rsidR="00361FCE" w:rsidRDefault="00361FCE" w:rsidP="00BA50A8">
                        <w:pPr>
                          <w:jc w:val="left"/>
                          <w:rPr>
                            <w:rFonts w:ascii="Arial" w:hAnsi="Arial" w:cs="Arial"/>
                            <w:color w:val="000000"/>
                            <w:sz w:val="16"/>
                            <w:szCs w:val="16"/>
                          </w:rPr>
                        </w:pPr>
                        <w:r>
                          <w:rPr>
                            <w:rFonts w:ascii="Arial" w:hAnsi="Arial" w:cs="Arial"/>
                            <w:color w:val="000000"/>
                            <w:sz w:val="16"/>
                            <w:szCs w:val="16"/>
                          </w:rPr>
                          <w:t>No declarado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0.140</w:t>
                        </w:r>
                      </w:p>
                    </w:tc>
                  </w:tr>
                  <w:tr w:rsidR="00361FCE" w:rsidRPr="00760508" w:rsidTr="00902050">
                    <w:trPr>
                      <w:trHeight w:val="227"/>
                      <w:jc w:val="center"/>
                    </w:trPr>
                    <w:tc>
                      <w:tcPr>
                        <w:tcW w:w="1200" w:type="dxa"/>
                        <w:tcBorders>
                          <w:top w:val="nil"/>
                          <w:left w:val="nil"/>
                          <w:bottom w:val="single" w:sz="8" w:space="0" w:color="auto"/>
                          <w:right w:val="nil"/>
                        </w:tcBorders>
                        <w:shd w:val="clear" w:color="auto" w:fill="auto"/>
                        <w:noWrap/>
                        <w:vAlign w:val="center"/>
                        <w:hideMark/>
                      </w:tcPr>
                      <w:p w:rsidR="00361FCE" w:rsidRPr="00760508" w:rsidRDefault="00361FCE" w:rsidP="00BA50A8">
                        <w:pPr>
                          <w:jc w:val="left"/>
                          <w:rPr>
                            <w:rFonts w:ascii="Arial" w:eastAsia="Times New Roman" w:hAnsi="Arial" w:cs="Arial"/>
                            <w:b/>
                            <w:bCs/>
                            <w:i/>
                            <w:iCs/>
                            <w:color w:val="000000"/>
                            <w:sz w:val="16"/>
                            <w:szCs w:val="16"/>
                            <w:lang w:eastAsia="es-EC"/>
                          </w:rPr>
                        </w:pPr>
                        <w:r w:rsidRPr="00760508">
                          <w:rPr>
                            <w:rFonts w:ascii="Arial" w:eastAsia="Times New Roman" w:hAnsi="Arial" w:cs="Arial"/>
                            <w:b/>
                            <w:bCs/>
                            <w:i/>
                            <w:iCs/>
                            <w:color w:val="000000"/>
                            <w:sz w:val="16"/>
                            <w:szCs w:val="16"/>
                            <w:lang w:eastAsia="es-EC"/>
                          </w:rPr>
                          <w:t>Total</w:t>
                        </w:r>
                      </w:p>
                    </w:tc>
                    <w:tc>
                      <w:tcPr>
                        <w:tcW w:w="1200" w:type="dxa"/>
                        <w:tcBorders>
                          <w:top w:val="nil"/>
                          <w:left w:val="nil"/>
                          <w:bottom w:val="single" w:sz="8" w:space="0" w:color="auto"/>
                          <w:right w:val="nil"/>
                        </w:tcBorders>
                        <w:shd w:val="clear" w:color="auto" w:fill="auto"/>
                        <w:noWrap/>
                        <w:vAlign w:val="center"/>
                        <w:hideMark/>
                      </w:tcPr>
                      <w:p w:rsidR="00361FCE" w:rsidRPr="00760508" w:rsidRDefault="00361FCE" w:rsidP="00902050">
                        <w:pPr>
                          <w:rPr>
                            <w:rFonts w:ascii="Arial" w:eastAsia="Times New Roman" w:hAnsi="Arial" w:cs="Arial"/>
                            <w:b/>
                            <w:bCs/>
                            <w:i/>
                            <w:iCs/>
                            <w:color w:val="000000"/>
                            <w:sz w:val="16"/>
                            <w:szCs w:val="16"/>
                            <w:lang w:eastAsia="es-EC"/>
                          </w:rPr>
                        </w:pPr>
                        <w:r w:rsidRPr="00760508">
                          <w:rPr>
                            <w:rFonts w:ascii="Arial" w:eastAsia="Times New Roman" w:hAnsi="Arial" w:cs="Arial"/>
                            <w:b/>
                            <w:bCs/>
                            <w:i/>
                            <w:iCs/>
                            <w:color w:val="000000"/>
                            <w:sz w:val="16"/>
                            <w:szCs w:val="16"/>
                            <w:lang w:eastAsia="es-EC"/>
                          </w:rPr>
                          <w:t>1.000</w:t>
                        </w:r>
                      </w:p>
                    </w:tc>
                  </w:tr>
                </w:tbl>
                <w:p w:rsidR="00361FCE" w:rsidRDefault="00361FCE" w:rsidP="00902050">
                  <w:pPr>
                    <w:rPr>
                      <w:rFonts w:ascii="Arial" w:hAnsi="Arial" w:cs="Arial"/>
                      <w:sz w:val="24"/>
                      <w:szCs w:val="24"/>
                    </w:rPr>
                  </w:pPr>
                </w:p>
              </w:tc>
              <w:tc>
                <w:tcPr>
                  <w:tcW w:w="4305" w:type="dxa"/>
                </w:tcPr>
                <w:p w:rsidR="00361FCE" w:rsidRPr="00A22FF9" w:rsidRDefault="00361FCE" w:rsidP="00902050">
                  <w:pPr>
                    <w:rPr>
                      <w:rFonts w:ascii="Arial" w:hAnsi="Arial" w:cs="Arial"/>
                      <w:b/>
                      <w:sz w:val="16"/>
                      <w:szCs w:val="16"/>
                    </w:rPr>
                  </w:pPr>
                </w:p>
                <w:p w:rsidR="00361FCE" w:rsidRDefault="00361FCE" w:rsidP="00902050">
                  <w:pPr>
                    <w:rPr>
                      <w:rFonts w:ascii="Arial" w:hAnsi="Arial" w:cs="Arial"/>
                      <w:b/>
                      <w:sz w:val="16"/>
                      <w:szCs w:val="16"/>
                    </w:rPr>
                  </w:pPr>
                  <w:r w:rsidRPr="00A22FF9">
                    <w:rPr>
                      <w:rFonts w:ascii="Arial" w:hAnsi="Arial" w:cs="Arial"/>
                      <w:b/>
                      <w:sz w:val="16"/>
                      <w:szCs w:val="16"/>
                    </w:rPr>
                    <w:t>Histograma de Frecuencias</w:t>
                  </w:r>
                </w:p>
                <w:p w:rsidR="00361FCE" w:rsidRPr="00A22FF9" w:rsidRDefault="00361FCE" w:rsidP="00902050">
                  <w:pPr>
                    <w:rPr>
                      <w:rFonts w:ascii="Arial" w:hAnsi="Arial" w:cs="Arial"/>
                      <w:b/>
                      <w:sz w:val="16"/>
                      <w:szCs w:val="16"/>
                    </w:rPr>
                  </w:pPr>
                  <w:r>
                    <w:rPr>
                      <w:noProof/>
                      <w:lang w:eastAsia="es-EC"/>
                    </w:rPr>
                    <w:drawing>
                      <wp:inline distT="0" distB="0" distL="0" distR="0" wp14:anchorId="037B139A" wp14:editId="23ABA2F6">
                        <wp:extent cx="2752725" cy="1905000"/>
                        <wp:effectExtent l="0" t="0" r="0" b="0"/>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c>
            </w:tr>
          </w:tbl>
          <w:p w:rsidR="00361FCE" w:rsidRPr="00840530" w:rsidRDefault="00361FCE" w:rsidP="00902050">
            <w:pPr>
              <w:rPr>
                <w:rFonts w:ascii="Arial" w:hAnsi="Arial" w:cs="Arial"/>
                <w:sz w:val="24"/>
                <w:szCs w:val="24"/>
              </w:rPr>
            </w:pPr>
          </w:p>
        </w:tc>
      </w:tr>
    </w:tbl>
    <w:p w:rsidR="00361FCE" w:rsidRPr="00BA50A8" w:rsidRDefault="00361FCE" w:rsidP="00BA50A8">
      <w:pPr>
        <w:pStyle w:val="Prrafodelista"/>
        <w:spacing w:line="276" w:lineRule="auto"/>
        <w:ind w:left="851"/>
        <w:jc w:val="both"/>
        <w:rPr>
          <w:rFonts w:ascii="Arial" w:hAnsi="Arial" w:cs="Arial"/>
          <w:sz w:val="17"/>
          <w:szCs w:val="17"/>
        </w:rPr>
      </w:pPr>
    </w:p>
    <w:p w:rsidR="00361FCE" w:rsidRPr="00BA50A8" w:rsidRDefault="00361FCE" w:rsidP="00BA50A8">
      <w:pPr>
        <w:pStyle w:val="Prrafodelista"/>
        <w:spacing w:line="276" w:lineRule="auto"/>
        <w:ind w:left="851"/>
        <w:jc w:val="both"/>
        <w:rPr>
          <w:rFonts w:ascii="Arial" w:hAnsi="Arial" w:cs="Arial"/>
          <w:sz w:val="17"/>
          <w:szCs w:val="17"/>
        </w:rPr>
      </w:pPr>
      <w:r w:rsidRPr="00BA50A8">
        <w:rPr>
          <w:rFonts w:ascii="Arial" w:hAnsi="Arial" w:cs="Arial"/>
          <w:b/>
          <w:i/>
          <w:sz w:val="17"/>
          <w:szCs w:val="17"/>
        </w:rPr>
        <w:t>Fuente:</w:t>
      </w:r>
      <w:r w:rsidRPr="00BA50A8">
        <w:rPr>
          <w:rFonts w:ascii="Arial" w:hAnsi="Arial" w:cs="Arial"/>
          <w:sz w:val="17"/>
          <w:szCs w:val="17"/>
        </w:rPr>
        <w:t xml:space="preserve"> </w:t>
      </w:r>
      <w:r w:rsidRPr="00BA50A8">
        <w:rPr>
          <w:rFonts w:ascii="Arial" w:hAnsi="Arial" w:cs="Arial"/>
          <w:b/>
          <w:sz w:val="17"/>
          <w:szCs w:val="17"/>
        </w:rPr>
        <w:t xml:space="preserve">INEC </w:t>
      </w:r>
      <w:r w:rsidRPr="00BA50A8">
        <w:rPr>
          <w:rFonts w:ascii="Arial" w:hAnsi="Arial" w:cs="Arial"/>
          <w:sz w:val="17"/>
          <w:szCs w:val="17"/>
        </w:rPr>
        <w:t>(2010), Base de Datos del VII Censo de Población y VI de Vivienda.</w:t>
      </w:r>
    </w:p>
    <w:p w:rsidR="00361FCE" w:rsidRPr="00BA50A8" w:rsidRDefault="00361FCE" w:rsidP="00BA50A8">
      <w:pPr>
        <w:pStyle w:val="Prrafodelista"/>
        <w:spacing w:line="276" w:lineRule="auto"/>
        <w:ind w:left="851"/>
        <w:jc w:val="both"/>
        <w:rPr>
          <w:rFonts w:ascii="Arial" w:hAnsi="Arial" w:cs="Arial"/>
          <w:sz w:val="17"/>
          <w:szCs w:val="17"/>
        </w:rPr>
      </w:pPr>
      <w:r w:rsidRPr="00BA50A8">
        <w:rPr>
          <w:rFonts w:ascii="Arial" w:hAnsi="Arial" w:cs="Arial"/>
          <w:b/>
          <w:i/>
          <w:sz w:val="17"/>
          <w:szCs w:val="17"/>
        </w:rPr>
        <w:t>Elaborado por:</w:t>
      </w:r>
      <w:r w:rsidRPr="00BA50A8">
        <w:rPr>
          <w:rFonts w:ascii="Arial" w:hAnsi="Arial" w:cs="Arial"/>
          <w:sz w:val="17"/>
          <w:szCs w:val="17"/>
        </w:rPr>
        <w:t xml:space="preserve"> Katherine Loor Valeriano</w:t>
      </w:r>
    </w:p>
    <w:p w:rsidR="00361FCE" w:rsidRDefault="00361FCE" w:rsidP="00BA50A8">
      <w:pPr>
        <w:pStyle w:val="Estilo42"/>
        <w:ind w:left="1560" w:hanging="709"/>
      </w:pPr>
      <w:bookmarkStart w:id="689" w:name="_Toc337135563"/>
      <w:bookmarkStart w:id="690" w:name="_Toc341040713"/>
      <w:r>
        <w:t>Género</w:t>
      </w:r>
      <w:bookmarkEnd w:id="689"/>
      <w:r w:rsidR="00BA50A8">
        <w:t xml:space="preserve"> </w:t>
      </w:r>
      <w:r w:rsidR="00BA50A8" w:rsidRPr="00016219">
        <w:t xml:space="preserve">de los </w:t>
      </w:r>
      <w:r w:rsidR="00BA50A8">
        <w:t>españoles</w:t>
      </w:r>
      <w:r w:rsidR="00BA50A8" w:rsidRPr="00016219">
        <w:t xml:space="preserve"> que residen en Ecuador</w:t>
      </w:r>
      <w:bookmarkEnd w:id="690"/>
    </w:p>
    <w:p w:rsidR="00361FCE" w:rsidRDefault="00361FCE" w:rsidP="00BA50A8">
      <w:pPr>
        <w:pStyle w:val="Prrafodelista"/>
        <w:spacing w:line="480" w:lineRule="auto"/>
        <w:ind w:left="851"/>
        <w:jc w:val="both"/>
        <w:rPr>
          <w:rFonts w:ascii="Arial" w:hAnsi="Arial" w:cs="Arial"/>
          <w:i/>
        </w:rPr>
      </w:pPr>
      <w:r>
        <w:rPr>
          <w:rFonts w:ascii="Arial" w:hAnsi="Arial" w:cs="Arial"/>
        </w:rPr>
        <w:t xml:space="preserve">De los 13993 españoles que residen en el país, el 52.66% son de género masculino y 47.34% son de género femenino; cabe mencionar que de las cuatro subpoblaciones extranjeras que hemos estudiado hasta el momento solamente en los colombianos se observó que era mayor la cantidad de mujeres que de hombres. En la </w:t>
      </w:r>
      <w:r>
        <w:rPr>
          <w:rFonts w:ascii="Arial" w:hAnsi="Arial" w:cs="Arial"/>
          <w:i/>
        </w:rPr>
        <w:t>Figura 4.88</w:t>
      </w:r>
      <w:r>
        <w:rPr>
          <w:rFonts w:ascii="Arial" w:hAnsi="Arial" w:cs="Arial"/>
        </w:rPr>
        <w:t>, se presentan los índices de feminidad a nivel provincial, en los cuales podemos notar que en la mayoría de las provincias es mayor la cantidad de hombres que de mujeres, a excepción de en cinco provincias como en Morona Santiago en donde hay 101.89 mujeres españolas por cada 100 hombres de la misma nacionalidad, en Galápagos hay 225 mujeres por cada 100 hombres, Sucumbíos, Santo Domingo y en las Zonas no Delimitadas en las cuales el índice de feminidad toma valores de 124.24, 103.94 y 120 mujeres de nacionalidad española por cada 100 hombres de la misma nacionalidad respectivamente.</w:t>
      </w:r>
      <w:r w:rsidR="00BA50A8">
        <w:rPr>
          <w:rFonts w:ascii="Arial" w:hAnsi="Arial" w:cs="Arial"/>
        </w:rPr>
        <w:t xml:space="preserve"> </w:t>
      </w:r>
      <w:r>
        <w:rPr>
          <w:rFonts w:ascii="Arial" w:hAnsi="Arial" w:cs="Arial"/>
        </w:rPr>
        <w:t xml:space="preserve">Además, la provincia que presenta el menor índice de feminidad es Santa Elena en la cual hay 52.17 mujeres españolas por cada 100 hombres de la misma nacionalidad; y, en provincias como Napo en la cual hay 62.50 mujeres por cada 100 hombres que nacieron en España y que habitualmente residen en esta provincia, en Carchi también sucede algo similar a las otras dos provincias pues hay 65 mujeres por cada 100 hombres españoles que viven en dicha provincia. </w:t>
      </w:r>
      <w:r w:rsidR="00BA50A8">
        <w:rPr>
          <w:rFonts w:ascii="Arial" w:hAnsi="Arial" w:cs="Arial"/>
        </w:rPr>
        <w:t>E</w:t>
      </w:r>
      <w:r>
        <w:rPr>
          <w:rFonts w:ascii="Arial" w:hAnsi="Arial" w:cs="Arial"/>
        </w:rPr>
        <w:t>n Guayas y Pichincha este índice toma valores de 85.32 y 91.30 mujeres de España por cada 100 hombres de la misma nacionalidad respectivamente.</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BA50A8">
        <w:trPr>
          <w:trHeight w:val="4404"/>
          <w:jc w:val="right"/>
        </w:trPr>
        <w:tc>
          <w:tcPr>
            <w:tcW w:w="7497" w:type="dxa"/>
          </w:tcPr>
          <w:p w:rsidR="00361FCE" w:rsidRPr="00840530" w:rsidRDefault="00361FCE" w:rsidP="00902050">
            <w:pPr>
              <w:rPr>
                <w:rFonts w:ascii="Arial" w:hAnsi="Arial" w:cs="Arial"/>
                <w:sz w:val="16"/>
                <w:szCs w:val="16"/>
              </w:rPr>
            </w:pPr>
          </w:p>
          <w:p w:rsidR="006D100D" w:rsidRPr="006D100D" w:rsidRDefault="006D100D" w:rsidP="006D100D">
            <w:pPr>
              <w:pStyle w:val="Epgrafe"/>
              <w:rPr>
                <w:rFonts w:ascii="Arial" w:hAnsi="Arial" w:cs="Arial"/>
                <w:bCs w:val="0"/>
                <w:color w:val="auto"/>
                <w:sz w:val="16"/>
                <w:szCs w:val="16"/>
              </w:rPr>
            </w:pPr>
            <w:bookmarkStart w:id="691" w:name="_Toc341044060"/>
            <w:r>
              <w:rPr>
                <w:rFonts w:ascii="Arial" w:hAnsi="Arial" w:cs="Arial"/>
                <w:bCs w:val="0"/>
                <w:color w:val="auto"/>
                <w:sz w:val="16"/>
                <w:szCs w:val="16"/>
              </w:rPr>
              <w:t>Figura 4.</w:t>
            </w:r>
            <w:r w:rsidR="00990535" w:rsidRPr="006D100D">
              <w:rPr>
                <w:rFonts w:ascii="Arial" w:hAnsi="Arial" w:cs="Arial"/>
                <w:bCs w:val="0"/>
                <w:color w:val="auto"/>
                <w:sz w:val="16"/>
                <w:szCs w:val="16"/>
              </w:rPr>
              <w:fldChar w:fldCharType="begin"/>
            </w:r>
            <w:r w:rsidRPr="006D100D">
              <w:rPr>
                <w:rFonts w:ascii="Arial" w:hAnsi="Arial" w:cs="Arial"/>
                <w:bCs w:val="0"/>
                <w:color w:val="auto"/>
                <w:sz w:val="16"/>
                <w:szCs w:val="16"/>
              </w:rPr>
              <w:instrText xml:space="preserve"> SEQ Figura_4. \* ARABIC </w:instrText>
            </w:r>
            <w:r w:rsidR="00990535" w:rsidRPr="006D100D">
              <w:rPr>
                <w:rFonts w:ascii="Arial" w:hAnsi="Arial" w:cs="Arial"/>
                <w:bCs w:val="0"/>
                <w:color w:val="auto"/>
                <w:sz w:val="16"/>
                <w:szCs w:val="16"/>
              </w:rPr>
              <w:fldChar w:fldCharType="separate"/>
            </w:r>
            <w:r w:rsidR="00A242E0">
              <w:rPr>
                <w:rFonts w:ascii="Arial" w:hAnsi="Arial" w:cs="Arial"/>
                <w:bCs w:val="0"/>
                <w:noProof/>
                <w:color w:val="auto"/>
                <w:sz w:val="16"/>
                <w:szCs w:val="16"/>
              </w:rPr>
              <w:t>88</w:t>
            </w:r>
            <w:bookmarkEnd w:id="691"/>
            <w:r w:rsidR="00990535" w:rsidRPr="006D100D">
              <w:rPr>
                <w:rFonts w:ascii="Arial" w:hAnsi="Arial" w:cs="Arial"/>
                <w:bCs w:val="0"/>
                <w:color w:val="auto"/>
                <w:sz w:val="16"/>
                <w:szCs w:val="16"/>
              </w:rPr>
              <w:fldChar w:fldCharType="end"/>
            </w:r>
          </w:p>
          <w:p w:rsidR="00361FCE" w:rsidRDefault="00BA50A8"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Índice de Feminidad de los </w:t>
            </w:r>
            <w:r>
              <w:rPr>
                <w:rFonts w:ascii="Arial" w:hAnsi="Arial" w:cs="Arial"/>
                <w:b/>
                <w:i/>
                <w:sz w:val="16"/>
                <w:szCs w:val="16"/>
              </w:rPr>
              <w:t>españoles</w:t>
            </w:r>
            <w:r w:rsidRPr="00016219">
              <w:rPr>
                <w:rFonts w:ascii="Arial" w:hAnsi="Arial" w:cs="Arial"/>
                <w:i/>
                <w:sz w:val="16"/>
                <w:szCs w:val="16"/>
              </w:rPr>
              <w:t xml:space="preserve"> por Provincia de residencia habitual</w:t>
            </w:r>
          </w:p>
          <w:p w:rsidR="00361FCE" w:rsidRPr="00660711" w:rsidRDefault="00361FCE" w:rsidP="00902050">
            <w:pPr>
              <w:rPr>
                <w:rFonts w:ascii="Arial" w:hAnsi="Arial" w:cs="Arial"/>
                <w:i/>
                <w:sz w:val="16"/>
                <w:szCs w:val="16"/>
              </w:rPr>
            </w:pPr>
            <w:r>
              <w:rPr>
                <w:noProof/>
                <w:lang w:eastAsia="es-EC"/>
              </w:rPr>
              <w:drawing>
                <wp:inline distT="0" distB="0" distL="0" distR="0" wp14:anchorId="2EDA4790" wp14:editId="06F824ED">
                  <wp:extent cx="4638675" cy="2447925"/>
                  <wp:effectExtent l="0" t="0" r="0" b="0"/>
                  <wp:docPr id="151" name="Gráfico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c>
      </w:tr>
    </w:tbl>
    <w:p w:rsidR="00361FCE" w:rsidRPr="00BA50A8" w:rsidRDefault="00361FCE" w:rsidP="00BA50A8">
      <w:pPr>
        <w:pStyle w:val="Prrafodelista"/>
        <w:spacing w:line="276" w:lineRule="auto"/>
        <w:ind w:left="851"/>
        <w:jc w:val="both"/>
        <w:rPr>
          <w:rFonts w:ascii="Arial" w:hAnsi="Arial" w:cs="Arial"/>
          <w:sz w:val="17"/>
          <w:szCs w:val="17"/>
        </w:rPr>
      </w:pPr>
    </w:p>
    <w:p w:rsidR="00361FCE" w:rsidRPr="00BA50A8" w:rsidRDefault="00361FCE" w:rsidP="00BA50A8">
      <w:pPr>
        <w:pStyle w:val="Prrafodelista"/>
        <w:spacing w:line="276" w:lineRule="auto"/>
        <w:ind w:left="851"/>
        <w:jc w:val="both"/>
        <w:rPr>
          <w:rFonts w:ascii="Arial" w:hAnsi="Arial" w:cs="Arial"/>
          <w:sz w:val="17"/>
          <w:szCs w:val="17"/>
        </w:rPr>
      </w:pPr>
      <w:r w:rsidRPr="00BA50A8">
        <w:rPr>
          <w:rFonts w:ascii="Arial" w:hAnsi="Arial" w:cs="Arial"/>
          <w:b/>
          <w:i/>
          <w:sz w:val="17"/>
          <w:szCs w:val="17"/>
        </w:rPr>
        <w:t>Fuente:</w:t>
      </w:r>
      <w:r w:rsidRPr="00BA50A8">
        <w:rPr>
          <w:rFonts w:ascii="Arial" w:hAnsi="Arial" w:cs="Arial"/>
          <w:sz w:val="17"/>
          <w:szCs w:val="17"/>
        </w:rPr>
        <w:t xml:space="preserve"> </w:t>
      </w:r>
      <w:r w:rsidRPr="00BA50A8">
        <w:rPr>
          <w:rFonts w:ascii="Arial" w:hAnsi="Arial" w:cs="Arial"/>
          <w:b/>
          <w:sz w:val="17"/>
          <w:szCs w:val="17"/>
        </w:rPr>
        <w:t xml:space="preserve">INEC </w:t>
      </w:r>
      <w:r w:rsidRPr="00BA50A8">
        <w:rPr>
          <w:rFonts w:ascii="Arial" w:hAnsi="Arial" w:cs="Arial"/>
          <w:sz w:val="17"/>
          <w:szCs w:val="17"/>
        </w:rPr>
        <w:t>(2010), Base de Datos del VII Censo de Población y VI de Vivienda.</w:t>
      </w:r>
    </w:p>
    <w:p w:rsidR="00361FCE" w:rsidRDefault="00361FCE" w:rsidP="00BA50A8">
      <w:pPr>
        <w:pStyle w:val="Prrafodelista"/>
        <w:spacing w:line="276" w:lineRule="auto"/>
        <w:ind w:left="851"/>
        <w:jc w:val="both"/>
        <w:rPr>
          <w:rFonts w:ascii="Arial" w:hAnsi="Arial" w:cs="Arial"/>
          <w:sz w:val="17"/>
          <w:szCs w:val="17"/>
        </w:rPr>
      </w:pPr>
      <w:r w:rsidRPr="00BA50A8">
        <w:rPr>
          <w:rFonts w:ascii="Arial" w:hAnsi="Arial" w:cs="Arial"/>
          <w:b/>
          <w:i/>
          <w:sz w:val="17"/>
          <w:szCs w:val="17"/>
        </w:rPr>
        <w:t>Elaborado por:</w:t>
      </w:r>
      <w:r w:rsidRPr="00BA50A8">
        <w:rPr>
          <w:rFonts w:ascii="Arial" w:hAnsi="Arial" w:cs="Arial"/>
          <w:sz w:val="17"/>
          <w:szCs w:val="17"/>
        </w:rPr>
        <w:t xml:space="preserve"> Katherine Loor Valeriano</w:t>
      </w:r>
    </w:p>
    <w:p w:rsidR="00BA50A8" w:rsidRPr="00BA50A8" w:rsidRDefault="00BA50A8" w:rsidP="00BA50A8">
      <w:pPr>
        <w:pStyle w:val="Prrafodelista"/>
        <w:spacing w:line="480" w:lineRule="auto"/>
        <w:ind w:left="851"/>
        <w:jc w:val="both"/>
        <w:rPr>
          <w:rFonts w:ascii="Arial" w:hAnsi="Arial" w:cs="Arial"/>
        </w:rPr>
      </w:pPr>
    </w:p>
    <w:p w:rsidR="00361FCE" w:rsidRDefault="00361FCE" w:rsidP="00BA50A8">
      <w:pPr>
        <w:pStyle w:val="Estilo42"/>
        <w:ind w:left="1560" w:hanging="709"/>
      </w:pPr>
      <w:bookmarkStart w:id="692" w:name="_Toc337135564"/>
      <w:bookmarkStart w:id="693" w:name="_Toc341040714"/>
      <w:r>
        <w:t>Edad</w:t>
      </w:r>
      <w:bookmarkEnd w:id="692"/>
      <w:r w:rsidR="00BA50A8">
        <w:t xml:space="preserve"> </w:t>
      </w:r>
      <w:r w:rsidR="00BA50A8" w:rsidRPr="00016219">
        <w:t xml:space="preserve">de los </w:t>
      </w:r>
      <w:r w:rsidR="00BA50A8">
        <w:t>españoles</w:t>
      </w:r>
      <w:r w:rsidR="00BA50A8" w:rsidRPr="00016219">
        <w:t xml:space="preserve"> que residen en Ecuador</w:t>
      </w:r>
      <w:bookmarkEnd w:id="693"/>
    </w:p>
    <w:p w:rsidR="00361FCE" w:rsidRPr="000D32D9" w:rsidRDefault="00361FCE" w:rsidP="00BA50A8">
      <w:pPr>
        <w:pStyle w:val="Prrafodelista"/>
        <w:tabs>
          <w:tab w:val="left" w:pos="1785"/>
        </w:tabs>
        <w:spacing w:line="480" w:lineRule="auto"/>
        <w:ind w:left="851"/>
        <w:jc w:val="both"/>
        <w:rPr>
          <w:rFonts w:ascii="Arial" w:hAnsi="Arial" w:cs="Arial"/>
          <w:i/>
        </w:rPr>
      </w:pPr>
      <w:r>
        <w:rPr>
          <w:rFonts w:ascii="Arial" w:hAnsi="Arial" w:cs="Arial"/>
        </w:rPr>
        <w:t>La edad promedio de los españoles que habitualmente residen en el país es de 12.606 ± 0.146 años, la edad de mayor frecuencia o que más se repite es 7 años, la edad mínima y máxima es de 0 y 96 años respectivamente, el 25% del total de españoles son menores de 4 años, el 50% de ellos son menores de 7 años; y, el 75% son menores de 9 años. Aunque, si solo consideráramos a los hombres de esta nacionalidad, el promedio de la edad sería 13.637 ± 0.215 años, la moda sigue siendo 7 años, el mínimo es 0 y el máximo es 96 años, el 25% de los hombres españoles son menores de 4 años, el 50% tienen menos de 7 años y el 75% son menores de 9 años; mientras que</w:t>
      </w:r>
      <w:r w:rsidRPr="000D32D9">
        <w:rPr>
          <w:rFonts w:ascii="Arial" w:hAnsi="Arial" w:cs="Arial"/>
        </w:rPr>
        <w:t>, si solamente consideramos a las mujeres la edad promedio es 11.460 ± 0.195, la moda es 7 años, el mínimo y el máximo son 0 y 96 años, el 25% de las mujeres tienen menos de 4 años, el 50% tienen menos de 6 años y el 75% tienen menos de 9 años.</w:t>
      </w:r>
      <w:r>
        <w:rPr>
          <w:rFonts w:ascii="Arial" w:hAnsi="Arial" w:cs="Arial"/>
        </w:rPr>
        <w:t xml:space="preserve"> </w:t>
      </w:r>
      <w:r>
        <w:rPr>
          <w:rFonts w:ascii="Arial" w:hAnsi="Arial" w:cs="Arial"/>
          <w:i/>
        </w:rPr>
        <w:t>Véase Tabla 4.4.</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BA50A8">
        <w:trPr>
          <w:trHeight w:val="3685"/>
          <w:jc w:val="right"/>
        </w:trPr>
        <w:tc>
          <w:tcPr>
            <w:tcW w:w="7497" w:type="dxa"/>
          </w:tcPr>
          <w:p w:rsidR="00361FCE" w:rsidRPr="00840530" w:rsidRDefault="00361FCE" w:rsidP="00902050">
            <w:pPr>
              <w:rPr>
                <w:rFonts w:ascii="Arial" w:hAnsi="Arial" w:cs="Arial"/>
                <w:sz w:val="16"/>
                <w:szCs w:val="16"/>
              </w:rPr>
            </w:pPr>
          </w:p>
          <w:p w:rsidR="006D100D" w:rsidRPr="006D100D" w:rsidRDefault="006D100D" w:rsidP="006D100D">
            <w:pPr>
              <w:pStyle w:val="Epgrafe"/>
              <w:rPr>
                <w:rFonts w:ascii="Arial" w:hAnsi="Arial" w:cs="Arial"/>
                <w:bCs w:val="0"/>
                <w:color w:val="auto"/>
                <w:sz w:val="16"/>
                <w:szCs w:val="16"/>
              </w:rPr>
            </w:pPr>
            <w:bookmarkStart w:id="694" w:name="_Toc341042058"/>
            <w:r>
              <w:rPr>
                <w:rFonts w:ascii="Arial" w:hAnsi="Arial" w:cs="Arial"/>
                <w:bCs w:val="0"/>
                <w:color w:val="auto"/>
                <w:sz w:val="16"/>
                <w:szCs w:val="16"/>
              </w:rPr>
              <w:t>Tabla 4.</w:t>
            </w:r>
            <w:r w:rsidR="00990535" w:rsidRPr="006D100D">
              <w:rPr>
                <w:rFonts w:ascii="Arial" w:hAnsi="Arial" w:cs="Arial"/>
                <w:bCs w:val="0"/>
                <w:color w:val="auto"/>
                <w:sz w:val="16"/>
                <w:szCs w:val="16"/>
              </w:rPr>
              <w:fldChar w:fldCharType="begin"/>
            </w:r>
            <w:r w:rsidRPr="006D100D">
              <w:rPr>
                <w:rFonts w:ascii="Arial" w:hAnsi="Arial" w:cs="Arial"/>
                <w:bCs w:val="0"/>
                <w:color w:val="auto"/>
                <w:sz w:val="16"/>
                <w:szCs w:val="16"/>
              </w:rPr>
              <w:instrText xml:space="preserve"> SEQ Tabla_4. \* ARABIC </w:instrText>
            </w:r>
            <w:r w:rsidR="00990535" w:rsidRPr="006D100D">
              <w:rPr>
                <w:rFonts w:ascii="Arial" w:hAnsi="Arial" w:cs="Arial"/>
                <w:bCs w:val="0"/>
                <w:color w:val="auto"/>
                <w:sz w:val="16"/>
                <w:szCs w:val="16"/>
              </w:rPr>
              <w:fldChar w:fldCharType="separate"/>
            </w:r>
            <w:r w:rsidR="00A242E0">
              <w:rPr>
                <w:rFonts w:ascii="Arial" w:hAnsi="Arial" w:cs="Arial"/>
                <w:bCs w:val="0"/>
                <w:noProof/>
                <w:color w:val="auto"/>
                <w:sz w:val="16"/>
                <w:szCs w:val="16"/>
              </w:rPr>
              <w:t>4</w:t>
            </w:r>
            <w:bookmarkEnd w:id="694"/>
            <w:r w:rsidR="00990535" w:rsidRPr="006D100D">
              <w:rPr>
                <w:rFonts w:ascii="Arial" w:hAnsi="Arial" w:cs="Arial"/>
                <w:bCs w:val="0"/>
                <w:color w:val="auto"/>
                <w:sz w:val="16"/>
                <w:szCs w:val="16"/>
              </w:rPr>
              <w:fldChar w:fldCharType="end"/>
            </w:r>
          </w:p>
          <w:p w:rsidR="00361FCE" w:rsidRDefault="004F63F8"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Estadísticas Descriptivas de la Edad de los </w:t>
            </w:r>
            <w:r>
              <w:rPr>
                <w:rFonts w:ascii="Arial" w:hAnsi="Arial" w:cs="Arial"/>
                <w:b/>
                <w:i/>
                <w:sz w:val="16"/>
                <w:szCs w:val="16"/>
              </w:rPr>
              <w:t>españoles</w:t>
            </w:r>
            <w:r w:rsidRPr="00016219">
              <w:rPr>
                <w:rFonts w:ascii="Arial" w:hAnsi="Arial" w:cs="Arial"/>
                <w:i/>
                <w:sz w:val="16"/>
                <w:szCs w:val="16"/>
              </w:rPr>
              <w:t xml:space="preserve"> residentes en Ecuador</w:t>
            </w:r>
          </w:p>
          <w:p w:rsidR="00361FCE" w:rsidRPr="001966F1" w:rsidRDefault="00361FCE" w:rsidP="00902050">
            <w:pPr>
              <w:rPr>
                <w:rFonts w:ascii="Arial" w:hAnsi="Arial" w:cs="Arial"/>
                <w:i/>
                <w:sz w:val="16"/>
                <w:szCs w:val="16"/>
              </w:rPr>
            </w:pPr>
          </w:p>
          <w:p w:rsidR="00361FCE" w:rsidRPr="001966F1" w:rsidRDefault="00361FCE" w:rsidP="00902050">
            <w:pPr>
              <w:rPr>
                <w:rFonts w:ascii="Arial" w:hAnsi="Arial" w:cs="Arial"/>
                <w:sz w:val="16"/>
                <w:szCs w:val="16"/>
              </w:rPr>
            </w:pPr>
            <w:r w:rsidRPr="001966F1">
              <w:rPr>
                <w:rFonts w:ascii="Arial" w:hAnsi="Arial" w:cs="Arial"/>
                <w:sz w:val="16"/>
                <w:szCs w:val="16"/>
              </w:rPr>
              <w:t>“</w:t>
            </w:r>
            <w:r w:rsidRPr="001966F1">
              <w:rPr>
                <w:rFonts w:ascii="Arial" w:hAnsi="Arial" w:cs="Arial"/>
                <w:b/>
                <w:sz w:val="16"/>
                <w:szCs w:val="16"/>
              </w:rPr>
              <w:t xml:space="preserve">Todos los </w:t>
            </w:r>
            <w:r>
              <w:rPr>
                <w:rFonts w:ascii="Arial" w:hAnsi="Arial" w:cs="Arial"/>
                <w:b/>
                <w:sz w:val="16"/>
                <w:szCs w:val="16"/>
              </w:rPr>
              <w:t>españoles</w:t>
            </w:r>
            <w:r w:rsidRPr="001966F1">
              <w:rPr>
                <w:rFonts w:ascii="Arial" w:hAnsi="Arial" w:cs="Arial"/>
                <w:sz w:val="16"/>
                <w:szCs w:val="16"/>
              </w:rPr>
              <w:t xml:space="preserve"> residentes en Ecuador”</w:t>
            </w:r>
          </w:p>
          <w:tbl>
            <w:tblPr>
              <w:tblW w:w="7314" w:type="dxa"/>
              <w:jc w:val="center"/>
              <w:tblCellMar>
                <w:left w:w="70" w:type="dxa"/>
                <w:right w:w="70" w:type="dxa"/>
              </w:tblCellMar>
              <w:tblLook w:val="04A0" w:firstRow="1" w:lastRow="0" w:firstColumn="1" w:lastColumn="0" w:noHBand="0" w:noVBand="1"/>
            </w:tblPr>
            <w:tblGrid>
              <w:gridCol w:w="794"/>
              <w:gridCol w:w="1191"/>
              <w:gridCol w:w="680"/>
              <w:gridCol w:w="964"/>
              <w:gridCol w:w="737"/>
              <w:gridCol w:w="737"/>
              <w:gridCol w:w="737"/>
              <w:gridCol w:w="737"/>
              <w:gridCol w:w="737"/>
            </w:tblGrid>
            <w:tr w:rsidR="00361FCE" w:rsidRPr="00AF20E2" w:rsidTr="006D100D">
              <w:trPr>
                <w:trHeight w:val="340"/>
                <w:jc w:val="center"/>
              </w:trPr>
              <w:tc>
                <w:tcPr>
                  <w:tcW w:w="79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w:t>
                  </w:r>
                </w:p>
              </w:tc>
              <w:tc>
                <w:tcPr>
                  <w:tcW w:w="1191"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Error estándar de la media</w:t>
                  </w:r>
                </w:p>
              </w:tc>
              <w:tc>
                <w:tcPr>
                  <w:tcW w:w="680"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Moda</w:t>
                  </w:r>
                </w:p>
              </w:tc>
              <w:tc>
                <w:tcPr>
                  <w:tcW w:w="96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Desviación estándar</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Mínimo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Máximo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1</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3</w:t>
                  </w:r>
                </w:p>
              </w:tc>
            </w:tr>
            <w:tr w:rsidR="00361FCE" w:rsidRPr="00AF20E2" w:rsidTr="006D100D">
              <w:trPr>
                <w:trHeight w:val="227"/>
                <w:jc w:val="center"/>
              </w:trPr>
              <w:tc>
                <w:tcPr>
                  <w:tcW w:w="794"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12.606</w:t>
                  </w:r>
                </w:p>
              </w:tc>
              <w:tc>
                <w:tcPr>
                  <w:tcW w:w="1191"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0.146</w:t>
                  </w:r>
                </w:p>
              </w:tc>
              <w:tc>
                <w:tcPr>
                  <w:tcW w:w="680"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7</w:t>
                  </w:r>
                </w:p>
              </w:tc>
              <w:tc>
                <w:tcPr>
                  <w:tcW w:w="964"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17.318</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96</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4</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7</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9</w:t>
                  </w:r>
                </w:p>
              </w:tc>
            </w:tr>
          </w:tbl>
          <w:p w:rsidR="00361FCE" w:rsidRPr="001966F1" w:rsidRDefault="00361FCE" w:rsidP="00902050">
            <w:pPr>
              <w:rPr>
                <w:rFonts w:ascii="Arial" w:hAnsi="Arial" w:cs="Arial"/>
                <w:i/>
                <w:sz w:val="16"/>
                <w:szCs w:val="16"/>
              </w:rPr>
            </w:pPr>
          </w:p>
          <w:p w:rsidR="00361FCE" w:rsidRPr="001966F1" w:rsidRDefault="00361FCE" w:rsidP="00902050">
            <w:pPr>
              <w:rPr>
                <w:rFonts w:ascii="Arial" w:hAnsi="Arial" w:cs="Arial"/>
                <w:sz w:val="16"/>
                <w:szCs w:val="16"/>
              </w:rPr>
            </w:pPr>
            <w:r w:rsidRPr="001966F1">
              <w:rPr>
                <w:rFonts w:ascii="Arial" w:hAnsi="Arial" w:cs="Arial"/>
                <w:sz w:val="16"/>
                <w:szCs w:val="16"/>
              </w:rPr>
              <w:t>“</w:t>
            </w:r>
            <w:r>
              <w:rPr>
                <w:rFonts w:ascii="Arial" w:hAnsi="Arial" w:cs="Arial"/>
                <w:b/>
                <w:sz w:val="16"/>
                <w:szCs w:val="16"/>
              </w:rPr>
              <w:t>Españoles</w:t>
            </w:r>
            <w:r w:rsidRPr="001966F1">
              <w:rPr>
                <w:rFonts w:ascii="Arial" w:hAnsi="Arial" w:cs="Arial"/>
                <w:sz w:val="16"/>
                <w:szCs w:val="16"/>
              </w:rPr>
              <w:t xml:space="preserve"> de género </w:t>
            </w:r>
            <w:r w:rsidRPr="001966F1">
              <w:rPr>
                <w:rFonts w:ascii="Arial" w:hAnsi="Arial" w:cs="Arial"/>
                <w:b/>
                <w:sz w:val="16"/>
                <w:szCs w:val="16"/>
              </w:rPr>
              <w:t>Masculino</w:t>
            </w:r>
            <w:r w:rsidRPr="001966F1">
              <w:rPr>
                <w:rFonts w:ascii="Arial" w:hAnsi="Arial" w:cs="Arial"/>
                <w:sz w:val="16"/>
                <w:szCs w:val="16"/>
              </w:rPr>
              <w:t xml:space="preserve"> residentes en Ecuador”</w:t>
            </w:r>
          </w:p>
          <w:tbl>
            <w:tblPr>
              <w:tblW w:w="7314" w:type="dxa"/>
              <w:jc w:val="center"/>
              <w:tblCellMar>
                <w:left w:w="70" w:type="dxa"/>
                <w:right w:w="70" w:type="dxa"/>
              </w:tblCellMar>
              <w:tblLook w:val="04A0" w:firstRow="1" w:lastRow="0" w:firstColumn="1" w:lastColumn="0" w:noHBand="0" w:noVBand="1"/>
            </w:tblPr>
            <w:tblGrid>
              <w:gridCol w:w="794"/>
              <w:gridCol w:w="1191"/>
              <w:gridCol w:w="680"/>
              <w:gridCol w:w="964"/>
              <w:gridCol w:w="737"/>
              <w:gridCol w:w="737"/>
              <w:gridCol w:w="737"/>
              <w:gridCol w:w="737"/>
              <w:gridCol w:w="737"/>
            </w:tblGrid>
            <w:tr w:rsidR="00361FCE" w:rsidRPr="00AF20E2" w:rsidTr="006D100D">
              <w:trPr>
                <w:trHeight w:val="340"/>
                <w:jc w:val="center"/>
              </w:trPr>
              <w:tc>
                <w:tcPr>
                  <w:tcW w:w="79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w:t>
                  </w:r>
                </w:p>
              </w:tc>
              <w:tc>
                <w:tcPr>
                  <w:tcW w:w="1191"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Error estándar de la media</w:t>
                  </w:r>
                </w:p>
              </w:tc>
              <w:tc>
                <w:tcPr>
                  <w:tcW w:w="680"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Moda</w:t>
                  </w:r>
                </w:p>
              </w:tc>
              <w:tc>
                <w:tcPr>
                  <w:tcW w:w="96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Desviación estándar</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Mínimo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Máximo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1</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3</w:t>
                  </w:r>
                </w:p>
              </w:tc>
            </w:tr>
            <w:tr w:rsidR="00361FCE" w:rsidRPr="00AF20E2" w:rsidTr="006D100D">
              <w:trPr>
                <w:trHeight w:val="227"/>
                <w:jc w:val="center"/>
              </w:trPr>
              <w:tc>
                <w:tcPr>
                  <w:tcW w:w="794"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13.637</w:t>
                  </w:r>
                </w:p>
              </w:tc>
              <w:tc>
                <w:tcPr>
                  <w:tcW w:w="1191"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0.215</w:t>
                  </w:r>
                </w:p>
              </w:tc>
              <w:tc>
                <w:tcPr>
                  <w:tcW w:w="680"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7</w:t>
                  </w:r>
                </w:p>
              </w:tc>
              <w:tc>
                <w:tcPr>
                  <w:tcW w:w="964"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18.439</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96</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4</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7</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9</w:t>
                  </w:r>
                </w:p>
              </w:tc>
            </w:tr>
          </w:tbl>
          <w:p w:rsidR="00361FCE" w:rsidRPr="001966F1" w:rsidRDefault="00361FCE" w:rsidP="00902050">
            <w:pPr>
              <w:rPr>
                <w:rFonts w:ascii="Arial" w:hAnsi="Arial" w:cs="Arial"/>
                <w:i/>
                <w:sz w:val="16"/>
                <w:szCs w:val="16"/>
              </w:rPr>
            </w:pPr>
          </w:p>
          <w:p w:rsidR="00361FCE" w:rsidRPr="001966F1" w:rsidRDefault="00361FCE" w:rsidP="00902050">
            <w:pPr>
              <w:rPr>
                <w:rFonts w:ascii="Arial" w:hAnsi="Arial" w:cs="Arial"/>
                <w:sz w:val="16"/>
                <w:szCs w:val="16"/>
              </w:rPr>
            </w:pPr>
            <w:r w:rsidRPr="001966F1">
              <w:rPr>
                <w:rFonts w:ascii="Arial" w:hAnsi="Arial" w:cs="Arial"/>
                <w:sz w:val="16"/>
                <w:szCs w:val="16"/>
              </w:rPr>
              <w:t>“</w:t>
            </w:r>
            <w:r>
              <w:rPr>
                <w:rFonts w:ascii="Arial" w:hAnsi="Arial" w:cs="Arial"/>
                <w:b/>
                <w:sz w:val="16"/>
                <w:szCs w:val="16"/>
              </w:rPr>
              <w:t>Españoles</w:t>
            </w:r>
            <w:r>
              <w:rPr>
                <w:rFonts w:ascii="Arial" w:hAnsi="Arial" w:cs="Arial"/>
                <w:sz w:val="16"/>
                <w:szCs w:val="16"/>
              </w:rPr>
              <w:t xml:space="preserve"> de género </w:t>
            </w:r>
            <w:r w:rsidRPr="001966F1">
              <w:rPr>
                <w:rFonts w:ascii="Arial" w:hAnsi="Arial" w:cs="Arial"/>
                <w:b/>
                <w:sz w:val="16"/>
                <w:szCs w:val="16"/>
              </w:rPr>
              <w:t>Femenino</w:t>
            </w:r>
            <w:r w:rsidRPr="001966F1">
              <w:rPr>
                <w:rFonts w:ascii="Arial" w:hAnsi="Arial" w:cs="Arial"/>
                <w:sz w:val="16"/>
                <w:szCs w:val="16"/>
              </w:rPr>
              <w:t xml:space="preserve"> residentes en Ecuador”</w:t>
            </w:r>
          </w:p>
          <w:tbl>
            <w:tblPr>
              <w:tblW w:w="7314" w:type="dxa"/>
              <w:jc w:val="center"/>
              <w:tblCellMar>
                <w:left w:w="70" w:type="dxa"/>
                <w:right w:w="70" w:type="dxa"/>
              </w:tblCellMar>
              <w:tblLook w:val="04A0" w:firstRow="1" w:lastRow="0" w:firstColumn="1" w:lastColumn="0" w:noHBand="0" w:noVBand="1"/>
            </w:tblPr>
            <w:tblGrid>
              <w:gridCol w:w="794"/>
              <w:gridCol w:w="1191"/>
              <w:gridCol w:w="680"/>
              <w:gridCol w:w="964"/>
              <w:gridCol w:w="737"/>
              <w:gridCol w:w="737"/>
              <w:gridCol w:w="737"/>
              <w:gridCol w:w="737"/>
              <w:gridCol w:w="737"/>
            </w:tblGrid>
            <w:tr w:rsidR="00361FCE" w:rsidRPr="00AF20E2" w:rsidTr="006D100D">
              <w:trPr>
                <w:trHeight w:val="340"/>
                <w:jc w:val="center"/>
              </w:trPr>
              <w:tc>
                <w:tcPr>
                  <w:tcW w:w="79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w:t>
                  </w:r>
                </w:p>
              </w:tc>
              <w:tc>
                <w:tcPr>
                  <w:tcW w:w="1191"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Error estándar de la media</w:t>
                  </w:r>
                </w:p>
              </w:tc>
              <w:tc>
                <w:tcPr>
                  <w:tcW w:w="680"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Moda</w:t>
                  </w:r>
                </w:p>
              </w:tc>
              <w:tc>
                <w:tcPr>
                  <w:tcW w:w="964"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Desviación estándar</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Mínimo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Máximo</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1</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361FCE" w:rsidRPr="00AF20E2" w:rsidRDefault="00361FCE" w:rsidP="00902050">
                  <w:pPr>
                    <w:rPr>
                      <w:rFonts w:ascii="Arial" w:eastAsia="Times New Roman" w:hAnsi="Arial" w:cs="Arial"/>
                      <w:b/>
                      <w:bCs/>
                      <w:color w:val="000000"/>
                      <w:sz w:val="14"/>
                      <w:szCs w:val="14"/>
                      <w:lang w:eastAsia="es-EC"/>
                    </w:rPr>
                  </w:pPr>
                  <w:r w:rsidRPr="00AF20E2">
                    <w:rPr>
                      <w:rFonts w:ascii="Arial" w:eastAsia="Times New Roman" w:hAnsi="Arial" w:cs="Arial"/>
                      <w:b/>
                      <w:bCs/>
                      <w:color w:val="000000"/>
                      <w:sz w:val="14"/>
                      <w:szCs w:val="14"/>
                      <w:lang w:eastAsia="es-EC"/>
                    </w:rPr>
                    <w:t>Cuartil 3</w:t>
                  </w:r>
                </w:p>
              </w:tc>
            </w:tr>
            <w:tr w:rsidR="00361FCE" w:rsidRPr="00AF20E2" w:rsidTr="006D100D">
              <w:trPr>
                <w:trHeight w:val="227"/>
                <w:jc w:val="center"/>
              </w:trPr>
              <w:tc>
                <w:tcPr>
                  <w:tcW w:w="794"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11.460</w:t>
                  </w:r>
                </w:p>
              </w:tc>
              <w:tc>
                <w:tcPr>
                  <w:tcW w:w="1191"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0.195</w:t>
                  </w:r>
                </w:p>
              </w:tc>
              <w:tc>
                <w:tcPr>
                  <w:tcW w:w="680"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7</w:t>
                  </w:r>
                </w:p>
              </w:tc>
              <w:tc>
                <w:tcPr>
                  <w:tcW w:w="964" w:type="dxa"/>
                  <w:tcBorders>
                    <w:top w:val="nil"/>
                    <w:left w:val="nil"/>
                    <w:bottom w:val="single" w:sz="8" w:space="0" w:color="auto"/>
                    <w:right w:val="nil"/>
                  </w:tcBorders>
                  <w:shd w:val="clear" w:color="auto" w:fill="auto"/>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15.903</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96</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4</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6</w:t>
                  </w:r>
                </w:p>
              </w:tc>
              <w:tc>
                <w:tcPr>
                  <w:tcW w:w="737" w:type="dxa"/>
                  <w:tcBorders>
                    <w:top w:val="nil"/>
                    <w:left w:val="nil"/>
                    <w:bottom w:val="single" w:sz="8" w:space="0" w:color="auto"/>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9</w:t>
                  </w:r>
                </w:p>
              </w:tc>
            </w:tr>
          </w:tbl>
          <w:p w:rsidR="00361FCE" w:rsidRPr="00BF74AD" w:rsidRDefault="00361FCE" w:rsidP="00902050">
            <w:pPr>
              <w:rPr>
                <w:rFonts w:ascii="Arial" w:hAnsi="Arial" w:cs="Arial"/>
                <w:i/>
                <w:sz w:val="10"/>
                <w:szCs w:val="10"/>
              </w:rPr>
            </w:pPr>
          </w:p>
        </w:tc>
      </w:tr>
    </w:tbl>
    <w:p w:rsidR="00361FCE" w:rsidRPr="00BA50A8" w:rsidRDefault="00361FCE" w:rsidP="00BA50A8">
      <w:pPr>
        <w:pStyle w:val="Prrafodelista"/>
        <w:spacing w:line="276" w:lineRule="auto"/>
        <w:ind w:left="851"/>
        <w:jc w:val="both"/>
        <w:rPr>
          <w:rFonts w:ascii="Arial" w:hAnsi="Arial" w:cs="Arial"/>
          <w:sz w:val="17"/>
          <w:szCs w:val="17"/>
        </w:rPr>
      </w:pPr>
    </w:p>
    <w:p w:rsidR="00361FCE" w:rsidRPr="00BA50A8" w:rsidRDefault="00361FCE" w:rsidP="00BA50A8">
      <w:pPr>
        <w:pStyle w:val="Prrafodelista"/>
        <w:spacing w:line="276" w:lineRule="auto"/>
        <w:ind w:left="851"/>
        <w:jc w:val="both"/>
        <w:rPr>
          <w:rFonts w:ascii="Arial" w:hAnsi="Arial" w:cs="Arial"/>
          <w:sz w:val="17"/>
          <w:szCs w:val="17"/>
        </w:rPr>
      </w:pPr>
      <w:r w:rsidRPr="00BA50A8">
        <w:rPr>
          <w:rFonts w:ascii="Arial" w:hAnsi="Arial" w:cs="Arial"/>
          <w:b/>
          <w:i/>
          <w:sz w:val="17"/>
          <w:szCs w:val="17"/>
        </w:rPr>
        <w:t>Fuente:</w:t>
      </w:r>
      <w:r w:rsidRPr="00BA50A8">
        <w:rPr>
          <w:rFonts w:ascii="Arial" w:hAnsi="Arial" w:cs="Arial"/>
          <w:sz w:val="17"/>
          <w:szCs w:val="17"/>
        </w:rPr>
        <w:t xml:space="preserve"> </w:t>
      </w:r>
      <w:r w:rsidRPr="00BA50A8">
        <w:rPr>
          <w:rFonts w:ascii="Arial" w:hAnsi="Arial" w:cs="Arial"/>
          <w:b/>
          <w:sz w:val="17"/>
          <w:szCs w:val="17"/>
        </w:rPr>
        <w:t xml:space="preserve">INEC </w:t>
      </w:r>
      <w:r w:rsidRPr="00BA50A8">
        <w:rPr>
          <w:rFonts w:ascii="Arial" w:hAnsi="Arial" w:cs="Arial"/>
          <w:sz w:val="17"/>
          <w:szCs w:val="17"/>
        </w:rPr>
        <w:t>(2010), Base de Datos del VII Censo de Población y VI de Vivienda.</w:t>
      </w:r>
    </w:p>
    <w:p w:rsidR="00361FCE" w:rsidRDefault="00361FCE" w:rsidP="00BA50A8">
      <w:pPr>
        <w:pStyle w:val="Prrafodelista"/>
        <w:spacing w:line="276" w:lineRule="auto"/>
        <w:ind w:left="851"/>
        <w:jc w:val="both"/>
        <w:rPr>
          <w:rFonts w:ascii="Arial" w:hAnsi="Arial" w:cs="Arial"/>
          <w:sz w:val="18"/>
          <w:szCs w:val="18"/>
        </w:rPr>
      </w:pPr>
      <w:r w:rsidRPr="00BA50A8">
        <w:rPr>
          <w:rFonts w:ascii="Arial" w:hAnsi="Arial" w:cs="Arial"/>
          <w:b/>
          <w:i/>
          <w:sz w:val="17"/>
          <w:szCs w:val="17"/>
        </w:rPr>
        <w:t>Elaborado por:</w:t>
      </w:r>
      <w:r w:rsidRPr="00BA50A8">
        <w:rPr>
          <w:rFonts w:ascii="Arial" w:hAnsi="Arial" w:cs="Arial"/>
          <w:sz w:val="17"/>
          <w:szCs w:val="17"/>
        </w:rPr>
        <w:t xml:space="preserve"> Katherine Loor Valeriano</w:t>
      </w:r>
    </w:p>
    <w:p w:rsidR="00BA50A8" w:rsidRDefault="00BA50A8" w:rsidP="004F63F8">
      <w:pPr>
        <w:pStyle w:val="Prrafodelista"/>
        <w:tabs>
          <w:tab w:val="left" w:pos="1785"/>
        </w:tabs>
        <w:spacing w:line="480" w:lineRule="auto"/>
        <w:ind w:left="851"/>
        <w:jc w:val="both"/>
        <w:rPr>
          <w:rFonts w:ascii="Arial" w:hAnsi="Arial" w:cs="Arial"/>
        </w:rPr>
      </w:pPr>
    </w:p>
    <w:p w:rsidR="00361FCE" w:rsidRDefault="00361FCE" w:rsidP="004F63F8">
      <w:pPr>
        <w:pStyle w:val="Prrafodelista"/>
        <w:tabs>
          <w:tab w:val="left" w:pos="1785"/>
        </w:tabs>
        <w:spacing w:line="480" w:lineRule="auto"/>
        <w:ind w:left="851"/>
        <w:jc w:val="both"/>
        <w:rPr>
          <w:rFonts w:ascii="Arial" w:hAnsi="Arial" w:cs="Arial"/>
          <w:i/>
        </w:rPr>
      </w:pPr>
      <w:r>
        <w:rPr>
          <w:rFonts w:ascii="Arial" w:hAnsi="Arial" w:cs="Arial"/>
        </w:rPr>
        <w:t xml:space="preserve">En la </w:t>
      </w:r>
      <w:r>
        <w:rPr>
          <w:rFonts w:ascii="Arial" w:hAnsi="Arial" w:cs="Arial"/>
          <w:i/>
        </w:rPr>
        <w:t>Figura 4.89</w:t>
      </w:r>
      <w:r>
        <w:rPr>
          <w:rFonts w:ascii="Arial" w:hAnsi="Arial" w:cs="Arial"/>
        </w:rPr>
        <w:t>, se presenta la distribución de género y edad de los españoles que residen en el país, en donde podemos notar que la barra de mayor longitud corresponde al grupo de edades entre 5 y 10 años, los cuales representan el 46.65% del total de españoles que residen en el país, la segunda barra de mayor longitud corresponde a las edades de 1 a 5 años, que son el 28.55% del total de extranjeros de esta nacionalidad. Además, el 82.84% del total de españoles son menores de 15 años, el 13.83% tienen entre 15 y 65 años, es decir son personas en edad económicamente activa; y, el 3.33% son adultos mayores, es decir españoles que tienen 65 años y más. Adicionalmente, el 1.61% de los españoles son menores de 1 año, el 6.03% tienen entre 10 y 15 años, también podemos notar que no hay españoles que sean mayores de 100 años. En la pirámide poblacional también se pude determinar el porcentaje de la población que tienen una determinada edad y género, este porcentaje es equivalente a la longitud de la barra; por citar algunos ejemplos, tenemos que del total de españoles que residen en Ecuador el 24.20% son hombres con edades comprendidas entre 5 y 10 años, el 22.45% son mujeres con edades comprendidas en el mismo grupo de edad, el 0.40% son hombres con edades comprendidas en el intervalo de 15 a 20 años, el 0.47% en cambio son mujeres que tienen también entre 15 y 20 años, el 0.89% son hombres que tienen entre 60 y 65 años, el 0.41% son mujeres con edades entre 60 y 65 años. El mismo análisis mostrado para las edades anteriores se podr</w:t>
      </w:r>
      <w:r w:rsidR="004F63F8">
        <w:rPr>
          <w:rFonts w:ascii="Arial" w:hAnsi="Arial" w:cs="Arial"/>
        </w:rPr>
        <w:t>ía realizar para las restantes.</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F63F8">
        <w:trPr>
          <w:trHeight w:val="3951"/>
          <w:jc w:val="right"/>
        </w:trPr>
        <w:tc>
          <w:tcPr>
            <w:tcW w:w="7497" w:type="dxa"/>
          </w:tcPr>
          <w:p w:rsidR="00361FCE" w:rsidRPr="00840530" w:rsidRDefault="00361FCE" w:rsidP="00902050">
            <w:pPr>
              <w:rPr>
                <w:rFonts w:ascii="Arial" w:hAnsi="Arial" w:cs="Arial"/>
                <w:sz w:val="16"/>
                <w:szCs w:val="16"/>
              </w:rPr>
            </w:pPr>
          </w:p>
          <w:p w:rsidR="00E00CB5" w:rsidRPr="00E00CB5" w:rsidRDefault="00E00CB5" w:rsidP="00E00CB5">
            <w:pPr>
              <w:pStyle w:val="Epgrafe"/>
              <w:rPr>
                <w:rFonts w:ascii="Arial" w:hAnsi="Arial" w:cs="Arial"/>
                <w:bCs w:val="0"/>
                <w:color w:val="auto"/>
                <w:sz w:val="16"/>
                <w:szCs w:val="16"/>
              </w:rPr>
            </w:pPr>
            <w:bookmarkStart w:id="695" w:name="_Toc341044061"/>
            <w:r>
              <w:rPr>
                <w:rFonts w:ascii="Arial" w:hAnsi="Arial" w:cs="Arial"/>
                <w:bCs w:val="0"/>
                <w:color w:val="auto"/>
                <w:sz w:val="16"/>
                <w:szCs w:val="16"/>
              </w:rPr>
              <w:t>Figura 4.</w:t>
            </w:r>
            <w:r w:rsidR="00990535" w:rsidRPr="00E00CB5">
              <w:rPr>
                <w:rFonts w:ascii="Arial" w:hAnsi="Arial" w:cs="Arial"/>
                <w:bCs w:val="0"/>
                <w:color w:val="auto"/>
                <w:sz w:val="16"/>
                <w:szCs w:val="16"/>
              </w:rPr>
              <w:fldChar w:fldCharType="begin"/>
            </w:r>
            <w:r w:rsidRPr="00E00CB5">
              <w:rPr>
                <w:rFonts w:ascii="Arial" w:hAnsi="Arial" w:cs="Arial"/>
                <w:bCs w:val="0"/>
                <w:color w:val="auto"/>
                <w:sz w:val="16"/>
                <w:szCs w:val="16"/>
              </w:rPr>
              <w:instrText xml:space="preserve"> SEQ Figura_4. \* ARABIC </w:instrText>
            </w:r>
            <w:r w:rsidR="00990535" w:rsidRPr="00E00CB5">
              <w:rPr>
                <w:rFonts w:ascii="Arial" w:hAnsi="Arial" w:cs="Arial"/>
                <w:bCs w:val="0"/>
                <w:color w:val="auto"/>
                <w:sz w:val="16"/>
                <w:szCs w:val="16"/>
              </w:rPr>
              <w:fldChar w:fldCharType="separate"/>
            </w:r>
            <w:r w:rsidR="00A242E0">
              <w:rPr>
                <w:rFonts w:ascii="Arial" w:hAnsi="Arial" w:cs="Arial"/>
                <w:bCs w:val="0"/>
                <w:noProof/>
                <w:color w:val="auto"/>
                <w:sz w:val="16"/>
                <w:szCs w:val="16"/>
              </w:rPr>
              <w:t>89</w:t>
            </w:r>
            <w:bookmarkEnd w:id="695"/>
            <w:r w:rsidR="00990535" w:rsidRPr="00E00CB5">
              <w:rPr>
                <w:rFonts w:ascii="Arial" w:hAnsi="Arial" w:cs="Arial"/>
                <w:bCs w:val="0"/>
                <w:color w:val="auto"/>
                <w:sz w:val="16"/>
                <w:szCs w:val="16"/>
              </w:rPr>
              <w:fldChar w:fldCharType="end"/>
            </w:r>
          </w:p>
          <w:p w:rsidR="00361FCE" w:rsidRDefault="004F63F8"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Distribución Género – Edad de los </w:t>
            </w:r>
            <w:r>
              <w:rPr>
                <w:rFonts w:ascii="Arial" w:hAnsi="Arial" w:cs="Arial"/>
                <w:b/>
                <w:i/>
                <w:sz w:val="16"/>
                <w:szCs w:val="16"/>
              </w:rPr>
              <w:t>españoles</w:t>
            </w:r>
            <w:r w:rsidRPr="00016219">
              <w:rPr>
                <w:rFonts w:ascii="Arial" w:hAnsi="Arial" w:cs="Arial"/>
                <w:i/>
                <w:sz w:val="16"/>
                <w:szCs w:val="16"/>
              </w:rPr>
              <w:t xml:space="preserve"> residentes en el país</w:t>
            </w:r>
          </w:p>
          <w:p w:rsidR="00361FCE" w:rsidRPr="00660711" w:rsidRDefault="00436907" w:rsidP="00902050">
            <w:pPr>
              <w:rPr>
                <w:rFonts w:ascii="Arial" w:hAnsi="Arial" w:cs="Arial"/>
                <w:i/>
                <w:sz w:val="16"/>
                <w:szCs w:val="16"/>
              </w:rPr>
            </w:pPr>
            <w:r>
              <w:rPr>
                <w:noProof/>
                <w:lang w:eastAsia="es-EC"/>
              </w:rPr>
              <w:pict>
                <v:shape id="_x0000_s1725" type="#_x0000_t202" style="position:absolute;left:0;text-align:left;margin-left:211.3pt;margin-top:10.7pt;width:142.2pt;height:20.25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2D6729" w:rsidRDefault="006933DF" w:rsidP="00361FCE">
                        <w:pPr>
                          <w:rPr>
                            <w:rFonts w:ascii="Arial" w:hAnsi="Arial" w:cs="Arial"/>
                            <w:b/>
                            <w:sz w:val="15"/>
                            <w:szCs w:val="15"/>
                          </w:rPr>
                        </w:pPr>
                        <w:r w:rsidRPr="002D6729">
                          <w:rPr>
                            <w:rFonts w:ascii="Arial" w:hAnsi="Arial" w:cs="Arial"/>
                            <w:b/>
                            <w:sz w:val="15"/>
                            <w:szCs w:val="15"/>
                          </w:rPr>
                          <w:t>Femenino</w:t>
                        </w:r>
                      </w:p>
                    </w:txbxContent>
                  </v:textbox>
                </v:shape>
              </w:pict>
            </w:r>
            <w:r>
              <w:rPr>
                <w:rFonts w:ascii="Arial" w:hAnsi="Arial" w:cs="Arial"/>
                <w:noProof/>
                <w:lang w:eastAsia="es-EC"/>
              </w:rPr>
              <w:pict>
                <v:shape id="_x0000_s1724" type="#_x0000_t202" style="position:absolute;left:0;text-align:left;margin-left:65.8pt;margin-top:10.7pt;width:142.2pt;height:20.2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AQ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18GSNElncgTkitg2HQcTFRaMB9p6TD&#10;Ia+o/3ZgTlKi3xlsz3I8ncatSMp0dlO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JAEC8CAABWBAAADgAAAAAAAAAAAAAAAAAuAgAAZHJz&#10;L2Uyb0RvYy54bWxQSwECLQAUAAYACAAAACEA/S8y1tsAAAAFAQAADwAAAAAAAAAAAAAAAACJBAAA&#10;ZHJzL2Rvd25yZXYueG1sUEsFBgAAAAAEAAQA8wAAAJEFAAAAAA==&#10;" filled="f" stroked="f">
                  <v:textbox>
                    <w:txbxContent>
                      <w:p w:rsidR="006933DF" w:rsidRPr="002D6729" w:rsidRDefault="006933DF" w:rsidP="00361FCE">
                        <w:pPr>
                          <w:rPr>
                            <w:rFonts w:ascii="Arial" w:hAnsi="Arial" w:cs="Arial"/>
                            <w:b/>
                            <w:sz w:val="15"/>
                            <w:szCs w:val="15"/>
                          </w:rPr>
                        </w:pPr>
                        <w:r w:rsidRPr="002D6729">
                          <w:rPr>
                            <w:rFonts w:ascii="Arial" w:hAnsi="Arial" w:cs="Arial"/>
                            <w:b/>
                            <w:sz w:val="15"/>
                            <w:szCs w:val="15"/>
                          </w:rPr>
                          <w:t>Masculino</w:t>
                        </w:r>
                      </w:p>
                    </w:txbxContent>
                  </v:textbox>
                </v:shape>
              </w:pict>
            </w:r>
            <w:r w:rsidR="00361FCE">
              <w:rPr>
                <w:noProof/>
                <w:lang w:eastAsia="es-EC"/>
              </w:rPr>
              <w:t xml:space="preserve"> </w:t>
            </w:r>
            <w:r w:rsidR="00361FCE">
              <w:rPr>
                <w:noProof/>
                <w:lang w:eastAsia="es-EC"/>
              </w:rPr>
              <w:drawing>
                <wp:inline distT="0" distB="0" distL="0" distR="0" wp14:anchorId="26B2B767" wp14:editId="3132BAF8">
                  <wp:extent cx="4542790" cy="2916000"/>
                  <wp:effectExtent l="0" t="0" r="0" b="0"/>
                  <wp:docPr id="152" name="Gráfico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c>
      </w:tr>
    </w:tbl>
    <w:p w:rsidR="00361FCE" w:rsidRPr="004F63F8" w:rsidRDefault="00361FCE" w:rsidP="004F63F8">
      <w:pPr>
        <w:pStyle w:val="Prrafodelista"/>
        <w:spacing w:line="276" w:lineRule="auto"/>
        <w:ind w:left="851"/>
        <w:jc w:val="both"/>
        <w:rPr>
          <w:rFonts w:ascii="Arial" w:hAnsi="Arial" w:cs="Arial"/>
          <w:sz w:val="17"/>
          <w:szCs w:val="17"/>
        </w:rPr>
      </w:pPr>
    </w:p>
    <w:p w:rsidR="00361FCE" w:rsidRPr="004F63F8" w:rsidRDefault="00361FCE" w:rsidP="004F63F8">
      <w:pPr>
        <w:pStyle w:val="Prrafodelista"/>
        <w:spacing w:line="276" w:lineRule="auto"/>
        <w:ind w:left="851"/>
        <w:jc w:val="both"/>
        <w:rPr>
          <w:rFonts w:ascii="Arial" w:hAnsi="Arial" w:cs="Arial"/>
          <w:sz w:val="17"/>
          <w:szCs w:val="17"/>
        </w:rPr>
      </w:pPr>
      <w:r w:rsidRPr="004F63F8">
        <w:rPr>
          <w:rFonts w:ascii="Arial" w:hAnsi="Arial" w:cs="Arial"/>
          <w:b/>
          <w:i/>
          <w:sz w:val="17"/>
          <w:szCs w:val="17"/>
        </w:rPr>
        <w:t>Fuente:</w:t>
      </w:r>
      <w:r w:rsidRPr="004F63F8">
        <w:rPr>
          <w:rFonts w:ascii="Arial" w:hAnsi="Arial" w:cs="Arial"/>
          <w:sz w:val="17"/>
          <w:szCs w:val="17"/>
        </w:rPr>
        <w:t xml:space="preserve"> </w:t>
      </w:r>
      <w:r w:rsidRPr="004F63F8">
        <w:rPr>
          <w:rFonts w:ascii="Arial" w:hAnsi="Arial" w:cs="Arial"/>
          <w:b/>
          <w:sz w:val="17"/>
          <w:szCs w:val="17"/>
        </w:rPr>
        <w:t xml:space="preserve">INEC </w:t>
      </w:r>
      <w:r w:rsidRPr="004F63F8">
        <w:rPr>
          <w:rFonts w:ascii="Arial" w:hAnsi="Arial" w:cs="Arial"/>
          <w:sz w:val="17"/>
          <w:szCs w:val="17"/>
        </w:rPr>
        <w:t>(2010), Base de Datos del VII Censo de Población y VI de Vivienda.</w:t>
      </w:r>
    </w:p>
    <w:p w:rsidR="00361FCE" w:rsidRPr="004F63F8" w:rsidRDefault="00361FCE" w:rsidP="004F63F8">
      <w:pPr>
        <w:pStyle w:val="Prrafodelista"/>
        <w:spacing w:line="276" w:lineRule="auto"/>
        <w:ind w:left="851"/>
        <w:jc w:val="both"/>
        <w:rPr>
          <w:rFonts w:ascii="Arial" w:hAnsi="Arial" w:cs="Arial"/>
          <w:sz w:val="17"/>
          <w:szCs w:val="17"/>
        </w:rPr>
      </w:pPr>
      <w:r w:rsidRPr="004F63F8">
        <w:rPr>
          <w:rFonts w:ascii="Arial" w:hAnsi="Arial" w:cs="Arial"/>
          <w:b/>
          <w:i/>
          <w:sz w:val="17"/>
          <w:szCs w:val="17"/>
        </w:rPr>
        <w:t>Elaborado por:</w:t>
      </w:r>
      <w:r w:rsidRPr="004F63F8">
        <w:rPr>
          <w:rFonts w:ascii="Arial" w:hAnsi="Arial" w:cs="Arial"/>
          <w:sz w:val="17"/>
          <w:szCs w:val="17"/>
        </w:rPr>
        <w:t xml:space="preserve"> Katherine Loor Valeriano</w:t>
      </w:r>
    </w:p>
    <w:p w:rsidR="00361FCE" w:rsidRPr="00E34ADD" w:rsidRDefault="00361FCE" w:rsidP="004F63F8">
      <w:pPr>
        <w:pStyle w:val="Prrafodelista"/>
        <w:spacing w:line="480" w:lineRule="auto"/>
        <w:ind w:left="851"/>
        <w:jc w:val="both"/>
        <w:rPr>
          <w:rFonts w:ascii="Arial" w:hAnsi="Arial" w:cs="Arial"/>
          <w:i/>
        </w:rPr>
      </w:pPr>
      <w:r>
        <w:rPr>
          <w:rFonts w:ascii="Arial" w:hAnsi="Arial" w:cs="Arial"/>
        </w:rPr>
        <w:t xml:space="preserve">Ahora veamos el índice de feminidad de los españoles por grupos de edad, en la </w:t>
      </w:r>
      <w:r>
        <w:rPr>
          <w:rFonts w:ascii="Arial" w:hAnsi="Arial" w:cs="Arial"/>
          <w:i/>
        </w:rPr>
        <w:t>Figura 4.90</w:t>
      </w:r>
      <w:r>
        <w:rPr>
          <w:rFonts w:ascii="Arial" w:hAnsi="Arial" w:cs="Arial"/>
        </w:rPr>
        <w:t>, podemos notar que en la mayoría de los grupos etarios es mayor la cantidad de hombres que de mujeres, aunque de los españoles que son menores a 1 años, que tienen de 15 a 35, de 75 a 80 y los que son mayores de 90 años vemos que la situación es distinta pues en cada uno de esos grupos de edad es mayor la cantidad de mujeres frente a la de hombres de esta nacionalidad. Además, el menor índice de feminidad es de 29.37 mujeres por cada 100 hombres y corresponde a las edades comprendidas entre 65 y 70 años; y, el máximo valor que toma este índice es de 500 mujeres por cada 100 hombres para las edades entre 90 y 95 años; adicionalmente, por cada 100 hombres españoles que tienen entre 15 y 20 años hay 117.86 mujeres que tienen la misma edad y que son de la misma nacionalidad.</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F63F8">
        <w:trPr>
          <w:trHeight w:val="4096"/>
          <w:jc w:val="right"/>
        </w:trPr>
        <w:tc>
          <w:tcPr>
            <w:tcW w:w="7497" w:type="dxa"/>
          </w:tcPr>
          <w:p w:rsidR="00361FCE" w:rsidRPr="00840530" w:rsidRDefault="00361FCE" w:rsidP="00902050">
            <w:pPr>
              <w:rPr>
                <w:rFonts w:ascii="Arial" w:hAnsi="Arial" w:cs="Arial"/>
                <w:sz w:val="16"/>
                <w:szCs w:val="16"/>
              </w:rPr>
            </w:pPr>
          </w:p>
          <w:p w:rsidR="00E00CB5" w:rsidRPr="00E00CB5" w:rsidRDefault="00E00CB5" w:rsidP="00E00CB5">
            <w:pPr>
              <w:pStyle w:val="Epgrafe"/>
              <w:rPr>
                <w:rFonts w:ascii="Arial" w:hAnsi="Arial" w:cs="Arial"/>
                <w:bCs w:val="0"/>
                <w:color w:val="auto"/>
                <w:sz w:val="16"/>
                <w:szCs w:val="16"/>
              </w:rPr>
            </w:pPr>
            <w:bookmarkStart w:id="696" w:name="_Toc341044062"/>
            <w:r>
              <w:rPr>
                <w:rFonts w:ascii="Arial" w:hAnsi="Arial" w:cs="Arial"/>
                <w:bCs w:val="0"/>
                <w:color w:val="auto"/>
                <w:sz w:val="16"/>
                <w:szCs w:val="16"/>
              </w:rPr>
              <w:t>Figura 4.</w:t>
            </w:r>
            <w:r w:rsidR="00990535" w:rsidRPr="00E00CB5">
              <w:rPr>
                <w:rFonts w:ascii="Arial" w:hAnsi="Arial" w:cs="Arial"/>
                <w:bCs w:val="0"/>
                <w:color w:val="auto"/>
                <w:sz w:val="16"/>
                <w:szCs w:val="16"/>
              </w:rPr>
              <w:fldChar w:fldCharType="begin"/>
            </w:r>
            <w:r w:rsidRPr="00E00CB5">
              <w:rPr>
                <w:rFonts w:ascii="Arial" w:hAnsi="Arial" w:cs="Arial"/>
                <w:bCs w:val="0"/>
                <w:color w:val="auto"/>
                <w:sz w:val="16"/>
                <w:szCs w:val="16"/>
              </w:rPr>
              <w:instrText xml:space="preserve"> SEQ Figura_4. \* ARABIC </w:instrText>
            </w:r>
            <w:r w:rsidR="00990535" w:rsidRPr="00E00CB5">
              <w:rPr>
                <w:rFonts w:ascii="Arial" w:hAnsi="Arial" w:cs="Arial"/>
                <w:bCs w:val="0"/>
                <w:color w:val="auto"/>
                <w:sz w:val="16"/>
                <w:szCs w:val="16"/>
              </w:rPr>
              <w:fldChar w:fldCharType="separate"/>
            </w:r>
            <w:r w:rsidR="00A242E0">
              <w:rPr>
                <w:rFonts w:ascii="Arial" w:hAnsi="Arial" w:cs="Arial"/>
                <w:bCs w:val="0"/>
                <w:noProof/>
                <w:color w:val="auto"/>
                <w:sz w:val="16"/>
                <w:szCs w:val="16"/>
              </w:rPr>
              <w:t>90</w:t>
            </w:r>
            <w:bookmarkEnd w:id="696"/>
            <w:r w:rsidR="00990535" w:rsidRPr="00E00CB5">
              <w:rPr>
                <w:rFonts w:ascii="Arial" w:hAnsi="Arial" w:cs="Arial"/>
                <w:bCs w:val="0"/>
                <w:color w:val="auto"/>
                <w:sz w:val="16"/>
                <w:szCs w:val="16"/>
              </w:rPr>
              <w:fldChar w:fldCharType="end"/>
            </w:r>
          </w:p>
          <w:p w:rsidR="00361FCE" w:rsidRDefault="004F63F8"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Índice de Feminidad por Grupos etarios de la población </w:t>
            </w:r>
            <w:r>
              <w:rPr>
                <w:rFonts w:ascii="Arial" w:hAnsi="Arial" w:cs="Arial"/>
                <w:b/>
                <w:i/>
                <w:sz w:val="16"/>
                <w:szCs w:val="16"/>
              </w:rPr>
              <w:t>española</w:t>
            </w:r>
          </w:p>
          <w:p w:rsidR="00361FCE" w:rsidRPr="00660711" w:rsidRDefault="00361FCE" w:rsidP="00902050">
            <w:pPr>
              <w:rPr>
                <w:rFonts w:ascii="Arial" w:hAnsi="Arial" w:cs="Arial"/>
                <w:i/>
                <w:sz w:val="16"/>
                <w:szCs w:val="16"/>
              </w:rPr>
            </w:pPr>
            <w:r>
              <w:rPr>
                <w:noProof/>
                <w:lang w:eastAsia="es-EC"/>
              </w:rPr>
              <w:drawing>
                <wp:inline distT="0" distB="0" distL="0" distR="0" wp14:anchorId="0CF3C291" wp14:editId="7E7BF2F0">
                  <wp:extent cx="4552950" cy="2257425"/>
                  <wp:effectExtent l="0" t="0" r="0" b="0"/>
                  <wp:docPr id="153" name="Gráfico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c>
      </w:tr>
    </w:tbl>
    <w:p w:rsidR="00361FCE" w:rsidRPr="004F63F8" w:rsidRDefault="00361FCE" w:rsidP="004F63F8">
      <w:pPr>
        <w:pStyle w:val="Prrafodelista"/>
        <w:spacing w:line="276" w:lineRule="auto"/>
        <w:ind w:left="851"/>
        <w:jc w:val="both"/>
        <w:rPr>
          <w:rFonts w:ascii="Arial" w:hAnsi="Arial" w:cs="Arial"/>
          <w:sz w:val="17"/>
          <w:szCs w:val="17"/>
        </w:rPr>
      </w:pPr>
    </w:p>
    <w:p w:rsidR="00361FCE" w:rsidRPr="004F63F8" w:rsidRDefault="00361FCE" w:rsidP="004F63F8">
      <w:pPr>
        <w:pStyle w:val="Prrafodelista"/>
        <w:spacing w:line="276" w:lineRule="auto"/>
        <w:ind w:left="851"/>
        <w:jc w:val="both"/>
        <w:rPr>
          <w:rFonts w:ascii="Arial" w:hAnsi="Arial" w:cs="Arial"/>
          <w:sz w:val="17"/>
          <w:szCs w:val="17"/>
        </w:rPr>
      </w:pPr>
      <w:r w:rsidRPr="004F63F8">
        <w:rPr>
          <w:rFonts w:ascii="Arial" w:hAnsi="Arial" w:cs="Arial"/>
          <w:b/>
          <w:i/>
          <w:sz w:val="17"/>
          <w:szCs w:val="17"/>
        </w:rPr>
        <w:t>Fuente:</w:t>
      </w:r>
      <w:r w:rsidRPr="004F63F8">
        <w:rPr>
          <w:rFonts w:ascii="Arial" w:hAnsi="Arial" w:cs="Arial"/>
          <w:sz w:val="17"/>
          <w:szCs w:val="17"/>
        </w:rPr>
        <w:t xml:space="preserve"> </w:t>
      </w:r>
      <w:r w:rsidRPr="004F63F8">
        <w:rPr>
          <w:rFonts w:ascii="Arial" w:hAnsi="Arial" w:cs="Arial"/>
          <w:b/>
          <w:sz w:val="17"/>
          <w:szCs w:val="17"/>
        </w:rPr>
        <w:t xml:space="preserve">INEC </w:t>
      </w:r>
      <w:r w:rsidRPr="004F63F8">
        <w:rPr>
          <w:rFonts w:ascii="Arial" w:hAnsi="Arial" w:cs="Arial"/>
          <w:sz w:val="17"/>
          <w:szCs w:val="17"/>
        </w:rPr>
        <w:t>(2010), Base de Datos del VII Censo de Población y VI de Vivienda.</w:t>
      </w:r>
    </w:p>
    <w:p w:rsidR="00361FCE" w:rsidRPr="004F63F8" w:rsidRDefault="00361FCE" w:rsidP="004F63F8">
      <w:pPr>
        <w:pStyle w:val="Prrafodelista"/>
        <w:spacing w:line="276" w:lineRule="auto"/>
        <w:ind w:left="851"/>
        <w:jc w:val="both"/>
        <w:rPr>
          <w:rFonts w:ascii="Arial" w:hAnsi="Arial" w:cs="Arial"/>
          <w:sz w:val="17"/>
          <w:szCs w:val="17"/>
        </w:rPr>
      </w:pPr>
      <w:r w:rsidRPr="004F63F8">
        <w:rPr>
          <w:rFonts w:ascii="Arial" w:hAnsi="Arial" w:cs="Arial"/>
          <w:b/>
          <w:i/>
          <w:sz w:val="17"/>
          <w:szCs w:val="17"/>
        </w:rPr>
        <w:t>Elaborado por:</w:t>
      </w:r>
      <w:r w:rsidRPr="004F63F8">
        <w:rPr>
          <w:rFonts w:ascii="Arial" w:hAnsi="Arial" w:cs="Arial"/>
          <w:sz w:val="17"/>
          <w:szCs w:val="17"/>
        </w:rPr>
        <w:t xml:space="preserve"> Katherine Loor Valeriano</w:t>
      </w:r>
    </w:p>
    <w:p w:rsidR="00361FCE" w:rsidRDefault="00361FCE" w:rsidP="00361FCE">
      <w:pPr>
        <w:pStyle w:val="Prrafodelista"/>
        <w:spacing w:line="480" w:lineRule="auto"/>
        <w:ind w:left="567"/>
        <w:jc w:val="both"/>
        <w:rPr>
          <w:rFonts w:ascii="Arial" w:hAnsi="Arial" w:cs="Arial"/>
        </w:rPr>
      </w:pPr>
    </w:p>
    <w:p w:rsidR="00361FCE" w:rsidRDefault="00361FCE" w:rsidP="004F63F8">
      <w:pPr>
        <w:pStyle w:val="Estilo42"/>
        <w:ind w:left="1560" w:hanging="709"/>
      </w:pPr>
      <w:bookmarkStart w:id="697" w:name="_Toc337135565"/>
      <w:bookmarkStart w:id="698" w:name="_Toc341040715"/>
      <w:r>
        <w:t>Nivel de Instrucción</w:t>
      </w:r>
      <w:bookmarkEnd w:id="697"/>
      <w:r w:rsidR="004F63F8">
        <w:t xml:space="preserve"> de los españoles</w:t>
      </w:r>
      <w:bookmarkEnd w:id="698"/>
    </w:p>
    <w:p w:rsidR="00361FCE" w:rsidRDefault="00361FCE" w:rsidP="004F63F8">
      <w:pPr>
        <w:pStyle w:val="Prrafodelista"/>
        <w:spacing w:line="480" w:lineRule="auto"/>
        <w:ind w:left="851"/>
        <w:jc w:val="both"/>
        <w:rPr>
          <w:rFonts w:ascii="Arial" w:hAnsi="Arial" w:cs="Arial"/>
        </w:rPr>
      </w:pPr>
      <w:r>
        <w:rPr>
          <w:rFonts w:ascii="Arial" w:hAnsi="Arial" w:cs="Arial"/>
        </w:rPr>
        <w:t xml:space="preserve">De la población total de españoles mayores de 15 años que residen en el país el 0.79% son analfabetos, podemos notar que el porcentaje de analfabetos españoles es menor que el de colombianos y peruanos, aunque es mayor que el de estadounidenses. En la </w:t>
      </w:r>
      <w:r>
        <w:rPr>
          <w:rFonts w:ascii="Arial" w:hAnsi="Arial" w:cs="Arial"/>
          <w:i/>
        </w:rPr>
        <w:t>Figura 4.91</w:t>
      </w:r>
      <w:r>
        <w:rPr>
          <w:rFonts w:ascii="Arial" w:hAnsi="Arial" w:cs="Arial"/>
        </w:rPr>
        <w:t>, se presentan las tasas de analfabetismo español por cada 1000 personas de esta nacionalidad por género y grupos de edad, en donde para el caso de los hombres (primer gráfico) podemos notar que para los menores de 30 años y los que tienen 80 años y más esta tasa es igual a cero lo que es equivalente a decir que todos los hombres de esta nacionalidad y con edades comprendidas en los dos intervalos mencionados saben leer y escribir; mientras que para el caso de las mujeres tenemos que solamente en 5 de los 17 grupos de edad la tasa de analfabetismo es diferente de cero.</w:t>
      </w:r>
    </w:p>
    <w:p w:rsidR="004F63F8" w:rsidRDefault="004F63F8" w:rsidP="004F63F8">
      <w:pPr>
        <w:pStyle w:val="Prrafodelista"/>
        <w:spacing w:line="480" w:lineRule="auto"/>
        <w:ind w:left="851"/>
        <w:jc w:val="both"/>
        <w:rPr>
          <w:rFonts w:ascii="Arial" w:hAnsi="Arial" w:cs="Arial"/>
        </w:rPr>
      </w:pPr>
    </w:p>
    <w:p w:rsidR="00361FCE" w:rsidRDefault="00361FCE" w:rsidP="004F63F8">
      <w:pPr>
        <w:pStyle w:val="Prrafodelista"/>
        <w:spacing w:line="480" w:lineRule="auto"/>
        <w:ind w:left="851"/>
        <w:jc w:val="both"/>
        <w:rPr>
          <w:rFonts w:ascii="Arial" w:hAnsi="Arial" w:cs="Arial"/>
        </w:rPr>
      </w:pPr>
      <w:r>
        <w:rPr>
          <w:rFonts w:ascii="Arial" w:hAnsi="Arial" w:cs="Arial"/>
        </w:rPr>
        <w:t xml:space="preserve">De los españoles de género masculino con edades entre 15 y 20 años y que habitualmente residen en el país tenemos que todos saben leer y escribir, y las mujeres con edades comprendidas en el mismo etario por cada 1000 de ellas tenemos que 15.15 son analfabetas y las demás saben leer y escribir; mientras que para los hombres con edades de 35 a 40 años, tenemos que por cada 1000 de ellos 7.25 son analfabetos; y, por cada 1000 mujeres con las mismas edades hay 10.87 que son analfabetas. Para más detalles respecto a otros grupos de edad </w:t>
      </w:r>
      <w:r>
        <w:rPr>
          <w:rFonts w:ascii="Arial" w:hAnsi="Arial" w:cs="Arial"/>
          <w:i/>
        </w:rPr>
        <w:t>véase Figura 4.91.</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F63F8">
        <w:trPr>
          <w:trHeight w:val="4096"/>
          <w:jc w:val="right"/>
        </w:trPr>
        <w:tc>
          <w:tcPr>
            <w:tcW w:w="7497" w:type="dxa"/>
          </w:tcPr>
          <w:p w:rsidR="00361FCE" w:rsidRPr="00840530" w:rsidRDefault="00361FCE" w:rsidP="00902050">
            <w:pPr>
              <w:rPr>
                <w:rFonts w:ascii="Arial" w:hAnsi="Arial" w:cs="Arial"/>
                <w:sz w:val="16"/>
                <w:szCs w:val="16"/>
              </w:rPr>
            </w:pPr>
          </w:p>
          <w:p w:rsidR="00E00CB5" w:rsidRPr="00E00CB5" w:rsidRDefault="00E00CB5" w:rsidP="00E00CB5">
            <w:pPr>
              <w:pStyle w:val="Epgrafe"/>
              <w:rPr>
                <w:rFonts w:ascii="Arial" w:hAnsi="Arial" w:cs="Arial"/>
                <w:bCs w:val="0"/>
                <w:color w:val="auto"/>
                <w:sz w:val="16"/>
                <w:szCs w:val="16"/>
              </w:rPr>
            </w:pPr>
            <w:bookmarkStart w:id="699" w:name="_Toc341044063"/>
            <w:r>
              <w:rPr>
                <w:rFonts w:ascii="Arial" w:hAnsi="Arial" w:cs="Arial"/>
                <w:bCs w:val="0"/>
                <w:color w:val="auto"/>
                <w:sz w:val="16"/>
                <w:szCs w:val="16"/>
              </w:rPr>
              <w:t>Figura 4.</w:t>
            </w:r>
            <w:r w:rsidR="00990535" w:rsidRPr="00E00CB5">
              <w:rPr>
                <w:rFonts w:ascii="Arial" w:hAnsi="Arial" w:cs="Arial"/>
                <w:bCs w:val="0"/>
                <w:color w:val="auto"/>
                <w:sz w:val="16"/>
                <w:szCs w:val="16"/>
              </w:rPr>
              <w:fldChar w:fldCharType="begin"/>
            </w:r>
            <w:r w:rsidRPr="00E00CB5">
              <w:rPr>
                <w:rFonts w:ascii="Arial" w:hAnsi="Arial" w:cs="Arial"/>
                <w:bCs w:val="0"/>
                <w:color w:val="auto"/>
                <w:sz w:val="16"/>
                <w:szCs w:val="16"/>
              </w:rPr>
              <w:instrText xml:space="preserve"> SEQ Figura_4. \* ARABIC </w:instrText>
            </w:r>
            <w:r w:rsidR="00990535" w:rsidRPr="00E00CB5">
              <w:rPr>
                <w:rFonts w:ascii="Arial" w:hAnsi="Arial" w:cs="Arial"/>
                <w:bCs w:val="0"/>
                <w:color w:val="auto"/>
                <w:sz w:val="16"/>
                <w:szCs w:val="16"/>
              </w:rPr>
              <w:fldChar w:fldCharType="separate"/>
            </w:r>
            <w:r w:rsidR="00A242E0">
              <w:rPr>
                <w:rFonts w:ascii="Arial" w:hAnsi="Arial" w:cs="Arial"/>
                <w:bCs w:val="0"/>
                <w:noProof/>
                <w:color w:val="auto"/>
                <w:sz w:val="16"/>
                <w:szCs w:val="16"/>
              </w:rPr>
              <w:t>91</w:t>
            </w:r>
            <w:bookmarkEnd w:id="699"/>
            <w:r w:rsidR="00990535" w:rsidRPr="00E00CB5">
              <w:rPr>
                <w:rFonts w:ascii="Arial" w:hAnsi="Arial" w:cs="Arial"/>
                <w:bCs w:val="0"/>
                <w:color w:val="auto"/>
                <w:sz w:val="16"/>
                <w:szCs w:val="16"/>
              </w:rPr>
              <w:fldChar w:fldCharType="end"/>
            </w:r>
          </w:p>
          <w:p w:rsidR="00361FCE" w:rsidRDefault="00D82A08" w:rsidP="00902050">
            <w:pPr>
              <w:rPr>
                <w:rFonts w:ascii="Arial" w:hAnsi="Arial" w:cs="Arial"/>
                <w:i/>
                <w:sz w:val="16"/>
                <w:szCs w:val="16"/>
              </w:rPr>
            </w:pPr>
            <w:r>
              <w:rPr>
                <w:rFonts w:ascii="Arial" w:hAnsi="Arial" w:cs="Arial"/>
                <w:b/>
                <w:i/>
                <w:sz w:val="16"/>
                <w:szCs w:val="16"/>
              </w:rPr>
              <w:t xml:space="preserve">Ecuador 2010: </w:t>
            </w:r>
            <w:r w:rsidR="004F63F8" w:rsidRPr="00016219">
              <w:rPr>
                <w:rFonts w:ascii="Arial" w:hAnsi="Arial" w:cs="Arial"/>
                <w:i/>
                <w:sz w:val="16"/>
                <w:szCs w:val="16"/>
              </w:rPr>
              <w:t xml:space="preserve">Tasa de Analfabetismo por cada 1000 </w:t>
            </w:r>
            <w:r w:rsidR="004F63F8">
              <w:rPr>
                <w:rFonts w:ascii="Arial" w:hAnsi="Arial" w:cs="Arial"/>
                <w:b/>
                <w:i/>
                <w:sz w:val="16"/>
                <w:szCs w:val="16"/>
              </w:rPr>
              <w:t>españoles</w:t>
            </w:r>
            <w:r w:rsidR="004F63F8" w:rsidRPr="00016219">
              <w:rPr>
                <w:rFonts w:ascii="Arial" w:hAnsi="Arial" w:cs="Arial"/>
                <w:i/>
                <w:sz w:val="16"/>
                <w:szCs w:val="16"/>
              </w:rPr>
              <w:t xml:space="preserve"> por Género y Grupo etario</w:t>
            </w:r>
          </w:p>
          <w:p w:rsidR="00361FCE" w:rsidRDefault="00436907" w:rsidP="00902050">
            <w:pPr>
              <w:rPr>
                <w:rFonts w:ascii="Arial" w:hAnsi="Arial" w:cs="Arial"/>
                <w:i/>
                <w:sz w:val="16"/>
                <w:szCs w:val="16"/>
              </w:rPr>
            </w:pPr>
            <w:r>
              <w:rPr>
                <w:rFonts w:ascii="Arial" w:hAnsi="Arial" w:cs="Arial"/>
                <w:b/>
                <w:i/>
                <w:noProof/>
                <w:sz w:val="18"/>
                <w:szCs w:val="18"/>
                <w:lang w:eastAsia="es-EC"/>
              </w:rPr>
              <w:pict>
                <v:shape id="_x0000_s1726" type="#_x0000_t202" style="position:absolute;left:0;text-align:left;margin-left:146.2pt;margin-top:25.75pt;width:89.8pt;height:15.8pt;z-index:2516505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726;mso-fit-shape-to-text:t">
                    <w:txbxContent>
                      <w:p w:rsidR="006933DF" w:rsidRPr="009C2ABD" w:rsidRDefault="006933DF" w:rsidP="00361FCE">
                        <w:pPr>
                          <w:rPr>
                            <w:rFonts w:ascii="Arial" w:hAnsi="Arial" w:cs="Arial"/>
                            <w:color w:val="0070C0"/>
                            <w:sz w:val="15"/>
                            <w:szCs w:val="15"/>
                          </w:rPr>
                        </w:pPr>
                        <w:r w:rsidRPr="009C2ABD">
                          <w:rPr>
                            <w:rFonts w:ascii="Arial" w:hAnsi="Arial" w:cs="Arial"/>
                            <w:color w:val="0070C0"/>
                            <w:sz w:val="15"/>
                            <w:szCs w:val="15"/>
                          </w:rPr>
                          <w:t>Alfabeto</w:t>
                        </w:r>
                      </w:p>
                    </w:txbxContent>
                  </v:textbox>
                </v:shape>
              </w:pict>
            </w:r>
            <w:r>
              <w:rPr>
                <w:rFonts w:ascii="Arial" w:hAnsi="Arial" w:cs="Arial"/>
                <w:b/>
                <w:i/>
                <w:noProof/>
                <w:sz w:val="18"/>
                <w:szCs w:val="18"/>
                <w:lang w:eastAsia="es-EC"/>
              </w:rPr>
              <w:pict>
                <v:shape id="_x0000_s2280" type="#_x0000_t32" style="position:absolute;left:0;text-align:left;margin-left:170.55pt;margin-top:13.6pt;width:18.75pt;height:15.15pt;flip:x y;z-index:252012032" o:connectortype="straight" strokecolor="#0070c0">
                  <v:stroke endarrow="block"/>
                </v:shape>
              </w:pict>
            </w:r>
            <w:r>
              <w:rPr>
                <w:rFonts w:ascii="Arial" w:hAnsi="Arial" w:cs="Arial"/>
                <w:b/>
                <w:i/>
                <w:noProof/>
                <w:sz w:val="18"/>
                <w:szCs w:val="18"/>
                <w:lang w:eastAsia="es-EC"/>
              </w:rPr>
              <w:pict>
                <v:shape id="_x0000_s1728" type="#_x0000_t202" style="position:absolute;left:0;text-align:left;margin-left:143.2pt;margin-top:71.75pt;width:89.8pt;height:15.8pt;z-index:2516526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728;mso-fit-shape-to-text:t">
                    <w:txbxContent>
                      <w:p w:rsidR="006933DF" w:rsidRPr="009C2ABD" w:rsidRDefault="006933DF" w:rsidP="00361FCE">
                        <w:pPr>
                          <w:rPr>
                            <w:rFonts w:ascii="Arial" w:hAnsi="Arial" w:cs="Arial"/>
                            <w:color w:val="E36C0A" w:themeColor="accent6" w:themeShade="BF"/>
                            <w:sz w:val="15"/>
                            <w:szCs w:val="15"/>
                          </w:rPr>
                        </w:pPr>
                        <w:r w:rsidRPr="009C2ABD">
                          <w:rPr>
                            <w:rFonts w:ascii="Arial" w:hAnsi="Arial" w:cs="Arial"/>
                            <w:color w:val="E36C0A" w:themeColor="accent6" w:themeShade="BF"/>
                            <w:sz w:val="15"/>
                            <w:szCs w:val="15"/>
                          </w:rPr>
                          <w:t>Analfabeto</w:t>
                        </w:r>
                      </w:p>
                    </w:txbxContent>
                  </v:textbox>
                </v:shape>
              </w:pict>
            </w:r>
            <w:r>
              <w:rPr>
                <w:rFonts w:ascii="Arial" w:hAnsi="Arial" w:cs="Arial"/>
                <w:b/>
                <w:i/>
                <w:noProof/>
                <w:sz w:val="18"/>
                <w:szCs w:val="18"/>
                <w:lang w:eastAsia="es-EC"/>
              </w:rPr>
              <w:pict>
                <v:shape id="_x0000_s2279" type="#_x0000_t32" style="position:absolute;left:0;text-align:left;margin-left:175.05pt;margin-top:84.75pt;width:14.25pt;height:17.25pt;flip:x;z-index:252011008" o:connectortype="straight" strokecolor="#e36c0a [2409]">
                  <v:stroke endarrow="block"/>
                </v:shape>
              </w:pict>
            </w:r>
            <w:r>
              <w:rPr>
                <w:rFonts w:ascii="Arial" w:hAnsi="Arial" w:cs="Arial"/>
                <w:b/>
                <w:i/>
                <w:noProof/>
                <w:sz w:val="18"/>
                <w:szCs w:val="18"/>
                <w:lang w:eastAsia="es-EC"/>
              </w:rPr>
              <w:pict>
                <v:shape id="_x0000_s1727" type="#_x0000_t202" style="position:absolute;left:0;text-align:left;margin-left:262.75pt;margin-top:13.6pt;width:88.5pt;height:17.9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727">
                    <w:txbxContent>
                      <w:p w:rsidR="006933DF" w:rsidRPr="00C800F3"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t xml:space="preserve"> </w:t>
            </w:r>
            <w:r w:rsidR="00361FCE">
              <w:rPr>
                <w:noProof/>
                <w:lang w:eastAsia="es-EC"/>
              </w:rPr>
              <w:drawing>
                <wp:inline distT="0" distB="0" distL="0" distR="0" wp14:anchorId="3E099DC7" wp14:editId="11F6BB21">
                  <wp:extent cx="4211955" cy="1800000"/>
                  <wp:effectExtent l="0" t="0" r="0" b="0"/>
                  <wp:docPr id="154" name="Gráfico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729" type="#_x0000_t202" style="position:absolute;left:0;text-align:left;margin-left:160.45pt;margin-top:27pt;width:89.8pt;height:15.8pt;z-index:2516536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729;mso-fit-shape-to-text:t">
                    <w:txbxContent>
                      <w:p w:rsidR="006933DF" w:rsidRPr="009C2ABD" w:rsidRDefault="006933DF" w:rsidP="00361FCE">
                        <w:pPr>
                          <w:rPr>
                            <w:rFonts w:ascii="Arial" w:hAnsi="Arial" w:cs="Arial"/>
                            <w:color w:val="0070C0"/>
                            <w:sz w:val="15"/>
                            <w:szCs w:val="15"/>
                          </w:rPr>
                        </w:pPr>
                        <w:r w:rsidRPr="009C2ABD">
                          <w:rPr>
                            <w:rFonts w:ascii="Arial" w:hAnsi="Arial" w:cs="Arial"/>
                            <w:color w:val="0070C0"/>
                            <w:sz w:val="15"/>
                            <w:szCs w:val="15"/>
                          </w:rPr>
                          <w:t>Alfabeto</w:t>
                        </w:r>
                      </w:p>
                    </w:txbxContent>
                  </v:textbox>
                </v:shape>
              </w:pict>
            </w:r>
            <w:r>
              <w:rPr>
                <w:rFonts w:ascii="Arial" w:hAnsi="Arial" w:cs="Arial"/>
                <w:noProof/>
                <w:sz w:val="16"/>
                <w:szCs w:val="16"/>
                <w:lang w:eastAsia="es-EC"/>
              </w:rPr>
              <w:pict>
                <v:shape id="_x0000_s2281" type="#_x0000_t32" style="position:absolute;left:0;text-align:left;margin-left:189.3pt;margin-top:12.35pt;width:13.5pt;height:16.15pt;flip:x y;z-index:252013056" o:connectortype="straight" strokecolor="#0070c0">
                  <v:stroke endarrow="block"/>
                </v:shape>
              </w:pict>
            </w:r>
            <w:r>
              <w:rPr>
                <w:rFonts w:ascii="Arial" w:hAnsi="Arial" w:cs="Arial"/>
                <w:noProof/>
                <w:sz w:val="16"/>
                <w:szCs w:val="16"/>
                <w:lang w:eastAsia="es-EC"/>
              </w:rPr>
              <w:pict>
                <v:shape id="_x0000_s1731" type="#_x0000_t202" style="position:absolute;left:0;text-align:left;margin-left:155.2pt;margin-top:78pt;width:89.8pt;height:15.8pt;z-index:251655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xhUAILgIAAFYEAAAOAAAAAAAAAAAAAAAAAC4CAABkcnMv&#10;ZTJvRG9jLnhtbFBLAQItABQABgAIAAAAIQD9LzLW2wAAAAUBAAAPAAAAAAAAAAAAAAAAAIgEAABk&#10;cnMvZG93bnJldi54bWxQSwUGAAAAAAQABADzAAAAkAUAAAAA&#10;" filled="f" stroked="f">
                  <v:textbox style="mso-next-textbox:#_x0000_s1731;mso-fit-shape-to-text:t">
                    <w:txbxContent>
                      <w:p w:rsidR="006933DF" w:rsidRPr="009C2ABD" w:rsidRDefault="006933DF" w:rsidP="00361FCE">
                        <w:pPr>
                          <w:rPr>
                            <w:rFonts w:ascii="Arial" w:hAnsi="Arial" w:cs="Arial"/>
                            <w:color w:val="E36C0A" w:themeColor="accent6" w:themeShade="BF"/>
                            <w:sz w:val="15"/>
                            <w:szCs w:val="15"/>
                          </w:rPr>
                        </w:pPr>
                        <w:r w:rsidRPr="009C2ABD">
                          <w:rPr>
                            <w:rFonts w:ascii="Arial" w:hAnsi="Arial" w:cs="Arial"/>
                            <w:color w:val="E36C0A" w:themeColor="accent6" w:themeShade="BF"/>
                            <w:sz w:val="15"/>
                            <w:szCs w:val="15"/>
                          </w:rPr>
                          <w:t>Analfabeto</w:t>
                        </w:r>
                      </w:p>
                    </w:txbxContent>
                  </v:textbox>
                </v:shape>
              </w:pict>
            </w:r>
            <w:r>
              <w:rPr>
                <w:rFonts w:ascii="Arial" w:hAnsi="Arial" w:cs="Arial"/>
                <w:noProof/>
                <w:sz w:val="16"/>
                <w:szCs w:val="16"/>
                <w:lang w:eastAsia="es-EC"/>
              </w:rPr>
              <w:pict>
                <v:shape id="_x0000_s2278" type="#_x0000_t32" style="position:absolute;left:0;text-align:left;margin-left:189.3pt;margin-top:89.3pt;width:8.25pt;height:12.75pt;flip:x;z-index:252009984" o:connectortype="straight" strokecolor="#e36c0a [2409]">
                  <v:stroke endarrow="block"/>
                </v:shape>
              </w:pict>
            </w:r>
            <w:r>
              <w:rPr>
                <w:rFonts w:ascii="Arial" w:hAnsi="Arial" w:cs="Arial"/>
                <w:noProof/>
                <w:sz w:val="16"/>
                <w:szCs w:val="16"/>
                <w:lang w:eastAsia="es-EC"/>
              </w:rPr>
              <w:pict>
                <v:shape id="_x0000_s1730" type="#_x0000_t202" style="position:absolute;left:0;text-align:left;margin-left:272.5pt;margin-top:12.35pt;width:78.75pt;height:17.9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1730">
                    <w:txbxContent>
                      <w:p w:rsidR="006933DF" w:rsidRPr="00C800F3"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t xml:space="preserve"> </w:t>
            </w:r>
            <w:r w:rsidR="00361FCE">
              <w:rPr>
                <w:noProof/>
                <w:lang w:eastAsia="es-EC"/>
              </w:rPr>
              <w:drawing>
                <wp:inline distT="0" distB="0" distL="0" distR="0" wp14:anchorId="4175A0AD" wp14:editId="58A1F5D2">
                  <wp:extent cx="4211955" cy="1800000"/>
                  <wp:effectExtent l="0" t="0" r="0" b="0"/>
                  <wp:docPr id="155" name="Gráfico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c>
      </w:tr>
    </w:tbl>
    <w:p w:rsidR="00361FCE" w:rsidRPr="004F63F8" w:rsidRDefault="00361FCE" w:rsidP="004F63F8">
      <w:pPr>
        <w:pStyle w:val="Prrafodelista"/>
        <w:spacing w:line="276" w:lineRule="auto"/>
        <w:ind w:left="851"/>
        <w:jc w:val="both"/>
        <w:rPr>
          <w:rFonts w:ascii="Arial" w:hAnsi="Arial" w:cs="Arial"/>
          <w:sz w:val="17"/>
          <w:szCs w:val="17"/>
        </w:rPr>
      </w:pPr>
    </w:p>
    <w:p w:rsidR="00361FCE" w:rsidRPr="004F63F8" w:rsidRDefault="00361FCE" w:rsidP="004F63F8">
      <w:pPr>
        <w:pStyle w:val="Prrafodelista"/>
        <w:spacing w:line="276" w:lineRule="auto"/>
        <w:ind w:left="851"/>
        <w:jc w:val="both"/>
        <w:rPr>
          <w:rFonts w:ascii="Arial" w:hAnsi="Arial" w:cs="Arial"/>
          <w:sz w:val="17"/>
          <w:szCs w:val="17"/>
        </w:rPr>
      </w:pPr>
      <w:r w:rsidRPr="004F63F8">
        <w:rPr>
          <w:rFonts w:ascii="Arial" w:hAnsi="Arial" w:cs="Arial"/>
          <w:b/>
          <w:i/>
          <w:sz w:val="17"/>
          <w:szCs w:val="17"/>
        </w:rPr>
        <w:t>Fuente:</w:t>
      </w:r>
      <w:r w:rsidRPr="004F63F8">
        <w:rPr>
          <w:rFonts w:ascii="Arial" w:hAnsi="Arial" w:cs="Arial"/>
          <w:sz w:val="17"/>
          <w:szCs w:val="17"/>
        </w:rPr>
        <w:t xml:space="preserve"> </w:t>
      </w:r>
      <w:r w:rsidRPr="004F63F8">
        <w:rPr>
          <w:rFonts w:ascii="Arial" w:hAnsi="Arial" w:cs="Arial"/>
          <w:b/>
          <w:sz w:val="17"/>
          <w:szCs w:val="17"/>
        </w:rPr>
        <w:t xml:space="preserve">INEC </w:t>
      </w:r>
      <w:r w:rsidRPr="004F63F8">
        <w:rPr>
          <w:rFonts w:ascii="Arial" w:hAnsi="Arial" w:cs="Arial"/>
          <w:sz w:val="17"/>
          <w:szCs w:val="17"/>
        </w:rPr>
        <w:t>(2010), Base de Datos del VII Censo de Población y VI de Vivienda.</w:t>
      </w:r>
    </w:p>
    <w:p w:rsidR="00361FCE" w:rsidRDefault="00361FCE" w:rsidP="004F63F8">
      <w:pPr>
        <w:pStyle w:val="Prrafodelista"/>
        <w:spacing w:line="276" w:lineRule="auto"/>
        <w:ind w:left="851"/>
        <w:jc w:val="both"/>
        <w:rPr>
          <w:rFonts w:ascii="Arial" w:hAnsi="Arial" w:cs="Arial"/>
          <w:sz w:val="18"/>
          <w:szCs w:val="18"/>
        </w:rPr>
      </w:pPr>
      <w:r w:rsidRPr="004F63F8">
        <w:rPr>
          <w:rFonts w:ascii="Arial" w:hAnsi="Arial" w:cs="Arial"/>
          <w:b/>
          <w:i/>
          <w:sz w:val="17"/>
          <w:szCs w:val="17"/>
        </w:rPr>
        <w:t>Elaborado por:</w:t>
      </w:r>
      <w:r w:rsidRPr="004F63F8">
        <w:rPr>
          <w:rFonts w:ascii="Arial" w:hAnsi="Arial" w:cs="Arial"/>
          <w:sz w:val="17"/>
          <w:szCs w:val="17"/>
        </w:rPr>
        <w:t xml:space="preserve"> Katherine Loor Valeriano</w:t>
      </w:r>
    </w:p>
    <w:p w:rsidR="00361FCE" w:rsidRDefault="00361FCE" w:rsidP="004F63F8">
      <w:pPr>
        <w:pStyle w:val="Prrafodelista"/>
        <w:spacing w:line="480" w:lineRule="auto"/>
        <w:ind w:left="851"/>
        <w:jc w:val="both"/>
        <w:rPr>
          <w:rFonts w:ascii="Arial" w:hAnsi="Arial" w:cs="Arial"/>
        </w:rPr>
      </w:pPr>
    </w:p>
    <w:p w:rsidR="00361FCE" w:rsidRPr="00171EDC" w:rsidRDefault="00361FCE" w:rsidP="004F63F8">
      <w:pPr>
        <w:pStyle w:val="Prrafodelista"/>
        <w:spacing w:line="480" w:lineRule="auto"/>
        <w:ind w:left="851"/>
        <w:jc w:val="both"/>
        <w:rPr>
          <w:rFonts w:ascii="Arial" w:hAnsi="Arial" w:cs="Arial"/>
          <w:i/>
        </w:rPr>
      </w:pPr>
      <w:r>
        <w:rPr>
          <w:rFonts w:ascii="Arial" w:hAnsi="Arial" w:cs="Arial"/>
        </w:rPr>
        <w:t xml:space="preserve">En lo que respecta al nivel más alto de instrucción que tienen los españoles, tenemos que el 0.02% asisten a un Centro de Analfabetismo, el 74.88% tienen instrucción primaria, el 9.57% instrucción secundaria, el 13.86% superior; y, el porcentaje restante no respondieron o dijeron no tener instrucción alguna. Además, en la </w:t>
      </w:r>
      <w:r>
        <w:rPr>
          <w:rFonts w:ascii="Arial" w:hAnsi="Arial" w:cs="Arial"/>
          <w:i/>
        </w:rPr>
        <w:t>Figura 4.92</w:t>
      </w:r>
      <w:r>
        <w:rPr>
          <w:rFonts w:ascii="Arial" w:hAnsi="Arial" w:cs="Arial"/>
        </w:rPr>
        <w:t xml:space="preserve">, tenemos que el 34.16% de los españoles son hombres, con edades entre 5 y 10 años que tienen instrucción primaria, el 31.82% son mujeres con edades en el mismo grupo etario y que tienen instrucción primaria también, el 1.01% son mujeres con edades de 30 a 35 años que tienen instrucción superior sea a nivel de pregrado o postgrado; y, el 0.78% son hombres con edades entre 30 y 35 años que tienen instrucción superior.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F63F8">
        <w:trPr>
          <w:trHeight w:val="4932"/>
          <w:jc w:val="right"/>
        </w:trPr>
        <w:tc>
          <w:tcPr>
            <w:tcW w:w="7497" w:type="dxa"/>
          </w:tcPr>
          <w:p w:rsidR="00361FCE" w:rsidRPr="00840530" w:rsidRDefault="00361FCE" w:rsidP="00902050">
            <w:pPr>
              <w:rPr>
                <w:rFonts w:ascii="Arial" w:hAnsi="Arial" w:cs="Arial"/>
                <w:sz w:val="16"/>
                <w:szCs w:val="16"/>
              </w:rPr>
            </w:pPr>
          </w:p>
          <w:p w:rsidR="00E00CB5" w:rsidRPr="00E00CB5" w:rsidRDefault="00E00CB5" w:rsidP="00E00CB5">
            <w:pPr>
              <w:pStyle w:val="Epgrafe"/>
              <w:rPr>
                <w:rFonts w:ascii="Arial" w:hAnsi="Arial" w:cs="Arial"/>
                <w:bCs w:val="0"/>
                <w:color w:val="auto"/>
                <w:sz w:val="16"/>
                <w:szCs w:val="16"/>
              </w:rPr>
            </w:pPr>
            <w:bookmarkStart w:id="700" w:name="_Toc341044064"/>
            <w:r>
              <w:rPr>
                <w:rFonts w:ascii="Arial" w:hAnsi="Arial" w:cs="Arial"/>
                <w:bCs w:val="0"/>
                <w:color w:val="auto"/>
                <w:sz w:val="16"/>
                <w:szCs w:val="16"/>
              </w:rPr>
              <w:t>Figura 4.</w:t>
            </w:r>
            <w:r w:rsidR="00990535" w:rsidRPr="00E00CB5">
              <w:rPr>
                <w:rFonts w:ascii="Arial" w:hAnsi="Arial" w:cs="Arial"/>
                <w:bCs w:val="0"/>
                <w:color w:val="auto"/>
                <w:sz w:val="16"/>
                <w:szCs w:val="16"/>
              </w:rPr>
              <w:fldChar w:fldCharType="begin"/>
            </w:r>
            <w:r w:rsidRPr="00E00CB5">
              <w:rPr>
                <w:rFonts w:ascii="Arial" w:hAnsi="Arial" w:cs="Arial"/>
                <w:bCs w:val="0"/>
                <w:color w:val="auto"/>
                <w:sz w:val="16"/>
                <w:szCs w:val="16"/>
              </w:rPr>
              <w:instrText xml:space="preserve"> SEQ Figura_4. \* ARABIC </w:instrText>
            </w:r>
            <w:r w:rsidR="00990535" w:rsidRPr="00E00CB5">
              <w:rPr>
                <w:rFonts w:ascii="Arial" w:hAnsi="Arial" w:cs="Arial"/>
                <w:bCs w:val="0"/>
                <w:color w:val="auto"/>
                <w:sz w:val="16"/>
                <w:szCs w:val="16"/>
              </w:rPr>
              <w:fldChar w:fldCharType="separate"/>
            </w:r>
            <w:r w:rsidR="00A242E0">
              <w:rPr>
                <w:rFonts w:ascii="Arial" w:hAnsi="Arial" w:cs="Arial"/>
                <w:bCs w:val="0"/>
                <w:noProof/>
                <w:color w:val="auto"/>
                <w:sz w:val="16"/>
                <w:szCs w:val="16"/>
              </w:rPr>
              <w:t>92</w:t>
            </w:r>
            <w:bookmarkEnd w:id="700"/>
            <w:r w:rsidR="00990535" w:rsidRPr="00E00CB5">
              <w:rPr>
                <w:rFonts w:ascii="Arial" w:hAnsi="Arial" w:cs="Arial"/>
                <w:bCs w:val="0"/>
                <w:color w:val="auto"/>
                <w:sz w:val="16"/>
                <w:szCs w:val="16"/>
              </w:rPr>
              <w:fldChar w:fldCharType="end"/>
            </w:r>
          </w:p>
          <w:p w:rsidR="00361FCE" w:rsidRDefault="004F63F8" w:rsidP="00902050">
            <w:pPr>
              <w:rPr>
                <w:noProof/>
                <w:lang w:eastAsia="es-EC"/>
              </w:rPr>
            </w:pPr>
            <w:r w:rsidRPr="00016219">
              <w:rPr>
                <w:rFonts w:ascii="Arial" w:hAnsi="Arial" w:cs="Arial"/>
                <w:b/>
                <w:i/>
                <w:sz w:val="16"/>
                <w:szCs w:val="16"/>
              </w:rPr>
              <w:t xml:space="preserve">Ecuador 2010: </w:t>
            </w:r>
            <w:r w:rsidRPr="00016219">
              <w:rPr>
                <w:rFonts w:ascii="Arial" w:hAnsi="Arial" w:cs="Arial"/>
                <w:i/>
                <w:sz w:val="16"/>
                <w:szCs w:val="16"/>
              </w:rPr>
              <w:t xml:space="preserve">Distribución Género – Edad – Nivel de Instrucción de los </w:t>
            </w:r>
            <w:r w:rsidR="00436907">
              <w:rPr>
                <w:rFonts w:ascii="Arial" w:hAnsi="Arial" w:cs="Arial"/>
                <w:noProof/>
                <w:sz w:val="16"/>
                <w:szCs w:val="16"/>
                <w:lang w:eastAsia="es-EC"/>
              </w:rPr>
              <w:pict>
                <v:rect id="_x0000_s1734" style="position:absolute;left:0;text-align:left;margin-left:43.75pt;margin-top:209.05pt;width:8.25pt;height:7.15pt;z-index:251658752;mso-position-horizontal-relative:text;mso-position-vertical-relative:text" stroked="f"/>
              </w:pict>
            </w:r>
            <w:r>
              <w:rPr>
                <w:rFonts w:ascii="Arial" w:hAnsi="Arial" w:cs="Arial"/>
                <w:b/>
                <w:i/>
                <w:sz w:val="16"/>
                <w:szCs w:val="16"/>
              </w:rPr>
              <w:t>españoles</w:t>
            </w:r>
            <w:r w:rsidR="00361FCE">
              <w:rPr>
                <w:noProof/>
                <w:lang w:eastAsia="es-EC"/>
              </w:rPr>
              <w:t xml:space="preserve"> </w:t>
            </w:r>
          </w:p>
          <w:p w:rsidR="00361FCE" w:rsidRPr="00660711" w:rsidRDefault="00436907" w:rsidP="00902050">
            <w:pPr>
              <w:rPr>
                <w:rFonts w:ascii="Arial" w:hAnsi="Arial" w:cs="Arial"/>
                <w:i/>
                <w:sz w:val="16"/>
                <w:szCs w:val="16"/>
              </w:rPr>
            </w:pPr>
            <w:r>
              <w:rPr>
                <w:rFonts w:ascii="Arial" w:hAnsi="Arial" w:cs="Arial"/>
                <w:noProof/>
                <w:lang w:eastAsia="es-EC"/>
              </w:rPr>
              <w:pict>
                <v:shape id="_x0000_s2283" type="#_x0000_t202" style="position:absolute;left:0;text-align:left;margin-left:178.05pt;margin-top:4.15pt;width:126.05pt;height:17.9pt;z-index:25201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2283">
                    <w:txbxContent>
                      <w:p w:rsidR="006933DF" w:rsidRPr="00C800F3" w:rsidRDefault="006933DF" w:rsidP="004F63F8">
                        <w:pPr>
                          <w:rPr>
                            <w:rFonts w:ascii="Arial" w:hAnsi="Arial" w:cs="Arial"/>
                            <w:b/>
                            <w:sz w:val="15"/>
                            <w:szCs w:val="15"/>
                          </w:rPr>
                        </w:pPr>
                        <w:r>
                          <w:rPr>
                            <w:rFonts w:ascii="Arial" w:hAnsi="Arial" w:cs="Arial"/>
                            <w:b/>
                            <w:sz w:val="15"/>
                            <w:szCs w:val="15"/>
                          </w:rPr>
                          <w:t>Femenino</w:t>
                        </w:r>
                      </w:p>
                    </w:txbxContent>
                  </v:textbox>
                </v:shape>
              </w:pict>
            </w:r>
            <w:r>
              <w:rPr>
                <w:rFonts w:ascii="Arial" w:hAnsi="Arial" w:cs="Arial"/>
                <w:noProof/>
                <w:lang w:eastAsia="es-EC"/>
              </w:rPr>
              <w:pict>
                <v:shape id="_x0000_s2282" type="#_x0000_t202" style="position:absolute;left:0;text-align:left;margin-left:52pt;margin-top:4.15pt;width:126.05pt;height:17.9pt;z-index:25201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7VhhnLgIAAFYEAAAOAAAAAAAAAAAAAAAAAC4CAABkcnMv&#10;ZTJvRG9jLnhtbFBLAQItABQABgAIAAAAIQD9LzLW2wAAAAUBAAAPAAAAAAAAAAAAAAAAAIgEAABk&#10;cnMvZG93bnJldi54bWxQSwUGAAAAAAQABADzAAAAkAUAAAAA&#10;" filled="f" stroked="f">
                  <v:textbox style="mso-next-textbox:#_x0000_s2282">
                    <w:txbxContent>
                      <w:p w:rsidR="006933DF" w:rsidRPr="00C800F3" w:rsidRDefault="006933DF" w:rsidP="004F63F8">
                        <w:pPr>
                          <w:rPr>
                            <w:rFonts w:ascii="Arial" w:hAnsi="Arial" w:cs="Arial"/>
                            <w:b/>
                            <w:sz w:val="15"/>
                            <w:szCs w:val="15"/>
                          </w:rPr>
                        </w:pPr>
                        <w:r>
                          <w:rPr>
                            <w:rFonts w:ascii="Arial" w:hAnsi="Arial" w:cs="Arial"/>
                            <w:b/>
                            <w:sz w:val="15"/>
                            <w:szCs w:val="15"/>
                          </w:rPr>
                          <w:t>Masculino</w:t>
                        </w:r>
                      </w:p>
                    </w:txbxContent>
                  </v:textbox>
                </v:shape>
              </w:pict>
            </w:r>
            <w:r w:rsidR="00361FCE">
              <w:rPr>
                <w:noProof/>
                <w:lang w:eastAsia="es-EC"/>
              </w:rPr>
              <w:drawing>
                <wp:inline distT="0" distB="0" distL="0" distR="0" wp14:anchorId="219BC94A" wp14:editId="7085EE9A">
                  <wp:extent cx="4572000" cy="2771775"/>
                  <wp:effectExtent l="0" t="0" r="0" b="0"/>
                  <wp:docPr id="352" name="Gráfico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c>
      </w:tr>
    </w:tbl>
    <w:p w:rsidR="00361FCE" w:rsidRPr="004F63F8" w:rsidRDefault="00361FCE" w:rsidP="004F63F8">
      <w:pPr>
        <w:pStyle w:val="Prrafodelista"/>
        <w:spacing w:line="276" w:lineRule="auto"/>
        <w:ind w:left="851"/>
        <w:jc w:val="both"/>
        <w:rPr>
          <w:rFonts w:ascii="Arial" w:hAnsi="Arial" w:cs="Arial"/>
          <w:sz w:val="17"/>
          <w:szCs w:val="17"/>
        </w:rPr>
      </w:pPr>
    </w:p>
    <w:p w:rsidR="00361FCE" w:rsidRPr="004F63F8" w:rsidRDefault="00361FCE" w:rsidP="004F63F8">
      <w:pPr>
        <w:pStyle w:val="Prrafodelista"/>
        <w:spacing w:line="276" w:lineRule="auto"/>
        <w:ind w:left="851"/>
        <w:jc w:val="both"/>
        <w:rPr>
          <w:rFonts w:ascii="Arial" w:hAnsi="Arial" w:cs="Arial"/>
          <w:sz w:val="17"/>
          <w:szCs w:val="17"/>
        </w:rPr>
      </w:pPr>
      <w:r w:rsidRPr="004F63F8">
        <w:rPr>
          <w:rFonts w:ascii="Arial" w:hAnsi="Arial" w:cs="Arial"/>
          <w:b/>
          <w:i/>
          <w:sz w:val="17"/>
          <w:szCs w:val="17"/>
        </w:rPr>
        <w:t>Fuente:</w:t>
      </w:r>
      <w:r w:rsidRPr="004F63F8">
        <w:rPr>
          <w:rFonts w:ascii="Arial" w:hAnsi="Arial" w:cs="Arial"/>
          <w:sz w:val="17"/>
          <w:szCs w:val="17"/>
        </w:rPr>
        <w:t xml:space="preserve"> </w:t>
      </w:r>
      <w:r w:rsidRPr="004F63F8">
        <w:rPr>
          <w:rFonts w:ascii="Arial" w:hAnsi="Arial" w:cs="Arial"/>
          <w:b/>
          <w:sz w:val="17"/>
          <w:szCs w:val="17"/>
        </w:rPr>
        <w:t xml:space="preserve">INEC </w:t>
      </w:r>
      <w:r w:rsidRPr="004F63F8">
        <w:rPr>
          <w:rFonts w:ascii="Arial" w:hAnsi="Arial" w:cs="Arial"/>
          <w:sz w:val="17"/>
          <w:szCs w:val="17"/>
        </w:rPr>
        <w:t>(2010), Base de Datos del VII Censo de Población y VI de Vivienda.</w:t>
      </w:r>
    </w:p>
    <w:p w:rsidR="00361FCE" w:rsidRPr="004F63F8" w:rsidRDefault="00361FCE" w:rsidP="004F63F8">
      <w:pPr>
        <w:pStyle w:val="Prrafodelista"/>
        <w:spacing w:line="276" w:lineRule="auto"/>
        <w:ind w:left="851"/>
        <w:jc w:val="both"/>
        <w:rPr>
          <w:rFonts w:ascii="Arial" w:hAnsi="Arial" w:cs="Arial"/>
          <w:sz w:val="17"/>
          <w:szCs w:val="17"/>
        </w:rPr>
      </w:pPr>
      <w:r w:rsidRPr="004F63F8">
        <w:rPr>
          <w:rFonts w:ascii="Arial" w:hAnsi="Arial" w:cs="Arial"/>
          <w:b/>
          <w:i/>
          <w:sz w:val="17"/>
          <w:szCs w:val="17"/>
        </w:rPr>
        <w:t>Elaborado por:</w:t>
      </w:r>
      <w:r w:rsidRPr="004F63F8">
        <w:rPr>
          <w:rFonts w:ascii="Arial" w:hAnsi="Arial" w:cs="Arial"/>
          <w:sz w:val="17"/>
          <w:szCs w:val="17"/>
        </w:rPr>
        <w:t xml:space="preserve"> Katherine Loor Valeriano</w:t>
      </w:r>
    </w:p>
    <w:p w:rsidR="00361FCE" w:rsidRDefault="00361FCE" w:rsidP="004F63F8">
      <w:pPr>
        <w:pStyle w:val="Prrafodelista"/>
        <w:spacing w:line="480" w:lineRule="auto"/>
        <w:ind w:left="851"/>
        <w:jc w:val="both"/>
        <w:rPr>
          <w:rFonts w:ascii="Arial" w:hAnsi="Arial" w:cs="Arial"/>
        </w:rPr>
      </w:pPr>
    </w:p>
    <w:p w:rsidR="00361FCE" w:rsidRPr="001B7312" w:rsidRDefault="00361FCE" w:rsidP="004F63F8">
      <w:pPr>
        <w:pStyle w:val="Prrafodelista"/>
        <w:spacing w:line="480" w:lineRule="auto"/>
        <w:ind w:left="851"/>
        <w:jc w:val="both"/>
        <w:rPr>
          <w:rFonts w:ascii="Arial" w:hAnsi="Arial" w:cs="Arial"/>
          <w:i/>
        </w:rPr>
      </w:pPr>
      <w:r>
        <w:rPr>
          <w:rFonts w:ascii="Arial" w:hAnsi="Arial" w:cs="Arial"/>
        </w:rPr>
        <w:t xml:space="preserve">En la </w:t>
      </w:r>
      <w:r>
        <w:rPr>
          <w:rFonts w:ascii="Arial" w:hAnsi="Arial" w:cs="Arial"/>
          <w:i/>
        </w:rPr>
        <w:t>Figura 4.93</w:t>
      </w:r>
      <w:r>
        <w:rPr>
          <w:rFonts w:ascii="Arial" w:hAnsi="Arial" w:cs="Arial"/>
        </w:rPr>
        <w:t xml:space="preserve">, se presenta la distribución del género de los españoles dado que se conoce el nivel más alto de instrucción, en donde podemos notar que de los españoles que asisten a un Centro de Alfabetización todos son mujeres, mientras que los que tienen instrucción primaria el 51.72% son hombres y el 48.28% son mujeres, de los que tienen hasta instrucción secundaria el mayor porcentaje son hombres (52.94%); y, de los que tienen instrucción superior sea un pregrado o postgrado el 60.96% son hombres y el 39.04% son de género femenino. </w:t>
      </w:r>
      <w:r>
        <w:rPr>
          <w:rFonts w:ascii="Arial" w:hAnsi="Arial" w:cs="Arial"/>
          <w:i/>
        </w:rPr>
        <w:t>Véase Figura 4.93.</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4F63F8">
        <w:trPr>
          <w:trHeight w:val="3524"/>
          <w:jc w:val="right"/>
        </w:trPr>
        <w:tc>
          <w:tcPr>
            <w:tcW w:w="7497" w:type="dxa"/>
          </w:tcPr>
          <w:p w:rsidR="00361FCE" w:rsidRPr="00840530" w:rsidRDefault="00361FCE" w:rsidP="00902050">
            <w:pPr>
              <w:rPr>
                <w:rFonts w:ascii="Arial" w:hAnsi="Arial" w:cs="Arial"/>
                <w:sz w:val="16"/>
                <w:szCs w:val="16"/>
              </w:rPr>
            </w:pPr>
          </w:p>
          <w:p w:rsidR="00E00CB5" w:rsidRPr="00E00CB5" w:rsidRDefault="00E00CB5" w:rsidP="00E00CB5">
            <w:pPr>
              <w:pStyle w:val="Epgrafe"/>
              <w:rPr>
                <w:rFonts w:ascii="Arial" w:hAnsi="Arial" w:cs="Arial"/>
                <w:bCs w:val="0"/>
                <w:color w:val="auto"/>
                <w:sz w:val="16"/>
                <w:szCs w:val="16"/>
              </w:rPr>
            </w:pPr>
            <w:bookmarkStart w:id="701" w:name="_Toc341044065"/>
            <w:r>
              <w:rPr>
                <w:rFonts w:ascii="Arial" w:hAnsi="Arial" w:cs="Arial"/>
                <w:bCs w:val="0"/>
                <w:color w:val="auto"/>
                <w:sz w:val="16"/>
                <w:szCs w:val="16"/>
              </w:rPr>
              <w:t>Figura 4.</w:t>
            </w:r>
            <w:r w:rsidR="00990535" w:rsidRPr="00E00CB5">
              <w:rPr>
                <w:rFonts w:ascii="Arial" w:hAnsi="Arial" w:cs="Arial"/>
                <w:bCs w:val="0"/>
                <w:color w:val="auto"/>
                <w:sz w:val="16"/>
                <w:szCs w:val="16"/>
              </w:rPr>
              <w:fldChar w:fldCharType="begin"/>
            </w:r>
            <w:r w:rsidRPr="00E00CB5">
              <w:rPr>
                <w:rFonts w:ascii="Arial" w:hAnsi="Arial" w:cs="Arial"/>
                <w:bCs w:val="0"/>
                <w:color w:val="auto"/>
                <w:sz w:val="16"/>
                <w:szCs w:val="16"/>
              </w:rPr>
              <w:instrText xml:space="preserve"> SEQ Figura_4. \* ARABIC </w:instrText>
            </w:r>
            <w:r w:rsidR="00990535" w:rsidRPr="00E00CB5">
              <w:rPr>
                <w:rFonts w:ascii="Arial" w:hAnsi="Arial" w:cs="Arial"/>
                <w:bCs w:val="0"/>
                <w:color w:val="auto"/>
                <w:sz w:val="16"/>
                <w:szCs w:val="16"/>
              </w:rPr>
              <w:fldChar w:fldCharType="separate"/>
            </w:r>
            <w:r w:rsidR="00A242E0">
              <w:rPr>
                <w:rFonts w:ascii="Arial" w:hAnsi="Arial" w:cs="Arial"/>
                <w:bCs w:val="0"/>
                <w:noProof/>
                <w:color w:val="auto"/>
                <w:sz w:val="16"/>
                <w:szCs w:val="16"/>
              </w:rPr>
              <w:t>93</w:t>
            </w:r>
            <w:bookmarkEnd w:id="701"/>
            <w:r w:rsidR="00990535" w:rsidRPr="00E00CB5">
              <w:rPr>
                <w:rFonts w:ascii="Arial" w:hAnsi="Arial" w:cs="Arial"/>
                <w:bCs w:val="0"/>
                <w:color w:val="auto"/>
                <w:sz w:val="16"/>
                <w:szCs w:val="16"/>
              </w:rPr>
              <w:fldChar w:fldCharType="end"/>
            </w:r>
          </w:p>
          <w:p w:rsidR="004F63F8" w:rsidRPr="00016219" w:rsidRDefault="004F63F8" w:rsidP="004F63F8">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Distribución condicional de Género de los </w:t>
            </w:r>
            <w:r>
              <w:rPr>
                <w:rFonts w:ascii="Arial" w:hAnsi="Arial" w:cs="Arial"/>
                <w:b/>
                <w:i/>
                <w:sz w:val="16"/>
                <w:szCs w:val="16"/>
              </w:rPr>
              <w:t>españoles</w:t>
            </w:r>
            <w:r w:rsidRPr="00016219">
              <w:rPr>
                <w:rFonts w:ascii="Arial" w:hAnsi="Arial" w:cs="Arial"/>
                <w:b/>
                <w:i/>
                <w:sz w:val="16"/>
                <w:szCs w:val="16"/>
              </w:rPr>
              <w:t xml:space="preserve"> </w:t>
            </w:r>
            <w:r w:rsidRPr="00016219">
              <w:rPr>
                <w:rFonts w:ascii="Arial" w:hAnsi="Arial" w:cs="Arial"/>
                <w:i/>
                <w:sz w:val="16"/>
                <w:szCs w:val="16"/>
              </w:rPr>
              <w:t xml:space="preserve">dado que se </w:t>
            </w:r>
          </w:p>
          <w:p w:rsidR="00361FCE" w:rsidRDefault="004F63F8" w:rsidP="004F63F8">
            <w:pPr>
              <w:rPr>
                <w:rFonts w:ascii="Arial" w:hAnsi="Arial" w:cs="Arial"/>
                <w:i/>
                <w:sz w:val="16"/>
                <w:szCs w:val="16"/>
              </w:rPr>
            </w:pPr>
            <w:r w:rsidRPr="00016219">
              <w:rPr>
                <w:rFonts w:ascii="Arial" w:hAnsi="Arial" w:cs="Arial"/>
                <w:i/>
                <w:sz w:val="16"/>
                <w:szCs w:val="16"/>
              </w:rPr>
              <w:t>conoce el Nivel más alto de instrucción</w:t>
            </w:r>
          </w:p>
          <w:p w:rsidR="00361FCE" w:rsidRPr="00660711" w:rsidRDefault="00361FCE" w:rsidP="00902050">
            <w:pPr>
              <w:rPr>
                <w:rFonts w:ascii="Arial" w:hAnsi="Arial" w:cs="Arial"/>
                <w:i/>
                <w:sz w:val="16"/>
                <w:szCs w:val="16"/>
              </w:rPr>
            </w:pPr>
            <w:r>
              <w:rPr>
                <w:noProof/>
                <w:lang w:eastAsia="es-EC"/>
              </w:rPr>
              <w:drawing>
                <wp:inline distT="0" distB="0" distL="0" distR="0" wp14:anchorId="1D8F59B5" wp14:editId="1F7136B1">
                  <wp:extent cx="4572000" cy="1790700"/>
                  <wp:effectExtent l="0" t="0" r="0" b="0"/>
                  <wp:docPr id="356" name="Gráfico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c>
      </w:tr>
    </w:tbl>
    <w:p w:rsidR="00361FCE" w:rsidRPr="004F63F8" w:rsidRDefault="00361FCE" w:rsidP="004F63F8">
      <w:pPr>
        <w:pStyle w:val="Prrafodelista"/>
        <w:spacing w:line="276" w:lineRule="auto"/>
        <w:ind w:left="851"/>
        <w:jc w:val="both"/>
        <w:rPr>
          <w:rFonts w:ascii="Arial" w:hAnsi="Arial" w:cs="Arial"/>
          <w:sz w:val="17"/>
          <w:szCs w:val="17"/>
        </w:rPr>
      </w:pPr>
    </w:p>
    <w:p w:rsidR="00361FCE" w:rsidRPr="004F63F8" w:rsidRDefault="00361FCE" w:rsidP="004F63F8">
      <w:pPr>
        <w:pStyle w:val="Prrafodelista"/>
        <w:spacing w:line="276" w:lineRule="auto"/>
        <w:ind w:left="851"/>
        <w:jc w:val="both"/>
        <w:rPr>
          <w:rFonts w:ascii="Arial" w:hAnsi="Arial" w:cs="Arial"/>
          <w:sz w:val="17"/>
          <w:szCs w:val="17"/>
        </w:rPr>
      </w:pPr>
      <w:r w:rsidRPr="004F63F8">
        <w:rPr>
          <w:rFonts w:ascii="Arial" w:hAnsi="Arial" w:cs="Arial"/>
          <w:b/>
          <w:i/>
          <w:sz w:val="17"/>
          <w:szCs w:val="17"/>
        </w:rPr>
        <w:t>Fuente:</w:t>
      </w:r>
      <w:r w:rsidRPr="004F63F8">
        <w:rPr>
          <w:rFonts w:ascii="Arial" w:hAnsi="Arial" w:cs="Arial"/>
          <w:sz w:val="17"/>
          <w:szCs w:val="17"/>
        </w:rPr>
        <w:t xml:space="preserve"> </w:t>
      </w:r>
      <w:r w:rsidRPr="004F63F8">
        <w:rPr>
          <w:rFonts w:ascii="Arial" w:hAnsi="Arial" w:cs="Arial"/>
          <w:b/>
          <w:sz w:val="17"/>
          <w:szCs w:val="17"/>
        </w:rPr>
        <w:t xml:space="preserve">INEC </w:t>
      </w:r>
      <w:r w:rsidRPr="004F63F8">
        <w:rPr>
          <w:rFonts w:ascii="Arial" w:hAnsi="Arial" w:cs="Arial"/>
          <w:sz w:val="17"/>
          <w:szCs w:val="17"/>
        </w:rPr>
        <w:t>(2010), Base de Datos del VII Censo de Población y VI de Vivienda.</w:t>
      </w:r>
    </w:p>
    <w:p w:rsidR="00361FCE" w:rsidRPr="004F63F8" w:rsidRDefault="00361FCE" w:rsidP="004F63F8">
      <w:pPr>
        <w:pStyle w:val="Prrafodelista"/>
        <w:spacing w:line="276" w:lineRule="auto"/>
        <w:ind w:left="851"/>
        <w:jc w:val="both"/>
        <w:rPr>
          <w:rFonts w:ascii="Arial" w:hAnsi="Arial" w:cs="Arial"/>
          <w:sz w:val="17"/>
          <w:szCs w:val="17"/>
        </w:rPr>
      </w:pPr>
      <w:r w:rsidRPr="004F63F8">
        <w:rPr>
          <w:rFonts w:ascii="Arial" w:hAnsi="Arial" w:cs="Arial"/>
          <w:b/>
          <w:i/>
          <w:sz w:val="17"/>
          <w:szCs w:val="17"/>
        </w:rPr>
        <w:t>Elaborado por:</w:t>
      </w:r>
      <w:r w:rsidRPr="004F63F8">
        <w:rPr>
          <w:rFonts w:ascii="Arial" w:hAnsi="Arial" w:cs="Arial"/>
          <w:sz w:val="17"/>
          <w:szCs w:val="17"/>
        </w:rPr>
        <w:t xml:space="preserve"> Katherine Loor Valeriano</w:t>
      </w:r>
    </w:p>
    <w:p w:rsidR="00361FCE" w:rsidRDefault="00361FCE" w:rsidP="004F63F8">
      <w:pPr>
        <w:pStyle w:val="Prrafodelista"/>
        <w:spacing w:line="480" w:lineRule="auto"/>
        <w:ind w:left="851"/>
        <w:jc w:val="both"/>
        <w:rPr>
          <w:rFonts w:ascii="Arial" w:hAnsi="Arial" w:cs="Arial"/>
        </w:rPr>
      </w:pPr>
    </w:p>
    <w:p w:rsidR="00361FCE" w:rsidRPr="00D52C8E" w:rsidRDefault="000C11D5" w:rsidP="004F63F8">
      <w:pPr>
        <w:pStyle w:val="Prrafodelista"/>
        <w:spacing w:line="480" w:lineRule="auto"/>
        <w:ind w:left="851"/>
        <w:jc w:val="both"/>
        <w:rPr>
          <w:rFonts w:ascii="Arial" w:hAnsi="Arial" w:cs="Arial"/>
          <w:i/>
        </w:rPr>
      </w:pPr>
      <w:r>
        <w:rPr>
          <w:rFonts w:ascii="Arial" w:hAnsi="Arial" w:cs="Arial"/>
        </w:rPr>
        <w:t>E</w:t>
      </w:r>
      <w:r w:rsidR="00361FCE">
        <w:rPr>
          <w:rFonts w:ascii="Arial" w:hAnsi="Arial" w:cs="Arial"/>
        </w:rPr>
        <w:t xml:space="preserve">n la </w:t>
      </w:r>
      <w:r w:rsidR="00361FCE">
        <w:rPr>
          <w:rFonts w:ascii="Arial" w:hAnsi="Arial" w:cs="Arial"/>
          <w:i/>
        </w:rPr>
        <w:t>Figura 4.94</w:t>
      </w:r>
      <w:r w:rsidR="00361FCE">
        <w:rPr>
          <w:rFonts w:ascii="Arial" w:hAnsi="Arial" w:cs="Arial"/>
        </w:rPr>
        <w:t xml:space="preserve">, tenemos las tasas de universitarios por cada 1000 españoles por género y grupo de edad; en la cual para el caso de los hombres podemos observar que a mayor edad es también mayor la tasa de universitarios, aunque en los dos últimos grupos de edad esta tasa es igual a cero, es decir, ningún español de género masculino mayor de 90 años ha asistido a la universidad o tiene algún título de nivel superior; y, para el caso de las mujeres tenemos que en los cuatro primeros grupos de edad esta tasa aumento, pero a partir de los 35 años el valor que toma esta tasa empieza a disminuir a medida que se incrementa la edad, teniéndose que los españoles de género femenino que tienen entre 85 y 95 años no han asistido a la universidad y en el último grupo en cambio se </w:t>
      </w:r>
      <w:r w:rsidR="00506BFD">
        <w:rPr>
          <w:rFonts w:ascii="Arial" w:hAnsi="Arial" w:cs="Arial"/>
        </w:rPr>
        <w:t>observa</w:t>
      </w:r>
      <w:r w:rsidR="00361FCE">
        <w:rPr>
          <w:rFonts w:ascii="Arial" w:hAnsi="Arial" w:cs="Arial"/>
        </w:rPr>
        <w:t xml:space="preserve"> que por cada 1000 españolas con edades comprendidas entre 95 y 100 años 500 tienen instrucción superior y 500 no tienen hasta este nivel de instrucción. Además, se </w:t>
      </w:r>
      <w:r w:rsidR="00506BFD">
        <w:rPr>
          <w:rFonts w:ascii="Arial" w:hAnsi="Arial" w:cs="Arial"/>
        </w:rPr>
        <w:t>observa</w:t>
      </w:r>
      <w:r w:rsidR="00361FCE">
        <w:rPr>
          <w:rFonts w:ascii="Arial" w:hAnsi="Arial" w:cs="Arial"/>
        </w:rPr>
        <w:t xml:space="preserve"> que para todos los grupos de edad la tasa de universitarios es mayor en hombres que en las mujeres. </w:t>
      </w:r>
      <w:r w:rsidR="00361FCE">
        <w:rPr>
          <w:rFonts w:ascii="Arial" w:hAnsi="Arial" w:cs="Arial"/>
          <w:i/>
        </w:rPr>
        <w:t>Véase Figura 4.94.</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0C11D5">
        <w:trPr>
          <w:trHeight w:val="3666"/>
          <w:jc w:val="right"/>
        </w:trPr>
        <w:tc>
          <w:tcPr>
            <w:tcW w:w="7497" w:type="dxa"/>
          </w:tcPr>
          <w:p w:rsidR="00361FCE" w:rsidRPr="00840530" w:rsidRDefault="00361FCE" w:rsidP="00902050">
            <w:pPr>
              <w:rPr>
                <w:rFonts w:ascii="Arial" w:hAnsi="Arial" w:cs="Arial"/>
                <w:sz w:val="16"/>
                <w:szCs w:val="16"/>
              </w:rPr>
            </w:pPr>
          </w:p>
          <w:p w:rsidR="00E00CB5" w:rsidRPr="00E00CB5" w:rsidRDefault="00E00CB5" w:rsidP="00E00CB5">
            <w:pPr>
              <w:pStyle w:val="Epgrafe"/>
              <w:rPr>
                <w:rFonts w:ascii="Arial" w:hAnsi="Arial" w:cs="Arial"/>
                <w:bCs w:val="0"/>
                <w:color w:val="auto"/>
                <w:sz w:val="16"/>
                <w:szCs w:val="16"/>
              </w:rPr>
            </w:pPr>
            <w:bookmarkStart w:id="702" w:name="_Toc341044066"/>
            <w:r w:rsidRPr="00E00CB5">
              <w:rPr>
                <w:rFonts w:ascii="Arial" w:hAnsi="Arial" w:cs="Arial"/>
                <w:bCs w:val="0"/>
                <w:color w:val="auto"/>
                <w:sz w:val="16"/>
                <w:szCs w:val="16"/>
              </w:rPr>
              <w:t xml:space="preserve">Figura </w:t>
            </w:r>
            <w:r>
              <w:rPr>
                <w:rFonts w:ascii="Arial" w:hAnsi="Arial" w:cs="Arial"/>
                <w:bCs w:val="0"/>
                <w:color w:val="auto"/>
                <w:sz w:val="16"/>
                <w:szCs w:val="16"/>
              </w:rPr>
              <w:t>4.</w:t>
            </w:r>
            <w:r w:rsidR="00990535" w:rsidRPr="00E00CB5">
              <w:rPr>
                <w:rFonts w:ascii="Arial" w:hAnsi="Arial" w:cs="Arial"/>
                <w:bCs w:val="0"/>
                <w:color w:val="auto"/>
                <w:sz w:val="16"/>
                <w:szCs w:val="16"/>
              </w:rPr>
              <w:fldChar w:fldCharType="begin"/>
            </w:r>
            <w:r w:rsidRPr="00E00CB5">
              <w:rPr>
                <w:rFonts w:ascii="Arial" w:hAnsi="Arial" w:cs="Arial"/>
                <w:bCs w:val="0"/>
                <w:color w:val="auto"/>
                <w:sz w:val="16"/>
                <w:szCs w:val="16"/>
              </w:rPr>
              <w:instrText xml:space="preserve"> SEQ Figura_4. \* ARABIC </w:instrText>
            </w:r>
            <w:r w:rsidR="00990535" w:rsidRPr="00E00CB5">
              <w:rPr>
                <w:rFonts w:ascii="Arial" w:hAnsi="Arial" w:cs="Arial"/>
                <w:bCs w:val="0"/>
                <w:color w:val="auto"/>
                <w:sz w:val="16"/>
                <w:szCs w:val="16"/>
              </w:rPr>
              <w:fldChar w:fldCharType="separate"/>
            </w:r>
            <w:r w:rsidR="00A242E0">
              <w:rPr>
                <w:rFonts w:ascii="Arial" w:hAnsi="Arial" w:cs="Arial"/>
                <w:bCs w:val="0"/>
                <w:noProof/>
                <w:color w:val="auto"/>
                <w:sz w:val="16"/>
                <w:szCs w:val="16"/>
              </w:rPr>
              <w:t>94</w:t>
            </w:r>
            <w:bookmarkEnd w:id="702"/>
            <w:r w:rsidR="00990535" w:rsidRPr="00E00CB5">
              <w:rPr>
                <w:rFonts w:ascii="Arial" w:hAnsi="Arial" w:cs="Arial"/>
                <w:bCs w:val="0"/>
                <w:color w:val="auto"/>
                <w:sz w:val="16"/>
                <w:szCs w:val="16"/>
              </w:rPr>
              <w:fldChar w:fldCharType="end"/>
            </w:r>
          </w:p>
          <w:p w:rsidR="00361FCE" w:rsidRDefault="000C11D5"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Tasa de universitarios por cada 1000 </w:t>
            </w:r>
            <w:r>
              <w:rPr>
                <w:rFonts w:ascii="Arial" w:hAnsi="Arial" w:cs="Arial"/>
                <w:b/>
                <w:i/>
                <w:sz w:val="16"/>
                <w:szCs w:val="16"/>
              </w:rPr>
              <w:t>españoles</w:t>
            </w:r>
            <w:r w:rsidRPr="00016219">
              <w:rPr>
                <w:rFonts w:ascii="Arial" w:hAnsi="Arial" w:cs="Arial"/>
                <w:i/>
                <w:sz w:val="16"/>
                <w:szCs w:val="16"/>
              </w:rPr>
              <w:t xml:space="preserve"> por Género y Grupo etario</w:t>
            </w:r>
          </w:p>
          <w:p w:rsidR="00361FCE" w:rsidRDefault="00436907" w:rsidP="00902050">
            <w:pPr>
              <w:rPr>
                <w:rFonts w:ascii="Arial" w:hAnsi="Arial" w:cs="Arial"/>
                <w:i/>
                <w:sz w:val="16"/>
                <w:szCs w:val="16"/>
              </w:rPr>
            </w:pPr>
            <w:r>
              <w:rPr>
                <w:rFonts w:ascii="Arial" w:hAnsi="Arial" w:cs="Arial"/>
                <w:noProof/>
                <w:sz w:val="16"/>
                <w:szCs w:val="16"/>
                <w:lang w:eastAsia="es-EC"/>
              </w:rPr>
              <w:pict>
                <v:shape id="_x0000_s1739" type="#_x0000_t202" style="position:absolute;left:0;text-align:left;margin-left:91.3pt;margin-top:77.65pt;width:133.5pt;height:15.3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sidRPr="005B0B7F">
                          <w:rPr>
                            <w:rFonts w:ascii="Arial" w:hAnsi="Arial" w:cs="Arial"/>
                            <w:color w:val="CC0099"/>
                            <w:sz w:val="15"/>
                            <w:szCs w:val="15"/>
                          </w:rPr>
                          <w:t>Se ignora</w:t>
                        </w:r>
                      </w:p>
                    </w:txbxContent>
                  </v:textbox>
                </v:shape>
              </w:pict>
            </w:r>
            <w:r>
              <w:rPr>
                <w:rFonts w:ascii="Arial" w:hAnsi="Arial" w:cs="Arial"/>
                <w:noProof/>
                <w:sz w:val="16"/>
                <w:szCs w:val="16"/>
                <w:lang w:eastAsia="es-EC"/>
              </w:rPr>
              <w:pict>
                <v:shape id="_x0000_s2288" type="#_x0000_t32" style="position:absolute;left:0;text-align:left;margin-left:153.3pt;margin-top:89.25pt;width:9.75pt;height:12.4pt;z-index:252020224" o:connectortype="straight" strokecolor="#d60093">
                  <v:stroke endarrow="block"/>
                </v:shape>
              </w:pict>
            </w:r>
            <w:r>
              <w:rPr>
                <w:rFonts w:ascii="Arial" w:hAnsi="Arial" w:cs="Arial"/>
                <w:noProof/>
                <w:sz w:val="16"/>
                <w:szCs w:val="16"/>
                <w:lang w:eastAsia="es-EC"/>
              </w:rPr>
              <w:pict>
                <v:shape id="_x0000_s1738" type="#_x0000_t202" style="position:absolute;left:0;text-align:left;margin-left:165.3pt;margin-top:73.9pt;width:133.5pt;height:15.3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No Universitarios</w:t>
                        </w:r>
                      </w:p>
                    </w:txbxContent>
                  </v:textbox>
                </v:shape>
              </w:pict>
            </w:r>
            <w:r>
              <w:rPr>
                <w:rFonts w:ascii="Arial" w:hAnsi="Arial" w:cs="Arial"/>
                <w:noProof/>
                <w:sz w:val="16"/>
                <w:szCs w:val="16"/>
                <w:lang w:eastAsia="es-EC"/>
              </w:rPr>
              <w:pict>
                <v:shape id="_x0000_s2287" type="#_x0000_t32" style="position:absolute;left:0;text-align:left;margin-left:218.8pt;margin-top:69.05pt;width:15.75pt;height:8.6pt;flip:x y;z-index:252019200" o:connectortype="straight" strokecolor="#e36c0a [2409]">
                  <v:stroke endarrow="block"/>
                </v:shape>
              </w:pict>
            </w:r>
            <w:r>
              <w:rPr>
                <w:rFonts w:ascii="Arial" w:hAnsi="Arial" w:cs="Arial"/>
                <w:noProof/>
                <w:sz w:val="16"/>
                <w:szCs w:val="16"/>
                <w:lang w:eastAsia="es-EC"/>
              </w:rPr>
              <w:pict>
                <v:shape id="_x0000_s1737" type="#_x0000_t202" style="position:absolute;left:0;text-align:left;margin-left:159.3pt;margin-top:22.2pt;width:133.5pt;height:15.3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Universitarios</w:t>
                        </w:r>
                      </w:p>
                    </w:txbxContent>
                  </v:textbox>
                </v:shape>
              </w:pict>
            </w:r>
            <w:r>
              <w:rPr>
                <w:noProof/>
                <w:lang w:eastAsia="es-EC"/>
              </w:rPr>
              <w:pict>
                <v:shape id="_x0000_s2284" type="#_x0000_t32" style="position:absolute;left:0;text-align:left;margin-left:214.05pt;margin-top:33.4pt;width:11.5pt;height:14.25pt;flip:x;z-index:252016128" o:connectortype="straight" strokecolor="#0070c0">
                  <v:stroke endarrow="block"/>
                </v:shape>
              </w:pict>
            </w:r>
            <w:r>
              <w:rPr>
                <w:noProof/>
              </w:rPr>
              <w:pict>
                <v:shape id="_x0000_s1735" type="#_x0000_t202" style="position:absolute;left:0;text-align:left;margin-left:60.55pt;margin-top:13.5pt;width:133.5pt;height:15.3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t xml:space="preserve"> </w:t>
            </w:r>
            <w:r w:rsidR="00361FCE">
              <w:rPr>
                <w:noProof/>
                <w:lang w:eastAsia="es-EC"/>
              </w:rPr>
              <w:drawing>
                <wp:inline distT="0" distB="0" distL="0" distR="0" wp14:anchorId="15F341EE" wp14:editId="303506A0">
                  <wp:extent cx="4211955" cy="1800000"/>
                  <wp:effectExtent l="0" t="0" r="0" b="0"/>
                  <wp:docPr id="362" name="Gráfico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742" type="#_x0000_t202" style="position:absolute;left:0;text-align:left;margin-left:69.3pt;margin-top:74.7pt;width:133.5pt;height:23.7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sidRPr="005B0B7F">
                          <w:rPr>
                            <w:rFonts w:ascii="Arial" w:hAnsi="Arial" w:cs="Arial"/>
                            <w:color w:val="CC0099"/>
                            <w:sz w:val="15"/>
                            <w:szCs w:val="15"/>
                          </w:rPr>
                          <w:t>Se ignora</w:t>
                        </w:r>
                      </w:p>
                    </w:txbxContent>
                  </v:textbox>
                </v:shape>
              </w:pict>
            </w:r>
            <w:r>
              <w:rPr>
                <w:rFonts w:ascii="Arial" w:hAnsi="Arial" w:cs="Arial"/>
                <w:noProof/>
                <w:sz w:val="16"/>
                <w:szCs w:val="16"/>
                <w:lang w:eastAsia="es-EC"/>
              </w:rPr>
              <w:pict>
                <v:shape id="_x0000_s2290" type="#_x0000_t32" style="position:absolute;left:0;text-align:left;margin-left:153.3pt;margin-top:87.8pt;width:9.75pt;height:13.9pt;z-index:252021248" o:connectortype="straight" strokecolor="#d60093">
                  <v:stroke endarrow="block"/>
                </v:shape>
              </w:pict>
            </w:r>
            <w:r>
              <w:rPr>
                <w:rFonts w:ascii="Arial" w:hAnsi="Arial" w:cs="Arial"/>
                <w:noProof/>
                <w:sz w:val="16"/>
                <w:szCs w:val="16"/>
                <w:lang w:eastAsia="es-EC"/>
              </w:rPr>
              <w:pict>
                <v:shape id="_x0000_s2286" type="#_x0000_t32" style="position:absolute;left:0;text-align:left;margin-left:163.05pt;margin-top:65.1pt;width:23.25pt;height:8.85pt;flip:x y;z-index:252018176" o:connectortype="straight" strokecolor="#e36c0a [2409]">
                  <v:stroke endarrow="block"/>
                </v:shape>
              </w:pict>
            </w:r>
            <w:r>
              <w:rPr>
                <w:rFonts w:ascii="Arial" w:hAnsi="Arial" w:cs="Arial"/>
                <w:noProof/>
                <w:sz w:val="16"/>
                <w:szCs w:val="16"/>
                <w:lang w:eastAsia="es-EC"/>
              </w:rPr>
              <w:pict>
                <v:shape id="_x0000_s1741" type="#_x0000_t202" style="position:absolute;left:0;text-align:left;margin-left:122.8pt;margin-top:72.45pt;width:133.5pt;height:15.35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sidRPr="005B0B7F">
                          <w:rPr>
                            <w:rFonts w:ascii="Arial" w:hAnsi="Arial" w:cs="Arial"/>
                            <w:color w:val="E36C0A" w:themeColor="accent6" w:themeShade="BF"/>
                            <w:sz w:val="15"/>
                            <w:szCs w:val="15"/>
                          </w:rPr>
                          <w:t>No Universitarios</w:t>
                        </w:r>
                      </w:p>
                    </w:txbxContent>
                  </v:textbox>
                </v:shape>
              </w:pict>
            </w:r>
            <w:r>
              <w:rPr>
                <w:rFonts w:ascii="Arial" w:hAnsi="Arial" w:cs="Arial"/>
                <w:noProof/>
                <w:sz w:val="16"/>
                <w:szCs w:val="16"/>
                <w:lang w:eastAsia="es-EC"/>
              </w:rPr>
              <w:pict>
                <v:shape id="_x0000_s1740" type="#_x0000_t202" style="position:absolute;left:0;text-align:left;margin-left:101.05pt;margin-top:24.65pt;width:133.5pt;height:15.3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sidRPr="005B0B7F">
                          <w:rPr>
                            <w:rFonts w:ascii="Arial" w:hAnsi="Arial" w:cs="Arial"/>
                            <w:color w:val="0070C0"/>
                            <w:sz w:val="15"/>
                            <w:szCs w:val="15"/>
                          </w:rPr>
                          <w:t>Universitarios</w:t>
                        </w:r>
                      </w:p>
                    </w:txbxContent>
                  </v:textbox>
                </v:shape>
              </w:pict>
            </w:r>
            <w:r>
              <w:rPr>
                <w:rFonts w:ascii="Arial" w:hAnsi="Arial" w:cs="Arial"/>
                <w:noProof/>
                <w:sz w:val="16"/>
                <w:szCs w:val="16"/>
                <w:lang w:eastAsia="es-EC"/>
              </w:rPr>
              <w:pict>
                <v:shape id="_x0000_s2285" type="#_x0000_t32" style="position:absolute;left:0;text-align:left;margin-left:153.3pt;margin-top:35.7pt;width:15.75pt;height:12.75pt;flip:x;z-index:252017152" o:connectortype="straight" strokecolor="#0070c0">
                  <v:stroke endarrow="block"/>
                </v:shape>
              </w:pict>
            </w:r>
            <w:r>
              <w:rPr>
                <w:rFonts w:ascii="Arial" w:hAnsi="Arial" w:cs="Arial"/>
                <w:noProof/>
                <w:sz w:val="16"/>
                <w:szCs w:val="16"/>
                <w:lang w:eastAsia="es-EC"/>
              </w:rPr>
              <w:pict>
                <v:shape id="_x0000_s1736" type="#_x0000_t202" style="position:absolute;left:0;text-align:left;margin-left:59.05pt;margin-top:13.3pt;width:133.5pt;height:15.3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drawing>
                <wp:inline distT="0" distB="0" distL="0" distR="0" wp14:anchorId="7D4C06AE" wp14:editId="68A94A41">
                  <wp:extent cx="4211955" cy="1800000"/>
                  <wp:effectExtent l="0" t="0" r="0" b="0"/>
                  <wp:docPr id="364" name="Gráfico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c>
      </w:tr>
    </w:tbl>
    <w:p w:rsidR="00361FCE" w:rsidRPr="000C11D5" w:rsidRDefault="00361FCE" w:rsidP="000C11D5">
      <w:pPr>
        <w:pStyle w:val="Prrafodelista"/>
        <w:spacing w:line="276" w:lineRule="auto"/>
        <w:ind w:left="851"/>
        <w:jc w:val="both"/>
        <w:rPr>
          <w:rFonts w:ascii="Arial" w:hAnsi="Arial" w:cs="Arial"/>
          <w:sz w:val="17"/>
          <w:szCs w:val="17"/>
        </w:rPr>
      </w:pPr>
    </w:p>
    <w:p w:rsidR="00361FCE" w:rsidRPr="000C11D5" w:rsidRDefault="00361FCE" w:rsidP="000C11D5">
      <w:pPr>
        <w:pStyle w:val="Prrafodelista"/>
        <w:spacing w:line="276" w:lineRule="auto"/>
        <w:ind w:left="851"/>
        <w:jc w:val="both"/>
        <w:rPr>
          <w:rFonts w:ascii="Arial" w:hAnsi="Arial" w:cs="Arial"/>
          <w:sz w:val="17"/>
          <w:szCs w:val="17"/>
        </w:rPr>
      </w:pPr>
      <w:r w:rsidRPr="000C11D5">
        <w:rPr>
          <w:rFonts w:ascii="Arial" w:hAnsi="Arial" w:cs="Arial"/>
          <w:b/>
          <w:i/>
          <w:sz w:val="17"/>
          <w:szCs w:val="17"/>
        </w:rPr>
        <w:t>Fuente:</w:t>
      </w:r>
      <w:r w:rsidRPr="000C11D5">
        <w:rPr>
          <w:rFonts w:ascii="Arial" w:hAnsi="Arial" w:cs="Arial"/>
          <w:sz w:val="17"/>
          <w:szCs w:val="17"/>
        </w:rPr>
        <w:t xml:space="preserve"> </w:t>
      </w:r>
      <w:r w:rsidRPr="000C11D5">
        <w:rPr>
          <w:rFonts w:ascii="Arial" w:hAnsi="Arial" w:cs="Arial"/>
          <w:b/>
          <w:sz w:val="17"/>
          <w:szCs w:val="17"/>
        </w:rPr>
        <w:t xml:space="preserve">INEC </w:t>
      </w:r>
      <w:r w:rsidRPr="000C11D5">
        <w:rPr>
          <w:rFonts w:ascii="Arial" w:hAnsi="Arial" w:cs="Arial"/>
          <w:sz w:val="17"/>
          <w:szCs w:val="17"/>
        </w:rPr>
        <w:t>(2010), Base de Datos del VII Censo de Población y VI de Vivienda.</w:t>
      </w:r>
    </w:p>
    <w:p w:rsidR="00361FCE" w:rsidRDefault="00361FCE" w:rsidP="000C11D5">
      <w:pPr>
        <w:pStyle w:val="Prrafodelista"/>
        <w:spacing w:line="276" w:lineRule="auto"/>
        <w:ind w:left="851"/>
        <w:jc w:val="both"/>
        <w:rPr>
          <w:rFonts w:ascii="Arial" w:hAnsi="Arial" w:cs="Arial"/>
          <w:sz w:val="18"/>
          <w:szCs w:val="18"/>
        </w:rPr>
      </w:pPr>
      <w:r w:rsidRPr="000C11D5">
        <w:rPr>
          <w:rFonts w:ascii="Arial" w:hAnsi="Arial" w:cs="Arial"/>
          <w:b/>
          <w:i/>
          <w:sz w:val="17"/>
          <w:szCs w:val="17"/>
        </w:rPr>
        <w:t>Elaborado por:</w:t>
      </w:r>
      <w:r w:rsidRPr="000C11D5">
        <w:rPr>
          <w:rFonts w:ascii="Arial" w:hAnsi="Arial" w:cs="Arial"/>
          <w:sz w:val="17"/>
          <w:szCs w:val="17"/>
        </w:rPr>
        <w:t xml:space="preserve"> Katherine Loor Valeriano</w:t>
      </w:r>
    </w:p>
    <w:p w:rsidR="00361FCE" w:rsidRPr="00A47565" w:rsidRDefault="00361FCE" w:rsidP="00361FCE">
      <w:pPr>
        <w:spacing w:line="480" w:lineRule="auto"/>
        <w:jc w:val="both"/>
        <w:rPr>
          <w:rFonts w:ascii="Arial" w:hAnsi="Arial" w:cs="Arial"/>
        </w:rPr>
      </w:pPr>
      <w:r>
        <w:rPr>
          <w:rFonts w:ascii="Arial" w:hAnsi="Arial" w:cs="Arial"/>
        </w:rPr>
        <w:tab/>
      </w:r>
    </w:p>
    <w:p w:rsidR="00361FCE" w:rsidRDefault="00361FCE" w:rsidP="000C11D5">
      <w:pPr>
        <w:pStyle w:val="Estilo42"/>
        <w:ind w:left="1560" w:hanging="709"/>
      </w:pPr>
      <w:bookmarkStart w:id="703" w:name="_Toc337135566"/>
      <w:bookmarkStart w:id="704" w:name="_Toc341040716"/>
      <w:r>
        <w:t>Estado Civil</w:t>
      </w:r>
      <w:bookmarkEnd w:id="703"/>
      <w:r w:rsidR="000C11D5">
        <w:t xml:space="preserve"> de los españoles</w:t>
      </w:r>
      <w:bookmarkEnd w:id="704"/>
    </w:p>
    <w:p w:rsidR="00361FCE" w:rsidRPr="00F962C4" w:rsidRDefault="00361FCE" w:rsidP="000C11D5">
      <w:pPr>
        <w:pStyle w:val="Prrafodelista"/>
        <w:spacing w:line="480" w:lineRule="auto"/>
        <w:ind w:left="851"/>
        <w:jc w:val="both"/>
        <w:rPr>
          <w:rFonts w:ascii="Arial" w:hAnsi="Arial" w:cs="Arial"/>
          <w:i/>
        </w:rPr>
      </w:pPr>
      <w:r>
        <w:rPr>
          <w:rFonts w:ascii="Arial" w:hAnsi="Arial" w:cs="Arial"/>
        </w:rPr>
        <w:t xml:space="preserve">En lo que respecta al estado conyugal o estado civil, tenemos que 41.82% de los españoles mayores a 12 años son casados, el 33.93% son solteros, el 15.55% están unidos, el 2.86% son divorciados, el 2.40% están separados; y, el 3.44% son viudos. Recordemos además que en las tres subpoblaciones estudiadas en secciones anteriores lo predominante era estar unido o ser soltero para el caso de los estadounidenses, mientras que para los españoles lo predominante es estar casado. </w:t>
      </w:r>
      <w:r>
        <w:rPr>
          <w:rFonts w:ascii="Arial" w:hAnsi="Arial" w:cs="Arial"/>
          <w:i/>
        </w:rPr>
        <w:t>Véase Figura 4.95.</w:t>
      </w:r>
    </w:p>
    <w:tbl>
      <w:tblPr>
        <w:tblStyle w:val="Tablaconcuadrcula"/>
        <w:tblW w:w="7497" w:type="dxa"/>
        <w:jc w:val="right"/>
        <w:tblInd w:w="103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36"/>
      </w:tblGrid>
      <w:tr w:rsidR="00361FCE" w:rsidRPr="00840530" w:rsidTr="000C11D5">
        <w:trPr>
          <w:trHeight w:val="3355"/>
          <w:jc w:val="right"/>
        </w:trPr>
        <w:tc>
          <w:tcPr>
            <w:tcW w:w="7497" w:type="dxa"/>
          </w:tcPr>
          <w:p w:rsidR="00361FCE" w:rsidRPr="00840530" w:rsidRDefault="00361FCE" w:rsidP="00902050">
            <w:pPr>
              <w:rPr>
                <w:rFonts w:ascii="Arial" w:hAnsi="Arial" w:cs="Arial"/>
                <w:sz w:val="16"/>
                <w:szCs w:val="16"/>
              </w:rPr>
            </w:pPr>
          </w:p>
          <w:p w:rsidR="00E00CB5" w:rsidRPr="00E00CB5" w:rsidRDefault="00E00CB5" w:rsidP="00E00CB5">
            <w:pPr>
              <w:pStyle w:val="Epgrafe"/>
              <w:rPr>
                <w:rFonts w:ascii="Arial" w:hAnsi="Arial" w:cs="Arial"/>
                <w:bCs w:val="0"/>
                <w:color w:val="auto"/>
                <w:sz w:val="16"/>
                <w:szCs w:val="16"/>
              </w:rPr>
            </w:pPr>
            <w:bookmarkStart w:id="705" w:name="_Toc341044067"/>
            <w:r>
              <w:rPr>
                <w:rFonts w:ascii="Arial" w:hAnsi="Arial" w:cs="Arial"/>
                <w:bCs w:val="0"/>
                <w:color w:val="auto"/>
                <w:sz w:val="16"/>
                <w:szCs w:val="16"/>
              </w:rPr>
              <w:t>Figura 4.</w:t>
            </w:r>
            <w:r w:rsidR="00990535" w:rsidRPr="00E00CB5">
              <w:rPr>
                <w:rFonts w:ascii="Arial" w:hAnsi="Arial" w:cs="Arial"/>
                <w:bCs w:val="0"/>
                <w:color w:val="auto"/>
                <w:sz w:val="16"/>
                <w:szCs w:val="16"/>
              </w:rPr>
              <w:fldChar w:fldCharType="begin"/>
            </w:r>
            <w:r w:rsidRPr="00E00CB5">
              <w:rPr>
                <w:rFonts w:ascii="Arial" w:hAnsi="Arial" w:cs="Arial"/>
                <w:bCs w:val="0"/>
                <w:color w:val="auto"/>
                <w:sz w:val="16"/>
                <w:szCs w:val="16"/>
              </w:rPr>
              <w:instrText xml:space="preserve"> SEQ Figura_4. \* ARABIC </w:instrText>
            </w:r>
            <w:r w:rsidR="00990535" w:rsidRPr="00E00CB5">
              <w:rPr>
                <w:rFonts w:ascii="Arial" w:hAnsi="Arial" w:cs="Arial"/>
                <w:bCs w:val="0"/>
                <w:color w:val="auto"/>
                <w:sz w:val="16"/>
                <w:szCs w:val="16"/>
              </w:rPr>
              <w:fldChar w:fldCharType="separate"/>
            </w:r>
            <w:r w:rsidR="00A242E0">
              <w:rPr>
                <w:rFonts w:ascii="Arial" w:hAnsi="Arial" w:cs="Arial"/>
                <w:bCs w:val="0"/>
                <w:noProof/>
                <w:color w:val="auto"/>
                <w:sz w:val="16"/>
                <w:szCs w:val="16"/>
              </w:rPr>
              <w:t>95</w:t>
            </w:r>
            <w:bookmarkEnd w:id="705"/>
            <w:r w:rsidR="00990535" w:rsidRPr="00E00CB5">
              <w:rPr>
                <w:rFonts w:ascii="Arial" w:hAnsi="Arial" w:cs="Arial"/>
                <w:bCs w:val="0"/>
                <w:color w:val="auto"/>
                <w:sz w:val="16"/>
                <w:szCs w:val="16"/>
              </w:rPr>
              <w:fldChar w:fldCharType="end"/>
            </w:r>
          </w:p>
          <w:p w:rsidR="00361FCE" w:rsidRDefault="000C11D5"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Frecuencia Relativa de Estado Civil de los </w:t>
            </w:r>
            <w:r>
              <w:rPr>
                <w:rFonts w:ascii="Arial" w:hAnsi="Arial" w:cs="Arial"/>
                <w:b/>
                <w:i/>
                <w:sz w:val="16"/>
                <w:szCs w:val="16"/>
              </w:rPr>
              <w:t>españoles</w:t>
            </w:r>
          </w:p>
          <w:tbl>
            <w:tblPr>
              <w:tblStyle w:val="Tablaconcuadrcula"/>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797"/>
              <w:gridCol w:w="4599"/>
            </w:tblGrid>
            <w:tr w:rsidR="00361FCE" w:rsidRPr="00A22FF9" w:rsidTr="000C11D5">
              <w:trPr>
                <w:trHeight w:val="2812"/>
                <w:jc w:val="center"/>
              </w:trPr>
              <w:tc>
                <w:tcPr>
                  <w:tcW w:w="2822" w:type="dxa"/>
                </w:tcPr>
                <w:p w:rsidR="00361FCE" w:rsidRDefault="00361FCE" w:rsidP="00902050">
                  <w:pPr>
                    <w:rPr>
                      <w:rFonts w:ascii="Arial" w:hAnsi="Arial" w:cs="Arial"/>
                      <w:b/>
                      <w:sz w:val="16"/>
                      <w:szCs w:val="16"/>
                    </w:rPr>
                  </w:pPr>
                  <w:r w:rsidRPr="005400D0">
                    <w:rPr>
                      <w:noProof/>
                      <w:sz w:val="10"/>
                      <w:szCs w:val="10"/>
                      <w:lang w:eastAsia="es-EC"/>
                    </w:rPr>
                    <w:t xml:space="preserve"> </w:t>
                  </w:r>
                </w:p>
                <w:p w:rsidR="00361FCE" w:rsidRPr="00A22FF9" w:rsidRDefault="00361FCE" w:rsidP="00902050">
                  <w:pPr>
                    <w:ind w:left="201"/>
                    <w:rPr>
                      <w:rFonts w:ascii="Arial" w:hAnsi="Arial" w:cs="Arial"/>
                      <w:b/>
                      <w:sz w:val="16"/>
                      <w:szCs w:val="16"/>
                    </w:rPr>
                  </w:pPr>
                  <w:r w:rsidRPr="00A22FF9">
                    <w:rPr>
                      <w:rFonts w:ascii="Arial" w:hAnsi="Arial" w:cs="Arial"/>
                      <w:b/>
                      <w:sz w:val="16"/>
                      <w:szCs w:val="16"/>
                    </w:rPr>
                    <w:t>Tabla de Frecuencias</w:t>
                  </w:r>
                </w:p>
                <w:p w:rsidR="00361FCE" w:rsidRDefault="00361FCE" w:rsidP="00902050">
                  <w:pPr>
                    <w:rPr>
                      <w:rFonts w:ascii="Arial" w:hAnsi="Arial" w:cs="Arial"/>
                      <w:sz w:val="10"/>
                      <w:szCs w:val="10"/>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361FCE" w:rsidRPr="00AD7AE2" w:rsidTr="00902050">
                    <w:trPr>
                      <w:trHeight w:val="465"/>
                      <w:jc w:val="center"/>
                    </w:trPr>
                    <w:tc>
                      <w:tcPr>
                        <w:tcW w:w="1200" w:type="dxa"/>
                        <w:tcBorders>
                          <w:top w:val="single" w:sz="4" w:space="0" w:color="auto"/>
                          <w:left w:val="nil"/>
                          <w:bottom w:val="single" w:sz="4" w:space="0" w:color="auto"/>
                          <w:right w:val="nil"/>
                        </w:tcBorders>
                        <w:shd w:val="clear" w:color="auto" w:fill="auto"/>
                        <w:vAlign w:val="center"/>
                        <w:hideMark/>
                      </w:tcPr>
                      <w:p w:rsidR="00361FCE" w:rsidRPr="00AD7AE2" w:rsidRDefault="00361FCE" w:rsidP="00902050">
                        <w:pPr>
                          <w:rPr>
                            <w:rFonts w:ascii="Arial" w:eastAsia="Times New Roman" w:hAnsi="Arial" w:cs="Arial"/>
                            <w:b/>
                            <w:bCs/>
                            <w:color w:val="000000"/>
                            <w:sz w:val="16"/>
                            <w:szCs w:val="16"/>
                            <w:lang w:eastAsia="es-EC"/>
                          </w:rPr>
                        </w:pPr>
                        <w:r w:rsidRPr="00AD7AE2">
                          <w:rPr>
                            <w:rFonts w:ascii="Arial" w:eastAsia="Times New Roman" w:hAnsi="Arial" w:cs="Arial"/>
                            <w:b/>
                            <w:bCs/>
                            <w:color w:val="000000"/>
                            <w:sz w:val="16"/>
                            <w:szCs w:val="16"/>
                            <w:lang w:eastAsia="es-EC"/>
                          </w:rPr>
                          <w:t>Estado Civil</w:t>
                        </w:r>
                      </w:p>
                    </w:tc>
                    <w:tc>
                      <w:tcPr>
                        <w:tcW w:w="1200" w:type="dxa"/>
                        <w:tcBorders>
                          <w:top w:val="single" w:sz="4" w:space="0" w:color="auto"/>
                          <w:left w:val="nil"/>
                          <w:bottom w:val="single" w:sz="4" w:space="0" w:color="auto"/>
                          <w:right w:val="nil"/>
                        </w:tcBorders>
                        <w:shd w:val="clear" w:color="auto" w:fill="auto"/>
                        <w:vAlign w:val="center"/>
                        <w:hideMark/>
                      </w:tcPr>
                      <w:p w:rsidR="00361FCE" w:rsidRPr="00AD7AE2" w:rsidRDefault="00361FCE" w:rsidP="00902050">
                        <w:pPr>
                          <w:rPr>
                            <w:rFonts w:ascii="Arial" w:eastAsia="Times New Roman" w:hAnsi="Arial" w:cs="Arial"/>
                            <w:b/>
                            <w:bCs/>
                            <w:color w:val="000000"/>
                            <w:sz w:val="16"/>
                            <w:szCs w:val="16"/>
                            <w:lang w:eastAsia="es-EC"/>
                          </w:rPr>
                        </w:pPr>
                        <w:r w:rsidRPr="00AD7AE2">
                          <w:rPr>
                            <w:rFonts w:ascii="Arial" w:eastAsia="Times New Roman" w:hAnsi="Arial" w:cs="Arial"/>
                            <w:b/>
                            <w:bCs/>
                            <w:color w:val="000000"/>
                            <w:sz w:val="16"/>
                            <w:szCs w:val="16"/>
                            <w:lang w:eastAsia="es-EC"/>
                          </w:rPr>
                          <w:t>Frecuencia Relativa</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0C11D5">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Soltero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0.339</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0C11D5">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Casado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0.418</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0C11D5">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Unido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0.156</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0C11D5">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Separado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0.024</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0C11D5">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Divorciado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0.029</w:t>
                        </w:r>
                      </w:p>
                    </w:tc>
                  </w:tr>
                  <w:tr w:rsidR="00361FCE" w:rsidRPr="00AD7AE2" w:rsidTr="00902050">
                    <w:trPr>
                      <w:trHeight w:val="240"/>
                      <w:jc w:val="center"/>
                    </w:trPr>
                    <w:tc>
                      <w:tcPr>
                        <w:tcW w:w="1200" w:type="dxa"/>
                        <w:tcBorders>
                          <w:top w:val="nil"/>
                          <w:left w:val="nil"/>
                          <w:bottom w:val="nil"/>
                          <w:right w:val="nil"/>
                        </w:tcBorders>
                        <w:shd w:val="clear" w:color="auto" w:fill="auto"/>
                        <w:noWrap/>
                        <w:vAlign w:val="center"/>
                        <w:hideMark/>
                      </w:tcPr>
                      <w:p w:rsidR="00361FCE" w:rsidRPr="00AD7AE2" w:rsidRDefault="00361FCE" w:rsidP="000C11D5">
                        <w:pPr>
                          <w:jc w:val="left"/>
                          <w:rPr>
                            <w:rFonts w:ascii="Arial" w:eastAsia="Times New Roman" w:hAnsi="Arial" w:cs="Arial"/>
                            <w:color w:val="000000"/>
                            <w:sz w:val="16"/>
                            <w:szCs w:val="16"/>
                            <w:lang w:eastAsia="es-EC"/>
                          </w:rPr>
                        </w:pPr>
                        <w:r w:rsidRPr="00AD7AE2">
                          <w:rPr>
                            <w:rFonts w:ascii="Arial" w:eastAsia="Times New Roman" w:hAnsi="Arial" w:cs="Arial"/>
                            <w:color w:val="000000"/>
                            <w:sz w:val="16"/>
                            <w:szCs w:val="16"/>
                            <w:lang w:eastAsia="es-EC"/>
                          </w:rPr>
                          <w:t>Viudo</w:t>
                        </w:r>
                      </w:p>
                    </w:tc>
                    <w:tc>
                      <w:tcPr>
                        <w:tcW w:w="1200" w:type="dxa"/>
                        <w:tcBorders>
                          <w:top w:val="nil"/>
                          <w:left w:val="nil"/>
                          <w:bottom w:val="nil"/>
                          <w:right w:val="nil"/>
                        </w:tcBorders>
                        <w:shd w:val="clear" w:color="auto" w:fill="auto"/>
                        <w:noWrap/>
                        <w:vAlign w:val="center"/>
                      </w:tcPr>
                      <w:p w:rsidR="00361FCE" w:rsidRDefault="00361FCE" w:rsidP="00902050">
                        <w:pPr>
                          <w:rPr>
                            <w:rFonts w:ascii="Arial" w:hAnsi="Arial" w:cs="Arial"/>
                            <w:color w:val="000000"/>
                            <w:sz w:val="16"/>
                            <w:szCs w:val="16"/>
                          </w:rPr>
                        </w:pPr>
                        <w:r>
                          <w:rPr>
                            <w:rFonts w:ascii="Arial" w:hAnsi="Arial" w:cs="Arial"/>
                            <w:color w:val="000000"/>
                            <w:sz w:val="16"/>
                            <w:szCs w:val="16"/>
                          </w:rPr>
                          <w:t>0.034</w:t>
                        </w:r>
                      </w:p>
                    </w:tc>
                  </w:tr>
                  <w:tr w:rsidR="00361FCE" w:rsidRPr="00AD7AE2" w:rsidTr="00902050">
                    <w:trPr>
                      <w:trHeight w:val="240"/>
                      <w:jc w:val="center"/>
                    </w:trPr>
                    <w:tc>
                      <w:tcPr>
                        <w:tcW w:w="1200" w:type="dxa"/>
                        <w:tcBorders>
                          <w:top w:val="nil"/>
                          <w:left w:val="nil"/>
                          <w:bottom w:val="single" w:sz="4" w:space="0" w:color="auto"/>
                          <w:right w:val="nil"/>
                        </w:tcBorders>
                        <w:shd w:val="clear" w:color="auto" w:fill="auto"/>
                        <w:noWrap/>
                        <w:vAlign w:val="center"/>
                        <w:hideMark/>
                      </w:tcPr>
                      <w:p w:rsidR="00361FCE" w:rsidRPr="00AD7AE2" w:rsidRDefault="00361FCE" w:rsidP="000C11D5">
                        <w:pPr>
                          <w:jc w:val="left"/>
                          <w:rPr>
                            <w:rFonts w:ascii="Arial" w:eastAsia="Times New Roman" w:hAnsi="Arial" w:cs="Arial"/>
                            <w:b/>
                            <w:bCs/>
                            <w:i/>
                            <w:iCs/>
                            <w:color w:val="000000"/>
                            <w:sz w:val="16"/>
                            <w:szCs w:val="16"/>
                            <w:lang w:eastAsia="es-EC"/>
                          </w:rPr>
                        </w:pPr>
                        <w:r w:rsidRPr="00AD7AE2">
                          <w:rPr>
                            <w:rFonts w:ascii="Arial" w:eastAsia="Times New Roman" w:hAnsi="Arial" w:cs="Arial"/>
                            <w:b/>
                            <w:bCs/>
                            <w:i/>
                            <w:iCs/>
                            <w:color w:val="000000"/>
                            <w:sz w:val="16"/>
                            <w:szCs w:val="16"/>
                            <w:lang w:eastAsia="es-EC"/>
                          </w:rPr>
                          <w:t>Total</w:t>
                        </w:r>
                      </w:p>
                    </w:tc>
                    <w:tc>
                      <w:tcPr>
                        <w:tcW w:w="1200" w:type="dxa"/>
                        <w:tcBorders>
                          <w:top w:val="nil"/>
                          <w:left w:val="nil"/>
                          <w:bottom w:val="single" w:sz="4" w:space="0" w:color="auto"/>
                          <w:right w:val="nil"/>
                        </w:tcBorders>
                        <w:shd w:val="clear" w:color="auto" w:fill="auto"/>
                        <w:noWrap/>
                        <w:vAlign w:val="center"/>
                        <w:hideMark/>
                      </w:tcPr>
                      <w:p w:rsidR="00361FCE" w:rsidRPr="00AD7AE2" w:rsidRDefault="00361FCE" w:rsidP="00902050">
                        <w:pPr>
                          <w:rPr>
                            <w:rFonts w:ascii="Arial" w:eastAsia="Times New Roman" w:hAnsi="Arial" w:cs="Arial"/>
                            <w:b/>
                            <w:bCs/>
                            <w:i/>
                            <w:iCs/>
                            <w:color w:val="000000"/>
                            <w:sz w:val="16"/>
                            <w:szCs w:val="16"/>
                            <w:lang w:eastAsia="es-EC"/>
                          </w:rPr>
                        </w:pPr>
                        <w:r w:rsidRPr="00AD7AE2">
                          <w:rPr>
                            <w:rFonts w:ascii="Arial" w:eastAsia="Times New Roman" w:hAnsi="Arial" w:cs="Arial"/>
                            <w:b/>
                            <w:bCs/>
                            <w:i/>
                            <w:iCs/>
                            <w:color w:val="000000"/>
                            <w:sz w:val="16"/>
                            <w:szCs w:val="16"/>
                            <w:lang w:eastAsia="es-EC"/>
                          </w:rPr>
                          <w:t>1.000</w:t>
                        </w:r>
                      </w:p>
                    </w:tc>
                  </w:tr>
                </w:tbl>
                <w:p w:rsidR="00361FCE" w:rsidRDefault="00361FCE" w:rsidP="00902050">
                  <w:pPr>
                    <w:rPr>
                      <w:rFonts w:ascii="Arial" w:hAnsi="Arial" w:cs="Arial"/>
                      <w:sz w:val="24"/>
                      <w:szCs w:val="24"/>
                    </w:rPr>
                  </w:pPr>
                </w:p>
              </w:tc>
              <w:tc>
                <w:tcPr>
                  <w:tcW w:w="4574" w:type="dxa"/>
                </w:tcPr>
                <w:p w:rsidR="00361FCE" w:rsidRPr="00A22FF9" w:rsidRDefault="00361FCE" w:rsidP="00902050">
                  <w:pPr>
                    <w:rPr>
                      <w:rFonts w:ascii="Arial" w:hAnsi="Arial" w:cs="Arial"/>
                      <w:b/>
                      <w:sz w:val="16"/>
                      <w:szCs w:val="16"/>
                    </w:rPr>
                  </w:pPr>
                </w:p>
                <w:p w:rsidR="00361FCE" w:rsidRDefault="00361FCE" w:rsidP="00902050">
                  <w:pPr>
                    <w:rPr>
                      <w:rFonts w:ascii="Arial" w:hAnsi="Arial" w:cs="Arial"/>
                      <w:b/>
                      <w:sz w:val="16"/>
                      <w:szCs w:val="16"/>
                    </w:rPr>
                  </w:pPr>
                  <w:r w:rsidRPr="00A22FF9">
                    <w:rPr>
                      <w:rFonts w:ascii="Arial" w:hAnsi="Arial" w:cs="Arial"/>
                      <w:b/>
                      <w:sz w:val="16"/>
                      <w:szCs w:val="16"/>
                    </w:rPr>
                    <w:t>Histograma de Frecuencias</w:t>
                  </w:r>
                </w:p>
                <w:p w:rsidR="00361FCE" w:rsidRPr="00A22FF9" w:rsidRDefault="00361FCE" w:rsidP="00902050">
                  <w:pPr>
                    <w:rPr>
                      <w:rFonts w:ascii="Arial" w:hAnsi="Arial" w:cs="Arial"/>
                      <w:b/>
                      <w:sz w:val="16"/>
                      <w:szCs w:val="16"/>
                    </w:rPr>
                  </w:pPr>
                  <w:r>
                    <w:rPr>
                      <w:noProof/>
                      <w:lang w:eastAsia="es-EC"/>
                    </w:rPr>
                    <w:drawing>
                      <wp:inline distT="0" distB="0" distL="0" distR="0" wp14:anchorId="5C9ACD01" wp14:editId="39B789B0">
                        <wp:extent cx="2809875" cy="1524000"/>
                        <wp:effectExtent l="0" t="0" r="0" b="0"/>
                        <wp:docPr id="367" name="Gráfico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c>
            </w:tr>
          </w:tbl>
          <w:p w:rsidR="00361FCE" w:rsidRPr="00840530" w:rsidRDefault="00361FCE" w:rsidP="00902050">
            <w:pPr>
              <w:rPr>
                <w:rFonts w:ascii="Arial" w:hAnsi="Arial" w:cs="Arial"/>
                <w:sz w:val="24"/>
                <w:szCs w:val="24"/>
              </w:rPr>
            </w:pPr>
          </w:p>
        </w:tc>
      </w:tr>
    </w:tbl>
    <w:p w:rsidR="00361FCE" w:rsidRPr="000C11D5" w:rsidRDefault="00361FCE" w:rsidP="000C11D5">
      <w:pPr>
        <w:pStyle w:val="Prrafodelista"/>
        <w:spacing w:line="276" w:lineRule="auto"/>
        <w:ind w:left="851"/>
        <w:jc w:val="both"/>
        <w:rPr>
          <w:rFonts w:ascii="Arial" w:hAnsi="Arial" w:cs="Arial"/>
          <w:sz w:val="17"/>
          <w:szCs w:val="17"/>
        </w:rPr>
      </w:pPr>
    </w:p>
    <w:p w:rsidR="00361FCE" w:rsidRPr="000C11D5" w:rsidRDefault="00361FCE" w:rsidP="000C11D5">
      <w:pPr>
        <w:pStyle w:val="Prrafodelista"/>
        <w:spacing w:line="276" w:lineRule="auto"/>
        <w:ind w:left="851"/>
        <w:jc w:val="both"/>
        <w:rPr>
          <w:rFonts w:ascii="Arial" w:hAnsi="Arial" w:cs="Arial"/>
          <w:sz w:val="17"/>
          <w:szCs w:val="17"/>
        </w:rPr>
      </w:pPr>
      <w:r w:rsidRPr="000C11D5">
        <w:rPr>
          <w:rFonts w:ascii="Arial" w:hAnsi="Arial" w:cs="Arial"/>
          <w:b/>
          <w:i/>
          <w:sz w:val="17"/>
          <w:szCs w:val="17"/>
        </w:rPr>
        <w:t>Fuente:</w:t>
      </w:r>
      <w:r w:rsidRPr="000C11D5">
        <w:rPr>
          <w:rFonts w:ascii="Arial" w:hAnsi="Arial" w:cs="Arial"/>
          <w:sz w:val="17"/>
          <w:szCs w:val="17"/>
        </w:rPr>
        <w:t xml:space="preserve"> </w:t>
      </w:r>
      <w:r w:rsidRPr="000C11D5">
        <w:rPr>
          <w:rFonts w:ascii="Arial" w:hAnsi="Arial" w:cs="Arial"/>
          <w:b/>
          <w:sz w:val="17"/>
          <w:szCs w:val="17"/>
        </w:rPr>
        <w:t xml:space="preserve">INEC </w:t>
      </w:r>
      <w:r w:rsidRPr="000C11D5">
        <w:rPr>
          <w:rFonts w:ascii="Arial" w:hAnsi="Arial" w:cs="Arial"/>
          <w:sz w:val="17"/>
          <w:szCs w:val="17"/>
        </w:rPr>
        <w:t>(2010), Base de Datos del VII Censo de Población y VI de Vivienda.</w:t>
      </w:r>
    </w:p>
    <w:p w:rsidR="00361FCE" w:rsidRDefault="00361FCE" w:rsidP="000C11D5">
      <w:pPr>
        <w:pStyle w:val="Prrafodelista"/>
        <w:spacing w:line="276" w:lineRule="auto"/>
        <w:ind w:left="851"/>
        <w:jc w:val="both"/>
        <w:rPr>
          <w:rFonts w:ascii="Arial" w:hAnsi="Arial" w:cs="Arial"/>
        </w:rPr>
      </w:pPr>
      <w:r w:rsidRPr="000C11D5">
        <w:rPr>
          <w:rFonts w:ascii="Arial" w:hAnsi="Arial" w:cs="Arial"/>
          <w:b/>
          <w:i/>
          <w:sz w:val="17"/>
          <w:szCs w:val="17"/>
        </w:rPr>
        <w:t>Elaborado por:</w:t>
      </w:r>
      <w:r w:rsidRPr="000C11D5">
        <w:rPr>
          <w:rFonts w:ascii="Arial" w:hAnsi="Arial" w:cs="Arial"/>
          <w:sz w:val="17"/>
          <w:szCs w:val="17"/>
        </w:rPr>
        <w:t xml:space="preserve"> Katherine Loor Valeriano</w:t>
      </w:r>
    </w:p>
    <w:p w:rsidR="00361FCE" w:rsidRDefault="00361FCE" w:rsidP="000C11D5">
      <w:pPr>
        <w:pStyle w:val="Prrafodelista"/>
        <w:spacing w:line="480" w:lineRule="auto"/>
        <w:ind w:left="851"/>
        <w:jc w:val="both"/>
        <w:rPr>
          <w:rFonts w:ascii="Arial" w:hAnsi="Arial" w:cs="Arial"/>
        </w:rPr>
      </w:pPr>
    </w:p>
    <w:p w:rsidR="00361FCE" w:rsidRDefault="00361FCE" w:rsidP="000C11D5">
      <w:pPr>
        <w:pStyle w:val="Prrafodelista"/>
        <w:spacing w:line="480" w:lineRule="auto"/>
        <w:ind w:left="851"/>
        <w:jc w:val="both"/>
        <w:rPr>
          <w:rFonts w:ascii="Arial" w:hAnsi="Arial" w:cs="Arial"/>
        </w:rPr>
      </w:pPr>
      <w:r>
        <w:rPr>
          <w:rFonts w:ascii="Arial" w:hAnsi="Arial" w:cs="Arial"/>
        </w:rPr>
        <w:t xml:space="preserve">En la </w:t>
      </w:r>
      <w:r>
        <w:rPr>
          <w:rFonts w:ascii="Arial" w:hAnsi="Arial" w:cs="Arial"/>
          <w:i/>
        </w:rPr>
        <w:t>Figura 4.96</w:t>
      </w:r>
      <w:r>
        <w:rPr>
          <w:rFonts w:ascii="Arial" w:hAnsi="Arial" w:cs="Arial"/>
        </w:rPr>
        <w:t>, tenemos que para el caso de los hombres la tasa de solteros disminuye a medida que aumenta la edad, aunque para el penúltimo grupo etario esta tasa toma el valor de cero y para el último grupo en cambio toma el valor de 1000 lo que representa en el primer caso que todos los españoles de género masculino con esas edades no están solteros y en el otro caso en cambio significa que todos son solteros; la tasa de casados o unidos en cambio aumenta hasta los 40 años y de allí en adelante empieza a disminuir, aunque de los españoles con edades comprendidas entre 90 y 95 años todos están casados; y, en lo que respecta a la tasa de separados, divorciados o viudos ésta empieza a aumentar a medida que aumenta la edad y además de los mayores de 90 años ninguno están separados, divorciados o son viudos. En lo que respecta a las mujeres, la tasa de solteros disminuye a medida que aumenta la edad, esto se da hasta los 45 años y de aquí en adelante el valor de la tasa empieza a aumentar a medida que aumenta la edad y toma el valor de cero en el último grupo de edad representando que ninguna de las españolas con edades entre 95 y 100 años son solteras; mientras que la tasa de casadas o unidas aumenta hasta los 40 años y a partir de aquí el valor de dicha tasa empieza a disminuir a medid</w:t>
      </w:r>
      <w:r w:rsidR="000C11D5">
        <w:rPr>
          <w:rFonts w:ascii="Arial" w:hAnsi="Arial" w:cs="Arial"/>
        </w:rPr>
        <w:t>a que disminuye la edad, aunque</w:t>
      </w:r>
      <w:r>
        <w:rPr>
          <w:rFonts w:ascii="Arial" w:hAnsi="Arial" w:cs="Arial"/>
        </w:rPr>
        <w:t xml:space="preserve"> ninguna española de 85 años y más está casada o unida; y, en lo referente a la tasa de separadas, divorciadas o viudas se </w:t>
      </w:r>
      <w:r w:rsidR="00AE13C0">
        <w:rPr>
          <w:rFonts w:ascii="Arial" w:hAnsi="Arial" w:cs="Arial"/>
        </w:rPr>
        <w:t>tiene</w:t>
      </w:r>
      <w:r>
        <w:rPr>
          <w:rFonts w:ascii="Arial" w:hAnsi="Arial" w:cs="Arial"/>
        </w:rPr>
        <w:t xml:space="preserve"> que el valor de dicha tasa va aumentando a medida que se incrementa la edad, siendo todas las mujeres mayores de 95 años separadas, divorciadas o viudas.</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0C11D5">
        <w:trPr>
          <w:trHeight w:val="5934"/>
          <w:jc w:val="right"/>
        </w:trPr>
        <w:tc>
          <w:tcPr>
            <w:tcW w:w="7497" w:type="dxa"/>
          </w:tcPr>
          <w:p w:rsidR="00361FCE" w:rsidRPr="00840530" w:rsidRDefault="00361FCE" w:rsidP="00902050">
            <w:pPr>
              <w:rPr>
                <w:rFonts w:ascii="Arial" w:hAnsi="Arial" w:cs="Arial"/>
                <w:sz w:val="16"/>
                <w:szCs w:val="16"/>
              </w:rPr>
            </w:pPr>
          </w:p>
          <w:p w:rsidR="00B10593" w:rsidRPr="00B10593" w:rsidRDefault="00B10593" w:rsidP="00B10593">
            <w:pPr>
              <w:pStyle w:val="Epgrafe"/>
              <w:rPr>
                <w:rFonts w:ascii="Arial" w:hAnsi="Arial" w:cs="Arial"/>
                <w:bCs w:val="0"/>
                <w:color w:val="auto"/>
                <w:sz w:val="16"/>
                <w:szCs w:val="16"/>
              </w:rPr>
            </w:pPr>
            <w:bookmarkStart w:id="706" w:name="_Toc341044068"/>
            <w:r>
              <w:rPr>
                <w:rFonts w:ascii="Arial" w:hAnsi="Arial" w:cs="Arial"/>
                <w:bCs w:val="0"/>
                <w:color w:val="auto"/>
                <w:sz w:val="16"/>
                <w:szCs w:val="16"/>
              </w:rPr>
              <w:t>Figura 4.</w:t>
            </w:r>
            <w:r w:rsidR="00990535" w:rsidRPr="00B10593">
              <w:rPr>
                <w:rFonts w:ascii="Arial" w:hAnsi="Arial" w:cs="Arial"/>
                <w:bCs w:val="0"/>
                <w:color w:val="auto"/>
                <w:sz w:val="16"/>
                <w:szCs w:val="16"/>
              </w:rPr>
              <w:fldChar w:fldCharType="begin"/>
            </w:r>
            <w:r w:rsidRPr="00B10593">
              <w:rPr>
                <w:rFonts w:ascii="Arial" w:hAnsi="Arial" w:cs="Arial"/>
                <w:bCs w:val="0"/>
                <w:color w:val="auto"/>
                <w:sz w:val="16"/>
                <w:szCs w:val="16"/>
              </w:rPr>
              <w:instrText xml:space="preserve"> SEQ Figura_4. \* ARABIC </w:instrText>
            </w:r>
            <w:r w:rsidR="00990535" w:rsidRPr="00B10593">
              <w:rPr>
                <w:rFonts w:ascii="Arial" w:hAnsi="Arial" w:cs="Arial"/>
                <w:bCs w:val="0"/>
                <w:color w:val="auto"/>
                <w:sz w:val="16"/>
                <w:szCs w:val="16"/>
              </w:rPr>
              <w:fldChar w:fldCharType="separate"/>
            </w:r>
            <w:r w:rsidR="00A242E0">
              <w:rPr>
                <w:rFonts w:ascii="Arial" w:hAnsi="Arial" w:cs="Arial"/>
                <w:bCs w:val="0"/>
                <w:noProof/>
                <w:color w:val="auto"/>
                <w:sz w:val="16"/>
                <w:szCs w:val="16"/>
              </w:rPr>
              <w:t>96</w:t>
            </w:r>
            <w:bookmarkEnd w:id="706"/>
            <w:r w:rsidR="00990535" w:rsidRPr="00B10593">
              <w:rPr>
                <w:rFonts w:ascii="Arial" w:hAnsi="Arial" w:cs="Arial"/>
                <w:bCs w:val="0"/>
                <w:color w:val="auto"/>
                <w:sz w:val="16"/>
                <w:szCs w:val="16"/>
              </w:rPr>
              <w:fldChar w:fldCharType="end"/>
            </w:r>
          </w:p>
          <w:p w:rsidR="00361FCE" w:rsidRDefault="000C11D5"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Tasa de estado civil por cada 1000 </w:t>
            </w:r>
            <w:r>
              <w:rPr>
                <w:rFonts w:ascii="Arial" w:hAnsi="Arial" w:cs="Arial"/>
                <w:b/>
                <w:i/>
                <w:sz w:val="16"/>
                <w:szCs w:val="16"/>
              </w:rPr>
              <w:t>españoles</w:t>
            </w:r>
            <w:r w:rsidRPr="00016219">
              <w:rPr>
                <w:rFonts w:ascii="Arial" w:hAnsi="Arial" w:cs="Arial"/>
                <w:i/>
                <w:sz w:val="16"/>
                <w:szCs w:val="16"/>
              </w:rPr>
              <w:t xml:space="preserve"> por Género y Grupo etario</w:t>
            </w:r>
          </w:p>
          <w:p w:rsidR="00361FCE" w:rsidRDefault="00436907" w:rsidP="00902050">
            <w:pPr>
              <w:rPr>
                <w:rFonts w:ascii="Arial" w:hAnsi="Arial" w:cs="Arial"/>
                <w:i/>
                <w:sz w:val="16"/>
                <w:szCs w:val="16"/>
              </w:rPr>
            </w:pPr>
            <w:r>
              <w:rPr>
                <w:rFonts w:ascii="Arial" w:hAnsi="Arial" w:cs="Arial"/>
                <w:noProof/>
                <w:sz w:val="16"/>
                <w:szCs w:val="16"/>
                <w:lang w:eastAsia="es-EC"/>
              </w:rPr>
              <w:pict>
                <v:shape id="_x0000_s1745" type="#_x0000_t202" style="position:absolute;left:0;text-align:left;margin-left:200.05pt;margin-top:54.5pt;width:133.5pt;height:15.3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Pr>
                            <w:rFonts w:ascii="Arial" w:hAnsi="Arial" w:cs="Arial"/>
                            <w:color w:val="0070C0"/>
                            <w:sz w:val="15"/>
                            <w:szCs w:val="15"/>
                          </w:rPr>
                          <w:t>Soltero</w:t>
                        </w:r>
                      </w:p>
                    </w:txbxContent>
                  </v:textbox>
                </v:shape>
              </w:pict>
            </w:r>
            <w:r>
              <w:rPr>
                <w:rFonts w:ascii="Arial" w:hAnsi="Arial" w:cs="Arial"/>
                <w:noProof/>
                <w:sz w:val="16"/>
                <w:szCs w:val="16"/>
                <w:lang w:eastAsia="es-EC"/>
              </w:rPr>
              <w:pict>
                <v:shape id="_x0000_s2296" type="#_x0000_t32" style="position:absolute;left:0;text-align:left;margin-left:269.55pt;margin-top:65.75pt;width:15.75pt;height:10.75pt;z-index:252027392" o:connectortype="straight" strokecolor="#0070c0">
                  <v:stroke endarrow="block"/>
                </v:shape>
              </w:pict>
            </w:r>
            <w:r>
              <w:rPr>
                <w:rFonts w:ascii="Arial" w:hAnsi="Arial" w:cs="Arial"/>
                <w:noProof/>
                <w:sz w:val="16"/>
                <w:szCs w:val="16"/>
                <w:lang w:eastAsia="es-EC"/>
              </w:rPr>
              <w:pict>
                <v:shape id="_x0000_s1746" type="#_x0000_t202" style="position:absolute;left:0;text-align:left;margin-left:96.6pt;margin-top:39.9pt;width:133.5pt;height:15.3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Pr>
                            <w:rFonts w:ascii="Arial" w:hAnsi="Arial" w:cs="Arial"/>
                            <w:color w:val="E36C0A" w:themeColor="accent6" w:themeShade="BF"/>
                            <w:sz w:val="15"/>
                            <w:szCs w:val="15"/>
                          </w:rPr>
                          <w:t>Casado o Unido</w:t>
                        </w:r>
                      </w:p>
                    </w:txbxContent>
                  </v:textbox>
                </v:shape>
              </w:pict>
            </w:r>
            <w:r>
              <w:rPr>
                <w:rFonts w:ascii="Arial" w:hAnsi="Arial" w:cs="Arial"/>
                <w:noProof/>
                <w:sz w:val="16"/>
                <w:szCs w:val="16"/>
                <w:lang w:eastAsia="es-EC"/>
              </w:rPr>
              <w:pict>
                <v:shape id="_x0000_s2293" type="#_x0000_t32" style="position:absolute;left:0;text-align:left;margin-left:136.3pt;margin-top:33.5pt;width:8.25pt;height:9.75pt;flip:x y;z-index:252024320" o:connectortype="straight" strokecolor="#e36c0a [2409]">
                  <v:stroke endarrow="block"/>
                </v:shape>
              </w:pict>
            </w:r>
            <w:r>
              <w:rPr>
                <w:rFonts w:ascii="Arial" w:hAnsi="Arial" w:cs="Arial"/>
                <w:noProof/>
                <w:sz w:val="16"/>
                <w:szCs w:val="16"/>
                <w:lang w:eastAsia="es-EC"/>
              </w:rPr>
              <w:pict>
                <v:shape id="_x0000_s1747" type="#_x0000_t202" style="position:absolute;left:0;text-align:left;margin-left:144.55pt;margin-top:54.5pt;width:80.25pt;height:28.1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Pr>
                            <w:rFonts w:ascii="Arial" w:hAnsi="Arial" w:cs="Arial"/>
                            <w:color w:val="CC0099"/>
                            <w:sz w:val="15"/>
                            <w:szCs w:val="15"/>
                          </w:rPr>
                          <w:t>Separado, Divorciado o Viudo</w:t>
                        </w:r>
                      </w:p>
                    </w:txbxContent>
                  </v:textbox>
                </v:shape>
              </w:pict>
            </w:r>
            <w:r>
              <w:rPr>
                <w:rFonts w:ascii="Arial" w:hAnsi="Arial" w:cs="Arial"/>
                <w:noProof/>
                <w:sz w:val="16"/>
                <w:szCs w:val="16"/>
                <w:lang w:eastAsia="es-EC"/>
              </w:rPr>
              <w:pict>
                <v:shape id="_x0000_s2291" type="#_x0000_t32" style="position:absolute;left:0;text-align:left;margin-left:175.05pt;margin-top:75.75pt;width:6.75pt;height:21.55pt;flip:x;z-index:252022272" o:connectortype="straight" strokecolor="#d60093">
                  <v:stroke endarrow="block"/>
                </v:shape>
              </w:pict>
            </w:r>
            <w:r>
              <w:rPr>
                <w:noProof/>
              </w:rPr>
              <w:pict>
                <v:shape id="_x0000_s1743" type="#_x0000_t202" style="position:absolute;left:0;text-align:left;margin-left:217.3pt;margin-top:12.75pt;width:133.5pt;height:15.3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Hombre</w:t>
                        </w:r>
                      </w:p>
                    </w:txbxContent>
                  </v:textbox>
                </v:shape>
              </w:pict>
            </w:r>
            <w:r w:rsidR="00361FCE">
              <w:rPr>
                <w:noProof/>
                <w:lang w:eastAsia="es-EC"/>
              </w:rPr>
              <w:t xml:space="preserve"> </w:t>
            </w:r>
            <w:r w:rsidR="00361FCE">
              <w:rPr>
                <w:noProof/>
                <w:lang w:eastAsia="es-EC"/>
              </w:rPr>
              <w:drawing>
                <wp:inline distT="0" distB="0" distL="0" distR="0" wp14:anchorId="436B1657" wp14:editId="7E44CF88">
                  <wp:extent cx="4211955" cy="1800000"/>
                  <wp:effectExtent l="0" t="0" r="0" b="0"/>
                  <wp:docPr id="370" name="Gráfico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361FCE" w:rsidRPr="00660711" w:rsidRDefault="00436907" w:rsidP="00902050">
            <w:pPr>
              <w:rPr>
                <w:rFonts w:ascii="Arial" w:hAnsi="Arial" w:cs="Arial"/>
                <w:i/>
                <w:sz w:val="16"/>
                <w:szCs w:val="16"/>
              </w:rPr>
            </w:pPr>
            <w:r>
              <w:rPr>
                <w:rFonts w:ascii="Arial" w:hAnsi="Arial" w:cs="Arial"/>
                <w:noProof/>
                <w:sz w:val="16"/>
                <w:szCs w:val="16"/>
                <w:lang w:eastAsia="es-EC"/>
              </w:rPr>
              <w:pict>
                <v:shape id="_x0000_s1748" type="#_x0000_t202" style="position:absolute;left:0;text-align:left;margin-left:126.55pt;margin-top:53.8pt;width:133.5pt;height:15.3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0070C0"/>
                            <w:sz w:val="15"/>
                            <w:szCs w:val="15"/>
                          </w:rPr>
                        </w:pPr>
                        <w:r>
                          <w:rPr>
                            <w:rFonts w:ascii="Arial" w:hAnsi="Arial" w:cs="Arial"/>
                            <w:color w:val="0070C0"/>
                            <w:sz w:val="15"/>
                            <w:szCs w:val="15"/>
                          </w:rPr>
                          <w:t>Soltero</w:t>
                        </w:r>
                      </w:p>
                    </w:txbxContent>
                  </v:textbox>
                </v:shape>
              </w:pict>
            </w:r>
            <w:r>
              <w:rPr>
                <w:rFonts w:ascii="Arial" w:hAnsi="Arial" w:cs="Arial"/>
                <w:noProof/>
                <w:sz w:val="16"/>
                <w:szCs w:val="16"/>
                <w:lang w:eastAsia="es-EC"/>
              </w:rPr>
              <w:pict>
                <v:shape id="_x0000_s2295" type="#_x0000_t32" style="position:absolute;left:0;text-align:left;margin-left:193.75pt;margin-top:64.25pt;width:13.55pt;height:12.9pt;z-index:252026368" o:connectortype="straight" strokecolor="#0070c0">
                  <v:stroke endarrow="block"/>
                </v:shape>
              </w:pict>
            </w:r>
            <w:r>
              <w:rPr>
                <w:rFonts w:ascii="Arial" w:hAnsi="Arial" w:cs="Arial"/>
                <w:noProof/>
                <w:sz w:val="16"/>
                <w:szCs w:val="16"/>
                <w:lang w:eastAsia="es-EC"/>
              </w:rPr>
              <w:pict>
                <v:shape id="_x0000_s1749" type="#_x0000_t202" style="position:absolute;left:0;text-align:left;margin-left:79.8pt;margin-top:48.9pt;width:133.5pt;height:15.35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E36C0A" w:themeColor="accent6" w:themeShade="BF"/>
                            <w:sz w:val="15"/>
                            <w:szCs w:val="15"/>
                          </w:rPr>
                        </w:pPr>
                        <w:r>
                          <w:rPr>
                            <w:rFonts w:ascii="Arial" w:hAnsi="Arial" w:cs="Arial"/>
                            <w:color w:val="E36C0A" w:themeColor="accent6" w:themeShade="BF"/>
                            <w:sz w:val="15"/>
                            <w:szCs w:val="15"/>
                          </w:rPr>
                          <w:t>Casado o Unido</w:t>
                        </w:r>
                      </w:p>
                    </w:txbxContent>
                  </v:textbox>
                </v:shape>
              </w:pict>
            </w:r>
            <w:r>
              <w:rPr>
                <w:rFonts w:ascii="Arial" w:hAnsi="Arial" w:cs="Arial"/>
                <w:noProof/>
                <w:sz w:val="16"/>
                <w:szCs w:val="16"/>
                <w:lang w:eastAsia="es-EC"/>
              </w:rPr>
              <w:pict>
                <v:shape id="_x0000_s2294" type="#_x0000_t32" style="position:absolute;left:0;text-align:left;margin-left:131.05pt;margin-top:42.9pt;width:11.25pt;height:9pt;flip:x y;z-index:252025344" o:connectortype="straight" strokecolor="#e36c0a [2409]">
                  <v:stroke endarrow="block"/>
                </v:shape>
              </w:pict>
            </w:r>
            <w:r>
              <w:rPr>
                <w:rFonts w:ascii="Arial" w:hAnsi="Arial" w:cs="Arial"/>
                <w:noProof/>
                <w:sz w:val="16"/>
                <w:szCs w:val="16"/>
                <w:lang w:eastAsia="es-EC"/>
              </w:rPr>
              <w:pict>
                <v:shape id="_x0000_s1750" type="#_x0000_t202" style="position:absolute;left:0;text-align:left;margin-left:236.05pt;margin-top:14.8pt;width:80.25pt;height:28.1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color w:val="CC0099"/>
                            <w:sz w:val="15"/>
                            <w:szCs w:val="15"/>
                          </w:rPr>
                        </w:pPr>
                        <w:r>
                          <w:rPr>
                            <w:rFonts w:ascii="Arial" w:hAnsi="Arial" w:cs="Arial"/>
                            <w:color w:val="CC0099"/>
                            <w:sz w:val="15"/>
                            <w:szCs w:val="15"/>
                          </w:rPr>
                          <w:t>Separado, Divorciado o Viudo</w:t>
                        </w:r>
                      </w:p>
                    </w:txbxContent>
                  </v:textbox>
                </v:shape>
              </w:pict>
            </w:r>
            <w:r>
              <w:rPr>
                <w:rFonts w:ascii="Arial" w:hAnsi="Arial" w:cs="Arial"/>
                <w:noProof/>
                <w:sz w:val="16"/>
                <w:szCs w:val="16"/>
                <w:lang w:eastAsia="es-EC"/>
              </w:rPr>
              <w:pict>
                <v:shape id="_x0000_s2292" type="#_x0000_t32" style="position:absolute;left:0;text-align:left;margin-left:307.8pt;margin-top:27.9pt;width:22.5pt;height:0;z-index:252023296" o:connectortype="straight" strokecolor="#d60093">
                  <v:stroke endarrow="block"/>
                </v:shape>
              </w:pict>
            </w:r>
            <w:r>
              <w:rPr>
                <w:rFonts w:ascii="Arial" w:hAnsi="Arial" w:cs="Arial"/>
                <w:noProof/>
                <w:sz w:val="16"/>
                <w:szCs w:val="16"/>
                <w:lang w:eastAsia="es-EC"/>
              </w:rPr>
              <w:pict>
                <v:shape id="_x0000_s1744" type="#_x0000_t202" style="position:absolute;left:0;text-align:left;margin-left:60.25pt;margin-top:12.55pt;width:133.5pt;height:15.3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UZ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sSRB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Y4dUZLgIAAFYEAAAOAAAAAAAAAAAAAAAAAC4CAABkcnMv&#10;ZTJvRG9jLnhtbFBLAQItABQABgAIAAAAIQD9LzLW2wAAAAUBAAAPAAAAAAAAAAAAAAAAAIgEAABk&#10;cnMvZG93bnJldi54bWxQSwUGAAAAAAQABADzAAAAkAUAAAAA&#10;" filled="f" stroked="f">
                  <v:textbox>
                    <w:txbxContent>
                      <w:p w:rsidR="006933DF" w:rsidRPr="005B0B7F" w:rsidRDefault="006933DF" w:rsidP="00361FCE">
                        <w:pPr>
                          <w:rPr>
                            <w:rFonts w:ascii="Arial" w:hAnsi="Arial" w:cs="Arial"/>
                            <w:b/>
                            <w:sz w:val="15"/>
                            <w:szCs w:val="15"/>
                          </w:rPr>
                        </w:pPr>
                        <w:r>
                          <w:rPr>
                            <w:rFonts w:ascii="Arial" w:hAnsi="Arial" w:cs="Arial"/>
                            <w:b/>
                            <w:sz w:val="15"/>
                            <w:szCs w:val="15"/>
                          </w:rPr>
                          <w:t>Mujer</w:t>
                        </w:r>
                      </w:p>
                    </w:txbxContent>
                  </v:textbox>
                </v:shape>
              </w:pict>
            </w:r>
            <w:r w:rsidR="00361FCE">
              <w:rPr>
                <w:noProof/>
                <w:lang w:eastAsia="es-EC"/>
              </w:rPr>
              <w:t xml:space="preserve"> </w:t>
            </w:r>
            <w:r w:rsidR="00361FCE">
              <w:rPr>
                <w:noProof/>
                <w:lang w:eastAsia="es-EC"/>
              </w:rPr>
              <w:drawing>
                <wp:inline distT="0" distB="0" distL="0" distR="0" wp14:anchorId="30DAA2FF" wp14:editId="4EABDD96">
                  <wp:extent cx="4211955" cy="1800000"/>
                  <wp:effectExtent l="0" t="0" r="0" b="0"/>
                  <wp:docPr id="371" name="Gráfico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c>
      </w:tr>
    </w:tbl>
    <w:p w:rsidR="00361FCE" w:rsidRPr="000C11D5" w:rsidRDefault="00361FCE" w:rsidP="000C11D5">
      <w:pPr>
        <w:pStyle w:val="Prrafodelista"/>
        <w:spacing w:line="276" w:lineRule="auto"/>
        <w:ind w:left="851"/>
        <w:jc w:val="both"/>
        <w:rPr>
          <w:rFonts w:ascii="Arial" w:hAnsi="Arial" w:cs="Arial"/>
          <w:sz w:val="17"/>
          <w:szCs w:val="17"/>
        </w:rPr>
      </w:pPr>
    </w:p>
    <w:p w:rsidR="00361FCE" w:rsidRPr="000C11D5" w:rsidRDefault="00361FCE" w:rsidP="000C11D5">
      <w:pPr>
        <w:pStyle w:val="Prrafodelista"/>
        <w:spacing w:line="276" w:lineRule="auto"/>
        <w:ind w:left="851"/>
        <w:jc w:val="both"/>
        <w:rPr>
          <w:rFonts w:ascii="Arial" w:hAnsi="Arial" w:cs="Arial"/>
          <w:sz w:val="17"/>
          <w:szCs w:val="17"/>
        </w:rPr>
      </w:pPr>
      <w:r w:rsidRPr="000C11D5">
        <w:rPr>
          <w:rFonts w:ascii="Arial" w:hAnsi="Arial" w:cs="Arial"/>
          <w:b/>
          <w:i/>
          <w:sz w:val="17"/>
          <w:szCs w:val="17"/>
        </w:rPr>
        <w:t>Fuente:</w:t>
      </w:r>
      <w:r w:rsidRPr="000C11D5">
        <w:rPr>
          <w:rFonts w:ascii="Arial" w:hAnsi="Arial" w:cs="Arial"/>
          <w:sz w:val="17"/>
          <w:szCs w:val="17"/>
        </w:rPr>
        <w:t xml:space="preserve"> </w:t>
      </w:r>
      <w:r w:rsidRPr="000C11D5">
        <w:rPr>
          <w:rFonts w:ascii="Arial" w:hAnsi="Arial" w:cs="Arial"/>
          <w:b/>
          <w:sz w:val="17"/>
          <w:szCs w:val="17"/>
        </w:rPr>
        <w:t xml:space="preserve">INEC </w:t>
      </w:r>
      <w:r w:rsidRPr="000C11D5">
        <w:rPr>
          <w:rFonts w:ascii="Arial" w:hAnsi="Arial" w:cs="Arial"/>
          <w:sz w:val="17"/>
          <w:szCs w:val="17"/>
        </w:rPr>
        <w:t>(2010), Base de Datos del VII Censo de Población y VI de Vivienda.</w:t>
      </w:r>
    </w:p>
    <w:p w:rsidR="00361FCE" w:rsidRPr="000C11D5" w:rsidRDefault="00361FCE" w:rsidP="000C11D5">
      <w:pPr>
        <w:pStyle w:val="Prrafodelista"/>
        <w:spacing w:line="276" w:lineRule="auto"/>
        <w:ind w:left="851"/>
        <w:jc w:val="both"/>
        <w:rPr>
          <w:rFonts w:ascii="Arial" w:hAnsi="Arial" w:cs="Arial"/>
          <w:sz w:val="17"/>
          <w:szCs w:val="17"/>
        </w:rPr>
      </w:pPr>
      <w:r w:rsidRPr="000C11D5">
        <w:rPr>
          <w:rFonts w:ascii="Arial" w:hAnsi="Arial" w:cs="Arial"/>
          <w:b/>
          <w:i/>
          <w:sz w:val="17"/>
          <w:szCs w:val="17"/>
        </w:rPr>
        <w:t>Elaborado por:</w:t>
      </w:r>
      <w:r w:rsidRPr="000C11D5">
        <w:rPr>
          <w:rFonts w:ascii="Arial" w:hAnsi="Arial" w:cs="Arial"/>
          <w:sz w:val="17"/>
          <w:szCs w:val="17"/>
        </w:rPr>
        <w:t xml:space="preserve"> Katherine Loor Valeriano</w:t>
      </w:r>
    </w:p>
    <w:p w:rsidR="000C11D5" w:rsidRDefault="000C11D5" w:rsidP="00442A0E">
      <w:pPr>
        <w:pStyle w:val="Prrafodelista"/>
        <w:spacing w:line="480" w:lineRule="auto"/>
        <w:ind w:left="851"/>
        <w:jc w:val="both"/>
        <w:rPr>
          <w:rFonts w:ascii="Arial" w:hAnsi="Arial" w:cs="Arial"/>
        </w:rPr>
      </w:pPr>
      <w:r>
        <w:rPr>
          <w:rFonts w:ascii="Arial" w:hAnsi="Arial" w:cs="Arial"/>
        </w:rPr>
        <w:t xml:space="preserve">Además, por cada 1000 hombres nacidos en España que habitualmente residen en Ecuador con edades comprendidas entre 20 y 25 años, 745.76 son solteros, 220.34 están casados o unidos y 33.90 están separados, divorciados o son viudos; </w:t>
      </w:r>
      <w:r w:rsidR="00A60806">
        <w:rPr>
          <w:rFonts w:ascii="Arial" w:hAnsi="Arial" w:cs="Arial"/>
        </w:rPr>
        <w:t>y,</w:t>
      </w:r>
      <w:r>
        <w:rPr>
          <w:rFonts w:ascii="Arial" w:hAnsi="Arial" w:cs="Arial"/>
        </w:rPr>
        <w:t xml:space="preserve"> por cada 1000 mujeres </w:t>
      </w:r>
      <w:r w:rsidR="00A60806">
        <w:rPr>
          <w:rFonts w:ascii="Arial" w:hAnsi="Arial" w:cs="Arial"/>
        </w:rPr>
        <w:t>españolas</w:t>
      </w:r>
      <w:r>
        <w:rPr>
          <w:rFonts w:ascii="Arial" w:hAnsi="Arial" w:cs="Arial"/>
        </w:rPr>
        <w:t xml:space="preserve"> con edades en el mismo grupo etario 385.71 son solteras, 571.43 están casadas o unidas y 42.86 son separadas, divorciadas o viudas.</w:t>
      </w:r>
    </w:p>
    <w:p w:rsidR="00A60806" w:rsidRDefault="00A60806" w:rsidP="00442A0E">
      <w:pPr>
        <w:pStyle w:val="Prrafodelista"/>
        <w:spacing w:line="480" w:lineRule="auto"/>
        <w:ind w:left="851"/>
        <w:jc w:val="both"/>
        <w:rPr>
          <w:rFonts w:ascii="Arial" w:hAnsi="Arial" w:cs="Arial"/>
        </w:rPr>
      </w:pPr>
    </w:p>
    <w:p w:rsidR="00361FCE" w:rsidRDefault="00361FCE" w:rsidP="00442A0E">
      <w:pPr>
        <w:pStyle w:val="Estilo42"/>
        <w:ind w:left="1560" w:hanging="709"/>
      </w:pPr>
      <w:bookmarkStart w:id="707" w:name="_Toc337135567"/>
      <w:bookmarkStart w:id="708" w:name="_Toc341040717"/>
      <w:r>
        <w:t>Analfabetismo Digital</w:t>
      </w:r>
      <w:bookmarkEnd w:id="707"/>
      <w:r w:rsidR="00442A0E">
        <w:t xml:space="preserve"> de la población española</w:t>
      </w:r>
      <w:bookmarkEnd w:id="708"/>
    </w:p>
    <w:p w:rsidR="00361FCE" w:rsidRDefault="00361FCE" w:rsidP="00442A0E">
      <w:pPr>
        <w:pStyle w:val="Prrafodelista"/>
        <w:spacing w:line="480" w:lineRule="auto"/>
        <w:ind w:left="851"/>
        <w:jc w:val="both"/>
        <w:rPr>
          <w:rFonts w:ascii="Arial" w:hAnsi="Arial" w:cs="Arial"/>
          <w:i/>
        </w:rPr>
      </w:pPr>
      <w:r>
        <w:rPr>
          <w:rFonts w:ascii="Arial" w:hAnsi="Arial" w:cs="Arial"/>
        </w:rPr>
        <w:t xml:space="preserve">En lo que respecta a la utilización del teléfono celular, Internet o la computadora durante los últimos seis meses, tenemos que del total de españoles el 39.85% han utilizado un teléfono celular en los últimos seis meses, el 50.67% no la han usado y el 9.48% no respondieron; mientras que el 44.11% han usado Internet, el 46.30% no la han utilizado y el porcentaje restante son datos no declarados; y, en lo referente a la utilización de la computadora el 58.40% han usado la computadora, el 33.15% no la han utilizado y el 8.45% no respondieron. </w:t>
      </w:r>
      <w:r>
        <w:rPr>
          <w:rFonts w:ascii="Arial" w:hAnsi="Arial" w:cs="Arial"/>
          <w:i/>
        </w:rPr>
        <w:t>Véase Figura 4.97.</w:t>
      </w:r>
    </w:p>
    <w:tbl>
      <w:tblPr>
        <w:tblStyle w:val="Tablaconcuadrcula"/>
        <w:tblW w:w="7497" w:type="dxa"/>
        <w:jc w:val="right"/>
        <w:tblInd w:w="1150"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A60806">
        <w:trPr>
          <w:trHeight w:val="2755"/>
          <w:jc w:val="right"/>
        </w:trPr>
        <w:tc>
          <w:tcPr>
            <w:tcW w:w="7497" w:type="dxa"/>
          </w:tcPr>
          <w:p w:rsidR="00361FCE" w:rsidRDefault="00361FCE" w:rsidP="00902050">
            <w:pPr>
              <w:rPr>
                <w:rFonts w:ascii="Arial" w:hAnsi="Arial" w:cs="Arial"/>
                <w:b/>
                <w:sz w:val="16"/>
                <w:szCs w:val="16"/>
              </w:rPr>
            </w:pPr>
          </w:p>
          <w:p w:rsidR="00B10593" w:rsidRPr="00B10593" w:rsidRDefault="00B10593" w:rsidP="00B10593">
            <w:pPr>
              <w:pStyle w:val="Epgrafe"/>
              <w:rPr>
                <w:rFonts w:ascii="Arial" w:hAnsi="Arial" w:cs="Arial"/>
                <w:bCs w:val="0"/>
                <w:color w:val="auto"/>
                <w:sz w:val="16"/>
                <w:szCs w:val="16"/>
              </w:rPr>
            </w:pPr>
            <w:bookmarkStart w:id="709" w:name="_Toc341044069"/>
            <w:r>
              <w:rPr>
                <w:rFonts w:ascii="Arial" w:hAnsi="Arial" w:cs="Arial"/>
                <w:bCs w:val="0"/>
                <w:color w:val="auto"/>
                <w:sz w:val="16"/>
                <w:szCs w:val="16"/>
              </w:rPr>
              <w:t>Figura 4.</w:t>
            </w:r>
            <w:r w:rsidR="00990535" w:rsidRPr="00B10593">
              <w:rPr>
                <w:rFonts w:ascii="Arial" w:hAnsi="Arial" w:cs="Arial"/>
                <w:bCs w:val="0"/>
                <w:color w:val="auto"/>
                <w:sz w:val="16"/>
                <w:szCs w:val="16"/>
              </w:rPr>
              <w:fldChar w:fldCharType="begin"/>
            </w:r>
            <w:r w:rsidRPr="00B10593">
              <w:rPr>
                <w:rFonts w:ascii="Arial" w:hAnsi="Arial" w:cs="Arial"/>
                <w:bCs w:val="0"/>
                <w:color w:val="auto"/>
                <w:sz w:val="16"/>
                <w:szCs w:val="16"/>
              </w:rPr>
              <w:instrText xml:space="preserve"> SEQ Figura_4. \* ARABIC </w:instrText>
            </w:r>
            <w:r w:rsidR="00990535" w:rsidRPr="00B10593">
              <w:rPr>
                <w:rFonts w:ascii="Arial" w:hAnsi="Arial" w:cs="Arial"/>
                <w:bCs w:val="0"/>
                <w:color w:val="auto"/>
                <w:sz w:val="16"/>
                <w:szCs w:val="16"/>
              </w:rPr>
              <w:fldChar w:fldCharType="separate"/>
            </w:r>
            <w:r w:rsidR="00A242E0">
              <w:rPr>
                <w:rFonts w:ascii="Arial" w:hAnsi="Arial" w:cs="Arial"/>
                <w:bCs w:val="0"/>
                <w:noProof/>
                <w:color w:val="auto"/>
                <w:sz w:val="16"/>
                <w:szCs w:val="16"/>
              </w:rPr>
              <w:t>97</w:t>
            </w:r>
            <w:bookmarkEnd w:id="709"/>
            <w:r w:rsidR="00990535" w:rsidRPr="00B10593">
              <w:rPr>
                <w:rFonts w:ascii="Arial" w:hAnsi="Arial" w:cs="Arial"/>
                <w:bCs w:val="0"/>
                <w:color w:val="auto"/>
                <w:sz w:val="16"/>
                <w:szCs w:val="16"/>
              </w:rPr>
              <w:fldChar w:fldCharType="end"/>
            </w:r>
          </w:p>
          <w:p w:rsidR="005B0512" w:rsidRPr="00016219" w:rsidRDefault="005B0512" w:rsidP="005B0512">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Frecuencia Relativa de los </w:t>
            </w:r>
            <w:r>
              <w:rPr>
                <w:rFonts w:ascii="Arial" w:hAnsi="Arial" w:cs="Arial"/>
                <w:b/>
                <w:i/>
                <w:sz w:val="16"/>
                <w:szCs w:val="16"/>
              </w:rPr>
              <w:t>españoles</w:t>
            </w:r>
            <w:r w:rsidRPr="00016219">
              <w:rPr>
                <w:rFonts w:ascii="Arial" w:hAnsi="Arial" w:cs="Arial"/>
                <w:i/>
                <w:sz w:val="16"/>
                <w:szCs w:val="16"/>
              </w:rPr>
              <w:t xml:space="preserve"> que han utilizado Teléfono Celular, </w:t>
            </w:r>
          </w:p>
          <w:p w:rsidR="00361FCE" w:rsidRDefault="005B0512" w:rsidP="005B0512">
            <w:pPr>
              <w:rPr>
                <w:rFonts w:ascii="Arial" w:hAnsi="Arial" w:cs="Arial"/>
                <w:i/>
                <w:sz w:val="16"/>
                <w:szCs w:val="16"/>
              </w:rPr>
            </w:pPr>
            <w:r w:rsidRPr="00016219">
              <w:rPr>
                <w:rFonts w:ascii="Arial" w:hAnsi="Arial" w:cs="Arial"/>
                <w:i/>
                <w:sz w:val="16"/>
                <w:szCs w:val="16"/>
              </w:rPr>
              <w:t>Internet o Computadora en los últimos seis meses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441"/>
              <w:gridCol w:w="2441"/>
              <w:gridCol w:w="2441"/>
            </w:tblGrid>
            <w:tr w:rsidR="00A60806" w:rsidTr="00A60806">
              <w:trPr>
                <w:jc w:val="center"/>
              </w:trPr>
              <w:tc>
                <w:tcPr>
                  <w:tcW w:w="2441" w:type="dxa"/>
                </w:tcPr>
                <w:p w:rsidR="00A60806" w:rsidRDefault="00A60806" w:rsidP="00577B5A">
                  <w:pPr>
                    <w:rPr>
                      <w:rFonts w:ascii="Arial" w:hAnsi="Arial" w:cs="Arial"/>
                      <w:i/>
                      <w:sz w:val="16"/>
                      <w:szCs w:val="16"/>
                    </w:rPr>
                  </w:pPr>
                  <w:r>
                    <w:rPr>
                      <w:rFonts w:ascii="Arial" w:hAnsi="Arial" w:cs="Arial"/>
                      <w:i/>
                      <w:sz w:val="16"/>
                      <w:szCs w:val="16"/>
                    </w:rPr>
                    <w:t>“</w:t>
                  </w:r>
                  <w:r>
                    <w:rPr>
                      <w:rFonts w:ascii="Arial" w:hAnsi="Arial" w:cs="Arial"/>
                      <w:b/>
                      <w:i/>
                      <w:sz w:val="16"/>
                      <w:szCs w:val="16"/>
                    </w:rPr>
                    <w:t>Teléfono Celular</w:t>
                  </w:r>
                  <w:r>
                    <w:rPr>
                      <w:rFonts w:ascii="Arial" w:hAnsi="Arial" w:cs="Arial"/>
                      <w:i/>
                      <w:sz w:val="16"/>
                      <w:szCs w:val="16"/>
                    </w:rPr>
                    <w:t>”</w:t>
                  </w:r>
                </w:p>
                <w:p w:rsidR="00A60806" w:rsidRDefault="00A60806" w:rsidP="00577B5A">
                  <w:pPr>
                    <w:rPr>
                      <w:rFonts w:ascii="Arial" w:hAnsi="Arial" w:cs="Arial"/>
                      <w:i/>
                      <w:sz w:val="16"/>
                      <w:szCs w:val="16"/>
                    </w:rPr>
                  </w:pPr>
                  <w:r>
                    <w:rPr>
                      <w:noProof/>
                      <w:lang w:eastAsia="es-EC"/>
                    </w:rPr>
                    <w:drawing>
                      <wp:inline distT="0" distB="0" distL="0" distR="0" wp14:anchorId="47D6226D" wp14:editId="7CF389A8">
                        <wp:extent cx="1440000" cy="1368000"/>
                        <wp:effectExtent l="0" t="0" r="0" b="0"/>
                        <wp:docPr id="375" name="Gráfico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c>
              <w:tc>
                <w:tcPr>
                  <w:tcW w:w="2441" w:type="dxa"/>
                </w:tcPr>
                <w:p w:rsidR="00A60806" w:rsidRDefault="00A60806" w:rsidP="00577B5A">
                  <w:pPr>
                    <w:rPr>
                      <w:rFonts w:ascii="Arial" w:hAnsi="Arial" w:cs="Arial"/>
                      <w:i/>
                      <w:sz w:val="16"/>
                      <w:szCs w:val="16"/>
                    </w:rPr>
                  </w:pPr>
                  <w:r>
                    <w:rPr>
                      <w:rFonts w:ascii="Arial" w:hAnsi="Arial" w:cs="Arial"/>
                      <w:i/>
                      <w:sz w:val="16"/>
                      <w:szCs w:val="16"/>
                    </w:rPr>
                    <w:t>“</w:t>
                  </w:r>
                  <w:r>
                    <w:rPr>
                      <w:rFonts w:ascii="Arial" w:hAnsi="Arial" w:cs="Arial"/>
                      <w:b/>
                      <w:i/>
                      <w:sz w:val="16"/>
                      <w:szCs w:val="16"/>
                    </w:rPr>
                    <w:t>Internet</w:t>
                  </w:r>
                  <w:r>
                    <w:rPr>
                      <w:rFonts w:ascii="Arial" w:hAnsi="Arial" w:cs="Arial"/>
                      <w:i/>
                      <w:sz w:val="16"/>
                      <w:szCs w:val="16"/>
                    </w:rPr>
                    <w:t>”</w:t>
                  </w:r>
                </w:p>
                <w:p w:rsidR="00A60806" w:rsidRDefault="00A60806" w:rsidP="00577B5A">
                  <w:pPr>
                    <w:rPr>
                      <w:rFonts w:ascii="Arial" w:hAnsi="Arial" w:cs="Arial"/>
                      <w:i/>
                      <w:sz w:val="16"/>
                      <w:szCs w:val="16"/>
                    </w:rPr>
                  </w:pPr>
                  <w:r>
                    <w:rPr>
                      <w:noProof/>
                      <w:lang w:eastAsia="es-EC"/>
                    </w:rPr>
                    <w:drawing>
                      <wp:inline distT="0" distB="0" distL="0" distR="0" wp14:anchorId="25F4FEF9" wp14:editId="42E6638F">
                        <wp:extent cx="1440000" cy="1368000"/>
                        <wp:effectExtent l="0" t="0" r="0" b="0"/>
                        <wp:docPr id="376" name="Gráfico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c>
              <w:tc>
                <w:tcPr>
                  <w:tcW w:w="2268" w:type="dxa"/>
                </w:tcPr>
                <w:p w:rsidR="00A60806" w:rsidRDefault="00A60806" w:rsidP="00577B5A">
                  <w:pPr>
                    <w:rPr>
                      <w:rFonts w:ascii="Arial" w:hAnsi="Arial" w:cs="Arial"/>
                      <w:i/>
                      <w:sz w:val="16"/>
                      <w:szCs w:val="16"/>
                    </w:rPr>
                  </w:pPr>
                  <w:r>
                    <w:rPr>
                      <w:rFonts w:ascii="Arial" w:hAnsi="Arial" w:cs="Arial"/>
                      <w:i/>
                      <w:sz w:val="16"/>
                      <w:szCs w:val="16"/>
                    </w:rPr>
                    <w:t>“</w:t>
                  </w:r>
                  <w:r>
                    <w:rPr>
                      <w:rFonts w:ascii="Arial" w:hAnsi="Arial" w:cs="Arial"/>
                      <w:b/>
                      <w:i/>
                      <w:sz w:val="16"/>
                      <w:szCs w:val="16"/>
                    </w:rPr>
                    <w:t>Computadora</w:t>
                  </w:r>
                  <w:r>
                    <w:rPr>
                      <w:rFonts w:ascii="Arial" w:hAnsi="Arial" w:cs="Arial"/>
                      <w:i/>
                      <w:sz w:val="16"/>
                      <w:szCs w:val="16"/>
                    </w:rPr>
                    <w:t>”</w:t>
                  </w:r>
                </w:p>
                <w:p w:rsidR="00A60806" w:rsidRDefault="00A60806" w:rsidP="00577B5A">
                  <w:pPr>
                    <w:rPr>
                      <w:rFonts w:ascii="Arial" w:hAnsi="Arial" w:cs="Arial"/>
                      <w:i/>
                      <w:sz w:val="16"/>
                      <w:szCs w:val="16"/>
                    </w:rPr>
                  </w:pPr>
                  <w:r>
                    <w:rPr>
                      <w:noProof/>
                      <w:lang w:eastAsia="es-EC"/>
                    </w:rPr>
                    <w:drawing>
                      <wp:inline distT="0" distB="0" distL="0" distR="0" wp14:anchorId="1B863B45" wp14:editId="079C8323">
                        <wp:extent cx="1440000" cy="1368000"/>
                        <wp:effectExtent l="0" t="0" r="0" b="0"/>
                        <wp:docPr id="377" name="Gráfico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c>
            </w:tr>
          </w:tbl>
          <w:p w:rsidR="00361FCE" w:rsidRPr="0078148C" w:rsidRDefault="00361FCE" w:rsidP="00902050">
            <w:pPr>
              <w:rPr>
                <w:rFonts w:ascii="Arial" w:hAnsi="Arial" w:cs="Arial"/>
                <w:i/>
                <w:sz w:val="16"/>
                <w:szCs w:val="16"/>
              </w:rPr>
            </w:pPr>
          </w:p>
        </w:tc>
      </w:tr>
    </w:tbl>
    <w:p w:rsidR="00A60806" w:rsidRPr="00A60806" w:rsidRDefault="00A60806" w:rsidP="005B0512">
      <w:pPr>
        <w:pStyle w:val="Prrafodelista"/>
        <w:spacing w:line="276" w:lineRule="auto"/>
        <w:ind w:left="851"/>
        <w:jc w:val="both"/>
        <w:rPr>
          <w:rFonts w:ascii="Arial" w:hAnsi="Arial" w:cs="Arial"/>
          <w:sz w:val="17"/>
          <w:szCs w:val="17"/>
        </w:rPr>
      </w:pPr>
    </w:p>
    <w:p w:rsidR="00361FCE" w:rsidRPr="005B0512" w:rsidRDefault="00361FCE" w:rsidP="005B0512">
      <w:pPr>
        <w:pStyle w:val="Prrafodelista"/>
        <w:spacing w:line="276" w:lineRule="auto"/>
        <w:ind w:left="851"/>
        <w:jc w:val="both"/>
        <w:rPr>
          <w:rFonts w:ascii="Arial" w:hAnsi="Arial" w:cs="Arial"/>
          <w:sz w:val="17"/>
          <w:szCs w:val="17"/>
        </w:rPr>
      </w:pPr>
      <w:r w:rsidRPr="005B0512">
        <w:rPr>
          <w:rFonts w:ascii="Arial" w:hAnsi="Arial" w:cs="Arial"/>
          <w:b/>
          <w:i/>
          <w:sz w:val="17"/>
          <w:szCs w:val="17"/>
        </w:rPr>
        <w:t>Fuente:</w:t>
      </w:r>
      <w:r w:rsidRPr="005B0512">
        <w:rPr>
          <w:rFonts w:ascii="Arial" w:hAnsi="Arial" w:cs="Arial"/>
          <w:sz w:val="17"/>
          <w:szCs w:val="17"/>
        </w:rPr>
        <w:t xml:space="preserve"> </w:t>
      </w:r>
      <w:r w:rsidRPr="005B0512">
        <w:rPr>
          <w:rFonts w:ascii="Arial" w:hAnsi="Arial" w:cs="Arial"/>
          <w:b/>
          <w:sz w:val="17"/>
          <w:szCs w:val="17"/>
        </w:rPr>
        <w:t xml:space="preserve">INEC </w:t>
      </w:r>
      <w:r w:rsidRPr="005B0512">
        <w:rPr>
          <w:rFonts w:ascii="Arial" w:hAnsi="Arial" w:cs="Arial"/>
          <w:sz w:val="17"/>
          <w:szCs w:val="17"/>
        </w:rPr>
        <w:t>(2010), Base de Datos del VII Censo de Población y VI de Vivienda.</w:t>
      </w:r>
    </w:p>
    <w:p w:rsidR="00361FCE" w:rsidRPr="005B0512" w:rsidRDefault="00361FCE" w:rsidP="005B0512">
      <w:pPr>
        <w:pStyle w:val="Prrafodelista"/>
        <w:spacing w:line="276" w:lineRule="auto"/>
        <w:ind w:left="851"/>
        <w:jc w:val="both"/>
        <w:rPr>
          <w:rFonts w:ascii="Arial" w:hAnsi="Arial" w:cs="Arial"/>
          <w:sz w:val="17"/>
          <w:szCs w:val="17"/>
        </w:rPr>
      </w:pPr>
      <w:r w:rsidRPr="005B0512">
        <w:rPr>
          <w:rFonts w:ascii="Arial" w:hAnsi="Arial" w:cs="Arial"/>
          <w:b/>
          <w:i/>
          <w:sz w:val="17"/>
          <w:szCs w:val="17"/>
        </w:rPr>
        <w:t>Elaborado por:</w:t>
      </w:r>
      <w:r w:rsidRPr="005B0512">
        <w:rPr>
          <w:rFonts w:ascii="Arial" w:hAnsi="Arial" w:cs="Arial"/>
          <w:sz w:val="17"/>
          <w:szCs w:val="17"/>
        </w:rPr>
        <w:t xml:space="preserve"> Katherine Loor Valeriano</w:t>
      </w:r>
    </w:p>
    <w:p w:rsidR="00361FCE" w:rsidRDefault="00361FCE" w:rsidP="00A60806">
      <w:pPr>
        <w:pStyle w:val="Estilo42"/>
        <w:ind w:left="1701" w:hanging="850"/>
      </w:pPr>
      <w:bookmarkStart w:id="710" w:name="_Toc337135568"/>
      <w:bookmarkStart w:id="711" w:name="_Toc341040718"/>
      <w:r>
        <w:t>Población española económicamente activa</w:t>
      </w:r>
      <w:bookmarkEnd w:id="710"/>
      <w:bookmarkEnd w:id="711"/>
    </w:p>
    <w:p w:rsidR="00361FCE" w:rsidRPr="0013461D" w:rsidRDefault="00361FCE" w:rsidP="00A60806">
      <w:pPr>
        <w:pStyle w:val="Prrafodelista"/>
        <w:spacing w:line="480" w:lineRule="auto"/>
        <w:ind w:left="851"/>
        <w:jc w:val="both"/>
        <w:rPr>
          <w:rFonts w:ascii="Arial" w:hAnsi="Arial" w:cs="Arial"/>
        </w:rPr>
      </w:pPr>
      <w:r>
        <w:rPr>
          <w:rFonts w:ascii="Arial" w:hAnsi="Arial" w:cs="Arial"/>
        </w:rPr>
        <w:t xml:space="preserve">A mas de analizar las características sociodemográficas y la distribución espacial de esta población, ahora nos enfocaremos en conocer la estructura económica de ellos, el trabajo que desempeñan y el cargo que ocupan en el país. En la </w:t>
      </w:r>
      <w:r>
        <w:rPr>
          <w:rFonts w:ascii="Arial" w:hAnsi="Arial" w:cs="Arial"/>
          <w:i/>
        </w:rPr>
        <w:t>Figura 4.98</w:t>
      </w:r>
      <w:r>
        <w:rPr>
          <w:rFonts w:ascii="Arial" w:hAnsi="Arial" w:cs="Arial"/>
        </w:rPr>
        <w:t xml:space="preserve">, se presentan los totales de la población tanto económicamente activa como inactiva; además recordemos que el total de españoles que fueron registrados como residentes habituales a noviembre de 2010 en Ecuador son 13993; de los cuales el 23.19% están en edad de trabajar es decir son mayores de 10 años, de estos últimos el 47.55% trabajan o están buscando empleo y el 52.45% en cambio forman parte de la población económicamente inactiva.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A60806">
        <w:trPr>
          <w:trHeight w:val="2541"/>
          <w:jc w:val="right"/>
        </w:trPr>
        <w:tc>
          <w:tcPr>
            <w:tcW w:w="7497" w:type="dxa"/>
          </w:tcPr>
          <w:p w:rsidR="00361FCE" w:rsidRDefault="00361FCE" w:rsidP="00902050">
            <w:pPr>
              <w:rPr>
                <w:rFonts w:ascii="Arial" w:hAnsi="Arial" w:cs="Arial"/>
                <w:b/>
                <w:sz w:val="16"/>
                <w:szCs w:val="16"/>
              </w:rPr>
            </w:pPr>
          </w:p>
          <w:p w:rsidR="00B10593" w:rsidRPr="00B10593" w:rsidRDefault="00B10593" w:rsidP="00B10593">
            <w:pPr>
              <w:pStyle w:val="Epgrafe"/>
              <w:rPr>
                <w:rFonts w:ascii="Arial" w:hAnsi="Arial" w:cs="Arial"/>
                <w:bCs w:val="0"/>
                <w:color w:val="auto"/>
                <w:sz w:val="16"/>
                <w:szCs w:val="16"/>
              </w:rPr>
            </w:pPr>
            <w:bookmarkStart w:id="712" w:name="_Toc341044070"/>
            <w:r>
              <w:rPr>
                <w:rFonts w:ascii="Arial" w:hAnsi="Arial" w:cs="Arial"/>
                <w:bCs w:val="0"/>
                <w:color w:val="auto"/>
                <w:sz w:val="16"/>
                <w:szCs w:val="16"/>
              </w:rPr>
              <w:t>Figura 4.</w:t>
            </w:r>
            <w:r w:rsidR="00990535" w:rsidRPr="00B10593">
              <w:rPr>
                <w:rFonts w:ascii="Arial" w:hAnsi="Arial" w:cs="Arial"/>
                <w:bCs w:val="0"/>
                <w:color w:val="auto"/>
                <w:sz w:val="16"/>
                <w:szCs w:val="16"/>
              </w:rPr>
              <w:fldChar w:fldCharType="begin"/>
            </w:r>
            <w:r w:rsidRPr="00B10593">
              <w:rPr>
                <w:rFonts w:ascii="Arial" w:hAnsi="Arial" w:cs="Arial"/>
                <w:bCs w:val="0"/>
                <w:color w:val="auto"/>
                <w:sz w:val="16"/>
                <w:szCs w:val="16"/>
              </w:rPr>
              <w:instrText xml:space="preserve"> SEQ Figura_4. \* ARABIC </w:instrText>
            </w:r>
            <w:r w:rsidR="00990535" w:rsidRPr="00B10593">
              <w:rPr>
                <w:rFonts w:ascii="Arial" w:hAnsi="Arial" w:cs="Arial"/>
                <w:bCs w:val="0"/>
                <w:color w:val="auto"/>
                <w:sz w:val="16"/>
                <w:szCs w:val="16"/>
              </w:rPr>
              <w:fldChar w:fldCharType="separate"/>
            </w:r>
            <w:r w:rsidR="00A242E0">
              <w:rPr>
                <w:rFonts w:ascii="Arial" w:hAnsi="Arial" w:cs="Arial"/>
                <w:bCs w:val="0"/>
                <w:noProof/>
                <w:color w:val="auto"/>
                <w:sz w:val="16"/>
                <w:szCs w:val="16"/>
              </w:rPr>
              <w:t>98</w:t>
            </w:r>
            <w:bookmarkEnd w:id="712"/>
            <w:r w:rsidR="00990535" w:rsidRPr="00B10593">
              <w:rPr>
                <w:rFonts w:ascii="Arial" w:hAnsi="Arial" w:cs="Arial"/>
                <w:bCs w:val="0"/>
                <w:color w:val="auto"/>
                <w:sz w:val="16"/>
                <w:szCs w:val="16"/>
              </w:rPr>
              <w:fldChar w:fldCharType="end"/>
            </w:r>
          </w:p>
          <w:p w:rsidR="00361FCE" w:rsidRDefault="00A60806"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Población </w:t>
            </w:r>
            <w:r>
              <w:rPr>
                <w:rFonts w:ascii="Arial" w:hAnsi="Arial" w:cs="Arial"/>
                <w:b/>
                <w:i/>
                <w:sz w:val="16"/>
                <w:szCs w:val="16"/>
              </w:rPr>
              <w:t>española</w:t>
            </w:r>
            <w:r w:rsidRPr="00016219">
              <w:rPr>
                <w:rFonts w:ascii="Arial" w:hAnsi="Arial" w:cs="Arial"/>
                <w:i/>
                <w:sz w:val="16"/>
                <w:szCs w:val="16"/>
              </w:rPr>
              <w:t xml:space="preserve"> Económicamente Activa e Inactiva residente en el país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829"/>
              <w:gridCol w:w="2528"/>
            </w:tblGrid>
            <w:tr w:rsidR="00361FCE" w:rsidTr="00A60806">
              <w:tc>
                <w:tcPr>
                  <w:tcW w:w="4829" w:type="dxa"/>
                </w:tcPr>
                <w:p w:rsidR="00361FCE" w:rsidRDefault="00361FCE" w:rsidP="00902050">
                  <w:pPr>
                    <w:rPr>
                      <w:rFonts w:ascii="Arial" w:hAnsi="Arial" w:cs="Arial"/>
                      <w:i/>
                      <w:sz w:val="16"/>
                      <w:szCs w:val="16"/>
                    </w:rPr>
                  </w:pPr>
                  <w:r>
                    <w:rPr>
                      <w:noProof/>
                      <w:lang w:eastAsia="es-EC"/>
                    </w:rPr>
                    <w:drawing>
                      <wp:inline distT="0" distB="0" distL="0" distR="0" wp14:anchorId="4082D680" wp14:editId="766BCE94">
                        <wp:extent cx="2790825" cy="1260000"/>
                        <wp:effectExtent l="0" t="0" r="0" b="0"/>
                        <wp:docPr id="379" name="Gráfico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c>
              <w:tc>
                <w:tcPr>
                  <w:tcW w:w="2528" w:type="dxa"/>
                </w:tcPr>
                <w:p w:rsidR="00361FCE" w:rsidRPr="001D69EA" w:rsidRDefault="00361FCE" w:rsidP="00902050">
                  <w:pPr>
                    <w:rPr>
                      <w:rFonts w:ascii="Arial" w:hAnsi="Arial" w:cs="Arial"/>
                      <w:i/>
                      <w:sz w:val="6"/>
                      <w:szCs w:val="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tblGrid>
                  <w:tr w:rsidR="00361FCE" w:rsidTr="00902050">
                    <w:trPr>
                      <w:trHeight w:val="340"/>
                    </w:trPr>
                    <w:tc>
                      <w:tcPr>
                        <w:tcW w:w="2619" w:type="dxa"/>
                        <w:vAlign w:val="center"/>
                      </w:tcPr>
                      <w:p w:rsidR="00361FCE" w:rsidRPr="0058758E" w:rsidRDefault="00436907" w:rsidP="00902050">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25" style="width:7.1pt;height:7.15pt;mso-left-percent:-10001;mso-top-percent:-10001;mso-position-horizontal:absolute;mso-position-horizontal-relative:char;mso-position-vertical:absolute;mso-position-vertical-relative:line;mso-left-percent:-10001;mso-top-percent:-10001" fillcolor="#fc0" stroked="f">
                              <w10:wrap type="none"/>
                              <w10:anchorlock/>
                            </v:rect>
                          </w:pict>
                        </w:r>
                        <w:r w:rsidR="00361FCE">
                          <w:rPr>
                            <w:rFonts w:ascii="Arial" w:hAnsi="Arial" w:cs="Arial"/>
                            <w:sz w:val="16"/>
                            <w:szCs w:val="16"/>
                          </w:rPr>
                          <w:t xml:space="preserve"> </w:t>
                        </w:r>
                        <w:r w:rsidR="00361FCE" w:rsidRPr="0058758E">
                          <w:rPr>
                            <w:rFonts w:ascii="Arial" w:hAnsi="Arial" w:cs="Arial"/>
                            <w:sz w:val="16"/>
                            <w:szCs w:val="16"/>
                          </w:rPr>
                          <w:t>Población Extranjera Total</w:t>
                        </w:r>
                      </w:p>
                    </w:tc>
                  </w:tr>
                  <w:tr w:rsidR="00361FCE" w:rsidTr="00902050">
                    <w:trPr>
                      <w:trHeight w:val="510"/>
                    </w:trPr>
                    <w:tc>
                      <w:tcPr>
                        <w:tcW w:w="2619" w:type="dxa"/>
                        <w:vAlign w:val="center"/>
                      </w:tcPr>
                      <w:p w:rsidR="00361FCE" w:rsidRPr="0058758E" w:rsidRDefault="00436907" w:rsidP="00902050">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24" style="width:7.1pt;height:7.15pt;mso-left-percent:-10001;mso-top-percent:-10001;mso-position-horizontal:absolute;mso-position-horizontal-relative:char;mso-position-vertical:absolute;mso-position-vertical-relative:line;mso-left-percent:-10001;mso-top-percent:-10001" fillcolor="#e36c0a [2409]" stroked="f">
                              <w10:wrap type="none"/>
                              <w10:anchorlock/>
                            </v:rect>
                          </w:pict>
                        </w:r>
                        <w:r w:rsidR="00361FCE">
                          <w:rPr>
                            <w:rFonts w:ascii="Arial" w:hAnsi="Arial" w:cs="Arial"/>
                            <w:sz w:val="16"/>
                            <w:szCs w:val="16"/>
                          </w:rPr>
                          <w:t xml:space="preserve"> </w:t>
                        </w:r>
                        <w:r w:rsidR="00361FCE" w:rsidRPr="0058758E">
                          <w:rPr>
                            <w:rFonts w:ascii="Arial" w:hAnsi="Arial" w:cs="Arial"/>
                            <w:sz w:val="16"/>
                            <w:szCs w:val="16"/>
                          </w:rPr>
                          <w:t>Población en Edad de Trabajar</w:t>
                        </w:r>
                      </w:p>
                    </w:tc>
                  </w:tr>
                  <w:tr w:rsidR="00361FCE" w:rsidTr="00902050">
                    <w:trPr>
                      <w:trHeight w:val="510"/>
                    </w:trPr>
                    <w:tc>
                      <w:tcPr>
                        <w:tcW w:w="2619" w:type="dxa"/>
                        <w:vAlign w:val="center"/>
                      </w:tcPr>
                      <w:p w:rsidR="00361FCE" w:rsidRPr="0058758E" w:rsidRDefault="00436907" w:rsidP="00902050">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23" style="width:7.1pt;height:7.15pt;mso-left-percent:-10001;mso-top-percent:-10001;mso-position-horizontal:absolute;mso-position-horizontal-relative:char;mso-position-vertical:absolute;mso-position-vertical-relative:line;mso-left-percent:-10001;mso-top-percent:-10001" fillcolor="fuchsia" stroked="f">
                              <w10:wrap type="none"/>
                              <w10:anchorlock/>
                            </v:rect>
                          </w:pict>
                        </w:r>
                        <w:r w:rsidR="00361FCE">
                          <w:rPr>
                            <w:rFonts w:ascii="Arial" w:hAnsi="Arial" w:cs="Arial"/>
                            <w:sz w:val="16"/>
                            <w:szCs w:val="16"/>
                          </w:rPr>
                          <w:t xml:space="preserve"> </w:t>
                        </w:r>
                        <w:r w:rsidR="00361FCE" w:rsidRPr="0058758E">
                          <w:rPr>
                            <w:rFonts w:ascii="Arial" w:hAnsi="Arial" w:cs="Arial"/>
                            <w:sz w:val="16"/>
                            <w:szCs w:val="16"/>
                          </w:rPr>
                          <w:t>Población Económicamente Activa</w:t>
                        </w:r>
                      </w:p>
                    </w:tc>
                  </w:tr>
                  <w:tr w:rsidR="00361FCE" w:rsidTr="00902050">
                    <w:trPr>
                      <w:trHeight w:val="510"/>
                    </w:trPr>
                    <w:tc>
                      <w:tcPr>
                        <w:tcW w:w="2619" w:type="dxa"/>
                        <w:vAlign w:val="center"/>
                      </w:tcPr>
                      <w:p w:rsidR="00361FCE" w:rsidRPr="0058758E" w:rsidRDefault="00436907" w:rsidP="00902050">
                        <w:pPr>
                          <w:jc w:val="left"/>
                          <w:rPr>
                            <w:rFonts w:ascii="Arial" w:hAnsi="Arial" w:cs="Arial"/>
                            <w:sz w:val="16"/>
                            <w:szCs w:val="16"/>
                          </w:rPr>
                        </w:pPr>
                        <w:r>
                          <w:rPr>
                            <w:rFonts w:ascii="Arial" w:hAnsi="Arial" w:cs="Arial"/>
                            <w:sz w:val="16"/>
                            <w:szCs w:val="16"/>
                          </w:rPr>
                        </w:r>
                        <w:r>
                          <w:rPr>
                            <w:rFonts w:ascii="Arial" w:hAnsi="Arial" w:cs="Arial"/>
                            <w:sz w:val="16"/>
                            <w:szCs w:val="16"/>
                          </w:rPr>
                          <w:pict>
                            <v:rect id="_x0000_s2422" style="width:7.1pt;height:7.15pt;mso-left-percent:-10001;mso-top-percent:-10001;mso-position-horizontal:absolute;mso-position-horizontal-relative:char;mso-position-vertical:absolute;mso-position-vertical-relative:line;mso-left-percent:-10001;mso-top-percent:-10001" fillcolor="#00b0f0" stroked="f">
                              <w10:wrap type="none"/>
                              <w10:anchorlock/>
                            </v:rect>
                          </w:pict>
                        </w:r>
                        <w:r w:rsidR="00361FCE">
                          <w:rPr>
                            <w:rFonts w:ascii="Arial" w:hAnsi="Arial" w:cs="Arial"/>
                            <w:sz w:val="16"/>
                            <w:szCs w:val="16"/>
                          </w:rPr>
                          <w:t xml:space="preserve"> </w:t>
                        </w:r>
                        <w:r w:rsidR="00361FCE" w:rsidRPr="0058758E">
                          <w:rPr>
                            <w:rFonts w:ascii="Arial" w:hAnsi="Arial" w:cs="Arial"/>
                            <w:sz w:val="16"/>
                            <w:szCs w:val="16"/>
                          </w:rPr>
                          <w:t>Población Económicamente Inactiva</w:t>
                        </w:r>
                      </w:p>
                    </w:tc>
                  </w:tr>
                </w:tbl>
                <w:p w:rsidR="00361FCE" w:rsidRDefault="00361FCE" w:rsidP="00902050">
                  <w:pPr>
                    <w:rPr>
                      <w:rFonts w:ascii="Arial" w:hAnsi="Arial" w:cs="Arial"/>
                      <w:i/>
                      <w:sz w:val="16"/>
                      <w:szCs w:val="16"/>
                    </w:rPr>
                  </w:pPr>
                </w:p>
              </w:tc>
            </w:tr>
          </w:tbl>
          <w:p w:rsidR="00361FCE" w:rsidRPr="0078148C" w:rsidRDefault="00361FCE" w:rsidP="00902050">
            <w:pPr>
              <w:jc w:val="left"/>
              <w:rPr>
                <w:rFonts w:ascii="Arial" w:hAnsi="Arial" w:cs="Arial"/>
                <w:i/>
                <w:sz w:val="16"/>
                <w:szCs w:val="16"/>
              </w:rPr>
            </w:pPr>
          </w:p>
        </w:tc>
      </w:tr>
    </w:tbl>
    <w:p w:rsidR="00361FCE" w:rsidRPr="00A60806" w:rsidRDefault="00361FCE" w:rsidP="00A60806">
      <w:pPr>
        <w:pStyle w:val="Prrafodelista"/>
        <w:spacing w:line="276" w:lineRule="auto"/>
        <w:ind w:left="851"/>
        <w:jc w:val="both"/>
        <w:rPr>
          <w:rFonts w:ascii="Arial" w:hAnsi="Arial" w:cs="Arial"/>
          <w:sz w:val="17"/>
          <w:szCs w:val="17"/>
        </w:rPr>
      </w:pPr>
    </w:p>
    <w:p w:rsidR="00361FCE" w:rsidRPr="00A60806" w:rsidRDefault="00361FCE" w:rsidP="00A60806">
      <w:pPr>
        <w:pStyle w:val="Prrafodelista"/>
        <w:spacing w:line="276" w:lineRule="auto"/>
        <w:ind w:left="851"/>
        <w:jc w:val="both"/>
        <w:rPr>
          <w:rFonts w:ascii="Arial" w:hAnsi="Arial" w:cs="Arial"/>
          <w:sz w:val="17"/>
          <w:szCs w:val="17"/>
        </w:rPr>
      </w:pPr>
      <w:r w:rsidRPr="00A60806">
        <w:rPr>
          <w:rFonts w:ascii="Arial" w:hAnsi="Arial" w:cs="Arial"/>
          <w:b/>
          <w:i/>
          <w:sz w:val="17"/>
          <w:szCs w:val="17"/>
        </w:rPr>
        <w:t>Fuente:</w:t>
      </w:r>
      <w:r w:rsidRPr="00A60806">
        <w:rPr>
          <w:rFonts w:ascii="Arial" w:hAnsi="Arial" w:cs="Arial"/>
          <w:sz w:val="17"/>
          <w:szCs w:val="17"/>
        </w:rPr>
        <w:t xml:space="preserve"> </w:t>
      </w:r>
      <w:r w:rsidRPr="00A60806">
        <w:rPr>
          <w:rFonts w:ascii="Arial" w:hAnsi="Arial" w:cs="Arial"/>
          <w:b/>
          <w:sz w:val="17"/>
          <w:szCs w:val="17"/>
        </w:rPr>
        <w:t xml:space="preserve">INEC </w:t>
      </w:r>
      <w:r w:rsidRPr="00A60806">
        <w:rPr>
          <w:rFonts w:ascii="Arial" w:hAnsi="Arial" w:cs="Arial"/>
          <w:sz w:val="17"/>
          <w:szCs w:val="17"/>
        </w:rPr>
        <w:t>(2010), Base de Datos del VII Censo de Población y VI de Vivienda.</w:t>
      </w:r>
    </w:p>
    <w:p w:rsidR="00361FCE" w:rsidRDefault="00361FCE" w:rsidP="00A60806">
      <w:pPr>
        <w:pStyle w:val="Prrafodelista"/>
        <w:spacing w:line="276" w:lineRule="auto"/>
        <w:ind w:left="851"/>
        <w:jc w:val="both"/>
        <w:rPr>
          <w:rFonts w:ascii="Arial" w:hAnsi="Arial" w:cs="Arial"/>
          <w:sz w:val="18"/>
          <w:szCs w:val="18"/>
        </w:rPr>
      </w:pPr>
      <w:r w:rsidRPr="00A60806">
        <w:rPr>
          <w:rFonts w:ascii="Arial" w:hAnsi="Arial" w:cs="Arial"/>
          <w:b/>
          <w:i/>
          <w:sz w:val="17"/>
          <w:szCs w:val="17"/>
        </w:rPr>
        <w:t>Elaborado por:</w:t>
      </w:r>
      <w:r w:rsidRPr="00A60806">
        <w:rPr>
          <w:rFonts w:ascii="Arial" w:hAnsi="Arial" w:cs="Arial"/>
          <w:sz w:val="17"/>
          <w:szCs w:val="17"/>
        </w:rPr>
        <w:t xml:space="preserve"> Katherine Loor Valeriano</w:t>
      </w:r>
    </w:p>
    <w:p w:rsidR="00361FCE" w:rsidRDefault="00361FCE" w:rsidP="00A60806">
      <w:pPr>
        <w:pStyle w:val="Prrafodelista"/>
        <w:spacing w:line="480" w:lineRule="auto"/>
        <w:ind w:left="851"/>
        <w:jc w:val="both"/>
        <w:rPr>
          <w:rFonts w:ascii="Arial" w:hAnsi="Arial" w:cs="Arial"/>
        </w:rPr>
      </w:pPr>
    </w:p>
    <w:p w:rsidR="00361FCE" w:rsidRDefault="00361FCE" w:rsidP="00A60806">
      <w:pPr>
        <w:pStyle w:val="Prrafodelista"/>
        <w:spacing w:line="480" w:lineRule="auto"/>
        <w:ind w:left="851"/>
        <w:jc w:val="both"/>
        <w:rPr>
          <w:rFonts w:ascii="Arial" w:hAnsi="Arial" w:cs="Arial"/>
        </w:rPr>
      </w:pPr>
      <w:r>
        <w:rPr>
          <w:rFonts w:ascii="Arial" w:hAnsi="Arial" w:cs="Arial"/>
        </w:rPr>
        <w:t xml:space="preserve">Si ahora el análisis anterior lo realizamos por género, tenemos que hay 7369 hombres españoles que habitualmente residen en el país, de los cuales 24.63% están en edad de trabajar, de los mayores de 10 años el 55.10% forman parte de la población económicamente activa y el 44.90% no trabajan; mientras que de las 6624 mujeres de esta nacionalidad que hay en el país el 21.59% están en edad de trabajar, de las cuales el 37.97% son las que trabajan o buscan empleo. </w:t>
      </w:r>
      <w:r>
        <w:rPr>
          <w:rFonts w:ascii="Arial" w:hAnsi="Arial" w:cs="Arial"/>
          <w:i/>
        </w:rPr>
        <w:t>Véase Figura 4.99.</w:t>
      </w:r>
      <w:r>
        <w:rPr>
          <w:rFonts w:ascii="Arial" w:hAnsi="Arial" w:cs="Arial"/>
        </w:rPr>
        <w:t xml:space="preserve"> </w:t>
      </w:r>
    </w:p>
    <w:tbl>
      <w:tblPr>
        <w:tblStyle w:val="Tablaconcuadrcula"/>
        <w:tblW w:w="7527" w:type="dxa"/>
        <w:jc w:val="right"/>
        <w:tblInd w:w="114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527"/>
      </w:tblGrid>
      <w:tr w:rsidR="00361FCE" w:rsidRPr="00840530" w:rsidTr="00A60806">
        <w:trPr>
          <w:trHeight w:val="2891"/>
          <w:jc w:val="right"/>
        </w:trPr>
        <w:tc>
          <w:tcPr>
            <w:tcW w:w="7527" w:type="dxa"/>
          </w:tcPr>
          <w:p w:rsidR="00361FCE" w:rsidRDefault="00361FCE" w:rsidP="00902050">
            <w:pPr>
              <w:rPr>
                <w:rFonts w:ascii="Arial" w:hAnsi="Arial" w:cs="Arial"/>
                <w:b/>
                <w:sz w:val="16"/>
                <w:szCs w:val="16"/>
              </w:rPr>
            </w:pPr>
          </w:p>
          <w:p w:rsidR="00B10593" w:rsidRPr="00B10593" w:rsidRDefault="00B10593" w:rsidP="00B10593">
            <w:pPr>
              <w:pStyle w:val="Epgrafe"/>
              <w:rPr>
                <w:rFonts w:ascii="Arial" w:hAnsi="Arial" w:cs="Arial"/>
                <w:bCs w:val="0"/>
                <w:color w:val="auto"/>
                <w:sz w:val="16"/>
                <w:szCs w:val="16"/>
              </w:rPr>
            </w:pPr>
            <w:bookmarkStart w:id="713" w:name="_Toc341044071"/>
            <w:r>
              <w:rPr>
                <w:rFonts w:ascii="Arial" w:hAnsi="Arial" w:cs="Arial"/>
                <w:bCs w:val="0"/>
                <w:color w:val="auto"/>
                <w:sz w:val="16"/>
                <w:szCs w:val="16"/>
              </w:rPr>
              <w:t>Figura 4.</w:t>
            </w:r>
            <w:r w:rsidR="00990535" w:rsidRPr="00B10593">
              <w:rPr>
                <w:rFonts w:ascii="Arial" w:hAnsi="Arial" w:cs="Arial"/>
                <w:bCs w:val="0"/>
                <w:color w:val="auto"/>
                <w:sz w:val="16"/>
                <w:szCs w:val="16"/>
              </w:rPr>
              <w:fldChar w:fldCharType="begin"/>
            </w:r>
            <w:r w:rsidRPr="00B10593">
              <w:rPr>
                <w:rFonts w:ascii="Arial" w:hAnsi="Arial" w:cs="Arial"/>
                <w:bCs w:val="0"/>
                <w:color w:val="auto"/>
                <w:sz w:val="16"/>
                <w:szCs w:val="16"/>
              </w:rPr>
              <w:instrText xml:space="preserve"> SEQ Figura_4. \* ARABIC </w:instrText>
            </w:r>
            <w:r w:rsidR="00990535" w:rsidRPr="00B10593">
              <w:rPr>
                <w:rFonts w:ascii="Arial" w:hAnsi="Arial" w:cs="Arial"/>
                <w:bCs w:val="0"/>
                <w:color w:val="auto"/>
                <w:sz w:val="16"/>
                <w:szCs w:val="16"/>
              </w:rPr>
              <w:fldChar w:fldCharType="separate"/>
            </w:r>
            <w:r w:rsidR="00A242E0">
              <w:rPr>
                <w:rFonts w:ascii="Arial" w:hAnsi="Arial" w:cs="Arial"/>
                <w:bCs w:val="0"/>
                <w:noProof/>
                <w:color w:val="auto"/>
                <w:sz w:val="16"/>
                <w:szCs w:val="16"/>
              </w:rPr>
              <w:t>99</w:t>
            </w:r>
            <w:bookmarkEnd w:id="713"/>
            <w:r w:rsidR="00990535" w:rsidRPr="00B10593">
              <w:rPr>
                <w:rFonts w:ascii="Arial" w:hAnsi="Arial" w:cs="Arial"/>
                <w:bCs w:val="0"/>
                <w:color w:val="auto"/>
                <w:sz w:val="16"/>
                <w:szCs w:val="16"/>
              </w:rPr>
              <w:fldChar w:fldCharType="end"/>
            </w:r>
          </w:p>
          <w:p w:rsidR="00361FCE" w:rsidRDefault="00A60806"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Población </w:t>
            </w:r>
            <w:r>
              <w:rPr>
                <w:rFonts w:ascii="Arial" w:hAnsi="Arial" w:cs="Arial"/>
                <w:b/>
                <w:i/>
                <w:sz w:val="16"/>
                <w:szCs w:val="16"/>
              </w:rPr>
              <w:t>española</w:t>
            </w:r>
            <w:r w:rsidRPr="00016219">
              <w:rPr>
                <w:rFonts w:ascii="Arial" w:hAnsi="Arial" w:cs="Arial"/>
                <w:i/>
                <w:sz w:val="16"/>
                <w:szCs w:val="16"/>
              </w:rPr>
              <w:t xml:space="preserve"> Económicamente Activa e Inactiva por Género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790"/>
              <w:gridCol w:w="3597"/>
            </w:tblGrid>
            <w:tr w:rsidR="00361FCE" w:rsidTr="00A60806">
              <w:trPr>
                <w:jc w:val="center"/>
              </w:trPr>
              <w:tc>
                <w:tcPr>
                  <w:tcW w:w="3838" w:type="dxa"/>
                </w:tcPr>
                <w:p w:rsidR="00361FCE" w:rsidRDefault="00436907" w:rsidP="00902050">
                  <w:pPr>
                    <w:rPr>
                      <w:rFonts w:ascii="Arial" w:hAnsi="Arial" w:cs="Arial"/>
                      <w:i/>
                      <w:sz w:val="16"/>
                      <w:szCs w:val="16"/>
                    </w:rPr>
                  </w:pPr>
                  <w:r>
                    <w:rPr>
                      <w:noProof/>
                    </w:rPr>
                    <w:pict>
                      <v:shape id="_x0000_s1751" type="#_x0000_t202" style="position:absolute;left:0;text-align:left;margin-left:87.85pt;margin-top:10.4pt;width:62.45pt;height:16.0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LT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Mk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e+bi0y8CAABWBAAADgAAAAAAAAAAAAAAAAAuAgAAZHJz&#10;L2Uyb0RvYy54bWxQSwECLQAUAAYACAAAACEA/S8y1tsAAAAFAQAADwAAAAAAAAAAAAAAAACJBAAA&#10;ZHJzL2Rvd25yZXYueG1sUEsFBgAAAAAEAAQA8wAAAJEFAAAAAA==&#10;" filled="f" stroked="f">
                        <v:textbox style="mso-next-textbox:#_x0000_s1751">
                          <w:txbxContent>
                            <w:p w:rsidR="006933DF" w:rsidRPr="003622AA" w:rsidRDefault="006933DF" w:rsidP="00361FCE">
                              <w:pPr>
                                <w:rPr>
                                  <w:rFonts w:ascii="Arial" w:hAnsi="Arial" w:cs="Arial"/>
                                  <w:color w:val="0070C0"/>
                                  <w:sz w:val="16"/>
                                  <w:szCs w:val="16"/>
                                </w:rPr>
                              </w:pPr>
                              <w:r>
                                <w:rPr>
                                  <w:rFonts w:ascii="Arial" w:hAnsi="Arial" w:cs="Arial"/>
                                  <w:color w:val="0070C0"/>
                                  <w:sz w:val="16"/>
                                  <w:szCs w:val="16"/>
                                </w:rPr>
                                <w:t>Hombre</w:t>
                              </w:r>
                            </w:p>
                          </w:txbxContent>
                        </v:textbox>
                      </v:shape>
                    </w:pict>
                  </w:r>
                  <w:r w:rsidR="00361FCE">
                    <w:rPr>
                      <w:noProof/>
                      <w:lang w:eastAsia="es-EC"/>
                    </w:rPr>
                    <w:t xml:space="preserve"> </w:t>
                  </w:r>
                  <w:r w:rsidR="00361FCE">
                    <w:rPr>
                      <w:noProof/>
                      <w:lang w:eastAsia="es-EC"/>
                    </w:rPr>
                    <w:drawing>
                      <wp:inline distT="0" distB="0" distL="0" distR="0" wp14:anchorId="1C626757" wp14:editId="062341EF">
                        <wp:extent cx="2160000" cy="1296000"/>
                        <wp:effectExtent l="0" t="0" r="0" b="0"/>
                        <wp:docPr id="382" name="Gráfico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c>
              <w:tc>
                <w:tcPr>
                  <w:tcW w:w="3605" w:type="dxa"/>
                </w:tcPr>
                <w:p w:rsidR="00361FCE" w:rsidRDefault="00436907" w:rsidP="00902050">
                  <w:pPr>
                    <w:rPr>
                      <w:rFonts w:ascii="Arial" w:hAnsi="Arial" w:cs="Arial"/>
                      <w:i/>
                      <w:sz w:val="16"/>
                      <w:szCs w:val="16"/>
                    </w:rPr>
                  </w:pPr>
                  <w:r>
                    <w:rPr>
                      <w:rFonts w:ascii="Arial" w:hAnsi="Arial" w:cs="Arial"/>
                      <w:noProof/>
                      <w:lang w:eastAsia="es-EC"/>
                    </w:rPr>
                    <w:pict>
                      <v:shape id="_x0000_s1752" type="#_x0000_t202" style="position:absolute;left:0;text-align:left;margin-left:82.9pt;margin-top:7.4pt;width:62.45pt;height:16.05pt;z-index:251677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LT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Mk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e+bi0y8CAABWBAAADgAAAAAAAAAAAAAAAAAuAgAAZHJz&#10;L2Uyb0RvYy54bWxQSwECLQAUAAYACAAAACEA/S8y1tsAAAAFAQAADwAAAAAAAAAAAAAAAACJBAAA&#10;ZHJzL2Rvd25yZXYueG1sUEsFBgAAAAAEAAQA8wAAAJEFAAAAAA==&#10;" filled="f" stroked="f">
                        <v:textbox style="mso-next-textbox:#_x0000_s1752">
                          <w:txbxContent>
                            <w:p w:rsidR="006933DF" w:rsidRPr="003622AA" w:rsidRDefault="006933DF" w:rsidP="00361FCE">
                              <w:pPr>
                                <w:rPr>
                                  <w:rFonts w:ascii="Arial" w:hAnsi="Arial" w:cs="Arial"/>
                                  <w:color w:val="FF00FF"/>
                                  <w:sz w:val="16"/>
                                  <w:szCs w:val="16"/>
                                </w:rPr>
                              </w:pPr>
                              <w:r>
                                <w:rPr>
                                  <w:rFonts w:ascii="Arial" w:hAnsi="Arial" w:cs="Arial"/>
                                  <w:color w:val="FF00FF"/>
                                  <w:sz w:val="16"/>
                                  <w:szCs w:val="16"/>
                                </w:rPr>
                                <w:t>Mujer</w:t>
                              </w:r>
                            </w:p>
                          </w:txbxContent>
                        </v:textbox>
                      </v:shape>
                    </w:pict>
                  </w:r>
                  <w:r w:rsidR="00361FCE">
                    <w:rPr>
                      <w:noProof/>
                      <w:lang w:eastAsia="es-EC"/>
                    </w:rPr>
                    <w:t xml:space="preserve"> </w:t>
                  </w:r>
                  <w:r w:rsidR="00361FCE">
                    <w:rPr>
                      <w:noProof/>
                      <w:lang w:eastAsia="es-EC"/>
                    </w:rPr>
                    <w:drawing>
                      <wp:inline distT="0" distB="0" distL="0" distR="0" wp14:anchorId="11A532B0" wp14:editId="09963AA5">
                        <wp:extent cx="2124000" cy="1296000"/>
                        <wp:effectExtent l="0" t="0" r="0" b="0"/>
                        <wp:docPr id="383" name="Gráfico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c>
            </w:tr>
            <w:tr w:rsidR="00361FCE" w:rsidTr="00A60806">
              <w:trPr>
                <w:jc w:val="center"/>
              </w:trPr>
              <w:tc>
                <w:tcPr>
                  <w:tcW w:w="7443" w:type="dxa"/>
                  <w:gridSpan w:val="2"/>
                </w:tcPr>
                <w:tbl>
                  <w:tblPr>
                    <w:tblStyle w:val="Tablaconcuadrcula"/>
                    <w:tblW w:w="7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44"/>
                    <w:gridCol w:w="1814"/>
                    <w:gridCol w:w="1757"/>
                    <w:gridCol w:w="1928"/>
                  </w:tblGrid>
                  <w:tr w:rsidR="00361FCE" w:rsidRPr="00A60806" w:rsidTr="00A60806">
                    <w:trPr>
                      <w:trHeight w:val="340"/>
                    </w:trPr>
                    <w:tc>
                      <w:tcPr>
                        <w:tcW w:w="1644" w:type="dxa"/>
                        <w:vAlign w:val="center"/>
                      </w:tcPr>
                      <w:p w:rsidR="00361FCE" w:rsidRPr="00A60806" w:rsidRDefault="00436907" w:rsidP="00902050">
                        <w:pPr>
                          <w:jc w:val="left"/>
                          <w:rPr>
                            <w:rFonts w:ascii="Arial" w:hAnsi="Arial" w:cs="Arial"/>
                            <w:sz w:val="15"/>
                            <w:szCs w:val="15"/>
                          </w:rPr>
                        </w:pPr>
                        <w:r>
                          <w:rPr>
                            <w:rFonts w:ascii="Arial" w:hAnsi="Arial" w:cs="Arial"/>
                            <w:sz w:val="15"/>
                            <w:szCs w:val="15"/>
                          </w:rPr>
                        </w:r>
                        <w:r>
                          <w:rPr>
                            <w:rFonts w:ascii="Arial" w:hAnsi="Arial" w:cs="Arial"/>
                            <w:sz w:val="15"/>
                            <w:szCs w:val="15"/>
                          </w:rPr>
                          <w:pict>
                            <v:rect id="_x0000_s2421" style="width:7.1pt;height:7.15pt;mso-left-percent:-10001;mso-top-percent:-10001;mso-position-horizontal:absolute;mso-position-horizontal-relative:char;mso-position-vertical:absolute;mso-position-vertical-relative:line;mso-left-percent:-10001;mso-top-percent:-10001" fillcolor="#fc0" stroked="f">
                              <w10:wrap type="none"/>
                              <w10:anchorlock/>
                            </v:rect>
                          </w:pict>
                        </w:r>
                        <w:r w:rsidR="00361FCE" w:rsidRPr="00A60806">
                          <w:rPr>
                            <w:rFonts w:ascii="Arial" w:hAnsi="Arial" w:cs="Arial"/>
                            <w:sz w:val="15"/>
                            <w:szCs w:val="15"/>
                          </w:rPr>
                          <w:t xml:space="preserve"> Población Extranjera      </w:t>
                        </w:r>
                      </w:p>
                      <w:p w:rsidR="00361FCE" w:rsidRPr="00A60806" w:rsidRDefault="00361FCE" w:rsidP="00902050">
                        <w:pPr>
                          <w:jc w:val="left"/>
                          <w:rPr>
                            <w:rFonts w:ascii="Arial" w:hAnsi="Arial" w:cs="Arial"/>
                            <w:sz w:val="15"/>
                            <w:szCs w:val="15"/>
                          </w:rPr>
                        </w:pPr>
                        <w:r w:rsidRPr="00A60806">
                          <w:rPr>
                            <w:rFonts w:ascii="Arial" w:hAnsi="Arial" w:cs="Arial"/>
                            <w:sz w:val="15"/>
                            <w:szCs w:val="15"/>
                          </w:rPr>
                          <w:t xml:space="preserve">    Total</w:t>
                        </w:r>
                      </w:p>
                    </w:tc>
                    <w:tc>
                      <w:tcPr>
                        <w:tcW w:w="1814" w:type="dxa"/>
                        <w:vAlign w:val="center"/>
                      </w:tcPr>
                      <w:p w:rsidR="00361FCE" w:rsidRPr="00A60806" w:rsidRDefault="00436907" w:rsidP="00902050">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20" style="width:7.1pt;height:7.15pt;mso-left-percent:-10001;mso-top-percent:-10001;mso-position-horizontal:absolute;mso-position-horizontal-relative:char;mso-position-vertical:absolute;mso-position-vertical-relative:line;mso-left-percent:-10001;mso-top-percent:-10001" fillcolor="#e36c0a [2409]" stroked="f">
                              <w10:wrap type="none"/>
                              <w10:anchorlock/>
                            </v:rect>
                          </w:pict>
                        </w:r>
                        <w:r w:rsidR="00361FCE" w:rsidRPr="00A60806">
                          <w:rPr>
                            <w:rFonts w:ascii="Arial" w:hAnsi="Arial" w:cs="Arial"/>
                            <w:sz w:val="15"/>
                            <w:szCs w:val="15"/>
                          </w:rPr>
                          <w:t xml:space="preserve"> Población en Edad de </w:t>
                        </w:r>
                      </w:p>
                      <w:p w:rsidR="00361FCE" w:rsidRPr="00A60806" w:rsidRDefault="00361FCE" w:rsidP="00902050">
                        <w:pPr>
                          <w:tabs>
                            <w:tab w:val="left" w:pos="675"/>
                          </w:tabs>
                          <w:jc w:val="left"/>
                          <w:rPr>
                            <w:rFonts w:ascii="Arial" w:hAnsi="Arial" w:cs="Arial"/>
                            <w:sz w:val="15"/>
                            <w:szCs w:val="15"/>
                          </w:rPr>
                        </w:pPr>
                        <w:r w:rsidRPr="00A60806">
                          <w:rPr>
                            <w:rFonts w:ascii="Arial" w:hAnsi="Arial" w:cs="Arial"/>
                            <w:sz w:val="15"/>
                            <w:szCs w:val="15"/>
                          </w:rPr>
                          <w:t xml:space="preserve">    Trabajar</w:t>
                        </w:r>
                        <w:r w:rsidRPr="00A60806">
                          <w:rPr>
                            <w:rFonts w:ascii="Arial" w:hAnsi="Arial" w:cs="Arial"/>
                            <w:sz w:val="15"/>
                            <w:szCs w:val="15"/>
                          </w:rPr>
                          <w:tab/>
                        </w:r>
                      </w:p>
                    </w:tc>
                    <w:tc>
                      <w:tcPr>
                        <w:tcW w:w="1757" w:type="dxa"/>
                        <w:vAlign w:val="center"/>
                      </w:tcPr>
                      <w:p w:rsidR="00361FCE" w:rsidRPr="00A60806" w:rsidRDefault="00436907" w:rsidP="00902050">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19" style="width:7.1pt;height:7.15pt;mso-left-percent:-10001;mso-top-percent:-10001;mso-position-horizontal:absolute;mso-position-horizontal-relative:char;mso-position-vertical:absolute;mso-position-vertical-relative:line;mso-left-percent:-10001;mso-top-percent:-10001" fillcolor="fuchsia" stroked="f">
                              <w10:wrap type="none"/>
                              <w10:anchorlock/>
                            </v:rect>
                          </w:pict>
                        </w:r>
                        <w:r w:rsidR="00361FCE" w:rsidRPr="00A60806">
                          <w:rPr>
                            <w:rFonts w:ascii="Arial" w:hAnsi="Arial" w:cs="Arial"/>
                            <w:sz w:val="15"/>
                            <w:szCs w:val="15"/>
                          </w:rPr>
                          <w:t xml:space="preserve"> Población Económicamente Activa</w:t>
                        </w:r>
                      </w:p>
                    </w:tc>
                    <w:tc>
                      <w:tcPr>
                        <w:tcW w:w="1928" w:type="dxa"/>
                        <w:vAlign w:val="center"/>
                      </w:tcPr>
                      <w:p w:rsidR="00361FCE" w:rsidRPr="00A60806" w:rsidRDefault="00436907" w:rsidP="00902050">
                        <w:pPr>
                          <w:tabs>
                            <w:tab w:val="left" w:pos="675"/>
                          </w:tabs>
                          <w:jc w:val="left"/>
                          <w:rPr>
                            <w:rFonts w:ascii="Arial" w:hAnsi="Arial" w:cs="Arial"/>
                            <w:sz w:val="15"/>
                            <w:szCs w:val="15"/>
                          </w:rPr>
                        </w:pPr>
                        <w:r>
                          <w:rPr>
                            <w:rFonts w:ascii="Arial" w:hAnsi="Arial" w:cs="Arial"/>
                            <w:sz w:val="15"/>
                            <w:szCs w:val="15"/>
                          </w:rPr>
                        </w:r>
                        <w:r>
                          <w:rPr>
                            <w:rFonts w:ascii="Arial" w:hAnsi="Arial" w:cs="Arial"/>
                            <w:sz w:val="15"/>
                            <w:szCs w:val="15"/>
                          </w:rPr>
                          <w:pict>
                            <v:rect id="_x0000_s2418" style="width:7.1pt;height:7.15pt;mso-left-percent:-10001;mso-top-percent:-10001;mso-position-horizontal:absolute;mso-position-horizontal-relative:char;mso-position-vertical:absolute;mso-position-vertical-relative:line;mso-left-percent:-10001;mso-top-percent:-10001" fillcolor="#00b0f0" stroked="f">
                              <w10:wrap type="none"/>
                              <w10:anchorlock/>
                            </v:rect>
                          </w:pict>
                        </w:r>
                        <w:r w:rsidR="00361FCE" w:rsidRPr="00A60806">
                          <w:rPr>
                            <w:rFonts w:ascii="Arial" w:hAnsi="Arial" w:cs="Arial"/>
                            <w:sz w:val="15"/>
                            <w:szCs w:val="15"/>
                          </w:rPr>
                          <w:t xml:space="preserve"> Población Económicamente Inactiva</w:t>
                        </w:r>
                      </w:p>
                    </w:tc>
                  </w:tr>
                </w:tbl>
                <w:p w:rsidR="00361FCE" w:rsidRDefault="00361FCE" w:rsidP="00902050">
                  <w:pPr>
                    <w:rPr>
                      <w:noProof/>
                      <w:lang w:eastAsia="es-EC"/>
                    </w:rPr>
                  </w:pPr>
                </w:p>
              </w:tc>
            </w:tr>
          </w:tbl>
          <w:p w:rsidR="00361FCE" w:rsidRPr="0078148C" w:rsidRDefault="00361FCE" w:rsidP="00902050">
            <w:pPr>
              <w:jc w:val="left"/>
              <w:rPr>
                <w:rFonts w:ascii="Arial" w:hAnsi="Arial" w:cs="Arial"/>
                <w:i/>
                <w:sz w:val="16"/>
                <w:szCs w:val="16"/>
              </w:rPr>
            </w:pPr>
          </w:p>
        </w:tc>
      </w:tr>
    </w:tbl>
    <w:p w:rsidR="00361FCE" w:rsidRPr="00A60806" w:rsidRDefault="00361FCE" w:rsidP="00A60806">
      <w:pPr>
        <w:pStyle w:val="Prrafodelista"/>
        <w:spacing w:line="276" w:lineRule="auto"/>
        <w:ind w:left="851"/>
        <w:jc w:val="both"/>
        <w:rPr>
          <w:rFonts w:ascii="Arial" w:hAnsi="Arial" w:cs="Arial"/>
          <w:sz w:val="17"/>
          <w:szCs w:val="17"/>
        </w:rPr>
      </w:pPr>
    </w:p>
    <w:p w:rsidR="00361FCE" w:rsidRPr="00A60806" w:rsidRDefault="00361FCE" w:rsidP="00A60806">
      <w:pPr>
        <w:pStyle w:val="Prrafodelista"/>
        <w:spacing w:line="276" w:lineRule="auto"/>
        <w:ind w:left="851"/>
        <w:jc w:val="both"/>
        <w:rPr>
          <w:rFonts w:ascii="Arial" w:hAnsi="Arial" w:cs="Arial"/>
          <w:sz w:val="17"/>
          <w:szCs w:val="17"/>
        </w:rPr>
      </w:pPr>
      <w:r w:rsidRPr="00A60806">
        <w:rPr>
          <w:rFonts w:ascii="Arial" w:hAnsi="Arial" w:cs="Arial"/>
          <w:b/>
          <w:i/>
          <w:sz w:val="17"/>
          <w:szCs w:val="17"/>
        </w:rPr>
        <w:t>Fuente:</w:t>
      </w:r>
      <w:r w:rsidRPr="00A60806">
        <w:rPr>
          <w:rFonts w:ascii="Arial" w:hAnsi="Arial" w:cs="Arial"/>
          <w:sz w:val="17"/>
          <w:szCs w:val="17"/>
        </w:rPr>
        <w:t xml:space="preserve"> </w:t>
      </w:r>
      <w:r w:rsidRPr="00A60806">
        <w:rPr>
          <w:rFonts w:ascii="Arial" w:hAnsi="Arial" w:cs="Arial"/>
          <w:b/>
          <w:sz w:val="17"/>
          <w:szCs w:val="17"/>
        </w:rPr>
        <w:t xml:space="preserve">INEC </w:t>
      </w:r>
      <w:r w:rsidRPr="00A60806">
        <w:rPr>
          <w:rFonts w:ascii="Arial" w:hAnsi="Arial" w:cs="Arial"/>
          <w:sz w:val="17"/>
          <w:szCs w:val="17"/>
        </w:rPr>
        <w:t>(2010), Base de Datos del VII Censo de Población y VI de Vivienda.</w:t>
      </w:r>
    </w:p>
    <w:p w:rsidR="00361FCE" w:rsidRDefault="00361FCE" w:rsidP="00A60806">
      <w:pPr>
        <w:pStyle w:val="Prrafodelista"/>
        <w:spacing w:line="276" w:lineRule="auto"/>
        <w:ind w:left="851"/>
        <w:jc w:val="both"/>
        <w:rPr>
          <w:rFonts w:ascii="Arial" w:hAnsi="Arial" w:cs="Arial"/>
          <w:sz w:val="17"/>
          <w:szCs w:val="17"/>
        </w:rPr>
      </w:pPr>
      <w:r w:rsidRPr="00A60806">
        <w:rPr>
          <w:rFonts w:ascii="Arial" w:hAnsi="Arial" w:cs="Arial"/>
          <w:b/>
          <w:i/>
          <w:sz w:val="17"/>
          <w:szCs w:val="17"/>
        </w:rPr>
        <w:t>Elaborado por:</w:t>
      </w:r>
      <w:r w:rsidRPr="00A60806">
        <w:rPr>
          <w:rFonts w:ascii="Arial" w:hAnsi="Arial" w:cs="Arial"/>
          <w:sz w:val="17"/>
          <w:szCs w:val="17"/>
        </w:rPr>
        <w:t xml:space="preserve"> Katherine Loor Valeriano</w:t>
      </w:r>
    </w:p>
    <w:p w:rsidR="00A60806" w:rsidRPr="00A60806" w:rsidRDefault="00A60806" w:rsidP="00A60806">
      <w:pPr>
        <w:pStyle w:val="Prrafodelista"/>
        <w:spacing w:line="480" w:lineRule="auto"/>
        <w:ind w:left="851"/>
        <w:jc w:val="both"/>
        <w:rPr>
          <w:rFonts w:ascii="Arial" w:hAnsi="Arial" w:cs="Arial"/>
        </w:rPr>
      </w:pPr>
    </w:p>
    <w:p w:rsidR="00361FCE" w:rsidRDefault="00361FCE" w:rsidP="00A60806">
      <w:pPr>
        <w:pStyle w:val="Estilo42"/>
        <w:ind w:left="1701" w:hanging="850"/>
      </w:pPr>
      <w:bookmarkStart w:id="714" w:name="_Toc341040719"/>
      <w:bookmarkStart w:id="715" w:name="_Toc337135569"/>
      <w:r>
        <w:t>Trabajo desempeñado por los españoles</w:t>
      </w:r>
      <w:bookmarkEnd w:id="714"/>
      <w:r>
        <w:t xml:space="preserve"> </w:t>
      </w:r>
      <w:bookmarkEnd w:id="715"/>
    </w:p>
    <w:p w:rsidR="00361FCE" w:rsidRPr="00FB3F03" w:rsidRDefault="00361FCE" w:rsidP="00A60806">
      <w:pPr>
        <w:pStyle w:val="Prrafodelista"/>
        <w:spacing w:line="480" w:lineRule="auto"/>
        <w:ind w:left="851"/>
        <w:jc w:val="both"/>
        <w:rPr>
          <w:rFonts w:ascii="Arial" w:hAnsi="Arial" w:cs="Arial"/>
          <w:i/>
        </w:rPr>
      </w:pPr>
      <w:r>
        <w:rPr>
          <w:rFonts w:ascii="Arial" w:hAnsi="Arial" w:cs="Arial"/>
        </w:rPr>
        <w:t xml:space="preserve">En lo que respecta al trabajo que los españoles desempeñan en nuestro país, tenemos que el 45.22% son empleados u obreros privados, recordemos además que en las otras tres subpoblaciones de extranjeros estudiadas en secciones anteriores éste también era el trabajo que mayor porcentaje de cada subpoblación tenía, el 18.32% trabajan por cuenta propia, el 9.10% como patrones, el 8.44% como empleados u obreros públicos, el 5.24% son trabajadores nuevos, el 4.71% en sociedad, el 1.64% como jornaleros o peones, un menor porcentaje realizan actividades domésticas (0.85%); y, el 6.48% no respondieron a esta pregunta el día del empadronamiento. </w:t>
      </w:r>
      <w:r>
        <w:rPr>
          <w:rFonts w:ascii="Arial" w:hAnsi="Arial" w:cs="Arial"/>
          <w:i/>
        </w:rPr>
        <w:t>Véase Figura 4.100.</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F338DF">
        <w:trPr>
          <w:trHeight w:val="2772"/>
          <w:jc w:val="right"/>
        </w:trPr>
        <w:tc>
          <w:tcPr>
            <w:tcW w:w="7497" w:type="dxa"/>
          </w:tcPr>
          <w:p w:rsidR="00361FCE" w:rsidRDefault="00361FCE" w:rsidP="00902050">
            <w:pPr>
              <w:rPr>
                <w:rFonts w:ascii="Arial" w:hAnsi="Arial" w:cs="Arial"/>
                <w:b/>
                <w:sz w:val="16"/>
                <w:szCs w:val="16"/>
              </w:rPr>
            </w:pPr>
          </w:p>
          <w:p w:rsidR="00B10593" w:rsidRPr="00B10593" w:rsidRDefault="00B10593" w:rsidP="00B10593">
            <w:pPr>
              <w:pStyle w:val="Epgrafe"/>
              <w:rPr>
                <w:rFonts w:ascii="Arial" w:hAnsi="Arial" w:cs="Arial"/>
                <w:bCs w:val="0"/>
                <w:color w:val="auto"/>
                <w:sz w:val="16"/>
                <w:szCs w:val="16"/>
              </w:rPr>
            </w:pPr>
            <w:bookmarkStart w:id="716" w:name="_Toc341044072"/>
            <w:r>
              <w:rPr>
                <w:rFonts w:ascii="Arial" w:hAnsi="Arial" w:cs="Arial"/>
                <w:bCs w:val="0"/>
                <w:color w:val="auto"/>
                <w:sz w:val="16"/>
                <w:szCs w:val="16"/>
              </w:rPr>
              <w:t>Figura 4.</w:t>
            </w:r>
            <w:r w:rsidR="00990535" w:rsidRPr="00B10593">
              <w:rPr>
                <w:rFonts w:ascii="Arial" w:hAnsi="Arial" w:cs="Arial"/>
                <w:bCs w:val="0"/>
                <w:color w:val="auto"/>
                <w:sz w:val="16"/>
                <w:szCs w:val="16"/>
              </w:rPr>
              <w:fldChar w:fldCharType="begin"/>
            </w:r>
            <w:r w:rsidRPr="00B10593">
              <w:rPr>
                <w:rFonts w:ascii="Arial" w:hAnsi="Arial" w:cs="Arial"/>
                <w:bCs w:val="0"/>
                <w:color w:val="auto"/>
                <w:sz w:val="16"/>
                <w:szCs w:val="16"/>
              </w:rPr>
              <w:instrText xml:space="preserve"> SEQ Figura_4. \* ARABIC </w:instrText>
            </w:r>
            <w:r w:rsidR="00990535" w:rsidRPr="00B10593">
              <w:rPr>
                <w:rFonts w:ascii="Arial" w:hAnsi="Arial" w:cs="Arial"/>
                <w:bCs w:val="0"/>
                <w:color w:val="auto"/>
                <w:sz w:val="16"/>
                <w:szCs w:val="16"/>
              </w:rPr>
              <w:fldChar w:fldCharType="separate"/>
            </w:r>
            <w:r w:rsidR="00A242E0">
              <w:rPr>
                <w:rFonts w:ascii="Arial" w:hAnsi="Arial" w:cs="Arial"/>
                <w:bCs w:val="0"/>
                <w:noProof/>
                <w:color w:val="auto"/>
                <w:sz w:val="16"/>
                <w:szCs w:val="16"/>
              </w:rPr>
              <w:t>100</w:t>
            </w:r>
            <w:bookmarkEnd w:id="716"/>
            <w:r w:rsidR="00990535" w:rsidRPr="00B10593">
              <w:rPr>
                <w:rFonts w:ascii="Arial" w:hAnsi="Arial" w:cs="Arial"/>
                <w:bCs w:val="0"/>
                <w:color w:val="auto"/>
                <w:sz w:val="16"/>
                <w:szCs w:val="16"/>
              </w:rPr>
              <w:fldChar w:fldCharType="end"/>
            </w:r>
          </w:p>
          <w:p w:rsidR="00361FCE" w:rsidRDefault="00F338DF"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Frecuencia Relativa del trabajo que desempeñan los </w:t>
            </w:r>
            <w:r>
              <w:rPr>
                <w:rFonts w:ascii="Arial" w:hAnsi="Arial" w:cs="Arial"/>
                <w:b/>
                <w:i/>
                <w:sz w:val="16"/>
                <w:szCs w:val="16"/>
              </w:rPr>
              <w:t>españoles</w:t>
            </w:r>
            <w:r w:rsidRPr="00016219">
              <w:rPr>
                <w:rFonts w:ascii="Arial" w:hAnsi="Arial" w:cs="Arial"/>
                <w:i/>
                <w:sz w:val="16"/>
                <w:szCs w:val="16"/>
              </w:rPr>
              <w:t xml:space="preserve"> en el país</w:t>
            </w:r>
          </w:p>
          <w:p w:rsidR="00361FCE" w:rsidRPr="0078148C" w:rsidRDefault="00361FCE" w:rsidP="00902050">
            <w:pPr>
              <w:rPr>
                <w:rFonts w:ascii="Arial" w:hAnsi="Arial" w:cs="Arial"/>
                <w:i/>
                <w:sz w:val="16"/>
                <w:szCs w:val="16"/>
              </w:rPr>
            </w:pPr>
            <w:r>
              <w:rPr>
                <w:noProof/>
                <w:lang w:eastAsia="es-EC"/>
              </w:rPr>
              <w:drawing>
                <wp:inline distT="0" distB="0" distL="0" distR="0" wp14:anchorId="01E53B06" wp14:editId="521616E4">
                  <wp:extent cx="4543425" cy="2781300"/>
                  <wp:effectExtent l="0" t="0" r="0" b="0"/>
                  <wp:docPr id="385" name="Gráfico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c>
      </w:tr>
    </w:tbl>
    <w:p w:rsidR="00361FCE" w:rsidRPr="00F338DF" w:rsidRDefault="00361FCE" w:rsidP="00F338DF">
      <w:pPr>
        <w:pStyle w:val="Prrafodelista"/>
        <w:spacing w:line="276" w:lineRule="auto"/>
        <w:ind w:left="851"/>
        <w:jc w:val="both"/>
        <w:rPr>
          <w:rFonts w:ascii="Arial" w:hAnsi="Arial" w:cs="Arial"/>
          <w:sz w:val="17"/>
          <w:szCs w:val="17"/>
        </w:rPr>
      </w:pPr>
    </w:p>
    <w:p w:rsidR="00361FCE" w:rsidRPr="00F338DF" w:rsidRDefault="00361FCE" w:rsidP="00F338DF">
      <w:pPr>
        <w:pStyle w:val="Prrafodelista"/>
        <w:spacing w:line="276" w:lineRule="auto"/>
        <w:ind w:left="851"/>
        <w:jc w:val="both"/>
        <w:rPr>
          <w:rFonts w:ascii="Arial" w:hAnsi="Arial" w:cs="Arial"/>
          <w:sz w:val="17"/>
          <w:szCs w:val="17"/>
        </w:rPr>
      </w:pPr>
      <w:r w:rsidRPr="00F338DF">
        <w:rPr>
          <w:rFonts w:ascii="Arial" w:hAnsi="Arial" w:cs="Arial"/>
          <w:b/>
          <w:i/>
          <w:sz w:val="17"/>
          <w:szCs w:val="17"/>
        </w:rPr>
        <w:t>Fuente:</w:t>
      </w:r>
      <w:r w:rsidRPr="00F338DF">
        <w:rPr>
          <w:rFonts w:ascii="Arial" w:hAnsi="Arial" w:cs="Arial"/>
          <w:sz w:val="17"/>
          <w:szCs w:val="17"/>
        </w:rPr>
        <w:t xml:space="preserve"> </w:t>
      </w:r>
      <w:r w:rsidRPr="00F338DF">
        <w:rPr>
          <w:rFonts w:ascii="Arial" w:hAnsi="Arial" w:cs="Arial"/>
          <w:b/>
          <w:sz w:val="17"/>
          <w:szCs w:val="17"/>
        </w:rPr>
        <w:t xml:space="preserve">INEC </w:t>
      </w:r>
      <w:r w:rsidRPr="00F338DF">
        <w:rPr>
          <w:rFonts w:ascii="Arial" w:hAnsi="Arial" w:cs="Arial"/>
          <w:sz w:val="17"/>
          <w:szCs w:val="17"/>
        </w:rPr>
        <w:t>(2010), Base de Datos del VII Censo de Población y VI de Vivienda.</w:t>
      </w:r>
    </w:p>
    <w:p w:rsidR="00361FCE" w:rsidRPr="00F338DF" w:rsidRDefault="00361FCE" w:rsidP="00F338DF">
      <w:pPr>
        <w:pStyle w:val="Prrafodelista"/>
        <w:spacing w:line="276" w:lineRule="auto"/>
        <w:ind w:left="851"/>
        <w:jc w:val="both"/>
        <w:rPr>
          <w:rFonts w:ascii="Arial" w:hAnsi="Arial" w:cs="Arial"/>
          <w:sz w:val="17"/>
          <w:szCs w:val="17"/>
        </w:rPr>
      </w:pPr>
      <w:r w:rsidRPr="00F338DF">
        <w:rPr>
          <w:rFonts w:ascii="Arial" w:hAnsi="Arial" w:cs="Arial"/>
          <w:b/>
          <w:i/>
          <w:sz w:val="17"/>
          <w:szCs w:val="17"/>
        </w:rPr>
        <w:t>Elaborado por:</w:t>
      </w:r>
      <w:r w:rsidRPr="00F338DF">
        <w:rPr>
          <w:rFonts w:ascii="Arial" w:hAnsi="Arial" w:cs="Arial"/>
          <w:sz w:val="17"/>
          <w:szCs w:val="17"/>
        </w:rPr>
        <w:t xml:space="preserve"> Katherine Loor Valeriano</w:t>
      </w:r>
    </w:p>
    <w:p w:rsidR="00F338DF" w:rsidRDefault="00F338DF" w:rsidP="00F338DF">
      <w:pPr>
        <w:pStyle w:val="Prrafodelista"/>
        <w:spacing w:line="480" w:lineRule="auto"/>
        <w:ind w:left="851"/>
        <w:jc w:val="both"/>
        <w:rPr>
          <w:rFonts w:ascii="Arial" w:hAnsi="Arial" w:cs="Arial"/>
        </w:rPr>
      </w:pPr>
    </w:p>
    <w:p w:rsidR="00361FCE" w:rsidRDefault="00361FCE" w:rsidP="00F338DF">
      <w:pPr>
        <w:pStyle w:val="Prrafodelista"/>
        <w:spacing w:line="480" w:lineRule="auto"/>
        <w:ind w:left="851"/>
        <w:jc w:val="both"/>
        <w:rPr>
          <w:rFonts w:ascii="Arial" w:hAnsi="Arial" w:cs="Arial"/>
          <w:i/>
        </w:rPr>
      </w:pPr>
      <w:r>
        <w:rPr>
          <w:rFonts w:ascii="Arial" w:hAnsi="Arial" w:cs="Arial"/>
        </w:rPr>
        <w:t xml:space="preserve">Consideremos ahora el trabajo que desempañan los españoles de género masculino, en donde tenemos que el 44.02% son empleados u obreros privados, el 18.89% trabajan por cuenta propia, el 11.26% son patrones, el 7.64% son empleados u obreros públicos, el 5.53% en sociedad, el 4.32% tienen trabajos no remunerados, el porcentaje restante desempeña otras actividades y además ninguno trabaja como empleado doméstico; mientras que, si solamente consideramos a las mujeres el 47.47% trabajan como empleados u obreros privados, el 17.26% por cuenta propia, el 9.94% como empleados y obreros públicos, el 6.94% tienen trabajos no remunerados, el 5.07% son patrones, el 3.19% en sociedad, el 2.44% son empleados domésticos, el 0.19% son jornaleros o peones y el 7.50% no respondieron a esta pregunta el día del empadronamiento. </w:t>
      </w:r>
      <w:r>
        <w:rPr>
          <w:rFonts w:ascii="Arial" w:hAnsi="Arial" w:cs="Arial"/>
          <w:i/>
        </w:rPr>
        <w:t>Véase Figura 4.101.</w:t>
      </w:r>
    </w:p>
    <w:tbl>
      <w:tblPr>
        <w:tblStyle w:val="Tablaconcuadrcula"/>
        <w:tblW w:w="7497" w:type="dxa"/>
        <w:jc w:val="right"/>
        <w:tblInd w:w="1277"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F338DF">
        <w:trPr>
          <w:trHeight w:val="2772"/>
          <w:jc w:val="right"/>
        </w:trPr>
        <w:tc>
          <w:tcPr>
            <w:tcW w:w="7497" w:type="dxa"/>
          </w:tcPr>
          <w:p w:rsidR="00361FCE" w:rsidRDefault="00361FCE" w:rsidP="00902050">
            <w:pPr>
              <w:rPr>
                <w:rFonts w:ascii="Arial" w:hAnsi="Arial" w:cs="Arial"/>
                <w:b/>
                <w:sz w:val="16"/>
                <w:szCs w:val="16"/>
              </w:rPr>
            </w:pPr>
          </w:p>
          <w:p w:rsidR="00B10593" w:rsidRPr="00B10593" w:rsidRDefault="00B10593" w:rsidP="00B10593">
            <w:pPr>
              <w:pStyle w:val="Epgrafe"/>
              <w:rPr>
                <w:rFonts w:ascii="Arial" w:hAnsi="Arial" w:cs="Arial"/>
                <w:bCs w:val="0"/>
                <w:color w:val="auto"/>
                <w:sz w:val="16"/>
                <w:szCs w:val="16"/>
              </w:rPr>
            </w:pPr>
            <w:bookmarkStart w:id="717" w:name="_Toc341044073"/>
            <w:r>
              <w:rPr>
                <w:rFonts w:ascii="Arial" w:hAnsi="Arial" w:cs="Arial"/>
                <w:bCs w:val="0"/>
                <w:color w:val="auto"/>
                <w:sz w:val="16"/>
                <w:szCs w:val="16"/>
              </w:rPr>
              <w:t>Figura 4.</w:t>
            </w:r>
            <w:r w:rsidR="00990535" w:rsidRPr="00B10593">
              <w:rPr>
                <w:rFonts w:ascii="Arial" w:hAnsi="Arial" w:cs="Arial"/>
                <w:bCs w:val="0"/>
                <w:color w:val="auto"/>
                <w:sz w:val="16"/>
                <w:szCs w:val="16"/>
              </w:rPr>
              <w:fldChar w:fldCharType="begin"/>
            </w:r>
            <w:r w:rsidRPr="00B10593">
              <w:rPr>
                <w:rFonts w:ascii="Arial" w:hAnsi="Arial" w:cs="Arial"/>
                <w:bCs w:val="0"/>
                <w:color w:val="auto"/>
                <w:sz w:val="16"/>
                <w:szCs w:val="16"/>
              </w:rPr>
              <w:instrText xml:space="preserve"> SEQ Figura_4. \* ARABIC </w:instrText>
            </w:r>
            <w:r w:rsidR="00990535" w:rsidRPr="00B10593">
              <w:rPr>
                <w:rFonts w:ascii="Arial" w:hAnsi="Arial" w:cs="Arial"/>
                <w:bCs w:val="0"/>
                <w:color w:val="auto"/>
                <w:sz w:val="16"/>
                <w:szCs w:val="16"/>
              </w:rPr>
              <w:fldChar w:fldCharType="separate"/>
            </w:r>
            <w:r w:rsidR="00A242E0">
              <w:rPr>
                <w:rFonts w:ascii="Arial" w:hAnsi="Arial" w:cs="Arial"/>
                <w:bCs w:val="0"/>
                <w:noProof/>
                <w:color w:val="auto"/>
                <w:sz w:val="16"/>
                <w:szCs w:val="16"/>
              </w:rPr>
              <w:t>101</w:t>
            </w:r>
            <w:bookmarkEnd w:id="717"/>
            <w:r w:rsidR="00990535" w:rsidRPr="00B10593">
              <w:rPr>
                <w:rFonts w:ascii="Arial" w:hAnsi="Arial" w:cs="Arial"/>
                <w:bCs w:val="0"/>
                <w:color w:val="auto"/>
                <w:sz w:val="16"/>
                <w:szCs w:val="16"/>
              </w:rPr>
              <w:fldChar w:fldCharType="end"/>
            </w:r>
          </w:p>
          <w:p w:rsidR="0002533F" w:rsidRDefault="00F338DF" w:rsidP="00902050">
            <w:pPr>
              <w:rPr>
                <w:rFonts w:ascii="Arial" w:hAnsi="Arial" w:cs="Arial"/>
                <w:i/>
                <w:sz w:val="16"/>
                <w:szCs w:val="16"/>
              </w:rPr>
            </w:pPr>
            <w:r w:rsidRPr="00016219">
              <w:rPr>
                <w:rFonts w:ascii="Arial" w:hAnsi="Arial" w:cs="Arial"/>
                <w:b/>
                <w:i/>
                <w:sz w:val="16"/>
                <w:szCs w:val="16"/>
              </w:rPr>
              <w:t xml:space="preserve">Ecuador 2010: </w:t>
            </w:r>
            <w:r w:rsidR="0002533F">
              <w:rPr>
                <w:rFonts w:ascii="Arial" w:hAnsi="Arial" w:cs="Arial"/>
                <w:i/>
                <w:sz w:val="16"/>
                <w:szCs w:val="16"/>
              </w:rPr>
              <w:t>Distribución condicional</w:t>
            </w:r>
            <w:r w:rsidRPr="00016219">
              <w:rPr>
                <w:rFonts w:ascii="Arial" w:hAnsi="Arial" w:cs="Arial"/>
                <w:i/>
                <w:sz w:val="16"/>
                <w:szCs w:val="16"/>
              </w:rPr>
              <w:t xml:space="preserve"> del Trabajo desempeñado por los </w:t>
            </w:r>
            <w:r>
              <w:rPr>
                <w:rFonts w:ascii="Arial" w:hAnsi="Arial" w:cs="Arial"/>
                <w:b/>
                <w:i/>
                <w:sz w:val="16"/>
                <w:szCs w:val="16"/>
              </w:rPr>
              <w:t>españoles</w:t>
            </w:r>
            <w:r w:rsidRPr="00016219">
              <w:rPr>
                <w:rFonts w:ascii="Arial" w:hAnsi="Arial" w:cs="Arial"/>
                <w:i/>
                <w:sz w:val="16"/>
                <w:szCs w:val="16"/>
              </w:rPr>
              <w:t xml:space="preserve"> </w:t>
            </w:r>
          </w:p>
          <w:p w:rsidR="00361FCE" w:rsidRDefault="0002533F" w:rsidP="00902050">
            <w:pPr>
              <w:rPr>
                <w:rFonts w:ascii="Arial" w:hAnsi="Arial" w:cs="Arial"/>
                <w:i/>
                <w:sz w:val="16"/>
                <w:szCs w:val="16"/>
              </w:rPr>
            </w:pPr>
            <w:r>
              <w:rPr>
                <w:rFonts w:ascii="Arial" w:hAnsi="Arial" w:cs="Arial"/>
                <w:i/>
                <w:sz w:val="16"/>
                <w:szCs w:val="16"/>
              </w:rPr>
              <w:t xml:space="preserve">dado que se conoce el </w:t>
            </w:r>
            <w:r w:rsidR="00F338DF" w:rsidRPr="00016219">
              <w:rPr>
                <w:rFonts w:ascii="Arial" w:hAnsi="Arial" w:cs="Arial"/>
                <w:i/>
                <w:sz w:val="16"/>
                <w:szCs w:val="16"/>
              </w:rPr>
              <w:t xml:space="preserve"> Género</w:t>
            </w:r>
          </w:p>
          <w:p w:rsidR="00361FCE" w:rsidRPr="0078148C" w:rsidRDefault="00436907" w:rsidP="00902050">
            <w:pPr>
              <w:rPr>
                <w:rFonts w:ascii="Arial" w:hAnsi="Arial" w:cs="Arial"/>
                <w:i/>
                <w:sz w:val="16"/>
                <w:szCs w:val="16"/>
              </w:rPr>
            </w:pPr>
            <w:r>
              <w:rPr>
                <w:rFonts w:ascii="Arial" w:hAnsi="Arial" w:cs="Arial"/>
                <w:b/>
                <w:i/>
                <w:noProof/>
                <w:sz w:val="18"/>
                <w:szCs w:val="18"/>
                <w:lang w:eastAsia="es-EC"/>
              </w:rPr>
              <w:pict>
                <v:line id="_x0000_s1753" style="position:absolute;left:0;text-align:left;z-index:251678208;visibility:visible" from="265pt,9.4pt" to="265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" strokecolor="black [3213]"/>
              </w:pict>
            </w:r>
            <w:r w:rsidR="00F338DF">
              <w:rPr>
                <w:noProof/>
                <w:lang w:eastAsia="es-EC"/>
              </w:rPr>
              <w:drawing>
                <wp:inline distT="0" distB="0" distL="0" distR="0" wp14:anchorId="7FE5CD90" wp14:editId="2E0C1D2D">
                  <wp:extent cx="4629150" cy="2752725"/>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c>
      </w:tr>
    </w:tbl>
    <w:p w:rsidR="00361FCE" w:rsidRPr="00F338DF" w:rsidRDefault="00361FCE" w:rsidP="00F338DF">
      <w:pPr>
        <w:pStyle w:val="Prrafodelista"/>
        <w:spacing w:line="276" w:lineRule="auto"/>
        <w:ind w:left="851"/>
        <w:jc w:val="both"/>
        <w:rPr>
          <w:rFonts w:ascii="Arial" w:hAnsi="Arial" w:cs="Arial"/>
          <w:sz w:val="17"/>
          <w:szCs w:val="17"/>
        </w:rPr>
      </w:pPr>
    </w:p>
    <w:p w:rsidR="00361FCE" w:rsidRPr="00F338DF" w:rsidRDefault="00361FCE" w:rsidP="00F338DF">
      <w:pPr>
        <w:pStyle w:val="Prrafodelista"/>
        <w:spacing w:line="276" w:lineRule="auto"/>
        <w:ind w:left="851"/>
        <w:jc w:val="both"/>
        <w:rPr>
          <w:rFonts w:ascii="Arial" w:hAnsi="Arial" w:cs="Arial"/>
          <w:sz w:val="17"/>
          <w:szCs w:val="17"/>
        </w:rPr>
      </w:pPr>
      <w:r w:rsidRPr="00F338DF">
        <w:rPr>
          <w:rFonts w:ascii="Arial" w:hAnsi="Arial" w:cs="Arial"/>
          <w:b/>
          <w:i/>
          <w:sz w:val="17"/>
          <w:szCs w:val="17"/>
        </w:rPr>
        <w:t>Fuente:</w:t>
      </w:r>
      <w:r w:rsidRPr="00F338DF">
        <w:rPr>
          <w:rFonts w:ascii="Arial" w:hAnsi="Arial" w:cs="Arial"/>
          <w:sz w:val="17"/>
          <w:szCs w:val="17"/>
        </w:rPr>
        <w:t xml:space="preserve"> </w:t>
      </w:r>
      <w:r w:rsidRPr="00F338DF">
        <w:rPr>
          <w:rFonts w:ascii="Arial" w:hAnsi="Arial" w:cs="Arial"/>
          <w:b/>
          <w:sz w:val="17"/>
          <w:szCs w:val="17"/>
        </w:rPr>
        <w:t xml:space="preserve">INEC </w:t>
      </w:r>
      <w:r w:rsidRPr="00F338DF">
        <w:rPr>
          <w:rFonts w:ascii="Arial" w:hAnsi="Arial" w:cs="Arial"/>
          <w:sz w:val="17"/>
          <w:szCs w:val="17"/>
        </w:rPr>
        <w:t>(2010), Base de Datos del VII Censo de Población y VI de Vivienda.</w:t>
      </w:r>
    </w:p>
    <w:p w:rsidR="00361FCE" w:rsidRDefault="00361FCE" w:rsidP="00F338DF">
      <w:pPr>
        <w:pStyle w:val="Prrafodelista"/>
        <w:spacing w:line="276" w:lineRule="auto"/>
        <w:ind w:left="851"/>
        <w:jc w:val="both"/>
        <w:rPr>
          <w:rFonts w:ascii="Arial" w:hAnsi="Arial" w:cs="Arial"/>
        </w:rPr>
      </w:pPr>
      <w:r w:rsidRPr="00F338DF">
        <w:rPr>
          <w:rFonts w:ascii="Arial" w:hAnsi="Arial" w:cs="Arial"/>
          <w:b/>
          <w:i/>
          <w:sz w:val="17"/>
          <w:szCs w:val="17"/>
        </w:rPr>
        <w:t>Elaborado por:</w:t>
      </w:r>
      <w:r w:rsidRPr="00F338DF">
        <w:rPr>
          <w:rFonts w:ascii="Arial" w:hAnsi="Arial" w:cs="Arial"/>
          <w:sz w:val="17"/>
          <w:szCs w:val="17"/>
        </w:rPr>
        <w:t xml:space="preserve"> Katherine Loor Valeriano</w:t>
      </w:r>
    </w:p>
    <w:p w:rsidR="00F338DF" w:rsidRDefault="00F338DF" w:rsidP="00F338DF">
      <w:pPr>
        <w:pStyle w:val="Prrafodelista"/>
        <w:spacing w:line="480" w:lineRule="auto"/>
        <w:ind w:left="851"/>
        <w:jc w:val="both"/>
        <w:rPr>
          <w:rFonts w:ascii="Arial" w:hAnsi="Arial" w:cs="Arial"/>
        </w:rPr>
      </w:pPr>
    </w:p>
    <w:p w:rsidR="00361FCE" w:rsidRPr="009A406D" w:rsidRDefault="00361FCE" w:rsidP="00F338DF">
      <w:pPr>
        <w:pStyle w:val="Prrafodelista"/>
        <w:spacing w:line="480" w:lineRule="auto"/>
        <w:ind w:left="851"/>
        <w:jc w:val="both"/>
        <w:rPr>
          <w:rFonts w:ascii="Arial" w:hAnsi="Arial" w:cs="Arial"/>
        </w:rPr>
      </w:pPr>
      <w:r>
        <w:rPr>
          <w:rFonts w:ascii="Arial" w:hAnsi="Arial" w:cs="Arial"/>
        </w:rPr>
        <w:t xml:space="preserve">En la </w:t>
      </w:r>
      <w:r>
        <w:rPr>
          <w:rFonts w:ascii="Arial" w:hAnsi="Arial" w:cs="Arial"/>
          <w:i/>
        </w:rPr>
        <w:t>Figura 4.102</w:t>
      </w:r>
      <w:r>
        <w:rPr>
          <w:rFonts w:ascii="Arial" w:hAnsi="Arial" w:cs="Arial"/>
        </w:rPr>
        <w:t>, tenemos que quienes son empleados públicos tienen entre 20 y 80 años, los que trabajan por cuenta propia son menores de 85 años, los que trabajan como jornaleros o peones tienen entre 15 y 70 años, las que son empleadas domésticas son menores de 75 años, los que trabajan en sociedad tienen entre 15 y 90 años; los españoles con edades comprendidas entre 90 y 95 años solamente trabajan como patrones; y, no hay datos referente a los españoles mayores de 95 años. Además, los españoles con edades entre 15 y 20 años el 37.50% son empleados privados, el 12.50% son jornaleros o peones, el 6.25% en sociedad, el 31.25% por cuenta propia y el 12.50% no respondieron; mientras que, quienes tienen entre 80 y 85 años el 26.67% son empleados privados, el 13.33% son patrones o socios, el 26.67% por cuenta propia, el 20% tienen trabajos no remunerados y el 13.33% no respondieron.</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F338DF">
        <w:trPr>
          <w:trHeight w:val="2772"/>
          <w:jc w:val="right"/>
        </w:trPr>
        <w:tc>
          <w:tcPr>
            <w:tcW w:w="7497" w:type="dxa"/>
          </w:tcPr>
          <w:p w:rsidR="00361FCE" w:rsidRDefault="00361FCE" w:rsidP="00902050">
            <w:pPr>
              <w:rPr>
                <w:rFonts w:ascii="Arial" w:hAnsi="Arial" w:cs="Arial"/>
                <w:b/>
                <w:sz w:val="16"/>
                <w:szCs w:val="16"/>
              </w:rPr>
            </w:pPr>
          </w:p>
          <w:p w:rsidR="00B10593" w:rsidRPr="00B10593" w:rsidRDefault="00B10593" w:rsidP="00B10593">
            <w:pPr>
              <w:pStyle w:val="Epgrafe"/>
              <w:rPr>
                <w:rFonts w:ascii="Arial" w:hAnsi="Arial" w:cs="Arial"/>
                <w:bCs w:val="0"/>
                <w:color w:val="auto"/>
                <w:sz w:val="16"/>
                <w:szCs w:val="16"/>
              </w:rPr>
            </w:pPr>
            <w:bookmarkStart w:id="718" w:name="_Toc341044074"/>
            <w:r>
              <w:rPr>
                <w:rFonts w:ascii="Arial" w:hAnsi="Arial" w:cs="Arial"/>
                <w:bCs w:val="0"/>
                <w:color w:val="auto"/>
                <w:sz w:val="16"/>
                <w:szCs w:val="16"/>
              </w:rPr>
              <w:t>Figura 4.</w:t>
            </w:r>
            <w:r w:rsidR="00990535" w:rsidRPr="00B10593">
              <w:rPr>
                <w:rFonts w:ascii="Arial" w:hAnsi="Arial" w:cs="Arial"/>
                <w:bCs w:val="0"/>
                <w:color w:val="auto"/>
                <w:sz w:val="16"/>
                <w:szCs w:val="16"/>
              </w:rPr>
              <w:fldChar w:fldCharType="begin"/>
            </w:r>
            <w:r w:rsidRPr="00B10593">
              <w:rPr>
                <w:rFonts w:ascii="Arial" w:hAnsi="Arial" w:cs="Arial"/>
                <w:bCs w:val="0"/>
                <w:color w:val="auto"/>
                <w:sz w:val="16"/>
                <w:szCs w:val="16"/>
              </w:rPr>
              <w:instrText xml:space="preserve"> SEQ Figura_4. \* ARABIC </w:instrText>
            </w:r>
            <w:r w:rsidR="00990535" w:rsidRPr="00B10593">
              <w:rPr>
                <w:rFonts w:ascii="Arial" w:hAnsi="Arial" w:cs="Arial"/>
                <w:bCs w:val="0"/>
                <w:color w:val="auto"/>
                <w:sz w:val="16"/>
                <w:szCs w:val="16"/>
              </w:rPr>
              <w:fldChar w:fldCharType="separate"/>
            </w:r>
            <w:r w:rsidR="00A242E0">
              <w:rPr>
                <w:rFonts w:ascii="Arial" w:hAnsi="Arial" w:cs="Arial"/>
                <w:bCs w:val="0"/>
                <w:noProof/>
                <w:color w:val="auto"/>
                <w:sz w:val="16"/>
                <w:szCs w:val="16"/>
              </w:rPr>
              <w:t>102</w:t>
            </w:r>
            <w:bookmarkEnd w:id="718"/>
            <w:r w:rsidR="00990535" w:rsidRPr="00B10593">
              <w:rPr>
                <w:rFonts w:ascii="Arial" w:hAnsi="Arial" w:cs="Arial"/>
                <w:bCs w:val="0"/>
                <w:color w:val="auto"/>
                <w:sz w:val="16"/>
                <w:szCs w:val="16"/>
              </w:rPr>
              <w:fldChar w:fldCharType="end"/>
            </w:r>
          </w:p>
          <w:p w:rsidR="0002533F" w:rsidRDefault="00F338DF" w:rsidP="00902050">
            <w:pPr>
              <w:rPr>
                <w:rFonts w:ascii="Arial" w:hAnsi="Arial" w:cs="Arial"/>
                <w:i/>
                <w:sz w:val="16"/>
                <w:szCs w:val="16"/>
              </w:rPr>
            </w:pPr>
            <w:r w:rsidRPr="00016219">
              <w:rPr>
                <w:rFonts w:ascii="Arial" w:hAnsi="Arial" w:cs="Arial"/>
                <w:b/>
                <w:i/>
                <w:sz w:val="16"/>
                <w:szCs w:val="16"/>
              </w:rPr>
              <w:t xml:space="preserve">Ecuador 2010: </w:t>
            </w:r>
            <w:r w:rsidR="0002533F">
              <w:rPr>
                <w:rFonts w:ascii="Arial" w:hAnsi="Arial" w:cs="Arial"/>
                <w:i/>
                <w:sz w:val="16"/>
                <w:szCs w:val="16"/>
              </w:rPr>
              <w:t>Distribución condicional</w:t>
            </w:r>
            <w:r w:rsidRPr="00016219">
              <w:rPr>
                <w:rFonts w:ascii="Arial" w:hAnsi="Arial" w:cs="Arial"/>
                <w:i/>
                <w:sz w:val="16"/>
                <w:szCs w:val="16"/>
              </w:rPr>
              <w:t xml:space="preserve"> del trabajo desempeñado por los </w:t>
            </w:r>
            <w:r>
              <w:rPr>
                <w:rFonts w:ascii="Arial" w:hAnsi="Arial" w:cs="Arial"/>
                <w:b/>
                <w:i/>
                <w:sz w:val="16"/>
                <w:szCs w:val="16"/>
              </w:rPr>
              <w:t>españoles</w:t>
            </w:r>
            <w:r w:rsidRPr="00016219">
              <w:rPr>
                <w:rFonts w:ascii="Arial" w:hAnsi="Arial" w:cs="Arial"/>
                <w:i/>
                <w:sz w:val="16"/>
                <w:szCs w:val="16"/>
              </w:rPr>
              <w:t xml:space="preserve"> </w:t>
            </w:r>
          </w:p>
          <w:p w:rsidR="00361FCE" w:rsidRDefault="0002533F" w:rsidP="00902050">
            <w:pPr>
              <w:rPr>
                <w:rFonts w:ascii="Arial" w:hAnsi="Arial" w:cs="Arial"/>
                <w:i/>
                <w:sz w:val="16"/>
                <w:szCs w:val="16"/>
              </w:rPr>
            </w:pPr>
            <w:r>
              <w:rPr>
                <w:rFonts w:ascii="Arial" w:hAnsi="Arial" w:cs="Arial"/>
                <w:i/>
                <w:sz w:val="16"/>
                <w:szCs w:val="16"/>
              </w:rPr>
              <w:t>dado que se conoce el</w:t>
            </w:r>
            <w:r w:rsidR="00F338DF" w:rsidRPr="00016219">
              <w:rPr>
                <w:rFonts w:ascii="Arial" w:hAnsi="Arial" w:cs="Arial"/>
                <w:i/>
                <w:sz w:val="16"/>
                <w:szCs w:val="16"/>
              </w:rPr>
              <w:t xml:space="preserve"> Grupo etario</w:t>
            </w:r>
          </w:p>
          <w:p w:rsidR="00361FCE" w:rsidRPr="0078148C" w:rsidRDefault="00361FCE" w:rsidP="00902050">
            <w:pPr>
              <w:rPr>
                <w:rFonts w:ascii="Arial" w:hAnsi="Arial" w:cs="Arial"/>
                <w:i/>
                <w:sz w:val="16"/>
                <w:szCs w:val="16"/>
              </w:rPr>
            </w:pPr>
            <w:r>
              <w:rPr>
                <w:noProof/>
                <w:lang w:eastAsia="es-EC"/>
              </w:rPr>
              <w:drawing>
                <wp:inline distT="0" distB="0" distL="0" distR="0" wp14:anchorId="758E60F4" wp14:editId="722A61A2">
                  <wp:extent cx="4500000" cy="3168000"/>
                  <wp:effectExtent l="0" t="0" r="0" b="0"/>
                  <wp:docPr id="390" name="Gráfico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c>
      </w:tr>
    </w:tbl>
    <w:p w:rsidR="00361FCE" w:rsidRPr="00F338DF" w:rsidRDefault="00361FCE" w:rsidP="00F338DF">
      <w:pPr>
        <w:pStyle w:val="Prrafodelista"/>
        <w:spacing w:line="276" w:lineRule="auto"/>
        <w:ind w:left="851"/>
        <w:jc w:val="both"/>
        <w:rPr>
          <w:rFonts w:ascii="Arial" w:hAnsi="Arial" w:cs="Arial"/>
          <w:sz w:val="17"/>
          <w:szCs w:val="17"/>
        </w:rPr>
      </w:pPr>
    </w:p>
    <w:p w:rsidR="00361FCE" w:rsidRPr="00F338DF" w:rsidRDefault="00361FCE" w:rsidP="00F338DF">
      <w:pPr>
        <w:pStyle w:val="Prrafodelista"/>
        <w:spacing w:line="276" w:lineRule="auto"/>
        <w:ind w:left="851"/>
        <w:jc w:val="both"/>
        <w:rPr>
          <w:rFonts w:ascii="Arial" w:hAnsi="Arial" w:cs="Arial"/>
          <w:sz w:val="17"/>
          <w:szCs w:val="17"/>
        </w:rPr>
      </w:pPr>
      <w:r w:rsidRPr="00F338DF">
        <w:rPr>
          <w:rFonts w:ascii="Arial" w:hAnsi="Arial" w:cs="Arial"/>
          <w:b/>
          <w:i/>
          <w:sz w:val="17"/>
          <w:szCs w:val="17"/>
        </w:rPr>
        <w:t>Fuente:</w:t>
      </w:r>
      <w:r w:rsidRPr="00F338DF">
        <w:rPr>
          <w:rFonts w:ascii="Arial" w:hAnsi="Arial" w:cs="Arial"/>
          <w:sz w:val="17"/>
          <w:szCs w:val="17"/>
        </w:rPr>
        <w:t xml:space="preserve"> </w:t>
      </w:r>
      <w:r w:rsidRPr="00F338DF">
        <w:rPr>
          <w:rFonts w:ascii="Arial" w:hAnsi="Arial" w:cs="Arial"/>
          <w:b/>
          <w:sz w:val="17"/>
          <w:szCs w:val="17"/>
        </w:rPr>
        <w:t xml:space="preserve">INEC </w:t>
      </w:r>
      <w:r w:rsidRPr="00F338DF">
        <w:rPr>
          <w:rFonts w:ascii="Arial" w:hAnsi="Arial" w:cs="Arial"/>
          <w:sz w:val="17"/>
          <w:szCs w:val="17"/>
        </w:rPr>
        <w:t>(2010), Base de Datos del VII Censo de Población y VI de Vivienda.</w:t>
      </w:r>
    </w:p>
    <w:p w:rsidR="00361FCE" w:rsidRDefault="00361FCE" w:rsidP="00F338DF">
      <w:pPr>
        <w:pStyle w:val="Prrafodelista"/>
        <w:spacing w:line="276" w:lineRule="auto"/>
        <w:ind w:left="851"/>
        <w:jc w:val="both"/>
        <w:rPr>
          <w:rFonts w:ascii="Arial" w:hAnsi="Arial" w:cs="Arial"/>
          <w:sz w:val="17"/>
          <w:szCs w:val="17"/>
        </w:rPr>
      </w:pPr>
      <w:r w:rsidRPr="00F338DF">
        <w:rPr>
          <w:rFonts w:ascii="Arial" w:hAnsi="Arial" w:cs="Arial"/>
          <w:b/>
          <w:i/>
          <w:sz w:val="17"/>
          <w:szCs w:val="17"/>
        </w:rPr>
        <w:t>Elaborado por:</w:t>
      </w:r>
      <w:r w:rsidRPr="00F338DF">
        <w:rPr>
          <w:rFonts w:ascii="Arial" w:hAnsi="Arial" w:cs="Arial"/>
          <w:sz w:val="17"/>
          <w:szCs w:val="17"/>
        </w:rPr>
        <w:t xml:space="preserve"> Katherine Loor Valeriano</w:t>
      </w:r>
    </w:p>
    <w:p w:rsidR="00F338DF" w:rsidRPr="00F338DF" w:rsidRDefault="00F338DF" w:rsidP="00F338DF">
      <w:pPr>
        <w:pStyle w:val="Prrafodelista"/>
        <w:spacing w:line="480" w:lineRule="auto"/>
        <w:ind w:left="851"/>
        <w:jc w:val="both"/>
        <w:rPr>
          <w:rFonts w:ascii="Arial" w:hAnsi="Arial" w:cs="Arial"/>
        </w:rPr>
      </w:pPr>
    </w:p>
    <w:p w:rsidR="00361FCE" w:rsidRDefault="00361FCE" w:rsidP="00F338DF">
      <w:pPr>
        <w:pStyle w:val="Estilo42"/>
        <w:ind w:left="1701" w:hanging="850"/>
      </w:pPr>
      <w:bookmarkStart w:id="719" w:name="_Toc337135570"/>
      <w:bookmarkStart w:id="720" w:name="_Toc341040720"/>
      <w:r>
        <w:t>Ocupación de los españoles en Ecuador</w:t>
      </w:r>
      <w:bookmarkEnd w:id="719"/>
      <w:bookmarkEnd w:id="720"/>
    </w:p>
    <w:p w:rsidR="00361FCE" w:rsidRPr="004E2E0E" w:rsidRDefault="00361FCE" w:rsidP="00F338DF">
      <w:pPr>
        <w:pStyle w:val="Prrafodelista"/>
        <w:spacing w:line="480" w:lineRule="auto"/>
        <w:ind w:left="851"/>
        <w:jc w:val="both"/>
        <w:rPr>
          <w:rFonts w:ascii="Arial" w:hAnsi="Arial" w:cs="Arial"/>
          <w:i/>
        </w:rPr>
      </w:pPr>
      <w:r>
        <w:rPr>
          <w:rFonts w:ascii="Arial" w:hAnsi="Arial" w:cs="Arial"/>
        </w:rPr>
        <w:t xml:space="preserve">Dentro de la ocupación que tienen los españoles, tenemos que el 27.07% son profesionales científicos e intelectuales, el 16.15% son directores y gerentes, el 10.66% son trabajadores de los servicios y vendedores, el 9.59% trabajan como personal de apoyo administrativo, el 9.46% son técnicos y profesionales del nivel medio, el 5.62% son oficiales, operarios y artesanos, el 4.73% tienen ocupaciones elementales, el 3.60% son trabajadores nuevos, el 9.09% no respondieron y los restantes realizan otras actividades. Vale la pena mencionar que los españoles y estadounidenses tienen como ocupación primordial profesionales científicos e intelectuales. </w:t>
      </w:r>
      <w:r>
        <w:rPr>
          <w:rFonts w:ascii="Arial" w:hAnsi="Arial" w:cs="Arial"/>
          <w:i/>
        </w:rPr>
        <w:t>Véase Figura 4.103.</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F338DF">
        <w:trPr>
          <w:trHeight w:val="2772"/>
          <w:jc w:val="right"/>
        </w:trPr>
        <w:tc>
          <w:tcPr>
            <w:tcW w:w="7497" w:type="dxa"/>
          </w:tcPr>
          <w:p w:rsidR="00361FCE" w:rsidRDefault="00361FCE" w:rsidP="00902050">
            <w:pPr>
              <w:rPr>
                <w:rFonts w:ascii="Arial" w:hAnsi="Arial" w:cs="Arial"/>
                <w:b/>
                <w:sz w:val="16"/>
                <w:szCs w:val="16"/>
              </w:rPr>
            </w:pPr>
          </w:p>
          <w:p w:rsidR="00B10593" w:rsidRPr="00B10593" w:rsidRDefault="00B10593" w:rsidP="00B10593">
            <w:pPr>
              <w:pStyle w:val="Epgrafe"/>
              <w:rPr>
                <w:rFonts w:ascii="Arial" w:hAnsi="Arial" w:cs="Arial"/>
                <w:bCs w:val="0"/>
                <w:color w:val="auto"/>
                <w:sz w:val="16"/>
                <w:szCs w:val="16"/>
              </w:rPr>
            </w:pPr>
            <w:bookmarkStart w:id="721" w:name="_Toc341044075"/>
            <w:r>
              <w:rPr>
                <w:rFonts w:ascii="Arial" w:hAnsi="Arial" w:cs="Arial"/>
                <w:bCs w:val="0"/>
                <w:color w:val="auto"/>
                <w:sz w:val="16"/>
                <w:szCs w:val="16"/>
              </w:rPr>
              <w:t>Figura 4.</w:t>
            </w:r>
            <w:r w:rsidR="00990535" w:rsidRPr="00B10593">
              <w:rPr>
                <w:rFonts w:ascii="Arial" w:hAnsi="Arial" w:cs="Arial"/>
                <w:bCs w:val="0"/>
                <w:color w:val="auto"/>
                <w:sz w:val="16"/>
                <w:szCs w:val="16"/>
              </w:rPr>
              <w:fldChar w:fldCharType="begin"/>
            </w:r>
            <w:r w:rsidRPr="00B10593">
              <w:rPr>
                <w:rFonts w:ascii="Arial" w:hAnsi="Arial" w:cs="Arial"/>
                <w:bCs w:val="0"/>
                <w:color w:val="auto"/>
                <w:sz w:val="16"/>
                <w:szCs w:val="16"/>
              </w:rPr>
              <w:instrText xml:space="preserve"> SEQ Figura_4. \* ARABIC </w:instrText>
            </w:r>
            <w:r w:rsidR="00990535" w:rsidRPr="00B10593">
              <w:rPr>
                <w:rFonts w:ascii="Arial" w:hAnsi="Arial" w:cs="Arial"/>
                <w:bCs w:val="0"/>
                <w:color w:val="auto"/>
                <w:sz w:val="16"/>
                <w:szCs w:val="16"/>
              </w:rPr>
              <w:fldChar w:fldCharType="separate"/>
            </w:r>
            <w:r w:rsidR="00A242E0">
              <w:rPr>
                <w:rFonts w:ascii="Arial" w:hAnsi="Arial" w:cs="Arial"/>
                <w:bCs w:val="0"/>
                <w:noProof/>
                <w:color w:val="auto"/>
                <w:sz w:val="16"/>
                <w:szCs w:val="16"/>
              </w:rPr>
              <w:t>103</w:t>
            </w:r>
            <w:bookmarkEnd w:id="721"/>
            <w:r w:rsidR="00990535" w:rsidRPr="00B10593">
              <w:rPr>
                <w:rFonts w:ascii="Arial" w:hAnsi="Arial" w:cs="Arial"/>
                <w:bCs w:val="0"/>
                <w:color w:val="auto"/>
                <w:sz w:val="16"/>
                <w:szCs w:val="16"/>
              </w:rPr>
              <w:fldChar w:fldCharType="end"/>
            </w:r>
          </w:p>
          <w:p w:rsidR="00361FCE" w:rsidRDefault="00F338DF"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Frecuencia Relativa de la ocupación de los </w:t>
            </w:r>
            <w:r>
              <w:rPr>
                <w:rFonts w:ascii="Arial" w:hAnsi="Arial" w:cs="Arial"/>
                <w:b/>
                <w:i/>
                <w:sz w:val="16"/>
                <w:szCs w:val="16"/>
              </w:rPr>
              <w:t>españoles</w:t>
            </w:r>
            <w:r w:rsidRPr="00016219">
              <w:rPr>
                <w:rFonts w:ascii="Arial" w:hAnsi="Arial" w:cs="Arial"/>
                <w:i/>
                <w:sz w:val="16"/>
                <w:szCs w:val="16"/>
              </w:rPr>
              <w:t xml:space="preserve"> en el país</w:t>
            </w:r>
          </w:p>
          <w:p w:rsidR="00361FCE" w:rsidRPr="0078148C" w:rsidRDefault="00361FCE" w:rsidP="00902050">
            <w:pPr>
              <w:rPr>
                <w:rFonts w:ascii="Arial" w:hAnsi="Arial" w:cs="Arial"/>
                <w:i/>
                <w:sz w:val="16"/>
                <w:szCs w:val="16"/>
              </w:rPr>
            </w:pPr>
            <w:r>
              <w:rPr>
                <w:noProof/>
                <w:lang w:eastAsia="es-EC"/>
              </w:rPr>
              <w:drawing>
                <wp:inline distT="0" distB="0" distL="0" distR="0" wp14:anchorId="42CB3AD7" wp14:editId="099D157D">
                  <wp:extent cx="4371975" cy="2628900"/>
                  <wp:effectExtent l="0" t="0" r="0" b="0"/>
                  <wp:docPr id="392" name="Gráfico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tc>
      </w:tr>
    </w:tbl>
    <w:p w:rsidR="00361FCE" w:rsidRPr="00F338DF" w:rsidRDefault="00361FCE" w:rsidP="00F338DF">
      <w:pPr>
        <w:pStyle w:val="Prrafodelista"/>
        <w:spacing w:line="276" w:lineRule="auto"/>
        <w:ind w:left="851"/>
        <w:jc w:val="both"/>
        <w:rPr>
          <w:rFonts w:ascii="Arial" w:hAnsi="Arial" w:cs="Arial"/>
          <w:sz w:val="17"/>
          <w:szCs w:val="17"/>
        </w:rPr>
      </w:pPr>
    </w:p>
    <w:p w:rsidR="00361FCE" w:rsidRPr="00F338DF" w:rsidRDefault="00361FCE" w:rsidP="00F338DF">
      <w:pPr>
        <w:pStyle w:val="Prrafodelista"/>
        <w:spacing w:line="276" w:lineRule="auto"/>
        <w:ind w:left="851"/>
        <w:jc w:val="both"/>
        <w:rPr>
          <w:rFonts w:ascii="Arial" w:hAnsi="Arial" w:cs="Arial"/>
          <w:sz w:val="17"/>
          <w:szCs w:val="17"/>
        </w:rPr>
      </w:pPr>
      <w:r w:rsidRPr="00F338DF">
        <w:rPr>
          <w:rFonts w:ascii="Arial" w:hAnsi="Arial" w:cs="Arial"/>
          <w:b/>
          <w:i/>
          <w:sz w:val="17"/>
          <w:szCs w:val="17"/>
        </w:rPr>
        <w:t>Fuente:</w:t>
      </w:r>
      <w:r w:rsidRPr="00F338DF">
        <w:rPr>
          <w:rFonts w:ascii="Arial" w:hAnsi="Arial" w:cs="Arial"/>
          <w:sz w:val="17"/>
          <w:szCs w:val="17"/>
        </w:rPr>
        <w:t xml:space="preserve"> </w:t>
      </w:r>
      <w:r w:rsidRPr="00F338DF">
        <w:rPr>
          <w:rFonts w:ascii="Arial" w:hAnsi="Arial" w:cs="Arial"/>
          <w:b/>
          <w:sz w:val="17"/>
          <w:szCs w:val="17"/>
        </w:rPr>
        <w:t xml:space="preserve">INEC </w:t>
      </w:r>
      <w:r w:rsidRPr="00F338DF">
        <w:rPr>
          <w:rFonts w:ascii="Arial" w:hAnsi="Arial" w:cs="Arial"/>
          <w:sz w:val="17"/>
          <w:szCs w:val="17"/>
        </w:rPr>
        <w:t>(2010), Base de Datos del VII Censo de Población y VI de Vivienda.</w:t>
      </w:r>
    </w:p>
    <w:p w:rsidR="00361FCE" w:rsidRPr="00F338DF" w:rsidRDefault="00361FCE" w:rsidP="00F338DF">
      <w:pPr>
        <w:pStyle w:val="Prrafodelista"/>
        <w:spacing w:line="276" w:lineRule="auto"/>
        <w:ind w:left="851"/>
        <w:jc w:val="both"/>
        <w:rPr>
          <w:rFonts w:ascii="Arial" w:hAnsi="Arial" w:cs="Arial"/>
          <w:sz w:val="17"/>
          <w:szCs w:val="17"/>
        </w:rPr>
      </w:pPr>
      <w:r w:rsidRPr="00F338DF">
        <w:rPr>
          <w:rFonts w:ascii="Arial" w:hAnsi="Arial" w:cs="Arial"/>
          <w:b/>
          <w:i/>
          <w:sz w:val="17"/>
          <w:szCs w:val="17"/>
        </w:rPr>
        <w:t>Elaborado por:</w:t>
      </w:r>
      <w:r w:rsidRPr="00F338DF">
        <w:rPr>
          <w:rFonts w:ascii="Arial" w:hAnsi="Arial" w:cs="Arial"/>
          <w:sz w:val="17"/>
          <w:szCs w:val="17"/>
        </w:rPr>
        <w:t xml:space="preserve"> Katherine Loor Valeriano</w:t>
      </w:r>
    </w:p>
    <w:p w:rsidR="00361FCE" w:rsidRDefault="00361FCE" w:rsidP="00F338DF">
      <w:pPr>
        <w:pStyle w:val="Prrafodelista"/>
        <w:spacing w:line="480" w:lineRule="auto"/>
        <w:ind w:left="851"/>
        <w:jc w:val="both"/>
        <w:rPr>
          <w:rFonts w:ascii="Arial" w:hAnsi="Arial" w:cs="Arial"/>
        </w:rPr>
      </w:pPr>
    </w:p>
    <w:p w:rsidR="00361FCE" w:rsidRPr="00C84F27" w:rsidRDefault="00F338DF" w:rsidP="00F338DF">
      <w:pPr>
        <w:pStyle w:val="Prrafodelista"/>
        <w:spacing w:line="480" w:lineRule="auto"/>
        <w:ind w:left="851"/>
        <w:jc w:val="both"/>
        <w:rPr>
          <w:rFonts w:ascii="Arial" w:hAnsi="Arial" w:cs="Arial"/>
          <w:i/>
        </w:rPr>
      </w:pPr>
      <w:r>
        <w:rPr>
          <w:rFonts w:ascii="Arial" w:hAnsi="Arial" w:cs="Arial"/>
        </w:rPr>
        <w:t>S</w:t>
      </w:r>
      <w:r w:rsidR="00361FCE">
        <w:rPr>
          <w:rFonts w:ascii="Arial" w:hAnsi="Arial" w:cs="Arial"/>
        </w:rPr>
        <w:t xml:space="preserve">i solo consideramos a los hombres el 25.29% son profesionales científicos e intelectuales, el 18.46% son directores y gerentes, el 10.25% son trabajadores de los servicios o vendedores, el 9.08% son técnicos o profesionales del nivel medio, el 8.11% trabajan como personal de apoyo administrativo, el 7.23% son oficiales, operarios o artesanos, el 4.69% tienen ocupaciones elementales, el 2.83% son agricultores o trabajadores calificados, el 0.10% tienen ocupaciones militares, el 8.69% no respondieron a esta pregunta; y, los restantes no respondieron a esta pregunta. Aunque, si solamente consideramos a las mujeres de nacionalidad española, se tiene que el 30.30% son profesionales científicos e intelectuales, el 12.30% personal de apoyo administrativo, el 11.94% como directoras o gerentes, el 11.41% son trabajadores de los servicios o vendedores, el 10.16% son técnicos o profesionales del nivel medio, el 4.99% son trabajadores nuevos, el 4.81% tienen ocupaciones elementales; y, los restantes no respondieron o tienen otras ocupaciones. </w:t>
      </w:r>
      <w:r w:rsidR="00361FCE">
        <w:rPr>
          <w:rFonts w:ascii="Arial" w:hAnsi="Arial" w:cs="Arial"/>
          <w:i/>
        </w:rPr>
        <w:t xml:space="preserve">Véase </w:t>
      </w:r>
      <w:r>
        <w:rPr>
          <w:rFonts w:ascii="Arial" w:hAnsi="Arial" w:cs="Arial"/>
          <w:i/>
        </w:rPr>
        <w:t xml:space="preserve">    </w:t>
      </w:r>
      <w:r w:rsidR="00361FCE">
        <w:rPr>
          <w:rFonts w:ascii="Arial" w:hAnsi="Arial" w:cs="Arial"/>
          <w:i/>
        </w:rPr>
        <w:t>Figura 4.104.</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F338DF">
        <w:trPr>
          <w:trHeight w:val="2772"/>
          <w:jc w:val="right"/>
        </w:trPr>
        <w:tc>
          <w:tcPr>
            <w:tcW w:w="7497" w:type="dxa"/>
          </w:tcPr>
          <w:p w:rsidR="00361FCE" w:rsidRDefault="00361FCE" w:rsidP="00902050">
            <w:pPr>
              <w:rPr>
                <w:rFonts w:ascii="Arial" w:hAnsi="Arial" w:cs="Arial"/>
                <w:b/>
                <w:sz w:val="16"/>
                <w:szCs w:val="16"/>
              </w:rPr>
            </w:pPr>
          </w:p>
          <w:p w:rsidR="00B10593" w:rsidRPr="00B10593" w:rsidRDefault="00B10593" w:rsidP="00B10593">
            <w:pPr>
              <w:pStyle w:val="Epgrafe"/>
              <w:rPr>
                <w:rFonts w:ascii="Arial" w:hAnsi="Arial" w:cs="Arial"/>
                <w:bCs w:val="0"/>
                <w:color w:val="auto"/>
                <w:sz w:val="16"/>
                <w:szCs w:val="16"/>
              </w:rPr>
            </w:pPr>
            <w:bookmarkStart w:id="722" w:name="_Toc341044076"/>
            <w:r>
              <w:rPr>
                <w:rFonts w:ascii="Arial" w:hAnsi="Arial" w:cs="Arial"/>
                <w:bCs w:val="0"/>
                <w:color w:val="auto"/>
                <w:sz w:val="16"/>
                <w:szCs w:val="16"/>
              </w:rPr>
              <w:t>Figura 4.</w:t>
            </w:r>
            <w:r w:rsidR="00990535" w:rsidRPr="00B10593">
              <w:rPr>
                <w:rFonts w:ascii="Arial" w:hAnsi="Arial" w:cs="Arial"/>
                <w:bCs w:val="0"/>
                <w:color w:val="auto"/>
                <w:sz w:val="16"/>
                <w:szCs w:val="16"/>
              </w:rPr>
              <w:fldChar w:fldCharType="begin"/>
            </w:r>
            <w:r w:rsidRPr="00B10593">
              <w:rPr>
                <w:rFonts w:ascii="Arial" w:hAnsi="Arial" w:cs="Arial"/>
                <w:bCs w:val="0"/>
                <w:color w:val="auto"/>
                <w:sz w:val="16"/>
                <w:szCs w:val="16"/>
              </w:rPr>
              <w:instrText xml:space="preserve"> SEQ Figura_4. \* ARABIC </w:instrText>
            </w:r>
            <w:r w:rsidR="00990535" w:rsidRPr="00B10593">
              <w:rPr>
                <w:rFonts w:ascii="Arial" w:hAnsi="Arial" w:cs="Arial"/>
                <w:bCs w:val="0"/>
                <w:color w:val="auto"/>
                <w:sz w:val="16"/>
                <w:szCs w:val="16"/>
              </w:rPr>
              <w:fldChar w:fldCharType="separate"/>
            </w:r>
            <w:r w:rsidR="00A242E0">
              <w:rPr>
                <w:rFonts w:ascii="Arial" w:hAnsi="Arial" w:cs="Arial"/>
                <w:bCs w:val="0"/>
                <w:noProof/>
                <w:color w:val="auto"/>
                <w:sz w:val="16"/>
                <w:szCs w:val="16"/>
              </w:rPr>
              <w:t>104</w:t>
            </w:r>
            <w:bookmarkEnd w:id="722"/>
            <w:r w:rsidR="00990535" w:rsidRPr="00B10593">
              <w:rPr>
                <w:rFonts w:ascii="Arial" w:hAnsi="Arial" w:cs="Arial"/>
                <w:bCs w:val="0"/>
                <w:color w:val="auto"/>
                <w:sz w:val="16"/>
                <w:szCs w:val="16"/>
              </w:rPr>
              <w:fldChar w:fldCharType="end"/>
            </w:r>
          </w:p>
          <w:p w:rsidR="0002533F" w:rsidRDefault="00F338DF" w:rsidP="00902050">
            <w:pPr>
              <w:rPr>
                <w:rFonts w:ascii="Arial" w:hAnsi="Arial" w:cs="Arial"/>
                <w:i/>
                <w:sz w:val="16"/>
                <w:szCs w:val="16"/>
              </w:rPr>
            </w:pPr>
            <w:r w:rsidRPr="00016219">
              <w:rPr>
                <w:rFonts w:ascii="Arial" w:hAnsi="Arial" w:cs="Arial"/>
                <w:b/>
                <w:i/>
                <w:sz w:val="16"/>
                <w:szCs w:val="16"/>
              </w:rPr>
              <w:t xml:space="preserve">Ecuador 2010: </w:t>
            </w:r>
            <w:r w:rsidR="0002533F">
              <w:rPr>
                <w:rFonts w:ascii="Arial" w:hAnsi="Arial" w:cs="Arial"/>
                <w:i/>
                <w:sz w:val="16"/>
                <w:szCs w:val="16"/>
              </w:rPr>
              <w:t>Distribución condicional</w:t>
            </w:r>
            <w:r w:rsidRPr="00016219">
              <w:rPr>
                <w:rFonts w:ascii="Arial" w:hAnsi="Arial" w:cs="Arial"/>
                <w:i/>
                <w:sz w:val="16"/>
                <w:szCs w:val="16"/>
              </w:rPr>
              <w:t xml:space="preserve"> de la ocupación de los </w:t>
            </w:r>
            <w:r>
              <w:rPr>
                <w:rFonts w:ascii="Arial" w:hAnsi="Arial" w:cs="Arial"/>
                <w:b/>
                <w:i/>
                <w:sz w:val="16"/>
                <w:szCs w:val="16"/>
              </w:rPr>
              <w:t>españoles</w:t>
            </w:r>
            <w:r w:rsidRPr="00016219">
              <w:rPr>
                <w:rFonts w:ascii="Arial" w:hAnsi="Arial" w:cs="Arial"/>
                <w:i/>
                <w:sz w:val="16"/>
                <w:szCs w:val="16"/>
              </w:rPr>
              <w:t xml:space="preserve"> </w:t>
            </w:r>
          </w:p>
          <w:p w:rsidR="00361FCE" w:rsidRDefault="0002533F" w:rsidP="00902050">
            <w:pPr>
              <w:rPr>
                <w:rFonts w:ascii="Arial" w:hAnsi="Arial" w:cs="Arial"/>
                <w:i/>
                <w:sz w:val="16"/>
                <w:szCs w:val="16"/>
              </w:rPr>
            </w:pPr>
            <w:r>
              <w:rPr>
                <w:rFonts w:ascii="Arial" w:hAnsi="Arial" w:cs="Arial"/>
                <w:i/>
                <w:sz w:val="16"/>
                <w:szCs w:val="16"/>
              </w:rPr>
              <w:t>dado que se conoce el</w:t>
            </w:r>
            <w:r w:rsidR="00F338DF" w:rsidRPr="00016219">
              <w:rPr>
                <w:rFonts w:ascii="Arial" w:hAnsi="Arial" w:cs="Arial"/>
                <w:i/>
                <w:sz w:val="16"/>
                <w:szCs w:val="16"/>
              </w:rPr>
              <w:t xml:space="preserve"> Género</w:t>
            </w:r>
          </w:p>
          <w:p w:rsidR="00361FCE" w:rsidRPr="0078148C" w:rsidRDefault="00436907" w:rsidP="00902050">
            <w:pPr>
              <w:rPr>
                <w:rFonts w:ascii="Arial" w:hAnsi="Arial" w:cs="Arial"/>
                <w:i/>
                <w:sz w:val="16"/>
                <w:szCs w:val="16"/>
              </w:rPr>
            </w:pPr>
            <w:r>
              <w:rPr>
                <w:rFonts w:ascii="Arial" w:hAnsi="Arial" w:cs="Arial"/>
                <w:noProof/>
                <w:sz w:val="18"/>
                <w:szCs w:val="18"/>
                <w:lang w:eastAsia="es-EC"/>
              </w:rPr>
              <w:pict>
                <v:line id="_x0000_s1754" style="position:absolute;left:0;text-align:left;z-index:251679232;visibility:visible" from="260.5pt,9.45pt" to="260.5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" strokecolor="black [3213]"/>
              </w:pict>
            </w:r>
            <w:r w:rsidR="00361FCE">
              <w:rPr>
                <w:noProof/>
                <w:lang w:eastAsia="es-EC"/>
              </w:rPr>
              <w:t xml:space="preserve"> </w:t>
            </w:r>
            <w:r w:rsidR="00F338DF">
              <w:rPr>
                <w:noProof/>
                <w:lang w:eastAsia="es-EC"/>
              </w:rPr>
              <w:drawing>
                <wp:inline distT="0" distB="0" distL="0" distR="0" wp14:anchorId="239EDC45" wp14:editId="2075030F">
                  <wp:extent cx="4514850" cy="2790825"/>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c>
      </w:tr>
    </w:tbl>
    <w:p w:rsidR="00361FCE" w:rsidRPr="00F338DF" w:rsidRDefault="00361FCE" w:rsidP="00F338DF">
      <w:pPr>
        <w:pStyle w:val="Prrafodelista"/>
        <w:spacing w:line="276" w:lineRule="auto"/>
        <w:ind w:left="851"/>
        <w:jc w:val="both"/>
        <w:rPr>
          <w:rFonts w:ascii="Arial" w:hAnsi="Arial" w:cs="Arial"/>
          <w:sz w:val="17"/>
          <w:szCs w:val="17"/>
        </w:rPr>
      </w:pPr>
    </w:p>
    <w:p w:rsidR="00361FCE" w:rsidRPr="00F338DF" w:rsidRDefault="00361FCE" w:rsidP="00F338DF">
      <w:pPr>
        <w:pStyle w:val="Prrafodelista"/>
        <w:spacing w:line="276" w:lineRule="auto"/>
        <w:ind w:left="851"/>
        <w:jc w:val="both"/>
        <w:rPr>
          <w:rFonts w:ascii="Arial" w:hAnsi="Arial" w:cs="Arial"/>
          <w:sz w:val="17"/>
          <w:szCs w:val="17"/>
        </w:rPr>
      </w:pPr>
      <w:r w:rsidRPr="00F338DF">
        <w:rPr>
          <w:rFonts w:ascii="Arial" w:hAnsi="Arial" w:cs="Arial"/>
          <w:b/>
          <w:i/>
          <w:sz w:val="17"/>
          <w:szCs w:val="17"/>
        </w:rPr>
        <w:t>Fuente:</w:t>
      </w:r>
      <w:r w:rsidRPr="00F338DF">
        <w:rPr>
          <w:rFonts w:ascii="Arial" w:hAnsi="Arial" w:cs="Arial"/>
          <w:sz w:val="17"/>
          <w:szCs w:val="17"/>
        </w:rPr>
        <w:t xml:space="preserve"> </w:t>
      </w:r>
      <w:r w:rsidRPr="00F338DF">
        <w:rPr>
          <w:rFonts w:ascii="Arial" w:hAnsi="Arial" w:cs="Arial"/>
          <w:b/>
          <w:sz w:val="17"/>
          <w:szCs w:val="17"/>
        </w:rPr>
        <w:t xml:space="preserve">INEC </w:t>
      </w:r>
      <w:r w:rsidRPr="00F338DF">
        <w:rPr>
          <w:rFonts w:ascii="Arial" w:hAnsi="Arial" w:cs="Arial"/>
          <w:sz w:val="17"/>
          <w:szCs w:val="17"/>
        </w:rPr>
        <w:t>(2010), Base de Datos del VII Censo de Población y VI de Vivienda.</w:t>
      </w:r>
    </w:p>
    <w:p w:rsidR="00361FCE" w:rsidRDefault="00361FCE" w:rsidP="00F338DF">
      <w:pPr>
        <w:pStyle w:val="Prrafodelista"/>
        <w:spacing w:line="276" w:lineRule="auto"/>
        <w:ind w:left="851"/>
        <w:jc w:val="both"/>
        <w:rPr>
          <w:rFonts w:ascii="Arial" w:hAnsi="Arial" w:cs="Arial"/>
          <w:sz w:val="18"/>
          <w:szCs w:val="18"/>
        </w:rPr>
      </w:pPr>
      <w:r w:rsidRPr="00F338DF">
        <w:rPr>
          <w:rFonts w:ascii="Arial" w:hAnsi="Arial" w:cs="Arial"/>
          <w:b/>
          <w:i/>
          <w:sz w:val="17"/>
          <w:szCs w:val="17"/>
        </w:rPr>
        <w:t>Elaborado por:</w:t>
      </w:r>
      <w:r w:rsidRPr="00F338DF">
        <w:rPr>
          <w:rFonts w:ascii="Arial" w:hAnsi="Arial" w:cs="Arial"/>
          <w:sz w:val="17"/>
          <w:szCs w:val="17"/>
        </w:rPr>
        <w:t xml:space="preserve"> Katherine Loor Valeriano</w:t>
      </w:r>
    </w:p>
    <w:p w:rsidR="00F338DF" w:rsidRDefault="00F338DF" w:rsidP="00F338DF">
      <w:pPr>
        <w:pStyle w:val="Prrafodelista"/>
        <w:spacing w:line="480" w:lineRule="auto"/>
        <w:ind w:left="851"/>
        <w:jc w:val="both"/>
        <w:rPr>
          <w:rFonts w:ascii="Arial" w:hAnsi="Arial" w:cs="Arial"/>
        </w:rPr>
      </w:pPr>
    </w:p>
    <w:p w:rsidR="00361FCE" w:rsidRPr="002C3E62" w:rsidRDefault="00361FCE" w:rsidP="00F338DF">
      <w:pPr>
        <w:pStyle w:val="Prrafodelista"/>
        <w:spacing w:line="480" w:lineRule="auto"/>
        <w:ind w:left="851"/>
        <w:jc w:val="both"/>
        <w:rPr>
          <w:rFonts w:ascii="Arial" w:hAnsi="Arial" w:cs="Arial"/>
          <w:i/>
        </w:rPr>
      </w:pPr>
      <w:r>
        <w:rPr>
          <w:rFonts w:ascii="Arial" w:hAnsi="Arial" w:cs="Arial"/>
        </w:rPr>
        <w:t xml:space="preserve">En la </w:t>
      </w:r>
      <w:r>
        <w:rPr>
          <w:rFonts w:ascii="Arial" w:hAnsi="Arial" w:cs="Arial"/>
          <w:i/>
        </w:rPr>
        <w:t>Figura 4.105</w:t>
      </w:r>
      <w:r w:rsidRPr="002C3E62">
        <w:rPr>
          <w:rFonts w:ascii="Arial" w:hAnsi="Arial" w:cs="Arial"/>
        </w:rPr>
        <w:t xml:space="preserve">, podemos </w:t>
      </w:r>
      <w:r>
        <w:rPr>
          <w:rFonts w:ascii="Arial" w:hAnsi="Arial" w:cs="Arial"/>
        </w:rPr>
        <w:t xml:space="preserve">observar que quienes trabajan como directores o gerentes o son profesionales científicos e intelectuales tienen entre 20 y 90 años, los trabajadores nuevos son menores de 55 años, solo hay un español que tiene ocupación militar y su edad está entre 35 y 40 años, los españoles con edades entre 90 y 95 años todos trabajan como trabajadores de los servicios o vendedores; y, los que son agricultores o trabajadores calificados tienen entre 25 y 75 años. Además, los españoles con edades entre 25 y 30 años, el 13.71% son directores o gerentes, el 27.43% son profesionales científicos e intelectuales, el 8% son técnicos o profesionales del nivel medio, el 11.43% son personal de apoyo administrativo, el 10.86% son trabajadores de los servicios o vendedores, el porcentaje restante tienen otras ocupaciones o no respondieron. </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F338DF">
        <w:trPr>
          <w:trHeight w:val="2772"/>
          <w:jc w:val="right"/>
        </w:trPr>
        <w:tc>
          <w:tcPr>
            <w:tcW w:w="7497" w:type="dxa"/>
          </w:tcPr>
          <w:p w:rsidR="00361FCE" w:rsidRDefault="00361FCE" w:rsidP="00902050">
            <w:pPr>
              <w:rPr>
                <w:rFonts w:ascii="Arial" w:hAnsi="Arial" w:cs="Arial"/>
                <w:b/>
                <w:sz w:val="16"/>
                <w:szCs w:val="16"/>
              </w:rPr>
            </w:pPr>
          </w:p>
          <w:p w:rsidR="00B10593" w:rsidRPr="00B10593" w:rsidRDefault="00B10593" w:rsidP="00B10593">
            <w:pPr>
              <w:pStyle w:val="Epgrafe"/>
              <w:rPr>
                <w:rFonts w:ascii="Arial" w:hAnsi="Arial" w:cs="Arial"/>
                <w:bCs w:val="0"/>
                <w:color w:val="auto"/>
                <w:sz w:val="16"/>
                <w:szCs w:val="16"/>
              </w:rPr>
            </w:pPr>
            <w:bookmarkStart w:id="723" w:name="_Toc341044077"/>
            <w:r>
              <w:rPr>
                <w:rFonts w:ascii="Arial" w:hAnsi="Arial" w:cs="Arial"/>
                <w:bCs w:val="0"/>
                <w:color w:val="auto"/>
                <w:sz w:val="16"/>
                <w:szCs w:val="16"/>
              </w:rPr>
              <w:t>Figura 4.</w:t>
            </w:r>
            <w:r w:rsidR="00990535" w:rsidRPr="00B10593">
              <w:rPr>
                <w:rFonts w:ascii="Arial" w:hAnsi="Arial" w:cs="Arial"/>
                <w:bCs w:val="0"/>
                <w:color w:val="auto"/>
                <w:sz w:val="16"/>
                <w:szCs w:val="16"/>
              </w:rPr>
              <w:fldChar w:fldCharType="begin"/>
            </w:r>
            <w:r w:rsidRPr="00B10593">
              <w:rPr>
                <w:rFonts w:ascii="Arial" w:hAnsi="Arial" w:cs="Arial"/>
                <w:bCs w:val="0"/>
                <w:color w:val="auto"/>
                <w:sz w:val="16"/>
                <w:szCs w:val="16"/>
              </w:rPr>
              <w:instrText xml:space="preserve"> SEQ Figura_4. \* ARABIC </w:instrText>
            </w:r>
            <w:r w:rsidR="00990535" w:rsidRPr="00B10593">
              <w:rPr>
                <w:rFonts w:ascii="Arial" w:hAnsi="Arial" w:cs="Arial"/>
                <w:bCs w:val="0"/>
                <w:color w:val="auto"/>
                <w:sz w:val="16"/>
                <w:szCs w:val="16"/>
              </w:rPr>
              <w:fldChar w:fldCharType="separate"/>
            </w:r>
            <w:r w:rsidR="00A242E0">
              <w:rPr>
                <w:rFonts w:ascii="Arial" w:hAnsi="Arial" w:cs="Arial"/>
                <w:bCs w:val="0"/>
                <w:noProof/>
                <w:color w:val="auto"/>
                <w:sz w:val="16"/>
                <w:szCs w:val="16"/>
              </w:rPr>
              <w:t>105</w:t>
            </w:r>
            <w:bookmarkEnd w:id="723"/>
            <w:r w:rsidR="00990535" w:rsidRPr="00B10593">
              <w:rPr>
                <w:rFonts w:ascii="Arial" w:hAnsi="Arial" w:cs="Arial"/>
                <w:bCs w:val="0"/>
                <w:color w:val="auto"/>
                <w:sz w:val="16"/>
                <w:szCs w:val="16"/>
              </w:rPr>
              <w:fldChar w:fldCharType="end"/>
            </w:r>
          </w:p>
          <w:p w:rsidR="0002533F" w:rsidRDefault="00F338DF" w:rsidP="00902050">
            <w:pPr>
              <w:rPr>
                <w:rFonts w:ascii="Arial" w:hAnsi="Arial" w:cs="Arial"/>
                <w:i/>
                <w:sz w:val="16"/>
                <w:szCs w:val="16"/>
              </w:rPr>
            </w:pPr>
            <w:r w:rsidRPr="00016219">
              <w:rPr>
                <w:rFonts w:ascii="Arial" w:hAnsi="Arial" w:cs="Arial"/>
                <w:b/>
                <w:i/>
                <w:sz w:val="16"/>
                <w:szCs w:val="16"/>
              </w:rPr>
              <w:t xml:space="preserve">Ecuador 2010: </w:t>
            </w:r>
            <w:r w:rsidR="0002533F">
              <w:rPr>
                <w:rFonts w:ascii="Arial" w:hAnsi="Arial" w:cs="Arial"/>
                <w:i/>
                <w:sz w:val="16"/>
                <w:szCs w:val="16"/>
              </w:rPr>
              <w:t>Distribución condicional</w:t>
            </w:r>
            <w:r w:rsidRPr="00016219">
              <w:rPr>
                <w:rFonts w:ascii="Arial" w:hAnsi="Arial" w:cs="Arial"/>
                <w:i/>
                <w:sz w:val="16"/>
                <w:szCs w:val="16"/>
              </w:rPr>
              <w:t xml:space="preserve"> de la ocupación de los </w:t>
            </w:r>
            <w:r>
              <w:rPr>
                <w:rFonts w:ascii="Arial" w:hAnsi="Arial" w:cs="Arial"/>
                <w:b/>
                <w:i/>
                <w:sz w:val="16"/>
                <w:szCs w:val="16"/>
              </w:rPr>
              <w:t>españoles</w:t>
            </w:r>
            <w:r w:rsidRPr="00016219">
              <w:rPr>
                <w:rFonts w:ascii="Arial" w:hAnsi="Arial" w:cs="Arial"/>
                <w:i/>
                <w:sz w:val="16"/>
                <w:szCs w:val="16"/>
              </w:rPr>
              <w:t xml:space="preserve"> </w:t>
            </w:r>
          </w:p>
          <w:p w:rsidR="00361FCE" w:rsidRDefault="0002533F" w:rsidP="00902050">
            <w:pPr>
              <w:rPr>
                <w:rFonts w:ascii="Arial" w:hAnsi="Arial" w:cs="Arial"/>
                <w:i/>
                <w:sz w:val="16"/>
                <w:szCs w:val="16"/>
              </w:rPr>
            </w:pPr>
            <w:r>
              <w:rPr>
                <w:rFonts w:ascii="Arial" w:hAnsi="Arial" w:cs="Arial"/>
                <w:i/>
                <w:sz w:val="16"/>
                <w:szCs w:val="16"/>
              </w:rPr>
              <w:t>dado que se conoce el</w:t>
            </w:r>
            <w:r w:rsidR="00F338DF" w:rsidRPr="00016219">
              <w:rPr>
                <w:rFonts w:ascii="Arial" w:hAnsi="Arial" w:cs="Arial"/>
                <w:i/>
                <w:sz w:val="16"/>
                <w:szCs w:val="16"/>
              </w:rPr>
              <w:t xml:space="preserve"> Grupo etario</w:t>
            </w:r>
          </w:p>
          <w:p w:rsidR="00361FCE" w:rsidRPr="0078148C" w:rsidRDefault="00361FCE" w:rsidP="00902050">
            <w:pPr>
              <w:rPr>
                <w:rFonts w:ascii="Arial" w:hAnsi="Arial" w:cs="Arial"/>
                <w:i/>
                <w:sz w:val="16"/>
                <w:szCs w:val="16"/>
              </w:rPr>
            </w:pPr>
            <w:r>
              <w:rPr>
                <w:noProof/>
                <w:lang w:eastAsia="es-EC"/>
              </w:rPr>
              <w:drawing>
                <wp:inline distT="0" distB="0" distL="0" distR="0" wp14:anchorId="1DC2A52B" wp14:editId="4F472814">
                  <wp:extent cx="4572000" cy="2895600"/>
                  <wp:effectExtent l="0" t="0" r="0" b="0"/>
                  <wp:docPr id="396" name="Gráfico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tc>
      </w:tr>
    </w:tbl>
    <w:p w:rsidR="00361FCE" w:rsidRPr="00F338DF" w:rsidRDefault="00361FCE" w:rsidP="00F338DF">
      <w:pPr>
        <w:pStyle w:val="Prrafodelista"/>
        <w:spacing w:line="276" w:lineRule="auto"/>
        <w:ind w:left="851"/>
        <w:jc w:val="both"/>
        <w:rPr>
          <w:rFonts w:ascii="Arial" w:hAnsi="Arial" w:cs="Arial"/>
          <w:sz w:val="17"/>
          <w:szCs w:val="17"/>
        </w:rPr>
      </w:pPr>
    </w:p>
    <w:p w:rsidR="00361FCE" w:rsidRPr="00F338DF" w:rsidRDefault="00361FCE" w:rsidP="00F338DF">
      <w:pPr>
        <w:pStyle w:val="Prrafodelista"/>
        <w:spacing w:line="276" w:lineRule="auto"/>
        <w:ind w:left="851"/>
        <w:jc w:val="both"/>
        <w:rPr>
          <w:rFonts w:ascii="Arial" w:hAnsi="Arial" w:cs="Arial"/>
          <w:sz w:val="17"/>
          <w:szCs w:val="17"/>
        </w:rPr>
      </w:pPr>
      <w:r w:rsidRPr="00F338DF">
        <w:rPr>
          <w:rFonts w:ascii="Arial" w:hAnsi="Arial" w:cs="Arial"/>
          <w:b/>
          <w:i/>
          <w:sz w:val="17"/>
          <w:szCs w:val="17"/>
        </w:rPr>
        <w:t>Fuente:</w:t>
      </w:r>
      <w:r w:rsidRPr="00F338DF">
        <w:rPr>
          <w:rFonts w:ascii="Arial" w:hAnsi="Arial" w:cs="Arial"/>
          <w:sz w:val="17"/>
          <w:szCs w:val="17"/>
        </w:rPr>
        <w:t xml:space="preserve"> </w:t>
      </w:r>
      <w:r w:rsidRPr="00F338DF">
        <w:rPr>
          <w:rFonts w:ascii="Arial" w:hAnsi="Arial" w:cs="Arial"/>
          <w:b/>
          <w:sz w:val="17"/>
          <w:szCs w:val="17"/>
        </w:rPr>
        <w:t xml:space="preserve">INEC </w:t>
      </w:r>
      <w:r w:rsidRPr="00F338DF">
        <w:rPr>
          <w:rFonts w:ascii="Arial" w:hAnsi="Arial" w:cs="Arial"/>
          <w:sz w:val="17"/>
          <w:szCs w:val="17"/>
        </w:rPr>
        <w:t>(2010), Base de Datos del VII Censo de Población y VI de Vivienda.</w:t>
      </w:r>
    </w:p>
    <w:p w:rsidR="00361FCE" w:rsidRDefault="00361FCE" w:rsidP="00F338DF">
      <w:pPr>
        <w:pStyle w:val="Prrafodelista"/>
        <w:spacing w:line="276" w:lineRule="auto"/>
        <w:ind w:left="851"/>
        <w:jc w:val="both"/>
        <w:rPr>
          <w:rFonts w:ascii="Arial" w:hAnsi="Arial" w:cs="Arial"/>
          <w:sz w:val="17"/>
          <w:szCs w:val="17"/>
        </w:rPr>
      </w:pPr>
      <w:r w:rsidRPr="00F338DF">
        <w:rPr>
          <w:rFonts w:ascii="Arial" w:hAnsi="Arial" w:cs="Arial"/>
          <w:b/>
          <w:i/>
          <w:sz w:val="17"/>
          <w:szCs w:val="17"/>
        </w:rPr>
        <w:t>Elaborado por:</w:t>
      </w:r>
      <w:r w:rsidRPr="00F338DF">
        <w:rPr>
          <w:rFonts w:ascii="Arial" w:hAnsi="Arial" w:cs="Arial"/>
          <w:sz w:val="17"/>
          <w:szCs w:val="17"/>
        </w:rPr>
        <w:t xml:space="preserve"> Katherine Loor Valeriano</w:t>
      </w:r>
    </w:p>
    <w:p w:rsidR="00F338DF" w:rsidRPr="00F338DF" w:rsidRDefault="00F338DF" w:rsidP="00F338DF">
      <w:pPr>
        <w:pStyle w:val="Prrafodelista"/>
        <w:spacing w:line="480" w:lineRule="auto"/>
        <w:ind w:left="851"/>
        <w:jc w:val="both"/>
        <w:rPr>
          <w:rFonts w:ascii="Arial" w:hAnsi="Arial" w:cs="Arial"/>
        </w:rPr>
      </w:pPr>
    </w:p>
    <w:p w:rsidR="00361FCE" w:rsidRDefault="00361FCE" w:rsidP="0002533F">
      <w:pPr>
        <w:pStyle w:val="Estilo42"/>
        <w:ind w:left="1701" w:hanging="850"/>
      </w:pPr>
      <w:bookmarkStart w:id="724" w:name="_Toc337135571"/>
      <w:bookmarkStart w:id="725" w:name="_Toc341040721"/>
      <w:r>
        <w:t>Tipo de Vivienda</w:t>
      </w:r>
      <w:bookmarkEnd w:id="724"/>
      <w:r w:rsidR="0002533F">
        <w:t xml:space="preserve"> </w:t>
      </w:r>
      <w:r w:rsidR="0002533F" w:rsidRPr="00016219">
        <w:t xml:space="preserve">en las que reside algún </w:t>
      </w:r>
      <w:r w:rsidR="0002533F">
        <w:t>español</w:t>
      </w:r>
      <w:bookmarkEnd w:id="725"/>
    </w:p>
    <w:p w:rsidR="00361FCE" w:rsidRPr="00FE3EB8" w:rsidRDefault="00361FCE" w:rsidP="0002533F">
      <w:pPr>
        <w:pStyle w:val="Prrafodelista"/>
        <w:spacing w:line="480" w:lineRule="auto"/>
        <w:ind w:left="851"/>
        <w:jc w:val="both"/>
        <w:rPr>
          <w:rFonts w:ascii="Arial" w:hAnsi="Arial" w:cs="Arial"/>
          <w:i/>
        </w:rPr>
      </w:pPr>
      <w:r>
        <w:rPr>
          <w:rFonts w:ascii="Arial" w:hAnsi="Arial" w:cs="Arial"/>
        </w:rPr>
        <w:t xml:space="preserve">El 57.59% de las viviendas en las cuales residen los españoles son casas o villas, el 35.40% son departamentos en casa o edificios, el 2.61% son cuartos en casas de inquilinato, el 0.81% son otras viviendas particulares que incluyen mediagua, rancho, choza u otras viviendas; y, el 3.59% son hoteles, pensiones, conventos o instituciones religiosas u otras viviendas colectivas. Cabe mencionar que de los españoles ninguno está sin vivienda, a diferencia de las otras tres subpoblaciones mencionadas anteriormente las cuales tenían por lo menos una persona que no tenía vivienda. </w:t>
      </w:r>
      <w:r>
        <w:rPr>
          <w:rFonts w:ascii="Arial" w:hAnsi="Arial" w:cs="Arial"/>
          <w:i/>
        </w:rPr>
        <w:t>Véase Figura 4.106.</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02533F">
        <w:trPr>
          <w:trHeight w:val="2772"/>
          <w:jc w:val="right"/>
        </w:trPr>
        <w:tc>
          <w:tcPr>
            <w:tcW w:w="7497" w:type="dxa"/>
          </w:tcPr>
          <w:p w:rsidR="00361FCE" w:rsidRDefault="00361FCE" w:rsidP="00902050">
            <w:pPr>
              <w:rPr>
                <w:rFonts w:ascii="Arial" w:hAnsi="Arial" w:cs="Arial"/>
                <w:b/>
                <w:sz w:val="16"/>
                <w:szCs w:val="16"/>
              </w:rPr>
            </w:pPr>
          </w:p>
          <w:p w:rsidR="000852F8" w:rsidRPr="000852F8" w:rsidRDefault="000852F8" w:rsidP="000852F8">
            <w:pPr>
              <w:pStyle w:val="Epgrafe"/>
              <w:rPr>
                <w:rFonts w:ascii="Arial" w:hAnsi="Arial" w:cs="Arial"/>
                <w:bCs w:val="0"/>
                <w:color w:val="auto"/>
                <w:sz w:val="16"/>
                <w:szCs w:val="16"/>
              </w:rPr>
            </w:pPr>
            <w:bookmarkStart w:id="726" w:name="_Toc341044078"/>
            <w:r>
              <w:rPr>
                <w:rFonts w:ascii="Arial" w:hAnsi="Arial" w:cs="Arial"/>
                <w:bCs w:val="0"/>
                <w:color w:val="auto"/>
                <w:sz w:val="16"/>
                <w:szCs w:val="16"/>
              </w:rPr>
              <w:t>Figura 4.</w:t>
            </w:r>
            <w:r w:rsidR="00990535" w:rsidRPr="000852F8">
              <w:rPr>
                <w:rFonts w:ascii="Arial" w:hAnsi="Arial" w:cs="Arial"/>
                <w:bCs w:val="0"/>
                <w:color w:val="auto"/>
                <w:sz w:val="16"/>
                <w:szCs w:val="16"/>
              </w:rPr>
              <w:fldChar w:fldCharType="begin"/>
            </w:r>
            <w:r w:rsidRPr="000852F8">
              <w:rPr>
                <w:rFonts w:ascii="Arial" w:hAnsi="Arial" w:cs="Arial"/>
                <w:bCs w:val="0"/>
                <w:color w:val="auto"/>
                <w:sz w:val="16"/>
                <w:szCs w:val="16"/>
              </w:rPr>
              <w:instrText xml:space="preserve"> SEQ Figura_4. \* ARABIC </w:instrText>
            </w:r>
            <w:r w:rsidR="00990535" w:rsidRPr="000852F8">
              <w:rPr>
                <w:rFonts w:ascii="Arial" w:hAnsi="Arial" w:cs="Arial"/>
                <w:bCs w:val="0"/>
                <w:color w:val="auto"/>
                <w:sz w:val="16"/>
                <w:szCs w:val="16"/>
              </w:rPr>
              <w:fldChar w:fldCharType="separate"/>
            </w:r>
            <w:r w:rsidR="00A242E0">
              <w:rPr>
                <w:rFonts w:ascii="Arial" w:hAnsi="Arial" w:cs="Arial"/>
                <w:bCs w:val="0"/>
                <w:noProof/>
                <w:color w:val="auto"/>
                <w:sz w:val="16"/>
                <w:szCs w:val="16"/>
              </w:rPr>
              <w:t>106</w:t>
            </w:r>
            <w:bookmarkEnd w:id="726"/>
            <w:r w:rsidR="00990535" w:rsidRPr="000852F8">
              <w:rPr>
                <w:rFonts w:ascii="Arial" w:hAnsi="Arial" w:cs="Arial"/>
                <w:bCs w:val="0"/>
                <w:color w:val="auto"/>
                <w:sz w:val="16"/>
                <w:szCs w:val="16"/>
              </w:rPr>
              <w:fldChar w:fldCharType="end"/>
            </w:r>
          </w:p>
          <w:p w:rsidR="00361FCE" w:rsidRDefault="0002533F" w:rsidP="00902050">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Frecuencia Relativa del Tipo de Vivienda en la que reside al menos un </w:t>
            </w:r>
            <w:r>
              <w:rPr>
                <w:rFonts w:ascii="Arial" w:hAnsi="Arial" w:cs="Arial"/>
                <w:b/>
                <w:i/>
                <w:sz w:val="16"/>
                <w:szCs w:val="16"/>
              </w:rPr>
              <w:t>español</w:t>
            </w:r>
          </w:p>
          <w:p w:rsidR="00361FCE" w:rsidRPr="0078148C" w:rsidRDefault="00361FCE" w:rsidP="00902050">
            <w:pPr>
              <w:rPr>
                <w:rFonts w:ascii="Arial" w:hAnsi="Arial" w:cs="Arial"/>
                <w:i/>
                <w:sz w:val="16"/>
                <w:szCs w:val="16"/>
              </w:rPr>
            </w:pPr>
            <w:r>
              <w:rPr>
                <w:noProof/>
                <w:lang w:eastAsia="es-EC"/>
              </w:rPr>
              <w:drawing>
                <wp:inline distT="0" distB="0" distL="0" distR="0" wp14:anchorId="1DCD9065" wp14:editId="72294350">
                  <wp:extent cx="4438650" cy="1800000"/>
                  <wp:effectExtent l="0" t="0" r="0" b="0"/>
                  <wp:docPr id="400" name="Gráfico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tc>
      </w:tr>
    </w:tbl>
    <w:p w:rsidR="00361FCE" w:rsidRPr="0002533F" w:rsidRDefault="00361FCE" w:rsidP="0002533F">
      <w:pPr>
        <w:pStyle w:val="Prrafodelista"/>
        <w:spacing w:line="276" w:lineRule="auto"/>
        <w:ind w:left="851"/>
        <w:jc w:val="both"/>
        <w:rPr>
          <w:rFonts w:ascii="Arial" w:hAnsi="Arial" w:cs="Arial"/>
          <w:sz w:val="17"/>
          <w:szCs w:val="17"/>
        </w:rPr>
      </w:pPr>
    </w:p>
    <w:p w:rsidR="00361FCE" w:rsidRPr="0002533F" w:rsidRDefault="00361FCE" w:rsidP="0002533F">
      <w:pPr>
        <w:pStyle w:val="Prrafodelista"/>
        <w:spacing w:line="276" w:lineRule="auto"/>
        <w:ind w:left="851"/>
        <w:jc w:val="both"/>
        <w:rPr>
          <w:rFonts w:ascii="Arial" w:hAnsi="Arial" w:cs="Arial"/>
          <w:sz w:val="17"/>
          <w:szCs w:val="17"/>
        </w:rPr>
      </w:pPr>
      <w:r w:rsidRPr="0002533F">
        <w:rPr>
          <w:rFonts w:ascii="Arial" w:hAnsi="Arial" w:cs="Arial"/>
          <w:b/>
          <w:i/>
          <w:sz w:val="17"/>
          <w:szCs w:val="17"/>
        </w:rPr>
        <w:t>Fuente:</w:t>
      </w:r>
      <w:r w:rsidRPr="0002533F">
        <w:rPr>
          <w:rFonts w:ascii="Arial" w:hAnsi="Arial" w:cs="Arial"/>
          <w:sz w:val="17"/>
          <w:szCs w:val="17"/>
        </w:rPr>
        <w:t xml:space="preserve"> </w:t>
      </w:r>
      <w:r w:rsidRPr="0002533F">
        <w:rPr>
          <w:rFonts w:ascii="Arial" w:hAnsi="Arial" w:cs="Arial"/>
          <w:b/>
          <w:sz w:val="17"/>
          <w:szCs w:val="17"/>
        </w:rPr>
        <w:t xml:space="preserve">INEC </w:t>
      </w:r>
      <w:r w:rsidRPr="0002533F">
        <w:rPr>
          <w:rFonts w:ascii="Arial" w:hAnsi="Arial" w:cs="Arial"/>
          <w:sz w:val="17"/>
          <w:szCs w:val="17"/>
        </w:rPr>
        <w:t>(2010), Base de Datos del VII Censo de Población y VI de Vivienda.</w:t>
      </w:r>
    </w:p>
    <w:p w:rsidR="00361FCE" w:rsidRPr="0002533F" w:rsidRDefault="00361FCE" w:rsidP="0002533F">
      <w:pPr>
        <w:pStyle w:val="Prrafodelista"/>
        <w:spacing w:line="276" w:lineRule="auto"/>
        <w:ind w:left="851"/>
        <w:jc w:val="both"/>
        <w:rPr>
          <w:rFonts w:ascii="Arial" w:hAnsi="Arial" w:cs="Arial"/>
          <w:sz w:val="17"/>
          <w:szCs w:val="17"/>
        </w:rPr>
      </w:pPr>
      <w:r w:rsidRPr="0002533F">
        <w:rPr>
          <w:rFonts w:ascii="Arial" w:hAnsi="Arial" w:cs="Arial"/>
          <w:b/>
          <w:i/>
          <w:sz w:val="17"/>
          <w:szCs w:val="17"/>
        </w:rPr>
        <w:t>Elaborado por:</w:t>
      </w:r>
      <w:r w:rsidRPr="0002533F">
        <w:rPr>
          <w:rFonts w:ascii="Arial" w:hAnsi="Arial" w:cs="Arial"/>
          <w:sz w:val="17"/>
          <w:szCs w:val="17"/>
        </w:rPr>
        <w:t xml:space="preserve"> Katherine Loor Valeriano</w:t>
      </w:r>
    </w:p>
    <w:p w:rsidR="00361FCE" w:rsidRDefault="00361FCE" w:rsidP="0002533F">
      <w:pPr>
        <w:pStyle w:val="Prrafodelista"/>
        <w:spacing w:line="480" w:lineRule="auto"/>
        <w:ind w:left="851"/>
        <w:jc w:val="both"/>
        <w:rPr>
          <w:rFonts w:ascii="Arial" w:hAnsi="Arial" w:cs="Arial"/>
        </w:rPr>
      </w:pPr>
    </w:p>
    <w:p w:rsidR="00361FCE" w:rsidRPr="006F54B3" w:rsidRDefault="00361FCE" w:rsidP="0002533F">
      <w:pPr>
        <w:pStyle w:val="Prrafodelista"/>
        <w:spacing w:line="480" w:lineRule="auto"/>
        <w:ind w:left="851"/>
        <w:jc w:val="both"/>
        <w:rPr>
          <w:rFonts w:ascii="Arial" w:hAnsi="Arial" w:cs="Arial"/>
          <w:i/>
        </w:rPr>
      </w:pPr>
      <w:r>
        <w:rPr>
          <w:rFonts w:ascii="Arial" w:hAnsi="Arial" w:cs="Arial"/>
        </w:rPr>
        <w:t xml:space="preserve">Además, se </w:t>
      </w:r>
      <w:r w:rsidR="00AE13C0">
        <w:rPr>
          <w:rFonts w:ascii="Arial" w:hAnsi="Arial" w:cs="Arial"/>
        </w:rPr>
        <w:t>obtuvo</w:t>
      </w:r>
      <w:r>
        <w:rPr>
          <w:rFonts w:ascii="Arial" w:hAnsi="Arial" w:cs="Arial"/>
        </w:rPr>
        <w:t xml:space="preserve"> que el 39.60% de las viviendas son propias y totalmente pagadas, el 7.79% en cambio son propias y la están pagando, el 2.47% son regaladas, donadas, heredadas o por posesión, el 7.97% son prestadas o cedidas y no las están pagando, el 2.20% son por servicios, el 39.87% son viviendas arrendadas; y, el 0.09% son en anticresis. Cabe mencionar que para las cuatro subpoblaciones tratadas en este capítulo lo predominante es vivir en casas arrendadas, lo cual tiene sentido pues no todos tienen muchos años viviendo en el país. </w:t>
      </w:r>
      <w:r>
        <w:rPr>
          <w:rFonts w:ascii="Arial" w:hAnsi="Arial" w:cs="Arial"/>
          <w:i/>
        </w:rPr>
        <w:t>Véase Figura 4.107.</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02533F">
        <w:trPr>
          <w:trHeight w:val="2772"/>
          <w:jc w:val="right"/>
        </w:trPr>
        <w:tc>
          <w:tcPr>
            <w:tcW w:w="7497" w:type="dxa"/>
          </w:tcPr>
          <w:p w:rsidR="00361FCE" w:rsidRDefault="00361FCE" w:rsidP="00902050">
            <w:pPr>
              <w:rPr>
                <w:rFonts w:ascii="Arial" w:hAnsi="Arial" w:cs="Arial"/>
                <w:b/>
                <w:sz w:val="16"/>
                <w:szCs w:val="16"/>
              </w:rPr>
            </w:pPr>
          </w:p>
          <w:p w:rsidR="000852F8" w:rsidRPr="000852F8" w:rsidRDefault="000852F8" w:rsidP="000852F8">
            <w:pPr>
              <w:pStyle w:val="Epgrafe"/>
              <w:rPr>
                <w:rFonts w:ascii="Arial" w:hAnsi="Arial" w:cs="Arial"/>
                <w:bCs w:val="0"/>
                <w:color w:val="auto"/>
                <w:sz w:val="16"/>
                <w:szCs w:val="16"/>
              </w:rPr>
            </w:pPr>
            <w:bookmarkStart w:id="727" w:name="_Toc341044079"/>
            <w:r>
              <w:rPr>
                <w:rFonts w:ascii="Arial" w:hAnsi="Arial" w:cs="Arial"/>
                <w:bCs w:val="0"/>
                <w:color w:val="auto"/>
                <w:sz w:val="16"/>
                <w:szCs w:val="16"/>
              </w:rPr>
              <w:t>Figura 4.</w:t>
            </w:r>
            <w:r w:rsidR="00990535" w:rsidRPr="000852F8">
              <w:rPr>
                <w:rFonts w:ascii="Arial" w:hAnsi="Arial" w:cs="Arial"/>
                <w:bCs w:val="0"/>
                <w:color w:val="auto"/>
                <w:sz w:val="16"/>
                <w:szCs w:val="16"/>
              </w:rPr>
              <w:fldChar w:fldCharType="begin"/>
            </w:r>
            <w:r w:rsidRPr="000852F8">
              <w:rPr>
                <w:rFonts w:ascii="Arial" w:hAnsi="Arial" w:cs="Arial"/>
                <w:bCs w:val="0"/>
                <w:color w:val="auto"/>
                <w:sz w:val="16"/>
                <w:szCs w:val="16"/>
              </w:rPr>
              <w:instrText xml:space="preserve"> SEQ Figura_4. \* ARABIC </w:instrText>
            </w:r>
            <w:r w:rsidR="00990535" w:rsidRPr="000852F8">
              <w:rPr>
                <w:rFonts w:ascii="Arial" w:hAnsi="Arial" w:cs="Arial"/>
                <w:bCs w:val="0"/>
                <w:color w:val="auto"/>
                <w:sz w:val="16"/>
                <w:szCs w:val="16"/>
              </w:rPr>
              <w:fldChar w:fldCharType="separate"/>
            </w:r>
            <w:r w:rsidR="00A242E0">
              <w:rPr>
                <w:rFonts w:ascii="Arial" w:hAnsi="Arial" w:cs="Arial"/>
                <w:bCs w:val="0"/>
                <w:noProof/>
                <w:color w:val="auto"/>
                <w:sz w:val="16"/>
                <w:szCs w:val="16"/>
              </w:rPr>
              <w:t>107</w:t>
            </w:r>
            <w:bookmarkEnd w:id="727"/>
            <w:r w:rsidR="00990535" w:rsidRPr="000852F8">
              <w:rPr>
                <w:rFonts w:ascii="Arial" w:hAnsi="Arial" w:cs="Arial"/>
                <w:bCs w:val="0"/>
                <w:color w:val="auto"/>
                <w:sz w:val="16"/>
                <w:szCs w:val="16"/>
              </w:rPr>
              <w:fldChar w:fldCharType="end"/>
            </w:r>
          </w:p>
          <w:p w:rsidR="00361FCE" w:rsidRDefault="0002533F" w:rsidP="0002533F">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Frecuencia Relativa de pertenencia de la vivienda donde reside al menos un </w:t>
            </w:r>
            <w:r>
              <w:rPr>
                <w:rFonts w:ascii="Arial" w:hAnsi="Arial" w:cs="Arial"/>
                <w:b/>
                <w:i/>
                <w:sz w:val="16"/>
                <w:szCs w:val="16"/>
              </w:rPr>
              <w:t>español</w:t>
            </w:r>
          </w:p>
          <w:p w:rsidR="00361FCE" w:rsidRPr="0078148C" w:rsidRDefault="00361FCE" w:rsidP="00902050">
            <w:pPr>
              <w:rPr>
                <w:rFonts w:ascii="Arial" w:hAnsi="Arial" w:cs="Arial"/>
                <w:i/>
                <w:sz w:val="16"/>
                <w:szCs w:val="16"/>
              </w:rPr>
            </w:pPr>
            <w:r>
              <w:rPr>
                <w:noProof/>
                <w:lang w:eastAsia="es-EC"/>
              </w:rPr>
              <w:drawing>
                <wp:inline distT="0" distB="0" distL="0" distR="0" wp14:anchorId="674F7588" wp14:editId="6E5CCFF3">
                  <wp:extent cx="4438650" cy="1548000"/>
                  <wp:effectExtent l="0" t="0" r="0" b="0"/>
                  <wp:docPr id="401" name="Gráfico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c>
      </w:tr>
    </w:tbl>
    <w:p w:rsidR="00361FCE" w:rsidRPr="00321D69" w:rsidRDefault="00361FCE" w:rsidP="0002533F">
      <w:pPr>
        <w:pStyle w:val="Prrafodelista"/>
        <w:spacing w:line="276" w:lineRule="auto"/>
        <w:ind w:left="851"/>
        <w:jc w:val="both"/>
        <w:rPr>
          <w:rFonts w:ascii="Arial" w:hAnsi="Arial" w:cs="Arial"/>
          <w:sz w:val="10"/>
          <w:szCs w:val="10"/>
        </w:rPr>
      </w:pPr>
    </w:p>
    <w:p w:rsidR="00361FCE" w:rsidRPr="0002533F" w:rsidRDefault="00361FCE" w:rsidP="0002533F">
      <w:pPr>
        <w:pStyle w:val="Prrafodelista"/>
        <w:spacing w:line="276" w:lineRule="auto"/>
        <w:ind w:left="851"/>
        <w:jc w:val="both"/>
        <w:rPr>
          <w:rFonts w:ascii="Arial" w:hAnsi="Arial" w:cs="Arial"/>
          <w:sz w:val="17"/>
          <w:szCs w:val="17"/>
        </w:rPr>
      </w:pPr>
      <w:r w:rsidRPr="0002533F">
        <w:rPr>
          <w:rFonts w:ascii="Arial" w:hAnsi="Arial" w:cs="Arial"/>
          <w:b/>
          <w:i/>
          <w:sz w:val="17"/>
          <w:szCs w:val="17"/>
        </w:rPr>
        <w:t>Fuente:</w:t>
      </w:r>
      <w:r w:rsidRPr="0002533F">
        <w:rPr>
          <w:rFonts w:ascii="Arial" w:hAnsi="Arial" w:cs="Arial"/>
          <w:sz w:val="17"/>
          <w:szCs w:val="17"/>
        </w:rPr>
        <w:t xml:space="preserve"> </w:t>
      </w:r>
      <w:r w:rsidRPr="0002533F">
        <w:rPr>
          <w:rFonts w:ascii="Arial" w:hAnsi="Arial" w:cs="Arial"/>
          <w:b/>
          <w:sz w:val="17"/>
          <w:szCs w:val="17"/>
        </w:rPr>
        <w:t xml:space="preserve">INEC </w:t>
      </w:r>
      <w:r w:rsidRPr="0002533F">
        <w:rPr>
          <w:rFonts w:ascii="Arial" w:hAnsi="Arial" w:cs="Arial"/>
          <w:sz w:val="17"/>
          <w:szCs w:val="17"/>
        </w:rPr>
        <w:t>(2010), Base de Datos del VII Censo de Población y VI de Vivienda.</w:t>
      </w:r>
    </w:p>
    <w:p w:rsidR="00361FCE" w:rsidRPr="0002533F" w:rsidRDefault="00361FCE" w:rsidP="0002533F">
      <w:pPr>
        <w:pStyle w:val="Prrafodelista"/>
        <w:spacing w:line="276" w:lineRule="auto"/>
        <w:ind w:left="851"/>
        <w:jc w:val="both"/>
        <w:rPr>
          <w:rFonts w:ascii="Arial" w:hAnsi="Arial" w:cs="Arial"/>
          <w:sz w:val="17"/>
          <w:szCs w:val="17"/>
        </w:rPr>
      </w:pPr>
      <w:r w:rsidRPr="0002533F">
        <w:rPr>
          <w:rFonts w:ascii="Arial" w:hAnsi="Arial" w:cs="Arial"/>
          <w:b/>
          <w:i/>
          <w:sz w:val="17"/>
          <w:szCs w:val="17"/>
        </w:rPr>
        <w:t>Elaborado por:</w:t>
      </w:r>
      <w:r w:rsidRPr="0002533F">
        <w:rPr>
          <w:rFonts w:ascii="Arial" w:hAnsi="Arial" w:cs="Arial"/>
          <w:sz w:val="17"/>
          <w:szCs w:val="17"/>
        </w:rPr>
        <w:t xml:space="preserve"> Katherine Loor Valeriano</w:t>
      </w:r>
    </w:p>
    <w:p w:rsidR="00361FCE" w:rsidRPr="00321D69" w:rsidRDefault="00361FCE" w:rsidP="00321D69">
      <w:pPr>
        <w:pStyle w:val="Prrafodelista"/>
        <w:spacing w:line="480" w:lineRule="auto"/>
        <w:ind w:left="851"/>
        <w:jc w:val="both"/>
        <w:rPr>
          <w:rFonts w:ascii="Arial" w:hAnsi="Arial" w:cs="Arial"/>
        </w:rPr>
      </w:pPr>
    </w:p>
    <w:p w:rsidR="00361FCE" w:rsidRDefault="00361FCE" w:rsidP="0002533F">
      <w:pPr>
        <w:pStyle w:val="Estilo42"/>
        <w:ind w:left="1701" w:hanging="850"/>
      </w:pPr>
      <w:bookmarkStart w:id="728" w:name="_Toc337135572"/>
      <w:bookmarkStart w:id="729" w:name="_Toc341040722"/>
      <w:r>
        <w:t>Número de personas por dormitorio</w:t>
      </w:r>
      <w:bookmarkEnd w:id="728"/>
      <w:bookmarkEnd w:id="729"/>
    </w:p>
    <w:p w:rsidR="00361FCE" w:rsidRDefault="00321D69" w:rsidP="0002533F">
      <w:pPr>
        <w:pStyle w:val="Prrafodelista"/>
        <w:spacing w:line="480" w:lineRule="auto"/>
        <w:ind w:left="851"/>
        <w:jc w:val="both"/>
        <w:rPr>
          <w:rFonts w:ascii="Arial" w:hAnsi="Arial" w:cs="Arial"/>
          <w:i/>
        </w:rPr>
      </w:pPr>
      <w:r>
        <w:rPr>
          <w:rFonts w:ascii="Arial" w:hAnsi="Arial" w:cs="Arial"/>
        </w:rPr>
        <w:t>E</w:t>
      </w:r>
      <w:r w:rsidR="00361FCE">
        <w:rPr>
          <w:rFonts w:ascii="Arial" w:hAnsi="Arial" w:cs="Arial"/>
        </w:rPr>
        <w:t xml:space="preserve">l 79.68% de las viviendas corresponden menos de 2 personas por dormitorio, en el 17.24% hay de 2 a 3 personas por dormitorio, en el 1.77% corresponden de 4 a 5 personas; en el 0.19% de las viviendas hay más de 5 personas por dormitorios; y, el 1.12% de las casas no tienen cuartos destinados para dormir. Cabe mencionar que lo predominante en todas las subpoblaciones en este capítulo estudiadas lo predominante ha sido que hayan menos de dos personas por dormitorios. </w:t>
      </w:r>
      <w:r w:rsidR="00361FCE">
        <w:rPr>
          <w:rFonts w:ascii="Arial" w:hAnsi="Arial" w:cs="Arial"/>
          <w:i/>
        </w:rPr>
        <w:t>Véase Figura 4.108.</w:t>
      </w:r>
    </w:p>
    <w:tbl>
      <w:tblPr>
        <w:tblStyle w:val="Tablaconcuadrcula"/>
        <w:tblW w:w="7497" w:type="dxa"/>
        <w:jc w:val="right"/>
        <w:tblInd w:w="1175"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361FCE" w:rsidRPr="00840530" w:rsidTr="0002533F">
        <w:trPr>
          <w:trHeight w:val="2772"/>
          <w:jc w:val="right"/>
        </w:trPr>
        <w:tc>
          <w:tcPr>
            <w:tcW w:w="7497" w:type="dxa"/>
          </w:tcPr>
          <w:p w:rsidR="00361FCE" w:rsidRDefault="00361FCE" w:rsidP="00902050">
            <w:pPr>
              <w:rPr>
                <w:rFonts w:ascii="Arial" w:hAnsi="Arial" w:cs="Arial"/>
                <w:b/>
                <w:sz w:val="16"/>
                <w:szCs w:val="16"/>
              </w:rPr>
            </w:pPr>
          </w:p>
          <w:p w:rsidR="000852F8" w:rsidRPr="000852F8" w:rsidRDefault="000852F8" w:rsidP="000852F8">
            <w:pPr>
              <w:pStyle w:val="Epgrafe"/>
              <w:rPr>
                <w:rFonts w:ascii="Arial" w:hAnsi="Arial" w:cs="Arial"/>
                <w:bCs w:val="0"/>
                <w:color w:val="auto"/>
                <w:sz w:val="16"/>
                <w:szCs w:val="16"/>
              </w:rPr>
            </w:pPr>
            <w:bookmarkStart w:id="730" w:name="_Toc341044080"/>
            <w:r>
              <w:rPr>
                <w:rFonts w:ascii="Arial" w:hAnsi="Arial" w:cs="Arial"/>
                <w:bCs w:val="0"/>
                <w:color w:val="auto"/>
                <w:sz w:val="16"/>
                <w:szCs w:val="16"/>
              </w:rPr>
              <w:t>Figura 4.</w:t>
            </w:r>
            <w:r w:rsidR="00990535" w:rsidRPr="000852F8">
              <w:rPr>
                <w:rFonts w:ascii="Arial" w:hAnsi="Arial" w:cs="Arial"/>
                <w:bCs w:val="0"/>
                <w:color w:val="auto"/>
                <w:sz w:val="16"/>
                <w:szCs w:val="16"/>
              </w:rPr>
              <w:fldChar w:fldCharType="begin"/>
            </w:r>
            <w:r w:rsidRPr="000852F8">
              <w:rPr>
                <w:rFonts w:ascii="Arial" w:hAnsi="Arial" w:cs="Arial"/>
                <w:bCs w:val="0"/>
                <w:color w:val="auto"/>
                <w:sz w:val="16"/>
                <w:szCs w:val="16"/>
              </w:rPr>
              <w:instrText xml:space="preserve"> SEQ Figura_4. \* ARABIC </w:instrText>
            </w:r>
            <w:r w:rsidR="00990535" w:rsidRPr="000852F8">
              <w:rPr>
                <w:rFonts w:ascii="Arial" w:hAnsi="Arial" w:cs="Arial"/>
                <w:bCs w:val="0"/>
                <w:color w:val="auto"/>
                <w:sz w:val="16"/>
                <w:szCs w:val="16"/>
              </w:rPr>
              <w:fldChar w:fldCharType="separate"/>
            </w:r>
            <w:r w:rsidR="00A242E0">
              <w:rPr>
                <w:rFonts w:ascii="Arial" w:hAnsi="Arial" w:cs="Arial"/>
                <w:bCs w:val="0"/>
                <w:noProof/>
                <w:color w:val="auto"/>
                <w:sz w:val="16"/>
                <w:szCs w:val="16"/>
              </w:rPr>
              <w:t>108</w:t>
            </w:r>
            <w:bookmarkEnd w:id="730"/>
            <w:r w:rsidR="00990535" w:rsidRPr="000852F8">
              <w:rPr>
                <w:rFonts w:ascii="Arial" w:hAnsi="Arial" w:cs="Arial"/>
                <w:bCs w:val="0"/>
                <w:color w:val="auto"/>
                <w:sz w:val="16"/>
                <w:szCs w:val="16"/>
              </w:rPr>
              <w:fldChar w:fldCharType="end"/>
            </w:r>
          </w:p>
          <w:p w:rsidR="0002533F" w:rsidRPr="00016219" w:rsidRDefault="0002533F" w:rsidP="0002533F">
            <w:pPr>
              <w:rPr>
                <w:rFonts w:ascii="Arial" w:hAnsi="Arial" w:cs="Arial"/>
                <w:i/>
                <w:sz w:val="16"/>
                <w:szCs w:val="16"/>
              </w:rPr>
            </w:pPr>
            <w:r w:rsidRPr="00016219">
              <w:rPr>
                <w:rFonts w:ascii="Arial" w:hAnsi="Arial" w:cs="Arial"/>
                <w:b/>
                <w:i/>
                <w:sz w:val="16"/>
                <w:szCs w:val="16"/>
              </w:rPr>
              <w:t xml:space="preserve">Ecuador 2010: </w:t>
            </w:r>
            <w:r w:rsidRPr="00016219">
              <w:rPr>
                <w:rFonts w:ascii="Arial" w:hAnsi="Arial" w:cs="Arial"/>
                <w:i/>
                <w:sz w:val="16"/>
                <w:szCs w:val="16"/>
              </w:rPr>
              <w:t xml:space="preserve">Frecuencia Relativa del Número de personas por dormitorio en la vivienda </w:t>
            </w:r>
          </w:p>
          <w:p w:rsidR="00361FCE" w:rsidRDefault="0002533F" w:rsidP="0002533F">
            <w:pPr>
              <w:rPr>
                <w:rFonts w:ascii="Arial" w:hAnsi="Arial" w:cs="Arial"/>
                <w:i/>
                <w:sz w:val="16"/>
                <w:szCs w:val="16"/>
              </w:rPr>
            </w:pPr>
            <w:r w:rsidRPr="00016219">
              <w:rPr>
                <w:rFonts w:ascii="Arial" w:hAnsi="Arial" w:cs="Arial"/>
                <w:i/>
                <w:sz w:val="16"/>
                <w:szCs w:val="16"/>
              </w:rPr>
              <w:t xml:space="preserve">donde reside al menos un </w:t>
            </w:r>
            <w:r>
              <w:rPr>
                <w:rFonts w:ascii="Arial" w:hAnsi="Arial" w:cs="Arial"/>
                <w:b/>
                <w:i/>
                <w:sz w:val="16"/>
                <w:szCs w:val="16"/>
              </w:rPr>
              <w:t>español</w:t>
            </w:r>
          </w:p>
          <w:p w:rsidR="00361FCE" w:rsidRPr="0078148C" w:rsidRDefault="00361FCE" w:rsidP="00902050">
            <w:pPr>
              <w:rPr>
                <w:rFonts w:ascii="Arial" w:hAnsi="Arial" w:cs="Arial"/>
                <w:i/>
                <w:sz w:val="16"/>
                <w:szCs w:val="16"/>
              </w:rPr>
            </w:pPr>
            <w:r>
              <w:rPr>
                <w:noProof/>
                <w:lang w:eastAsia="es-EC"/>
              </w:rPr>
              <w:drawing>
                <wp:inline distT="0" distB="0" distL="0" distR="0" wp14:anchorId="7768C143" wp14:editId="08CB2047">
                  <wp:extent cx="4438650" cy="1512000"/>
                  <wp:effectExtent l="0" t="0" r="0" b="0"/>
                  <wp:docPr id="402" name="Gráfico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c>
      </w:tr>
    </w:tbl>
    <w:p w:rsidR="00361FCE" w:rsidRPr="00321D69" w:rsidRDefault="00361FCE" w:rsidP="0002533F">
      <w:pPr>
        <w:pStyle w:val="Prrafodelista"/>
        <w:spacing w:line="276" w:lineRule="auto"/>
        <w:ind w:left="851"/>
        <w:jc w:val="both"/>
        <w:rPr>
          <w:rFonts w:ascii="Arial" w:hAnsi="Arial" w:cs="Arial"/>
          <w:b/>
          <w:i/>
          <w:sz w:val="10"/>
          <w:szCs w:val="10"/>
        </w:rPr>
      </w:pPr>
    </w:p>
    <w:p w:rsidR="00361FCE" w:rsidRPr="0002533F" w:rsidRDefault="00361FCE" w:rsidP="0002533F">
      <w:pPr>
        <w:pStyle w:val="Prrafodelista"/>
        <w:spacing w:line="276" w:lineRule="auto"/>
        <w:ind w:left="851"/>
        <w:jc w:val="both"/>
        <w:rPr>
          <w:rFonts w:ascii="Arial" w:hAnsi="Arial" w:cs="Arial"/>
          <w:sz w:val="17"/>
          <w:szCs w:val="17"/>
        </w:rPr>
      </w:pPr>
      <w:r w:rsidRPr="0002533F">
        <w:rPr>
          <w:rFonts w:ascii="Arial" w:hAnsi="Arial" w:cs="Arial"/>
          <w:b/>
          <w:i/>
          <w:sz w:val="17"/>
          <w:szCs w:val="17"/>
        </w:rPr>
        <w:t>Fuente:</w:t>
      </w:r>
      <w:r w:rsidRPr="0002533F">
        <w:rPr>
          <w:rFonts w:ascii="Arial" w:hAnsi="Arial" w:cs="Arial"/>
          <w:sz w:val="17"/>
          <w:szCs w:val="17"/>
        </w:rPr>
        <w:t xml:space="preserve"> </w:t>
      </w:r>
      <w:r w:rsidRPr="0002533F">
        <w:rPr>
          <w:rFonts w:ascii="Arial" w:hAnsi="Arial" w:cs="Arial"/>
          <w:b/>
          <w:sz w:val="17"/>
          <w:szCs w:val="17"/>
        </w:rPr>
        <w:t xml:space="preserve">INEC </w:t>
      </w:r>
      <w:r w:rsidRPr="0002533F">
        <w:rPr>
          <w:rFonts w:ascii="Arial" w:hAnsi="Arial" w:cs="Arial"/>
          <w:sz w:val="17"/>
          <w:szCs w:val="17"/>
        </w:rPr>
        <w:t>(2010), Base de Datos del VII Censo de Población y VI de Vivienda.</w:t>
      </w:r>
    </w:p>
    <w:p w:rsidR="00361FCE" w:rsidRDefault="00361FCE" w:rsidP="00105528">
      <w:pPr>
        <w:spacing w:line="276" w:lineRule="auto"/>
        <w:ind w:left="851"/>
        <w:jc w:val="both"/>
        <w:rPr>
          <w:rFonts w:ascii="Arial" w:hAnsi="Arial" w:cs="Arial"/>
        </w:rPr>
      </w:pPr>
      <w:r w:rsidRPr="0002533F">
        <w:rPr>
          <w:rFonts w:ascii="Arial" w:hAnsi="Arial" w:cs="Arial"/>
          <w:b/>
          <w:i/>
          <w:sz w:val="17"/>
          <w:szCs w:val="17"/>
        </w:rPr>
        <w:t>Elaborado por:</w:t>
      </w:r>
      <w:r w:rsidRPr="0002533F">
        <w:rPr>
          <w:rFonts w:ascii="Arial" w:hAnsi="Arial" w:cs="Arial"/>
          <w:sz w:val="17"/>
          <w:szCs w:val="17"/>
        </w:rPr>
        <w:t xml:space="preserve"> Katherine Loor Valeriano</w:t>
      </w:r>
    </w:p>
    <w:p w:rsidR="00F76278" w:rsidRDefault="00F76278" w:rsidP="00361FCE">
      <w:pPr>
        <w:spacing w:line="480" w:lineRule="auto"/>
        <w:ind w:left="567"/>
        <w:jc w:val="both"/>
        <w:rPr>
          <w:rFonts w:ascii="Arial" w:hAnsi="Arial" w:cs="Arial"/>
        </w:rPr>
        <w:sectPr w:rsidR="00F76278" w:rsidSect="007C5B78">
          <w:pgSz w:w="11907" w:h="16839" w:code="9"/>
          <w:pgMar w:top="2268" w:right="1361" w:bottom="2552" w:left="2268" w:header="708" w:footer="708" w:gutter="0"/>
          <w:cols w:space="708"/>
          <w:titlePg/>
          <w:docGrid w:linePitch="360"/>
        </w:sectPr>
      </w:pPr>
    </w:p>
    <w:p w:rsidR="00460BF8" w:rsidRPr="00351EAD" w:rsidRDefault="00460BF8" w:rsidP="00460BF8">
      <w:pPr>
        <w:spacing w:line="480" w:lineRule="auto"/>
        <w:rPr>
          <w:rFonts w:ascii="Arial" w:hAnsi="Arial" w:cs="Arial"/>
        </w:rPr>
      </w:pPr>
    </w:p>
    <w:p w:rsidR="00460BF8" w:rsidRPr="00351EAD" w:rsidRDefault="00460BF8" w:rsidP="00460BF8">
      <w:pPr>
        <w:spacing w:line="480" w:lineRule="auto"/>
        <w:rPr>
          <w:rFonts w:ascii="Arial" w:hAnsi="Arial" w:cs="Arial"/>
        </w:rPr>
      </w:pPr>
    </w:p>
    <w:p w:rsidR="00460BF8" w:rsidRPr="00351EAD" w:rsidRDefault="00460BF8" w:rsidP="00460BF8">
      <w:pPr>
        <w:spacing w:line="480" w:lineRule="auto"/>
        <w:rPr>
          <w:rFonts w:ascii="Arial" w:hAnsi="Arial" w:cs="Arial"/>
        </w:rPr>
      </w:pPr>
    </w:p>
    <w:p w:rsidR="00460BF8" w:rsidRPr="00455F4F" w:rsidRDefault="00460BF8" w:rsidP="00460BF8">
      <w:pPr>
        <w:spacing w:line="480" w:lineRule="auto"/>
        <w:rPr>
          <w:rFonts w:ascii="Arial" w:hAnsi="Arial" w:cs="Arial"/>
        </w:rPr>
      </w:pPr>
    </w:p>
    <w:p w:rsidR="00460BF8" w:rsidRPr="00455F4F" w:rsidRDefault="00460BF8" w:rsidP="00460BF8">
      <w:pPr>
        <w:spacing w:line="480" w:lineRule="auto"/>
        <w:rPr>
          <w:rFonts w:ascii="Arial" w:hAnsi="Arial" w:cs="Arial"/>
        </w:rPr>
      </w:pPr>
    </w:p>
    <w:p w:rsidR="00460BF8" w:rsidRPr="00455F4F" w:rsidRDefault="00460BF8" w:rsidP="00460BF8">
      <w:pPr>
        <w:spacing w:line="480" w:lineRule="auto"/>
        <w:rPr>
          <w:rFonts w:ascii="Arial" w:hAnsi="Arial" w:cs="Arial"/>
        </w:rPr>
      </w:pPr>
    </w:p>
    <w:p w:rsidR="00460BF8" w:rsidRPr="00254597" w:rsidRDefault="00460BF8" w:rsidP="00460BF8">
      <w:pPr>
        <w:pStyle w:val="Indice1"/>
      </w:pPr>
      <w:bookmarkStart w:id="731" w:name="_Toc341040723"/>
      <w:r>
        <w:t>CAPÍTULO 5</w:t>
      </w:r>
      <w:bookmarkEnd w:id="731"/>
    </w:p>
    <w:p w:rsidR="00460BF8" w:rsidRPr="00242C4D" w:rsidRDefault="00222018" w:rsidP="00242C4D">
      <w:pPr>
        <w:pStyle w:val="Prrafodelista"/>
        <w:numPr>
          <w:ilvl w:val="0"/>
          <w:numId w:val="12"/>
        </w:numPr>
        <w:spacing w:line="480" w:lineRule="auto"/>
        <w:ind w:left="284" w:hanging="284"/>
        <w:jc w:val="both"/>
        <w:rPr>
          <w:b/>
          <w:sz w:val="32"/>
          <w:szCs w:val="32"/>
        </w:rPr>
      </w:pPr>
      <w:r>
        <w:rPr>
          <w:rFonts w:ascii="Arial" w:hAnsi="Arial" w:cs="Arial"/>
          <w:b/>
          <w:sz w:val="32"/>
          <w:szCs w:val="32"/>
        </w:rPr>
        <w:t>E</w:t>
      </w:r>
      <w:r w:rsidR="00AD5D27" w:rsidRPr="00242C4D">
        <w:rPr>
          <w:rFonts w:ascii="Arial" w:hAnsi="Arial" w:cs="Arial"/>
          <w:b/>
          <w:sz w:val="32"/>
          <w:szCs w:val="32"/>
        </w:rPr>
        <w:t>MIGRACIÓN INTERNACIONAL</w:t>
      </w:r>
    </w:p>
    <w:p w:rsidR="0006543C" w:rsidRDefault="0006543C" w:rsidP="00242C4D">
      <w:pPr>
        <w:pStyle w:val="51"/>
        <w:ind w:left="851" w:hanging="567"/>
      </w:pPr>
      <w:bookmarkStart w:id="732" w:name="_Toc338412799"/>
      <w:bookmarkStart w:id="733" w:name="_Toc341040724"/>
      <w:r>
        <w:t>Introducción</w:t>
      </w:r>
      <w:bookmarkEnd w:id="732"/>
      <w:bookmarkEnd w:id="733"/>
    </w:p>
    <w:p w:rsidR="0006543C" w:rsidRDefault="0006543C" w:rsidP="00577B5A">
      <w:pPr>
        <w:spacing w:line="480" w:lineRule="auto"/>
        <w:ind w:left="851"/>
        <w:jc w:val="both"/>
        <w:rPr>
          <w:rFonts w:ascii="Arial" w:hAnsi="Arial" w:cs="Arial"/>
        </w:rPr>
      </w:pPr>
      <w:r w:rsidRPr="006E15EA">
        <w:rPr>
          <w:rFonts w:ascii="Arial" w:hAnsi="Arial" w:cs="Arial"/>
        </w:rPr>
        <w:t>Ecuador es un país que además de atraer extranjeros por divers</w:t>
      </w:r>
      <w:r w:rsidR="00577B5A">
        <w:rPr>
          <w:rFonts w:ascii="Arial" w:hAnsi="Arial" w:cs="Arial"/>
        </w:rPr>
        <w:t>a</w:t>
      </w:r>
      <w:r w:rsidRPr="006E15EA">
        <w:rPr>
          <w:rFonts w:ascii="Arial" w:hAnsi="Arial" w:cs="Arial"/>
        </w:rPr>
        <w:t xml:space="preserve">s </w:t>
      </w:r>
      <w:r w:rsidR="00577B5A">
        <w:rPr>
          <w:rFonts w:ascii="Arial" w:hAnsi="Arial" w:cs="Arial"/>
        </w:rPr>
        <w:t>razones</w:t>
      </w:r>
      <w:r w:rsidRPr="006E15EA">
        <w:rPr>
          <w:rFonts w:ascii="Arial" w:hAnsi="Arial" w:cs="Arial"/>
        </w:rPr>
        <w:t xml:space="preserve">, también expulsa población hacia el exterior por </w:t>
      </w:r>
      <w:r w:rsidR="00577B5A">
        <w:rPr>
          <w:rFonts w:ascii="Arial" w:hAnsi="Arial" w:cs="Arial"/>
        </w:rPr>
        <w:t>motivos</w:t>
      </w:r>
      <w:r w:rsidRPr="006E15EA">
        <w:rPr>
          <w:rFonts w:ascii="Arial" w:hAnsi="Arial" w:cs="Arial"/>
        </w:rPr>
        <w:t xml:space="preserve"> de trabajo, estudio u otros; pues hay muchos compatriotas que ven en el extranjero una oportunidad para mejorar su calidad de vida, para obtener nuevos conocimientos al continuar estudiando, hay otros que viajan para rencontrarse con sus familiares que viven fuera del país, etc.</w:t>
      </w:r>
      <w:r w:rsidR="00577B5A">
        <w:rPr>
          <w:rFonts w:ascii="Arial" w:hAnsi="Arial" w:cs="Arial"/>
        </w:rPr>
        <w:t xml:space="preserve"> </w:t>
      </w:r>
      <w:r w:rsidRPr="006E15EA">
        <w:rPr>
          <w:rFonts w:ascii="Arial" w:hAnsi="Arial" w:cs="Arial"/>
        </w:rPr>
        <w:t xml:space="preserve">En este capítulo, </w:t>
      </w:r>
      <w:r>
        <w:rPr>
          <w:rFonts w:ascii="Arial" w:hAnsi="Arial" w:cs="Arial"/>
        </w:rPr>
        <w:t>se presentan</w:t>
      </w:r>
      <w:r w:rsidRPr="006E15EA">
        <w:rPr>
          <w:rFonts w:ascii="Arial" w:hAnsi="Arial" w:cs="Arial"/>
        </w:rPr>
        <w:t xml:space="preserve"> resultados acerca de las personas que en los últimos diez años antes del año del Censo 2010 viajaron al exteri</w:t>
      </w:r>
      <w:r w:rsidR="00577B5A">
        <w:rPr>
          <w:rFonts w:ascii="Arial" w:hAnsi="Arial" w:cs="Arial"/>
        </w:rPr>
        <w:t>or, para los cuales se estudia</w:t>
      </w:r>
      <w:r w:rsidRPr="006E15EA">
        <w:rPr>
          <w:rFonts w:ascii="Arial" w:hAnsi="Arial" w:cs="Arial"/>
        </w:rPr>
        <w:t>n ciertas características contenidas en la sección Remesas y Migración de la Boleta Censal, así como también se analiza el perfil de los emigrantes dado el principal motivo del viaje; cabe resaltar que estas preguntas fueron respondidas por familiares de las personas que viajaron al exterior y que no estaban presentes a la fecha del empadronamiento, 28 de noviembre de 2010.</w:t>
      </w:r>
    </w:p>
    <w:p w:rsidR="0006543C" w:rsidRPr="004B1762" w:rsidRDefault="0006543C" w:rsidP="00577B5A">
      <w:pPr>
        <w:pStyle w:val="51"/>
        <w:ind w:left="851" w:hanging="567"/>
      </w:pPr>
      <w:bookmarkStart w:id="734" w:name="_Toc338407800"/>
      <w:bookmarkStart w:id="735" w:name="_Toc338412803"/>
      <w:bookmarkStart w:id="736" w:name="_Toc341040725"/>
      <w:bookmarkStart w:id="737" w:name="_Toc338412800"/>
      <w:r w:rsidRPr="004B1762">
        <w:t>Índice de Feminidad de los Emigrantes por país de residencia actual</w:t>
      </w:r>
      <w:bookmarkEnd w:id="734"/>
      <w:bookmarkEnd w:id="735"/>
      <w:bookmarkEnd w:id="736"/>
    </w:p>
    <w:p w:rsidR="0006543C" w:rsidRDefault="0006543C" w:rsidP="00577B5A">
      <w:pPr>
        <w:pStyle w:val="Prrafodelista"/>
        <w:spacing w:line="480" w:lineRule="auto"/>
        <w:ind w:left="851"/>
        <w:jc w:val="both"/>
        <w:rPr>
          <w:rFonts w:ascii="Arial" w:hAnsi="Arial" w:cs="Arial"/>
        </w:rPr>
      </w:pPr>
      <w:r w:rsidRPr="00281B33">
        <w:rPr>
          <w:rFonts w:ascii="Arial" w:hAnsi="Arial" w:cs="Arial"/>
        </w:rPr>
        <w:t xml:space="preserve">A noviembre de 2010, </w:t>
      </w:r>
      <w:r w:rsidR="00577B5A">
        <w:rPr>
          <w:rFonts w:ascii="Arial" w:hAnsi="Arial" w:cs="Arial"/>
        </w:rPr>
        <w:t>el censo</w:t>
      </w:r>
      <w:r w:rsidRPr="00281B33">
        <w:rPr>
          <w:rFonts w:ascii="Arial" w:hAnsi="Arial" w:cs="Arial"/>
        </w:rPr>
        <w:t xml:space="preserve"> registró</w:t>
      </w:r>
      <w:r w:rsidR="00577B5A">
        <w:rPr>
          <w:rFonts w:ascii="Arial" w:hAnsi="Arial" w:cs="Arial"/>
        </w:rPr>
        <w:t>,</w:t>
      </w:r>
      <w:r w:rsidRPr="00281B33">
        <w:rPr>
          <w:rFonts w:ascii="Arial" w:hAnsi="Arial" w:cs="Arial"/>
        </w:rPr>
        <w:t xml:space="preserve"> que de Ecuador habían emigrado 280407 habitantes hacia el exterior</w:t>
      </w:r>
      <w:r w:rsidRPr="004B1762">
        <w:rPr>
          <w:rFonts w:ascii="Arial" w:hAnsi="Arial" w:cs="Arial"/>
        </w:rPr>
        <w:t xml:space="preserve"> durante </w:t>
      </w:r>
      <w:r>
        <w:rPr>
          <w:rFonts w:ascii="Arial" w:hAnsi="Arial" w:cs="Arial"/>
        </w:rPr>
        <w:t>el período comprendido</w:t>
      </w:r>
      <w:r w:rsidRPr="004B1762">
        <w:rPr>
          <w:rFonts w:ascii="Arial" w:hAnsi="Arial" w:cs="Arial"/>
        </w:rPr>
        <w:t xml:space="preserve"> entre noviembre de 2001 y noviembre de 2010, </w:t>
      </w:r>
      <w:r>
        <w:rPr>
          <w:rFonts w:ascii="Arial" w:hAnsi="Arial" w:cs="Arial"/>
        </w:rPr>
        <w:t xml:space="preserve">de los cuales </w:t>
      </w:r>
      <w:r w:rsidRPr="004B1762">
        <w:rPr>
          <w:rFonts w:ascii="Arial" w:hAnsi="Arial" w:cs="Arial"/>
        </w:rPr>
        <w:t>el 53.82% son hombres y por tanto el porcentaje restante (46.18%) son mujeres; teniéndose que en esos años por cada 100 hombres que emigraban 85.79 mujeres también lo hacían. En las siguientes cinco figuras, se presenta el índice de feminidad de los emigrantes por país de residencia actual para cada uno de los continentes.</w:t>
      </w:r>
    </w:p>
    <w:p w:rsidR="0006543C" w:rsidRPr="004B1762" w:rsidRDefault="0006543C" w:rsidP="00577B5A">
      <w:pPr>
        <w:pStyle w:val="Prrafodelista"/>
        <w:spacing w:line="480" w:lineRule="auto"/>
        <w:ind w:left="851"/>
        <w:jc w:val="both"/>
        <w:rPr>
          <w:rFonts w:ascii="Arial" w:hAnsi="Arial" w:cs="Arial"/>
        </w:rPr>
      </w:pPr>
    </w:p>
    <w:p w:rsidR="00577B5A" w:rsidRDefault="0006543C" w:rsidP="00577B5A">
      <w:pPr>
        <w:pStyle w:val="Prrafodelista"/>
        <w:spacing w:line="480" w:lineRule="auto"/>
        <w:ind w:left="851"/>
        <w:jc w:val="both"/>
        <w:rPr>
          <w:rFonts w:ascii="Arial" w:hAnsi="Arial" w:cs="Arial"/>
        </w:rPr>
      </w:pPr>
      <w:r w:rsidRPr="004B1762">
        <w:rPr>
          <w:rFonts w:ascii="Arial" w:hAnsi="Arial" w:cs="Arial"/>
        </w:rPr>
        <w:t xml:space="preserve">De los emigrantes que se dirigieron hacia algún país de América, se </w:t>
      </w:r>
      <w:r w:rsidR="00AE13C0">
        <w:rPr>
          <w:rFonts w:ascii="Arial" w:hAnsi="Arial" w:cs="Arial"/>
        </w:rPr>
        <w:t>encontró</w:t>
      </w:r>
      <w:r w:rsidRPr="004B1762">
        <w:rPr>
          <w:rFonts w:ascii="Arial" w:hAnsi="Arial" w:cs="Arial"/>
        </w:rPr>
        <w:t xml:space="preserve"> que hay 69.92 mujeres por cada 100 hombres; mientras que si solo consideramos a los compatriotas que emigraron hacia algún país de América del Norte se tiene que hay 66.61 mujeres por cada 100 hombres; y, de los que emigraron hacia algún país de Latino América y el Caribe en cambio corresponden 84.20 mujeres por cada 100 hombres. </w:t>
      </w:r>
    </w:p>
    <w:p w:rsidR="00577B5A" w:rsidRDefault="00577B5A" w:rsidP="00577B5A">
      <w:pPr>
        <w:pStyle w:val="Prrafodelista"/>
        <w:spacing w:line="480" w:lineRule="auto"/>
        <w:ind w:left="851"/>
        <w:jc w:val="both"/>
        <w:rPr>
          <w:rFonts w:ascii="Arial" w:hAnsi="Arial" w:cs="Arial"/>
        </w:rPr>
      </w:pPr>
    </w:p>
    <w:p w:rsidR="0006543C" w:rsidRDefault="0006543C" w:rsidP="00577B5A">
      <w:pPr>
        <w:pStyle w:val="Prrafodelista"/>
        <w:spacing w:line="480" w:lineRule="auto"/>
        <w:ind w:left="851"/>
        <w:jc w:val="both"/>
        <w:rPr>
          <w:rFonts w:ascii="Arial" w:hAnsi="Arial" w:cs="Arial"/>
        </w:rPr>
      </w:pPr>
      <w:r w:rsidRPr="004B1762">
        <w:rPr>
          <w:rFonts w:ascii="Arial" w:hAnsi="Arial" w:cs="Arial"/>
        </w:rPr>
        <w:t xml:space="preserve">En la </w:t>
      </w:r>
      <w:r w:rsidRPr="004B1762">
        <w:rPr>
          <w:rFonts w:ascii="Arial" w:hAnsi="Arial" w:cs="Arial"/>
          <w:i/>
        </w:rPr>
        <w:t>Figura 5.</w:t>
      </w:r>
      <w:r>
        <w:rPr>
          <w:rFonts w:ascii="Arial" w:hAnsi="Arial" w:cs="Arial"/>
          <w:i/>
        </w:rPr>
        <w:t>1</w:t>
      </w:r>
      <w:r w:rsidRPr="004B1762">
        <w:rPr>
          <w:rFonts w:ascii="Arial" w:hAnsi="Arial" w:cs="Arial"/>
        </w:rPr>
        <w:t xml:space="preserve">, se presenta el índice de feminidad de los emigrantes por país de residencia actual, en donde podemos notar que quienes han viajado hacia países como Canadá o Cuba son mayoritariamente mujeres, mientras que los que se fueron a Estados Unidos son en mayor </w:t>
      </w:r>
      <w:r w:rsidR="00577B5A">
        <w:rPr>
          <w:rFonts w:ascii="Arial" w:hAnsi="Arial" w:cs="Arial"/>
        </w:rPr>
        <w:t>parte</w:t>
      </w:r>
      <w:r w:rsidRPr="004B1762">
        <w:rPr>
          <w:rFonts w:ascii="Arial" w:hAnsi="Arial" w:cs="Arial"/>
        </w:rPr>
        <w:t xml:space="preserve"> hombres, de los que están en Chile hay casi igual cantidad de hombres que de mujeres.</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577B5A">
        <w:trPr>
          <w:trHeight w:val="2041"/>
          <w:jc w:val="right"/>
        </w:trPr>
        <w:tc>
          <w:tcPr>
            <w:tcW w:w="7497"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38" w:name="_Toc341044081"/>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1</w:t>
            </w:r>
            <w:bookmarkEnd w:id="738"/>
            <w:r w:rsidR="00990535" w:rsidRPr="0006543C">
              <w:rPr>
                <w:rFonts w:ascii="Arial" w:hAnsi="Arial" w:cs="Arial"/>
                <w:bCs w:val="0"/>
                <w:color w:val="auto"/>
                <w:sz w:val="16"/>
                <w:szCs w:val="16"/>
              </w:rPr>
              <w:fldChar w:fldCharType="end"/>
            </w:r>
          </w:p>
          <w:p w:rsidR="0006543C" w:rsidRDefault="00577B5A" w:rsidP="0006543C">
            <w:pPr>
              <w:rPr>
                <w:rFonts w:ascii="Arial" w:hAnsi="Arial" w:cs="Arial"/>
                <w:sz w:val="18"/>
                <w:szCs w:val="18"/>
              </w:rPr>
            </w:pPr>
            <w:r>
              <w:rPr>
                <w:rFonts w:ascii="Arial" w:hAnsi="Arial" w:cs="Arial"/>
                <w:b/>
                <w:i/>
                <w:sz w:val="16"/>
                <w:szCs w:val="16"/>
              </w:rPr>
              <w:t xml:space="preserve">Ecuador 2010: </w:t>
            </w:r>
            <w:r w:rsidR="0006543C">
              <w:rPr>
                <w:rFonts w:ascii="Arial" w:hAnsi="Arial" w:cs="Arial"/>
                <w:i/>
                <w:sz w:val="16"/>
                <w:szCs w:val="16"/>
              </w:rPr>
              <w:t xml:space="preserve">Índice de Feminidad de los emigrantes por País de residencia actual: </w:t>
            </w:r>
            <w:r w:rsidR="0006543C" w:rsidRPr="001863F2">
              <w:rPr>
                <w:rFonts w:ascii="Arial" w:hAnsi="Arial" w:cs="Arial"/>
                <w:sz w:val="18"/>
                <w:szCs w:val="18"/>
              </w:rPr>
              <w:t>“</w:t>
            </w:r>
            <w:r w:rsidR="0006543C" w:rsidRPr="001863F2">
              <w:rPr>
                <w:rFonts w:ascii="Arial" w:hAnsi="Arial" w:cs="Arial"/>
                <w:b/>
                <w:sz w:val="18"/>
                <w:szCs w:val="18"/>
              </w:rPr>
              <w:t>AMÉRICA</w:t>
            </w:r>
            <w:r w:rsidR="0006543C" w:rsidRPr="001863F2">
              <w:rPr>
                <w:rFonts w:ascii="Arial" w:hAnsi="Arial" w:cs="Arial"/>
                <w:sz w:val="18"/>
                <w:szCs w:val="18"/>
              </w:rPr>
              <w:t>”</w:t>
            </w:r>
          </w:p>
          <w:p w:rsidR="0006543C" w:rsidRPr="00840530" w:rsidRDefault="0006543C" w:rsidP="0006543C">
            <w:pPr>
              <w:rPr>
                <w:rFonts w:ascii="Arial" w:hAnsi="Arial" w:cs="Arial"/>
                <w:sz w:val="24"/>
                <w:szCs w:val="24"/>
              </w:rPr>
            </w:pPr>
            <w:r>
              <w:rPr>
                <w:noProof/>
                <w:lang w:eastAsia="es-EC"/>
              </w:rPr>
              <w:drawing>
                <wp:inline distT="0" distB="0" distL="0" distR="0" wp14:anchorId="2099576A" wp14:editId="35BB4A03">
                  <wp:extent cx="3992400" cy="1332000"/>
                  <wp:effectExtent l="0" t="0" r="0" b="0"/>
                  <wp:docPr id="156" name="Gráfico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tc>
      </w:tr>
    </w:tbl>
    <w:p w:rsidR="0006543C" w:rsidRPr="00B5615F" w:rsidRDefault="0006543C" w:rsidP="00577B5A">
      <w:pPr>
        <w:spacing w:line="276" w:lineRule="auto"/>
        <w:ind w:left="851"/>
        <w:jc w:val="both"/>
        <w:rPr>
          <w:rFonts w:ascii="Arial" w:hAnsi="Arial" w:cs="Arial"/>
          <w:sz w:val="13"/>
          <w:szCs w:val="13"/>
        </w:rPr>
      </w:pPr>
    </w:p>
    <w:p w:rsidR="0006543C" w:rsidRPr="00577B5A" w:rsidRDefault="0006543C" w:rsidP="00577B5A">
      <w:pPr>
        <w:spacing w:line="276" w:lineRule="auto"/>
        <w:ind w:left="851"/>
        <w:jc w:val="both"/>
        <w:rPr>
          <w:rFonts w:ascii="Arial" w:hAnsi="Arial" w:cs="Arial"/>
          <w:sz w:val="17"/>
          <w:szCs w:val="17"/>
        </w:rPr>
      </w:pPr>
      <w:r w:rsidRPr="00577B5A">
        <w:rPr>
          <w:rFonts w:ascii="Arial" w:hAnsi="Arial" w:cs="Arial"/>
          <w:b/>
          <w:i/>
          <w:sz w:val="17"/>
          <w:szCs w:val="17"/>
        </w:rPr>
        <w:t>Fuente:</w:t>
      </w:r>
      <w:r w:rsidRPr="00577B5A">
        <w:rPr>
          <w:rFonts w:ascii="Arial" w:hAnsi="Arial" w:cs="Arial"/>
          <w:sz w:val="17"/>
          <w:szCs w:val="17"/>
        </w:rPr>
        <w:t xml:space="preserve"> </w:t>
      </w:r>
      <w:r w:rsidRPr="00577B5A">
        <w:rPr>
          <w:rFonts w:ascii="Arial" w:hAnsi="Arial" w:cs="Arial"/>
          <w:b/>
          <w:sz w:val="17"/>
          <w:szCs w:val="17"/>
        </w:rPr>
        <w:t xml:space="preserve">INEC </w:t>
      </w:r>
      <w:r w:rsidRPr="00577B5A">
        <w:rPr>
          <w:rFonts w:ascii="Arial" w:hAnsi="Arial" w:cs="Arial"/>
          <w:sz w:val="17"/>
          <w:szCs w:val="17"/>
        </w:rPr>
        <w:t>(2010), Base de Datos del VII Censo de Población y VI de Vivienda.</w:t>
      </w:r>
    </w:p>
    <w:p w:rsidR="0006543C" w:rsidRPr="00577B5A" w:rsidRDefault="0006543C" w:rsidP="00577B5A">
      <w:pPr>
        <w:spacing w:line="276" w:lineRule="auto"/>
        <w:ind w:left="851"/>
        <w:jc w:val="both"/>
        <w:rPr>
          <w:rFonts w:ascii="Arial" w:hAnsi="Arial" w:cs="Arial"/>
          <w:sz w:val="17"/>
          <w:szCs w:val="17"/>
        </w:rPr>
      </w:pPr>
      <w:r w:rsidRPr="00577B5A">
        <w:rPr>
          <w:rFonts w:ascii="Arial" w:hAnsi="Arial" w:cs="Arial"/>
          <w:b/>
          <w:i/>
          <w:sz w:val="17"/>
          <w:szCs w:val="17"/>
        </w:rPr>
        <w:t>Elaborado por:</w:t>
      </w:r>
      <w:r w:rsidRPr="00577B5A">
        <w:rPr>
          <w:rFonts w:ascii="Arial" w:hAnsi="Arial" w:cs="Arial"/>
          <w:sz w:val="17"/>
          <w:szCs w:val="17"/>
        </w:rPr>
        <w:t xml:space="preserve"> Katherine Loor Valeriano</w:t>
      </w:r>
    </w:p>
    <w:p w:rsidR="0006543C" w:rsidRDefault="0006543C" w:rsidP="00577B5A">
      <w:pPr>
        <w:spacing w:line="480" w:lineRule="auto"/>
        <w:ind w:left="851"/>
        <w:jc w:val="both"/>
        <w:rPr>
          <w:rFonts w:ascii="Arial" w:hAnsi="Arial" w:cs="Arial"/>
        </w:rPr>
      </w:pPr>
    </w:p>
    <w:p w:rsidR="0006543C" w:rsidRPr="008E3E16" w:rsidRDefault="0006543C" w:rsidP="00577B5A">
      <w:pPr>
        <w:pStyle w:val="Prrafodelista"/>
        <w:spacing w:line="480" w:lineRule="auto"/>
        <w:ind w:left="851"/>
        <w:jc w:val="both"/>
        <w:rPr>
          <w:rFonts w:ascii="Arial" w:hAnsi="Arial" w:cs="Arial"/>
        </w:rPr>
      </w:pPr>
      <w:r>
        <w:rPr>
          <w:rFonts w:ascii="Arial" w:hAnsi="Arial" w:cs="Arial"/>
        </w:rPr>
        <w:t xml:space="preserve">En lo que respecta a Europa, tenemos que hacia este continente emigran 99.95 mujeres por cada 100 hombres que van al mismo continente, siendo </w:t>
      </w:r>
      <w:r w:rsidR="00577B5A">
        <w:rPr>
          <w:rFonts w:ascii="Arial" w:hAnsi="Arial" w:cs="Arial"/>
        </w:rPr>
        <w:t xml:space="preserve">por tanto </w:t>
      </w:r>
      <w:r>
        <w:rPr>
          <w:rFonts w:ascii="Arial" w:hAnsi="Arial" w:cs="Arial"/>
        </w:rPr>
        <w:t xml:space="preserve">casi igual la cantidad de hombres y de mujeres que </w:t>
      </w:r>
      <w:r w:rsidR="00577B5A">
        <w:rPr>
          <w:rFonts w:ascii="Arial" w:hAnsi="Arial" w:cs="Arial"/>
        </w:rPr>
        <w:t>según esta contabilidad</w:t>
      </w:r>
      <w:r>
        <w:rPr>
          <w:rFonts w:ascii="Arial" w:hAnsi="Arial" w:cs="Arial"/>
        </w:rPr>
        <w:t xml:space="preserve"> emigraron hacia Europa. En la </w:t>
      </w:r>
      <w:r>
        <w:rPr>
          <w:rFonts w:ascii="Arial" w:hAnsi="Arial" w:cs="Arial"/>
          <w:i/>
        </w:rPr>
        <w:t>Figura 5.2</w:t>
      </w:r>
      <w:r>
        <w:rPr>
          <w:rFonts w:ascii="Arial" w:hAnsi="Arial" w:cs="Arial"/>
        </w:rPr>
        <w:t>, se observ</w:t>
      </w:r>
      <w:r w:rsidR="00577B5A">
        <w:rPr>
          <w:rFonts w:ascii="Arial" w:hAnsi="Arial" w:cs="Arial"/>
        </w:rPr>
        <w:t xml:space="preserve">a que en muchos </w:t>
      </w:r>
      <w:r>
        <w:rPr>
          <w:rFonts w:ascii="Arial" w:hAnsi="Arial" w:cs="Arial"/>
        </w:rPr>
        <w:t xml:space="preserve">de los casos allí mostrados es mayor la cantidad de mujeres que de hombres en países como Italia, Alemania, Bélgica, entre otras; aunque, en países como Reino Unido se tiene que han emigrado 85.13 mujeres por cada 100 hombres; y, también en países como Rusia se </w:t>
      </w:r>
      <w:r w:rsidR="00AE13C0">
        <w:rPr>
          <w:rFonts w:ascii="Arial" w:hAnsi="Arial" w:cs="Arial"/>
        </w:rPr>
        <w:t>encontró</w:t>
      </w:r>
      <w:r>
        <w:rPr>
          <w:rFonts w:ascii="Arial" w:hAnsi="Arial" w:cs="Arial"/>
        </w:rPr>
        <w:t xml:space="preserve"> una situación similar pues en este país residen actualmente 62.18 mujeres por cada 100 hombres que fueron al mismo país.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577B5A">
        <w:trPr>
          <w:trHeight w:val="2041"/>
          <w:jc w:val="right"/>
        </w:trPr>
        <w:tc>
          <w:tcPr>
            <w:tcW w:w="7497"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39" w:name="_Toc341044082"/>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2</w:t>
            </w:r>
            <w:bookmarkEnd w:id="739"/>
            <w:r w:rsidR="00990535" w:rsidRPr="0006543C">
              <w:rPr>
                <w:rFonts w:ascii="Arial" w:hAnsi="Arial" w:cs="Arial"/>
                <w:bCs w:val="0"/>
                <w:color w:val="auto"/>
                <w:sz w:val="16"/>
                <w:szCs w:val="16"/>
              </w:rPr>
              <w:fldChar w:fldCharType="end"/>
            </w:r>
          </w:p>
          <w:p w:rsidR="0006543C" w:rsidRDefault="00577B5A" w:rsidP="0006543C">
            <w:pPr>
              <w:rPr>
                <w:rFonts w:ascii="Arial" w:hAnsi="Arial" w:cs="Arial"/>
                <w:sz w:val="18"/>
                <w:szCs w:val="18"/>
              </w:rPr>
            </w:pPr>
            <w:r>
              <w:rPr>
                <w:rFonts w:ascii="Arial" w:hAnsi="Arial" w:cs="Arial"/>
                <w:b/>
                <w:i/>
                <w:sz w:val="16"/>
                <w:szCs w:val="16"/>
              </w:rPr>
              <w:t xml:space="preserve">Ecuador 2010: </w:t>
            </w:r>
            <w:r w:rsidR="0006543C">
              <w:rPr>
                <w:rFonts w:ascii="Arial" w:hAnsi="Arial" w:cs="Arial"/>
                <w:i/>
                <w:sz w:val="16"/>
                <w:szCs w:val="16"/>
              </w:rPr>
              <w:t xml:space="preserve">Índice de Feminidad de los emigrantes por País de residencia actual: </w:t>
            </w:r>
            <w:r w:rsidR="0006543C" w:rsidRPr="001863F2">
              <w:rPr>
                <w:rFonts w:ascii="Arial" w:hAnsi="Arial" w:cs="Arial"/>
                <w:sz w:val="18"/>
                <w:szCs w:val="18"/>
              </w:rPr>
              <w:t>“</w:t>
            </w:r>
            <w:r w:rsidR="0006543C">
              <w:rPr>
                <w:rFonts w:ascii="Arial" w:hAnsi="Arial" w:cs="Arial"/>
                <w:b/>
                <w:sz w:val="18"/>
                <w:szCs w:val="18"/>
              </w:rPr>
              <w:t>EUROPA</w:t>
            </w:r>
            <w:r w:rsidR="0006543C" w:rsidRPr="001863F2">
              <w:rPr>
                <w:rFonts w:ascii="Arial" w:hAnsi="Arial" w:cs="Arial"/>
                <w:sz w:val="18"/>
                <w:szCs w:val="18"/>
              </w:rPr>
              <w:t>”</w:t>
            </w:r>
          </w:p>
          <w:p w:rsidR="0006543C" w:rsidRPr="00840530" w:rsidRDefault="0006543C" w:rsidP="0006543C">
            <w:pPr>
              <w:rPr>
                <w:rFonts w:ascii="Arial" w:hAnsi="Arial" w:cs="Arial"/>
                <w:sz w:val="24"/>
                <w:szCs w:val="24"/>
              </w:rPr>
            </w:pPr>
            <w:r>
              <w:rPr>
                <w:noProof/>
                <w:lang w:eastAsia="es-EC"/>
              </w:rPr>
              <w:drawing>
                <wp:inline distT="0" distB="0" distL="0" distR="0" wp14:anchorId="6D131A05" wp14:editId="10DA3638">
                  <wp:extent cx="3992400" cy="1332000"/>
                  <wp:effectExtent l="0" t="0" r="0" b="0"/>
                  <wp:docPr id="157" name="Gráfico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c>
      </w:tr>
    </w:tbl>
    <w:p w:rsidR="0006543C" w:rsidRPr="00577B5A" w:rsidRDefault="0006543C" w:rsidP="00B5615F">
      <w:pPr>
        <w:pStyle w:val="Prrafodelista"/>
        <w:spacing w:line="276" w:lineRule="auto"/>
        <w:ind w:left="851"/>
        <w:jc w:val="both"/>
        <w:rPr>
          <w:rFonts w:ascii="Arial" w:hAnsi="Arial" w:cs="Arial"/>
          <w:sz w:val="17"/>
          <w:szCs w:val="17"/>
        </w:rPr>
      </w:pPr>
    </w:p>
    <w:p w:rsidR="0006543C" w:rsidRPr="00577B5A" w:rsidRDefault="0006543C" w:rsidP="00B5615F">
      <w:pPr>
        <w:pStyle w:val="Prrafodelista"/>
        <w:spacing w:line="276" w:lineRule="auto"/>
        <w:ind w:left="851"/>
        <w:jc w:val="both"/>
        <w:rPr>
          <w:rFonts w:ascii="Arial" w:hAnsi="Arial" w:cs="Arial"/>
          <w:sz w:val="17"/>
          <w:szCs w:val="17"/>
        </w:rPr>
      </w:pPr>
      <w:r w:rsidRPr="00577B5A">
        <w:rPr>
          <w:rFonts w:ascii="Arial" w:hAnsi="Arial" w:cs="Arial"/>
          <w:b/>
          <w:i/>
          <w:sz w:val="17"/>
          <w:szCs w:val="17"/>
        </w:rPr>
        <w:t>Fuente:</w:t>
      </w:r>
      <w:r w:rsidRPr="00577B5A">
        <w:rPr>
          <w:rFonts w:ascii="Arial" w:hAnsi="Arial" w:cs="Arial"/>
          <w:sz w:val="17"/>
          <w:szCs w:val="17"/>
        </w:rPr>
        <w:t xml:space="preserve"> </w:t>
      </w:r>
      <w:r w:rsidRPr="00577B5A">
        <w:rPr>
          <w:rFonts w:ascii="Arial" w:hAnsi="Arial" w:cs="Arial"/>
          <w:b/>
          <w:sz w:val="17"/>
          <w:szCs w:val="17"/>
        </w:rPr>
        <w:t xml:space="preserve">INEC </w:t>
      </w:r>
      <w:r w:rsidRPr="00577B5A">
        <w:rPr>
          <w:rFonts w:ascii="Arial" w:hAnsi="Arial" w:cs="Arial"/>
          <w:sz w:val="17"/>
          <w:szCs w:val="17"/>
        </w:rPr>
        <w:t>(2010), Base de Datos del VII Censo de Población y VI de Vivienda.</w:t>
      </w:r>
    </w:p>
    <w:p w:rsidR="0006543C" w:rsidRPr="00577B5A" w:rsidRDefault="0006543C" w:rsidP="00B5615F">
      <w:pPr>
        <w:pStyle w:val="Prrafodelista"/>
        <w:spacing w:line="276" w:lineRule="auto"/>
        <w:ind w:left="851"/>
        <w:jc w:val="both"/>
        <w:rPr>
          <w:rFonts w:ascii="Arial" w:hAnsi="Arial" w:cs="Arial"/>
          <w:sz w:val="17"/>
          <w:szCs w:val="17"/>
        </w:rPr>
      </w:pPr>
      <w:r w:rsidRPr="00577B5A">
        <w:rPr>
          <w:rFonts w:ascii="Arial" w:hAnsi="Arial" w:cs="Arial"/>
          <w:b/>
          <w:i/>
          <w:sz w:val="17"/>
          <w:szCs w:val="17"/>
        </w:rPr>
        <w:t>Elaborado por:</w:t>
      </w:r>
      <w:r w:rsidRPr="00577B5A">
        <w:rPr>
          <w:rFonts w:ascii="Arial" w:hAnsi="Arial" w:cs="Arial"/>
          <w:sz w:val="17"/>
          <w:szCs w:val="17"/>
        </w:rPr>
        <w:t xml:space="preserve"> Katherine Loor Valeriano</w:t>
      </w:r>
    </w:p>
    <w:p w:rsidR="0006543C" w:rsidRPr="00287F2C" w:rsidRDefault="0006543C" w:rsidP="00287F2C">
      <w:pPr>
        <w:spacing w:line="480" w:lineRule="auto"/>
        <w:ind w:left="851"/>
        <w:jc w:val="both"/>
        <w:rPr>
          <w:rFonts w:ascii="Arial" w:hAnsi="Arial" w:cs="Arial"/>
        </w:rPr>
      </w:pPr>
      <w:bookmarkStart w:id="740" w:name="_Toc339853110"/>
      <w:bookmarkStart w:id="741" w:name="_Toc340231880"/>
      <w:r w:rsidRPr="00287F2C">
        <w:rPr>
          <w:rFonts w:ascii="Arial" w:hAnsi="Arial" w:cs="Arial"/>
        </w:rPr>
        <w:t xml:space="preserve">De total de personas que se registra emigraron a Asia, se tiene que se fueron 83.85 mujeres por cada 100 hombres; en la </w:t>
      </w:r>
      <w:r w:rsidRPr="00287F2C">
        <w:rPr>
          <w:rFonts w:ascii="Arial" w:hAnsi="Arial" w:cs="Arial"/>
          <w:i/>
        </w:rPr>
        <w:t>Figura 5.3</w:t>
      </w:r>
      <w:r w:rsidRPr="00287F2C">
        <w:rPr>
          <w:rFonts w:ascii="Arial" w:hAnsi="Arial" w:cs="Arial"/>
        </w:rPr>
        <w:t xml:space="preserve">, se presenta el índice de feminidad para algunos de los países de este continente, donde podemos observar que de las personas que viajaron hacia China hay 62.63 mujeres por cada 100 hombres, en Japón sucede algo similar pues por cada 100 hombres han emigrado 58.57 mujeres hacia el mismo país también, el menor de los índices de feminidad lo presenta Irak ya que hacia este país emigran 8.33 mujeres por cada 100 hombres esto probablemente se deba a que muchos pensamos que este país esta constantemente en conflictos y por tanto evitamos viajar hacia este lugar, mientras que quienes van a Turquía se </w:t>
      </w:r>
      <w:r w:rsidR="00AE13C0">
        <w:rPr>
          <w:rFonts w:ascii="Arial" w:hAnsi="Arial" w:cs="Arial"/>
        </w:rPr>
        <w:t>encontró</w:t>
      </w:r>
      <w:r w:rsidRPr="00287F2C">
        <w:rPr>
          <w:rFonts w:ascii="Arial" w:hAnsi="Arial" w:cs="Arial"/>
        </w:rPr>
        <w:t xml:space="preserve"> que han emigrado 166.67 mujeres por cada 100 hombres y hacia Corea del Sur han viajado igual cantidad de hombres que de  mujeres.</w:t>
      </w:r>
      <w:bookmarkEnd w:id="740"/>
      <w:bookmarkEnd w:id="741"/>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B5615F">
        <w:trPr>
          <w:trHeight w:val="2041"/>
          <w:jc w:val="right"/>
        </w:trPr>
        <w:tc>
          <w:tcPr>
            <w:tcW w:w="7497"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42" w:name="_Toc341044083"/>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3</w:t>
            </w:r>
            <w:bookmarkEnd w:id="742"/>
            <w:r w:rsidR="00990535" w:rsidRPr="0006543C">
              <w:rPr>
                <w:rFonts w:ascii="Arial" w:hAnsi="Arial" w:cs="Arial"/>
                <w:bCs w:val="0"/>
                <w:color w:val="auto"/>
                <w:sz w:val="16"/>
                <w:szCs w:val="16"/>
              </w:rPr>
              <w:fldChar w:fldCharType="end"/>
            </w:r>
          </w:p>
          <w:p w:rsidR="0006543C" w:rsidRDefault="00B5615F" w:rsidP="0006543C">
            <w:pPr>
              <w:rPr>
                <w:rFonts w:ascii="Arial" w:hAnsi="Arial" w:cs="Arial"/>
                <w:sz w:val="18"/>
                <w:szCs w:val="18"/>
              </w:rPr>
            </w:pPr>
            <w:r>
              <w:rPr>
                <w:rFonts w:ascii="Arial" w:hAnsi="Arial" w:cs="Arial"/>
                <w:b/>
                <w:i/>
                <w:sz w:val="16"/>
                <w:szCs w:val="16"/>
              </w:rPr>
              <w:t xml:space="preserve">Ecuador 2010: </w:t>
            </w:r>
            <w:r w:rsidR="0006543C">
              <w:rPr>
                <w:rFonts w:ascii="Arial" w:hAnsi="Arial" w:cs="Arial"/>
                <w:i/>
                <w:sz w:val="16"/>
                <w:szCs w:val="16"/>
              </w:rPr>
              <w:t xml:space="preserve">Índice de Feminidad de los emigrantes por País de residencia actual: </w:t>
            </w:r>
            <w:r w:rsidR="0006543C" w:rsidRPr="001863F2">
              <w:rPr>
                <w:rFonts w:ascii="Arial" w:hAnsi="Arial" w:cs="Arial"/>
                <w:sz w:val="18"/>
                <w:szCs w:val="18"/>
              </w:rPr>
              <w:t>“</w:t>
            </w:r>
            <w:r w:rsidR="0006543C">
              <w:rPr>
                <w:rFonts w:ascii="Arial" w:hAnsi="Arial" w:cs="Arial"/>
                <w:b/>
                <w:sz w:val="18"/>
                <w:szCs w:val="18"/>
              </w:rPr>
              <w:t>ASIA</w:t>
            </w:r>
            <w:r w:rsidR="0006543C" w:rsidRPr="001863F2">
              <w:rPr>
                <w:rFonts w:ascii="Arial" w:hAnsi="Arial" w:cs="Arial"/>
                <w:sz w:val="18"/>
                <w:szCs w:val="18"/>
              </w:rPr>
              <w:t>”</w:t>
            </w:r>
          </w:p>
          <w:p w:rsidR="0006543C" w:rsidRPr="00287B5F" w:rsidRDefault="0006543C" w:rsidP="0006543C">
            <w:pPr>
              <w:rPr>
                <w:rFonts w:ascii="Arial" w:hAnsi="Arial" w:cs="Arial"/>
                <w:sz w:val="10"/>
                <w:szCs w:val="10"/>
              </w:rPr>
            </w:pPr>
          </w:p>
          <w:p w:rsidR="0006543C" w:rsidRPr="00840530" w:rsidRDefault="0006543C" w:rsidP="0006543C">
            <w:pPr>
              <w:rPr>
                <w:rFonts w:ascii="Arial" w:hAnsi="Arial" w:cs="Arial"/>
                <w:sz w:val="24"/>
                <w:szCs w:val="24"/>
              </w:rPr>
            </w:pPr>
            <w:r>
              <w:rPr>
                <w:noProof/>
                <w:lang w:eastAsia="es-EC"/>
              </w:rPr>
              <w:drawing>
                <wp:inline distT="0" distB="0" distL="0" distR="0" wp14:anchorId="1E5EB453" wp14:editId="32388D8C">
                  <wp:extent cx="3992400" cy="1512000"/>
                  <wp:effectExtent l="0" t="0" r="0" b="0"/>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c>
      </w:tr>
    </w:tbl>
    <w:p w:rsidR="0006543C" w:rsidRPr="00B5615F" w:rsidRDefault="0006543C" w:rsidP="00B5615F">
      <w:pPr>
        <w:pStyle w:val="Prrafodelista"/>
        <w:spacing w:line="276" w:lineRule="auto"/>
        <w:ind w:left="851"/>
        <w:jc w:val="both"/>
        <w:rPr>
          <w:rFonts w:ascii="Arial" w:hAnsi="Arial" w:cs="Arial"/>
          <w:sz w:val="17"/>
          <w:szCs w:val="17"/>
        </w:rPr>
      </w:pPr>
    </w:p>
    <w:p w:rsidR="0006543C" w:rsidRPr="00B5615F" w:rsidRDefault="0006543C" w:rsidP="00B5615F">
      <w:pPr>
        <w:pStyle w:val="Prrafodelista"/>
        <w:spacing w:line="276" w:lineRule="auto"/>
        <w:ind w:left="851"/>
        <w:jc w:val="both"/>
        <w:rPr>
          <w:rFonts w:ascii="Arial" w:hAnsi="Arial" w:cs="Arial"/>
          <w:sz w:val="17"/>
          <w:szCs w:val="17"/>
        </w:rPr>
      </w:pPr>
      <w:r w:rsidRPr="00B5615F">
        <w:rPr>
          <w:rFonts w:ascii="Arial" w:hAnsi="Arial" w:cs="Arial"/>
          <w:b/>
          <w:i/>
          <w:sz w:val="17"/>
          <w:szCs w:val="17"/>
        </w:rPr>
        <w:t>Fuente:</w:t>
      </w:r>
      <w:r w:rsidRPr="00B5615F">
        <w:rPr>
          <w:rFonts w:ascii="Arial" w:hAnsi="Arial" w:cs="Arial"/>
          <w:sz w:val="17"/>
          <w:szCs w:val="17"/>
        </w:rPr>
        <w:t xml:space="preserve"> </w:t>
      </w:r>
      <w:r w:rsidRPr="00B5615F">
        <w:rPr>
          <w:rFonts w:ascii="Arial" w:hAnsi="Arial" w:cs="Arial"/>
          <w:b/>
          <w:sz w:val="17"/>
          <w:szCs w:val="17"/>
        </w:rPr>
        <w:t xml:space="preserve">INEC </w:t>
      </w:r>
      <w:r w:rsidRPr="00B5615F">
        <w:rPr>
          <w:rFonts w:ascii="Arial" w:hAnsi="Arial" w:cs="Arial"/>
          <w:sz w:val="17"/>
          <w:szCs w:val="17"/>
        </w:rPr>
        <w:t>(2010), Base de Datos del VII Censo de Población y VI de Vivienda.</w:t>
      </w:r>
    </w:p>
    <w:p w:rsidR="0006543C" w:rsidRPr="00B5615F" w:rsidRDefault="0006543C" w:rsidP="00B5615F">
      <w:pPr>
        <w:pStyle w:val="Prrafodelista"/>
        <w:spacing w:line="276" w:lineRule="auto"/>
        <w:ind w:left="851"/>
        <w:jc w:val="both"/>
        <w:rPr>
          <w:rFonts w:ascii="Arial" w:hAnsi="Arial" w:cs="Arial"/>
          <w:sz w:val="17"/>
          <w:szCs w:val="17"/>
        </w:rPr>
      </w:pPr>
      <w:r w:rsidRPr="00B5615F">
        <w:rPr>
          <w:rFonts w:ascii="Arial" w:hAnsi="Arial" w:cs="Arial"/>
          <w:b/>
          <w:i/>
          <w:sz w:val="17"/>
          <w:szCs w:val="17"/>
        </w:rPr>
        <w:t>Elaborado por:</w:t>
      </w:r>
      <w:r w:rsidRPr="00B5615F">
        <w:rPr>
          <w:rFonts w:ascii="Arial" w:hAnsi="Arial" w:cs="Arial"/>
          <w:sz w:val="17"/>
          <w:szCs w:val="17"/>
        </w:rPr>
        <w:t xml:space="preserve"> Katherine Loor Valeriano</w:t>
      </w:r>
    </w:p>
    <w:p w:rsidR="0006543C" w:rsidRDefault="0006543C" w:rsidP="00B5615F">
      <w:pPr>
        <w:pStyle w:val="Prrafodelista"/>
        <w:spacing w:line="480" w:lineRule="auto"/>
        <w:ind w:left="851"/>
        <w:jc w:val="both"/>
        <w:rPr>
          <w:rFonts w:ascii="Arial" w:hAnsi="Arial" w:cs="Arial"/>
        </w:rPr>
      </w:pPr>
    </w:p>
    <w:p w:rsidR="0006543C" w:rsidRPr="00287F2C" w:rsidRDefault="0006543C" w:rsidP="00287F2C">
      <w:pPr>
        <w:spacing w:line="480" w:lineRule="auto"/>
        <w:ind w:left="851"/>
        <w:jc w:val="both"/>
        <w:rPr>
          <w:rFonts w:ascii="Arial" w:hAnsi="Arial" w:cs="Arial"/>
        </w:rPr>
      </w:pPr>
      <w:bookmarkStart w:id="743" w:name="_Toc339853111"/>
      <w:bookmarkStart w:id="744" w:name="_Toc340231881"/>
      <w:r w:rsidRPr="00287F2C">
        <w:rPr>
          <w:rFonts w:ascii="Arial" w:hAnsi="Arial" w:cs="Arial"/>
        </w:rPr>
        <w:t xml:space="preserve">Mientras que hacia África han emigrado 83.33 mujeres por cada 100 hombres; en la </w:t>
      </w:r>
      <w:r w:rsidRPr="00287F2C">
        <w:rPr>
          <w:rFonts w:ascii="Arial" w:hAnsi="Arial" w:cs="Arial"/>
          <w:i/>
        </w:rPr>
        <w:t>Figura 5.4</w:t>
      </w:r>
      <w:r w:rsidRPr="00287F2C">
        <w:rPr>
          <w:rFonts w:ascii="Arial" w:hAnsi="Arial" w:cs="Arial"/>
        </w:rPr>
        <w:t xml:space="preserve"> se muestra además el índice de feminidad de los emigrantes por país de residencia actual, donde en la mayoría de los casos presentados el índice de feminidad toma valores menores a 100; pero, de los que viajaron a Libia se tiene que hay 116.67 mujeres por cada 100 hombres, mientras que hacia Malawi emigran 300 mujeres por cada 100 hombres; y, hacia países como Nigeria solo hay hombres que han emigrado desde noviembre de 2010 hasta la fecha del empadronamiento. Argelia es otro de los países que presenta un índice de feminidad menor a 100, pues hacia este país han emigrado 27.59 mujeres por cada 100 hombres, sería interesante conocer por qué se dan estas situaciones; en cambio, en Sudáfrica viven actualmente una cantidad cercana de hombres que de mujeres.</w:t>
      </w:r>
      <w:bookmarkEnd w:id="743"/>
      <w:bookmarkEnd w:id="744"/>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B5615F">
        <w:trPr>
          <w:trHeight w:val="2041"/>
          <w:jc w:val="right"/>
        </w:trPr>
        <w:tc>
          <w:tcPr>
            <w:tcW w:w="7497"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45" w:name="_Toc341044084"/>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4</w:t>
            </w:r>
            <w:bookmarkEnd w:id="745"/>
            <w:r w:rsidR="00990535" w:rsidRPr="0006543C">
              <w:rPr>
                <w:rFonts w:ascii="Arial" w:hAnsi="Arial" w:cs="Arial"/>
                <w:bCs w:val="0"/>
                <w:color w:val="auto"/>
                <w:sz w:val="16"/>
                <w:szCs w:val="16"/>
              </w:rPr>
              <w:fldChar w:fldCharType="end"/>
            </w:r>
          </w:p>
          <w:p w:rsidR="0006543C" w:rsidRDefault="00B5615F" w:rsidP="0006543C">
            <w:pPr>
              <w:rPr>
                <w:rFonts w:ascii="Arial" w:hAnsi="Arial" w:cs="Arial"/>
                <w:sz w:val="18"/>
                <w:szCs w:val="18"/>
              </w:rPr>
            </w:pPr>
            <w:r>
              <w:rPr>
                <w:rFonts w:ascii="Arial" w:hAnsi="Arial" w:cs="Arial"/>
                <w:b/>
                <w:i/>
                <w:sz w:val="16"/>
                <w:szCs w:val="16"/>
              </w:rPr>
              <w:t xml:space="preserve">Ecuador 2010: </w:t>
            </w:r>
            <w:r w:rsidR="0006543C">
              <w:rPr>
                <w:rFonts w:ascii="Arial" w:hAnsi="Arial" w:cs="Arial"/>
                <w:i/>
                <w:sz w:val="16"/>
                <w:szCs w:val="16"/>
              </w:rPr>
              <w:t xml:space="preserve">Índice de Feminidad de los emigrantes por País de residencia actual: </w:t>
            </w:r>
            <w:r w:rsidR="0006543C" w:rsidRPr="001863F2">
              <w:rPr>
                <w:rFonts w:ascii="Arial" w:hAnsi="Arial" w:cs="Arial"/>
                <w:sz w:val="18"/>
                <w:szCs w:val="18"/>
              </w:rPr>
              <w:t>“</w:t>
            </w:r>
            <w:r w:rsidR="0006543C">
              <w:rPr>
                <w:rFonts w:ascii="Arial" w:hAnsi="Arial" w:cs="Arial"/>
                <w:b/>
                <w:sz w:val="18"/>
                <w:szCs w:val="18"/>
              </w:rPr>
              <w:t>ÁFRICA</w:t>
            </w:r>
            <w:r w:rsidR="0006543C" w:rsidRPr="001863F2">
              <w:rPr>
                <w:rFonts w:ascii="Arial" w:hAnsi="Arial" w:cs="Arial"/>
                <w:sz w:val="18"/>
                <w:szCs w:val="18"/>
              </w:rPr>
              <w:t>”</w:t>
            </w:r>
          </w:p>
          <w:p w:rsidR="0006543C" w:rsidRPr="00287B5F" w:rsidRDefault="0006543C" w:rsidP="0006543C">
            <w:pPr>
              <w:rPr>
                <w:rFonts w:ascii="Arial" w:hAnsi="Arial" w:cs="Arial"/>
                <w:sz w:val="10"/>
                <w:szCs w:val="10"/>
              </w:rPr>
            </w:pPr>
          </w:p>
          <w:p w:rsidR="0006543C" w:rsidRPr="00840530" w:rsidRDefault="0006543C" w:rsidP="0006543C">
            <w:pPr>
              <w:rPr>
                <w:rFonts w:ascii="Arial" w:hAnsi="Arial" w:cs="Arial"/>
                <w:sz w:val="24"/>
                <w:szCs w:val="24"/>
              </w:rPr>
            </w:pPr>
            <w:r>
              <w:rPr>
                <w:noProof/>
                <w:lang w:eastAsia="es-EC"/>
              </w:rPr>
              <w:drawing>
                <wp:inline distT="0" distB="0" distL="0" distR="0" wp14:anchorId="3E9B12F2" wp14:editId="5E3294A5">
                  <wp:extent cx="3992400" cy="1512000"/>
                  <wp:effectExtent l="0" t="0" r="0" b="0"/>
                  <wp:docPr id="159" name="Gráfico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c>
      </w:tr>
    </w:tbl>
    <w:p w:rsidR="0006543C" w:rsidRPr="00B5615F" w:rsidRDefault="0006543C" w:rsidP="00B5615F">
      <w:pPr>
        <w:pStyle w:val="Prrafodelista"/>
        <w:spacing w:line="276" w:lineRule="auto"/>
        <w:ind w:left="851"/>
        <w:jc w:val="both"/>
        <w:rPr>
          <w:rFonts w:ascii="Arial" w:hAnsi="Arial" w:cs="Arial"/>
          <w:sz w:val="17"/>
          <w:szCs w:val="17"/>
        </w:rPr>
      </w:pPr>
    </w:p>
    <w:p w:rsidR="0006543C" w:rsidRPr="00B5615F" w:rsidRDefault="0006543C" w:rsidP="00B5615F">
      <w:pPr>
        <w:pStyle w:val="Prrafodelista"/>
        <w:spacing w:line="276" w:lineRule="auto"/>
        <w:ind w:left="851"/>
        <w:jc w:val="both"/>
        <w:rPr>
          <w:rFonts w:ascii="Arial" w:hAnsi="Arial" w:cs="Arial"/>
          <w:sz w:val="17"/>
          <w:szCs w:val="17"/>
        </w:rPr>
      </w:pPr>
      <w:r w:rsidRPr="00B5615F">
        <w:rPr>
          <w:rFonts w:ascii="Arial" w:hAnsi="Arial" w:cs="Arial"/>
          <w:b/>
          <w:i/>
          <w:sz w:val="17"/>
          <w:szCs w:val="17"/>
        </w:rPr>
        <w:t>Fuente:</w:t>
      </w:r>
      <w:r w:rsidRPr="00B5615F">
        <w:rPr>
          <w:rFonts w:ascii="Arial" w:hAnsi="Arial" w:cs="Arial"/>
          <w:sz w:val="17"/>
          <w:szCs w:val="17"/>
        </w:rPr>
        <w:t xml:space="preserve"> </w:t>
      </w:r>
      <w:r w:rsidRPr="00B5615F">
        <w:rPr>
          <w:rFonts w:ascii="Arial" w:hAnsi="Arial" w:cs="Arial"/>
          <w:b/>
          <w:sz w:val="17"/>
          <w:szCs w:val="17"/>
        </w:rPr>
        <w:t xml:space="preserve">INEC </w:t>
      </w:r>
      <w:r w:rsidRPr="00B5615F">
        <w:rPr>
          <w:rFonts w:ascii="Arial" w:hAnsi="Arial" w:cs="Arial"/>
          <w:sz w:val="17"/>
          <w:szCs w:val="17"/>
        </w:rPr>
        <w:t>(2010), Base de Datos del VII Censo de Población y VI de Vivienda.</w:t>
      </w:r>
    </w:p>
    <w:p w:rsidR="0006543C" w:rsidRPr="00B5615F" w:rsidRDefault="0006543C" w:rsidP="00B5615F">
      <w:pPr>
        <w:pStyle w:val="Prrafodelista"/>
        <w:spacing w:line="276" w:lineRule="auto"/>
        <w:ind w:left="851"/>
        <w:jc w:val="both"/>
        <w:rPr>
          <w:rFonts w:ascii="Arial" w:hAnsi="Arial" w:cs="Arial"/>
          <w:sz w:val="17"/>
          <w:szCs w:val="17"/>
        </w:rPr>
      </w:pPr>
      <w:r w:rsidRPr="00B5615F">
        <w:rPr>
          <w:rFonts w:ascii="Arial" w:hAnsi="Arial" w:cs="Arial"/>
          <w:b/>
          <w:i/>
          <w:sz w:val="17"/>
          <w:szCs w:val="17"/>
        </w:rPr>
        <w:t>Elaborado por:</w:t>
      </w:r>
      <w:r w:rsidRPr="00B5615F">
        <w:rPr>
          <w:rFonts w:ascii="Arial" w:hAnsi="Arial" w:cs="Arial"/>
          <w:sz w:val="17"/>
          <w:szCs w:val="17"/>
        </w:rPr>
        <w:t xml:space="preserve"> Katherine Loor Valeriano</w:t>
      </w:r>
    </w:p>
    <w:p w:rsidR="0006543C" w:rsidRDefault="0006543C" w:rsidP="00B5615F">
      <w:pPr>
        <w:pStyle w:val="Prrafodelista"/>
        <w:spacing w:line="480" w:lineRule="auto"/>
        <w:ind w:left="851"/>
        <w:jc w:val="both"/>
        <w:rPr>
          <w:rFonts w:ascii="Arial" w:hAnsi="Arial" w:cs="Arial"/>
        </w:rPr>
      </w:pPr>
    </w:p>
    <w:p w:rsidR="0006543C" w:rsidRPr="00031E59" w:rsidRDefault="0006543C" w:rsidP="00B5615F">
      <w:pPr>
        <w:spacing w:line="480" w:lineRule="auto"/>
        <w:ind w:left="851"/>
        <w:jc w:val="both"/>
        <w:rPr>
          <w:rFonts w:ascii="Arial" w:hAnsi="Arial" w:cs="Arial"/>
        </w:rPr>
      </w:pPr>
      <w:r>
        <w:rPr>
          <w:rFonts w:ascii="Arial" w:hAnsi="Arial" w:cs="Arial"/>
        </w:rPr>
        <w:t xml:space="preserve">De los que emigran hacia Oceanía hay 90 mujeres por cada 100 hombres; en la </w:t>
      </w:r>
      <w:r>
        <w:rPr>
          <w:rFonts w:ascii="Arial" w:hAnsi="Arial" w:cs="Arial"/>
          <w:i/>
        </w:rPr>
        <w:t>Figura 5.5</w:t>
      </w:r>
      <w:r>
        <w:rPr>
          <w:rFonts w:ascii="Arial" w:hAnsi="Arial" w:cs="Arial"/>
        </w:rPr>
        <w:t>, se presenta el índice de feminidad de los emigrantes que residen en algún país de Oceanía, en donde tenemos que hacia Kiribati emigran igual cantidad de hombres que de mujeres, mientras que en Australia hay 91.33 mujeres por cada 100 hombres, los países donde el índice de feminidad es igual a cero son aquellos en donde solo hay hombres; y, algunos países de este continente no mostrados en el gráficos son aquellos en donde solo han emigrado mujeres como Tonga o Vanuato.</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B5615F">
        <w:trPr>
          <w:trHeight w:val="2041"/>
          <w:jc w:val="right"/>
        </w:trPr>
        <w:tc>
          <w:tcPr>
            <w:tcW w:w="7497"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46" w:name="_Toc341044085"/>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5</w:t>
            </w:r>
            <w:bookmarkEnd w:id="746"/>
            <w:r w:rsidR="00990535" w:rsidRPr="0006543C">
              <w:rPr>
                <w:rFonts w:ascii="Arial" w:hAnsi="Arial" w:cs="Arial"/>
                <w:bCs w:val="0"/>
                <w:color w:val="auto"/>
                <w:sz w:val="16"/>
                <w:szCs w:val="16"/>
              </w:rPr>
              <w:fldChar w:fldCharType="end"/>
            </w:r>
          </w:p>
          <w:p w:rsidR="0006543C" w:rsidRDefault="00B5615F" w:rsidP="0006543C">
            <w:pPr>
              <w:rPr>
                <w:rFonts w:ascii="Arial" w:hAnsi="Arial" w:cs="Arial"/>
                <w:sz w:val="18"/>
                <w:szCs w:val="18"/>
              </w:rPr>
            </w:pPr>
            <w:r>
              <w:rPr>
                <w:rFonts w:ascii="Arial" w:hAnsi="Arial" w:cs="Arial"/>
                <w:b/>
                <w:i/>
                <w:sz w:val="16"/>
                <w:szCs w:val="16"/>
              </w:rPr>
              <w:t xml:space="preserve">Ecuador 2010: </w:t>
            </w:r>
            <w:r w:rsidR="0006543C">
              <w:rPr>
                <w:rFonts w:ascii="Arial" w:hAnsi="Arial" w:cs="Arial"/>
                <w:i/>
                <w:sz w:val="16"/>
                <w:szCs w:val="16"/>
              </w:rPr>
              <w:t xml:space="preserve">Índice de Feminidad de los emigrantes por País de residencia actual: </w:t>
            </w:r>
            <w:r w:rsidR="0006543C" w:rsidRPr="001863F2">
              <w:rPr>
                <w:rFonts w:ascii="Arial" w:hAnsi="Arial" w:cs="Arial"/>
                <w:sz w:val="18"/>
                <w:szCs w:val="18"/>
              </w:rPr>
              <w:t>“</w:t>
            </w:r>
            <w:r w:rsidR="0006543C">
              <w:rPr>
                <w:rFonts w:ascii="Arial" w:hAnsi="Arial" w:cs="Arial"/>
                <w:b/>
                <w:sz w:val="18"/>
                <w:szCs w:val="18"/>
              </w:rPr>
              <w:t>OCEANÍA</w:t>
            </w:r>
            <w:r w:rsidR="0006543C" w:rsidRPr="001863F2">
              <w:rPr>
                <w:rFonts w:ascii="Arial" w:hAnsi="Arial" w:cs="Arial"/>
                <w:sz w:val="18"/>
                <w:szCs w:val="18"/>
              </w:rPr>
              <w:t>”</w:t>
            </w:r>
          </w:p>
          <w:p w:rsidR="0006543C" w:rsidRPr="00287B5F" w:rsidRDefault="0006543C" w:rsidP="0006543C">
            <w:pPr>
              <w:rPr>
                <w:rFonts w:ascii="Arial" w:hAnsi="Arial" w:cs="Arial"/>
                <w:sz w:val="10"/>
                <w:szCs w:val="10"/>
              </w:rPr>
            </w:pPr>
          </w:p>
          <w:p w:rsidR="0006543C" w:rsidRPr="00840530" w:rsidRDefault="0006543C" w:rsidP="0006543C">
            <w:pPr>
              <w:rPr>
                <w:rFonts w:ascii="Arial" w:hAnsi="Arial" w:cs="Arial"/>
                <w:sz w:val="24"/>
                <w:szCs w:val="24"/>
              </w:rPr>
            </w:pPr>
            <w:r>
              <w:rPr>
                <w:noProof/>
                <w:lang w:eastAsia="es-EC"/>
              </w:rPr>
              <w:drawing>
                <wp:inline distT="0" distB="0" distL="0" distR="0" wp14:anchorId="557D69C3" wp14:editId="474F464A">
                  <wp:extent cx="3992400" cy="1512000"/>
                  <wp:effectExtent l="0" t="0" r="0" b="0"/>
                  <wp:docPr id="354" name="Gráfico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tc>
      </w:tr>
    </w:tbl>
    <w:p w:rsidR="0006543C" w:rsidRPr="00B5615F" w:rsidRDefault="0006543C" w:rsidP="00B5615F">
      <w:pPr>
        <w:pStyle w:val="Prrafodelista"/>
        <w:spacing w:line="276" w:lineRule="auto"/>
        <w:ind w:left="851"/>
        <w:jc w:val="both"/>
        <w:rPr>
          <w:rFonts w:ascii="Arial" w:hAnsi="Arial" w:cs="Arial"/>
          <w:sz w:val="17"/>
          <w:szCs w:val="17"/>
        </w:rPr>
      </w:pPr>
    </w:p>
    <w:p w:rsidR="0006543C" w:rsidRPr="00B5615F" w:rsidRDefault="0006543C" w:rsidP="00B5615F">
      <w:pPr>
        <w:pStyle w:val="Prrafodelista"/>
        <w:spacing w:line="276" w:lineRule="auto"/>
        <w:ind w:left="851"/>
        <w:jc w:val="both"/>
        <w:rPr>
          <w:rFonts w:ascii="Arial" w:hAnsi="Arial" w:cs="Arial"/>
          <w:sz w:val="17"/>
          <w:szCs w:val="17"/>
        </w:rPr>
      </w:pPr>
      <w:r w:rsidRPr="00B5615F">
        <w:rPr>
          <w:rFonts w:ascii="Arial" w:hAnsi="Arial" w:cs="Arial"/>
          <w:b/>
          <w:i/>
          <w:sz w:val="17"/>
          <w:szCs w:val="17"/>
        </w:rPr>
        <w:t>Fuente:</w:t>
      </w:r>
      <w:r w:rsidRPr="00B5615F">
        <w:rPr>
          <w:rFonts w:ascii="Arial" w:hAnsi="Arial" w:cs="Arial"/>
          <w:sz w:val="17"/>
          <w:szCs w:val="17"/>
        </w:rPr>
        <w:t xml:space="preserve"> </w:t>
      </w:r>
      <w:r w:rsidRPr="00B5615F">
        <w:rPr>
          <w:rFonts w:ascii="Arial" w:hAnsi="Arial" w:cs="Arial"/>
          <w:b/>
          <w:sz w:val="17"/>
          <w:szCs w:val="17"/>
        </w:rPr>
        <w:t xml:space="preserve">INEC </w:t>
      </w:r>
      <w:r w:rsidRPr="00B5615F">
        <w:rPr>
          <w:rFonts w:ascii="Arial" w:hAnsi="Arial" w:cs="Arial"/>
          <w:sz w:val="17"/>
          <w:szCs w:val="17"/>
        </w:rPr>
        <w:t>(2010), Base de Datos del VII Censo de Población y VI de Vivienda.</w:t>
      </w:r>
    </w:p>
    <w:p w:rsidR="0006543C" w:rsidRPr="00B5615F" w:rsidRDefault="0006543C" w:rsidP="00B5615F">
      <w:pPr>
        <w:pStyle w:val="Prrafodelista"/>
        <w:spacing w:line="276" w:lineRule="auto"/>
        <w:ind w:left="851"/>
        <w:jc w:val="both"/>
        <w:rPr>
          <w:rFonts w:ascii="Arial" w:hAnsi="Arial" w:cs="Arial"/>
          <w:sz w:val="17"/>
          <w:szCs w:val="17"/>
        </w:rPr>
      </w:pPr>
      <w:r w:rsidRPr="00B5615F">
        <w:rPr>
          <w:rFonts w:ascii="Arial" w:hAnsi="Arial" w:cs="Arial"/>
          <w:b/>
          <w:i/>
          <w:sz w:val="17"/>
          <w:szCs w:val="17"/>
        </w:rPr>
        <w:t>Elaborado por:</w:t>
      </w:r>
      <w:r w:rsidRPr="00B5615F">
        <w:rPr>
          <w:rFonts w:ascii="Arial" w:hAnsi="Arial" w:cs="Arial"/>
          <w:sz w:val="17"/>
          <w:szCs w:val="17"/>
        </w:rPr>
        <w:t xml:space="preserve"> Katherine Loor Valeriano</w:t>
      </w:r>
    </w:p>
    <w:p w:rsidR="0006543C" w:rsidRPr="00BD0DB2" w:rsidRDefault="0006543C" w:rsidP="0006543C">
      <w:pPr>
        <w:pStyle w:val="Prrafodelista"/>
        <w:spacing w:line="480" w:lineRule="auto"/>
        <w:ind w:left="567"/>
        <w:jc w:val="both"/>
        <w:rPr>
          <w:rFonts w:ascii="Arial" w:hAnsi="Arial" w:cs="Arial"/>
        </w:rPr>
      </w:pPr>
    </w:p>
    <w:p w:rsidR="0006543C" w:rsidRPr="008355C2" w:rsidRDefault="0006543C" w:rsidP="00B5615F">
      <w:pPr>
        <w:pStyle w:val="51"/>
        <w:ind w:left="851" w:hanging="567"/>
      </w:pPr>
      <w:bookmarkStart w:id="747" w:name="_Toc338407801"/>
      <w:bookmarkStart w:id="748" w:name="_Toc338412804"/>
      <w:bookmarkStart w:id="749" w:name="_Toc341040726"/>
      <w:r>
        <w:t>Edad del Emigrante al salir del Ecuador</w:t>
      </w:r>
      <w:bookmarkEnd w:id="747"/>
      <w:bookmarkEnd w:id="748"/>
      <w:bookmarkEnd w:id="749"/>
    </w:p>
    <w:p w:rsidR="0006543C" w:rsidRPr="00287F2C" w:rsidRDefault="0006543C" w:rsidP="00287F2C">
      <w:pPr>
        <w:spacing w:line="480" w:lineRule="auto"/>
        <w:ind w:left="851"/>
        <w:jc w:val="both"/>
        <w:rPr>
          <w:rFonts w:ascii="Arial" w:hAnsi="Arial" w:cs="Arial"/>
        </w:rPr>
      </w:pPr>
      <w:bookmarkStart w:id="750" w:name="_Toc339853113"/>
      <w:bookmarkStart w:id="751" w:name="_Toc340231883"/>
      <w:r w:rsidRPr="00287F2C">
        <w:rPr>
          <w:rFonts w:ascii="Arial" w:hAnsi="Arial" w:cs="Arial"/>
        </w:rPr>
        <w:t>Analicemos ahora qué sucede con la edad al salir del país</w:t>
      </w:r>
      <w:r w:rsidR="00B5615F" w:rsidRPr="00287F2C">
        <w:rPr>
          <w:rFonts w:ascii="Arial" w:hAnsi="Arial" w:cs="Arial"/>
        </w:rPr>
        <w:t>,</w:t>
      </w:r>
      <w:r w:rsidRPr="00287F2C">
        <w:rPr>
          <w:rFonts w:ascii="Arial" w:hAnsi="Arial" w:cs="Arial"/>
        </w:rPr>
        <w:t xml:space="preserve"> de las personas que dejaron Ecuador entre noviembre de 2001 y 2010, antes que nada </w:t>
      </w:r>
      <w:r w:rsidR="00B5615F" w:rsidRPr="00287F2C">
        <w:rPr>
          <w:rFonts w:ascii="Arial" w:hAnsi="Arial" w:cs="Arial"/>
        </w:rPr>
        <w:t>es</w:t>
      </w:r>
      <w:r w:rsidRPr="00287F2C">
        <w:rPr>
          <w:rFonts w:ascii="Arial" w:hAnsi="Arial" w:cs="Arial"/>
        </w:rPr>
        <w:t xml:space="preserve"> de interés estudiar esta variable en lugar de la edad que los emigrantes tenían a la fecha del Censo porque con la edad que tenían al salir </w:t>
      </w:r>
      <w:r w:rsidR="00B5615F" w:rsidRPr="00287F2C">
        <w:rPr>
          <w:rFonts w:ascii="Arial" w:hAnsi="Arial" w:cs="Arial"/>
        </w:rPr>
        <w:t>se puede</w:t>
      </w:r>
      <w:r w:rsidRPr="00287F2C">
        <w:rPr>
          <w:rFonts w:ascii="Arial" w:hAnsi="Arial" w:cs="Arial"/>
        </w:rPr>
        <w:t xml:space="preserve"> crear una idea general de </w:t>
      </w:r>
      <w:r w:rsidR="00B5615F" w:rsidRPr="00287F2C">
        <w:rPr>
          <w:rFonts w:ascii="Arial" w:hAnsi="Arial" w:cs="Arial"/>
        </w:rPr>
        <w:t>las razones por las que podría haber emigrado</w:t>
      </w:r>
      <w:r w:rsidRPr="00287F2C">
        <w:rPr>
          <w:rFonts w:ascii="Arial" w:hAnsi="Arial" w:cs="Arial"/>
        </w:rPr>
        <w:t xml:space="preserve">. Al salir del país, la edad promedio de los emigrantes es 27.845 ± 0.024 años, la edad que más se repite es de 20 años, la edad mínima y máxima es 0 y 99 años respectivamente. Además, el 25% de la población emigrante es menor de 20 años, la edad mediana es 26 años, es decir, el 50% de los emigrantes internacionales son menores de esta edad; y, el 75% de ellos es menor de 35 años. Para más detalles </w:t>
      </w:r>
      <w:r w:rsidRPr="00287F2C">
        <w:rPr>
          <w:rFonts w:ascii="Arial" w:hAnsi="Arial" w:cs="Arial"/>
          <w:i/>
        </w:rPr>
        <w:t>véase Tabla 5.1</w:t>
      </w:r>
      <w:r w:rsidRPr="00287F2C">
        <w:rPr>
          <w:rFonts w:ascii="Arial" w:hAnsi="Arial" w:cs="Arial"/>
        </w:rPr>
        <w:t>.</w:t>
      </w:r>
      <w:bookmarkEnd w:id="750"/>
      <w:bookmarkEnd w:id="751"/>
    </w:p>
    <w:tbl>
      <w:tblPr>
        <w:tblStyle w:val="Tablaconcuadrcula"/>
        <w:tblW w:w="7459" w:type="dxa"/>
        <w:jc w:val="right"/>
        <w:tblInd w:w="1031"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59"/>
      </w:tblGrid>
      <w:tr w:rsidR="0006543C" w:rsidRPr="00840530" w:rsidTr="00B5615F">
        <w:trPr>
          <w:trHeight w:val="1644"/>
          <w:jc w:val="right"/>
        </w:trPr>
        <w:tc>
          <w:tcPr>
            <w:tcW w:w="7459"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52" w:name="_Toc341042147"/>
            <w:r>
              <w:rPr>
                <w:rFonts w:ascii="Arial" w:hAnsi="Arial" w:cs="Arial"/>
                <w:bCs w:val="0"/>
                <w:color w:val="auto"/>
                <w:sz w:val="16"/>
                <w:szCs w:val="16"/>
              </w:rPr>
              <w:t>Tabla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Tabla_5.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1</w:t>
            </w:r>
            <w:bookmarkEnd w:id="752"/>
            <w:r w:rsidR="00990535" w:rsidRPr="0006543C">
              <w:rPr>
                <w:rFonts w:ascii="Arial" w:hAnsi="Arial" w:cs="Arial"/>
                <w:bCs w:val="0"/>
                <w:color w:val="auto"/>
                <w:sz w:val="16"/>
                <w:szCs w:val="16"/>
              </w:rPr>
              <w:fldChar w:fldCharType="end"/>
            </w:r>
          </w:p>
          <w:p w:rsidR="0006543C" w:rsidRDefault="00B5615F" w:rsidP="0006543C">
            <w:pPr>
              <w:rPr>
                <w:rFonts w:ascii="Arial" w:hAnsi="Arial" w:cs="Arial"/>
                <w:i/>
                <w:sz w:val="16"/>
                <w:szCs w:val="16"/>
              </w:rPr>
            </w:pPr>
            <w:r>
              <w:rPr>
                <w:rFonts w:ascii="Arial" w:hAnsi="Arial" w:cs="Arial"/>
                <w:b/>
                <w:i/>
                <w:sz w:val="16"/>
                <w:szCs w:val="16"/>
              </w:rPr>
              <w:t xml:space="preserve">Ecuador 2010: </w:t>
            </w:r>
            <w:r w:rsidR="0006543C">
              <w:rPr>
                <w:rFonts w:ascii="Arial" w:hAnsi="Arial" w:cs="Arial"/>
                <w:i/>
                <w:sz w:val="16"/>
                <w:szCs w:val="16"/>
              </w:rPr>
              <w:t>Estadísticas Descriptivas de la Edad al salir del país de los Emigrantes</w:t>
            </w:r>
          </w:p>
          <w:p w:rsidR="0006543C" w:rsidRPr="001116D3" w:rsidRDefault="0006543C" w:rsidP="0006543C">
            <w:pPr>
              <w:rPr>
                <w:rFonts w:ascii="Arial" w:hAnsi="Arial" w:cs="Arial"/>
                <w:sz w:val="10"/>
                <w:szCs w:val="10"/>
              </w:rPr>
            </w:pPr>
          </w:p>
          <w:tbl>
            <w:tblPr>
              <w:tblW w:w="7165" w:type="dxa"/>
              <w:jc w:val="center"/>
              <w:tblCellMar>
                <w:left w:w="70" w:type="dxa"/>
                <w:right w:w="70" w:type="dxa"/>
              </w:tblCellMar>
              <w:tblLook w:val="04A0" w:firstRow="1" w:lastRow="0" w:firstColumn="1" w:lastColumn="0" w:noHBand="0" w:noVBand="1"/>
            </w:tblPr>
            <w:tblGrid>
              <w:gridCol w:w="664"/>
              <w:gridCol w:w="1018"/>
              <w:gridCol w:w="624"/>
              <w:gridCol w:w="1046"/>
              <w:gridCol w:w="794"/>
              <w:gridCol w:w="696"/>
              <w:gridCol w:w="794"/>
              <w:gridCol w:w="735"/>
              <w:gridCol w:w="794"/>
            </w:tblGrid>
            <w:tr w:rsidR="0006543C" w:rsidRPr="001116D3" w:rsidTr="00B5615F">
              <w:trPr>
                <w:trHeight w:val="397"/>
                <w:jc w:val="center"/>
              </w:trPr>
              <w:tc>
                <w:tcPr>
                  <w:tcW w:w="62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Media</w:t>
                  </w:r>
                </w:p>
              </w:tc>
              <w:tc>
                <w:tcPr>
                  <w:tcW w:w="104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Error estándar de la media</w:t>
                  </w:r>
                </w:p>
              </w:tc>
              <w:tc>
                <w:tcPr>
                  <w:tcW w:w="62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Moda</w:t>
                  </w:r>
                </w:p>
              </w:tc>
              <w:tc>
                <w:tcPr>
                  <w:tcW w:w="1060"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Desviación estándar</w:t>
                  </w:r>
                </w:p>
              </w:tc>
              <w:tc>
                <w:tcPr>
                  <w:tcW w:w="79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Mínimo</w:t>
                  </w:r>
                </w:p>
              </w:tc>
              <w:tc>
                <w:tcPr>
                  <w:tcW w:w="696"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Máximo</w:t>
                  </w:r>
                </w:p>
              </w:tc>
              <w:tc>
                <w:tcPr>
                  <w:tcW w:w="79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Cuartil 1</w:t>
                  </w:r>
                </w:p>
              </w:tc>
              <w:tc>
                <w:tcPr>
                  <w:tcW w:w="735"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Mediana</w:t>
                  </w:r>
                </w:p>
              </w:tc>
              <w:tc>
                <w:tcPr>
                  <w:tcW w:w="79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Cuartil 3</w:t>
                  </w:r>
                </w:p>
              </w:tc>
            </w:tr>
            <w:tr w:rsidR="0006543C" w:rsidRPr="001116D3" w:rsidTr="00B5615F">
              <w:trPr>
                <w:trHeight w:val="227"/>
                <w:jc w:val="center"/>
              </w:trPr>
              <w:tc>
                <w:tcPr>
                  <w:tcW w:w="624"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27.845</w:t>
                  </w:r>
                </w:p>
              </w:tc>
              <w:tc>
                <w:tcPr>
                  <w:tcW w:w="1044" w:type="dxa"/>
                  <w:tcBorders>
                    <w:top w:val="nil"/>
                    <w:left w:val="nil"/>
                    <w:bottom w:val="single" w:sz="8" w:space="0" w:color="auto"/>
                    <w:right w:val="nil"/>
                  </w:tcBorders>
                  <w:shd w:val="clear" w:color="auto" w:fill="auto"/>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0.024</w:t>
                  </w:r>
                </w:p>
              </w:tc>
              <w:tc>
                <w:tcPr>
                  <w:tcW w:w="624"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20</w:t>
                  </w:r>
                </w:p>
              </w:tc>
              <w:tc>
                <w:tcPr>
                  <w:tcW w:w="1060" w:type="dxa"/>
                  <w:tcBorders>
                    <w:top w:val="nil"/>
                    <w:left w:val="nil"/>
                    <w:bottom w:val="single" w:sz="8" w:space="0" w:color="auto"/>
                    <w:right w:val="nil"/>
                  </w:tcBorders>
                  <w:shd w:val="clear" w:color="auto" w:fill="auto"/>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12.754</w:t>
                  </w:r>
                </w:p>
              </w:tc>
              <w:tc>
                <w:tcPr>
                  <w:tcW w:w="794"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w:t>
                  </w:r>
                </w:p>
              </w:tc>
              <w:tc>
                <w:tcPr>
                  <w:tcW w:w="696"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99</w:t>
                  </w:r>
                </w:p>
              </w:tc>
              <w:tc>
                <w:tcPr>
                  <w:tcW w:w="794"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20</w:t>
                  </w:r>
                </w:p>
              </w:tc>
              <w:tc>
                <w:tcPr>
                  <w:tcW w:w="735"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26</w:t>
                  </w:r>
                </w:p>
              </w:tc>
              <w:tc>
                <w:tcPr>
                  <w:tcW w:w="794"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35</w:t>
                  </w:r>
                </w:p>
              </w:tc>
            </w:tr>
          </w:tbl>
          <w:p w:rsidR="0006543C" w:rsidRPr="001116D3" w:rsidRDefault="0006543C" w:rsidP="0006543C">
            <w:pPr>
              <w:rPr>
                <w:rFonts w:ascii="Arial" w:hAnsi="Arial" w:cs="Arial"/>
                <w:sz w:val="10"/>
                <w:szCs w:val="10"/>
              </w:rPr>
            </w:pPr>
          </w:p>
        </w:tc>
      </w:tr>
    </w:tbl>
    <w:p w:rsidR="0006543C" w:rsidRPr="00B5615F" w:rsidRDefault="0006543C" w:rsidP="00B5615F">
      <w:pPr>
        <w:pStyle w:val="Prrafodelista"/>
        <w:spacing w:line="276" w:lineRule="auto"/>
        <w:ind w:left="851"/>
        <w:jc w:val="both"/>
        <w:rPr>
          <w:rFonts w:ascii="Arial" w:hAnsi="Arial" w:cs="Arial"/>
          <w:sz w:val="17"/>
          <w:szCs w:val="17"/>
        </w:rPr>
      </w:pPr>
    </w:p>
    <w:p w:rsidR="0006543C" w:rsidRPr="00B5615F" w:rsidRDefault="0006543C" w:rsidP="00B5615F">
      <w:pPr>
        <w:pStyle w:val="Prrafodelista"/>
        <w:spacing w:line="276" w:lineRule="auto"/>
        <w:ind w:left="851"/>
        <w:jc w:val="both"/>
        <w:rPr>
          <w:rFonts w:ascii="Arial" w:hAnsi="Arial" w:cs="Arial"/>
          <w:sz w:val="17"/>
          <w:szCs w:val="17"/>
        </w:rPr>
      </w:pPr>
      <w:r w:rsidRPr="00B5615F">
        <w:rPr>
          <w:rFonts w:ascii="Arial" w:hAnsi="Arial" w:cs="Arial"/>
          <w:b/>
          <w:i/>
          <w:sz w:val="17"/>
          <w:szCs w:val="17"/>
        </w:rPr>
        <w:t>Fuente:</w:t>
      </w:r>
      <w:r w:rsidRPr="00B5615F">
        <w:rPr>
          <w:rFonts w:ascii="Arial" w:hAnsi="Arial" w:cs="Arial"/>
          <w:sz w:val="17"/>
          <w:szCs w:val="17"/>
        </w:rPr>
        <w:t xml:space="preserve"> </w:t>
      </w:r>
      <w:r w:rsidRPr="00B5615F">
        <w:rPr>
          <w:rFonts w:ascii="Arial" w:hAnsi="Arial" w:cs="Arial"/>
          <w:b/>
          <w:sz w:val="17"/>
          <w:szCs w:val="17"/>
        </w:rPr>
        <w:t xml:space="preserve">INEC </w:t>
      </w:r>
      <w:r w:rsidRPr="00B5615F">
        <w:rPr>
          <w:rFonts w:ascii="Arial" w:hAnsi="Arial" w:cs="Arial"/>
          <w:sz w:val="17"/>
          <w:szCs w:val="17"/>
        </w:rPr>
        <w:t>(2010), Base de Datos del VII Censo de Población y VI de Vivienda.</w:t>
      </w:r>
    </w:p>
    <w:p w:rsidR="0006543C" w:rsidRPr="00B5615F" w:rsidRDefault="0006543C" w:rsidP="00B5615F">
      <w:pPr>
        <w:pStyle w:val="Prrafodelista"/>
        <w:spacing w:line="276" w:lineRule="auto"/>
        <w:ind w:left="851"/>
        <w:jc w:val="both"/>
        <w:rPr>
          <w:rFonts w:ascii="Arial" w:hAnsi="Arial" w:cs="Arial"/>
          <w:sz w:val="17"/>
          <w:szCs w:val="17"/>
        </w:rPr>
      </w:pPr>
      <w:r w:rsidRPr="00B5615F">
        <w:rPr>
          <w:rFonts w:ascii="Arial" w:hAnsi="Arial" w:cs="Arial"/>
          <w:b/>
          <w:i/>
          <w:sz w:val="17"/>
          <w:szCs w:val="17"/>
        </w:rPr>
        <w:t>Elaborado por:</w:t>
      </w:r>
      <w:r w:rsidRPr="00B5615F">
        <w:rPr>
          <w:rFonts w:ascii="Arial" w:hAnsi="Arial" w:cs="Arial"/>
          <w:sz w:val="17"/>
          <w:szCs w:val="17"/>
        </w:rPr>
        <w:t xml:space="preserve"> Katherine Loor Valeriano</w:t>
      </w:r>
    </w:p>
    <w:p w:rsidR="0006543C" w:rsidRDefault="0006543C" w:rsidP="00B5615F">
      <w:pPr>
        <w:pStyle w:val="Prrafodelista"/>
        <w:spacing w:line="480" w:lineRule="auto"/>
        <w:ind w:left="851"/>
        <w:jc w:val="both"/>
        <w:rPr>
          <w:rFonts w:ascii="Arial" w:hAnsi="Arial" w:cs="Arial"/>
        </w:rPr>
      </w:pPr>
    </w:p>
    <w:p w:rsidR="0006543C" w:rsidRDefault="0006543C" w:rsidP="00B5615F">
      <w:pPr>
        <w:pStyle w:val="Prrafodelista"/>
        <w:spacing w:line="480" w:lineRule="auto"/>
        <w:ind w:left="851"/>
        <w:jc w:val="both"/>
        <w:rPr>
          <w:rFonts w:ascii="Arial" w:hAnsi="Arial" w:cs="Arial"/>
        </w:rPr>
      </w:pPr>
      <w:r>
        <w:rPr>
          <w:rFonts w:ascii="Arial" w:hAnsi="Arial" w:cs="Arial"/>
        </w:rPr>
        <w:t xml:space="preserve">En lo que respecta a la distribución de la edad al salir del país de los emigrantes, se tiene que el 10.31% de ellos son menores de 15 años, el 88.45% tienen edades comprendidas entre 15 y 65 años, es decir, son personas en edad de trabajar; y, el 1.24% son adultos mayores, es decir población con 65 años y más. </w:t>
      </w:r>
      <w:r w:rsidR="00B5615F">
        <w:rPr>
          <w:rFonts w:ascii="Arial" w:hAnsi="Arial" w:cs="Arial"/>
        </w:rPr>
        <w:t>S</w:t>
      </w:r>
      <w:r>
        <w:rPr>
          <w:rFonts w:ascii="Arial" w:hAnsi="Arial" w:cs="Arial"/>
        </w:rPr>
        <w:t xml:space="preserve">i solo consideramos a los hombres, el 88.80% son hombres que han emigrado y están en edad de trabajar y el 10.09% son menores de 15 años; si solamente consideramos a las mujeres el 88.03% son mujeres con edades comprendidas entre 15 y 65 años y el 10.56% son menores de 15 años. En la </w:t>
      </w:r>
      <w:r>
        <w:rPr>
          <w:rFonts w:ascii="Arial" w:hAnsi="Arial" w:cs="Arial"/>
          <w:i/>
        </w:rPr>
        <w:t>Figura 5.6</w:t>
      </w:r>
      <w:r>
        <w:rPr>
          <w:rFonts w:ascii="Arial" w:hAnsi="Arial" w:cs="Arial"/>
        </w:rPr>
        <w:t xml:space="preserve">, se presenta la distribución género – edad al salir del país de los emigrantes, en donde tenemos que la barra de mayor longitud corresponde a las edades comprendidas entre 20 y 25 años pues el 19.64% de los emigrantes tenían esas edades al salir del país, la segunda barra de mayor longitud corresponde a los emigrantes con edades entre 25 y 30 años ya que el 16.79% de esta población salió del Ecuador cuando tenían esa edad. También, se </w:t>
      </w:r>
      <w:r w:rsidR="00AE13C0">
        <w:rPr>
          <w:rFonts w:ascii="Arial" w:hAnsi="Arial" w:cs="Arial"/>
        </w:rPr>
        <w:t>encontró</w:t>
      </w:r>
      <w:r>
        <w:rPr>
          <w:rFonts w:ascii="Arial" w:hAnsi="Arial" w:cs="Arial"/>
        </w:rPr>
        <w:t xml:space="preserve"> que el 10.89% de los emigrantes son hombres y tenían entre 20 y 25 años cuando salieron del país y el 8.76% son mujeres con edades en el mismo grupo de edad.</w:t>
      </w:r>
    </w:p>
    <w:tbl>
      <w:tblPr>
        <w:tblStyle w:val="Tablaconcuadrcula"/>
        <w:tblW w:w="7459" w:type="dxa"/>
        <w:jc w:val="right"/>
        <w:tblInd w:w="1024"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59"/>
      </w:tblGrid>
      <w:tr w:rsidR="0006543C" w:rsidRPr="00840530" w:rsidTr="00B5615F">
        <w:trPr>
          <w:trHeight w:val="2041"/>
          <w:jc w:val="right"/>
        </w:trPr>
        <w:tc>
          <w:tcPr>
            <w:tcW w:w="7459"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53" w:name="_Toc341044086"/>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6</w:t>
            </w:r>
            <w:bookmarkEnd w:id="753"/>
            <w:r w:rsidR="00990535" w:rsidRPr="0006543C">
              <w:rPr>
                <w:rFonts w:ascii="Arial" w:hAnsi="Arial" w:cs="Arial"/>
                <w:bCs w:val="0"/>
                <w:color w:val="auto"/>
                <w:sz w:val="16"/>
                <w:szCs w:val="16"/>
              </w:rPr>
              <w:fldChar w:fldCharType="end"/>
            </w:r>
          </w:p>
          <w:p w:rsidR="0006543C" w:rsidRDefault="00B5615F" w:rsidP="0006543C">
            <w:pPr>
              <w:rPr>
                <w:rFonts w:ascii="Arial" w:hAnsi="Arial" w:cs="Arial"/>
                <w:sz w:val="18"/>
                <w:szCs w:val="18"/>
              </w:rPr>
            </w:pPr>
            <w:r>
              <w:rPr>
                <w:rFonts w:ascii="Arial" w:hAnsi="Arial" w:cs="Arial"/>
                <w:b/>
                <w:i/>
                <w:sz w:val="16"/>
                <w:szCs w:val="16"/>
              </w:rPr>
              <w:t xml:space="preserve">Ecuador 2010: </w:t>
            </w:r>
            <w:r w:rsidR="0006543C">
              <w:rPr>
                <w:rFonts w:ascii="Arial" w:hAnsi="Arial" w:cs="Arial"/>
                <w:i/>
                <w:sz w:val="16"/>
                <w:szCs w:val="16"/>
              </w:rPr>
              <w:t>Distribución Género – Edad al salir del país de los emigrantes</w:t>
            </w:r>
          </w:p>
          <w:p w:rsidR="0006543C" w:rsidRPr="00840530" w:rsidRDefault="00436907" w:rsidP="0006543C">
            <w:pPr>
              <w:rPr>
                <w:rFonts w:ascii="Arial" w:hAnsi="Arial" w:cs="Arial"/>
                <w:sz w:val="24"/>
                <w:szCs w:val="24"/>
              </w:rPr>
            </w:pPr>
            <w:r>
              <w:rPr>
                <w:rFonts w:ascii="Arial" w:hAnsi="Arial" w:cs="Arial"/>
                <w:b/>
                <w:i/>
                <w:noProof/>
                <w:sz w:val="18"/>
                <w:szCs w:val="18"/>
                <w:lang w:eastAsia="es-EC"/>
              </w:rPr>
              <w:pict>
                <v:shape id="_x0000_s1820" type="#_x0000_t202" style="position:absolute;left:0;text-align:left;margin-left:210.5pt;margin-top:9.6pt;width:143.75pt;height:19.05pt;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filled="f" stroked="f" strokecolor="white [3212]">
                  <v:textbox style="mso-next-textbox:#_x0000_s1820">
                    <w:txbxContent>
                      <w:p w:rsidR="006933DF" w:rsidRPr="00530A0E" w:rsidRDefault="006933DF" w:rsidP="0006543C">
                        <w:pPr>
                          <w:rPr>
                            <w:rFonts w:ascii="Arial" w:hAnsi="Arial" w:cs="Arial"/>
                            <w:b/>
                            <w:sz w:val="15"/>
                            <w:szCs w:val="15"/>
                          </w:rPr>
                        </w:pPr>
                        <w:r w:rsidRPr="00530A0E">
                          <w:rPr>
                            <w:rFonts w:ascii="Arial" w:hAnsi="Arial" w:cs="Arial"/>
                            <w:b/>
                            <w:sz w:val="15"/>
                            <w:szCs w:val="15"/>
                          </w:rPr>
                          <w:t>Femenino</w:t>
                        </w:r>
                      </w:p>
                    </w:txbxContent>
                  </v:textbox>
                </v:shape>
              </w:pict>
            </w:r>
            <w:r>
              <w:rPr>
                <w:rFonts w:ascii="Arial" w:hAnsi="Arial" w:cs="Arial"/>
                <w:b/>
                <w:i/>
                <w:noProof/>
                <w:sz w:val="18"/>
                <w:szCs w:val="18"/>
                <w:lang w:eastAsia="es-EC"/>
              </w:rPr>
              <w:pict>
                <v:shape id="_x0000_s1819" type="#_x0000_t202" style="position:absolute;left:0;text-align:left;margin-left:66pt;margin-top:9.6pt;width:143.75pt;height:19.05pt;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filled="f" stroked="f" strokecolor="white [3212]">
                  <v:textbox style="mso-next-textbox:#_x0000_s1819">
                    <w:txbxContent>
                      <w:p w:rsidR="006933DF" w:rsidRPr="00530A0E" w:rsidRDefault="006933DF" w:rsidP="0006543C">
                        <w:pPr>
                          <w:rPr>
                            <w:rFonts w:ascii="Arial" w:hAnsi="Arial" w:cs="Arial"/>
                            <w:b/>
                            <w:sz w:val="15"/>
                            <w:szCs w:val="15"/>
                          </w:rPr>
                        </w:pPr>
                        <w:r w:rsidRPr="00530A0E">
                          <w:rPr>
                            <w:rFonts w:ascii="Arial" w:hAnsi="Arial" w:cs="Arial"/>
                            <w:b/>
                            <w:sz w:val="15"/>
                            <w:szCs w:val="15"/>
                          </w:rPr>
                          <w:t>Masculino</w:t>
                        </w:r>
                      </w:p>
                    </w:txbxContent>
                  </v:textbox>
                </v:shape>
              </w:pict>
            </w:r>
            <w:r w:rsidR="0006543C">
              <w:rPr>
                <w:noProof/>
                <w:lang w:eastAsia="es-EC"/>
              </w:rPr>
              <w:drawing>
                <wp:inline distT="0" distB="0" distL="0" distR="0" wp14:anchorId="474866AA" wp14:editId="3F97632C">
                  <wp:extent cx="4581525" cy="2914650"/>
                  <wp:effectExtent l="0" t="0" r="0" b="0"/>
                  <wp:docPr id="358" name="Gráfico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c>
      </w:tr>
    </w:tbl>
    <w:p w:rsidR="0006543C" w:rsidRPr="00B5615F" w:rsidRDefault="0006543C" w:rsidP="00B5615F">
      <w:pPr>
        <w:pStyle w:val="Prrafodelista"/>
        <w:spacing w:line="276" w:lineRule="auto"/>
        <w:ind w:left="851"/>
        <w:jc w:val="both"/>
        <w:rPr>
          <w:rFonts w:ascii="Arial" w:hAnsi="Arial" w:cs="Arial"/>
          <w:sz w:val="17"/>
          <w:szCs w:val="17"/>
        </w:rPr>
      </w:pPr>
    </w:p>
    <w:p w:rsidR="0006543C" w:rsidRPr="00B5615F" w:rsidRDefault="0006543C" w:rsidP="00B5615F">
      <w:pPr>
        <w:pStyle w:val="Prrafodelista"/>
        <w:spacing w:line="276" w:lineRule="auto"/>
        <w:ind w:left="851"/>
        <w:jc w:val="both"/>
        <w:rPr>
          <w:rFonts w:ascii="Arial" w:hAnsi="Arial" w:cs="Arial"/>
          <w:sz w:val="17"/>
          <w:szCs w:val="17"/>
        </w:rPr>
      </w:pPr>
      <w:r w:rsidRPr="00B5615F">
        <w:rPr>
          <w:rFonts w:ascii="Arial" w:hAnsi="Arial" w:cs="Arial"/>
          <w:b/>
          <w:i/>
          <w:sz w:val="17"/>
          <w:szCs w:val="17"/>
        </w:rPr>
        <w:t>Fuente:</w:t>
      </w:r>
      <w:r w:rsidRPr="00B5615F">
        <w:rPr>
          <w:rFonts w:ascii="Arial" w:hAnsi="Arial" w:cs="Arial"/>
          <w:sz w:val="17"/>
          <w:szCs w:val="17"/>
        </w:rPr>
        <w:t xml:space="preserve"> </w:t>
      </w:r>
      <w:r w:rsidRPr="00B5615F">
        <w:rPr>
          <w:rFonts w:ascii="Arial" w:hAnsi="Arial" w:cs="Arial"/>
          <w:b/>
          <w:sz w:val="17"/>
          <w:szCs w:val="17"/>
        </w:rPr>
        <w:t xml:space="preserve">INEC </w:t>
      </w:r>
      <w:r w:rsidRPr="00B5615F">
        <w:rPr>
          <w:rFonts w:ascii="Arial" w:hAnsi="Arial" w:cs="Arial"/>
          <w:sz w:val="17"/>
          <w:szCs w:val="17"/>
        </w:rPr>
        <w:t>(2010), Base de Datos del VII Censo de Población y VI de Vivienda.</w:t>
      </w:r>
    </w:p>
    <w:p w:rsidR="0006543C" w:rsidRPr="00B5615F" w:rsidRDefault="0006543C" w:rsidP="00B5615F">
      <w:pPr>
        <w:pStyle w:val="Prrafodelista"/>
        <w:spacing w:line="276" w:lineRule="auto"/>
        <w:ind w:left="851"/>
        <w:jc w:val="both"/>
        <w:rPr>
          <w:rFonts w:ascii="Arial" w:hAnsi="Arial" w:cs="Arial"/>
          <w:sz w:val="17"/>
          <w:szCs w:val="17"/>
        </w:rPr>
      </w:pPr>
      <w:r w:rsidRPr="00B5615F">
        <w:rPr>
          <w:rFonts w:ascii="Arial" w:hAnsi="Arial" w:cs="Arial"/>
          <w:b/>
          <w:i/>
          <w:sz w:val="17"/>
          <w:szCs w:val="17"/>
        </w:rPr>
        <w:t>Elaborado por:</w:t>
      </w:r>
      <w:r w:rsidRPr="00B5615F">
        <w:rPr>
          <w:rFonts w:ascii="Arial" w:hAnsi="Arial" w:cs="Arial"/>
          <w:sz w:val="17"/>
          <w:szCs w:val="17"/>
        </w:rPr>
        <w:t xml:space="preserve"> Katherine Loor Valeriano</w:t>
      </w:r>
    </w:p>
    <w:p w:rsidR="0006543C" w:rsidRPr="00B5615F" w:rsidRDefault="0006543C" w:rsidP="00B5615F">
      <w:pPr>
        <w:pStyle w:val="51"/>
        <w:numPr>
          <w:ilvl w:val="0"/>
          <w:numId w:val="0"/>
        </w:numPr>
        <w:ind w:left="851"/>
        <w:rPr>
          <w:b w:val="0"/>
          <w:sz w:val="22"/>
          <w:szCs w:val="22"/>
        </w:rPr>
      </w:pPr>
    </w:p>
    <w:p w:rsidR="0006543C" w:rsidRDefault="0006543C" w:rsidP="001C79EA">
      <w:pPr>
        <w:pStyle w:val="51"/>
        <w:ind w:left="851" w:hanging="567"/>
      </w:pPr>
      <w:bookmarkStart w:id="754" w:name="_Toc341040727"/>
      <w:r w:rsidRPr="00461947">
        <w:t>Continente de residencia actual de los Emigrantes</w:t>
      </w:r>
      <w:bookmarkEnd w:id="737"/>
      <w:bookmarkEnd w:id="754"/>
    </w:p>
    <w:p w:rsidR="0006543C" w:rsidRPr="00287F2C" w:rsidRDefault="0006543C" w:rsidP="00287F2C">
      <w:pPr>
        <w:spacing w:line="480" w:lineRule="auto"/>
        <w:ind w:left="851"/>
        <w:jc w:val="both"/>
        <w:rPr>
          <w:rFonts w:ascii="Arial" w:hAnsi="Arial" w:cs="Arial"/>
        </w:rPr>
      </w:pPr>
      <w:bookmarkStart w:id="755" w:name="_Toc339853115"/>
      <w:bookmarkStart w:id="756" w:name="_Toc340231885"/>
      <w:r w:rsidRPr="00287F2C">
        <w:rPr>
          <w:rFonts w:ascii="Arial" w:hAnsi="Arial" w:cs="Arial"/>
        </w:rPr>
        <w:t xml:space="preserve">A noviembre de 2010, se </w:t>
      </w:r>
      <w:r w:rsidR="001C79EA" w:rsidRPr="00287F2C">
        <w:rPr>
          <w:rFonts w:ascii="Arial" w:hAnsi="Arial" w:cs="Arial"/>
        </w:rPr>
        <w:t>encuentra</w:t>
      </w:r>
      <w:r w:rsidRPr="00287F2C">
        <w:rPr>
          <w:rFonts w:ascii="Arial" w:hAnsi="Arial" w:cs="Arial"/>
        </w:rPr>
        <w:t xml:space="preserve"> que de Ecuador habían emigrado 280407 habitantes hacia el exterior, desde noviembre de 2001 hasta la fecha del empadronamiento; de los cuales un poco más del 50% de ellos vieron como atractivo para emigrar los países del continente europeo, otro 29.87% ha emigrado hacia algún país de América del Norte, el 7.68% en cambio viajó hacia países del Latino América y el Caribe, el 0.36% reside actualmente en Asia, el 0.12% en Oceanía, el 0.10% en África; y, del 4.98% del total de emigrantes no se obtuvo respuesta alguna sobre esta pregunta. </w:t>
      </w:r>
      <w:r w:rsidRPr="00287F2C">
        <w:rPr>
          <w:rFonts w:ascii="Arial" w:hAnsi="Arial" w:cs="Arial"/>
          <w:i/>
        </w:rPr>
        <w:t>Véase Figura 5.7</w:t>
      </w:r>
      <w:r w:rsidRPr="00287F2C">
        <w:rPr>
          <w:rFonts w:ascii="Arial" w:hAnsi="Arial" w:cs="Arial"/>
        </w:rPr>
        <w:t>, donde a mas de las frecuencias relativas se muestran también las frecuencias absolutas del total de emigrantes por continente de residencia.</w:t>
      </w:r>
      <w:bookmarkEnd w:id="755"/>
      <w:bookmarkEnd w:id="756"/>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1C79EA">
        <w:trPr>
          <w:trHeight w:val="5669"/>
          <w:jc w:val="right"/>
        </w:trPr>
        <w:tc>
          <w:tcPr>
            <w:tcW w:w="7497"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57" w:name="_Toc341044087"/>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7</w:t>
            </w:r>
            <w:bookmarkEnd w:id="757"/>
            <w:r w:rsidR="00990535" w:rsidRPr="0006543C">
              <w:rPr>
                <w:rFonts w:ascii="Arial" w:hAnsi="Arial" w:cs="Arial"/>
                <w:bCs w:val="0"/>
                <w:color w:val="auto"/>
                <w:sz w:val="16"/>
                <w:szCs w:val="16"/>
              </w:rPr>
              <w:fldChar w:fldCharType="end"/>
            </w:r>
          </w:p>
          <w:p w:rsidR="0006543C" w:rsidRDefault="001C79EA" w:rsidP="0006543C">
            <w:pPr>
              <w:rPr>
                <w:rFonts w:ascii="Arial" w:hAnsi="Arial" w:cs="Arial"/>
                <w:i/>
                <w:sz w:val="16"/>
                <w:szCs w:val="16"/>
              </w:rPr>
            </w:pPr>
            <w:r>
              <w:rPr>
                <w:rFonts w:ascii="Arial" w:hAnsi="Arial" w:cs="Arial"/>
                <w:b/>
                <w:i/>
                <w:sz w:val="16"/>
                <w:szCs w:val="16"/>
              </w:rPr>
              <w:t xml:space="preserve">Ecuador 2010: </w:t>
            </w:r>
            <w:r w:rsidR="0006543C">
              <w:rPr>
                <w:rFonts w:ascii="Arial" w:hAnsi="Arial" w:cs="Arial"/>
                <w:i/>
                <w:sz w:val="16"/>
                <w:szCs w:val="16"/>
              </w:rPr>
              <w:t>Frecuencia Relativa y Absoluta de Continente de residencia actual de los emigrantes</w:t>
            </w:r>
          </w:p>
          <w:p w:rsidR="0006543C" w:rsidRPr="000031F4" w:rsidRDefault="0006543C" w:rsidP="0006543C">
            <w:pPr>
              <w:rPr>
                <w:rFonts w:ascii="Arial" w:hAnsi="Arial" w:cs="Arial"/>
                <w:i/>
                <w:sz w:val="10"/>
                <w:szCs w:val="10"/>
              </w:rPr>
            </w:pPr>
          </w:p>
          <w:p w:rsidR="0006543C" w:rsidRPr="00E80EB0" w:rsidRDefault="0006543C" w:rsidP="0006543C">
            <w:pPr>
              <w:rPr>
                <w:rFonts w:ascii="Arial" w:hAnsi="Arial" w:cs="Arial"/>
                <w:b/>
                <w:sz w:val="16"/>
                <w:szCs w:val="16"/>
              </w:rPr>
            </w:pPr>
            <w:r>
              <w:rPr>
                <w:rFonts w:ascii="Arial" w:hAnsi="Arial" w:cs="Arial"/>
                <w:b/>
                <w:sz w:val="16"/>
                <w:szCs w:val="16"/>
              </w:rPr>
              <w:t>Tabla de Frecuencias</w:t>
            </w:r>
          </w:p>
          <w:p w:rsidR="0006543C" w:rsidRPr="000031F4" w:rsidRDefault="0006543C" w:rsidP="0006543C">
            <w:pPr>
              <w:rPr>
                <w:rFonts w:ascii="Arial" w:hAnsi="Arial" w:cs="Arial"/>
                <w:i/>
                <w:sz w:val="6"/>
                <w:szCs w:val="6"/>
              </w:rPr>
            </w:pPr>
          </w:p>
          <w:tbl>
            <w:tblPr>
              <w:tblW w:w="6407" w:type="dxa"/>
              <w:jc w:val="center"/>
              <w:tblCellMar>
                <w:left w:w="70" w:type="dxa"/>
                <w:right w:w="70" w:type="dxa"/>
              </w:tblCellMar>
              <w:tblLook w:val="04A0" w:firstRow="1" w:lastRow="0" w:firstColumn="1" w:lastColumn="0" w:noHBand="0" w:noVBand="1"/>
            </w:tblPr>
            <w:tblGrid>
              <w:gridCol w:w="2835"/>
              <w:gridCol w:w="1871"/>
              <w:gridCol w:w="1701"/>
            </w:tblGrid>
            <w:tr w:rsidR="0006543C" w:rsidRPr="00E80EB0" w:rsidTr="0006543C">
              <w:trPr>
                <w:trHeight w:val="20"/>
                <w:jc w:val="center"/>
              </w:trPr>
              <w:tc>
                <w:tcPr>
                  <w:tcW w:w="2835" w:type="dxa"/>
                  <w:tcBorders>
                    <w:top w:val="single" w:sz="4" w:space="0" w:color="auto"/>
                    <w:left w:val="nil"/>
                    <w:bottom w:val="single" w:sz="4" w:space="0" w:color="auto"/>
                    <w:right w:val="nil"/>
                  </w:tcBorders>
                  <w:shd w:val="clear" w:color="auto" w:fill="auto"/>
                  <w:vAlign w:val="center"/>
                  <w:hideMark/>
                </w:tcPr>
                <w:p w:rsidR="0006543C" w:rsidRPr="00E80EB0" w:rsidRDefault="0006543C" w:rsidP="0006543C">
                  <w:pPr>
                    <w:rPr>
                      <w:rFonts w:ascii="Arial" w:eastAsia="Times New Roman" w:hAnsi="Arial" w:cs="Arial"/>
                      <w:b/>
                      <w:bCs/>
                      <w:color w:val="000000"/>
                      <w:sz w:val="16"/>
                      <w:szCs w:val="16"/>
                      <w:lang w:eastAsia="es-EC"/>
                    </w:rPr>
                  </w:pPr>
                  <w:r w:rsidRPr="00E80EB0">
                    <w:rPr>
                      <w:rFonts w:ascii="Arial" w:eastAsia="Times New Roman" w:hAnsi="Arial" w:cs="Arial"/>
                      <w:b/>
                      <w:bCs/>
                      <w:color w:val="000000"/>
                      <w:sz w:val="16"/>
                      <w:szCs w:val="16"/>
                      <w:lang w:eastAsia="es-EC"/>
                    </w:rPr>
                    <w:t>Continente de residencia actual</w:t>
                  </w:r>
                </w:p>
              </w:tc>
              <w:tc>
                <w:tcPr>
                  <w:tcW w:w="1871" w:type="dxa"/>
                  <w:tcBorders>
                    <w:top w:val="single" w:sz="4" w:space="0" w:color="auto"/>
                    <w:left w:val="nil"/>
                    <w:bottom w:val="single" w:sz="4" w:space="0" w:color="auto"/>
                    <w:right w:val="nil"/>
                  </w:tcBorders>
                  <w:shd w:val="clear" w:color="auto" w:fill="auto"/>
                  <w:vAlign w:val="center"/>
                  <w:hideMark/>
                </w:tcPr>
                <w:p w:rsidR="0006543C" w:rsidRPr="00E80EB0" w:rsidRDefault="0006543C" w:rsidP="0006543C">
                  <w:pPr>
                    <w:rPr>
                      <w:rFonts w:ascii="Arial" w:eastAsia="Times New Roman" w:hAnsi="Arial" w:cs="Arial"/>
                      <w:b/>
                      <w:bCs/>
                      <w:color w:val="000000"/>
                      <w:sz w:val="16"/>
                      <w:szCs w:val="16"/>
                      <w:lang w:eastAsia="es-EC"/>
                    </w:rPr>
                  </w:pPr>
                  <w:r w:rsidRPr="00E80EB0">
                    <w:rPr>
                      <w:rFonts w:ascii="Arial" w:eastAsia="Times New Roman" w:hAnsi="Arial" w:cs="Arial"/>
                      <w:b/>
                      <w:bCs/>
                      <w:color w:val="000000"/>
                      <w:sz w:val="16"/>
                      <w:szCs w:val="16"/>
                      <w:lang w:eastAsia="es-EC"/>
                    </w:rPr>
                    <w:t>Frecuencia Absoluta</w:t>
                  </w:r>
                </w:p>
              </w:tc>
              <w:tc>
                <w:tcPr>
                  <w:tcW w:w="1701" w:type="dxa"/>
                  <w:tcBorders>
                    <w:top w:val="single" w:sz="4" w:space="0" w:color="auto"/>
                    <w:left w:val="nil"/>
                    <w:bottom w:val="single" w:sz="4" w:space="0" w:color="auto"/>
                    <w:right w:val="nil"/>
                  </w:tcBorders>
                  <w:shd w:val="clear" w:color="auto" w:fill="auto"/>
                  <w:vAlign w:val="center"/>
                  <w:hideMark/>
                </w:tcPr>
                <w:p w:rsidR="0006543C" w:rsidRPr="00E80EB0" w:rsidRDefault="0006543C" w:rsidP="0006543C">
                  <w:pPr>
                    <w:rPr>
                      <w:rFonts w:ascii="Arial" w:eastAsia="Times New Roman" w:hAnsi="Arial" w:cs="Arial"/>
                      <w:b/>
                      <w:bCs/>
                      <w:color w:val="000000"/>
                      <w:sz w:val="16"/>
                      <w:szCs w:val="16"/>
                      <w:lang w:eastAsia="es-EC"/>
                    </w:rPr>
                  </w:pPr>
                  <w:r w:rsidRPr="00E80EB0">
                    <w:rPr>
                      <w:rFonts w:ascii="Arial" w:eastAsia="Times New Roman" w:hAnsi="Arial" w:cs="Arial"/>
                      <w:b/>
                      <w:bCs/>
                      <w:color w:val="000000"/>
                      <w:sz w:val="16"/>
                      <w:szCs w:val="16"/>
                      <w:lang w:eastAsia="es-EC"/>
                    </w:rPr>
                    <w:t xml:space="preserve">Frecuencia Relativa </w:t>
                  </w:r>
                </w:p>
              </w:tc>
            </w:tr>
            <w:tr w:rsidR="0006543C" w:rsidRPr="00E80EB0" w:rsidTr="0006543C">
              <w:trPr>
                <w:trHeight w:val="20"/>
                <w:jc w:val="center"/>
              </w:trPr>
              <w:tc>
                <w:tcPr>
                  <w:tcW w:w="2835" w:type="dxa"/>
                  <w:tcBorders>
                    <w:top w:val="nil"/>
                    <w:left w:val="nil"/>
                    <w:bottom w:val="nil"/>
                    <w:right w:val="nil"/>
                  </w:tcBorders>
                  <w:shd w:val="clear" w:color="auto" w:fill="auto"/>
                  <w:noWrap/>
                  <w:vAlign w:val="center"/>
                  <w:hideMark/>
                </w:tcPr>
                <w:p w:rsidR="0006543C" w:rsidRPr="00E80EB0" w:rsidRDefault="0006543C" w:rsidP="001C79EA">
                  <w:pPr>
                    <w:jc w:val="left"/>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América del Norte</w:t>
                  </w:r>
                </w:p>
              </w:tc>
              <w:tc>
                <w:tcPr>
                  <w:tcW w:w="187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83759</w:t>
                  </w:r>
                </w:p>
              </w:tc>
              <w:tc>
                <w:tcPr>
                  <w:tcW w:w="170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0.299</w:t>
                  </w:r>
                </w:p>
              </w:tc>
            </w:tr>
            <w:tr w:rsidR="0006543C" w:rsidRPr="00E80EB0" w:rsidTr="0006543C">
              <w:trPr>
                <w:trHeight w:val="20"/>
                <w:jc w:val="center"/>
              </w:trPr>
              <w:tc>
                <w:tcPr>
                  <w:tcW w:w="2835" w:type="dxa"/>
                  <w:tcBorders>
                    <w:top w:val="nil"/>
                    <w:left w:val="nil"/>
                    <w:bottom w:val="nil"/>
                    <w:right w:val="nil"/>
                  </w:tcBorders>
                  <w:shd w:val="clear" w:color="auto" w:fill="auto"/>
                  <w:noWrap/>
                  <w:vAlign w:val="center"/>
                  <w:hideMark/>
                </w:tcPr>
                <w:p w:rsidR="0006543C" w:rsidRPr="00E80EB0" w:rsidRDefault="0006543C" w:rsidP="001C79EA">
                  <w:pPr>
                    <w:jc w:val="left"/>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Latino América y el Caribe</w:t>
                  </w:r>
                </w:p>
              </w:tc>
              <w:tc>
                <w:tcPr>
                  <w:tcW w:w="187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21522</w:t>
                  </w:r>
                </w:p>
              </w:tc>
              <w:tc>
                <w:tcPr>
                  <w:tcW w:w="170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0.077</w:t>
                  </w:r>
                </w:p>
              </w:tc>
            </w:tr>
            <w:tr w:rsidR="0006543C" w:rsidRPr="00E80EB0" w:rsidTr="0006543C">
              <w:trPr>
                <w:trHeight w:val="20"/>
                <w:jc w:val="center"/>
              </w:trPr>
              <w:tc>
                <w:tcPr>
                  <w:tcW w:w="2835" w:type="dxa"/>
                  <w:tcBorders>
                    <w:top w:val="nil"/>
                    <w:left w:val="nil"/>
                    <w:bottom w:val="nil"/>
                    <w:right w:val="nil"/>
                  </w:tcBorders>
                  <w:shd w:val="clear" w:color="auto" w:fill="auto"/>
                  <w:noWrap/>
                  <w:vAlign w:val="center"/>
                  <w:hideMark/>
                </w:tcPr>
                <w:p w:rsidR="0006543C" w:rsidRPr="00E80EB0" w:rsidRDefault="0006543C" w:rsidP="001C79EA">
                  <w:pPr>
                    <w:jc w:val="left"/>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Europa</w:t>
                  </w:r>
                </w:p>
              </w:tc>
              <w:tc>
                <w:tcPr>
                  <w:tcW w:w="187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159541</w:t>
                  </w:r>
                </w:p>
              </w:tc>
              <w:tc>
                <w:tcPr>
                  <w:tcW w:w="170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0.569</w:t>
                  </w:r>
                </w:p>
              </w:tc>
            </w:tr>
            <w:tr w:rsidR="0006543C" w:rsidRPr="00E80EB0" w:rsidTr="0006543C">
              <w:trPr>
                <w:trHeight w:val="20"/>
                <w:jc w:val="center"/>
              </w:trPr>
              <w:tc>
                <w:tcPr>
                  <w:tcW w:w="2835" w:type="dxa"/>
                  <w:tcBorders>
                    <w:top w:val="nil"/>
                    <w:left w:val="nil"/>
                    <w:bottom w:val="nil"/>
                    <w:right w:val="nil"/>
                  </w:tcBorders>
                  <w:shd w:val="clear" w:color="auto" w:fill="auto"/>
                  <w:noWrap/>
                  <w:vAlign w:val="center"/>
                  <w:hideMark/>
                </w:tcPr>
                <w:p w:rsidR="0006543C" w:rsidRPr="00E80EB0" w:rsidRDefault="0006543C" w:rsidP="001C79EA">
                  <w:pPr>
                    <w:jc w:val="left"/>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Asia</w:t>
                  </w:r>
                </w:p>
              </w:tc>
              <w:tc>
                <w:tcPr>
                  <w:tcW w:w="187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1002</w:t>
                  </w:r>
                </w:p>
              </w:tc>
              <w:tc>
                <w:tcPr>
                  <w:tcW w:w="170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0.004</w:t>
                  </w:r>
                </w:p>
              </w:tc>
            </w:tr>
            <w:tr w:rsidR="0006543C" w:rsidRPr="00E80EB0" w:rsidTr="0006543C">
              <w:trPr>
                <w:trHeight w:val="20"/>
                <w:jc w:val="center"/>
              </w:trPr>
              <w:tc>
                <w:tcPr>
                  <w:tcW w:w="2835" w:type="dxa"/>
                  <w:tcBorders>
                    <w:top w:val="nil"/>
                    <w:left w:val="nil"/>
                    <w:bottom w:val="nil"/>
                    <w:right w:val="nil"/>
                  </w:tcBorders>
                  <w:shd w:val="clear" w:color="auto" w:fill="auto"/>
                  <w:noWrap/>
                  <w:vAlign w:val="center"/>
                  <w:hideMark/>
                </w:tcPr>
                <w:p w:rsidR="0006543C" w:rsidRPr="00E80EB0" w:rsidRDefault="0006543C" w:rsidP="001C79EA">
                  <w:pPr>
                    <w:jc w:val="left"/>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África</w:t>
                  </w:r>
                </w:p>
              </w:tc>
              <w:tc>
                <w:tcPr>
                  <w:tcW w:w="187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286</w:t>
                  </w:r>
                </w:p>
              </w:tc>
              <w:tc>
                <w:tcPr>
                  <w:tcW w:w="170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0.001</w:t>
                  </w:r>
                </w:p>
              </w:tc>
            </w:tr>
            <w:tr w:rsidR="0006543C" w:rsidRPr="00E80EB0" w:rsidTr="0006543C">
              <w:trPr>
                <w:trHeight w:val="20"/>
                <w:jc w:val="center"/>
              </w:trPr>
              <w:tc>
                <w:tcPr>
                  <w:tcW w:w="2835" w:type="dxa"/>
                  <w:tcBorders>
                    <w:top w:val="nil"/>
                    <w:left w:val="nil"/>
                    <w:bottom w:val="nil"/>
                    <w:right w:val="nil"/>
                  </w:tcBorders>
                  <w:shd w:val="clear" w:color="auto" w:fill="auto"/>
                  <w:noWrap/>
                  <w:vAlign w:val="center"/>
                  <w:hideMark/>
                </w:tcPr>
                <w:p w:rsidR="0006543C" w:rsidRPr="00E80EB0" w:rsidRDefault="0006543C" w:rsidP="001C79EA">
                  <w:pPr>
                    <w:jc w:val="left"/>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Oceanía</w:t>
                  </w:r>
                </w:p>
              </w:tc>
              <w:tc>
                <w:tcPr>
                  <w:tcW w:w="187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342</w:t>
                  </w:r>
                </w:p>
              </w:tc>
              <w:tc>
                <w:tcPr>
                  <w:tcW w:w="170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0.001</w:t>
                  </w:r>
                </w:p>
              </w:tc>
            </w:tr>
            <w:tr w:rsidR="0006543C" w:rsidRPr="00E80EB0" w:rsidTr="0006543C">
              <w:trPr>
                <w:trHeight w:val="20"/>
                <w:jc w:val="center"/>
              </w:trPr>
              <w:tc>
                <w:tcPr>
                  <w:tcW w:w="2835" w:type="dxa"/>
                  <w:tcBorders>
                    <w:top w:val="nil"/>
                    <w:left w:val="nil"/>
                    <w:bottom w:val="nil"/>
                    <w:right w:val="nil"/>
                  </w:tcBorders>
                  <w:shd w:val="clear" w:color="auto" w:fill="auto"/>
                  <w:noWrap/>
                  <w:vAlign w:val="center"/>
                  <w:hideMark/>
                </w:tcPr>
                <w:p w:rsidR="0006543C" w:rsidRPr="00E80EB0" w:rsidRDefault="0006543C" w:rsidP="001C79EA">
                  <w:pPr>
                    <w:jc w:val="left"/>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No especifica</w:t>
                  </w:r>
                </w:p>
              </w:tc>
              <w:tc>
                <w:tcPr>
                  <w:tcW w:w="187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13955</w:t>
                  </w:r>
                </w:p>
              </w:tc>
              <w:tc>
                <w:tcPr>
                  <w:tcW w:w="1701" w:type="dxa"/>
                  <w:tcBorders>
                    <w:top w:val="nil"/>
                    <w:left w:val="nil"/>
                    <w:bottom w:val="nil"/>
                    <w:right w:val="nil"/>
                  </w:tcBorders>
                  <w:shd w:val="clear" w:color="auto" w:fill="auto"/>
                  <w:noWrap/>
                  <w:vAlign w:val="center"/>
                  <w:hideMark/>
                </w:tcPr>
                <w:p w:rsidR="0006543C" w:rsidRPr="00E80EB0" w:rsidRDefault="0006543C" w:rsidP="0006543C">
                  <w:pPr>
                    <w:rPr>
                      <w:rFonts w:ascii="Arial" w:eastAsia="Times New Roman" w:hAnsi="Arial" w:cs="Arial"/>
                      <w:color w:val="000000"/>
                      <w:sz w:val="16"/>
                      <w:szCs w:val="16"/>
                      <w:lang w:eastAsia="es-EC"/>
                    </w:rPr>
                  </w:pPr>
                  <w:r w:rsidRPr="00E80EB0">
                    <w:rPr>
                      <w:rFonts w:ascii="Arial" w:eastAsia="Times New Roman" w:hAnsi="Arial" w:cs="Arial"/>
                      <w:color w:val="000000"/>
                      <w:sz w:val="16"/>
                      <w:szCs w:val="16"/>
                      <w:lang w:eastAsia="es-EC"/>
                    </w:rPr>
                    <w:t>0.050</w:t>
                  </w:r>
                </w:p>
              </w:tc>
            </w:tr>
            <w:tr w:rsidR="0006543C" w:rsidRPr="00E80EB0" w:rsidTr="0006543C">
              <w:trPr>
                <w:trHeight w:val="20"/>
                <w:jc w:val="center"/>
              </w:trPr>
              <w:tc>
                <w:tcPr>
                  <w:tcW w:w="2835" w:type="dxa"/>
                  <w:tcBorders>
                    <w:top w:val="nil"/>
                    <w:left w:val="nil"/>
                    <w:bottom w:val="single" w:sz="4" w:space="0" w:color="auto"/>
                    <w:right w:val="nil"/>
                  </w:tcBorders>
                  <w:shd w:val="clear" w:color="auto" w:fill="auto"/>
                  <w:noWrap/>
                  <w:vAlign w:val="center"/>
                  <w:hideMark/>
                </w:tcPr>
                <w:p w:rsidR="0006543C" w:rsidRPr="00E80EB0" w:rsidRDefault="0006543C" w:rsidP="001C79EA">
                  <w:pPr>
                    <w:jc w:val="left"/>
                    <w:rPr>
                      <w:rFonts w:ascii="Arial" w:eastAsia="Times New Roman" w:hAnsi="Arial" w:cs="Arial"/>
                      <w:b/>
                      <w:bCs/>
                      <w:i/>
                      <w:iCs/>
                      <w:color w:val="000000"/>
                      <w:sz w:val="16"/>
                      <w:szCs w:val="16"/>
                      <w:lang w:eastAsia="es-EC"/>
                    </w:rPr>
                  </w:pPr>
                  <w:r w:rsidRPr="00E80EB0">
                    <w:rPr>
                      <w:rFonts w:ascii="Arial" w:eastAsia="Times New Roman" w:hAnsi="Arial" w:cs="Arial"/>
                      <w:b/>
                      <w:bCs/>
                      <w:i/>
                      <w:iCs/>
                      <w:color w:val="000000"/>
                      <w:sz w:val="16"/>
                      <w:szCs w:val="16"/>
                      <w:lang w:eastAsia="es-EC"/>
                    </w:rPr>
                    <w:t>Total</w:t>
                  </w:r>
                </w:p>
              </w:tc>
              <w:tc>
                <w:tcPr>
                  <w:tcW w:w="1871" w:type="dxa"/>
                  <w:tcBorders>
                    <w:top w:val="nil"/>
                    <w:left w:val="nil"/>
                    <w:bottom w:val="single" w:sz="4" w:space="0" w:color="auto"/>
                    <w:right w:val="nil"/>
                  </w:tcBorders>
                  <w:shd w:val="clear" w:color="auto" w:fill="auto"/>
                  <w:noWrap/>
                  <w:vAlign w:val="center"/>
                  <w:hideMark/>
                </w:tcPr>
                <w:p w:rsidR="0006543C" w:rsidRPr="00E80EB0" w:rsidRDefault="0006543C" w:rsidP="0006543C">
                  <w:pPr>
                    <w:rPr>
                      <w:rFonts w:ascii="Arial" w:eastAsia="Times New Roman" w:hAnsi="Arial" w:cs="Arial"/>
                      <w:b/>
                      <w:bCs/>
                      <w:i/>
                      <w:iCs/>
                      <w:color w:val="000000"/>
                      <w:sz w:val="16"/>
                      <w:szCs w:val="16"/>
                      <w:lang w:eastAsia="es-EC"/>
                    </w:rPr>
                  </w:pPr>
                  <w:r w:rsidRPr="00E80EB0">
                    <w:rPr>
                      <w:rFonts w:ascii="Arial" w:eastAsia="Times New Roman" w:hAnsi="Arial" w:cs="Arial"/>
                      <w:b/>
                      <w:bCs/>
                      <w:i/>
                      <w:iCs/>
                      <w:color w:val="000000"/>
                      <w:sz w:val="16"/>
                      <w:szCs w:val="16"/>
                      <w:lang w:eastAsia="es-EC"/>
                    </w:rPr>
                    <w:t>280407</w:t>
                  </w:r>
                </w:p>
              </w:tc>
              <w:tc>
                <w:tcPr>
                  <w:tcW w:w="1701" w:type="dxa"/>
                  <w:tcBorders>
                    <w:top w:val="nil"/>
                    <w:left w:val="nil"/>
                    <w:bottom w:val="single" w:sz="4" w:space="0" w:color="auto"/>
                    <w:right w:val="nil"/>
                  </w:tcBorders>
                  <w:shd w:val="clear" w:color="auto" w:fill="auto"/>
                  <w:noWrap/>
                  <w:vAlign w:val="center"/>
                  <w:hideMark/>
                </w:tcPr>
                <w:p w:rsidR="0006543C" w:rsidRPr="00E80EB0" w:rsidRDefault="0006543C" w:rsidP="0006543C">
                  <w:pPr>
                    <w:rPr>
                      <w:rFonts w:ascii="Arial" w:eastAsia="Times New Roman" w:hAnsi="Arial" w:cs="Arial"/>
                      <w:b/>
                      <w:bCs/>
                      <w:i/>
                      <w:iCs/>
                      <w:color w:val="000000"/>
                      <w:sz w:val="16"/>
                      <w:szCs w:val="16"/>
                      <w:lang w:eastAsia="es-EC"/>
                    </w:rPr>
                  </w:pPr>
                  <w:r w:rsidRPr="00E80EB0">
                    <w:rPr>
                      <w:rFonts w:ascii="Arial" w:eastAsia="Times New Roman" w:hAnsi="Arial" w:cs="Arial"/>
                      <w:b/>
                      <w:bCs/>
                      <w:i/>
                      <w:iCs/>
                      <w:color w:val="000000"/>
                      <w:sz w:val="16"/>
                      <w:szCs w:val="16"/>
                      <w:lang w:eastAsia="es-EC"/>
                    </w:rPr>
                    <w:t>1.000</w:t>
                  </w:r>
                </w:p>
              </w:tc>
            </w:tr>
          </w:tbl>
          <w:p w:rsidR="0006543C" w:rsidRPr="000031F4" w:rsidRDefault="0006543C" w:rsidP="0006543C">
            <w:pPr>
              <w:rPr>
                <w:rFonts w:ascii="Arial" w:hAnsi="Arial" w:cs="Arial"/>
                <w:i/>
                <w:sz w:val="10"/>
                <w:szCs w:val="10"/>
              </w:rPr>
            </w:pPr>
          </w:p>
          <w:p w:rsidR="0006543C" w:rsidRPr="00E80EB0" w:rsidRDefault="0006543C" w:rsidP="0006543C">
            <w:pPr>
              <w:rPr>
                <w:rFonts w:ascii="Arial" w:hAnsi="Arial" w:cs="Arial"/>
                <w:b/>
                <w:sz w:val="16"/>
                <w:szCs w:val="16"/>
              </w:rPr>
            </w:pPr>
            <w:r>
              <w:rPr>
                <w:rFonts w:ascii="Arial" w:hAnsi="Arial" w:cs="Arial"/>
                <w:b/>
                <w:sz w:val="16"/>
                <w:szCs w:val="16"/>
              </w:rPr>
              <w:t>Histograma de Frecuencias</w:t>
            </w:r>
          </w:p>
          <w:p w:rsidR="0006543C" w:rsidRPr="000031F4" w:rsidRDefault="0006543C" w:rsidP="0006543C">
            <w:pPr>
              <w:rPr>
                <w:rFonts w:ascii="Arial" w:hAnsi="Arial" w:cs="Arial"/>
                <w:i/>
                <w:sz w:val="6"/>
                <w:szCs w:val="6"/>
              </w:rPr>
            </w:pPr>
          </w:p>
          <w:p w:rsidR="0006543C" w:rsidRPr="00840530" w:rsidRDefault="0006543C" w:rsidP="0006543C">
            <w:pPr>
              <w:rPr>
                <w:rFonts w:ascii="Arial" w:hAnsi="Arial" w:cs="Arial"/>
                <w:sz w:val="24"/>
                <w:szCs w:val="24"/>
              </w:rPr>
            </w:pPr>
            <w:r>
              <w:rPr>
                <w:noProof/>
                <w:lang w:eastAsia="es-EC"/>
              </w:rPr>
              <w:drawing>
                <wp:inline distT="0" distB="0" distL="0" distR="0" wp14:anchorId="4E96CD06" wp14:editId="0A443101">
                  <wp:extent cx="3992400" cy="1628775"/>
                  <wp:effectExtent l="0" t="0" r="8255" b="0"/>
                  <wp:docPr id="360" name="Gráfico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c>
      </w:tr>
    </w:tbl>
    <w:p w:rsidR="0006543C" w:rsidRPr="00196E3A" w:rsidRDefault="0006543C" w:rsidP="00196E3A">
      <w:pPr>
        <w:pStyle w:val="Prrafodelista"/>
        <w:spacing w:line="276" w:lineRule="auto"/>
        <w:ind w:left="851"/>
        <w:jc w:val="both"/>
        <w:rPr>
          <w:rFonts w:ascii="Arial" w:hAnsi="Arial" w:cs="Arial"/>
          <w:sz w:val="17"/>
          <w:szCs w:val="17"/>
        </w:rPr>
      </w:pPr>
    </w:p>
    <w:p w:rsidR="0006543C" w:rsidRPr="00196E3A" w:rsidRDefault="0006543C" w:rsidP="00196E3A">
      <w:pPr>
        <w:pStyle w:val="Prrafodelista"/>
        <w:spacing w:line="276" w:lineRule="auto"/>
        <w:ind w:left="851"/>
        <w:jc w:val="both"/>
        <w:rPr>
          <w:rFonts w:ascii="Arial" w:hAnsi="Arial" w:cs="Arial"/>
          <w:sz w:val="17"/>
          <w:szCs w:val="17"/>
        </w:rPr>
      </w:pPr>
      <w:r w:rsidRPr="00196E3A">
        <w:rPr>
          <w:rFonts w:ascii="Arial" w:hAnsi="Arial" w:cs="Arial"/>
          <w:b/>
          <w:i/>
          <w:sz w:val="17"/>
          <w:szCs w:val="17"/>
        </w:rPr>
        <w:t>Fuente:</w:t>
      </w:r>
      <w:r w:rsidRPr="00196E3A">
        <w:rPr>
          <w:rFonts w:ascii="Arial" w:hAnsi="Arial" w:cs="Arial"/>
          <w:sz w:val="17"/>
          <w:szCs w:val="17"/>
        </w:rPr>
        <w:t xml:space="preserve"> </w:t>
      </w:r>
      <w:r w:rsidRPr="00196E3A">
        <w:rPr>
          <w:rFonts w:ascii="Arial" w:hAnsi="Arial" w:cs="Arial"/>
          <w:b/>
          <w:sz w:val="17"/>
          <w:szCs w:val="17"/>
        </w:rPr>
        <w:t xml:space="preserve">INEC </w:t>
      </w:r>
      <w:r w:rsidRPr="00196E3A">
        <w:rPr>
          <w:rFonts w:ascii="Arial" w:hAnsi="Arial" w:cs="Arial"/>
          <w:sz w:val="17"/>
          <w:szCs w:val="17"/>
        </w:rPr>
        <w:t>(2010), Base de Datos del VII Censo de Población y VI de Vivienda.</w:t>
      </w:r>
    </w:p>
    <w:p w:rsidR="0006543C" w:rsidRPr="00196E3A" w:rsidRDefault="0006543C" w:rsidP="00196E3A">
      <w:pPr>
        <w:pStyle w:val="Prrafodelista"/>
        <w:spacing w:line="276" w:lineRule="auto"/>
        <w:ind w:left="851"/>
        <w:jc w:val="both"/>
        <w:rPr>
          <w:rFonts w:ascii="Arial" w:hAnsi="Arial" w:cs="Arial"/>
          <w:sz w:val="17"/>
          <w:szCs w:val="17"/>
        </w:rPr>
      </w:pPr>
      <w:r w:rsidRPr="00196E3A">
        <w:rPr>
          <w:rFonts w:ascii="Arial" w:hAnsi="Arial" w:cs="Arial"/>
          <w:b/>
          <w:i/>
          <w:sz w:val="17"/>
          <w:szCs w:val="17"/>
        </w:rPr>
        <w:t>Elaborado por:</w:t>
      </w:r>
      <w:r w:rsidRPr="00196E3A">
        <w:rPr>
          <w:rFonts w:ascii="Arial" w:hAnsi="Arial" w:cs="Arial"/>
          <w:sz w:val="17"/>
          <w:szCs w:val="17"/>
        </w:rPr>
        <w:t xml:space="preserve"> Katherine Loor Valeriano</w:t>
      </w:r>
    </w:p>
    <w:p w:rsidR="0006543C" w:rsidRPr="004A1563" w:rsidRDefault="0006543C" w:rsidP="00196E3A">
      <w:pPr>
        <w:pStyle w:val="Prrafodelista"/>
        <w:spacing w:line="480" w:lineRule="auto"/>
        <w:ind w:left="851"/>
        <w:jc w:val="both"/>
        <w:rPr>
          <w:rFonts w:ascii="Arial" w:hAnsi="Arial" w:cs="Arial"/>
          <w:i/>
        </w:rPr>
      </w:pPr>
    </w:p>
    <w:p w:rsidR="0006543C" w:rsidRDefault="0006543C" w:rsidP="00196E3A">
      <w:pPr>
        <w:pStyle w:val="Prrafodelista"/>
        <w:spacing w:line="480" w:lineRule="auto"/>
        <w:ind w:left="851"/>
        <w:jc w:val="both"/>
        <w:rPr>
          <w:rFonts w:ascii="Arial" w:hAnsi="Arial" w:cs="Arial"/>
          <w:i/>
        </w:rPr>
      </w:pPr>
      <w:r w:rsidRPr="004A1563">
        <w:rPr>
          <w:rFonts w:ascii="Arial" w:hAnsi="Arial" w:cs="Arial"/>
        </w:rPr>
        <w:t>En la</w:t>
      </w:r>
      <w:r w:rsidRPr="00324857">
        <w:rPr>
          <w:rFonts w:ascii="Arial" w:hAnsi="Arial" w:cs="Arial"/>
        </w:rPr>
        <w:t xml:space="preserve"> </w:t>
      </w:r>
      <w:r w:rsidRPr="00324857">
        <w:rPr>
          <w:rFonts w:ascii="Arial" w:hAnsi="Arial" w:cs="Arial"/>
          <w:i/>
        </w:rPr>
        <w:t>Figura 5.</w:t>
      </w:r>
      <w:r>
        <w:rPr>
          <w:rFonts w:ascii="Arial" w:hAnsi="Arial" w:cs="Arial"/>
          <w:i/>
        </w:rPr>
        <w:t>8</w:t>
      </w:r>
      <w:r w:rsidRPr="00324857">
        <w:rPr>
          <w:rFonts w:ascii="Arial" w:hAnsi="Arial" w:cs="Arial"/>
        </w:rPr>
        <w:t>,</w:t>
      </w:r>
      <w:r w:rsidRPr="00EC4B91">
        <w:rPr>
          <w:rFonts w:ascii="Arial" w:hAnsi="Arial" w:cs="Arial"/>
        </w:rPr>
        <w:t xml:space="preserve"> </w:t>
      </w:r>
      <w:r>
        <w:rPr>
          <w:rFonts w:ascii="Arial" w:hAnsi="Arial" w:cs="Arial"/>
        </w:rPr>
        <w:t xml:space="preserve">se presenta la tasa de la edad al salir del país por cada 1000 emigrantes por género y por continente de residencia actual; en donde, se observa que de los hombres que viajaron hacia otros países de América y los que emigraron hacia Europa la mayor tasa de emigrantes se presenta entre las edades comprendidas entre los 20 y 25 años; mientras que los emigrantes de género masculino que se dirigieron hacia Oceanía y Asia la mayor tasa se presenta entre los 25 y 30 años; y, de los que emigraron hacia países de África la tasa más alta se presenta entre los 35 y 40 años. Además, se tiene que los hombres que han emigrado hacia el continente africano son mayores de 5 años y menores de 65 años; de los que se dirigieron hacia Oceanía son mayores de 1 año y menores de 70 años, además ninguno tenía entre 5 y 10 años cuando salió del Ecuador; y, de los que se fueron a Asia ninguno tenía edades comprendidas entre 65 y 70 años cuando emigraron. Si también, hacemos un análisis de la curva que representa a los emigrantes que fueron a otros países de América, tenemos que por cada 1000 emigrantes hacia este continente 11.68 tienen entre 1 y 5 años, 18.54 entre 5 y 10 años, 31.49 tienen entre 10 y 15 años, 183 tienen edades comprendidas entre los 15 y 20 años, 232.44 tienen de 20 a 25 años, 169.85 tienen entre 25 y 30 años; y así sucesivamente hasta el último grupo de edad donde se </w:t>
      </w:r>
      <w:r w:rsidR="00AE13C0">
        <w:rPr>
          <w:rFonts w:ascii="Arial" w:hAnsi="Arial" w:cs="Arial"/>
        </w:rPr>
        <w:t>obtuvo</w:t>
      </w:r>
      <w:r>
        <w:rPr>
          <w:rFonts w:ascii="Arial" w:hAnsi="Arial" w:cs="Arial"/>
        </w:rPr>
        <w:t xml:space="preserve"> que 0.44 por cada 1000 emigrantes que se dirigieron a otros países del continente americano tienen entre 95 y 100 años.</w:t>
      </w:r>
      <w:r w:rsidR="004B05FB">
        <w:rPr>
          <w:rFonts w:ascii="Arial" w:hAnsi="Arial" w:cs="Arial"/>
        </w:rPr>
        <w:t xml:space="preserve"> </w:t>
      </w:r>
      <w:r>
        <w:rPr>
          <w:rFonts w:ascii="Arial" w:hAnsi="Arial" w:cs="Arial"/>
        </w:rPr>
        <w:t xml:space="preserve">Por otra parte, para el caso de las mujeres emigrantes se tiene que de las que se fueron a otros países de América y las que se dirigieron a Europa la mayor tasa se </w:t>
      </w:r>
      <w:r w:rsidR="00196E3A">
        <w:rPr>
          <w:rFonts w:ascii="Arial" w:hAnsi="Arial" w:cs="Arial"/>
        </w:rPr>
        <w:t>da</w:t>
      </w:r>
      <w:r>
        <w:rPr>
          <w:rFonts w:ascii="Arial" w:hAnsi="Arial" w:cs="Arial"/>
        </w:rPr>
        <w:t xml:space="preserve"> entre los 20 y 25 años, al igual que en el caso de los hombres; mientras que las que viajaron hacia países de Asia u Oceanía la mayor tasa de edad se presenta entre los 25 y 30 años; pero, de las mujeres que fueron a países africanos 438.46 por cada 1000 mujeres que emigran hacia este continente tenían entre 15 y 20 años, un escenario completamente distinto al de los hombres. Además, de las mujeres que emigraron hacia algún país asiático ninguna tenía edades comprendidas entre 85 y 90 años o eran mayores de 95 años; las mujeres que viajaron hacia África eran mayores de 1 año y menores de 65 años cuando dejaron el país; y, de las que emigraron hacia Oceanía todas tenían edades entre 1 y 55 años cuando decidieron salir del Ecuador. Para más detalles </w:t>
      </w:r>
      <w:r>
        <w:rPr>
          <w:rFonts w:ascii="Arial" w:hAnsi="Arial" w:cs="Arial"/>
          <w:i/>
        </w:rPr>
        <w:t>véase Figura 5.8.</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196E3A">
        <w:trPr>
          <w:trHeight w:val="5669"/>
          <w:jc w:val="right"/>
        </w:trPr>
        <w:tc>
          <w:tcPr>
            <w:tcW w:w="7497"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58" w:name="_Toc341044088"/>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8</w:t>
            </w:r>
            <w:bookmarkEnd w:id="758"/>
            <w:r w:rsidR="00990535" w:rsidRPr="0006543C">
              <w:rPr>
                <w:rFonts w:ascii="Arial" w:hAnsi="Arial" w:cs="Arial"/>
                <w:bCs w:val="0"/>
                <w:color w:val="auto"/>
                <w:sz w:val="16"/>
                <w:szCs w:val="16"/>
              </w:rPr>
              <w:fldChar w:fldCharType="end"/>
            </w:r>
          </w:p>
          <w:p w:rsidR="0006543C" w:rsidRDefault="00196E3A" w:rsidP="0006543C">
            <w:pPr>
              <w:rPr>
                <w:rFonts w:ascii="Arial" w:hAnsi="Arial" w:cs="Arial"/>
                <w:i/>
                <w:sz w:val="16"/>
                <w:szCs w:val="16"/>
              </w:rPr>
            </w:pPr>
            <w:r>
              <w:rPr>
                <w:rFonts w:ascii="Arial" w:hAnsi="Arial" w:cs="Arial"/>
                <w:b/>
                <w:i/>
                <w:sz w:val="16"/>
                <w:szCs w:val="16"/>
              </w:rPr>
              <w:t xml:space="preserve">Ecuador 2010: </w:t>
            </w:r>
            <w:r w:rsidR="0006543C">
              <w:rPr>
                <w:rFonts w:ascii="Arial" w:hAnsi="Arial" w:cs="Arial"/>
                <w:i/>
                <w:sz w:val="16"/>
                <w:szCs w:val="16"/>
              </w:rPr>
              <w:t>Tasa de edad al salir del país por cada 1000 emigrantes por género y continente de residencia actual</w:t>
            </w:r>
          </w:p>
          <w:p w:rsidR="0006543C" w:rsidRDefault="00436907" w:rsidP="0006543C">
            <w:pPr>
              <w:rPr>
                <w:rFonts w:ascii="Arial" w:hAnsi="Arial" w:cs="Arial"/>
                <w:sz w:val="24"/>
                <w:szCs w:val="24"/>
              </w:rPr>
            </w:pPr>
            <w:r>
              <w:rPr>
                <w:rFonts w:ascii="Arial" w:hAnsi="Arial" w:cs="Arial"/>
                <w:noProof/>
                <w:sz w:val="16"/>
                <w:szCs w:val="16"/>
                <w:lang w:eastAsia="es-EC"/>
              </w:rPr>
              <w:pict>
                <v:shape id="_x0000_s1810" type="#_x0000_t202" style="position:absolute;left:0;text-align:left;margin-left:42.7pt;margin-top:43.05pt;width:106.85pt;height:15.8pt;z-index:2516894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70C0"/>
                            <w:sz w:val="15"/>
                            <w:szCs w:val="15"/>
                          </w:rPr>
                        </w:pPr>
                        <w:r w:rsidRPr="00623DB4">
                          <w:rPr>
                            <w:rFonts w:ascii="Arial" w:hAnsi="Arial" w:cs="Arial"/>
                            <w:color w:val="0070C0"/>
                            <w:sz w:val="15"/>
                            <w:szCs w:val="15"/>
                          </w:rPr>
                          <w:t>América</w:t>
                        </w:r>
                      </w:p>
                    </w:txbxContent>
                  </v:textbox>
                </v:shape>
              </w:pict>
            </w:r>
            <w:r>
              <w:rPr>
                <w:rFonts w:ascii="Arial" w:hAnsi="Arial" w:cs="Arial"/>
                <w:noProof/>
                <w:sz w:val="16"/>
                <w:szCs w:val="16"/>
                <w:lang w:eastAsia="es-EC"/>
              </w:rPr>
              <w:pict>
                <v:shape id="_x0000_s2362" type="#_x0000_t32" style="position:absolute;left:0;text-align:left;margin-left:97.05pt;margin-top:54.7pt;width:18.4pt;height:12.95pt;z-index:252037632" o:connectortype="straight" strokecolor="#0070c0">
                  <v:stroke endarrow="block"/>
                </v:shape>
              </w:pict>
            </w:r>
            <w:r>
              <w:rPr>
                <w:rFonts w:ascii="Arial" w:hAnsi="Arial" w:cs="Arial"/>
                <w:noProof/>
                <w:sz w:val="16"/>
                <w:szCs w:val="16"/>
                <w:lang w:eastAsia="es-EC"/>
              </w:rPr>
              <w:pict>
                <v:shape id="_x0000_s1813" type="#_x0000_t202" style="position:absolute;left:0;text-align:left;margin-left:126.3pt;margin-top:27.7pt;width:106.85pt;height:15.8pt;z-index:2516925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B050"/>
                            <w:sz w:val="15"/>
                            <w:szCs w:val="15"/>
                          </w:rPr>
                        </w:pPr>
                        <w:r w:rsidRPr="00623DB4">
                          <w:rPr>
                            <w:rFonts w:ascii="Arial" w:hAnsi="Arial" w:cs="Arial"/>
                            <w:color w:val="00B050"/>
                            <w:sz w:val="15"/>
                            <w:szCs w:val="15"/>
                          </w:rPr>
                          <w:t>Oceanía</w:t>
                        </w:r>
                      </w:p>
                    </w:txbxContent>
                  </v:textbox>
                </v:shape>
              </w:pict>
            </w:r>
            <w:r>
              <w:rPr>
                <w:rFonts w:ascii="Arial" w:hAnsi="Arial" w:cs="Arial"/>
                <w:noProof/>
                <w:sz w:val="16"/>
                <w:szCs w:val="16"/>
                <w:lang w:eastAsia="es-EC"/>
              </w:rPr>
              <w:pict>
                <v:shape id="_x0000_s2358" type="#_x0000_t32" style="position:absolute;left:0;text-align:left;margin-left:142.65pt;margin-top:37.55pt;width:21.15pt;height:17.15pt;flip:x;z-index:252033536" o:connectortype="straight" strokecolor="#00b050">
                  <v:stroke endarrow="block"/>
                </v:shape>
              </w:pict>
            </w:r>
            <w:r>
              <w:rPr>
                <w:rFonts w:ascii="Arial" w:hAnsi="Arial" w:cs="Arial"/>
                <w:noProof/>
                <w:sz w:val="16"/>
                <w:szCs w:val="16"/>
                <w:lang w:eastAsia="es-EC"/>
              </w:rPr>
              <w:pict>
                <v:shape id="_x0000_s1809" type="#_x0000_t202" style="position:absolute;left:0;text-align:left;margin-left:142.65pt;margin-top:43.4pt;width:106.85pt;height:15.8pt;z-index:2516884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B0F0"/>
                            <w:sz w:val="15"/>
                            <w:szCs w:val="15"/>
                          </w:rPr>
                        </w:pPr>
                        <w:r w:rsidRPr="00623DB4">
                          <w:rPr>
                            <w:rFonts w:ascii="Arial" w:hAnsi="Arial" w:cs="Arial"/>
                            <w:color w:val="00B0F0"/>
                            <w:sz w:val="15"/>
                            <w:szCs w:val="15"/>
                          </w:rPr>
                          <w:t>África</w:t>
                        </w:r>
                      </w:p>
                    </w:txbxContent>
                  </v:textbox>
                </v:shape>
              </w:pict>
            </w:r>
            <w:r>
              <w:rPr>
                <w:rFonts w:ascii="Arial" w:hAnsi="Arial" w:cs="Arial"/>
                <w:noProof/>
                <w:sz w:val="16"/>
                <w:szCs w:val="16"/>
                <w:lang w:eastAsia="es-EC"/>
              </w:rPr>
              <w:pict>
                <v:shape id="_x0000_s2357" type="#_x0000_t32" style="position:absolute;left:0;text-align:left;margin-left:170.55pt;margin-top:54.7pt;width:15pt;height:12.95pt;flip:x;z-index:252032512" o:connectortype="straight" strokecolor="#00b0f0">
                  <v:stroke endarrow="block"/>
                </v:shape>
              </w:pict>
            </w:r>
            <w:r>
              <w:rPr>
                <w:rFonts w:ascii="Arial" w:hAnsi="Arial" w:cs="Arial"/>
                <w:noProof/>
                <w:sz w:val="16"/>
                <w:szCs w:val="16"/>
                <w:lang w:eastAsia="es-EC"/>
              </w:rPr>
              <w:pict>
                <v:shape id="_x0000_s1812" type="#_x0000_t202" style="position:absolute;left:0;text-align:left;margin-left:159.25pt;margin-top:60.1pt;width:106.85pt;height:15.8pt;z-index:2516915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D60093"/>
                            <w:sz w:val="15"/>
                            <w:szCs w:val="15"/>
                          </w:rPr>
                        </w:pPr>
                        <w:r w:rsidRPr="00623DB4">
                          <w:rPr>
                            <w:rFonts w:ascii="Arial" w:hAnsi="Arial" w:cs="Arial"/>
                            <w:color w:val="D60093"/>
                            <w:sz w:val="15"/>
                            <w:szCs w:val="15"/>
                          </w:rPr>
                          <w:t>Europa</w:t>
                        </w:r>
                      </w:p>
                    </w:txbxContent>
                  </v:textbox>
                </v:shape>
              </w:pict>
            </w:r>
            <w:r>
              <w:rPr>
                <w:rFonts w:ascii="Arial" w:hAnsi="Arial" w:cs="Arial"/>
                <w:noProof/>
                <w:sz w:val="16"/>
                <w:szCs w:val="16"/>
                <w:lang w:eastAsia="es-EC"/>
              </w:rPr>
              <w:pict>
                <v:shape id="_x0000_s2354" type="#_x0000_t32" style="position:absolute;left:0;text-align:left;margin-left:175.7pt;margin-top:71.25pt;width:23.15pt;height:12.95pt;flip:x;z-index:252029440" o:connectortype="straight" strokecolor="#d60093">
                  <v:stroke endarrow="block"/>
                </v:shape>
              </w:pict>
            </w:r>
            <w:r>
              <w:rPr>
                <w:rFonts w:ascii="Arial" w:hAnsi="Arial" w:cs="Arial"/>
                <w:noProof/>
                <w:sz w:val="16"/>
                <w:szCs w:val="16"/>
                <w:lang w:eastAsia="es-EC"/>
              </w:rPr>
              <w:pict>
                <v:shape id="_x0000_s2353" type="#_x0000_t32" style="position:absolute;left:0;text-align:left;margin-left:271.8pt;margin-top:85.7pt;width:6pt;height:16.7pt;z-index:252028416" o:connectortype="straight" strokecolor="#e36c0a [2409]">
                  <v:stroke endarrow="block"/>
                </v:shape>
              </w:pict>
            </w:r>
            <w:r>
              <w:rPr>
                <w:rFonts w:ascii="Arial" w:hAnsi="Arial" w:cs="Arial"/>
                <w:noProof/>
                <w:sz w:val="16"/>
                <w:szCs w:val="16"/>
                <w:lang w:eastAsia="es-EC"/>
              </w:rPr>
              <w:pict>
                <v:shape id="_x0000_s1811" type="#_x0000_t202" style="position:absolute;left:0;text-align:left;margin-left:217pt;margin-top:74.25pt;width:106.85pt;height:15.8pt;z-index:2516904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E36C0A" w:themeColor="accent6" w:themeShade="BF"/>
                            <w:sz w:val="15"/>
                            <w:szCs w:val="15"/>
                          </w:rPr>
                        </w:pPr>
                        <w:r w:rsidRPr="00623DB4">
                          <w:rPr>
                            <w:rFonts w:ascii="Arial" w:hAnsi="Arial" w:cs="Arial"/>
                            <w:color w:val="E36C0A" w:themeColor="accent6" w:themeShade="BF"/>
                            <w:sz w:val="15"/>
                            <w:szCs w:val="15"/>
                          </w:rPr>
                          <w:t>Asia</w:t>
                        </w:r>
                      </w:p>
                    </w:txbxContent>
                  </v:textbox>
                </v:shape>
              </w:pict>
            </w:r>
            <w:r>
              <w:rPr>
                <w:noProof/>
              </w:rPr>
              <w:pict>
                <v:shape id="_x0000_s1807" type="#_x0000_t202" style="position:absolute;left:0;text-align:left;margin-left:244pt;margin-top:12.65pt;width:106.85pt;height:27.1pt;z-index:2516864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E7578A" w:rsidRDefault="006933DF" w:rsidP="0006543C">
                        <w:pPr>
                          <w:rPr>
                            <w:rFonts w:ascii="Arial" w:hAnsi="Arial" w:cs="Arial"/>
                            <w:b/>
                            <w:sz w:val="15"/>
                            <w:szCs w:val="15"/>
                          </w:rPr>
                        </w:pPr>
                        <w:r>
                          <w:rPr>
                            <w:rFonts w:ascii="Arial" w:hAnsi="Arial" w:cs="Arial"/>
                            <w:b/>
                            <w:sz w:val="15"/>
                            <w:szCs w:val="15"/>
                          </w:rPr>
                          <w:t>Hombre</w:t>
                        </w:r>
                      </w:p>
                    </w:txbxContent>
                  </v:textbox>
                </v:shape>
              </w:pict>
            </w:r>
            <w:r w:rsidR="0006543C">
              <w:rPr>
                <w:noProof/>
                <w:lang w:eastAsia="es-EC"/>
              </w:rPr>
              <w:drawing>
                <wp:inline distT="0" distB="0" distL="0" distR="0" wp14:anchorId="0957C495" wp14:editId="071D323E">
                  <wp:extent cx="4211955" cy="1800000"/>
                  <wp:effectExtent l="0" t="0" r="0" b="0"/>
                  <wp:docPr id="366" name="Gráfico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06543C" w:rsidRPr="00840530" w:rsidRDefault="00436907" w:rsidP="0006543C">
            <w:pPr>
              <w:rPr>
                <w:rFonts w:ascii="Arial" w:hAnsi="Arial" w:cs="Arial"/>
                <w:sz w:val="24"/>
                <w:szCs w:val="24"/>
              </w:rPr>
            </w:pPr>
            <w:r>
              <w:rPr>
                <w:rFonts w:ascii="Arial" w:hAnsi="Arial" w:cs="Arial"/>
                <w:noProof/>
                <w:sz w:val="16"/>
                <w:szCs w:val="16"/>
                <w:lang w:eastAsia="es-EC"/>
              </w:rPr>
              <w:pict>
                <v:shape id="_x0000_s1815" type="#_x0000_t202" style="position:absolute;left:0;text-align:left;margin-left:37.45pt;margin-top:47.15pt;width:106.85pt;height:15.8pt;z-index:2516945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70C0"/>
                            <w:sz w:val="15"/>
                            <w:szCs w:val="15"/>
                          </w:rPr>
                        </w:pPr>
                        <w:r w:rsidRPr="00623DB4">
                          <w:rPr>
                            <w:rFonts w:ascii="Arial" w:hAnsi="Arial" w:cs="Arial"/>
                            <w:color w:val="0070C0"/>
                            <w:sz w:val="15"/>
                            <w:szCs w:val="15"/>
                          </w:rPr>
                          <w:t>América</w:t>
                        </w:r>
                      </w:p>
                    </w:txbxContent>
                  </v:textbox>
                </v:shape>
              </w:pict>
            </w:r>
            <w:r>
              <w:rPr>
                <w:rFonts w:ascii="Arial" w:hAnsi="Arial" w:cs="Arial"/>
                <w:noProof/>
                <w:sz w:val="16"/>
                <w:szCs w:val="16"/>
                <w:lang w:eastAsia="es-EC"/>
              </w:rPr>
              <w:pict>
                <v:shape id="_x0000_s2361" type="#_x0000_t32" style="position:absolute;left:0;text-align:left;margin-left:92.5pt;margin-top:58.3pt;width:22.95pt;height:15.85pt;z-index:252036608" o:connectortype="straight" strokecolor="#0070c0">
                  <v:stroke endarrow="block"/>
                </v:shape>
              </w:pict>
            </w:r>
            <w:r>
              <w:rPr>
                <w:rFonts w:ascii="Arial" w:hAnsi="Arial" w:cs="Arial"/>
                <w:noProof/>
                <w:sz w:val="16"/>
                <w:szCs w:val="16"/>
                <w:lang w:eastAsia="es-EC"/>
              </w:rPr>
              <w:pict>
                <v:shape id="_x0000_s1818" type="#_x0000_t202" style="position:absolute;left:0;text-align:left;margin-left:126.3pt;margin-top:27.75pt;width:106.85pt;height:15.8pt;z-index:2516976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B050"/>
                            <w:sz w:val="15"/>
                            <w:szCs w:val="15"/>
                          </w:rPr>
                        </w:pPr>
                        <w:r w:rsidRPr="00623DB4">
                          <w:rPr>
                            <w:rFonts w:ascii="Arial" w:hAnsi="Arial" w:cs="Arial"/>
                            <w:color w:val="00B050"/>
                            <w:sz w:val="15"/>
                            <w:szCs w:val="15"/>
                          </w:rPr>
                          <w:t>Oceanía</w:t>
                        </w:r>
                      </w:p>
                    </w:txbxContent>
                  </v:textbox>
                </v:shape>
              </w:pict>
            </w:r>
            <w:r>
              <w:rPr>
                <w:rFonts w:ascii="Arial" w:hAnsi="Arial" w:cs="Arial"/>
                <w:noProof/>
                <w:sz w:val="16"/>
                <w:szCs w:val="16"/>
                <w:lang w:eastAsia="es-EC"/>
              </w:rPr>
              <w:pict>
                <v:shape id="_x0000_s2359" type="#_x0000_t32" style="position:absolute;left:0;text-align:left;margin-left:142.65pt;margin-top:36.15pt;width:21.15pt;height:11pt;flip:x;z-index:252034560" o:connectortype="straight" strokecolor="#00b050">
                  <v:stroke endarrow="block"/>
                </v:shape>
              </w:pict>
            </w:r>
            <w:r>
              <w:rPr>
                <w:rFonts w:ascii="Arial" w:hAnsi="Arial" w:cs="Arial"/>
                <w:noProof/>
                <w:sz w:val="16"/>
                <w:szCs w:val="16"/>
                <w:lang w:eastAsia="es-EC"/>
              </w:rPr>
              <w:pict>
                <v:shape id="_x0000_s1817" type="#_x0000_t202" style="position:absolute;left:0;text-align:left;margin-left:123.3pt;margin-top:47.9pt;width:106.85pt;height:15.8pt;z-index:2516966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D60093"/>
                            <w:sz w:val="15"/>
                            <w:szCs w:val="15"/>
                          </w:rPr>
                        </w:pPr>
                        <w:r w:rsidRPr="00623DB4">
                          <w:rPr>
                            <w:rFonts w:ascii="Arial" w:hAnsi="Arial" w:cs="Arial"/>
                            <w:color w:val="D60093"/>
                            <w:sz w:val="15"/>
                            <w:szCs w:val="15"/>
                          </w:rPr>
                          <w:t>Europa</w:t>
                        </w:r>
                      </w:p>
                    </w:txbxContent>
                  </v:textbox>
                </v:shape>
              </w:pict>
            </w:r>
            <w:r>
              <w:rPr>
                <w:rFonts w:ascii="Arial" w:hAnsi="Arial" w:cs="Arial"/>
                <w:noProof/>
                <w:sz w:val="16"/>
                <w:szCs w:val="16"/>
                <w:lang w:eastAsia="es-EC"/>
              </w:rPr>
              <w:pict>
                <v:shape id="_x0000_s2355" type="#_x0000_t32" style="position:absolute;left:0;text-align:left;margin-left:130.05pt;margin-top:58.3pt;width:33.75pt;height:12.1pt;flip:x;z-index:252030464" o:connectortype="straight" strokecolor="#d60093">
                  <v:stroke endarrow="block"/>
                </v:shape>
              </w:pict>
            </w:r>
            <w:r>
              <w:rPr>
                <w:rFonts w:ascii="Arial" w:hAnsi="Arial" w:cs="Arial"/>
                <w:noProof/>
                <w:sz w:val="16"/>
                <w:szCs w:val="16"/>
                <w:lang w:eastAsia="es-EC"/>
              </w:rPr>
              <w:pict>
                <v:shape id="_x0000_s1816" type="#_x0000_t202" style="position:absolute;left:0;text-align:left;margin-left:188.75pt;margin-top:69.35pt;width:106.85pt;height:15.8pt;z-index:2516956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E36C0A" w:themeColor="accent6" w:themeShade="BF"/>
                            <w:sz w:val="15"/>
                            <w:szCs w:val="15"/>
                          </w:rPr>
                        </w:pPr>
                        <w:r w:rsidRPr="00623DB4">
                          <w:rPr>
                            <w:rFonts w:ascii="Arial" w:hAnsi="Arial" w:cs="Arial"/>
                            <w:color w:val="E36C0A" w:themeColor="accent6" w:themeShade="BF"/>
                            <w:sz w:val="15"/>
                            <w:szCs w:val="15"/>
                          </w:rPr>
                          <w:t>Asia</w:t>
                        </w:r>
                      </w:p>
                    </w:txbxContent>
                  </v:textbox>
                </v:shape>
              </w:pict>
            </w:r>
            <w:r>
              <w:rPr>
                <w:rFonts w:ascii="Arial" w:hAnsi="Arial" w:cs="Arial"/>
                <w:noProof/>
                <w:sz w:val="16"/>
                <w:szCs w:val="16"/>
                <w:lang w:eastAsia="es-EC"/>
              </w:rPr>
              <w:pict>
                <v:shape id="_x0000_s2360" type="#_x0000_t32" style="position:absolute;left:0;text-align:left;margin-left:211.8pt;margin-top:80.5pt;width:21.35pt;height:17.45pt;flip:x;z-index:252035584" o:connectortype="straight" strokecolor="#e36c0a [2409]">
                  <v:stroke endarrow="block"/>
                </v:shape>
              </w:pict>
            </w:r>
            <w:r>
              <w:rPr>
                <w:rFonts w:ascii="Arial" w:hAnsi="Arial" w:cs="Arial"/>
                <w:noProof/>
                <w:sz w:val="16"/>
                <w:szCs w:val="16"/>
                <w:lang w:eastAsia="es-EC"/>
              </w:rPr>
              <w:pict>
                <v:shape id="_x0000_s1814" type="#_x0000_t202" style="position:absolute;left:0;text-align:left;margin-left:92.15pt;margin-top:20.25pt;width:106.85pt;height:15.8pt;z-index:2516935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B0F0"/>
                            <w:sz w:val="15"/>
                            <w:szCs w:val="15"/>
                          </w:rPr>
                        </w:pPr>
                        <w:r w:rsidRPr="00623DB4">
                          <w:rPr>
                            <w:rFonts w:ascii="Arial" w:hAnsi="Arial" w:cs="Arial"/>
                            <w:color w:val="00B0F0"/>
                            <w:sz w:val="15"/>
                            <w:szCs w:val="15"/>
                          </w:rPr>
                          <w:t>África</w:t>
                        </w:r>
                      </w:p>
                    </w:txbxContent>
                  </v:textbox>
                </v:shape>
              </w:pict>
            </w:r>
            <w:r>
              <w:rPr>
                <w:rFonts w:ascii="Arial" w:hAnsi="Arial" w:cs="Arial"/>
                <w:noProof/>
                <w:sz w:val="16"/>
                <w:szCs w:val="16"/>
                <w:lang w:eastAsia="es-EC"/>
              </w:rPr>
              <w:pict>
                <v:shape id="_x0000_s2356" type="#_x0000_t32" style="position:absolute;left:0;text-align:left;margin-left:115.45pt;margin-top:28.45pt;width:19.1pt;height:1.6pt;flip:x;z-index:252031488" o:connectortype="straight" strokecolor="#00b0f0">
                  <v:stroke endarrow="block"/>
                </v:shape>
              </w:pict>
            </w:r>
            <w:r>
              <w:rPr>
                <w:rFonts w:ascii="Arial" w:hAnsi="Arial" w:cs="Arial"/>
                <w:noProof/>
                <w:sz w:val="16"/>
                <w:szCs w:val="16"/>
                <w:lang w:eastAsia="es-EC"/>
              </w:rPr>
              <w:pict>
                <v:shape id="_x0000_s1808" type="#_x0000_t202" style="position:absolute;left:0;text-align:left;margin-left:244pt;margin-top:12.65pt;width:106.85pt;height:27.1pt;z-index:2516874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E7578A" w:rsidRDefault="006933DF" w:rsidP="0006543C">
                        <w:pPr>
                          <w:rPr>
                            <w:rFonts w:ascii="Arial" w:hAnsi="Arial" w:cs="Arial"/>
                            <w:b/>
                            <w:sz w:val="15"/>
                            <w:szCs w:val="15"/>
                          </w:rPr>
                        </w:pPr>
                        <w:r>
                          <w:rPr>
                            <w:rFonts w:ascii="Arial" w:hAnsi="Arial" w:cs="Arial"/>
                            <w:b/>
                            <w:sz w:val="15"/>
                            <w:szCs w:val="15"/>
                          </w:rPr>
                          <w:t>Mujer</w:t>
                        </w:r>
                      </w:p>
                    </w:txbxContent>
                  </v:textbox>
                </v:shape>
              </w:pict>
            </w:r>
            <w:r w:rsidR="0006543C">
              <w:rPr>
                <w:noProof/>
                <w:lang w:eastAsia="es-EC"/>
              </w:rPr>
              <w:drawing>
                <wp:inline distT="0" distB="0" distL="0" distR="0" wp14:anchorId="061D2B26" wp14:editId="280D143E">
                  <wp:extent cx="4211955" cy="1800000"/>
                  <wp:effectExtent l="0" t="0" r="0" b="0"/>
                  <wp:docPr id="368" name="Gráfico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tc>
      </w:tr>
    </w:tbl>
    <w:p w:rsidR="0006543C" w:rsidRPr="00196E3A" w:rsidRDefault="0006543C" w:rsidP="00196E3A">
      <w:pPr>
        <w:pStyle w:val="Prrafodelista"/>
        <w:spacing w:line="276" w:lineRule="auto"/>
        <w:ind w:left="851"/>
        <w:jc w:val="both"/>
        <w:rPr>
          <w:rFonts w:ascii="Arial" w:hAnsi="Arial" w:cs="Arial"/>
          <w:sz w:val="17"/>
          <w:szCs w:val="17"/>
        </w:rPr>
      </w:pPr>
    </w:p>
    <w:p w:rsidR="0006543C" w:rsidRPr="00196E3A" w:rsidRDefault="0006543C" w:rsidP="00196E3A">
      <w:pPr>
        <w:pStyle w:val="Prrafodelista"/>
        <w:spacing w:line="276" w:lineRule="auto"/>
        <w:ind w:left="851"/>
        <w:jc w:val="both"/>
        <w:rPr>
          <w:rFonts w:ascii="Arial" w:hAnsi="Arial" w:cs="Arial"/>
          <w:sz w:val="17"/>
          <w:szCs w:val="17"/>
        </w:rPr>
      </w:pPr>
      <w:r w:rsidRPr="00196E3A">
        <w:rPr>
          <w:rFonts w:ascii="Arial" w:hAnsi="Arial" w:cs="Arial"/>
          <w:b/>
          <w:i/>
          <w:sz w:val="17"/>
          <w:szCs w:val="17"/>
        </w:rPr>
        <w:t>Fuente:</w:t>
      </w:r>
      <w:r w:rsidRPr="00196E3A">
        <w:rPr>
          <w:rFonts w:ascii="Arial" w:hAnsi="Arial" w:cs="Arial"/>
          <w:sz w:val="17"/>
          <w:szCs w:val="17"/>
        </w:rPr>
        <w:t xml:space="preserve"> </w:t>
      </w:r>
      <w:r w:rsidRPr="00196E3A">
        <w:rPr>
          <w:rFonts w:ascii="Arial" w:hAnsi="Arial" w:cs="Arial"/>
          <w:b/>
          <w:sz w:val="17"/>
          <w:szCs w:val="17"/>
        </w:rPr>
        <w:t xml:space="preserve">INEC </w:t>
      </w:r>
      <w:r w:rsidRPr="00196E3A">
        <w:rPr>
          <w:rFonts w:ascii="Arial" w:hAnsi="Arial" w:cs="Arial"/>
          <w:sz w:val="17"/>
          <w:szCs w:val="17"/>
        </w:rPr>
        <w:t>(2010), Base de Datos del VII Censo de Población y VI de Vivienda.</w:t>
      </w:r>
    </w:p>
    <w:p w:rsidR="0006543C" w:rsidRDefault="0006543C" w:rsidP="00196E3A">
      <w:pPr>
        <w:pStyle w:val="Prrafodelista"/>
        <w:spacing w:line="276" w:lineRule="auto"/>
        <w:ind w:left="851"/>
        <w:jc w:val="both"/>
        <w:rPr>
          <w:rFonts w:ascii="Arial" w:hAnsi="Arial" w:cs="Arial"/>
          <w:sz w:val="18"/>
          <w:szCs w:val="18"/>
        </w:rPr>
      </w:pPr>
      <w:r w:rsidRPr="00196E3A">
        <w:rPr>
          <w:rFonts w:ascii="Arial" w:hAnsi="Arial" w:cs="Arial"/>
          <w:b/>
          <w:i/>
          <w:sz w:val="17"/>
          <w:szCs w:val="17"/>
        </w:rPr>
        <w:t>Elaborado por:</w:t>
      </w:r>
      <w:r w:rsidRPr="00196E3A">
        <w:rPr>
          <w:rFonts w:ascii="Arial" w:hAnsi="Arial" w:cs="Arial"/>
          <w:sz w:val="17"/>
          <w:szCs w:val="17"/>
        </w:rPr>
        <w:t xml:space="preserve"> Katherine Loor Valeriano</w:t>
      </w:r>
    </w:p>
    <w:p w:rsidR="0006543C" w:rsidRDefault="0006543C" w:rsidP="00196E3A">
      <w:pPr>
        <w:pStyle w:val="Prrafodelista"/>
        <w:spacing w:line="480" w:lineRule="auto"/>
        <w:ind w:left="851"/>
        <w:jc w:val="both"/>
        <w:rPr>
          <w:rFonts w:ascii="Arial" w:hAnsi="Arial" w:cs="Arial"/>
        </w:rPr>
      </w:pPr>
    </w:p>
    <w:p w:rsidR="0006543C" w:rsidRPr="00A751DA" w:rsidRDefault="0006543C" w:rsidP="00196E3A">
      <w:pPr>
        <w:pStyle w:val="Prrafodelista"/>
        <w:spacing w:line="480" w:lineRule="auto"/>
        <w:ind w:left="851"/>
        <w:jc w:val="both"/>
        <w:rPr>
          <w:rFonts w:ascii="Arial" w:hAnsi="Arial" w:cs="Arial"/>
        </w:rPr>
      </w:pPr>
      <w:r>
        <w:rPr>
          <w:rFonts w:ascii="Arial" w:hAnsi="Arial" w:cs="Arial"/>
        </w:rPr>
        <w:t xml:space="preserve">En la </w:t>
      </w:r>
      <w:r>
        <w:rPr>
          <w:rFonts w:ascii="Arial" w:hAnsi="Arial" w:cs="Arial"/>
          <w:i/>
        </w:rPr>
        <w:t>Figura 5.9</w:t>
      </w:r>
      <w:r>
        <w:rPr>
          <w:rFonts w:ascii="Arial" w:hAnsi="Arial" w:cs="Arial"/>
        </w:rPr>
        <w:t xml:space="preserve">, se presenta la tasa de continente de residencia actual de los emigrantes por género y grupo de edad; en esta figura las dos curvas que presentan en todos los grupos etarios tasas altas corresponden a las personas que emigraron hacia otros países de América y hacia Europa, esto se debe a que la mayor ponderación de la población se dirigió hacia estos dos continentes. En el primer caso, que corresponde a los hombres, se tiene que de los que al salir del país tenían menos de 15 años se dirigieron en mayor cantidad hacia Europa; mientras que los emigrantes que tenían entre 15 y 20 años </w:t>
      </w:r>
      <w:r w:rsidRPr="005E2FD3">
        <w:rPr>
          <w:rFonts w:ascii="Arial" w:hAnsi="Arial" w:cs="Arial"/>
        </w:rPr>
        <w:t>518.678</w:t>
      </w:r>
      <w:r>
        <w:rPr>
          <w:rFonts w:ascii="Arial" w:hAnsi="Arial" w:cs="Arial"/>
        </w:rPr>
        <w:t xml:space="preserve"> por cada 1000 de ellos se fueron hacia otros países de América; y, de los emigrantes que al dejar el Ecuador tenían entre 20 y 55 años se dirigen en mayor cantidad hacia Europa; los que tenían de 55 a 90 años en cambio son más los que van a América; y, los que tenían más de 90 años emigran en mayor cantidad hacia Europa. Para el caso de las mujeres, el escenario es similar al de los hombres, a excepción del primer grupo etario en donde es mayor la cantidad de mujeres que emigran hacia otros países de América; y, de las que tenían de 1 a 65 años emigraron mayoritariamente hacia Europa.</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4B05FB">
        <w:trPr>
          <w:trHeight w:val="2107"/>
          <w:jc w:val="right"/>
        </w:trPr>
        <w:tc>
          <w:tcPr>
            <w:tcW w:w="7497"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59" w:name="_Toc341044089"/>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9</w:t>
            </w:r>
            <w:bookmarkEnd w:id="759"/>
            <w:r w:rsidR="00990535" w:rsidRPr="0006543C">
              <w:rPr>
                <w:rFonts w:ascii="Arial" w:hAnsi="Arial" w:cs="Arial"/>
                <w:bCs w:val="0"/>
                <w:color w:val="auto"/>
                <w:sz w:val="16"/>
                <w:szCs w:val="16"/>
              </w:rPr>
              <w:fldChar w:fldCharType="end"/>
            </w:r>
          </w:p>
          <w:p w:rsidR="004B05FB" w:rsidRDefault="004B05FB" w:rsidP="0006543C">
            <w:pPr>
              <w:rPr>
                <w:rFonts w:ascii="Arial" w:hAnsi="Arial" w:cs="Arial"/>
                <w:i/>
                <w:sz w:val="16"/>
                <w:szCs w:val="16"/>
              </w:rPr>
            </w:pPr>
            <w:r>
              <w:rPr>
                <w:rFonts w:ascii="Arial" w:hAnsi="Arial" w:cs="Arial"/>
                <w:b/>
                <w:i/>
                <w:sz w:val="16"/>
                <w:szCs w:val="16"/>
              </w:rPr>
              <w:t xml:space="preserve">Ecuador 2010: </w:t>
            </w:r>
            <w:r w:rsidR="0006543C">
              <w:rPr>
                <w:rFonts w:ascii="Arial" w:hAnsi="Arial" w:cs="Arial"/>
                <w:i/>
                <w:sz w:val="16"/>
                <w:szCs w:val="16"/>
              </w:rPr>
              <w:t xml:space="preserve">Tasa de continente de residencia actual por cada 1000 emigrantes </w:t>
            </w:r>
          </w:p>
          <w:p w:rsidR="0006543C" w:rsidRDefault="0006543C" w:rsidP="0006543C">
            <w:pPr>
              <w:rPr>
                <w:rFonts w:ascii="Arial" w:hAnsi="Arial" w:cs="Arial"/>
                <w:i/>
                <w:sz w:val="16"/>
                <w:szCs w:val="16"/>
              </w:rPr>
            </w:pPr>
            <w:r>
              <w:rPr>
                <w:rFonts w:ascii="Arial" w:hAnsi="Arial" w:cs="Arial"/>
                <w:i/>
                <w:sz w:val="16"/>
                <w:szCs w:val="16"/>
              </w:rPr>
              <w:t>por género y edad al salir del país</w:t>
            </w:r>
          </w:p>
          <w:p w:rsidR="0006543C" w:rsidRPr="00840530" w:rsidRDefault="00436907" w:rsidP="0006543C">
            <w:pPr>
              <w:rPr>
                <w:rFonts w:ascii="Arial" w:hAnsi="Arial" w:cs="Arial"/>
                <w:sz w:val="24"/>
                <w:szCs w:val="24"/>
              </w:rPr>
            </w:pPr>
            <w:r>
              <w:rPr>
                <w:rFonts w:ascii="Arial" w:hAnsi="Arial" w:cs="Arial"/>
                <w:noProof/>
                <w:sz w:val="16"/>
                <w:szCs w:val="16"/>
                <w:lang w:eastAsia="es-EC"/>
              </w:rPr>
              <w:pict>
                <v:shape id="_x0000_s1825" type="#_x0000_t202" style="position:absolute;left:0;text-align:left;margin-left:30.65pt;margin-top:91.15pt;width:106.85pt;height:15.8pt;z-index:2517048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25;mso-fit-shape-to-text:t">
                    <w:txbxContent>
                      <w:p w:rsidR="006933DF" w:rsidRPr="00623DB4" w:rsidRDefault="006933DF" w:rsidP="0006543C">
                        <w:pPr>
                          <w:rPr>
                            <w:rFonts w:ascii="Arial" w:hAnsi="Arial" w:cs="Arial"/>
                            <w:color w:val="E36C0A" w:themeColor="accent6" w:themeShade="BF"/>
                            <w:sz w:val="15"/>
                            <w:szCs w:val="15"/>
                          </w:rPr>
                        </w:pPr>
                        <w:r w:rsidRPr="00623DB4">
                          <w:rPr>
                            <w:rFonts w:ascii="Arial" w:hAnsi="Arial" w:cs="Arial"/>
                            <w:color w:val="E36C0A" w:themeColor="accent6" w:themeShade="BF"/>
                            <w:sz w:val="15"/>
                            <w:szCs w:val="15"/>
                          </w:rPr>
                          <w:t>Asia</w:t>
                        </w:r>
                      </w:p>
                    </w:txbxContent>
                  </v:textbox>
                </v:shape>
              </w:pict>
            </w:r>
            <w:r>
              <w:rPr>
                <w:rFonts w:ascii="Arial" w:hAnsi="Arial" w:cs="Arial"/>
                <w:noProof/>
                <w:sz w:val="16"/>
                <w:szCs w:val="16"/>
                <w:lang w:eastAsia="es-EC"/>
              </w:rPr>
              <w:pict>
                <v:shape id="_x0000_s1823" type="#_x0000_t202" style="position:absolute;left:0;text-align:left;margin-left:276.5pt;margin-top:93pt;width:106.85pt;height:15.8pt;z-index:2517027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23;mso-fit-shape-to-text:t">
                    <w:txbxContent>
                      <w:p w:rsidR="006933DF" w:rsidRPr="00623DB4" w:rsidRDefault="006933DF" w:rsidP="0006543C">
                        <w:pPr>
                          <w:rPr>
                            <w:rFonts w:ascii="Arial" w:hAnsi="Arial" w:cs="Arial"/>
                            <w:color w:val="00B0F0"/>
                            <w:sz w:val="15"/>
                            <w:szCs w:val="15"/>
                          </w:rPr>
                        </w:pPr>
                        <w:r w:rsidRPr="00623DB4">
                          <w:rPr>
                            <w:rFonts w:ascii="Arial" w:hAnsi="Arial" w:cs="Arial"/>
                            <w:color w:val="00B0F0"/>
                            <w:sz w:val="15"/>
                            <w:szCs w:val="15"/>
                          </w:rPr>
                          <w:t>África</w:t>
                        </w:r>
                      </w:p>
                    </w:txbxContent>
                  </v:textbox>
                </v:shape>
              </w:pict>
            </w:r>
            <w:r>
              <w:rPr>
                <w:rFonts w:ascii="Arial" w:hAnsi="Arial" w:cs="Arial"/>
                <w:noProof/>
                <w:sz w:val="16"/>
                <w:szCs w:val="16"/>
                <w:lang w:eastAsia="es-EC"/>
              </w:rPr>
              <w:pict>
                <v:shape id="_x0000_s1827" type="#_x0000_t202" style="position:absolute;left:0;text-align:left;margin-left:125pt;margin-top:91.9pt;width:106.85pt;height:15.8pt;z-index:2517068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27;mso-fit-shape-to-text:t">
                    <w:txbxContent>
                      <w:p w:rsidR="006933DF" w:rsidRPr="00623DB4" w:rsidRDefault="006933DF" w:rsidP="0006543C">
                        <w:pPr>
                          <w:rPr>
                            <w:rFonts w:ascii="Arial" w:hAnsi="Arial" w:cs="Arial"/>
                            <w:color w:val="00B050"/>
                            <w:sz w:val="15"/>
                            <w:szCs w:val="15"/>
                          </w:rPr>
                        </w:pPr>
                        <w:r w:rsidRPr="00623DB4">
                          <w:rPr>
                            <w:rFonts w:ascii="Arial" w:hAnsi="Arial" w:cs="Arial"/>
                            <w:color w:val="00B050"/>
                            <w:sz w:val="15"/>
                            <w:szCs w:val="15"/>
                          </w:rPr>
                          <w:t>Oceanía</w:t>
                        </w:r>
                      </w:p>
                    </w:txbxContent>
                  </v:textbox>
                </v:shape>
              </w:pict>
            </w:r>
            <w:r>
              <w:rPr>
                <w:rFonts w:ascii="Arial" w:hAnsi="Arial" w:cs="Arial"/>
                <w:noProof/>
                <w:sz w:val="16"/>
                <w:szCs w:val="16"/>
                <w:lang w:eastAsia="es-EC"/>
              </w:rPr>
              <w:pict>
                <v:shape id="_x0000_s1832" type="#_x0000_t202" style="position:absolute;left:0;text-align:left;margin-left:133.9pt;margin-top:234.75pt;width:106.85pt;height:15.8pt;z-index:2517120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32;mso-fit-shape-to-text:t">
                    <w:txbxContent>
                      <w:p w:rsidR="006933DF" w:rsidRPr="00623DB4" w:rsidRDefault="006933DF" w:rsidP="0006543C">
                        <w:pPr>
                          <w:rPr>
                            <w:rFonts w:ascii="Arial" w:hAnsi="Arial" w:cs="Arial"/>
                            <w:color w:val="00B050"/>
                            <w:sz w:val="15"/>
                            <w:szCs w:val="15"/>
                          </w:rPr>
                        </w:pPr>
                        <w:r w:rsidRPr="00623DB4">
                          <w:rPr>
                            <w:rFonts w:ascii="Arial" w:hAnsi="Arial" w:cs="Arial"/>
                            <w:color w:val="00B050"/>
                            <w:sz w:val="15"/>
                            <w:szCs w:val="15"/>
                          </w:rPr>
                          <w:t>Oceanía</w:t>
                        </w:r>
                      </w:p>
                    </w:txbxContent>
                  </v:textbox>
                </v:shape>
              </w:pict>
            </w:r>
            <w:r>
              <w:rPr>
                <w:rFonts w:ascii="Arial" w:hAnsi="Arial" w:cs="Arial"/>
                <w:noProof/>
                <w:sz w:val="16"/>
                <w:szCs w:val="16"/>
                <w:lang w:eastAsia="es-EC"/>
              </w:rPr>
              <w:pict>
                <v:shape id="_x0000_s1831" type="#_x0000_t202" style="position:absolute;left:0;text-align:left;margin-left:26pt;margin-top:235.15pt;width:106.85pt;height:15.8pt;z-index:2517109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31;mso-fit-shape-to-text:t">
                    <w:txbxContent>
                      <w:p w:rsidR="006933DF" w:rsidRPr="00623DB4" w:rsidRDefault="006933DF" w:rsidP="0006543C">
                        <w:pPr>
                          <w:rPr>
                            <w:rFonts w:ascii="Arial" w:hAnsi="Arial" w:cs="Arial"/>
                            <w:color w:val="E36C0A" w:themeColor="accent6" w:themeShade="BF"/>
                            <w:sz w:val="15"/>
                            <w:szCs w:val="15"/>
                          </w:rPr>
                        </w:pPr>
                        <w:r w:rsidRPr="00623DB4">
                          <w:rPr>
                            <w:rFonts w:ascii="Arial" w:hAnsi="Arial" w:cs="Arial"/>
                            <w:color w:val="E36C0A" w:themeColor="accent6" w:themeShade="BF"/>
                            <w:sz w:val="15"/>
                            <w:szCs w:val="15"/>
                          </w:rPr>
                          <w:t>Asia</w:t>
                        </w:r>
                      </w:p>
                    </w:txbxContent>
                  </v:textbox>
                </v:shape>
              </w:pict>
            </w:r>
            <w:r>
              <w:rPr>
                <w:rFonts w:ascii="Arial" w:hAnsi="Arial" w:cs="Arial"/>
                <w:noProof/>
                <w:sz w:val="16"/>
                <w:szCs w:val="16"/>
                <w:lang w:eastAsia="es-EC"/>
              </w:rPr>
              <w:pict>
                <v:shape id="_x0000_s1830" type="#_x0000_t202" style="position:absolute;left:0;text-align:left;margin-left:278.75pt;margin-top:234.75pt;width:106.85pt;height:15.8pt;z-index:2517099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30;mso-fit-shape-to-text:t">
                    <w:txbxContent>
                      <w:p w:rsidR="006933DF" w:rsidRPr="00623DB4" w:rsidRDefault="006933DF" w:rsidP="0006543C">
                        <w:pPr>
                          <w:rPr>
                            <w:rFonts w:ascii="Arial" w:hAnsi="Arial" w:cs="Arial"/>
                            <w:color w:val="00B0F0"/>
                            <w:sz w:val="15"/>
                            <w:szCs w:val="15"/>
                          </w:rPr>
                        </w:pPr>
                        <w:r w:rsidRPr="00623DB4">
                          <w:rPr>
                            <w:rFonts w:ascii="Arial" w:hAnsi="Arial" w:cs="Arial"/>
                            <w:color w:val="00B0F0"/>
                            <w:sz w:val="15"/>
                            <w:szCs w:val="15"/>
                          </w:rPr>
                          <w:t>África</w:t>
                        </w:r>
                      </w:p>
                    </w:txbxContent>
                  </v:textbox>
                </v:shape>
              </w:pict>
            </w:r>
            <w:r>
              <w:rPr>
                <w:rFonts w:ascii="Arial" w:hAnsi="Arial" w:cs="Arial"/>
                <w:noProof/>
                <w:sz w:val="16"/>
                <w:szCs w:val="16"/>
                <w:lang w:eastAsia="es-EC"/>
              </w:rPr>
              <w:pict>
                <v:shape id="_x0000_s1828" type="#_x0000_t202" style="position:absolute;left:0;text-align:left;margin-left:80.95pt;margin-top:223.05pt;width:106.85pt;height:15.8pt;z-index:2517079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70C0"/>
                            <w:sz w:val="15"/>
                            <w:szCs w:val="15"/>
                          </w:rPr>
                        </w:pPr>
                        <w:r w:rsidRPr="00623DB4">
                          <w:rPr>
                            <w:rFonts w:ascii="Arial" w:hAnsi="Arial" w:cs="Arial"/>
                            <w:color w:val="0070C0"/>
                            <w:sz w:val="15"/>
                            <w:szCs w:val="15"/>
                          </w:rPr>
                          <w:t>América</w:t>
                        </w:r>
                      </w:p>
                    </w:txbxContent>
                  </v:textbox>
                </v:shape>
              </w:pict>
            </w:r>
            <w:r>
              <w:rPr>
                <w:rFonts w:ascii="Arial" w:hAnsi="Arial" w:cs="Arial"/>
                <w:noProof/>
                <w:sz w:val="16"/>
                <w:szCs w:val="16"/>
                <w:lang w:eastAsia="es-EC"/>
              </w:rPr>
              <w:pict>
                <v:shape id="_x0000_s2366" type="#_x0000_t32" style="position:absolute;left:0;text-align:left;margin-left:111.3pt;margin-top:214.05pt;width:18.2pt;height:12.75pt;flip:x y;z-index:252041728" o:connectortype="straight" strokecolor="#0070c0">
                  <v:stroke endarrow="block"/>
                </v:shape>
              </w:pict>
            </w:r>
            <w:r>
              <w:rPr>
                <w:rFonts w:ascii="Arial" w:hAnsi="Arial" w:cs="Arial"/>
                <w:noProof/>
                <w:sz w:val="16"/>
                <w:szCs w:val="16"/>
                <w:lang w:eastAsia="es-EC"/>
              </w:rPr>
              <w:pict>
                <v:shape id="_x0000_s1824" type="#_x0000_t202" style="position:absolute;left:0;text-align:left;margin-left:73.25pt;margin-top:81.8pt;width:106.85pt;height:15.8pt;z-index:2517038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24;mso-fit-shape-to-text:t">
                    <w:txbxContent>
                      <w:p w:rsidR="006933DF" w:rsidRPr="00623DB4" w:rsidRDefault="006933DF" w:rsidP="0006543C">
                        <w:pPr>
                          <w:rPr>
                            <w:rFonts w:ascii="Arial" w:hAnsi="Arial" w:cs="Arial"/>
                            <w:color w:val="0070C0"/>
                            <w:sz w:val="15"/>
                            <w:szCs w:val="15"/>
                          </w:rPr>
                        </w:pPr>
                        <w:r w:rsidRPr="00623DB4">
                          <w:rPr>
                            <w:rFonts w:ascii="Arial" w:hAnsi="Arial" w:cs="Arial"/>
                            <w:color w:val="0070C0"/>
                            <w:sz w:val="15"/>
                            <w:szCs w:val="15"/>
                          </w:rPr>
                          <w:t>América</w:t>
                        </w:r>
                      </w:p>
                    </w:txbxContent>
                  </v:textbox>
                </v:shape>
              </w:pict>
            </w:r>
            <w:r>
              <w:rPr>
                <w:rFonts w:ascii="Arial" w:hAnsi="Arial" w:cs="Arial"/>
                <w:noProof/>
                <w:sz w:val="16"/>
                <w:szCs w:val="16"/>
                <w:lang w:eastAsia="es-EC"/>
              </w:rPr>
              <w:pict>
                <v:shape id="_x0000_s2365" type="#_x0000_t32" style="position:absolute;left:0;text-align:left;margin-left:106.8pt;margin-top:74.55pt;width:14.25pt;height:11.25pt;flip:x y;z-index:252040704" o:connectortype="straight" strokecolor="#0070c0">
                  <v:stroke endarrow="block"/>
                </v:shape>
              </w:pict>
            </w:r>
            <w:r>
              <w:rPr>
                <w:rFonts w:ascii="Arial" w:hAnsi="Arial" w:cs="Arial"/>
                <w:noProof/>
                <w:sz w:val="16"/>
                <w:szCs w:val="16"/>
                <w:lang w:eastAsia="es-EC"/>
              </w:rPr>
              <w:pict>
                <v:shape id="_x0000_s1829" type="#_x0000_t202" style="position:absolute;left:0;text-align:left;margin-left:85.8pt;margin-top:159.3pt;width:106.85pt;height:15.8pt;z-index:2517089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D60093"/>
                            <w:sz w:val="15"/>
                            <w:szCs w:val="15"/>
                          </w:rPr>
                        </w:pPr>
                        <w:r w:rsidRPr="00623DB4">
                          <w:rPr>
                            <w:rFonts w:ascii="Arial" w:hAnsi="Arial" w:cs="Arial"/>
                            <w:color w:val="D60093"/>
                            <w:sz w:val="15"/>
                            <w:szCs w:val="15"/>
                          </w:rPr>
                          <w:t>Europa</w:t>
                        </w:r>
                      </w:p>
                    </w:txbxContent>
                  </v:textbox>
                </v:shape>
              </w:pict>
            </w:r>
            <w:r>
              <w:rPr>
                <w:rFonts w:ascii="Arial" w:hAnsi="Arial" w:cs="Arial"/>
                <w:noProof/>
                <w:sz w:val="16"/>
                <w:szCs w:val="16"/>
                <w:lang w:eastAsia="es-EC"/>
              </w:rPr>
              <w:pict>
                <v:shape id="_x0000_s2364" type="#_x0000_t32" style="position:absolute;left:0;text-align:left;margin-left:106.8pt;margin-top:169.55pt;width:18.2pt;height:12.25pt;flip:x;z-index:252039680" o:connectortype="straight" strokecolor="#d60093">
                  <v:stroke endarrow="block"/>
                </v:shape>
              </w:pict>
            </w:r>
            <w:r>
              <w:rPr>
                <w:rFonts w:ascii="Arial" w:hAnsi="Arial" w:cs="Arial"/>
                <w:noProof/>
                <w:sz w:val="16"/>
                <w:szCs w:val="16"/>
                <w:lang w:eastAsia="es-EC"/>
              </w:rPr>
              <w:pict>
                <v:shape id="_x0000_s1826" type="#_x0000_t202" style="position:absolute;left:0;text-align:left;margin-left:87.3pt;margin-top:22.05pt;width:106.85pt;height:15.8pt;z-index:2517058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26;mso-fit-shape-to-text:t">
                    <w:txbxContent>
                      <w:p w:rsidR="006933DF" w:rsidRPr="00623DB4" w:rsidRDefault="006933DF" w:rsidP="0006543C">
                        <w:pPr>
                          <w:rPr>
                            <w:rFonts w:ascii="Arial" w:hAnsi="Arial" w:cs="Arial"/>
                            <w:color w:val="D60093"/>
                            <w:sz w:val="15"/>
                            <w:szCs w:val="15"/>
                          </w:rPr>
                        </w:pPr>
                        <w:r w:rsidRPr="00623DB4">
                          <w:rPr>
                            <w:rFonts w:ascii="Arial" w:hAnsi="Arial" w:cs="Arial"/>
                            <w:color w:val="D60093"/>
                            <w:sz w:val="15"/>
                            <w:szCs w:val="15"/>
                          </w:rPr>
                          <w:t>Europa</w:t>
                        </w:r>
                      </w:p>
                    </w:txbxContent>
                  </v:textbox>
                </v:shape>
              </w:pict>
            </w:r>
            <w:r>
              <w:rPr>
                <w:rFonts w:ascii="Arial" w:hAnsi="Arial" w:cs="Arial"/>
                <w:noProof/>
                <w:sz w:val="16"/>
                <w:szCs w:val="16"/>
                <w:lang w:eastAsia="es-EC"/>
              </w:rPr>
              <w:pict>
                <v:shape id="_x0000_s2363" type="#_x0000_t32" style="position:absolute;left:0;text-align:left;margin-left:106.8pt;margin-top:32.55pt;width:18.95pt;height:12pt;flip:x;z-index:252038656" o:connectortype="straight" strokecolor="#d60093">
                  <v:stroke endarrow="block"/>
                </v:shape>
              </w:pict>
            </w:r>
            <w:r>
              <w:rPr>
                <w:rFonts w:ascii="Arial" w:hAnsi="Arial" w:cs="Arial"/>
                <w:noProof/>
                <w:sz w:val="16"/>
                <w:szCs w:val="16"/>
                <w:lang w:eastAsia="es-EC"/>
              </w:rPr>
              <w:pict>
                <v:shape id="_x0000_s1822" type="#_x0000_t202" style="position:absolute;left:0;text-align:left;margin-left:245.35pt;margin-top:153.75pt;width:106.85pt;height:15.8pt;z-index:2517017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E7578A" w:rsidRDefault="006933DF" w:rsidP="0006543C">
                        <w:pPr>
                          <w:rPr>
                            <w:rFonts w:ascii="Arial" w:hAnsi="Arial" w:cs="Arial"/>
                            <w:b/>
                            <w:sz w:val="15"/>
                            <w:szCs w:val="15"/>
                          </w:rPr>
                        </w:pPr>
                        <w:r>
                          <w:rPr>
                            <w:rFonts w:ascii="Arial" w:hAnsi="Arial" w:cs="Arial"/>
                            <w:b/>
                            <w:sz w:val="15"/>
                            <w:szCs w:val="15"/>
                          </w:rPr>
                          <w:t>Mujer</w:t>
                        </w:r>
                      </w:p>
                    </w:txbxContent>
                  </v:textbox>
                </v:shape>
              </w:pict>
            </w:r>
            <w:r w:rsidR="0006543C">
              <w:rPr>
                <w:noProof/>
                <w:lang w:eastAsia="es-EC"/>
              </w:rPr>
              <w:drawing>
                <wp:inline distT="0" distB="0" distL="0" distR="0" wp14:anchorId="4FD8CBA3" wp14:editId="4B091471">
                  <wp:extent cx="4211955" cy="1800000"/>
                  <wp:effectExtent l="0" t="0" r="0" b="0"/>
                  <wp:docPr id="369" name="Gráfico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r w:rsidR="0006543C">
              <w:rPr>
                <w:noProof/>
                <w:lang w:eastAsia="es-EC"/>
              </w:rPr>
              <w:t xml:space="preserve"> </w:t>
            </w:r>
            <w:r w:rsidR="0006543C">
              <w:rPr>
                <w:noProof/>
                <w:lang w:eastAsia="es-EC"/>
              </w:rPr>
              <w:drawing>
                <wp:inline distT="0" distB="0" distL="0" distR="0" wp14:anchorId="3661FFEE" wp14:editId="68A40EDF">
                  <wp:extent cx="4211955" cy="1800000"/>
                  <wp:effectExtent l="0" t="0" r="0" b="0"/>
                  <wp:docPr id="372" name="Gráfico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r>
              <w:rPr>
                <w:noProof/>
              </w:rPr>
              <w:pict>
                <v:shape id="_x0000_s1821" type="#_x0000_t202" style="position:absolute;left:0;text-align:left;margin-left:244pt;margin-top:12.65pt;width:106.85pt;height:27.1pt;z-index:2517007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E7578A" w:rsidRDefault="006933DF" w:rsidP="0006543C">
                        <w:pPr>
                          <w:rPr>
                            <w:rFonts w:ascii="Arial" w:hAnsi="Arial" w:cs="Arial"/>
                            <w:b/>
                            <w:sz w:val="15"/>
                            <w:szCs w:val="15"/>
                          </w:rPr>
                        </w:pPr>
                        <w:r>
                          <w:rPr>
                            <w:rFonts w:ascii="Arial" w:hAnsi="Arial" w:cs="Arial"/>
                            <w:b/>
                            <w:sz w:val="15"/>
                            <w:szCs w:val="15"/>
                          </w:rPr>
                          <w:t>Hombre</w:t>
                        </w:r>
                      </w:p>
                    </w:txbxContent>
                  </v:textbox>
                </v:shape>
              </w:pict>
            </w:r>
          </w:p>
        </w:tc>
      </w:tr>
    </w:tbl>
    <w:p w:rsidR="0006543C" w:rsidRPr="004B05FB" w:rsidRDefault="0006543C" w:rsidP="004B05FB">
      <w:pPr>
        <w:pStyle w:val="Prrafodelista"/>
        <w:spacing w:line="276" w:lineRule="auto"/>
        <w:ind w:left="851"/>
        <w:jc w:val="both"/>
        <w:rPr>
          <w:rFonts w:ascii="Arial" w:hAnsi="Arial" w:cs="Arial"/>
          <w:sz w:val="17"/>
          <w:szCs w:val="17"/>
        </w:rPr>
      </w:pPr>
    </w:p>
    <w:p w:rsidR="0006543C" w:rsidRPr="004B05FB" w:rsidRDefault="0006543C" w:rsidP="004B05FB">
      <w:pPr>
        <w:pStyle w:val="Prrafodelista"/>
        <w:spacing w:line="276" w:lineRule="auto"/>
        <w:ind w:left="851"/>
        <w:jc w:val="both"/>
        <w:rPr>
          <w:rFonts w:ascii="Arial" w:hAnsi="Arial" w:cs="Arial"/>
          <w:sz w:val="17"/>
          <w:szCs w:val="17"/>
        </w:rPr>
      </w:pPr>
      <w:r w:rsidRPr="004B05FB">
        <w:rPr>
          <w:rFonts w:ascii="Arial" w:hAnsi="Arial" w:cs="Arial"/>
          <w:b/>
          <w:i/>
          <w:sz w:val="17"/>
          <w:szCs w:val="17"/>
        </w:rPr>
        <w:t>Fuente:</w:t>
      </w:r>
      <w:r w:rsidRPr="004B05FB">
        <w:rPr>
          <w:rFonts w:ascii="Arial" w:hAnsi="Arial" w:cs="Arial"/>
          <w:sz w:val="17"/>
          <w:szCs w:val="17"/>
        </w:rPr>
        <w:t xml:space="preserve"> </w:t>
      </w:r>
      <w:r w:rsidRPr="004B05FB">
        <w:rPr>
          <w:rFonts w:ascii="Arial" w:hAnsi="Arial" w:cs="Arial"/>
          <w:b/>
          <w:sz w:val="17"/>
          <w:szCs w:val="17"/>
        </w:rPr>
        <w:t xml:space="preserve">INEC </w:t>
      </w:r>
      <w:r w:rsidRPr="004B05FB">
        <w:rPr>
          <w:rFonts w:ascii="Arial" w:hAnsi="Arial" w:cs="Arial"/>
          <w:sz w:val="17"/>
          <w:szCs w:val="17"/>
        </w:rPr>
        <w:t>(2010), Base de Datos del VII Censo de Población y VI de Vivienda.</w:t>
      </w:r>
    </w:p>
    <w:p w:rsidR="0006543C" w:rsidRPr="004B05FB" w:rsidRDefault="0006543C" w:rsidP="004B05FB">
      <w:pPr>
        <w:pStyle w:val="Prrafodelista"/>
        <w:spacing w:line="276" w:lineRule="auto"/>
        <w:ind w:left="851"/>
        <w:jc w:val="both"/>
        <w:rPr>
          <w:rFonts w:ascii="Arial" w:hAnsi="Arial" w:cs="Arial"/>
          <w:sz w:val="17"/>
          <w:szCs w:val="17"/>
        </w:rPr>
      </w:pPr>
      <w:r w:rsidRPr="004B05FB">
        <w:rPr>
          <w:rFonts w:ascii="Arial" w:hAnsi="Arial" w:cs="Arial"/>
          <w:b/>
          <w:i/>
          <w:sz w:val="17"/>
          <w:szCs w:val="17"/>
        </w:rPr>
        <w:t>Elaborado por:</w:t>
      </w:r>
      <w:r w:rsidRPr="004B05FB">
        <w:rPr>
          <w:rFonts w:ascii="Arial" w:hAnsi="Arial" w:cs="Arial"/>
          <w:sz w:val="17"/>
          <w:szCs w:val="17"/>
        </w:rPr>
        <w:t xml:space="preserve"> Katherine Loor Valeriano</w:t>
      </w:r>
    </w:p>
    <w:p w:rsidR="0006543C" w:rsidRDefault="0006543C" w:rsidP="004B05FB">
      <w:pPr>
        <w:pStyle w:val="51"/>
        <w:ind w:left="851" w:hanging="567"/>
      </w:pPr>
      <w:bookmarkStart w:id="760" w:name="_Toc338407798"/>
      <w:bookmarkStart w:id="761" w:name="_Toc338412801"/>
      <w:bookmarkStart w:id="762" w:name="_Toc341040728"/>
      <w:r>
        <w:t>País de residencia actual de los Emigrantes</w:t>
      </w:r>
      <w:bookmarkEnd w:id="760"/>
      <w:bookmarkEnd w:id="761"/>
      <w:bookmarkEnd w:id="762"/>
    </w:p>
    <w:p w:rsidR="0006543C" w:rsidRDefault="0006543C" w:rsidP="004B05FB">
      <w:pPr>
        <w:pStyle w:val="Prrafodelista"/>
        <w:tabs>
          <w:tab w:val="left" w:pos="1560"/>
        </w:tabs>
        <w:spacing w:line="480" w:lineRule="auto"/>
        <w:ind w:left="851"/>
        <w:jc w:val="both"/>
        <w:rPr>
          <w:rFonts w:ascii="Arial" w:hAnsi="Arial" w:cs="Arial"/>
        </w:rPr>
      </w:pPr>
      <w:r>
        <w:rPr>
          <w:rFonts w:ascii="Arial" w:hAnsi="Arial" w:cs="Arial"/>
        </w:rPr>
        <w:t xml:space="preserve">Ya en la sección previa, se mostró la cantidad de emigrantes por cada uno de los continentes, ahora veamos cuales son los países hacia los cuales se dirigen la mayor cantidad de los emigrantes. En la </w:t>
      </w:r>
      <w:r>
        <w:rPr>
          <w:rFonts w:ascii="Arial" w:hAnsi="Arial" w:cs="Arial"/>
          <w:i/>
        </w:rPr>
        <w:t>Figura 5.10</w:t>
      </w:r>
      <w:r>
        <w:rPr>
          <w:rFonts w:ascii="Arial" w:hAnsi="Arial" w:cs="Arial"/>
        </w:rPr>
        <w:t xml:space="preserve">, se presenta la frecuencia relativa de emigrantes por país de residencia actual, en donde tenemos que el país que en el último diez años ha atraído a la mayor  ponderación de nuestros emigrantes es España, lugar donde residen actualmente el 45.14% del total de emigrantes registrados en el Censo 2010, otro país que por años ha atraído a nuestra población y que para el 2010 es el que alberga a la segunda proporción más alta de emigrantes es Estados Unidos, pues el 28.56% del total viven en este país. </w:t>
      </w:r>
    </w:p>
    <w:p w:rsidR="0006543C" w:rsidRDefault="0006543C" w:rsidP="004B05FB">
      <w:pPr>
        <w:pStyle w:val="Prrafodelista"/>
        <w:tabs>
          <w:tab w:val="left" w:pos="1560"/>
        </w:tabs>
        <w:spacing w:line="480" w:lineRule="auto"/>
        <w:ind w:left="851"/>
        <w:jc w:val="both"/>
        <w:rPr>
          <w:rFonts w:ascii="Arial" w:hAnsi="Arial" w:cs="Arial"/>
        </w:rPr>
      </w:pPr>
    </w:p>
    <w:p w:rsidR="0006543C" w:rsidRDefault="004B05FB" w:rsidP="004B05FB">
      <w:pPr>
        <w:pStyle w:val="Prrafodelista"/>
        <w:tabs>
          <w:tab w:val="left" w:pos="1560"/>
        </w:tabs>
        <w:spacing w:line="480" w:lineRule="auto"/>
        <w:ind w:left="851"/>
        <w:jc w:val="both"/>
        <w:rPr>
          <w:rFonts w:ascii="Arial" w:hAnsi="Arial" w:cs="Arial"/>
          <w:i/>
        </w:rPr>
      </w:pPr>
      <w:r>
        <w:rPr>
          <w:rFonts w:ascii="Arial" w:hAnsi="Arial" w:cs="Arial"/>
        </w:rPr>
        <w:t>E</w:t>
      </w:r>
      <w:r w:rsidR="0006543C">
        <w:rPr>
          <w:rFonts w:ascii="Arial" w:hAnsi="Arial" w:cs="Arial"/>
        </w:rPr>
        <w:t xml:space="preserve">n Italia están el 7.88% de quienes han emigrado en los últimos diez años previos al Censo, un 1.77% han emigrado hacia Chile, el 1.40% están en nuestro vecino país Colombia, el 1.24% en Venezuela; y, el porcentaje restante se encuentran en otros países del mundo. A otro de nuestros países vecinos como lo es Perú, a pesar de su cercanía con Ecuador tan solo el 0.46% del total han emigrado hacia él, incluso en menor ponderación que el porcentaje de emigrantes que viven actualmente en países como Francia, Reino Unido, México o Bélgica, esto probablemente se de porque Perú no es un país desarrollado como Francia o Reino Unido y por tanto no ofrece los mismos beneficios tanto económicos como educativos que vivir en un país de primer mundo. Cabe resaltar que los emigrantes de estos últimos diez años se han movilizado hacia diferentes países, contabilizándose más de 150 países distintos en los cuales residen actualmente. Para más detalles </w:t>
      </w:r>
      <w:r w:rsidR="0006543C">
        <w:rPr>
          <w:rFonts w:ascii="Arial" w:hAnsi="Arial" w:cs="Arial"/>
          <w:i/>
        </w:rPr>
        <w:t>véase Figura 5.10.</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4B05FB">
        <w:trPr>
          <w:trHeight w:val="2041"/>
          <w:jc w:val="right"/>
        </w:trPr>
        <w:tc>
          <w:tcPr>
            <w:tcW w:w="7497"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63" w:name="_Toc341044090"/>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10</w:t>
            </w:r>
            <w:bookmarkEnd w:id="763"/>
            <w:r w:rsidR="00990535" w:rsidRPr="0006543C">
              <w:rPr>
                <w:rFonts w:ascii="Arial" w:hAnsi="Arial" w:cs="Arial"/>
                <w:bCs w:val="0"/>
                <w:color w:val="auto"/>
                <w:sz w:val="16"/>
                <w:szCs w:val="16"/>
              </w:rPr>
              <w:fldChar w:fldCharType="end"/>
            </w:r>
          </w:p>
          <w:p w:rsidR="0006543C" w:rsidRDefault="004B05FB" w:rsidP="0006543C">
            <w:pPr>
              <w:rPr>
                <w:rFonts w:ascii="Arial" w:hAnsi="Arial" w:cs="Arial"/>
                <w:i/>
                <w:sz w:val="16"/>
                <w:szCs w:val="16"/>
              </w:rPr>
            </w:pPr>
            <w:r>
              <w:rPr>
                <w:rFonts w:ascii="Arial" w:hAnsi="Arial" w:cs="Arial"/>
                <w:b/>
                <w:i/>
                <w:sz w:val="16"/>
                <w:szCs w:val="16"/>
              </w:rPr>
              <w:t xml:space="preserve">Ecuador 2010: </w:t>
            </w:r>
            <w:r w:rsidR="0006543C">
              <w:rPr>
                <w:rFonts w:ascii="Arial" w:hAnsi="Arial" w:cs="Arial"/>
                <w:i/>
                <w:sz w:val="16"/>
                <w:szCs w:val="16"/>
              </w:rPr>
              <w:t xml:space="preserve">Frecuencia Relativa </w:t>
            </w:r>
            <w:r>
              <w:rPr>
                <w:rFonts w:ascii="Arial" w:hAnsi="Arial" w:cs="Arial"/>
                <w:i/>
                <w:sz w:val="16"/>
                <w:szCs w:val="16"/>
              </w:rPr>
              <w:t>por</w:t>
            </w:r>
            <w:r w:rsidR="0006543C">
              <w:rPr>
                <w:rFonts w:ascii="Arial" w:hAnsi="Arial" w:cs="Arial"/>
                <w:i/>
                <w:sz w:val="16"/>
                <w:szCs w:val="16"/>
              </w:rPr>
              <w:t xml:space="preserve"> País de residencia actual de los emigrantes</w:t>
            </w:r>
          </w:p>
          <w:p w:rsidR="0006543C" w:rsidRDefault="0006543C" w:rsidP="0006543C">
            <w:pPr>
              <w:rPr>
                <w:rFonts w:ascii="Arial" w:hAnsi="Arial" w:cs="Arial"/>
                <w:i/>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760"/>
              <w:gridCol w:w="4539"/>
            </w:tblGrid>
            <w:tr w:rsidR="0006543C" w:rsidTr="0006543C">
              <w:trPr>
                <w:jc w:val="center"/>
              </w:trPr>
              <w:tc>
                <w:tcPr>
                  <w:tcW w:w="2760" w:type="dxa"/>
                </w:tcPr>
                <w:p w:rsidR="0006543C" w:rsidRPr="00C61AEB" w:rsidRDefault="0006543C" w:rsidP="0006543C">
                  <w:pPr>
                    <w:rPr>
                      <w:rFonts w:ascii="Arial" w:hAnsi="Arial" w:cs="Arial"/>
                      <w:b/>
                      <w:sz w:val="16"/>
                      <w:szCs w:val="16"/>
                    </w:rPr>
                  </w:pPr>
                  <w:r>
                    <w:rPr>
                      <w:rFonts w:ascii="Arial" w:hAnsi="Arial" w:cs="Arial"/>
                      <w:b/>
                      <w:sz w:val="16"/>
                      <w:szCs w:val="16"/>
                    </w:rPr>
                    <w:t>Tabla de Frecuencias</w:t>
                  </w:r>
                </w:p>
                <w:p w:rsidR="0006543C" w:rsidRPr="00C61AEB" w:rsidRDefault="0006543C" w:rsidP="0006543C">
                  <w:pPr>
                    <w:rPr>
                      <w:rFonts w:ascii="Arial" w:hAnsi="Arial" w:cs="Arial"/>
                      <w:sz w:val="10"/>
                      <w:szCs w:val="10"/>
                    </w:rPr>
                  </w:pPr>
                </w:p>
                <w:tbl>
                  <w:tblPr>
                    <w:tblW w:w="2566" w:type="dxa"/>
                    <w:jc w:val="center"/>
                    <w:tblCellMar>
                      <w:left w:w="70" w:type="dxa"/>
                      <w:right w:w="70" w:type="dxa"/>
                    </w:tblCellMar>
                    <w:tblLook w:val="04A0" w:firstRow="1" w:lastRow="0" w:firstColumn="1" w:lastColumn="0" w:noHBand="0" w:noVBand="1"/>
                  </w:tblPr>
                  <w:tblGrid>
                    <w:gridCol w:w="1581"/>
                    <w:gridCol w:w="1019"/>
                  </w:tblGrid>
                  <w:tr w:rsidR="0006543C" w:rsidRPr="00C61AEB" w:rsidTr="0006543C">
                    <w:trPr>
                      <w:trHeight w:val="227"/>
                      <w:jc w:val="center"/>
                    </w:trPr>
                    <w:tc>
                      <w:tcPr>
                        <w:tcW w:w="1581" w:type="dxa"/>
                        <w:tcBorders>
                          <w:top w:val="single" w:sz="4" w:space="0" w:color="auto"/>
                          <w:left w:val="nil"/>
                          <w:bottom w:val="single" w:sz="4" w:space="0" w:color="auto"/>
                          <w:right w:val="nil"/>
                        </w:tcBorders>
                        <w:shd w:val="clear" w:color="auto" w:fill="auto"/>
                        <w:vAlign w:val="center"/>
                        <w:hideMark/>
                      </w:tcPr>
                      <w:p w:rsidR="0006543C" w:rsidRPr="00C61AEB" w:rsidRDefault="0006543C" w:rsidP="008D0583">
                        <w:pPr>
                          <w:jc w:val="left"/>
                          <w:rPr>
                            <w:rFonts w:ascii="Arial" w:eastAsia="Times New Roman" w:hAnsi="Arial" w:cs="Arial"/>
                            <w:b/>
                            <w:bCs/>
                            <w:color w:val="000000"/>
                            <w:sz w:val="16"/>
                            <w:szCs w:val="16"/>
                            <w:lang w:eastAsia="es-EC"/>
                          </w:rPr>
                        </w:pPr>
                        <w:r w:rsidRPr="00C61AEB">
                          <w:rPr>
                            <w:rFonts w:ascii="Arial" w:eastAsia="Times New Roman" w:hAnsi="Arial" w:cs="Arial"/>
                            <w:b/>
                            <w:bCs/>
                            <w:color w:val="000000"/>
                            <w:sz w:val="16"/>
                            <w:szCs w:val="16"/>
                            <w:lang w:eastAsia="es-EC"/>
                          </w:rPr>
                          <w:t xml:space="preserve">País de residencia </w:t>
                        </w:r>
                        <w:r>
                          <w:rPr>
                            <w:rFonts w:ascii="Arial" w:eastAsia="Times New Roman" w:hAnsi="Arial" w:cs="Arial"/>
                            <w:b/>
                            <w:bCs/>
                            <w:color w:val="000000"/>
                            <w:sz w:val="16"/>
                            <w:szCs w:val="16"/>
                            <w:lang w:eastAsia="es-EC"/>
                          </w:rPr>
                          <w:t>actual</w:t>
                        </w:r>
                      </w:p>
                    </w:tc>
                    <w:tc>
                      <w:tcPr>
                        <w:tcW w:w="985" w:type="dxa"/>
                        <w:tcBorders>
                          <w:top w:val="single" w:sz="4" w:space="0" w:color="auto"/>
                          <w:left w:val="nil"/>
                          <w:bottom w:val="single" w:sz="4" w:space="0" w:color="auto"/>
                          <w:right w:val="nil"/>
                        </w:tcBorders>
                        <w:shd w:val="clear" w:color="auto" w:fill="auto"/>
                        <w:vAlign w:val="center"/>
                        <w:hideMark/>
                      </w:tcPr>
                      <w:p w:rsidR="0006543C" w:rsidRPr="00C61AEB" w:rsidRDefault="0006543C" w:rsidP="0006543C">
                        <w:pPr>
                          <w:rPr>
                            <w:rFonts w:ascii="Arial" w:eastAsia="Times New Roman" w:hAnsi="Arial" w:cs="Arial"/>
                            <w:b/>
                            <w:bCs/>
                            <w:color w:val="000000"/>
                            <w:sz w:val="16"/>
                            <w:szCs w:val="16"/>
                            <w:lang w:eastAsia="es-EC"/>
                          </w:rPr>
                        </w:pPr>
                        <w:r w:rsidRPr="00C61AEB">
                          <w:rPr>
                            <w:rFonts w:ascii="Arial" w:eastAsia="Times New Roman" w:hAnsi="Arial" w:cs="Arial"/>
                            <w:b/>
                            <w:bCs/>
                            <w:color w:val="000000"/>
                            <w:sz w:val="16"/>
                            <w:szCs w:val="16"/>
                            <w:lang w:eastAsia="es-EC"/>
                          </w:rPr>
                          <w:t>Frecuencia Relativa</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España</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0.451</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Estados Unidos</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0.286</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Italia</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0.079</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Chile</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0.018</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Colombia</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0.014</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Venezuela</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0.012</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Argentina</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0.010</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Canadá</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0.008</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Alemania</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0.006</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Bélgica</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0.006</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Cuba</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0.006</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Reino Unido</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0.006</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Francia</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0.005</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México</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0.005</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Perú</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0.005</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Otros países</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0.033</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hideMark/>
                      </w:tcPr>
                      <w:p w:rsidR="0006543C" w:rsidRPr="00C61AEB" w:rsidRDefault="0006543C" w:rsidP="008D0583">
                        <w:pPr>
                          <w:jc w:val="left"/>
                          <w:rPr>
                            <w:rFonts w:ascii="Arial" w:eastAsia="Times New Roman" w:hAnsi="Arial" w:cs="Arial"/>
                            <w:sz w:val="16"/>
                            <w:szCs w:val="16"/>
                            <w:lang w:eastAsia="es-EC"/>
                          </w:rPr>
                        </w:pPr>
                        <w:r w:rsidRPr="00C61AEB">
                          <w:rPr>
                            <w:rFonts w:ascii="Arial" w:eastAsia="Times New Roman" w:hAnsi="Arial" w:cs="Arial"/>
                            <w:sz w:val="16"/>
                            <w:szCs w:val="16"/>
                            <w:lang w:eastAsia="es-EC"/>
                          </w:rPr>
                          <w:t>No especifica</w:t>
                        </w:r>
                      </w:p>
                    </w:tc>
                    <w:tc>
                      <w:tcPr>
                        <w:tcW w:w="985" w:type="dxa"/>
                        <w:tcBorders>
                          <w:top w:val="nil"/>
                          <w:left w:val="nil"/>
                          <w:bottom w:val="nil"/>
                          <w:right w:val="nil"/>
                        </w:tcBorders>
                        <w:shd w:val="clear" w:color="auto" w:fill="auto"/>
                        <w:noWrap/>
                        <w:vAlign w:val="center"/>
                        <w:hideMark/>
                      </w:tcPr>
                      <w:p w:rsidR="0006543C" w:rsidRPr="00C61AEB" w:rsidRDefault="0006543C" w:rsidP="0006543C">
                        <w:pPr>
                          <w:rPr>
                            <w:rFonts w:ascii="Arial" w:eastAsia="Times New Roman" w:hAnsi="Arial" w:cs="Arial"/>
                            <w:color w:val="000000"/>
                            <w:sz w:val="16"/>
                            <w:szCs w:val="16"/>
                            <w:lang w:eastAsia="es-EC"/>
                          </w:rPr>
                        </w:pPr>
                        <w:r w:rsidRPr="00C61AEB">
                          <w:rPr>
                            <w:rFonts w:ascii="Arial" w:eastAsia="Times New Roman" w:hAnsi="Arial" w:cs="Arial"/>
                            <w:color w:val="000000"/>
                            <w:sz w:val="16"/>
                            <w:szCs w:val="16"/>
                            <w:lang w:eastAsia="es-EC"/>
                          </w:rPr>
                          <w:t>0.050</w:t>
                        </w:r>
                      </w:p>
                    </w:tc>
                  </w:tr>
                  <w:tr w:rsidR="0006543C" w:rsidRPr="00C61AEB" w:rsidTr="0006543C">
                    <w:trPr>
                      <w:trHeight w:val="227"/>
                      <w:jc w:val="center"/>
                    </w:trPr>
                    <w:tc>
                      <w:tcPr>
                        <w:tcW w:w="1581" w:type="dxa"/>
                        <w:tcBorders>
                          <w:top w:val="nil"/>
                          <w:left w:val="nil"/>
                          <w:bottom w:val="single" w:sz="4" w:space="0" w:color="auto"/>
                          <w:right w:val="nil"/>
                        </w:tcBorders>
                        <w:shd w:val="clear" w:color="auto" w:fill="auto"/>
                        <w:noWrap/>
                        <w:vAlign w:val="center"/>
                        <w:hideMark/>
                      </w:tcPr>
                      <w:p w:rsidR="0006543C" w:rsidRPr="00C61AEB" w:rsidRDefault="0006543C" w:rsidP="008D0583">
                        <w:pPr>
                          <w:jc w:val="left"/>
                          <w:rPr>
                            <w:rFonts w:ascii="Arial" w:eastAsia="Times New Roman" w:hAnsi="Arial" w:cs="Arial"/>
                            <w:b/>
                            <w:bCs/>
                            <w:i/>
                            <w:iCs/>
                            <w:color w:val="000000"/>
                            <w:sz w:val="16"/>
                            <w:szCs w:val="16"/>
                            <w:lang w:eastAsia="es-EC"/>
                          </w:rPr>
                        </w:pPr>
                        <w:r w:rsidRPr="00C61AEB">
                          <w:rPr>
                            <w:rFonts w:ascii="Arial" w:eastAsia="Times New Roman" w:hAnsi="Arial" w:cs="Arial"/>
                            <w:b/>
                            <w:bCs/>
                            <w:i/>
                            <w:iCs/>
                            <w:color w:val="000000"/>
                            <w:sz w:val="16"/>
                            <w:szCs w:val="16"/>
                            <w:lang w:eastAsia="es-EC"/>
                          </w:rPr>
                          <w:t>Total</w:t>
                        </w:r>
                      </w:p>
                    </w:tc>
                    <w:tc>
                      <w:tcPr>
                        <w:tcW w:w="985" w:type="dxa"/>
                        <w:tcBorders>
                          <w:top w:val="nil"/>
                          <w:left w:val="nil"/>
                          <w:bottom w:val="single" w:sz="4" w:space="0" w:color="auto"/>
                          <w:right w:val="nil"/>
                        </w:tcBorders>
                        <w:shd w:val="clear" w:color="auto" w:fill="auto"/>
                        <w:noWrap/>
                        <w:vAlign w:val="center"/>
                        <w:hideMark/>
                      </w:tcPr>
                      <w:p w:rsidR="0006543C" w:rsidRPr="00C61AEB" w:rsidRDefault="0006543C" w:rsidP="0006543C">
                        <w:pPr>
                          <w:rPr>
                            <w:rFonts w:ascii="Arial" w:eastAsia="Times New Roman" w:hAnsi="Arial" w:cs="Arial"/>
                            <w:b/>
                            <w:bCs/>
                            <w:i/>
                            <w:iCs/>
                            <w:color w:val="000000"/>
                            <w:sz w:val="16"/>
                            <w:szCs w:val="16"/>
                            <w:lang w:eastAsia="es-EC"/>
                          </w:rPr>
                        </w:pPr>
                        <w:r w:rsidRPr="00C61AEB">
                          <w:rPr>
                            <w:rFonts w:ascii="Arial" w:eastAsia="Times New Roman" w:hAnsi="Arial" w:cs="Arial"/>
                            <w:b/>
                            <w:bCs/>
                            <w:i/>
                            <w:iCs/>
                            <w:color w:val="000000"/>
                            <w:sz w:val="16"/>
                            <w:szCs w:val="16"/>
                            <w:lang w:eastAsia="es-EC"/>
                          </w:rPr>
                          <w:t>1.000</w:t>
                        </w:r>
                      </w:p>
                    </w:tc>
                  </w:tr>
                </w:tbl>
                <w:p w:rsidR="0006543C" w:rsidRDefault="0006543C" w:rsidP="0006543C">
                  <w:pPr>
                    <w:rPr>
                      <w:rFonts w:ascii="Arial" w:hAnsi="Arial" w:cs="Arial"/>
                      <w:sz w:val="24"/>
                      <w:szCs w:val="24"/>
                    </w:rPr>
                  </w:pPr>
                </w:p>
              </w:tc>
              <w:tc>
                <w:tcPr>
                  <w:tcW w:w="4427" w:type="dxa"/>
                </w:tcPr>
                <w:p w:rsidR="0006543C" w:rsidRPr="00C61AEB" w:rsidRDefault="0006543C" w:rsidP="0006543C">
                  <w:pPr>
                    <w:rPr>
                      <w:rFonts w:ascii="Arial" w:hAnsi="Arial" w:cs="Arial"/>
                      <w:b/>
                      <w:noProof/>
                      <w:sz w:val="16"/>
                      <w:szCs w:val="16"/>
                      <w:lang w:eastAsia="es-EC"/>
                    </w:rPr>
                  </w:pPr>
                  <w:r>
                    <w:rPr>
                      <w:rFonts w:ascii="Arial" w:hAnsi="Arial" w:cs="Arial"/>
                      <w:b/>
                      <w:noProof/>
                      <w:sz w:val="16"/>
                      <w:szCs w:val="16"/>
                      <w:lang w:eastAsia="es-EC"/>
                    </w:rPr>
                    <w:t>Histograma de Frecuencias</w:t>
                  </w:r>
                </w:p>
                <w:p w:rsidR="0006543C" w:rsidRDefault="0006543C" w:rsidP="0006543C">
                  <w:pPr>
                    <w:rPr>
                      <w:rFonts w:ascii="Arial" w:hAnsi="Arial" w:cs="Arial"/>
                      <w:sz w:val="24"/>
                      <w:szCs w:val="24"/>
                    </w:rPr>
                  </w:pPr>
                  <w:r>
                    <w:rPr>
                      <w:noProof/>
                      <w:lang w:eastAsia="es-EC"/>
                    </w:rPr>
                    <w:drawing>
                      <wp:inline distT="0" distB="0" distL="0" distR="0" wp14:anchorId="2B4EEB55" wp14:editId="0DA6E3AA">
                        <wp:extent cx="2771775" cy="3219450"/>
                        <wp:effectExtent l="0" t="0" r="0" b="0"/>
                        <wp:docPr id="373" name="Gráfico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c>
            </w:tr>
          </w:tbl>
          <w:p w:rsidR="0006543C" w:rsidRPr="00840530" w:rsidRDefault="0006543C" w:rsidP="0006543C">
            <w:pPr>
              <w:rPr>
                <w:rFonts w:ascii="Arial" w:hAnsi="Arial" w:cs="Arial"/>
                <w:sz w:val="24"/>
                <w:szCs w:val="24"/>
              </w:rPr>
            </w:pPr>
          </w:p>
        </w:tc>
      </w:tr>
    </w:tbl>
    <w:p w:rsidR="0006543C" w:rsidRPr="004B05FB" w:rsidRDefault="0006543C" w:rsidP="004B05FB">
      <w:pPr>
        <w:spacing w:line="276" w:lineRule="auto"/>
        <w:ind w:left="851"/>
        <w:jc w:val="both"/>
        <w:rPr>
          <w:rFonts w:ascii="Arial" w:hAnsi="Arial" w:cs="Arial"/>
          <w:sz w:val="17"/>
          <w:szCs w:val="17"/>
        </w:rPr>
      </w:pPr>
    </w:p>
    <w:p w:rsidR="0006543C" w:rsidRPr="004B05FB" w:rsidRDefault="0006543C" w:rsidP="004B05FB">
      <w:pPr>
        <w:spacing w:line="276" w:lineRule="auto"/>
        <w:ind w:left="851"/>
        <w:jc w:val="both"/>
        <w:rPr>
          <w:rFonts w:ascii="Arial" w:hAnsi="Arial" w:cs="Arial"/>
          <w:sz w:val="17"/>
          <w:szCs w:val="17"/>
        </w:rPr>
      </w:pPr>
      <w:r w:rsidRPr="004B05FB">
        <w:rPr>
          <w:rFonts w:ascii="Arial" w:hAnsi="Arial" w:cs="Arial"/>
          <w:b/>
          <w:i/>
          <w:sz w:val="17"/>
          <w:szCs w:val="17"/>
        </w:rPr>
        <w:t>Fuente:</w:t>
      </w:r>
      <w:r w:rsidRPr="004B05FB">
        <w:rPr>
          <w:rFonts w:ascii="Arial" w:hAnsi="Arial" w:cs="Arial"/>
          <w:sz w:val="17"/>
          <w:szCs w:val="17"/>
        </w:rPr>
        <w:t xml:space="preserve"> </w:t>
      </w:r>
      <w:r w:rsidRPr="004B05FB">
        <w:rPr>
          <w:rFonts w:ascii="Arial" w:hAnsi="Arial" w:cs="Arial"/>
          <w:b/>
          <w:sz w:val="17"/>
          <w:szCs w:val="17"/>
        </w:rPr>
        <w:t xml:space="preserve">INEC </w:t>
      </w:r>
      <w:r w:rsidRPr="004B05FB">
        <w:rPr>
          <w:rFonts w:ascii="Arial" w:hAnsi="Arial" w:cs="Arial"/>
          <w:sz w:val="17"/>
          <w:szCs w:val="17"/>
        </w:rPr>
        <w:t>(2010), Base de Datos del VII Censo de Población y VI de Vivienda.</w:t>
      </w:r>
    </w:p>
    <w:p w:rsidR="0006543C" w:rsidRPr="004B05FB" w:rsidRDefault="0006543C" w:rsidP="004B05FB">
      <w:pPr>
        <w:spacing w:line="276" w:lineRule="auto"/>
        <w:ind w:left="851"/>
        <w:jc w:val="both"/>
        <w:rPr>
          <w:rFonts w:ascii="Arial" w:hAnsi="Arial" w:cs="Arial"/>
          <w:sz w:val="17"/>
          <w:szCs w:val="17"/>
        </w:rPr>
      </w:pPr>
      <w:r w:rsidRPr="004B05FB">
        <w:rPr>
          <w:rFonts w:ascii="Arial" w:hAnsi="Arial" w:cs="Arial"/>
          <w:b/>
          <w:i/>
          <w:sz w:val="17"/>
          <w:szCs w:val="17"/>
        </w:rPr>
        <w:t>Elaborado por:</w:t>
      </w:r>
      <w:r w:rsidRPr="004B05FB">
        <w:rPr>
          <w:rFonts w:ascii="Arial" w:hAnsi="Arial" w:cs="Arial"/>
          <w:sz w:val="17"/>
          <w:szCs w:val="17"/>
        </w:rPr>
        <w:t xml:space="preserve"> Katherine Loor Valeriano</w:t>
      </w:r>
    </w:p>
    <w:p w:rsidR="0006543C" w:rsidRDefault="0006543C" w:rsidP="0006543C">
      <w:pPr>
        <w:tabs>
          <w:tab w:val="left" w:pos="1560"/>
        </w:tabs>
        <w:spacing w:line="480" w:lineRule="auto"/>
        <w:ind w:left="567"/>
        <w:jc w:val="both"/>
        <w:rPr>
          <w:rFonts w:ascii="Arial" w:hAnsi="Arial" w:cs="Arial"/>
        </w:rPr>
      </w:pPr>
    </w:p>
    <w:p w:rsidR="0006543C" w:rsidRDefault="0006543C" w:rsidP="004B05FB">
      <w:pPr>
        <w:pStyle w:val="51"/>
        <w:ind w:left="851" w:hanging="567"/>
      </w:pPr>
      <w:bookmarkStart w:id="764" w:name="_Toc338407799"/>
      <w:bookmarkStart w:id="765" w:name="_Toc338412802"/>
      <w:bookmarkStart w:id="766" w:name="_Toc341040729"/>
      <w:r>
        <w:t>Año de salida del Ecuador</w:t>
      </w:r>
      <w:bookmarkEnd w:id="764"/>
      <w:bookmarkEnd w:id="765"/>
      <w:r w:rsidR="004B05FB">
        <w:t xml:space="preserve"> de los emigrantes</w:t>
      </w:r>
      <w:bookmarkEnd w:id="766"/>
    </w:p>
    <w:p w:rsidR="0006543C" w:rsidRPr="00087FF4" w:rsidRDefault="0006543C" w:rsidP="004B05FB">
      <w:pPr>
        <w:pStyle w:val="Prrafodelista"/>
        <w:spacing w:line="480" w:lineRule="auto"/>
        <w:ind w:left="851"/>
        <w:jc w:val="both"/>
        <w:rPr>
          <w:rFonts w:ascii="Arial" w:hAnsi="Arial" w:cs="Arial"/>
        </w:rPr>
      </w:pPr>
      <w:r>
        <w:rPr>
          <w:rFonts w:ascii="Arial" w:hAnsi="Arial" w:cs="Arial"/>
        </w:rPr>
        <w:t xml:space="preserve">Otra característica de interés es el año de salida del Ecuador de los emigrantes; en la </w:t>
      </w:r>
      <w:r>
        <w:rPr>
          <w:rFonts w:ascii="Arial" w:hAnsi="Arial" w:cs="Arial"/>
          <w:i/>
        </w:rPr>
        <w:t>Figura 5.11</w:t>
      </w:r>
      <w:r>
        <w:rPr>
          <w:rFonts w:ascii="Arial" w:hAnsi="Arial" w:cs="Arial"/>
        </w:rPr>
        <w:t xml:space="preserve">, se presentan las frecuencias absolutas de emigrantes por año de salida del país, en donde podemos notar que la mayor cantidad de emigrantes salieron del país en el año 2002, los cuales constituyen el 16.40% del total de emigrantes, otro movimiento migratorio se dio en 2001 donde desde noviembre hasta diciembre de ese año salió del país el 15.25% del total de emigrantes registrados, llegándose a tener que el total de personas que emigraron en los dos últimos meses del 2001 es cercano al total de emigrantes del año 2002. Además, se </w:t>
      </w:r>
      <w:r w:rsidR="00AE13C0">
        <w:rPr>
          <w:rFonts w:ascii="Arial" w:hAnsi="Arial" w:cs="Arial"/>
        </w:rPr>
        <w:t>encontró</w:t>
      </w:r>
      <w:r>
        <w:rPr>
          <w:rFonts w:ascii="Arial" w:hAnsi="Arial" w:cs="Arial"/>
        </w:rPr>
        <w:t xml:space="preserve"> que para los años desde 2003 al 2010 la cantidad de emigrantes disminuyó respecto a los dos primeros años; y, del 10.43% del total de emigrantes se desconoce el año en el cual salió del país.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9A7385">
        <w:trPr>
          <w:trHeight w:val="2041"/>
          <w:jc w:val="right"/>
        </w:trPr>
        <w:tc>
          <w:tcPr>
            <w:tcW w:w="7497"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67" w:name="_Toc341044091"/>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11</w:t>
            </w:r>
            <w:bookmarkEnd w:id="767"/>
            <w:r w:rsidR="00990535" w:rsidRPr="0006543C">
              <w:rPr>
                <w:rFonts w:ascii="Arial" w:hAnsi="Arial" w:cs="Arial"/>
                <w:bCs w:val="0"/>
                <w:color w:val="auto"/>
                <w:sz w:val="16"/>
                <w:szCs w:val="16"/>
              </w:rPr>
              <w:fldChar w:fldCharType="end"/>
            </w:r>
          </w:p>
          <w:p w:rsidR="0006543C" w:rsidRDefault="009A7385" w:rsidP="0006543C">
            <w:pPr>
              <w:rPr>
                <w:rFonts w:ascii="Arial" w:hAnsi="Arial" w:cs="Arial"/>
                <w:i/>
                <w:sz w:val="16"/>
                <w:szCs w:val="16"/>
              </w:rPr>
            </w:pPr>
            <w:r>
              <w:rPr>
                <w:rFonts w:ascii="Arial" w:hAnsi="Arial" w:cs="Arial"/>
                <w:b/>
                <w:i/>
                <w:sz w:val="16"/>
                <w:szCs w:val="16"/>
              </w:rPr>
              <w:t xml:space="preserve">Ecuador 2010: </w:t>
            </w:r>
            <w:r w:rsidR="00B21B84" w:rsidRPr="00B21B84">
              <w:rPr>
                <w:rFonts w:ascii="Arial" w:hAnsi="Arial" w:cs="Arial"/>
                <w:i/>
                <w:sz w:val="16"/>
                <w:szCs w:val="16"/>
              </w:rPr>
              <w:t>T</w:t>
            </w:r>
            <w:r w:rsidRPr="00B21B84">
              <w:rPr>
                <w:rFonts w:ascii="Arial" w:hAnsi="Arial" w:cs="Arial"/>
                <w:i/>
                <w:sz w:val="16"/>
                <w:szCs w:val="16"/>
              </w:rPr>
              <w:t>o</w:t>
            </w:r>
            <w:r>
              <w:rPr>
                <w:rFonts w:ascii="Arial" w:hAnsi="Arial" w:cs="Arial"/>
                <w:i/>
                <w:sz w:val="16"/>
                <w:szCs w:val="16"/>
              </w:rPr>
              <w:t>tal de emigrantes por</w:t>
            </w:r>
            <w:r w:rsidR="0006543C">
              <w:rPr>
                <w:rFonts w:ascii="Arial" w:hAnsi="Arial" w:cs="Arial"/>
                <w:i/>
                <w:sz w:val="16"/>
                <w:szCs w:val="16"/>
              </w:rPr>
              <w:t xml:space="preserve"> Año de salida del Ecuador </w:t>
            </w:r>
          </w:p>
          <w:p w:rsidR="0006543C" w:rsidRDefault="0006543C" w:rsidP="0006543C">
            <w:pPr>
              <w:rPr>
                <w:rFonts w:ascii="Arial" w:hAnsi="Arial" w:cs="Arial"/>
                <w:i/>
                <w:sz w:val="10"/>
                <w:szCs w:val="10"/>
              </w:rPr>
            </w:pPr>
          </w:p>
          <w:p w:rsidR="0006543C" w:rsidRPr="00840530" w:rsidRDefault="009A7385" w:rsidP="0006543C">
            <w:pPr>
              <w:rPr>
                <w:rFonts w:ascii="Arial" w:hAnsi="Arial" w:cs="Arial"/>
                <w:sz w:val="24"/>
                <w:szCs w:val="24"/>
              </w:rPr>
            </w:pPr>
            <w:r>
              <w:rPr>
                <w:noProof/>
                <w:lang w:eastAsia="es-EC"/>
              </w:rPr>
              <w:drawing>
                <wp:inline distT="0" distB="0" distL="0" distR="0" wp14:anchorId="6200A53E" wp14:editId="4DD02DA4">
                  <wp:extent cx="4419600" cy="22098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c>
      </w:tr>
    </w:tbl>
    <w:p w:rsidR="0006543C" w:rsidRPr="009A7385" w:rsidRDefault="0006543C" w:rsidP="009A7385">
      <w:pPr>
        <w:pStyle w:val="Prrafodelista"/>
        <w:spacing w:line="276" w:lineRule="auto"/>
        <w:ind w:left="851"/>
        <w:jc w:val="both"/>
        <w:rPr>
          <w:rFonts w:ascii="Arial" w:hAnsi="Arial" w:cs="Arial"/>
          <w:sz w:val="17"/>
          <w:szCs w:val="17"/>
        </w:rPr>
      </w:pPr>
    </w:p>
    <w:p w:rsidR="0006543C" w:rsidRPr="009A7385" w:rsidRDefault="0006543C" w:rsidP="009A7385">
      <w:pPr>
        <w:pStyle w:val="Prrafodelista"/>
        <w:spacing w:line="276" w:lineRule="auto"/>
        <w:ind w:left="851"/>
        <w:jc w:val="both"/>
        <w:rPr>
          <w:rFonts w:ascii="Arial" w:hAnsi="Arial" w:cs="Arial"/>
          <w:sz w:val="17"/>
          <w:szCs w:val="17"/>
        </w:rPr>
      </w:pPr>
      <w:r w:rsidRPr="009A7385">
        <w:rPr>
          <w:rFonts w:ascii="Arial" w:hAnsi="Arial" w:cs="Arial"/>
          <w:b/>
          <w:i/>
          <w:sz w:val="17"/>
          <w:szCs w:val="17"/>
        </w:rPr>
        <w:t>Fuente:</w:t>
      </w:r>
      <w:r w:rsidRPr="009A7385">
        <w:rPr>
          <w:rFonts w:ascii="Arial" w:hAnsi="Arial" w:cs="Arial"/>
          <w:sz w:val="17"/>
          <w:szCs w:val="17"/>
        </w:rPr>
        <w:t xml:space="preserve"> </w:t>
      </w:r>
      <w:r w:rsidRPr="009A7385">
        <w:rPr>
          <w:rFonts w:ascii="Arial" w:hAnsi="Arial" w:cs="Arial"/>
          <w:b/>
          <w:sz w:val="17"/>
          <w:szCs w:val="17"/>
        </w:rPr>
        <w:t xml:space="preserve">INEC </w:t>
      </w:r>
      <w:r w:rsidRPr="009A7385">
        <w:rPr>
          <w:rFonts w:ascii="Arial" w:hAnsi="Arial" w:cs="Arial"/>
          <w:sz w:val="17"/>
          <w:szCs w:val="17"/>
        </w:rPr>
        <w:t>(2010), Base de Datos del VII Censo de Población y VI de Vivienda.</w:t>
      </w:r>
    </w:p>
    <w:p w:rsidR="0006543C" w:rsidRDefault="0006543C" w:rsidP="009A7385">
      <w:pPr>
        <w:pStyle w:val="Prrafodelista"/>
        <w:spacing w:line="276" w:lineRule="auto"/>
        <w:ind w:left="851"/>
        <w:jc w:val="both"/>
        <w:rPr>
          <w:rFonts w:ascii="Arial" w:hAnsi="Arial" w:cs="Arial"/>
          <w:sz w:val="18"/>
          <w:szCs w:val="18"/>
        </w:rPr>
      </w:pPr>
      <w:r w:rsidRPr="009A7385">
        <w:rPr>
          <w:rFonts w:ascii="Arial" w:hAnsi="Arial" w:cs="Arial"/>
          <w:b/>
          <w:i/>
          <w:sz w:val="17"/>
          <w:szCs w:val="17"/>
        </w:rPr>
        <w:t>Elaborado por:</w:t>
      </w:r>
      <w:r w:rsidRPr="009A7385">
        <w:rPr>
          <w:rFonts w:ascii="Arial" w:hAnsi="Arial" w:cs="Arial"/>
          <w:sz w:val="17"/>
          <w:szCs w:val="17"/>
        </w:rPr>
        <w:t xml:space="preserve"> Katherine Loor Valeriano</w:t>
      </w:r>
    </w:p>
    <w:p w:rsidR="0006543C" w:rsidRPr="00254464" w:rsidRDefault="0006543C" w:rsidP="0006543C">
      <w:pPr>
        <w:pStyle w:val="Prrafodelista"/>
        <w:spacing w:line="480" w:lineRule="auto"/>
        <w:ind w:left="567"/>
        <w:jc w:val="both"/>
        <w:rPr>
          <w:rFonts w:ascii="Arial" w:hAnsi="Arial" w:cs="Arial"/>
        </w:rPr>
      </w:pPr>
    </w:p>
    <w:p w:rsidR="0006543C" w:rsidRPr="00254464" w:rsidRDefault="0006543C" w:rsidP="009A7385">
      <w:pPr>
        <w:pStyle w:val="51"/>
        <w:ind w:left="851" w:hanging="567"/>
      </w:pPr>
      <w:bookmarkStart w:id="768" w:name="_Toc338407802"/>
      <w:bookmarkStart w:id="769" w:name="_Toc338412805"/>
      <w:bookmarkStart w:id="770" w:name="_Toc341040730"/>
      <w:r>
        <w:t>Motivo principal del viaje</w:t>
      </w:r>
      <w:bookmarkEnd w:id="768"/>
      <w:bookmarkEnd w:id="769"/>
      <w:r w:rsidR="009A7385">
        <w:t xml:space="preserve"> de los emigrantes</w:t>
      </w:r>
      <w:bookmarkEnd w:id="770"/>
    </w:p>
    <w:p w:rsidR="0006543C" w:rsidRPr="00287F2C" w:rsidRDefault="0006543C" w:rsidP="00287F2C">
      <w:pPr>
        <w:spacing w:line="480" w:lineRule="auto"/>
        <w:ind w:left="851"/>
        <w:jc w:val="both"/>
        <w:rPr>
          <w:rFonts w:ascii="Arial" w:hAnsi="Arial" w:cs="Arial"/>
        </w:rPr>
      </w:pPr>
      <w:bookmarkStart w:id="771" w:name="_Toc339853119"/>
      <w:bookmarkStart w:id="772" w:name="_Toc340231889"/>
      <w:r w:rsidRPr="00287F2C">
        <w:rPr>
          <w:rFonts w:ascii="Arial" w:hAnsi="Arial" w:cs="Arial"/>
        </w:rPr>
        <w:t xml:space="preserve">De las 280407 personas que </w:t>
      </w:r>
      <w:r w:rsidR="009A7385" w:rsidRPr="00287F2C">
        <w:rPr>
          <w:rFonts w:ascii="Arial" w:hAnsi="Arial" w:cs="Arial"/>
        </w:rPr>
        <w:t xml:space="preserve">según el Censo 2010 </w:t>
      </w:r>
      <w:r w:rsidRPr="00287F2C">
        <w:rPr>
          <w:rFonts w:ascii="Arial" w:hAnsi="Arial" w:cs="Arial"/>
        </w:rPr>
        <w:t xml:space="preserve">salieron del Ecuador entre noviembre de 2001 y el mismo mes en 2010, se tiene que más del 50% emigraron por motivos de trabajo los cuales en términos absolutos equivalen a 181545 emigrantes, el 18.04% en cambio viajaron para reunirse con sus familiares que viven en el exterior, el 11.66% salieron del país para estudiar; y, el 5.55% respondieron salir del país por otros motivos. </w:t>
      </w:r>
      <w:r w:rsidRPr="00287F2C">
        <w:rPr>
          <w:rFonts w:ascii="Arial" w:hAnsi="Arial" w:cs="Arial"/>
          <w:i/>
        </w:rPr>
        <w:t>Véase Figura 5.12</w:t>
      </w:r>
      <w:r w:rsidRPr="00287F2C">
        <w:rPr>
          <w:rFonts w:ascii="Arial" w:hAnsi="Arial" w:cs="Arial"/>
        </w:rPr>
        <w:t>.</w:t>
      </w:r>
      <w:bookmarkEnd w:id="771"/>
      <w:bookmarkEnd w:id="772"/>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9A7385">
        <w:trPr>
          <w:trHeight w:val="2041"/>
          <w:jc w:val="right"/>
        </w:trPr>
        <w:tc>
          <w:tcPr>
            <w:tcW w:w="7497"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73" w:name="_Toc341044092"/>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12</w:t>
            </w:r>
            <w:bookmarkEnd w:id="773"/>
            <w:r w:rsidR="00990535" w:rsidRPr="0006543C">
              <w:rPr>
                <w:rFonts w:ascii="Arial" w:hAnsi="Arial" w:cs="Arial"/>
                <w:bCs w:val="0"/>
                <w:color w:val="auto"/>
                <w:sz w:val="16"/>
                <w:szCs w:val="16"/>
              </w:rPr>
              <w:fldChar w:fldCharType="end"/>
            </w:r>
          </w:p>
          <w:p w:rsidR="0006543C" w:rsidRDefault="009A7385" w:rsidP="0006543C">
            <w:pPr>
              <w:rPr>
                <w:rFonts w:ascii="Arial" w:hAnsi="Arial" w:cs="Arial"/>
                <w:sz w:val="18"/>
                <w:szCs w:val="18"/>
              </w:rPr>
            </w:pPr>
            <w:r>
              <w:rPr>
                <w:rFonts w:ascii="Arial" w:hAnsi="Arial" w:cs="Arial"/>
                <w:b/>
                <w:i/>
                <w:sz w:val="16"/>
                <w:szCs w:val="16"/>
              </w:rPr>
              <w:t xml:space="preserve">Ecuador 2010: </w:t>
            </w:r>
            <w:r w:rsidR="0006543C">
              <w:rPr>
                <w:rFonts w:ascii="Arial" w:hAnsi="Arial" w:cs="Arial"/>
                <w:i/>
                <w:sz w:val="16"/>
                <w:szCs w:val="16"/>
              </w:rPr>
              <w:t>Frecuencia Relativa del motivo principal del viaje</w:t>
            </w:r>
            <w:r>
              <w:rPr>
                <w:rFonts w:ascii="Arial" w:hAnsi="Arial" w:cs="Arial"/>
                <w:i/>
                <w:sz w:val="16"/>
                <w:szCs w:val="16"/>
              </w:rPr>
              <w:t xml:space="preserve"> de los emigrantes</w:t>
            </w:r>
          </w:p>
          <w:p w:rsidR="0006543C" w:rsidRPr="00287B5F" w:rsidRDefault="0006543C" w:rsidP="0006543C">
            <w:pPr>
              <w:rPr>
                <w:rFonts w:ascii="Arial" w:hAnsi="Arial" w:cs="Arial"/>
                <w:sz w:val="10"/>
                <w:szCs w:val="10"/>
              </w:rPr>
            </w:pPr>
          </w:p>
          <w:p w:rsidR="0006543C" w:rsidRPr="00840530" w:rsidRDefault="0006543C" w:rsidP="0006543C">
            <w:pPr>
              <w:rPr>
                <w:rFonts w:ascii="Arial" w:hAnsi="Arial" w:cs="Arial"/>
                <w:sz w:val="24"/>
                <w:szCs w:val="24"/>
              </w:rPr>
            </w:pPr>
            <w:r>
              <w:rPr>
                <w:noProof/>
                <w:lang w:eastAsia="es-EC"/>
              </w:rPr>
              <w:drawing>
                <wp:inline distT="0" distB="0" distL="0" distR="0" wp14:anchorId="3F0B5713" wp14:editId="3118437A">
                  <wp:extent cx="3992400" cy="1584000"/>
                  <wp:effectExtent l="0" t="0" r="0" b="0"/>
                  <wp:docPr id="378" name="Gráfico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tc>
      </w:tr>
    </w:tbl>
    <w:p w:rsidR="0006543C" w:rsidRPr="009A7385" w:rsidRDefault="0006543C" w:rsidP="009A7385">
      <w:pPr>
        <w:pStyle w:val="Prrafodelista"/>
        <w:spacing w:line="276" w:lineRule="auto"/>
        <w:ind w:left="851"/>
        <w:jc w:val="both"/>
        <w:rPr>
          <w:rFonts w:ascii="Arial" w:hAnsi="Arial" w:cs="Arial"/>
          <w:sz w:val="17"/>
          <w:szCs w:val="17"/>
        </w:rPr>
      </w:pPr>
    </w:p>
    <w:p w:rsidR="0006543C" w:rsidRPr="009A7385" w:rsidRDefault="0006543C" w:rsidP="009A7385">
      <w:pPr>
        <w:pStyle w:val="Prrafodelista"/>
        <w:spacing w:line="276" w:lineRule="auto"/>
        <w:ind w:left="851"/>
        <w:jc w:val="both"/>
        <w:rPr>
          <w:rFonts w:ascii="Arial" w:hAnsi="Arial" w:cs="Arial"/>
          <w:sz w:val="17"/>
          <w:szCs w:val="17"/>
        </w:rPr>
      </w:pPr>
      <w:r w:rsidRPr="009A7385">
        <w:rPr>
          <w:rFonts w:ascii="Arial" w:hAnsi="Arial" w:cs="Arial"/>
          <w:b/>
          <w:i/>
          <w:sz w:val="17"/>
          <w:szCs w:val="17"/>
        </w:rPr>
        <w:t>Fuente:</w:t>
      </w:r>
      <w:r w:rsidRPr="009A7385">
        <w:rPr>
          <w:rFonts w:ascii="Arial" w:hAnsi="Arial" w:cs="Arial"/>
          <w:sz w:val="17"/>
          <w:szCs w:val="17"/>
        </w:rPr>
        <w:t xml:space="preserve"> </w:t>
      </w:r>
      <w:r w:rsidRPr="009A7385">
        <w:rPr>
          <w:rFonts w:ascii="Arial" w:hAnsi="Arial" w:cs="Arial"/>
          <w:b/>
          <w:sz w:val="17"/>
          <w:szCs w:val="17"/>
        </w:rPr>
        <w:t xml:space="preserve">INEC </w:t>
      </w:r>
      <w:r w:rsidRPr="009A7385">
        <w:rPr>
          <w:rFonts w:ascii="Arial" w:hAnsi="Arial" w:cs="Arial"/>
          <w:sz w:val="17"/>
          <w:szCs w:val="17"/>
        </w:rPr>
        <w:t>(2010), Base de Datos del VII Censo de Población y VI de Vivienda.</w:t>
      </w:r>
    </w:p>
    <w:p w:rsidR="0006543C" w:rsidRPr="009A7385" w:rsidRDefault="0006543C" w:rsidP="009A7385">
      <w:pPr>
        <w:pStyle w:val="Prrafodelista"/>
        <w:spacing w:line="276" w:lineRule="auto"/>
        <w:ind w:left="851"/>
        <w:jc w:val="both"/>
        <w:rPr>
          <w:rFonts w:ascii="Arial" w:hAnsi="Arial" w:cs="Arial"/>
          <w:sz w:val="17"/>
          <w:szCs w:val="17"/>
        </w:rPr>
      </w:pPr>
      <w:r w:rsidRPr="009A7385">
        <w:rPr>
          <w:rFonts w:ascii="Arial" w:hAnsi="Arial" w:cs="Arial"/>
          <w:b/>
          <w:i/>
          <w:sz w:val="17"/>
          <w:szCs w:val="17"/>
        </w:rPr>
        <w:t>Elaborado por:</w:t>
      </w:r>
      <w:r w:rsidRPr="009A7385">
        <w:rPr>
          <w:rFonts w:ascii="Arial" w:hAnsi="Arial" w:cs="Arial"/>
          <w:sz w:val="17"/>
          <w:szCs w:val="17"/>
        </w:rPr>
        <w:t xml:space="preserve"> Katherine Loor Valeriano</w:t>
      </w:r>
    </w:p>
    <w:p w:rsidR="0006543C" w:rsidRDefault="0006543C" w:rsidP="009A7385">
      <w:pPr>
        <w:spacing w:line="480" w:lineRule="auto"/>
        <w:ind w:left="851"/>
        <w:jc w:val="both"/>
        <w:rPr>
          <w:rFonts w:ascii="Arial" w:hAnsi="Arial" w:cs="Arial"/>
        </w:rPr>
      </w:pPr>
    </w:p>
    <w:p w:rsidR="0006543C" w:rsidRPr="00507021" w:rsidRDefault="0006543C" w:rsidP="009A7385">
      <w:pPr>
        <w:spacing w:line="480" w:lineRule="auto"/>
        <w:ind w:left="851"/>
        <w:jc w:val="both"/>
        <w:rPr>
          <w:rFonts w:ascii="Arial" w:hAnsi="Arial" w:cs="Arial"/>
          <w:i/>
        </w:rPr>
      </w:pPr>
      <w:r>
        <w:rPr>
          <w:rFonts w:ascii="Arial" w:hAnsi="Arial" w:cs="Arial"/>
        </w:rPr>
        <w:t xml:space="preserve">En la </w:t>
      </w:r>
      <w:r>
        <w:rPr>
          <w:rFonts w:ascii="Arial" w:hAnsi="Arial" w:cs="Arial"/>
          <w:i/>
        </w:rPr>
        <w:t>Figura 5.13</w:t>
      </w:r>
      <w:r>
        <w:rPr>
          <w:rFonts w:ascii="Arial" w:hAnsi="Arial" w:cs="Arial"/>
        </w:rPr>
        <w:t xml:space="preserve">, se presenta la tasa de edad al salir del país de los emigrantes por género y motivo principal del viaje; en donde, se tiene que de los hombres que emigraron por trabajar la mayor tasa se </w:t>
      </w:r>
      <w:r w:rsidR="00AE13C0">
        <w:rPr>
          <w:rFonts w:ascii="Arial" w:hAnsi="Arial" w:cs="Arial"/>
        </w:rPr>
        <w:t>da</w:t>
      </w:r>
      <w:r>
        <w:rPr>
          <w:rFonts w:ascii="Arial" w:hAnsi="Arial" w:cs="Arial"/>
        </w:rPr>
        <w:t xml:space="preserve"> entre 20 y 25 años, de los que viajaron fuera del país para estudiar el máximo se presenta entre las edades de 15 a 20 años, mientras que quienes viajaron para reunirse con familiares la mayor tasa se </w:t>
      </w:r>
      <w:r w:rsidR="009A7385">
        <w:rPr>
          <w:rFonts w:ascii="Arial" w:hAnsi="Arial" w:cs="Arial"/>
        </w:rPr>
        <w:t>da</w:t>
      </w:r>
      <w:r>
        <w:rPr>
          <w:rFonts w:ascii="Arial" w:hAnsi="Arial" w:cs="Arial"/>
        </w:rPr>
        <w:t xml:space="preserve"> entre los 10 y 15 años. Además, de los hombres que emigraron para trabajar todos son mayores de 15 años, de quienes fueron a estudiar cuando salieron del país tenían edades comprendidas entre los 5 y 65 años.</w:t>
      </w:r>
      <w:r w:rsidR="009A7385">
        <w:rPr>
          <w:rFonts w:ascii="Arial" w:hAnsi="Arial" w:cs="Arial"/>
        </w:rPr>
        <w:t xml:space="preserve"> </w:t>
      </w:r>
      <w:r>
        <w:rPr>
          <w:rFonts w:ascii="Arial" w:hAnsi="Arial" w:cs="Arial"/>
        </w:rPr>
        <w:t xml:space="preserve">Para el caso de las mujeres que emigraron entre noviembre de 2001 y el mismo mes del 2010, se </w:t>
      </w:r>
      <w:r w:rsidR="00AE13C0">
        <w:rPr>
          <w:rFonts w:ascii="Arial" w:hAnsi="Arial" w:cs="Arial"/>
        </w:rPr>
        <w:t>obtuvo</w:t>
      </w:r>
      <w:r>
        <w:rPr>
          <w:rFonts w:ascii="Arial" w:hAnsi="Arial" w:cs="Arial"/>
        </w:rPr>
        <w:t xml:space="preserve"> que las que viajaron por motivos de trabajo la mayor tasa se presenta entre los 20 y 25 años, al igual que en los hombres; de las que se fueron a estudiar al exterior la mayor tasa ocurre entre los 15 y 20 años; y, de las mujeres que viajaron para reunirse con familiares la mayor tasa se presenta de 10 a 15 años; en los tres casos las tasas más altas se presentaron en los mismos grupos etarios tanto en mujeres como en hombres. Además, de las mujeres que emigraron para trabajar eran mayores de 15 años; y, de las que viajaron para estudiar tenían entre 5 y 65 años. </w:t>
      </w:r>
      <w:r w:rsidR="009A7385">
        <w:rPr>
          <w:rFonts w:ascii="Arial" w:hAnsi="Arial" w:cs="Arial"/>
          <w:i/>
        </w:rPr>
        <w:t>V</w:t>
      </w:r>
      <w:r>
        <w:rPr>
          <w:rFonts w:ascii="Arial" w:hAnsi="Arial" w:cs="Arial"/>
          <w:i/>
        </w:rPr>
        <w:t>éase Figura 5.13.</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9A7385">
        <w:trPr>
          <w:trHeight w:val="2041"/>
          <w:jc w:val="right"/>
        </w:trPr>
        <w:tc>
          <w:tcPr>
            <w:tcW w:w="7497" w:type="dxa"/>
          </w:tcPr>
          <w:p w:rsidR="0006543C" w:rsidRPr="00840530" w:rsidRDefault="0006543C" w:rsidP="0006543C">
            <w:pPr>
              <w:rPr>
                <w:rFonts w:ascii="Arial" w:hAnsi="Arial" w:cs="Arial"/>
                <w:sz w:val="16"/>
                <w:szCs w:val="16"/>
              </w:rPr>
            </w:pPr>
          </w:p>
          <w:p w:rsidR="0006543C" w:rsidRPr="0006543C" w:rsidRDefault="0006543C" w:rsidP="0006543C">
            <w:pPr>
              <w:pStyle w:val="Epgrafe"/>
              <w:rPr>
                <w:rFonts w:ascii="Arial" w:hAnsi="Arial" w:cs="Arial"/>
                <w:bCs w:val="0"/>
                <w:color w:val="auto"/>
                <w:sz w:val="16"/>
                <w:szCs w:val="16"/>
              </w:rPr>
            </w:pPr>
            <w:bookmarkStart w:id="774" w:name="_Toc341044093"/>
            <w:r>
              <w:rPr>
                <w:rFonts w:ascii="Arial" w:hAnsi="Arial" w:cs="Arial"/>
                <w:bCs w:val="0"/>
                <w:color w:val="auto"/>
                <w:sz w:val="16"/>
                <w:szCs w:val="16"/>
              </w:rPr>
              <w:t>Figura 5.</w:t>
            </w:r>
            <w:r w:rsidR="00990535" w:rsidRPr="0006543C">
              <w:rPr>
                <w:rFonts w:ascii="Arial" w:hAnsi="Arial" w:cs="Arial"/>
                <w:bCs w:val="0"/>
                <w:color w:val="auto"/>
                <w:sz w:val="16"/>
                <w:szCs w:val="16"/>
              </w:rPr>
              <w:fldChar w:fldCharType="begin"/>
            </w:r>
            <w:r w:rsidRPr="0006543C">
              <w:rPr>
                <w:rFonts w:ascii="Arial" w:hAnsi="Arial" w:cs="Arial"/>
                <w:bCs w:val="0"/>
                <w:color w:val="auto"/>
                <w:sz w:val="16"/>
                <w:szCs w:val="16"/>
              </w:rPr>
              <w:instrText xml:space="preserve"> SEQ Figura_5. \* ARABIC </w:instrText>
            </w:r>
            <w:r w:rsidR="00990535" w:rsidRPr="0006543C">
              <w:rPr>
                <w:rFonts w:ascii="Arial" w:hAnsi="Arial" w:cs="Arial"/>
                <w:bCs w:val="0"/>
                <w:color w:val="auto"/>
                <w:sz w:val="16"/>
                <w:szCs w:val="16"/>
              </w:rPr>
              <w:fldChar w:fldCharType="separate"/>
            </w:r>
            <w:r w:rsidR="00A242E0">
              <w:rPr>
                <w:rFonts w:ascii="Arial" w:hAnsi="Arial" w:cs="Arial"/>
                <w:bCs w:val="0"/>
                <w:noProof/>
                <w:color w:val="auto"/>
                <w:sz w:val="16"/>
                <w:szCs w:val="16"/>
              </w:rPr>
              <w:t>13</w:t>
            </w:r>
            <w:bookmarkEnd w:id="774"/>
            <w:r w:rsidR="00990535" w:rsidRPr="0006543C">
              <w:rPr>
                <w:rFonts w:ascii="Arial" w:hAnsi="Arial" w:cs="Arial"/>
                <w:bCs w:val="0"/>
                <w:color w:val="auto"/>
                <w:sz w:val="16"/>
                <w:szCs w:val="16"/>
              </w:rPr>
              <w:fldChar w:fldCharType="end"/>
            </w:r>
          </w:p>
          <w:p w:rsidR="009A7385" w:rsidRDefault="009A7385" w:rsidP="0006543C">
            <w:pPr>
              <w:rPr>
                <w:rFonts w:ascii="Arial" w:hAnsi="Arial" w:cs="Arial"/>
                <w:i/>
                <w:sz w:val="16"/>
                <w:szCs w:val="16"/>
              </w:rPr>
            </w:pPr>
            <w:r>
              <w:rPr>
                <w:rFonts w:ascii="Arial" w:hAnsi="Arial" w:cs="Arial"/>
                <w:b/>
                <w:i/>
                <w:sz w:val="16"/>
                <w:szCs w:val="16"/>
              </w:rPr>
              <w:t xml:space="preserve">Ecuador 2010: </w:t>
            </w:r>
            <w:r w:rsidR="0006543C">
              <w:rPr>
                <w:rFonts w:ascii="Arial" w:hAnsi="Arial" w:cs="Arial"/>
                <w:i/>
                <w:sz w:val="16"/>
                <w:szCs w:val="16"/>
              </w:rPr>
              <w:t xml:space="preserve">Tasa de edad al salir del país por cada 1000 emigrantes por género </w:t>
            </w:r>
          </w:p>
          <w:p w:rsidR="0006543C" w:rsidRDefault="0006543C" w:rsidP="0006543C">
            <w:pPr>
              <w:rPr>
                <w:rFonts w:ascii="Arial" w:hAnsi="Arial" w:cs="Arial"/>
                <w:sz w:val="18"/>
                <w:szCs w:val="18"/>
              </w:rPr>
            </w:pPr>
            <w:r>
              <w:rPr>
                <w:rFonts w:ascii="Arial" w:hAnsi="Arial" w:cs="Arial"/>
                <w:i/>
                <w:sz w:val="16"/>
                <w:szCs w:val="16"/>
              </w:rPr>
              <w:t>y motivo principal del viaje</w:t>
            </w:r>
          </w:p>
          <w:p w:rsidR="0006543C" w:rsidRDefault="00436907" w:rsidP="0006543C">
            <w:pPr>
              <w:rPr>
                <w:rFonts w:ascii="Arial" w:hAnsi="Arial" w:cs="Arial"/>
                <w:sz w:val="24"/>
                <w:szCs w:val="24"/>
              </w:rPr>
            </w:pPr>
            <w:r>
              <w:rPr>
                <w:rFonts w:ascii="Arial" w:hAnsi="Arial" w:cs="Arial"/>
                <w:noProof/>
                <w:sz w:val="16"/>
                <w:szCs w:val="16"/>
                <w:lang w:eastAsia="es-EC"/>
              </w:rPr>
              <w:pict>
                <v:shape id="_x0000_s1839" type="#_x0000_t202" style="position:absolute;left:0;text-align:left;margin-left:183pt;margin-top:70.7pt;width:106.85pt;height:15.8pt;z-index:2517191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39;mso-fit-shape-to-text:t">
                    <w:txbxContent>
                      <w:p w:rsidR="006933DF" w:rsidRPr="009A7385" w:rsidRDefault="006933DF" w:rsidP="0006543C">
                        <w:pPr>
                          <w:rPr>
                            <w:rFonts w:ascii="Arial" w:hAnsi="Arial" w:cs="Arial"/>
                            <w:color w:val="00B050"/>
                            <w:sz w:val="15"/>
                            <w:szCs w:val="15"/>
                          </w:rPr>
                        </w:pPr>
                        <w:r w:rsidRPr="009A7385">
                          <w:rPr>
                            <w:rFonts w:ascii="Arial" w:hAnsi="Arial" w:cs="Arial"/>
                            <w:color w:val="00B050"/>
                            <w:sz w:val="15"/>
                            <w:szCs w:val="15"/>
                          </w:rPr>
                          <w:t>Otro</w:t>
                        </w:r>
                      </w:p>
                    </w:txbxContent>
                  </v:textbox>
                </v:shape>
              </w:pict>
            </w:r>
            <w:r>
              <w:rPr>
                <w:rFonts w:ascii="Arial" w:hAnsi="Arial" w:cs="Arial"/>
                <w:noProof/>
                <w:sz w:val="16"/>
                <w:szCs w:val="16"/>
                <w:lang w:eastAsia="es-EC"/>
              </w:rPr>
              <w:pict>
                <v:shape id="_x0000_s2373" type="#_x0000_t32" style="position:absolute;left:0;text-align:left;margin-left:226.8pt;margin-top:81.95pt;width:9.75pt;height:13.5pt;flip:x;z-index:252048896" o:connectortype="straight" strokecolor="#00b050">
                  <v:stroke endarrow="block"/>
                </v:shape>
              </w:pict>
            </w:r>
            <w:r>
              <w:rPr>
                <w:rFonts w:ascii="Arial" w:hAnsi="Arial" w:cs="Arial"/>
                <w:noProof/>
                <w:sz w:val="16"/>
                <w:szCs w:val="16"/>
                <w:lang w:eastAsia="es-EC"/>
              </w:rPr>
              <w:pict>
                <v:shape id="_x0000_s1840" type="#_x0000_t202" style="position:absolute;left:0;text-align:left;margin-left:25.25pt;margin-top:33.2pt;width:106.85pt;height:24.45pt;z-index:2517201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40;mso-fit-shape-to-text:t">
                    <w:txbxContent>
                      <w:p w:rsidR="006933DF"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 xml:space="preserve">Unión </w:t>
                        </w:r>
                      </w:p>
                      <w:p w:rsidR="006933DF" w:rsidRPr="00623DB4"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Familiar</w:t>
                        </w:r>
                      </w:p>
                    </w:txbxContent>
                  </v:textbox>
                </v:shape>
              </w:pict>
            </w:r>
            <w:r>
              <w:rPr>
                <w:rFonts w:ascii="Arial" w:hAnsi="Arial" w:cs="Arial"/>
                <w:noProof/>
                <w:sz w:val="16"/>
                <w:szCs w:val="16"/>
                <w:lang w:eastAsia="es-EC"/>
              </w:rPr>
              <w:pict>
                <v:shape id="_x0000_s2372" type="#_x0000_t32" style="position:absolute;left:0;text-align:left;margin-left:78.3pt;margin-top:53.45pt;width:12pt;height:15.75pt;z-index:252047872" o:connectortype="straight" strokecolor="#e36c0a [2409]">
                  <v:stroke endarrow="block"/>
                </v:shape>
              </w:pict>
            </w:r>
            <w:r>
              <w:rPr>
                <w:rFonts w:ascii="Arial" w:hAnsi="Arial" w:cs="Arial"/>
                <w:noProof/>
                <w:sz w:val="16"/>
                <w:szCs w:val="16"/>
                <w:lang w:eastAsia="es-EC"/>
              </w:rPr>
              <w:pict>
                <v:shape id="_x0000_s1838" type="#_x0000_t202" style="position:absolute;left:0;text-align:left;margin-left:94.2pt;margin-top:16.25pt;width:106.85pt;height:15.8pt;z-index:2517181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D60093"/>
                            <w:sz w:val="15"/>
                            <w:szCs w:val="15"/>
                          </w:rPr>
                        </w:pPr>
                        <w:r>
                          <w:rPr>
                            <w:rFonts w:ascii="Arial" w:hAnsi="Arial" w:cs="Arial"/>
                            <w:color w:val="D60093"/>
                            <w:sz w:val="15"/>
                            <w:szCs w:val="15"/>
                          </w:rPr>
                          <w:t>Estudios</w:t>
                        </w:r>
                      </w:p>
                    </w:txbxContent>
                  </v:textbox>
                </v:shape>
              </w:pict>
            </w:r>
            <w:r>
              <w:rPr>
                <w:rFonts w:ascii="Arial" w:hAnsi="Arial" w:cs="Arial"/>
                <w:noProof/>
                <w:sz w:val="16"/>
                <w:szCs w:val="16"/>
                <w:lang w:eastAsia="es-EC"/>
              </w:rPr>
              <w:pict>
                <v:shape id="_x0000_s2369" type="#_x0000_t32" style="position:absolute;left:0;text-align:left;margin-left:126.3pt;margin-top:28.3pt;width:17.05pt;height:13.15pt;flip:x;z-index:252044800" o:connectortype="straight" strokecolor="#d60093">
                  <v:stroke endarrow="block"/>
                </v:shape>
              </w:pict>
            </w:r>
            <w:r>
              <w:rPr>
                <w:rFonts w:ascii="Arial" w:hAnsi="Arial" w:cs="Arial"/>
                <w:noProof/>
                <w:sz w:val="16"/>
                <w:szCs w:val="16"/>
                <w:lang w:eastAsia="es-EC"/>
              </w:rPr>
              <w:pict>
                <v:shape id="_x0000_s1837" type="#_x0000_t202" style="position:absolute;left:0;text-align:left;margin-left:135.1pt;margin-top:46.2pt;width:106.85pt;height:15.8pt;z-index:2517171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70C0"/>
                            <w:sz w:val="15"/>
                            <w:szCs w:val="15"/>
                          </w:rPr>
                        </w:pPr>
                        <w:r>
                          <w:rPr>
                            <w:rFonts w:ascii="Arial" w:hAnsi="Arial" w:cs="Arial"/>
                            <w:color w:val="0070C0"/>
                            <w:sz w:val="15"/>
                            <w:szCs w:val="15"/>
                          </w:rPr>
                          <w:t>Trabajo</w:t>
                        </w:r>
                      </w:p>
                    </w:txbxContent>
                  </v:textbox>
                </v:shape>
              </w:pict>
            </w:r>
            <w:r>
              <w:rPr>
                <w:rFonts w:ascii="Arial" w:hAnsi="Arial" w:cs="Arial"/>
                <w:noProof/>
                <w:lang w:eastAsia="es-EC"/>
              </w:rPr>
              <w:pict>
                <v:shape id="_x0000_s2367" type="#_x0000_t32" style="position:absolute;left:0;text-align:left;margin-left:172.05pt;margin-top:57.95pt;width:15.75pt;height:18pt;flip:x;z-index:252042752" o:connectortype="straight" strokecolor="#0070c0">
                  <v:stroke endarrow="block"/>
                </v:shape>
              </w:pict>
            </w:r>
            <w:r>
              <w:rPr>
                <w:rFonts w:ascii="Arial" w:hAnsi="Arial" w:cs="Arial"/>
                <w:noProof/>
                <w:lang w:eastAsia="es-EC"/>
              </w:rPr>
              <w:pict>
                <v:shape id="_x0000_s1849" type="#_x0000_t202" style="position:absolute;left:0;text-align:left;margin-left:243.25pt;margin-top:12.25pt;width:106.85pt;height:27.1pt;z-index:251729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E7578A" w:rsidRDefault="006933DF" w:rsidP="0006543C">
                        <w:pPr>
                          <w:rPr>
                            <w:rFonts w:ascii="Arial" w:hAnsi="Arial" w:cs="Arial"/>
                            <w:b/>
                            <w:sz w:val="15"/>
                            <w:szCs w:val="15"/>
                          </w:rPr>
                        </w:pPr>
                        <w:r>
                          <w:rPr>
                            <w:rFonts w:ascii="Arial" w:hAnsi="Arial" w:cs="Arial"/>
                            <w:b/>
                            <w:sz w:val="15"/>
                            <w:szCs w:val="15"/>
                          </w:rPr>
                          <w:t>Hombre</w:t>
                        </w:r>
                      </w:p>
                    </w:txbxContent>
                  </v:textbox>
                </v:shape>
              </w:pict>
            </w:r>
            <w:r w:rsidR="0006543C">
              <w:rPr>
                <w:noProof/>
                <w:lang w:eastAsia="es-EC"/>
              </w:rPr>
              <w:drawing>
                <wp:inline distT="0" distB="0" distL="0" distR="0" wp14:anchorId="70769955" wp14:editId="10E54CD7">
                  <wp:extent cx="4211955" cy="1800000"/>
                  <wp:effectExtent l="0" t="0" r="0" b="0"/>
                  <wp:docPr id="380" name="Gráfico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06543C" w:rsidRPr="00840530" w:rsidRDefault="00436907" w:rsidP="0006543C">
            <w:pPr>
              <w:rPr>
                <w:rFonts w:ascii="Arial" w:hAnsi="Arial" w:cs="Arial"/>
                <w:sz w:val="24"/>
                <w:szCs w:val="24"/>
              </w:rPr>
            </w:pPr>
            <w:r>
              <w:rPr>
                <w:rFonts w:ascii="Arial" w:hAnsi="Arial" w:cs="Arial"/>
                <w:noProof/>
                <w:lang w:eastAsia="es-EC"/>
              </w:rPr>
              <w:pict>
                <v:shape id="_x0000_s1850" type="#_x0000_t202" style="position:absolute;left:0;text-align:left;margin-left:243.5pt;margin-top:13.5pt;width:106.85pt;height:15.8pt;z-index:251730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E7578A" w:rsidRDefault="006933DF" w:rsidP="0006543C">
                        <w:pPr>
                          <w:rPr>
                            <w:rFonts w:ascii="Arial" w:hAnsi="Arial" w:cs="Arial"/>
                            <w:b/>
                            <w:sz w:val="15"/>
                            <w:szCs w:val="15"/>
                          </w:rPr>
                        </w:pPr>
                        <w:r>
                          <w:rPr>
                            <w:rFonts w:ascii="Arial" w:hAnsi="Arial" w:cs="Arial"/>
                            <w:b/>
                            <w:sz w:val="15"/>
                            <w:szCs w:val="15"/>
                          </w:rPr>
                          <w:t>Mujer</w:t>
                        </w:r>
                      </w:p>
                    </w:txbxContent>
                  </v:textbox>
                </v:shape>
              </w:pict>
            </w:r>
            <w:r>
              <w:rPr>
                <w:rFonts w:ascii="Arial" w:hAnsi="Arial" w:cs="Arial"/>
                <w:noProof/>
                <w:lang w:eastAsia="es-EC"/>
              </w:rPr>
              <w:pict>
                <v:shape id="_x0000_s1835" type="#_x0000_t202" style="position:absolute;left:0;text-align:left;margin-left:179.35pt;margin-top:72.1pt;width:106.85pt;height:15.8pt;z-index:2517150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35;mso-fit-shape-to-text:t">
                    <w:txbxContent>
                      <w:p w:rsidR="006933DF" w:rsidRPr="009A7385" w:rsidRDefault="006933DF" w:rsidP="0006543C">
                        <w:pPr>
                          <w:rPr>
                            <w:rFonts w:ascii="Arial" w:hAnsi="Arial" w:cs="Arial"/>
                            <w:color w:val="00B050"/>
                            <w:sz w:val="15"/>
                            <w:szCs w:val="15"/>
                          </w:rPr>
                        </w:pPr>
                        <w:r w:rsidRPr="009A7385">
                          <w:rPr>
                            <w:rFonts w:ascii="Arial" w:hAnsi="Arial" w:cs="Arial"/>
                            <w:color w:val="00B050"/>
                            <w:sz w:val="15"/>
                            <w:szCs w:val="15"/>
                          </w:rPr>
                          <w:t>Otro</w:t>
                        </w:r>
                      </w:p>
                    </w:txbxContent>
                  </v:textbox>
                </v:shape>
              </w:pict>
            </w:r>
            <w:r>
              <w:rPr>
                <w:rFonts w:ascii="Arial" w:hAnsi="Arial" w:cs="Arial"/>
                <w:noProof/>
                <w:lang w:eastAsia="es-EC"/>
              </w:rPr>
              <w:pict>
                <v:shape id="_x0000_s2374" type="#_x0000_t32" style="position:absolute;left:0;text-align:left;margin-left:222.3pt;margin-top:82.75pt;width:9.75pt;height:9.9pt;flip:x;z-index:252049920" o:connectortype="straight" strokecolor="#00b050">
                  <v:stroke endarrow="block"/>
                </v:shape>
              </w:pict>
            </w:r>
            <w:r>
              <w:rPr>
                <w:rFonts w:ascii="Arial" w:hAnsi="Arial" w:cs="Arial"/>
                <w:noProof/>
                <w:lang w:eastAsia="es-EC"/>
              </w:rPr>
              <w:pict>
                <v:shape id="_x0000_s2371" type="#_x0000_t32" style="position:absolute;left:0;text-align:left;margin-left:74.55pt;margin-top:69.1pt;width:10.15pt;height:9.05pt;z-index:252046848" o:connectortype="straight" strokecolor="#e36c0a [2409]">
                  <v:stroke endarrow="block"/>
                </v:shape>
              </w:pict>
            </w:r>
            <w:r>
              <w:rPr>
                <w:rFonts w:ascii="Arial" w:hAnsi="Arial" w:cs="Arial"/>
                <w:noProof/>
                <w:lang w:eastAsia="es-EC"/>
              </w:rPr>
              <w:pict>
                <v:shape id="_x0000_s1836" type="#_x0000_t202" style="position:absolute;left:0;text-align:left;margin-left:20.75pt;margin-top:49.55pt;width:106.85pt;height:24.45pt;z-index:2517160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36;mso-fit-shape-to-text:t">
                    <w:txbxContent>
                      <w:p w:rsidR="006933DF"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 xml:space="preserve">Unión </w:t>
                        </w:r>
                      </w:p>
                      <w:p w:rsidR="006933DF" w:rsidRPr="00623DB4"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Familiar</w:t>
                        </w:r>
                      </w:p>
                    </w:txbxContent>
                  </v:textbox>
                </v:shape>
              </w:pict>
            </w:r>
            <w:r>
              <w:rPr>
                <w:rFonts w:ascii="Arial" w:hAnsi="Arial" w:cs="Arial"/>
                <w:noProof/>
                <w:lang w:eastAsia="es-EC"/>
              </w:rPr>
              <w:pict>
                <v:shape id="_x0000_s1834" type="#_x0000_t202" style="position:absolute;left:0;text-align:left;margin-left:83.2pt;margin-top:15.35pt;width:106.85pt;height:15.8pt;z-index:2517140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D60093"/>
                            <w:sz w:val="15"/>
                            <w:szCs w:val="15"/>
                          </w:rPr>
                        </w:pPr>
                        <w:r>
                          <w:rPr>
                            <w:rFonts w:ascii="Arial" w:hAnsi="Arial" w:cs="Arial"/>
                            <w:color w:val="D60093"/>
                            <w:sz w:val="15"/>
                            <w:szCs w:val="15"/>
                          </w:rPr>
                          <w:t>Estudios</w:t>
                        </w:r>
                      </w:p>
                    </w:txbxContent>
                  </v:textbox>
                </v:shape>
              </w:pict>
            </w:r>
            <w:r>
              <w:rPr>
                <w:rFonts w:ascii="Arial" w:hAnsi="Arial" w:cs="Arial"/>
                <w:noProof/>
                <w:lang w:eastAsia="es-EC"/>
              </w:rPr>
              <w:pict>
                <v:shape id="_x0000_s2370" type="#_x0000_t32" style="position:absolute;left:0;text-align:left;margin-left:122.55pt;margin-top:26.65pt;width:12.8pt;height:9.35pt;flip:x;z-index:252045824" o:connectortype="straight" strokecolor="#d60093">
                  <v:stroke endarrow="block"/>
                </v:shape>
              </w:pict>
            </w:r>
            <w:r>
              <w:rPr>
                <w:rFonts w:ascii="Arial" w:hAnsi="Arial" w:cs="Arial"/>
                <w:noProof/>
                <w:lang w:eastAsia="es-EC"/>
              </w:rPr>
              <w:pict>
                <v:shape id="_x0000_s1833" type="#_x0000_t202" style="position:absolute;left:0;text-align:left;margin-left:140.35pt;margin-top:52.55pt;width:106.85pt;height:15.8pt;z-index:2517130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70C0"/>
                            <w:sz w:val="15"/>
                            <w:szCs w:val="15"/>
                          </w:rPr>
                        </w:pPr>
                        <w:r>
                          <w:rPr>
                            <w:rFonts w:ascii="Arial" w:hAnsi="Arial" w:cs="Arial"/>
                            <w:color w:val="0070C0"/>
                            <w:sz w:val="15"/>
                            <w:szCs w:val="15"/>
                          </w:rPr>
                          <w:t>Trabajo</w:t>
                        </w:r>
                      </w:p>
                    </w:txbxContent>
                  </v:textbox>
                </v:shape>
              </w:pict>
            </w:r>
            <w:r>
              <w:rPr>
                <w:rFonts w:ascii="Arial" w:hAnsi="Arial" w:cs="Arial"/>
                <w:noProof/>
                <w:lang w:eastAsia="es-EC"/>
              </w:rPr>
              <w:pict>
                <v:shape id="_x0000_s2368" type="#_x0000_t32" style="position:absolute;left:0;text-align:left;margin-left:177.85pt;margin-top:64.15pt;width:14.45pt;height:13.25pt;flip:x;z-index:252043776" o:connectortype="straight" strokecolor="#0070c0">
                  <v:stroke endarrow="block"/>
                </v:shape>
              </w:pict>
            </w:r>
            <w:r w:rsidR="0006543C">
              <w:rPr>
                <w:noProof/>
                <w:lang w:eastAsia="es-EC"/>
              </w:rPr>
              <w:drawing>
                <wp:inline distT="0" distB="0" distL="0" distR="0" wp14:anchorId="47C18A6E" wp14:editId="66E86BE2">
                  <wp:extent cx="4211955" cy="1800000"/>
                  <wp:effectExtent l="0" t="0" r="0" b="0"/>
                  <wp:docPr id="381" name="Gráfico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c>
      </w:tr>
    </w:tbl>
    <w:p w:rsidR="0006543C" w:rsidRPr="009A7385" w:rsidRDefault="0006543C" w:rsidP="009A7385">
      <w:pPr>
        <w:pStyle w:val="Prrafodelista"/>
        <w:spacing w:line="276" w:lineRule="auto"/>
        <w:ind w:left="851"/>
        <w:jc w:val="both"/>
        <w:rPr>
          <w:rFonts w:ascii="Arial" w:hAnsi="Arial" w:cs="Arial"/>
          <w:sz w:val="17"/>
          <w:szCs w:val="17"/>
        </w:rPr>
      </w:pPr>
    </w:p>
    <w:p w:rsidR="0006543C" w:rsidRPr="009A7385" w:rsidRDefault="0006543C" w:rsidP="009A7385">
      <w:pPr>
        <w:pStyle w:val="Prrafodelista"/>
        <w:spacing w:line="276" w:lineRule="auto"/>
        <w:ind w:left="851"/>
        <w:jc w:val="both"/>
        <w:rPr>
          <w:rFonts w:ascii="Arial" w:hAnsi="Arial" w:cs="Arial"/>
          <w:sz w:val="17"/>
          <w:szCs w:val="17"/>
        </w:rPr>
      </w:pPr>
      <w:r w:rsidRPr="009A7385">
        <w:rPr>
          <w:rFonts w:ascii="Arial" w:hAnsi="Arial" w:cs="Arial"/>
          <w:b/>
          <w:i/>
          <w:sz w:val="17"/>
          <w:szCs w:val="17"/>
        </w:rPr>
        <w:t>Fuente:</w:t>
      </w:r>
      <w:r w:rsidRPr="009A7385">
        <w:rPr>
          <w:rFonts w:ascii="Arial" w:hAnsi="Arial" w:cs="Arial"/>
          <w:sz w:val="17"/>
          <w:szCs w:val="17"/>
        </w:rPr>
        <w:t xml:space="preserve"> </w:t>
      </w:r>
      <w:r w:rsidRPr="009A7385">
        <w:rPr>
          <w:rFonts w:ascii="Arial" w:hAnsi="Arial" w:cs="Arial"/>
          <w:b/>
          <w:sz w:val="17"/>
          <w:szCs w:val="17"/>
        </w:rPr>
        <w:t xml:space="preserve">INEC </w:t>
      </w:r>
      <w:r w:rsidRPr="009A7385">
        <w:rPr>
          <w:rFonts w:ascii="Arial" w:hAnsi="Arial" w:cs="Arial"/>
          <w:sz w:val="17"/>
          <w:szCs w:val="17"/>
        </w:rPr>
        <w:t>(2010), Base de Datos del VII Censo de Población y VI de Vivienda.</w:t>
      </w:r>
    </w:p>
    <w:p w:rsidR="0006543C" w:rsidRPr="009A7385" w:rsidRDefault="0006543C" w:rsidP="009A7385">
      <w:pPr>
        <w:pStyle w:val="Prrafodelista"/>
        <w:spacing w:line="276" w:lineRule="auto"/>
        <w:ind w:left="851"/>
        <w:jc w:val="both"/>
        <w:rPr>
          <w:rFonts w:ascii="Arial" w:hAnsi="Arial" w:cs="Arial"/>
          <w:sz w:val="17"/>
          <w:szCs w:val="17"/>
        </w:rPr>
      </w:pPr>
      <w:r w:rsidRPr="009A7385">
        <w:rPr>
          <w:rFonts w:ascii="Arial" w:hAnsi="Arial" w:cs="Arial"/>
          <w:b/>
          <w:i/>
          <w:sz w:val="17"/>
          <w:szCs w:val="17"/>
        </w:rPr>
        <w:t>Elaborado por:</w:t>
      </w:r>
      <w:r w:rsidRPr="009A7385">
        <w:rPr>
          <w:rFonts w:ascii="Arial" w:hAnsi="Arial" w:cs="Arial"/>
          <w:sz w:val="17"/>
          <w:szCs w:val="17"/>
        </w:rPr>
        <w:t xml:space="preserve"> Katherine Loor Valeriano</w:t>
      </w:r>
    </w:p>
    <w:p w:rsidR="0006543C" w:rsidRDefault="0006543C" w:rsidP="0006543C">
      <w:pPr>
        <w:spacing w:line="480" w:lineRule="auto"/>
        <w:ind w:left="567"/>
        <w:jc w:val="both"/>
        <w:rPr>
          <w:rFonts w:ascii="Arial" w:hAnsi="Arial" w:cs="Arial"/>
        </w:rPr>
      </w:pPr>
    </w:p>
    <w:p w:rsidR="0006543C" w:rsidRDefault="009A7385" w:rsidP="009A7385">
      <w:pPr>
        <w:spacing w:line="480" w:lineRule="auto"/>
        <w:ind w:left="851"/>
        <w:jc w:val="both"/>
        <w:rPr>
          <w:rFonts w:ascii="Arial" w:hAnsi="Arial" w:cs="Arial"/>
        </w:rPr>
      </w:pPr>
      <w:r>
        <w:rPr>
          <w:rFonts w:ascii="Arial" w:hAnsi="Arial" w:cs="Arial"/>
        </w:rPr>
        <w:t>E</w:t>
      </w:r>
      <w:r w:rsidR="0006543C">
        <w:rPr>
          <w:rFonts w:ascii="Arial" w:hAnsi="Arial" w:cs="Arial"/>
        </w:rPr>
        <w:t xml:space="preserve">n la </w:t>
      </w:r>
      <w:r w:rsidR="0006543C">
        <w:rPr>
          <w:rFonts w:ascii="Arial" w:hAnsi="Arial" w:cs="Arial"/>
          <w:i/>
        </w:rPr>
        <w:t>Figura 5.14</w:t>
      </w:r>
      <w:r w:rsidR="0006543C">
        <w:rPr>
          <w:rFonts w:ascii="Arial" w:hAnsi="Arial" w:cs="Arial"/>
        </w:rPr>
        <w:t xml:space="preserve">, se presenta la tasa de motivo principal del viaje por género y grupo de edad al salir del país; en donde, para el caso de los hombres se tiene que los que emigraron por motivos de trabajo la tasa se incrementa desde los 15 hasta los 40 años, a partir de esta edad la tasa de los que fueron a trabajar disminuye levemente hasta los 65 años, tomando desde esta edad hasta los 90 años valores inferiores a 500, pero que en los dos últimos grupos etarios vuelve a incrementarse; mientras que, quienes viajaron por estudios la tasa se incrementa desde los 5 hasta los 15 años, y desde esta edad la función continua decreciendo siendo igual a cero el valor de la tasa a partir de los 65 años; y, de los que viajaron por unión familiar se tiene que empieza a disminuir el valor de la tasa a partir de los 5 años hasta los 45 años, y </w:t>
      </w:r>
      <w:r>
        <w:rPr>
          <w:rFonts w:ascii="Arial" w:hAnsi="Arial" w:cs="Arial"/>
        </w:rPr>
        <w:t>de allí en adelante</w:t>
      </w:r>
      <w:r w:rsidR="0006543C">
        <w:rPr>
          <w:rFonts w:ascii="Arial" w:hAnsi="Arial" w:cs="Arial"/>
        </w:rPr>
        <w:t xml:space="preserve"> la tasa de unión familiar vuelve a crecer ligeramente. Nótese además, que de los hombres que emigraron y eran menores de 1 año su motivo principal del viaje era reunirse con sus familiares que residen en el exterior. </w:t>
      </w:r>
    </w:p>
    <w:p w:rsidR="0006543C" w:rsidRDefault="0006543C" w:rsidP="009A7385">
      <w:pPr>
        <w:spacing w:line="480" w:lineRule="auto"/>
        <w:ind w:left="851"/>
        <w:jc w:val="both"/>
        <w:rPr>
          <w:rFonts w:ascii="Arial" w:hAnsi="Arial" w:cs="Arial"/>
        </w:rPr>
      </w:pPr>
    </w:p>
    <w:p w:rsidR="0006543C" w:rsidRPr="004420D4" w:rsidRDefault="009A7385" w:rsidP="009A7385">
      <w:pPr>
        <w:spacing w:line="480" w:lineRule="auto"/>
        <w:ind w:left="851"/>
        <w:jc w:val="both"/>
        <w:rPr>
          <w:rFonts w:ascii="Arial" w:hAnsi="Arial" w:cs="Arial"/>
          <w:i/>
        </w:rPr>
      </w:pPr>
      <w:r>
        <w:rPr>
          <w:rFonts w:ascii="Arial" w:hAnsi="Arial" w:cs="Arial"/>
        </w:rPr>
        <w:t>P</w:t>
      </w:r>
      <w:r w:rsidR="0006543C">
        <w:rPr>
          <w:rFonts w:ascii="Arial" w:hAnsi="Arial" w:cs="Arial"/>
        </w:rPr>
        <w:t xml:space="preserve">ara el caso de las mujeres, se </w:t>
      </w:r>
      <w:r w:rsidR="00B21B84">
        <w:rPr>
          <w:rFonts w:ascii="Arial" w:hAnsi="Arial" w:cs="Arial"/>
        </w:rPr>
        <w:t>observa</w:t>
      </w:r>
      <w:r w:rsidR="0006543C">
        <w:rPr>
          <w:rFonts w:ascii="Arial" w:hAnsi="Arial" w:cs="Arial"/>
        </w:rPr>
        <w:t xml:space="preserve"> que la tasa de las emigraron por trabajo empieza a aumentar desde los 15 hasta los 40 años, a partir de esta edad dicha tasa empieza a disminuir ligeramente, experimentando nuevamente crecimiento en los dos últimos grupos etarios</w:t>
      </w:r>
      <w:r w:rsidR="00B21B84">
        <w:rPr>
          <w:rFonts w:ascii="Arial" w:hAnsi="Arial" w:cs="Arial"/>
        </w:rPr>
        <w:t xml:space="preserve"> considerados</w:t>
      </w:r>
      <w:r w:rsidR="0006543C">
        <w:rPr>
          <w:rFonts w:ascii="Arial" w:hAnsi="Arial" w:cs="Arial"/>
        </w:rPr>
        <w:t xml:space="preserve">; las que emigraron por estudios, al igual que en el los hombres, la tasa de estudios aumenta desde los 5 hasta los 15 años y a partir de este grupo de edad disminuye llegando a tomar valores iguales a cero desde 65 años en adelante; y, de las mujeres que viajaron para reunirse con familiares, la tasa de unión familiar disminuye a partir de los 5 años hasta los 45 años, y desde esta edad en adelante se incrementa, experimentando nuevamente una disminución en los dos últimos grupos de edad. Nótese también, que por cada 1000 mujeres que emigraron y tenían entre 1 y 5 años 887.16 fueron al exterior para reunirse con familiares. Para más detalles </w:t>
      </w:r>
      <w:r w:rsidR="0006543C">
        <w:rPr>
          <w:rFonts w:ascii="Arial" w:hAnsi="Arial" w:cs="Arial"/>
          <w:i/>
        </w:rPr>
        <w:t>véase Figura 5.14.</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B21B84">
        <w:trPr>
          <w:trHeight w:val="2041"/>
          <w:jc w:val="right"/>
        </w:trPr>
        <w:tc>
          <w:tcPr>
            <w:tcW w:w="7497" w:type="dxa"/>
          </w:tcPr>
          <w:p w:rsidR="0006543C" w:rsidRPr="00840530" w:rsidRDefault="0006543C" w:rsidP="0006543C">
            <w:pPr>
              <w:rPr>
                <w:rFonts w:ascii="Arial" w:hAnsi="Arial" w:cs="Arial"/>
                <w:sz w:val="16"/>
                <w:szCs w:val="16"/>
              </w:rPr>
            </w:pPr>
          </w:p>
          <w:p w:rsidR="00E41CC4" w:rsidRPr="00E41CC4" w:rsidRDefault="00E41CC4" w:rsidP="00E41CC4">
            <w:pPr>
              <w:pStyle w:val="Epgrafe"/>
              <w:rPr>
                <w:rFonts w:ascii="Arial" w:hAnsi="Arial" w:cs="Arial"/>
                <w:bCs w:val="0"/>
                <w:color w:val="auto"/>
                <w:sz w:val="16"/>
                <w:szCs w:val="16"/>
              </w:rPr>
            </w:pPr>
            <w:bookmarkStart w:id="775" w:name="_Toc341044094"/>
            <w:r w:rsidRPr="00E41CC4">
              <w:rPr>
                <w:rFonts w:ascii="Arial" w:hAnsi="Arial" w:cs="Arial"/>
                <w:bCs w:val="0"/>
                <w:color w:val="auto"/>
                <w:sz w:val="16"/>
                <w:szCs w:val="16"/>
              </w:rPr>
              <w:t>Figura 5.</w:t>
            </w:r>
            <w:r w:rsidR="00990535" w:rsidRPr="00E41CC4">
              <w:rPr>
                <w:rFonts w:ascii="Arial" w:hAnsi="Arial" w:cs="Arial"/>
                <w:bCs w:val="0"/>
                <w:color w:val="auto"/>
                <w:sz w:val="16"/>
                <w:szCs w:val="16"/>
              </w:rPr>
              <w:fldChar w:fldCharType="begin"/>
            </w:r>
            <w:r w:rsidRPr="00E41CC4">
              <w:rPr>
                <w:rFonts w:ascii="Arial" w:hAnsi="Arial" w:cs="Arial"/>
                <w:bCs w:val="0"/>
                <w:color w:val="auto"/>
                <w:sz w:val="16"/>
                <w:szCs w:val="16"/>
              </w:rPr>
              <w:instrText xml:space="preserve"> SEQ Figura_5. \* ARABIC </w:instrText>
            </w:r>
            <w:r w:rsidR="00990535" w:rsidRPr="00E41CC4">
              <w:rPr>
                <w:rFonts w:ascii="Arial" w:hAnsi="Arial" w:cs="Arial"/>
                <w:bCs w:val="0"/>
                <w:color w:val="auto"/>
                <w:sz w:val="16"/>
                <w:szCs w:val="16"/>
              </w:rPr>
              <w:fldChar w:fldCharType="separate"/>
            </w:r>
            <w:r w:rsidR="00A242E0">
              <w:rPr>
                <w:rFonts w:ascii="Arial" w:hAnsi="Arial" w:cs="Arial"/>
                <w:bCs w:val="0"/>
                <w:noProof/>
                <w:color w:val="auto"/>
                <w:sz w:val="16"/>
                <w:szCs w:val="16"/>
              </w:rPr>
              <w:t>14</w:t>
            </w:r>
            <w:bookmarkEnd w:id="775"/>
            <w:r w:rsidR="00990535" w:rsidRPr="00E41CC4">
              <w:rPr>
                <w:rFonts w:ascii="Arial" w:hAnsi="Arial" w:cs="Arial"/>
                <w:bCs w:val="0"/>
                <w:color w:val="auto"/>
                <w:sz w:val="16"/>
                <w:szCs w:val="16"/>
              </w:rPr>
              <w:fldChar w:fldCharType="end"/>
            </w:r>
          </w:p>
          <w:p w:rsidR="00B21B84" w:rsidRDefault="00B21B84" w:rsidP="0006543C">
            <w:pPr>
              <w:rPr>
                <w:rFonts w:ascii="Arial" w:hAnsi="Arial" w:cs="Arial"/>
                <w:i/>
                <w:sz w:val="16"/>
                <w:szCs w:val="16"/>
              </w:rPr>
            </w:pPr>
            <w:r>
              <w:rPr>
                <w:rFonts w:ascii="Arial" w:hAnsi="Arial" w:cs="Arial"/>
                <w:b/>
                <w:i/>
                <w:sz w:val="16"/>
                <w:szCs w:val="16"/>
              </w:rPr>
              <w:t xml:space="preserve">Ecuador 2010: </w:t>
            </w:r>
            <w:r w:rsidR="0006543C">
              <w:rPr>
                <w:rFonts w:ascii="Arial" w:hAnsi="Arial" w:cs="Arial"/>
                <w:i/>
                <w:sz w:val="16"/>
                <w:szCs w:val="16"/>
              </w:rPr>
              <w:t>Tasa de motivo principal del viaje por cada 1000 emigrantes</w:t>
            </w:r>
          </w:p>
          <w:p w:rsidR="0006543C" w:rsidRDefault="0006543C" w:rsidP="0006543C">
            <w:pPr>
              <w:rPr>
                <w:rFonts w:ascii="Arial" w:hAnsi="Arial" w:cs="Arial"/>
                <w:sz w:val="18"/>
                <w:szCs w:val="18"/>
              </w:rPr>
            </w:pPr>
            <w:r>
              <w:rPr>
                <w:rFonts w:ascii="Arial" w:hAnsi="Arial" w:cs="Arial"/>
                <w:i/>
                <w:sz w:val="16"/>
                <w:szCs w:val="16"/>
              </w:rPr>
              <w:t xml:space="preserve"> por género y edad al salir del país</w:t>
            </w:r>
          </w:p>
          <w:p w:rsidR="0006543C" w:rsidRDefault="00436907" w:rsidP="0006543C">
            <w:pPr>
              <w:rPr>
                <w:rFonts w:ascii="Arial" w:hAnsi="Arial" w:cs="Arial"/>
                <w:sz w:val="24"/>
                <w:szCs w:val="24"/>
              </w:rPr>
            </w:pPr>
            <w:r>
              <w:rPr>
                <w:rFonts w:ascii="Arial" w:hAnsi="Arial" w:cs="Arial"/>
                <w:noProof/>
                <w:lang w:eastAsia="es-EC"/>
              </w:rPr>
              <w:pict>
                <v:shape id="_x0000_s1842" type="#_x0000_t202" style="position:absolute;left:0;text-align:left;margin-left:88.05pt;margin-top:56.75pt;width:106.85pt;height:15.8pt;z-index:251722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D60093"/>
                            <w:sz w:val="15"/>
                            <w:szCs w:val="15"/>
                          </w:rPr>
                        </w:pPr>
                        <w:r>
                          <w:rPr>
                            <w:rFonts w:ascii="Arial" w:hAnsi="Arial" w:cs="Arial"/>
                            <w:color w:val="D60093"/>
                            <w:sz w:val="15"/>
                            <w:szCs w:val="15"/>
                          </w:rPr>
                          <w:t>Estudios</w:t>
                        </w:r>
                      </w:p>
                    </w:txbxContent>
                  </v:textbox>
                </v:shape>
              </w:pict>
            </w:r>
            <w:r>
              <w:rPr>
                <w:rFonts w:ascii="Arial" w:hAnsi="Arial" w:cs="Arial"/>
                <w:noProof/>
                <w:lang w:eastAsia="es-EC"/>
              </w:rPr>
              <w:pict>
                <v:shape id="_x0000_s2381" type="#_x0000_t32" style="position:absolute;left:0;text-align:left;margin-left:123.3pt;margin-top:68.4pt;width:16.5pt;height:17.8pt;flip:x;z-index:252057088" o:connectortype="straight" strokecolor="#d60093">
                  <v:stroke endarrow="block"/>
                </v:shape>
              </w:pict>
            </w:r>
            <w:r>
              <w:rPr>
                <w:rFonts w:ascii="Arial" w:hAnsi="Arial" w:cs="Arial"/>
                <w:noProof/>
                <w:lang w:eastAsia="es-EC"/>
              </w:rPr>
              <w:pict>
                <v:shape id="_x0000_s1844" type="#_x0000_t202" style="position:absolute;left:0;text-align:left;margin-left:22.4pt;margin-top:43.95pt;width:106.85pt;height:24.45pt;z-index:251724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44;mso-fit-shape-to-text:t">
                    <w:txbxContent>
                      <w:p w:rsidR="006933DF"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 xml:space="preserve">Unión </w:t>
                        </w:r>
                      </w:p>
                      <w:p w:rsidR="006933DF" w:rsidRPr="00623DB4"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Familiar</w:t>
                        </w:r>
                      </w:p>
                    </w:txbxContent>
                  </v:textbox>
                </v:shape>
              </w:pict>
            </w:r>
            <w:r>
              <w:rPr>
                <w:rFonts w:ascii="Arial" w:hAnsi="Arial" w:cs="Arial"/>
                <w:noProof/>
                <w:lang w:eastAsia="es-EC"/>
              </w:rPr>
              <w:pict>
                <v:shape id="_x0000_s2379" type="#_x0000_t32" style="position:absolute;left:0;text-align:left;margin-left:73.8pt;margin-top:30.75pt;width:6.75pt;height:17.05pt;flip:y;z-index:252055040" o:connectortype="straight" strokecolor="#e36c0a [2409]">
                  <v:stroke endarrow="block"/>
                </v:shape>
              </w:pict>
            </w:r>
            <w:r>
              <w:rPr>
                <w:rFonts w:ascii="Arial" w:hAnsi="Arial" w:cs="Arial"/>
                <w:noProof/>
                <w:lang w:eastAsia="es-EC"/>
              </w:rPr>
              <w:pict>
                <v:shape id="_x0000_s1841" type="#_x0000_t202" style="position:absolute;left:0;text-align:left;margin-left:176pt;margin-top:14.95pt;width:106.85pt;height:15.8pt;z-index:251721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70C0"/>
                            <w:sz w:val="15"/>
                            <w:szCs w:val="15"/>
                          </w:rPr>
                        </w:pPr>
                        <w:r>
                          <w:rPr>
                            <w:rFonts w:ascii="Arial" w:hAnsi="Arial" w:cs="Arial"/>
                            <w:color w:val="0070C0"/>
                            <w:sz w:val="15"/>
                            <w:szCs w:val="15"/>
                          </w:rPr>
                          <w:t>Trabajo</w:t>
                        </w:r>
                      </w:p>
                    </w:txbxContent>
                  </v:textbox>
                </v:shape>
              </w:pict>
            </w:r>
            <w:r>
              <w:rPr>
                <w:rFonts w:ascii="Arial" w:hAnsi="Arial" w:cs="Arial"/>
                <w:noProof/>
                <w:lang w:eastAsia="es-EC"/>
              </w:rPr>
              <w:pict>
                <v:shape id="_x0000_s2378" type="#_x0000_t32" style="position:absolute;left:0;text-align:left;margin-left:218.55pt;margin-top:26.05pt;width:12pt;height:6.95pt;flip:x;z-index:252054016" o:connectortype="straight" strokecolor="#0070c0">
                  <v:stroke endarrow="block"/>
                </v:shape>
              </w:pict>
            </w:r>
            <w:r>
              <w:rPr>
                <w:rFonts w:ascii="Arial" w:hAnsi="Arial" w:cs="Arial"/>
                <w:noProof/>
                <w:lang w:eastAsia="es-EC"/>
              </w:rPr>
              <w:pict>
                <v:shape id="_x0000_s1843" type="#_x0000_t202" style="position:absolute;left:0;text-align:left;margin-left:170pt;margin-top:63.65pt;width:106.85pt;height:15.8pt;z-index:251723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43;mso-fit-shape-to-text:t">
                    <w:txbxContent>
                      <w:p w:rsidR="006933DF" w:rsidRPr="00B21B84" w:rsidRDefault="006933DF" w:rsidP="0006543C">
                        <w:pPr>
                          <w:rPr>
                            <w:rFonts w:ascii="Arial" w:hAnsi="Arial" w:cs="Arial"/>
                            <w:color w:val="00B050"/>
                            <w:sz w:val="15"/>
                            <w:szCs w:val="15"/>
                          </w:rPr>
                        </w:pPr>
                        <w:r w:rsidRPr="00B21B84">
                          <w:rPr>
                            <w:rFonts w:ascii="Arial" w:hAnsi="Arial" w:cs="Arial"/>
                            <w:color w:val="00B050"/>
                            <w:sz w:val="15"/>
                            <w:szCs w:val="15"/>
                          </w:rPr>
                          <w:t>Otro</w:t>
                        </w:r>
                      </w:p>
                    </w:txbxContent>
                  </v:textbox>
                </v:shape>
              </w:pict>
            </w:r>
            <w:r>
              <w:rPr>
                <w:rFonts w:ascii="Arial" w:hAnsi="Arial" w:cs="Arial"/>
                <w:noProof/>
                <w:lang w:eastAsia="es-EC"/>
              </w:rPr>
              <w:pict>
                <v:shape id="_x0000_s2375" type="#_x0000_t32" style="position:absolute;left:0;text-align:left;margin-left:222.3pt;margin-top:74.8pt;width:14.8pt;height:11.4pt;z-index:252050944" o:connectortype="straight" strokecolor="#00b050">
                  <v:stroke endarrow="block"/>
                </v:shape>
              </w:pict>
            </w:r>
            <w:r>
              <w:rPr>
                <w:rFonts w:ascii="Arial" w:hAnsi="Arial" w:cs="Arial"/>
                <w:noProof/>
                <w:lang w:eastAsia="es-EC"/>
              </w:rPr>
              <w:pict>
                <v:shape id="_x0000_s1851" type="#_x0000_t202" style="position:absolute;left:0;text-align:left;margin-left:244pt;margin-top:13.8pt;width:106.85pt;height:27.1pt;z-index:251731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E7578A" w:rsidRDefault="006933DF" w:rsidP="0006543C">
                        <w:pPr>
                          <w:rPr>
                            <w:rFonts w:ascii="Arial" w:hAnsi="Arial" w:cs="Arial"/>
                            <w:b/>
                            <w:sz w:val="15"/>
                            <w:szCs w:val="15"/>
                          </w:rPr>
                        </w:pPr>
                        <w:r>
                          <w:rPr>
                            <w:rFonts w:ascii="Arial" w:hAnsi="Arial" w:cs="Arial"/>
                            <w:b/>
                            <w:sz w:val="15"/>
                            <w:szCs w:val="15"/>
                          </w:rPr>
                          <w:t>Hombre</w:t>
                        </w:r>
                      </w:p>
                    </w:txbxContent>
                  </v:textbox>
                </v:shape>
              </w:pict>
            </w:r>
            <w:r w:rsidR="0006543C">
              <w:rPr>
                <w:noProof/>
                <w:lang w:eastAsia="es-EC"/>
              </w:rPr>
              <w:drawing>
                <wp:inline distT="0" distB="0" distL="0" distR="0" wp14:anchorId="1661E200" wp14:editId="4427DA70">
                  <wp:extent cx="4211955" cy="1800000"/>
                  <wp:effectExtent l="0" t="0" r="0" b="0"/>
                  <wp:docPr id="160" name="Gráfico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06543C" w:rsidRPr="00840530" w:rsidRDefault="00436907" w:rsidP="0006543C">
            <w:pPr>
              <w:rPr>
                <w:rFonts w:ascii="Arial" w:hAnsi="Arial" w:cs="Arial"/>
                <w:sz w:val="24"/>
                <w:szCs w:val="24"/>
              </w:rPr>
            </w:pPr>
            <w:r>
              <w:rPr>
                <w:rFonts w:ascii="Arial" w:hAnsi="Arial" w:cs="Arial"/>
                <w:noProof/>
                <w:lang w:eastAsia="es-EC"/>
              </w:rPr>
              <w:pict>
                <v:shape id="_x0000_s1846" type="#_x0000_t202" style="position:absolute;left:0;text-align:left;margin-left:89.55pt;margin-top:55.5pt;width:106.85pt;height:15.8pt;z-index:251726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D60093"/>
                            <w:sz w:val="15"/>
                            <w:szCs w:val="15"/>
                          </w:rPr>
                        </w:pPr>
                        <w:r>
                          <w:rPr>
                            <w:rFonts w:ascii="Arial" w:hAnsi="Arial" w:cs="Arial"/>
                            <w:color w:val="D60093"/>
                            <w:sz w:val="15"/>
                            <w:szCs w:val="15"/>
                          </w:rPr>
                          <w:t>Estudios</w:t>
                        </w:r>
                      </w:p>
                    </w:txbxContent>
                  </v:textbox>
                </v:shape>
              </w:pict>
            </w:r>
            <w:r>
              <w:rPr>
                <w:rFonts w:ascii="Arial" w:hAnsi="Arial" w:cs="Arial"/>
                <w:noProof/>
                <w:lang w:eastAsia="es-EC"/>
              </w:rPr>
              <w:pict>
                <v:shape id="_x0000_s2382" type="#_x0000_t32" style="position:absolute;left:0;text-align:left;margin-left:118.05pt;margin-top:66.6pt;width:11.55pt;height:11.25pt;flip:x;z-index:252058112" o:connectortype="straight" strokecolor="#d60093">
                  <v:stroke endarrow="block"/>
                </v:shape>
              </w:pict>
            </w:r>
            <w:r>
              <w:rPr>
                <w:rFonts w:ascii="Arial" w:hAnsi="Arial" w:cs="Arial"/>
                <w:noProof/>
                <w:lang w:eastAsia="es-EC"/>
              </w:rPr>
              <w:pict>
                <v:shape id="_x0000_s1848" type="#_x0000_t202" style="position:absolute;left:0;text-align:left;margin-left:21.9pt;margin-top:42.15pt;width:106.85pt;height:24.45pt;z-index:251728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48;mso-fit-shape-to-text:t">
                    <w:txbxContent>
                      <w:p w:rsidR="006933DF"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 xml:space="preserve">Unión </w:t>
                        </w:r>
                      </w:p>
                      <w:p w:rsidR="006933DF" w:rsidRPr="00623DB4"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Familiar</w:t>
                        </w:r>
                      </w:p>
                    </w:txbxContent>
                  </v:textbox>
                </v:shape>
              </w:pict>
            </w:r>
            <w:r>
              <w:rPr>
                <w:rFonts w:ascii="Arial" w:hAnsi="Arial" w:cs="Arial"/>
                <w:noProof/>
                <w:lang w:eastAsia="es-EC"/>
              </w:rPr>
              <w:pict>
                <v:shape id="_x0000_s2380" type="#_x0000_t32" style="position:absolute;left:0;text-align:left;margin-left:73.8pt;margin-top:30.75pt;width:6.75pt;height:14.1pt;flip:y;z-index:252056064" o:connectortype="straight" strokecolor="#e36c0a [2409]">
                  <v:stroke endarrow="block"/>
                </v:shape>
              </w:pict>
            </w:r>
            <w:r>
              <w:rPr>
                <w:rFonts w:ascii="Arial" w:hAnsi="Arial" w:cs="Arial"/>
                <w:noProof/>
                <w:lang w:eastAsia="es-EC"/>
              </w:rPr>
              <w:pict>
                <v:shape id="_x0000_s1845" type="#_x0000_t202" style="position:absolute;left:0;text-align:left;margin-left:170.2pt;margin-top:20.2pt;width:106.85pt;height:15.8pt;z-index:251725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70C0"/>
                            <w:sz w:val="15"/>
                            <w:szCs w:val="15"/>
                          </w:rPr>
                        </w:pPr>
                        <w:r>
                          <w:rPr>
                            <w:rFonts w:ascii="Arial" w:hAnsi="Arial" w:cs="Arial"/>
                            <w:color w:val="0070C0"/>
                            <w:sz w:val="15"/>
                            <w:szCs w:val="15"/>
                          </w:rPr>
                          <w:t>Trabajo</w:t>
                        </w:r>
                      </w:p>
                    </w:txbxContent>
                  </v:textbox>
                </v:shape>
              </w:pict>
            </w:r>
            <w:r>
              <w:rPr>
                <w:rFonts w:ascii="Arial" w:hAnsi="Arial" w:cs="Arial"/>
                <w:noProof/>
                <w:lang w:eastAsia="es-EC"/>
              </w:rPr>
              <w:pict>
                <v:shape id="_x0000_s2377" type="#_x0000_t32" style="position:absolute;left:0;text-align:left;margin-left:208.8pt;margin-top:30.75pt;width:13.5pt;height:9pt;flip:x;z-index:252052992" o:connectortype="straight" strokecolor="#0070c0">
                  <v:stroke endarrow="block"/>
                </v:shape>
              </w:pict>
            </w:r>
            <w:r>
              <w:rPr>
                <w:rFonts w:ascii="Arial" w:hAnsi="Arial" w:cs="Arial"/>
                <w:noProof/>
                <w:lang w:eastAsia="es-EC"/>
              </w:rPr>
              <w:pict>
                <v:shape id="_x0000_s1847" type="#_x0000_t202" style="position:absolute;left:0;text-align:left;margin-left:161.2pt;margin-top:56.1pt;width:106.85pt;height:15.8pt;z-index:251727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47;mso-fit-shape-to-text:t">
                    <w:txbxContent>
                      <w:p w:rsidR="006933DF" w:rsidRPr="00B21B84" w:rsidRDefault="006933DF" w:rsidP="0006543C">
                        <w:pPr>
                          <w:rPr>
                            <w:rFonts w:ascii="Arial" w:hAnsi="Arial" w:cs="Arial"/>
                            <w:color w:val="00B050"/>
                            <w:sz w:val="15"/>
                            <w:szCs w:val="15"/>
                          </w:rPr>
                        </w:pPr>
                        <w:r w:rsidRPr="00B21B84">
                          <w:rPr>
                            <w:rFonts w:ascii="Arial" w:hAnsi="Arial" w:cs="Arial"/>
                            <w:color w:val="00B050"/>
                            <w:sz w:val="15"/>
                            <w:szCs w:val="15"/>
                          </w:rPr>
                          <w:t>Otro</w:t>
                        </w:r>
                      </w:p>
                    </w:txbxContent>
                  </v:textbox>
                </v:shape>
              </w:pict>
            </w:r>
            <w:r>
              <w:rPr>
                <w:rFonts w:ascii="Arial" w:hAnsi="Arial" w:cs="Arial"/>
                <w:noProof/>
                <w:lang w:eastAsia="es-EC"/>
              </w:rPr>
              <w:pict>
                <v:shape id="_x0000_s2376" type="#_x0000_t32" style="position:absolute;left:0;text-align:left;margin-left:214.05pt;margin-top:66.6pt;width:21.55pt;height:21pt;z-index:252051968" o:connectortype="straight" strokecolor="#00b050">
                  <v:stroke endarrow="block"/>
                </v:shape>
              </w:pict>
            </w:r>
            <w:r>
              <w:rPr>
                <w:rFonts w:ascii="Arial" w:hAnsi="Arial" w:cs="Arial"/>
                <w:noProof/>
                <w:lang w:eastAsia="es-EC"/>
              </w:rPr>
              <w:pict>
                <v:shape id="_x0000_s1852" type="#_x0000_t202" style="position:absolute;left:0;text-align:left;margin-left:249.5pt;margin-top:14.9pt;width:106.85pt;height:15.8pt;z-index:251732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E7578A" w:rsidRDefault="006933DF" w:rsidP="0006543C">
                        <w:pPr>
                          <w:rPr>
                            <w:rFonts w:ascii="Arial" w:hAnsi="Arial" w:cs="Arial"/>
                            <w:b/>
                            <w:sz w:val="15"/>
                            <w:szCs w:val="15"/>
                          </w:rPr>
                        </w:pPr>
                        <w:r>
                          <w:rPr>
                            <w:rFonts w:ascii="Arial" w:hAnsi="Arial" w:cs="Arial"/>
                            <w:b/>
                            <w:sz w:val="15"/>
                            <w:szCs w:val="15"/>
                          </w:rPr>
                          <w:t>Mujer</w:t>
                        </w:r>
                      </w:p>
                    </w:txbxContent>
                  </v:textbox>
                </v:shape>
              </w:pict>
            </w:r>
            <w:r w:rsidR="0006543C">
              <w:rPr>
                <w:noProof/>
                <w:lang w:eastAsia="es-EC"/>
              </w:rPr>
              <w:drawing>
                <wp:inline distT="0" distB="0" distL="0" distR="0" wp14:anchorId="47F3DC9E" wp14:editId="716382BF">
                  <wp:extent cx="4211955" cy="1800000"/>
                  <wp:effectExtent l="0" t="0" r="0" b="0"/>
                  <wp:docPr id="161" name="Gráfico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tc>
      </w:tr>
    </w:tbl>
    <w:p w:rsidR="0006543C" w:rsidRPr="00B21B84" w:rsidRDefault="0006543C" w:rsidP="00B21B84">
      <w:pPr>
        <w:pStyle w:val="Prrafodelista"/>
        <w:spacing w:line="276" w:lineRule="auto"/>
        <w:ind w:left="851"/>
        <w:jc w:val="both"/>
        <w:rPr>
          <w:rFonts w:ascii="Arial" w:hAnsi="Arial" w:cs="Arial"/>
          <w:sz w:val="17"/>
          <w:szCs w:val="17"/>
        </w:rPr>
      </w:pPr>
    </w:p>
    <w:p w:rsidR="0006543C" w:rsidRPr="00B21B84" w:rsidRDefault="0006543C" w:rsidP="00B21B84">
      <w:pPr>
        <w:pStyle w:val="Prrafodelista"/>
        <w:spacing w:line="276" w:lineRule="auto"/>
        <w:ind w:left="851"/>
        <w:jc w:val="both"/>
        <w:rPr>
          <w:rFonts w:ascii="Arial" w:hAnsi="Arial" w:cs="Arial"/>
          <w:sz w:val="17"/>
          <w:szCs w:val="17"/>
        </w:rPr>
      </w:pPr>
      <w:r w:rsidRPr="00B21B84">
        <w:rPr>
          <w:rFonts w:ascii="Arial" w:hAnsi="Arial" w:cs="Arial"/>
          <w:b/>
          <w:i/>
          <w:sz w:val="17"/>
          <w:szCs w:val="17"/>
        </w:rPr>
        <w:t>Fuente:</w:t>
      </w:r>
      <w:r w:rsidRPr="00B21B84">
        <w:rPr>
          <w:rFonts w:ascii="Arial" w:hAnsi="Arial" w:cs="Arial"/>
          <w:sz w:val="17"/>
          <w:szCs w:val="17"/>
        </w:rPr>
        <w:t xml:space="preserve"> </w:t>
      </w:r>
      <w:r w:rsidRPr="00B21B84">
        <w:rPr>
          <w:rFonts w:ascii="Arial" w:hAnsi="Arial" w:cs="Arial"/>
          <w:b/>
          <w:sz w:val="17"/>
          <w:szCs w:val="17"/>
        </w:rPr>
        <w:t xml:space="preserve">INEC </w:t>
      </w:r>
      <w:r w:rsidRPr="00B21B84">
        <w:rPr>
          <w:rFonts w:ascii="Arial" w:hAnsi="Arial" w:cs="Arial"/>
          <w:sz w:val="17"/>
          <w:szCs w:val="17"/>
        </w:rPr>
        <w:t>(2010), Base de Datos del VII Censo de Población y VI de Vivienda.</w:t>
      </w:r>
    </w:p>
    <w:p w:rsidR="0006543C" w:rsidRPr="00B21B84" w:rsidRDefault="0006543C" w:rsidP="00B21B84">
      <w:pPr>
        <w:pStyle w:val="Prrafodelista"/>
        <w:spacing w:line="276" w:lineRule="auto"/>
        <w:ind w:left="851"/>
        <w:jc w:val="both"/>
        <w:rPr>
          <w:rFonts w:ascii="Arial" w:hAnsi="Arial" w:cs="Arial"/>
          <w:sz w:val="17"/>
          <w:szCs w:val="17"/>
        </w:rPr>
      </w:pPr>
      <w:r w:rsidRPr="00B21B84">
        <w:rPr>
          <w:rFonts w:ascii="Arial" w:hAnsi="Arial" w:cs="Arial"/>
          <w:b/>
          <w:i/>
          <w:sz w:val="17"/>
          <w:szCs w:val="17"/>
        </w:rPr>
        <w:t>Elaborado por:</w:t>
      </w:r>
      <w:r w:rsidRPr="00B21B84">
        <w:rPr>
          <w:rFonts w:ascii="Arial" w:hAnsi="Arial" w:cs="Arial"/>
          <w:sz w:val="17"/>
          <w:szCs w:val="17"/>
        </w:rPr>
        <w:t xml:space="preserve"> Katherine Loor Valeriano</w:t>
      </w:r>
    </w:p>
    <w:p w:rsidR="0006543C" w:rsidRDefault="0006543C" w:rsidP="00B21B84">
      <w:pPr>
        <w:spacing w:line="480" w:lineRule="auto"/>
        <w:ind w:left="851"/>
        <w:jc w:val="both"/>
        <w:rPr>
          <w:rFonts w:ascii="Arial" w:hAnsi="Arial" w:cs="Arial"/>
        </w:rPr>
      </w:pPr>
    </w:p>
    <w:p w:rsidR="0006543C" w:rsidRPr="00254464" w:rsidRDefault="0006543C" w:rsidP="00B21B84">
      <w:pPr>
        <w:pStyle w:val="51"/>
        <w:ind w:left="851" w:hanging="567"/>
      </w:pPr>
      <w:bookmarkStart w:id="776" w:name="_Toc338407803"/>
      <w:bookmarkStart w:id="777" w:name="_Toc338412806"/>
      <w:bookmarkStart w:id="778" w:name="_Toc341040731"/>
      <w:r>
        <w:t>Perfil de los Emigrantes cuyo motivo principal de viaje es trabajar</w:t>
      </w:r>
      <w:bookmarkEnd w:id="776"/>
      <w:bookmarkEnd w:id="777"/>
      <w:bookmarkEnd w:id="778"/>
    </w:p>
    <w:p w:rsidR="0006543C" w:rsidRPr="00287F2C" w:rsidRDefault="0006543C" w:rsidP="00287F2C">
      <w:pPr>
        <w:spacing w:line="480" w:lineRule="auto"/>
        <w:ind w:left="851"/>
        <w:jc w:val="both"/>
        <w:rPr>
          <w:rFonts w:ascii="Arial" w:hAnsi="Arial" w:cs="Arial"/>
        </w:rPr>
      </w:pPr>
      <w:bookmarkStart w:id="779" w:name="_Toc339853121"/>
      <w:bookmarkStart w:id="780" w:name="_Toc340231891"/>
      <w:r w:rsidRPr="00287F2C">
        <w:rPr>
          <w:rFonts w:ascii="Arial" w:hAnsi="Arial" w:cs="Arial"/>
        </w:rPr>
        <w:t>Ya conocimos un poco el perfil de los emigrantes que salieron del país entre los años 2001 y 2010; ahora, analicemos el perfil de los emigrantes pero por motivo de su viaje, es decir, conozcamos las características que tienen los emigrantes que salieron del país para trabajar, para reunirse con familiares o para estudiar. En esta sección vamos a analizar primero a los emigrantes cuyo motivo principal del viaje es trabajar.</w:t>
      </w:r>
      <w:bookmarkEnd w:id="779"/>
      <w:bookmarkEnd w:id="780"/>
    </w:p>
    <w:p w:rsidR="0006543C" w:rsidRDefault="0006543C" w:rsidP="0006543C">
      <w:pPr>
        <w:pStyle w:val="TesisTitulo10"/>
        <w:numPr>
          <w:ilvl w:val="0"/>
          <w:numId w:val="0"/>
        </w:numPr>
        <w:ind w:left="567"/>
        <w:rPr>
          <w:b w:val="0"/>
          <w:sz w:val="22"/>
          <w:szCs w:val="22"/>
        </w:rPr>
      </w:pPr>
    </w:p>
    <w:p w:rsidR="0006543C" w:rsidRDefault="0006543C" w:rsidP="0086157B">
      <w:pPr>
        <w:pStyle w:val="52"/>
        <w:ind w:left="1560" w:hanging="709"/>
      </w:pPr>
      <w:bookmarkStart w:id="781" w:name="_Toc338407805"/>
      <w:bookmarkStart w:id="782" w:name="_Toc338412808"/>
      <w:bookmarkStart w:id="783" w:name="_Toc341040732"/>
      <w:r>
        <w:t xml:space="preserve">Año de salida de los </w:t>
      </w:r>
      <w:r w:rsidR="0086157B">
        <w:t>e</w:t>
      </w:r>
      <w:r>
        <w:t>migrantes</w:t>
      </w:r>
      <w:bookmarkEnd w:id="781"/>
      <w:bookmarkEnd w:id="782"/>
      <w:r w:rsidR="0086157B">
        <w:t xml:space="preserve"> por trabajo</w:t>
      </w:r>
      <w:bookmarkEnd w:id="783"/>
    </w:p>
    <w:p w:rsidR="0006543C" w:rsidRPr="00287F2C" w:rsidRDefault="0006543C" w:rsidP="00287F2C">
      <w:pPr>
        <w:spacing w:line="480" w:lineRule="auto"/>
        <w:ind w:left="851"/>
        <w:jc w:val="both"/>
        <w:rPr>
          <w:rFonts w:ascii="Arial" w:hAnsi="Arial" w:cs="Arial"/>
        </w:rPr>
      </w:pPr>
      <w:bookmarkStart w:id="784" w:name="_Toc339853123"/>
      <w:bookmarkStart w:id="785" w:name="_Toc340231893"/>
      <w:r w:rsidRPr="00287F2C">
        <w:rPr>
          <w:rFonts w:ascii="Arial" w:hAnsi="Arial" w:cs="Arial"/>
        </w:rPr>
        <w:t xml:space="preserve">En lo que respecta al año en el cual los emigrantes salieron, se </w:t>
      </w:r>
      <w:r w:rsidR="00AE13C0">
        <w:rPr>
          <w:rFonts w:ascii="Arial" w:hAnsi="Arial" w:cs="Arial"/>
        </w:rPr>
        <w:t>obtuvo</w:t>
      </w:r>
      <w:r w:rsidRPr="00287F2C">
        <w:rPr>
          <w:rFonts w:ascii="Arial" w:hAnsi="Arial" w:cs="Arial"/>
        </w:rPr>
        <w:t xml:space="preserve"> que la mayoría de ellos dejaron Ecuador en el año 2002, además el 18.55% de ellos salieron del país en el 2001, en el 2003 en cambio emigraron el 11.18% de los que fueron a trabajar a otros países, teniéndose que casi el 50% de las  personas que emigraron para trabajar lo hicieron entre estos tres años. Para más detalles </w:t>
      </w:r>
      <w:r w:rsidRPr="00287F2C">
        <w:rPr>
          <w:rFonts w:ascii="Arial" w:hAnsi="Arial" w:cs="Arial"/>
          <w:i/>
        </w:rPr>
        <w:t>véase Figura 5.15</w:t>
      </w:r>
      <w:r w:rsidRPr="00287F2C">
        <w:rPr>
          <w:rFonts w:ascii="Arial" w:hAnsi="Arial" w:cs="Arial"/>
        </w:rPr>
        <w:t>.</w:t>
      </w:r>
      <w:bookmarkEnd w:id="784"/>
      <w:bookmarkEnd w:id="785"/>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B21B84">
        <w:trPr>
          <w:trHeight w:val="2041"/>
          <w:jc w:val="right"/>
        </w:trPr>
        <w:tc>
          <w:tcPr>
            <w:tcW w:w="7497" w:type="dxa"/>
          </w:tcPr>
          <w:p w:rsidR="0006543C" w:rsidRPr="00840530" w:rsidRDefault="0006543C" w:rsidP="0006543C">
            <w:pPr>
              <w:rPr>
                <w:rFonts w:ascii="Arial" w:hAnsi="Arial" w:cs="Arial"/>
                <w:sz w:val="16"/>
                <w:szCs w:val="16"/>
              </w:rPr>
            </w:pPr>
          </w:p>
          <w:p w:rsidR="00E41CC4" w:rsidRPr="00E41CC4" w:rsidRDefault="00E41CC4" w:rsidP="00E41CC4">
            <w:pPr>
              <w:pStyle w:val="Epgrafe"/>
              <w:rPr>
                <w:rFonts w:ascii="Arial" w:hAnsi="Arial" w:cs="Arial"/>
                <w:bCs w:val="0"/>
                <w:color w:val="auto"/>
                <w:sz w:val="16"/>
                <w:szCs w:val="16"/>
              </w:rPr>
            </w:pPr>
            <w:bookmarkStart w:id="786" w:name="_Toc341044095"/>
            <w:r>
              <w:rPr>
                <w:rFonts w:ascii="Arial" w:hAnsi="Arial" w:cs="Arial"/>
                <w:bCs w:val="0"/>
                <w:color w:val="auto"/>
                <w:sz w:val="16"/>
                <w:szCs w:val="16"/>
              </w:rPr>
              <w:t>Figura 5.</w:t>
            </w:r>
            <w:r w:rsidR="00990535" w:rsidRPr="00E41CC4">
              <w:rPr>
                <w:rFonts w:ascii="Arial" w:hAnsi="Arial" w:cs="Arial"/>
                <w:bCs w:val="0"/>
                <w:color w:val="auto"/>
                <w:sz w:val="16"/>
                <w:szCs w:val="16"/>
              </w:rPr>
              <w:fldChar w:fldCharType="begin"/>
            </w:r>
            <w:r w:rsidRPr="00E41CC4">
              <w:rPr>
                <w:rFonts w:ascii="Arial" w:hAnsi="Arial" w:cs="Arial"/>
                <w:bCs w:val="0"/>
                <w:color w:val="auto"/>
                <w:sz w:val="16"/>
                <w:szCs w:val="16"/>
              </w:rPr>
              <w:instrText xml:space="preserve"> SEQ Figura_5. \* ARABIC </w:instrText>
            </w:r>
            <w:r w:rsidR="00990535" w:rsidRPr="00E41CC4">
              <w:rPr>
                <w:rFonts w:ascii="Arial" w:hAnsi="Arial" w:cs="Arial"/>
                <w:bCs w:val="0"/>
                <w:color w:val="auto"/>
                <w:sz w:val="16"/>
                <w:szCs w:val="16"/>
              </w:rPr>
              <w:fldChar w:fldCharType="separate"/>
            </w:r>
            <w:r w:rsidR="00A242E0">
              <w:rPr>
                <w:rFonts w:ascii="Arial" w:hAnsi="Arial" w:cs="Arial"/>
                <w:bCs w:val="0"/>
                <w:noProof/>
                <w:color w:val="auto"/>
                <w:sz w:val="16"/>
                <w:szCs w:val="16"/>
              </w:rPr>
              <w:t>15</w:t>
            </w:r>
            <w:bookmarkEnd w:id="786"/>
            <w:r w:rsidR="00990535" w:rsidRPr="00E41CC4">
              <w:rPr>
                <w:rFonts w:ascii="Arial" w:hAnsi="Arial" w:cs="Arial"/>
                <w:bCs w:val="0"/>
                <w:color w:val="auto"/>
                <w:sz w:val="16"/>
                <w:szCs w:val="16"/>
              </w:rPr>
              <w:fldChar w:fldCharType="end"/>
            </w:r>
          </w:p>
          <w:p w:rsidR="00B21B84" w:rsidRDefault="00B21B84" w:rsidP="00B21B84">
            <w:pPr>
              <w:rPr>
                <w:rFonts w:ascii="Arial" w:hAnsi="Arial" w:cs="Arial"/>
                <w:i/>
                <w:sz w:val="16"/>
                <w:szCs w:val="16"/>
              </w:rPr>
            </w:pPr>
            <w:r>
              <w:rPr>
                <w:rFonts w:ascii="Arial" w:hAnsi="Arial" w:cs="Arial"/>
                <w:b/>
                <w:i/>
                <w:sz w:val="16"/>
                <w:szCs w:val="16"/>
              </w:rPr>
              <w:t xml:space="preserve">Ecuador 2010: </w:t>
            </w:r>
            <w:r w:rsidRPr="00B21B84">
              <w:rPr>
                <w:rFonts w:ascii="Arial" w:hAnsi="Arial" w:cs="Arial"/>
                <w:i/>
                <w:sz w:val="16"/>
                <w:szCs w:val="16"/>
              </w:rPr>
              <w:t>To</w:t>
            </w:r>
            <w:r>
              <w:rPr>
                <w:rFonts w:ascii="Arial" w:hAnsi="Arial" w:cs="Arial"/>
                <w:i/>
                <w:sz w:val="16"/>
                <w:szCs w:val="16"/>
              </w:rPr>
              <w:t xml:space="preserve">tal de emigrantes que salieron para </w:t>
            </w:r>
            <w:r w:rsidRPr="0086157B">
              <w:rPr>
                <w:rFonts w:ascii="Arial" w:hAnsi="Arial" w:cs="Arial"/>
                <w:b/>
                <w:i/>
                <w:sz w:val="16"/>
                <w:szCs w:val="16"/>
              </w:rPr>
              <w:t>trabajar</w:t>
            </w:r>
            <w:r>
              <w:rPr>
                <w:rFonts w:ascii="Arial" w:hAnsi="Arial" w:cs="Arial"/>
                <w:i/>
                <w:sz w:val="16"/>
                <w:szCs w:val="16"/>
              </w:rPr>
              <w:t xml:space="preserve"> por Año de salida del </w:t>
            </w:r>
            <w:r w:rsidR="0086157B">
              <w:rPr>
                <w:rFonts w:ascii="Arial" w:hAnsi="Arial" w:cs="Arial"/>
                <w:i/>
                <w:sz w:val="16"/>
                <w:szCs w:val="16"/>
              </w:rPr>
              <w:t>país</w:t>
            </w:r>
            <w:r>
              <w:rPr>
                <w:rFonts w:ascii="Arial" w:hAnsi="Arial" w:cs="Arial"/>
                <w:i/>
                <w:sz w:val="16"/>
                <w:szCs w:val="16"/>
              </w:rPr>
              <w:t xml:space="preserve"> </w:t>
            </w:r>
          </w:p>
          <w:p w:rsidR="0006543C" w:rsidRPr="00840530" w:rsidRDefault="00B21B84" w:rsidP="0006543C">
            <w:pPr>
              <w:rPr>
                <w:rFonts w:ascii="Arial" w:hAnsi="Arial" w:cs="Arial"/>
                <w:sz w:val="24"/>
                <w:szCs w:val="24"/>
              </w:rPr>
            </w:pPr>
            <w:r>
              <w:rPr>
                <w:noProof/>
                <w:lang w:eastAsia="es-EC"/>
              </w:rPr>
              <w:drawing>
                <wp:inline distT="0" distB="0" distL="0" distR="0" wp14:anchorId="43604DF6" wp14:editId="609BAD35">
                  <wp:extent cx="4543425" cy="19812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tc>
      </w:tr>
    </w:tbl>
    <w:p w:rsidR="0006543C" w:rsidRPr="00B21B84" w:rsidRDefault="0006543C" w:rsidP="00B21B84">
      <w:pPr>
        <w:pStyle w:val="Prrafodelista"/>
        <w:spacing w:line="276" w:lineRule="auto"/>
        <w:ind w:left="851"/>
        <w:jc w:val="both"/>
        <w:rPr>
          <w:rFonts w:ascii="Arial" w:hAnsi="Arial" w:cs="Arial"/>
          <w:sz w:val="17"/>
          <w:szCs w:val="17"/>
        </w:rPr>
      </w:pPr>
    </w:p>
    <w:p w:rsidR="0006543C" w:rsidRPr="00B21B84" w:rsidRDefault="0006543C" w:rsidP="00B21B84">
      <w:pPr>
        <w:pStyle w:val="Prrafodelista"/>
        <w:spacing w:line="276" w:lineRule="auto"/>
        <w:ind w:left="851"/>
        <w:jc w:val="both"/>
        <w:rPr>
          <w:rFonts w:ascii="Arial" w:hAnsi="Arial" w:cs="Arial"/>
          <w:sz w:val="17"/>
          <w:szCs w:val="17"/>
        </w:rPr>
      </w:pPr>
      <w:r w:rsidRPr="00B21B84">
        <w:rPr>
          <w:rFonts w:ascii="Arial" w:hAnsi="Arial" w:cs="Arial"/>
          <w:b/>
          <w:i/>
          <w:sz w:val="17"/>
          <w:szCs w:val="17"/>
        </w:rPr>
        <w:t>Fuente:</w:t>
      </w:r>
      <w:r w:rsidRPr="00B21B84">
        <w:rPr>
          <w:rFonts w:ascii="Arial" w:hAnsi="Arial" w:cs="Arial"/>
          <w:sz w:val="17"/>
          <w:szCs w:val="17"/>
        </w:rPr>
        <w:t xml:space="preserve"> </w:t>
      </w:r>
      <w:r w:rsidRPr="00B21B84">
        <w:rPr>
          <w:rFonts w:ascii="Arial" w:hAnsi="Arial" w:cs="Arial"/>
          <w:b/>
          <w:sz w:val="17"/>
          <w:szCs w:val="17"/>
        </w:rPr>
        <w:t xml:space="preserve">INEC </w:t>
      </w:r>
      <w:r w:rsidRPr="00B21B84">
        <w:rPr>
          <w:rFonts w:ascii="Arial" w:hAnsi="Arial" w:cs="Arial"/>
          <w:sz w:val="17"/>
          <w:szCs w:val="17"/>
        </w:rPr>
        <w:t>(2010), Base de Datos del VII Censo de Población y VI de Vivienda.</w:t>
      </w:r>
    </w:p>
    <w:p w:rsidR="0006543C" w:rsidRPr="00B21B84" w:rsidRDefault="0006543C" w:rsidP="00B21B84">
      <w:pPr>
        <w:pStyle w:val="Prrafodelista"/>
        <w:spacing w:line="276" w:lineRule="auto"/>
        <w:ind w:left="851"/>
        <w:jc w:val="both"/>
        <w:rPr>
          <w:rFonts w:ascii="Arial" w:hAnsi="Arial" w:cs="Arial"/>
          <w:sz w:val="17"/>
          <w:szCs w:val="17"/>
        </w:rPr>
      </w:pPr>
      <w:r w:rsidRPr="00B21B84">
        <w:rPr>
          <w:rFonts w:ascii="Arial" w:hAnsi="Arial" w:cs="Arial"/>
          <w:b/>
          <w:i/>
          <w:sz w:val="17"/>
          <w:szCs w:val="17"/>
        </w:rPr>
        <w:t>Elaborado por:</w:t>
      </w:r>
      <w:r w:rsidRPr="00B21B84">
        <w:rPr>
          <w:rFonts w:ascii="Arial" w:hAnsi="Arial" w:cs="Arial"/>
          <w:sz w:val="17"/>
          <w:szCs w:val="17"/>
        </w:rPr>
        <w:t xml:space="preserve"> Katherine Loor Valeriano</w:t>
      </w:r>
    </w:p>
    <w:p w:rsidR="0006543C" w:rsidRDefault="0006543C" w:rsidP="0006543C">
      <w:pPr>
        <w:pStyle w:val="Prrafodelista"/>
        <w:tabs>
          <w:tab w:val="left" w:pos="1560"/>
        </w:tabs>
        <w:spacing w:line="480" w:lineRule="auto"/>
        <w:ind w:left="567"/>
        <w:jc w:val="both"/>
        <w:rPr>
          <w:rFonts w:ascii="Arial" w:hAnsi="Arial" w:cs="Arial"/>
        </w:rPr>
      </w:pPr>
    </w:p>
    <w:p w:rsidR="0006543C" w:rsidRPr="00254464" w:rsidRDefault="0006543C" w:rsidP="00B21B84">
      <w:pPr>
        <w:pStyle w:val="52"/>
        <w:ind w:left="851"/>
      </w:pPr>
      <w:bookmarkStart w:id="787" w:name="_Toc338407804"/>
      <w:bookmarkStart w:id="788" w:name="_Toc338412807"/>
      <w:bookmarkStart w:id="789" w:name="_Toc341040733"/>
      <w:r>
        <w:t xml:space="preserve">País de residencia actual de los </w:t>
      </w:r>
      <w:r w:rsidR="0086157B">
        <w:t>e</w:t>
      </w:r>
      <w:r>
        <w:t>migrantes</w:t>
      </w:r>
      <w:bookmarkEnd w:id="787"/>
      <w:bookmarkEnd w:id="788"/>
      <w:r w:rsidR="00B21B84">
        <w:t xml:space="preserve"> que salieron por trabajo</w:t>
      </w:r>
      <w:bookmarkEnd w:id="789"/>
    </w:p>
    <w:p w:rsidR="0006543C" w:rsidRPr="00287F2C" w:rsidRDefault="0006543C" w:rsidP="00287F2C">
      <w:pPr>
        <w:spacing w:line="480" w:lineRule="auto"/>
        <w:ind w:left="851"/>
        <w:jc w:val="both"/>
        <w:rPr>
          <w:rFonts w:ascii="Arial" w:hAnsi="Arial" w:cs="Arial"/>
        </w:rPr>
      </w:pPr>
      <w:bookmarkStart w:id="790" w:name="_Toc339853125"/>
      <w:bookmarkStart w:id="791" w:name="_Toc340231895"/>
      <w:r w:rsidRPr="00287F2C">
        <w:rPr>
          <w:rFonts w:ascii="Arial" w:hAnsi="Arial" w:cs="Arial"/>
        </w:rPr>
        <w:t xml:space="preserve">De los 181545 emigrantes que salieron del país para trabajar, el 61.01% fueron a países europeos, el 29.87% están en América del Norte, el 5.02% están en algún país de Latino América y el Caribe, el 0.37% están en países de Asia, África u Oceanía; y, el 3.72% no especificaron. Si realizamos un análisis a nivel de países, tenemos que el 50% de los emigrantes que salieron para trabajar están en España, el 29.13% están en Estados Unidos, el 8.30% salieron a trabajar a Italia, hay un 1.54% en Chile, el 1.15% están en Venezuela, el 0.91% están en Colombia; mientras que, quienes fueron a Perú constituyen el 0.26% de los emigrantes que viajaron para trabajar. Para más detalles </w:t>
      </w:r>
      <w:r w:rsidRPr="00287F2C">
        <w:rPr>
          <w:rFonts w:ascii="Arial" w:hAnsi="Arial" w:cs="Arial"/>
          <w:i/>
        </w:rPr>
        <w:t>véase Figura 5.16</w:t>
      </w:r>
      <w:r w:rsidRPr="00287F2C">
        <w:rPr>
          <w:rFonts w:ascii="Arial" w:hAnsi="Arial" w:cs="Arial"/>
        </w:rPr>
        <w:t>.</w:t>
      </w:r>
      <w:bookmarkEnd w:id="790"/>
      <w:bookmarkEnd w:id="791"/>
    </w:p>
    <w:tbl>
      <w:tblPr>
        <w:tblStyle w:val="Tablaconcuadrcula"/>
        <w:tblW w:w="7497" w:type="dxa"/>
        <w:jc w:val="right"/>
        <w:tblInd w:w="1023"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B21B84">
        <w:trPr>
          <w:trHeight w:val="2041"/>
          <w:jc w:val="right"/>
        </w:trPr>
        <w:tc>
          <w:tcPr>
            <w:tcW w:w="7497" w:type="dxa"/>
          </w:tcPr>
          <w:p w:rsidR="0006543C" w:rsidRPr="00840530" w:rsidRDefault="0006543C" w:rsidP="0006543C">
            <w:pPr>
              <w:rPr>
                <w:rFonts w:ascii="Arial" w:hAnsi="Arial" w:cs="Arial"/>
                <w:sz w:val="16"/>
                <w:szCs w:val="16"/>
              </w:rPr>
            </w:pPr>
          </w:p>
          <w:p w:rsidR="00E41CC4" w:rsidRPr="00E41CC4" w:rsidRDefault="00E41CC4" w:rsidP="00E41CC4">
            <w:pPr>
              <w:pStyle w:val="Epgrafe"/>
              <w:rPr>
                <w:rFonts w:ascii="Arial" w:hAnsi="Arial" w:cs="Arial"/>
                <w:bCs w:val="0"/>
                <w:color w:val="auto"/>
                <w:sz w:val="16"/>
                <w:szCs w:val="16"/>
              </w:rPr>
            </w:pPr>
            <w:bookmarkStart w:id="792" w:name="_Toc341044096"/>
            <w:r>
              <w:rPr>
                <w:rFonts w:ascii="Arial" w:hAnsi="Arial" w:cs="Arial"/>
                <w:bCs w:val="0"/>
                <w:color w:val="auto"/>
                <w:sz w:val="16"/>
                <w:szCs w:val="16"/>
              </w:rPr>
              <w:t>Figura 5.</w:t>
            </w:r>
            <w:r w:rsidR="00990535" w:rsidRPr="00E41CC4">
              <w:rPr>
                <w:rFonts w:ascii="Arial" w:hAnsi="Arial" w:cs="Arial"/>
                <w:bCs w:val="0"/>
                <w:color w:val="auto"/>
                <w:sz w:val="16"/>
                <w:szCs w:val="16"/>
              </w:rPr>
              <w:fldChar w:fldCharType="begin"/>
            </w:r>
            <w:r w:rsidRPr="00E41CC4">
              <w:rPr>
                <w:rFonts w:ascii="Arial" w:hAnsi="Arial" w:cs="Arial"/>
                <w:bCs w:val="0"/>
                <w:color w:val="auto"/>
                <w:sz w:val="16"/>
                <w:szCs w:val="16"/>
              </w:rPr>
              <w:instrText xml:space="preserve"> SEQ Figura_5. \* ARABIC </w:instrText>
            </w:r>
            <w:r w:rsidR="00990535" w:rsidRPr="00E41CC4">
              <w:rPr>
                <w:rFonts w:ascii="Arial" w:hAnsi="Arial" w:cs="Arial"/>
                <w:bCs w:val="0"/>
                <w:color w:val="auto"/>
                <w:sz w:val="16"/>
                <w:szCs w:val="16"/>
              </w:rPr>
              <w:fldChar w:fldCharType="separate"/>
            </w:r>
            <w:r w:rsidR="00A242E0">
              <w:rPr>
                <w:rFonts w:ascii="Arial" w:hAnsi="Arial" w:cs="Arial"/>
                <w:bCs w:val="0"/>
                <w:noProof/>
                <w:color w:val="auto"/>
                <w:sz w:val="16"/>
                <w:szCs w:val="16"/>
              </w:rPr>
              <w:t>16</w:t>
            </w:r>
            <w:bookmarkEnd w:id="792"/>
            <w:r w:rsidR="00990535" w:rsidRPr="00E41CC4">
              <w:rPr>
                <w:rFonts w:ascii="Arial" w:hAnsi="Arial" w:cs="Arial"/>
                <w:bCs w:val="0"/>
                <w:color w:val="auto"/>
                <w:sz w:val="16"/>
                <w:szCs w:val="16"/>
              </w:rPr>
              <w:fldChar w:fldCharType="end"/>
            </w:r>
          </w:p>
          <w:p w:rsidR="0086157B" w:rsidRDefault="00B21B84" w:rsidP="0006543C">
            <w:pPr>
              <w:rPr>
                <w:rFonts w:ascii="Arial" w:hAnsi="Arial" w:cs="Arial"/>
                <w:i/>
                <w:sz w:val="16"/>
                <w:szCs w:val="16"/>
              </w:rPr>
            </w:pPr>
            <w:r>
              <w:rPr>
                <w:rFonts w:ascii="Arial" w:hAnsi="Arial" w:cs="Arial"/>
                <w:b/>
                <w:i/>
                <w:sz w:val="16"/>
                <w:szCs w:val="16"/>
              </w:rPr>
              <w:t xml:space="preserve">Ecuador 2010: </w:t>
            </w:r>
            <w:r w:rsidR="0086157B">
              <w:rPr>
                <w:rFonts w:ascii="Arial" w:hAnsi="Arial" w:cs="Arial"/>
                <w:i/>
                <w:sz w:val="16"/>
                <w:szCs w:val="16"/>
              </w:rPr>
              <w:t>Frecuencia Relativa</w:t>
            </w:r>
            <w:r w:rsidR="0006543C">
              <w:rPr>
                <w:rFonts w:ascii="Arial" w:hAnsi="Arial" w:cs="Arial"/>
                <w:i/>
                <w:sz w:val="16"/>
                <w:szCs w:val="16"/>
              </w:rPr>
              <w:t xml:space="preserve"> de País de residencia actual de los emigrantes </w:t>
            </w:r>
          </w:p>
          <w:p w:rsidR="0006543C" w:rsidRDefault="0006543C" w:rsidP="0006543C">
            <w:pPr>
              <w:rPr>
                <w:rFonts w:ascii="Arial" w:hAnsi="Arial" w:cs="Arial"/>
                <w:i/>
                <w:sz w:val="16"/>
                <w:szCs w:val="16"/>
              </w:rPr>
            </w:pPr>
            <w:r>
              <w:rPr>
                <w:rFonts w:ascii="Arial" w:hAnsi="Arial" w:cs="Arial"/>
                <w:i/>
                <w:sz w:val="16"/>
                <w:szCs w:val="16"/>
              </w:rPr>
              <w:t xml:space="preserve">que viajaron para </w:t>
            </w:r>
            <w:r w:rsidR="00B21B84">
              <w:rPr>
                <w:rFonts w:ascii="Arial" w:hAnsi="Arial" w:cs="Arial"/>
                <w:b/>
                <w:i/>
                <w:sz w:val="16"/>
                <w:szCs w:val="16"/>
              </w:rPr>
              <w:t>t</w:t>
            </w:r>
            <w:r w:rsidRPr="00085202">
              <w:rPr>
                <w:rFonts w:ascii="Arial" w:hAnsi="Arial" w:cs="Arial"/>
                <w:b/>
                <w:i/>
                <w:sz w:val="16"/>
                <w:szCs w:val="16"/>
              </w:rPr>
              <w:t>rabajar</w:t>
            </w:r>
          </w:p>
          <w:p w:rsidR="0006543C" w:rsidRDefault="0006543C" w:rsidP="0006543C">
            <w:pPr>
              <w:rPr>
                <w:rFonts w:ascii="Arial" w:hAnsi="Arial" w:cs="Arial"/>
                <w:i/>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760"/>
              <w:gridCol w:w="4539"/>
            </w:tblGrid>
            <w:tr w:rsidR="0006543C" w:rsidTr="0006543C">
              <w:trPr>
                <w:jc w:val="center"/>
              </w:trPr>
              <w:tc>
                <w:tcPr>
                  <w:tcW w:w="2760" w:type="dxa"/>
                </w:tcPr>
                <w:p w:rsidR="0006543C" w:rsidRPr="00C61AEB" w:rsidRDefault="0006543C" w:rsidP="0006543C">
                  <w:pPr>
                    <w:rPr>
                      <w:rFonts w:ascii="Arial" w:hAnsi="Arial" w:cs="Arial"/>
                      <w:b/>
                      <w:sz w:val="16"/>
                      <w:szCs w:val="16"/>
                    </w:rPr>
                  </w:pPr>
                  <w:r>
                    <w:rPr>
                      <w:rFonts w:ascii="Arial" w:hAnsi="Arial" w:cs="Arial"/>
                      <w:b/>
                      <w:sz w:val="16"/>
                      <w:szCs w:val="16"/>
                    </w:rPr>
                    <w:t>Tabla de Frecuencias</w:t>
                  </w:r>
                </w:p>
                <w:p w:rsidR="0006543C" w:rsidRPr="00C61AEB" w:rsidRDefault="0006543C" w:rsidP="0006543C">
                  <w:pPr>
                    <w:rPr>
                      <w:rFonts w:ascii="Arial" w:hAnsi="Arial" w:cs="Arial"/>
                      <w:sz w:val="10"/>
                      <w:szCs w:val="10"/>
                    </w:rPr>
                  </w:pPr>
                </w:p>
                <w:tbl>
                  <w:tblPr>
                    <w:tblW w:w="2566" w:type="dxa"/>
                    <w:jc w:val="center"/>
                    <w:tblCellMar>
                      <w:left w:w="70" w:type="dxa"/>
                      <w:right w:w="70" w:type="dxa"/>
                    </w:tblCellMar>
                    <w:tblLook w:val="04A0" w:firstRow="1" w:lastRow="0" w:firstColumn="1" w:lastColumn="0" w:noHBand="0" w:noVBand="1"/>
                  </w:tblPr>
                  <w:tblGrid>
                    <w:gridCol w:w="1581"/>
                    <w:gridCol w:w="1019"/>
                  </w:tblGrid>
                  <w:tr w:rsidR="0006543C" w:rsidRPr="00C61AEB" w:rsidTr="0006543C">
                    <w:trPr>
                      <w:trHeight w:val="227"/>
                      <w:jc w:val="center"/>
                    </w:trPr>
                    <w:tc>
                      <w:tcPr>
                        <w:tcW w:w="1581" w:type="dxa"/>
                        <w:tcBorders>
                          <w:top w:val="single" w:sz="4" w:space="0" w:color="auto"/>
                          <w:left w:val="nil"/>
                          <w:bottom w:val="single" w:sz="4" w:space="0" w:color="auto"/>
                          <w:right w:val="nil"/>
                        </w:tcBorders>
                        <w:shd w:val="clear" w:color="auto" w:fill="auto"/>
                        <w:vAlign w:val="center"/>
                        <w:hideMark/>
                      </w:tcPr>
                      <w:p w:rsidR="0006543C" w:rsidRPr="00C61AEB" w:rsidRDefault="0006543C" w:rsidP="0006543C">
                        <w:pPr>
                          <w:rPr>
                            <w:rFonts w:ascii="Arial" w:eastAsia="Times New Roman" w:hAnsi="Arial" w:cs="Arial"/>
                            <w:b/>
                            <w:bCs/>
                            <w:color w:val="000000"/>
                            <w:sz w:val="16"/>
                            <w:szCs w:val="16"/>
                            <w:lang w:eastAsia="es-EC"/>
                          </w:rPr>
                        </w:pPr>
                        <w:r w:rsidRPr="00C61AEB">
                          <w:rPr>
                            <w:rFonts w:ascii="Arial" w:eastAsia="Times New Roman" w:hAnsi="Arial" w:cs="Arial"/>
                            <w:b/>
                            <w:bCs/>
                            <w:color w:val="000000"/>
                            <w:sz w:val="16"/>
                            <w:szCs w:val="16"/>
                            <w:lang w:eastAsia="es-EC"/>
                          </w:rPr>
                          <w:t xml:space="preserve">País de residencia </w:t>
                        </w:r>
                        <w:r>
                          <w:rPr>
                            <w:rFonts w:ascii="Arial" w:eastAsia="Times New Roman" w:hAnsi="Arial" w:cs="Arial"/>
                            <w:b/>
                            <w:bCs/>
                            <w:color w:val="000000"/>
                            <w:sz w:val="16"/>
                            <w:szCs w:val="16"/>
                            <w:lang w:eastAsia="es-EC"/>
                          </w:rPr>
                          <w:t>actual</w:t>
                        </w:r>
                      </w:p>
                    </w:tc>
                    <w:tc>
                      <w:tcPr>
                        <w:tcW w:w="985" w:type="dxa"/>
                        <w:tcBorders>
                          <w:top w:val="single" w:sz="4" w:space="0" w:color="auto"/>
                          <w:left w:val="nil"/>
                          <w:bottom w:val="single" w:sz="4" w:space="0" w:color="auto"/>
                          <w:right w:val="nil"/>
                        </w:tcBorders>
                        <w:shd w:val="clear" w:color="auto" w:fill="auto"/>
                        <w:vAlign w:val="center"/>
                        <w:hideMark/>
                      </w:tcPr>
                      <w:p w:rsidR="0006543C" w:rsidRPr="00C61AEB" w:rsidRDefault="0006543C" w:rsidP="0006543C">
                        <w:pPr>
                          <w:rPr>
                            <w:rFonts w:ascii="Arial" w:eastAsia="Times New Roman" w:hAnsi="Arial" w:cs="Arial"/>
                            <w:b/>
                            <w:bCs/>
                            <w:color w:val="000000"/>
                            <w:sz w:val="16"/>
                            <w:szCs w:val="16"/>
                            <w:lang w:eastAsia="es-EC"/>
                          </w:rPr>
                        </w:pPr>
                        <w:r w:rsidRPr="00C61AEB">
                          <w:rPr>
                            <w:rFonts w:ascii="Arial" w:eastAsia="Times New Roman" w:hAnsi="Arial" w:cs="Arial"/>
                            <w:b/>
                            <w:bCs/>
                            <w:color w:val="000000"/>
                            <w:sz w:val="16"/>
                            <w:szCs w:val="16"/>
                            <w:lang w:eastAsia="es-EC"/>
                          </w:rPr>
                          <w:t>Frecuencia Relativa</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España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0.501</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Estados Unidos</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0.291</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Italia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0.083</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Chile</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0.015</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Venezuela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0.012</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Colombia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0.009</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Bélgica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0.006</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Canadá</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0.005</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Reino Unido</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0.004</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Suiza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0.003</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Francia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0.003</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Alemania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0.003</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Argentina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0.003</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Perú</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0.003</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México</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0.002</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Otros países</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0.020</w:t>
                        </w:r>
                      </w:p>
                    </w:tc>
                  </w:tr>
                  <w:tr w:rsidR="0006543C" w:rsidRPr="00C61AEB" w:rsidTr="0006543C">
                    <w:trPr>
                      <w:trHeight w:val="227"/>
                      <w:jc w:val="center"/>
                    </w:trPr>
                    <w:tc>
                      <w:tcPr>
                        <w:tcW w:w="1581" w:type="dxa"/>
                        <w:tcBorders>
                          <w:top w:val="nil"/>
                          <w:left w:val="nil"/>
                          <w:bottom w:val="nil"/>
                          <w:right w:val="nil"/>
                        </w:tcBorders>
                        <w:shd w:val="clear" w:color="auto" w:fill="auto"/>
                        <w:noWrap/>
                        <w:vAlign w:val="center"/>
                      </w:tcPr>
                      <w:p w:rsidR="0006543C" w:rsidRDefault="0006543C" w:rsidP="0086157B">
                        <w:pPr>
                          <w:jc w:val="left"/>
                          <w:rPr>
                            <w:rFonts w:ascii="Arial" w:hAnsi="Arial" w:cs="Arial"/>
                            <w:sz w:val="16"/>
                            <w:szCs w:val="16"/>
                          </w:rPr>
                        </w:pPr>
                        <w:r>
                          <w:rPr>
                            <w:rFonts w:ascii="Arial" w:hAnsi="Arial" w:cs="Arial"/>
                            <w:sz w:val="16"/>
                            <w:szCs w:val="16"/>
                          </w:rPr>
                          <w:t>No especifica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0.037</w:t>
                        </w:r>
                      </w:p>
                    </w:tc>
                  </w:tr>
                  <w:tr w:rsidR="0006543C" w:rsidRPr="00C61AEB" w:rsidTr="0006543C">
                    <w:trPr>
                      <w:trHeight w:val="227"/>
                      <w:jc w:val="center"/>
                    </w:trPr>
                    <w:tc>
                      <w:tcPr>
                        <w:tcW w:w="1581" w:type="dxa"/>
                        <w:tcBorders>
                          <w:top w:val="nil"/>
                          <w:left w:val="nil"/>
                          <w:bottom w:val="single" w:sz="4" w:space="0" w:color="auto"/>
                          <w:right w:val="nil"/>
                        </w:tcBorders>
                        <w:shd w:val="clear" w:color="auto" w:fill="auto"/>
                        <w:noWrap/>
                        <w:vAlign w:val="center"/>
                        <w:hideMark/>
                      </w:tcPr>
                      <w:p w:rsidR="0006543C" w:rsidRPr="00C61AEB" w:rsidRDefault="0006543C" w:rsidP="0086157B">
                        <w:pPr>
                          <w:jc w:val="left"/>
                          <w:rPr>
                            <w:rFonts w:ascii="Arial" w:eastAsia="Times New Roman" w:hAnsi="Arial" w:cs="Arial"/>
                            <w:b/>
                            <w:bCs/>
                            <w:i/>
                            <w:iCs/>
                            <w:color w:val="000000"/>
                            <w:sz w:val="16"/>
                            <w:szCs w:val="16"/>
                            <w:lang w:eastAsia="es-EC"/>
                          </w:rPr>
                        </w:pPr>
                        <w:r w:rsidRPr="00C61AEB">
                          <w:rPr>
                            <w:rFonts w:ascii="Arial" w:eastAsia="Times New Roman" w:hAnsi="Arial" w:cs="Arial"/>
                            <w:b/>
                            <w:bCs/>
                            <w:i/>
                            <w:iCs/>
                            <w:color w:val="000000"/>
                            <w:sz w:val="16"/>
                            <w:szCs w:val="16"/>
                            <w:lang w:eastAsia="es-EC"/>
                          </w:rPr>
                          <w:t>Total</w:t>
                        </w:r>
                      </w:p>
                    </w:tc>
                    <w:tc>
                      <w:tcPr>
                        <w:tcW w:w="985" w:type="dxa"/>
                        <w:tcBorders>
                          <w:top w:val="nil"/>
                          <w:left w:val="nil"/>
                          <w:bottom w:val="single" w:sz="4" w:space="0" w:color="auto"/>
                          <w:right w:val="nil"/>
                        </w:tcBorders>
                        <w:shd w:val="clear" w:color="auto" w:fill="auto"/>
                        <w:noWrap/>
                        <w:vAlign w:val="center"/>
                        <w:hideMark/>
                      </w:tcPr>
                      <w:p w:rsidR="0006543C" w:rsidRPr="00C61AEB" w:rsidRDefault="0006543C" w:rsidP="0006543C">
                        <w:pPr>
                          <w:rPr>
                            <w:rFonts w:ascii="Arial" w:eastAsia="Times New Roman" w:hAnsi="Arial" w:cs="Arial"/>
                            <w:b/>
                            <w:bCs/>
                            <w:i/>
                            <w:iCs/>
                            <w:color w:val="000000"/>
                            <w:sz w:val="16"/>
                            <w:szCs w:val="16"/>
                            <w:lang w:eastAsia="es-EC"/>
                          </w:rPr>
                        </w:pPr>
                        <w:r w:rsidRPr="00C61AEB">
                          <w:rPr>
                            <w:rFonts w:ascii="Arial" w:eastAsia="Times New Roman" w:hAnsi="Arial" w:cs="Arial"/>
                            <w:b/>
                            <w:bCs/>
                            <w:i/>
                            <w:iCs/>
                            <w:color w:val="000000"/>
                            <w:sz w:val="16"/>
                            <w:szCs w:val="16"/>
                            <w:lang w:eastAsia="es-EC"/>
                          </w:rPr>
                          <w:t>1.000</w:t>
                        </w:r>
                      </w:p>
                    </w:tc>
                  </w:tr>
                </w:tbl>
                <w:p w:rsidR="0006543C" w:rsidRDefault="0006543C" w:rsidP="0006543C">
                  <w:pPr>
                    <w:rPr>
                      <w:rFonts w:ascii="Arial" w:hAnsi="Arial" w:cs="Arial"/>
                      <w:sz w:val="24"/>
                      <w:szCs w:val="24"/>
                    </w:rPr>
                  </w:pPr>
                </w:p>
              </w:tc>
              <w:tc>
                <w:tcPr>
                  <w:tcW w:w="4427" w:type="dxa"/>
                </w:tcPr>
                <w:p w:rsidR="0006543C" w:rsidRPr="00C61AEB" w:rsidRDefault="0006543C" w:rsidP="0006543C">
                  <w:pPr>
                    <w:rPr>
                      <w:rFonts w:ascii="Arial" w:hAnsi="Arial" w:cs="Arial"/>
                      <w:b/>
                      <w:noProof/>
                      <w:sz w:val="16"/>
                      <w:szCs w:val="16"/>
                      <w:lang w:eastAsia="es-EC"/>
                    </w:rPr>
                  </w:pPr>
                  <w:r>
                    <w:rPr>
                      <w:rFonts w:ascii="Arial" w:hAnsi="Arial" w:cs="Arial"/>
                      <w:b/>
                      <w:noProof/>
                      <w:sz w:val="16"/>
                      <w:szCs w:val="16"/>
                      <w:lang w:eastAsia="es-EC"/>
                    </w:rPr>
                    <w:t>Histograma de Frecuencias</w:t>
                  </w:r>
                </w:p>
                <w:p w:rsidR="0006543C" w:rsidRDefault="0006543C" w:rsidP="0006543C">
                  <w:pPr>
                    <w:rPr>
                      <w:rFonts w:ascii="Arial" w:hAnsi="Arial" w:cs="Arial"/>
                      <w:sz w:val="24"/>
                      <w:szCs w:val="24"/>
                    </w:rPr>
                  </w:pPr>
                  <w:r>
                    <w:rPr>
                      <w:noProof/>
                      <w:lang w:eastAsia="es-EC"/>
                    </w:rPr>
                    <w:drawing>
                      <wp:inline distT="0" distB="0" distL="0" distR="0" wp14:anchorId="13E6CD5F" wp14:editId="18616060">
                        <wp:extent cx="2771775" cy="3000375"/>
                        <wp:effectExtent l="0" t="0" r="0" b="0"/>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tc>
            </w:tr>
          </w:tbl>
          <w:p w:rsidR="0006543C" w:rsidRPr="00840530" w:rsidRDefault="0006543C" w:rsidP="0006543C">
            <w:pPr>
              <w:rPr>
                <w:rFonts w:ascii="Arial" w:hAnsi="Arial" w:cs="Arial"/>
                <w:sz w:val="24"/>
                <w:szCs w:val="24"/>
              </w:rPr>
            </w:pPr>
          </w:p>
        </w:tc>
      </w:tr>
    </w:tbl>
    <w:p w:rsidR="0006543C" w:rsidRPr="00B21B84" w:rsidRDefault="0006543C" w:rsidP="00B21B84">
      <w:pPr>
        <w:pStyle w:val="Prrafodelista"/>
        <w:spacing w:line="276" w:lineRule="auto"/>
        <w:ind w:left="851"/>
        <w:jc w:val="both"/>
        <w:rPr>
          <w:rFonts w:ascii="Arial" w:hAnsi="Arial" w:cs="Arial"/>
          <w:sz w:val="17"/>
          <w:szCs w:val="17"/>
        </w:rPr>
      </w:pPr>
    </w:p>
    <w:p w:rsidR="0006543C" w:rsidRPr="00B21B84" w:rsidRDefault="0006543C" w:rsidP="00B21B84">
      <w:pPr>
        <w:pStyle w:val="Prrafodelista"/>
        <w:spacing w:line="276" w:lineRule="auto"/>
        <w:ind w:left="851"/>
        <w:jc w:val="both"/>
        <w:rPr>
          <w:rFonts w:ascii="Arial" w:hAnsi="Arial" w:cs="Arial"/>
          <w:sz w:val="17"/>
          <w:szCs w:val="17"/>
        </w:rPr>
      </w:pPr>
      <w:r w:rsidRPr="00B21B84">
        <w:rPr>
          <w:rFonts w:ascii="Arial" w:hAnsi="Arial" w:cs="Arial"/>
          <w:b/>
          <w:i/>
          <w:sz w:val="17"/>
          <w:szCs w:val="17"/>
        </w:rPr>
        <w:t>Fuente:</w:t>
      </w:r>
      <w:r w:rsidRPr="00B21B84">
        <w:rPr>
          <w:rFonts w:ascii="Arial" w:hAnsi="Arial" w:cs="Arial"/>
          <w:sz w:val="17"/>
          <w:szCs w:val="17"/>
        </w:rPr>
        <w:t xml:space="preserve"> </w:t>
      </w:r>
      <w:r w:rsidRPr="00B21B84">
        <w:rPr>
          <w:rFonts w:ascii="Arial" w:hAnsi="Arial" w:cs="Arial"/>
          <w:b/>
          <w:sz w:val="17"/>
          <w:szCs w:val="17"/>
        </w:rPr>
        <w:t xml:space="preserve">INEC </w:t>
      </w:r>
      <w:r w:rsidRPr="00B21B84">
        <w:rPr>
          <w:rFonts w:ascii="Arial" w:hAnsi="Arial" w:cs="Arial"/>
          <w:sz w:val="17"/>
          <w:szCs w:val="17"/>
        </w:rPr>
        <w:t>(2010), Base de Datos del VII Censo de Población y VI de Vivienda.</w:t>
      </w:r>
    </w:p>
    <w:p w:rsidR="0006543C" w:rsidRDefault="0006543C" w:rsidP="00B21B84">
      <w:pPr>
        <w:pStyle w:val="Prrafodelista"/>
        <w:spacing w:line="276" w:lineRule="auto"/>
        <w:ind w:left="851"/>
        <w:jc w:val="both"/>
        <w:rPr>
          <w:rFonts w:ascii="Arial" w:hAnsi="Arial" w:cs="Arial"/>
          <w:sz w:val="17"/>
          <w:szCs w:val="17"/>
        </w:rPr>
      </w:pPr>
      <w:r w:rsidRPr="00B21B84">
        <w:rPr>
          <w:rFonts w:ascii="Arial" w:hAnsi="Arial" w:cs="Arial"/>
          <w:b/>
          <w:i/>
          <w:sz w:val="17"/>
          <w:szCs w:val="17"/>
        </w:rPr>
        <w:t>Elaborado por:</w:t>
      </w:r>
      <w:r w:rsidRPr="00B21B84">
        <w:rPr>
          <w:rFonts w:ascii="Arial" w:hAnsi="Arial" w:cs="Arial"/>
          <w:sz w:val="17"/>
          <w:szCs w:val="17"/>
        </w:rPr>
        <w:t xml:space="preserve"> Katherine Loor Valeriano</w:t>
      </w:r>
    </w:p>
    <w:p w:rsidR="00B21B84" w:rsidRPr="00B21B84" w:rsidRDefault="00B21B84" w:rsidP="00B21B84">
      <w:pPr>
        <w:pStyle w:val="Prrafodelista"/>
        <w:spacing w:line="480" w:lineRule="auto"/>
        <w:ind w:left="851"/>
        <w:jc w:val="both"/>
        <w:rPr>
          <w:rFonts w:ascii="Arial" w:hAnsi="Arial" w:cs="Arial"/>
        </w:rPr>
      </w:pPr>
    </w:p>
    <w:p w:rsidR="0006543C" w:rsidRDefault="0006543C" w:rsidP="00B21B84">
      <w:pPr>
        <w:pStyle w:val="52"/>
        <w:ind w:left="851"/>
      </w:pPr>
      <w:bookmarkStart w:id="793" w:name="_Toc338407806"/>
      <w:bookmarkStart w:id="794" w:name="_Toc338412809"/>
      <w:bookmarkStart w:id="795" w:name="_Toc341040734"/>
      <w:r>
        <w:t xml:space="preserve">Índice de Feminidad de los </w:t>
      </w:r>
      <w:r w:rsidR="0086157B">
        <w:t>e</w:t>
      </w:r>
      <w:r>
        <w:t xml:space="preserve">migrantes </w:t>
      </w:r>
      <w:bookmarkEnd w:id="793"/>
      <w:bookmarkEnd w:id="794"/>
      <w:r w:rsidR="00B21B84">
        <w:t>que salieron por trabajo</w:t>
      </w:r>
      <w:bookmarkEnd w:id="795"/>
    </w:p>
    <w:p w:rsidR="0006543C" w:rsidRPr="00287F2C" w:rsidRDefault="0086157B" w:rsidP="00287F2C">
      <w:pPr>
        <w:spacing w:line="480" w:lineRule="auto"/>
        <w:ind w:left="851"/>
        <w:jc w:val="both"/>
        <w:rPr>
          <w:rFonts w:ascii="Arial" w:hAnsi="Arial" w:cs="Arial"/>
        </w:rPr>
      </w:pPr>
      <w:bookmarkStart w:id="796" w:name="_Toc339853127"/>
      <w:bookmarkStart w:id="797" w:name="_Toc340231897"/>
      <w:r w:rsidRPr="00287F2C">
        <w:rPr>
          <w:rFonts w:ascii="Arial" w:hAnsi="Arial" w:cs="Arial"/>
        </w:rPr>
        <w:t>D</w:t>
      </w:r>
      <w:r w:rsidR="0006543C" w:rsidRPr="00287F2C">
        <w:rPr>
          <w:rFonts w:ascii="Arial" w:hAnsi="Arial" w:cs="Arial"/>
        </w:rPr>
        <w:t xml:space="preserve">e los emigrantes que salieron del país para trabajar se </w:t>
      </w:r>
      <w:r w:rsidR="00AE13C0">
        <w:rPr>
          <w:rFonts w:ascii="Arial" w:hAnsi="Arial" w:cs="Arial"/>
        </w:rPr>
        <w:t>encontró</w:t>
      </w:r>
      <w:r w:rsidR="0006543C" w:rsidRPr="00287F2C">
        <w:rPr>
          <w:rFonts w:ascii="Arial" w:hAnsi="Arial" w:cs="Arial"/>
        </w:rPr>
        <w:t xml:space="preserve"> que el 57% son hombres y por tanto el 43% son mujeres, teniéndose que emigran 74.45 mujeres por cada 100 hombres. En la </w:t>
      </w:r>
      <w:r w:rsidR="0006543C" w:rsidRPr="00287F2C">
        <w:rPr>
          <w:rFonts w:ascii="Arial" w:hAnsi="Arial" w:cs="Arial"/>
          <w:i/>
        </w:rPr>
        <w:t>Figura 5.17</w:t>
      </w:r>
      <w:r w:rsidR="0006543C" w:rsidRPr="00287F2C">
        <w:rPr>
          <w:rFonts w:ascii="Arial" w:hAnsi="Arial" w:cs="Arial"/>
        </w:rPr>
        <w:t>, se presenta el índice de feminidad de los emigrantes por país de residencia actual, donde vemos que para la mayoría de los casos es mayor la cantidad de hombres que de mujeres por país, aunque en países como Italia, Bélgica, Suiza, Alemania entre otros el índice de feminidad toma valores mayores a 100, lo que significa que hacia estos países han emigrado mayor cantidad de mujeres que de hombres para trabajar, en esta parte sería de interés estudiar que ofrecen estos países en el campo laboral para nuestras emigrantes que no los hace tan atractivo para los hombres como en los otros casos</w:t>
      </w:r>
      <w:bookmarkEnd w:id="796"/>
      <w:bookmarkEnd w:id="797"/>
      <w:r w:rsidRPr="00287F2C">
        <w:rPr>
          <w:rFonts w:ascii="Arial" w:hAnsi="Arial" w:cs="Arial"/>
        </w:rPr>
        <w:t>; mientras que, hacia países como Estados Unidos, Argentina, Perú, Brasil y Panamá han emigrado menos de 50 mujeres por cada 100 hombres que emigran a cada uno de esos países. En Estados Unidos, en cambio, hay 90.38 mujeres por cada 100 hombres que emigran en busca de empleo; hacia Chile viajan 124 mujeres por cada 100 hombres que se dirigen al mismo país. Para más detalles véase Figura 5.17.</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86157B">
        <w:trPr>
          <w:trHeight w:val="2041"/>
          <w:jc w:val="right"/>
        </w:trPr>
        <w:tc>
          <w:tcPr>
            <w:tcW w:w="7497" w:type="dxa"/>
          </w:tcPr>
          <w:p w:rsidR="0006543C" w:rsidRPr="00840530" w:rsidRDefault="0006543C" w:rsidP="0006543C">
            <w:pPr>
              <w:rPr>
                <w:rFonts w:ascii="Arial" w:hAnsi="Arial" w:cs="Arial"/>
                <w:sz w:val="16"/>
                <w:szCs w:val="16"/>
              </w:rPr>
            </w:pPr>
          </w:p>
          <w:p w:rsidR="00E41CC4" w:rsidRPr="00E41CC4" w:rsidRDefault="00E41CC4" w:rsidP="00E41CC4">
            <w:pPr>
              <w:pStyle w:val="Epgrafe"/>
              <w:rPr>
                <w:rFonts w:ascii="Arial" w:hAnsi="Arial" w:cs="Arial"/>
                <w:bCs w:val="0"/>
                <w:color w:val="auto"/>
                <w:sz w:val="16"/>
                <w:szCs w:val="16"/>
              </w:rPr>
            </w:pPr>
            <w:bookmarkStart w:id="798" w:name="_Toc341044097"/>
            <w:r>
              <w:rPr>
                <w:rFonts w:ascii="Arial" w:hAnsi="Arial" w:cs="Arial"/>
                <w:bCs w:val="0"/>
                <w:color w:val="auto"/>
                <w:sz w:val="16"/>
                <w:szCs w:val="16"/>
              </w:rPr>
              <w:t>Figura 5.</w:t>
            </w:r>
            <w:r w:rsidR="00990535" w:rsidRPr="00E41CC4">
              <w:rPr>
                <w:rFonts w:ascii="Arial" w:hAnsi="Arial" w:cs="Arial"/>
                <w:bCs w:val="0"/>
                <w:color w:val="auto"/>
                <w:sz w:val="16"/>
                <w:szCs w:val="16"/>
              </w:rPr>
              <w:fldChar w:fldCharType="begin"/>
            </w:r>
            <w:r w:rsidRPr="00E41CC4">
              <w:rPr>
                <w:rFonts w:ascii="Arial" w:hAnsi="Arial" w:cs="Arial"/>
                <w:bCs w:val="0"/>
                <w:color w:val="auto"/>
                <w:sz w:val="16"/>
                <w:szCs w:val="16"/>
              </w:rPr>
              <w:instrText xml:space="preserve"> SEQ Figura_5. \* ARABIC </w:instrText>
            </w:r>
            <w:r w:rsidR="00990535" w:rsidRPr="00E41CC4">
              <w:rPr>
                <w:rFonts w:ascii="Arial" w:hAnsi="Arial" w:cs="Arial"/>
                <w:bCs w:val="0"/>
                <w:color w:val="auto"/>
                <w:sz w:val="16"/>
                <w:szCs w:val="16"/>
              </w:rPr>
              <w:fldChar w:fldCharType="separate"/>
            </w:r>
            <w:r w:rsidR="00A242E0">
              <w:rPr>
                <w:rFonts w:ascii="Arial" w:hAnsi="Arial" w:cs="Arial"/>
                <w:bCs w:val="0"/>
                <w:noProof/>
                <w:color w:val="auto"/>
                <w:sz w:val="16"/>
                <w:szCs w:val="16"/>
              </w:rPr>
              <w:t>17</w:t>
            </w:r>
            <w:bookmarkEnd w:id="798"/>
            <w:r w:rsidR="00990535" w:rsidRPr="00E41CC4">
              <w:rPr>
                <w:rFonts w:ascii="Arial" w:hAnsi="Arial" w:cs="Arial"/>
                <w:bCs w:val="0"/>
                <w:color w:val="auto"/>
                <w:sz w:val="16"/>
                <w:szCs w:val="16"/>
              </w:rPr>
              <w:fldChar w:fldCharType="end"/>
            </w:r>
          </w:p>
          <w:p w:rsidR="0086157B" w:rsidRDefault="0086157B" w:rsidP="0006543C">
            <w:pPr>
              <w:rPr>
                <w:rFonts w:ascii="Arial" w:hAnsi="Arial" w:cs="Arial"/>
                <w:b/>
                <w:i/>
                <w:sz w:val="16"/>
                <w:szCs w:val="16"/>
              </w:rPr>
            </w:pPr>
            <w:r>
              <w:rPr>
                <w:rFonts w:ascii="Arial" w:hAnsi="Arial" w:cs="Arial"/>
                <w:b/>
                <w:i/>
                <w:sz w:val="16"/>
                <w:szCs w:val="16"/>
              </w:rPr>
              <w:t xml:space="preserve">Ecuador 2010: </w:t>
            </w:r>
            <w:r w:rsidR="0006543C">
              <w:rPr>
                <w:rFonts w:ascii="Arial" w:hAnsi="Arial" w:cs="Arial"/>
                <w:i/>
                <w:sz w:val="16"/>
                <w:szCs w:val="16"/>
              </w:rPr>
              <w:t xml:space="preserve">Índice de Feminidad de los </w:t>
            </w:r>
            <w:r>
              <w:rPr>
                <w:rFonts w:ascii="Arial" w:hAnsi="Arial" w:cs="Arial"/>
                <w:i/>
                <w:sz w:val="16"/>
                <w:szCs w:val="16"/>
              </w:rPr>
              <w:t>e</w:t>
            </w:r>
            <w:r w:rsidR="0006543C">
              <w:rPr>
                <w:rFonts w:ascii="Arial" w:hAnsi="Arial" w:cs="Arial"/>
                <w:i/>
                <w:sz w:val="16"/>
                <w:szCs w:val="16"/>
              </w:rPr>
              <w:t xml:space="preserve">migrantes que viajaron para </w:t>
            </w:r>
            <w:r w:rsidR="0006543C" w:rsidRPr="00611711">
              <w:rPr>
                <w:rFonts w:ascii="Arial" w:hAnsi="Arial" w:cs="Arial"/>
                <w:b/>
                <w:i/>
                <w:sz w:val="16"/>
                <w:szCs w:val="16"/>
              </w:rPr>
              <w:t>trabajar</w:t>
            </w:r>
          </w:p>
          <w:p w:rsidR="0006543C" w:rsidRDefault="0006543C" w:rsidP="0006543C">
            <w:pPr>
              <w:rPr>
                <w:rFonts w:ascii="Arial" w:hAnsi="Arial" w:cs="Arial"/>
                <w:sz w:val="18"/>
                <w:szCs w:val="18"/>
              </w:rPr>
            </w:pPr>
            <w:r>
              <w:rPr>
                <w:rFonts w:ascii="Arial" w:hAnsi="Arial" w:cs="Arial"/>
                <w:i/>
                <w:sz w:val="16"/>
                <w:szCs w:val="16"/>
              </w:rPr>
              <w:t xml:space="preserve"> por País de residencia actual</w:t>
            </w:r>
          </w:p>
          <w:p w:rsidR="0006543C" w:rsidRPr="00287B5F" w:rsidRDefault="0006543C" w:rsidP="0006543C">
            <w:pPr>
              <w:rPr>
                <w:rFonts w:ascii="Arial" w:hAnsi="Arial" w:cs="Arial"/>
                <w:sz w:val="10"/>
                <w:szCs w:val="10"/>
              </w:rPr>
            </w:pPr>
          </w:p>
          <w:p w:rsidR="0006543C" w:rsidRPr="00840530" w:rsidRDefault="0086157B" w:rsidP="0006543C">
            <w:pPr>
              <w:rPr>
                <w:rFonts w:ascii="Arial" w:hAnsi="Arial" w:cs="Arial"/>
                <w:sz w:val="24"/>
                <w:szCs w:val="24"/>
              </w:rPr>
            </w:pPr>
            <w:r>
              <w:rPr>
                <w:noProof/>
                <w:lang w:eastAsia="es-EC"/>
              </w:rPr>
              <w:drawing>
                <wp:inline distT="0" distB="0" distL="0" distR="0" wp14:anchorId="0103D2DC" wp14:editId="0ABCE85D">
                  <wp:extent cx="4429125" cy="2162175"/>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tc>
      </w:tr>
    </w:tbl>
    <w:p w:rsidR="0006543C" w:rsidRPr="0086157B" w:rsidRDefault="0006543C" w:rsidP="0086157B">
      <w:pPr>
        <w:pStyle w:val="Prrafodelista"/>
        <w:spacing w:line="276" w:lineRule="auto"/>
        <w:ind w:left="851"/>
        <w:jc w:val="both"/>
        <w:rPr>
          <w:rFonts w:ascii="Arial" w:hAnsi="Arial" w:cs="Arial"/>
          <w:sz w:val="17"/>
          <w:szCs w:val="17"/>
        </w:rPr>
      </w:pPr>
    </w:p>
    <w:p w:rsidR="0006543C" w:rsidRPr="0086157B" w:rsidRDefault="0006543C" w:rsidP="0086157B">
      <w:pPr>
        <w:pStyle w:val="Prrafodelista"/>
        <w:spacing w:line="276" w:lineRule="auto"/>
        <w:ind w:left="851"/>
        <w:jc w:val="both"/>
        <w:rPr>
          <w:rFonts w:ascii="Arial" w:hAnsi="Arial" w:cs="Arial"/>
          <w:sz w:val="17"/>
          <w:szCs w:val="17"/>
        </w:rPr>
      </w:pPr>
      <w:r w:rsidRPr="0086157B">
        <w:rPr>
          <w:rFonts w:ascii="Arial" w:hAnsi="Arial" w:cs="Arial"/>
          <w:b/>
          <w:i/>
          <w:sz w:val="17"/>
          <w:szCs w:val="17"/>
        </w:rPr>
        <w:t>Fuente:</w:t>
      </w:r>
      <w:r w:rsidRPr="0086157B">
        <w:rPr>
          <w:rFonts w:ascii="Arial" w:hAnsi="Arial" w:cs="Arial"/>
          <w:sz w:val="17"/>
          <w:szCs w:val="17"/>
        </w:rPr>
        <w:t xml:space="preserve"> </w:t>
      </w:r>
      <w:r w:rsidRPr="0086157B">
        <w:rPr>
          <w:rFonts w:ascii="Arial" w:hAnsi="Arial" w:cs="Arial"/>
          <w:b/>
          <w:sz w:val="17"/>
          <w:szCs w:val="17"/>
        </w:rPr>
        <w:t xml:space="preserve">INEC </w:t>
      </w:r>
      <w:r w:rsidRPr="0086157B">
        <w:rPr>
          <w:rFonts w:ascii="Arial" w:hAnsi="Arial" w:cs="Arial"/>
          <w:sz w:val="17"/>
          <w:szCs w:val="17"/>
        </w:rPr>
        <w:t>(2010), Base de Datos del VII Censo de Población y VI de Vivienda.</w:t>
      </w:r>
    </w:p>
    <w:p w:rsidR="0006543C" w:rsidRPr="0086157B" w:rsidRDefault="0006543C" w:rsidP="0086157B">
      <w:pPr>
        <w:pStyle w:val="Prrafodelista"/>
        <w:spacing w:line="276" w:lineRule="auto"/>
        <w:ind w:left="851"/>
        <w:jc w:val="both"/>
        <w:rPr>
          <w:rFonts w:ascii="Arial" w:hAnsi="Arial" w:cs="Arial"/>
          <w:sz w:val="17"/>
          <w:szCs w:val="17"/>
        </w:rPr>
      </w:pPr>
      <w:r w:rsidRPr="0086157B">
        <w:rPr>
          <w:rFonts w:ascii="Arial" w:hAnsi="Arial" w:cs="Arial"/>
          <w:b/>
          <w:i/>
          <w:sz w:val="17"/>
          <w:szCs w:val="17"/>
        </w:rPr>
        <w:t>Elaborado por:</w:t>
      </w:r>
      <w:r w:rsidRPr="0086157B">
        <w:rPr>
          <w:rFonts w:ascii="Arial" w:hAnsi="Arial" w:cs="Arial"/>
          <w:sz w:val="17"/>
          <w:szCs w:val="17"/>
        </w:rPr>
        <w:t xml:space="preserve"> Katherine Loor Valeriano</w:t>
      </w:r>
    </w:p>
    <w:p w:rsidR="0006543C" w:rsidRDefault="0006543C" w:rsidP="0086157B">
      <w:pPr>
        <w:pStyle w:val="52"/>
        <w:ind w:left="851"/>
      </w:pPr>
      <w:bookmarkStart w:id="799" w:name="_Toc338407807"/>
      <w:bookmarkStart w:id="800" w:name="_Toc338412810"/>
      <w:bookmarkStart w:id="801" w:name="_Toc341040735"/>
      <w:r>
        <w:t xml:space="preserve">Distribución Género y Edad al salir del país de los </w:t>
      </w:r>
      <w:r w:rsidR="0086157B">
        <w:t>e</w:t>
      </w:r>
      <w:r>
        <w:t>migrantes que viajaron para trabajar</w:t>
      </w:r>
      <w:bookmarkEnd w:id="799"/>
      <w:bookmarkEnd w:id="800"/>
      <w:bookmarkEnd w:id="801"/>
    </w:p>
    <w:p w:rsidR="0006543C" w:rsidRPr="00287F2C" w:rsidRDefault="0006543C" w:rsidP="00287F2C">
      <w:pPr>
        <w:spacing w:line="480" w:lineRule="auto"/>
        <w:ind w:left="851"/>
        <w:jc w:val="both"/>
        <w:rPr>
          <w:rFonts w:ascii="Arial" w:hAnsi="Arial" w:cs="Arial"/>
        </w:rPr>
      </w:pPr>
      <w:bookmarkStart w:id="802" w:name="_Toc339853129"/>
      <w:bookmarkStart w:id="803" w:name="_Toc340231899"/>
      <w:r w:rsidRPr="00287F2C">
        <w:rPr>
          <w:rFonts w:ascii="Arial" w:hAnsi="Arial" w:cs="Arial"/>
        </w:rPr>
        <w:t xml:space="preserve">Recordemos que la edad promedio al salir del país de todos los emigrantes registrados en el último Censo es de 27.845 ± 0.024 años, mientras que si solamente consideramos a los que salieron del país por motivos de trabajo la edad promedio al salir del país es de 30.517 ± 0.024 años, la edad mínima y máxima es de 15 y 99 años, la edad de mayor frecuencia o moda es 30 años, el 50% de los emigrantes son menores de 29 años. </w:t>
      </w:r>
      <w:r w:rsidRPr="00287F2C">
        <w:rPr>
          <w:rFonts w:ascii="Arial" w:hAnsi="Arial" w:cs="Arial"/>
          <w:i/>
        </w:rPr>
        <w:t>Véase Tabla 5.2</w:t>
      </w:r>
      <w:r w:rsidRPr="00287F2C">
        <w:rPr>
          <w:rFonts w:ascii="Arial" w:hAnsi="Arial" w:cs="Arial"/>
        </w:rPr>
        <w:t>.</w:t>
      </w:r>
      <w:bookmarkEnd w:id="802"/>
      <w:bookmarkEnd w:id="803"/>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86157B">
        <w:trPr>
          <w:trHeight w:val="1814"/>
          <w:jc w:val="right"/>
        </w:trPr>
        <w:tc>
          <w:tcPr>
            <w:tcW w:w="7497" w:type="dxa"/>
          </w:tcPr>
          <w:p w:rsidR="0006543C" w:rsidRPr="00840530" w:rsidRDefault="0006543C" w:rsidP="0006543C">
            <w:pPr>
              <w:rPr>
                <w:rFonts w:ascii="Arial" w:hAnsi="Arial" w:cs="Arial"/>
                <w:sz w:val="16"/>
                <w:szCs w:val="16"/>
              </w:rPr>
            </w:pPr>
          </w:p>
          <w:p w:rsidR="00E41CC4" w:rsidRPr="00E41CC4" w:rsidRDefault="00E41CC4" w:rsidP="00E41CC4">
            <w:pPr>
              <w:pStyle w:val="Epgrafe"/>
              <w:rPr>
                <w:rFonts w:ascii="Arial" w:hAnsi="Arial" w:cs="Arial"/>
                <w:bCs w:val="0"/>
                <w:color w:val="auto"/>
                <w:sz w:val="16"/>
                <w:szCs w:val="16"/>
              </w:rPr>
            </w:pPr>
            <w:bookmarkStart w:id="804" w:name="_Toc341042148"/>
            <w:r w:rsidRPr="00E41CC4">
              <w:rPr>
                <w:rFonts w:ascii="Arial" w:hAnsi="Arial" w:cs="Arial"/>
                <w:bCs w:val="0"/>
                <w:color w:val="auto"/>
                <w:sz w:val="16"/>
                <w:szCs w:val="16"/>
              </w:rPr>
              <w:t>Tabla 5.</w:t>
            </w:r>
            <w:r w:rsidR="00990535" w:rsidRPr="00E41CC4">
              <w:rPr>
                <w:rFonts w:ascii="Arial" w:hAnsi="Arial" w:cs="Arial"/>
                <w:bCs w:val="0"/>
                <w:color w:val="auto"/>
                <w:sz w:val="16"/>
                <w:szCs w:val="16"/>
              </w:rPr>
              <w:fldChar w:fldCharType="begin"/>
            </w:r>
            <w:r w:rsidRPr="00E41CC4">
              <w:rPr>
                <w:rFonts w:ascii="Arial" w:hAnsi="Arial" w:cs="Arial"/>
                <w:bCs w:val="0"/>
                <w:color w:val="auto"/>
                <w:sz w:val="16"/>
                <w:szCs w:val="16"/>
              </w:rPr>
              <w:instrText xml:space="preserve"> SEQ Tabla_5. \* ARABIC </w:instrText>
            </w:r>
            <w:r w:rsidR="00990535" w:rsidRPr="00E41CC4">
              <w:rPr>
                <w:rFonts w:ascii="Arial" w:hAnsi="Arial" w:cs="Arial"/>
                <w:bCs w:val="0"/>
                <w:color w:val="auto"/>
                <w:sz w:val="16"/>
                <w:szCs w:val="16"/>
              </w:rPr>
              <w:fldChar w:fldCharType="separate"/>
            </w:r>
            <w:r w:rsidR="00A242E0">
              <w:rPr>
                <w:rFonts w:ascii="Arial" w:hAnsi="Arial" w:cs="Arial"/>
                <w:bCs w:val="0"/>
                <w:noProof/>
                <w:color w:val="auto"/>
                <w:sz w:val="16"/>
                <w:szCs w:val="16"/>
              </w:rPr>
              <w:t>2</w:t>
            </w:r>
            <w:bookmarkEnd w:id="804"/>
            <w:r w:rsidR="00990535" w:rsidRPr="00E41CC4">
              <w:rPr>
                <w:rFonts w:ascii="Arial" w:hAnsi="Arial" w:cs="Arial"/>
                <w:bCs w:val="0"/>
                <w:color w:val="auto"/>
                <w:sz w:val="16"/>
                <w:szCs w:val="16"/>
              </w:rPr>
              <w:fldChar w:fldCharType="end"/>
            </w:r>
          </w:p>
          <w:p w:rsidR="0086157B" w:rsidRDefault="0086157B" w:rsidP="0006543C">
            <w:pPr>
              <w:rPr>
                <w:rFonts w:ascii="Arial" w:hAnsi="Arial" w:cs="Arial"/>
                <w:i/>
                <w:sz w:val="16"/>
                <w:szCs w:val="16"/>
              </w:rPr>
            </w:pPr>
            <w:r>
              <w:rPr>
                <w:rFonts w:ascii="Arial" w:hAnsi="Arial" w:cs="Arial"/>
                <w:b/>
                <w:i/>
                <w:sz w:val="16"/>
                <w:szCs w:val="16"/>
              </w:rPr>
              <w:t xml:space="preserve">Ecuador 2010: </w:t>
            </w:r>
            <w:r w:rsidR="0006543C">
              <w:rPr>
                <w:rFonts w:ascii="Arial" w:hAnsi="Arial" w:cs="Arial"/>
                <w:i/>
                <w:sz w:val="16"/>
                <w:szCs w:val="16"/>
              </w:rPr>
              <w:t xml:space="preserve">Estadísticas Descriptivas de la Edad al salir del país de los </w:t>
            </w:r>
            <w:r>
              <w:rPr>
                <w:rFonts w:ascii="Arial" w:hAnsi="Arial" w:cs="Arial"/>
                <w:i/>
                <w:sz w:val="16"/>
                <w:szCs w:val="16"/>
              </w:rPr>
              <w:t>e</w:t>
            </w:r>
            <w:r w:rsidR="0006543C">
              <w:rPr>
                <w:rFonts w:ascii="Arial" w:hAnsi="Arial" w:cs="Arial"/>
                <w:i/>
                <w:sz w:val="16"/>
                <w:szCs w:val="16"/>
              </w:rPr>
              <w:t>migrantes</w:t>
            </w:r>
            <w:r w:rsidR="004A6007">
              <w:rPr>
                <w:rFonts w:ascii="Arial" w:hAnsi="Arial" w:cs="Arial"/>
                <w:i/>
                <w:sz w:val="16"/>
                <w:szCs w:val="16"/>
              </w:rPr>
              <w:t xml:space="preserve"> </w:t>
            </w:r>
          </w:p>
          <w:p w:rsidR="0006543C" w:rsidRPr="004A6007" w:rsidRDefault="004A6007" w:rsidP="0006543C">
            <w:pPr>
              <w:rPr>
                <w:rFonts w:ascii="Arial" w:hAnsi="Arial" w:cs="Arial"/>
                <w:b/>
                <w:i/>
                <w:sz w:val="16"/>
                <w:szCs w:val="16"/>
              </w:rPr>
            </w:pPr>
            <w:r>
              <w:rPr>
                <w:rFonts w:ascii="Arial" w:hAnsi="Arial" w:cs="Arial"/>
                <w:i/>
                <w:sz w:val="16"/>
                <w:szCs w:val="16"/>
              </w:rPr>
              <w:t xml:space="preserve">que viajaron por </w:t>
            </w:r>
            <w:r>
              <w:rPr>
                <w:rFonts w:ascii="Arial" w:hAnsi="Arial" w:cs="Arial"/>
                <w:b/>
                <w:i/>
                <w:sz w:val="16"/>
                <w:szCs w:val="16"/>
              </w:rPr>
              <w:t>trabajo</w:t>
            </w:r>
          </w:p>
          <w:p w:rsidR="0006543C" w:rsidRPr="001116D3" w:rsidRDefault="0006543C" w:rsidP="0006543C">
            <w:pPr>
              <w:rPr>
                <w:rFonts w:ascii="Arial" w:hAnsi="Arial" w:cs="Arial"/>
                <w:sz w:val="10"/>
                <w:szCs w:val="10"/>
              </w:rPr>
            </w:pPr>
          </w:p>
          <w:tbl>
            <w:tblPr>
              <w:tblW w:w="6938" w:type="dxa"/>
              <w:jc w:val="center"/>
              <w:tblCellMar>
                <w:left w:w="70" w:type="dxa"/>
                <w:right w:w="70" w:type="dxa"/>
              </w:tblCellMar>
              <w:tblLook w:val="04A0" w:firstRow="1" w:lastRow="0" w:firstColumn="1" w:lastColumn="0" w:noHBand="0" w:noVBand="1"/>
            </w:tblPr>
            <w:tblGrid>
              <w:gridCol w:w="664"/>
              <w:gridCol w:w="984"/>
              <w:gridCol w:w="624"/>
              <w:gridCol w:w="1029"/>
              <w:gridCol w:w="794"/>
              <w:gridCol w:w="696"/>
              <w:gridCol w:w="794"/>
              <w:gridCol w:w="735"/>
              <w:gridCol w:w="618"/>
            </w:tblGrid>
            <w:tr w:rsidR="0006543C" w:rsidRPr="001116D3" w:rsidTr="0086157B">
              <w:trPr>
                <w:trHeight w:val="397"/>
                <w:jc w:val="center"/>
              </w:trPr>
              <w:tc>
                <w:tcPr>
                  <w:tcW w:w="66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Media</w:t>
                  </w:r>
                </w:p>
              </w:tc>
              <w:tc>
                <w:tcPr>
                  <w:tcW w:w="1018"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Error estándar de la media</w:t>
                  </w:r>
                </w:p>
              </w:tc>
              <w:tc>
                <w:tcPr>
                  <w:tcW w:w="62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Moda</w:t>
                  </w:r>
                </w:p>
              </w:tc>
              <w:tc>
                <w:tcPr>
                  <w:tcW w:w="1046"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Desviación estándar</w:t>
                  </w:r>
                </w:p>
              </w:tc>
              <w:tc>
                <w:tcPr>
                  <w:tcW w:w="79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Mínimo</w:t>
                  </w:r>
                </w:p>
              </w:tc>
              <w:tc>
                <w:tcPr>
                  <w:tcW w:w="696"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Máximo</w:t>
                  </w:r>
                </w:p>
              </w:tc>
              <w:tc>
                <w:tcPr>
                  <w:tcW w:w="79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Cuartil 1</w:t>
                  </w:r>
                </w:p>
              </w:tc>
              <w:tc>
                <w:tcPr>
                  <w:tcW w:w="735"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Mediana</w:t>
                  </w:r>
                </w:p>
              </w:tc>
              <w:tc>
                <w:tcPr>
                  <w:tcW w:w="567"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Cuartil 3</w:t>
                  </w:r>
                </w:p>
              </w:tc>
            </w:tr>
            <w:tr w:rsidR="0006543C" w:rsidRPr="001116D3" w:rsidTr="0086157B">
              <w:trPr>
                <w:trHeight w:val="227"/>
                <w:jc w:val="center"/>
              </w:trPr>
              <w:tc>
                <w:tcPr>
                  <w:tcW w:w="664" w:type="dxa"/>
                  <w:tcBorders>
                    <w:top w:val="nil"/>
                    <w:left w:val="nil"/>
                    <w:bottom w:val="single" w:sz="8" w:space="0" w:color="auto"/>
                    <w:right w:val="nil"/>
                  </w:tcBorders>
                  <w:shd w:val="clear" w:color="auto" w:fill="auto"/>
                  <w:noWrap/>
                  <w:vAlign w:val="center"/>
                  <w:hideMark/>
                </w:tcPr>
                <w:p w:rsidR="0006543C" w:rsidRPr="001116D3" w:rsidRDefault="0006543C" w:rsidP="0006543C">
                  <w:pPr>
                    <w:rPr>
                      <w:rFonts w:ascii="Arial" w:eastAsia="Times New Roman" w:hAnsi="Arial" w:cs="Arial"/>
                      <w:color w:val="000000"/>
                      <w:sz w:val="16"/>
                      <w:szCs w:val="16"/>
                      <w:lang w:eastAsia="es-EC"/>
                    </w:rPr>
                  </w:pPr>
                  <w:r w:rsidRPr="001116D3">
                    <w:rPr>
                      <w:rFonts w:ascii="Arial" w:eastAsia="Times New Roman" w:hAnsi="Arial" w:cs="Arial"/>
                      <w:color w:val="000000"/>
                      <w:sz w:val="16"/>
                      <w:szCs w:val="16"/>
                      <w:lang w:eastAsia="es-EC"/>
                    </w:rPr>
                    <w:t>30.517</w:t>
                  </w:r>
                </w:p>
              </w:tc>
              <w:tc>
                <w:tcPr>
                  <w:tcW w:w="1018" w:type="dxa"/>
                  <w:tcBorders>
                    <w:top w:val="nil"/>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color w:val="000000"/>
                      <w:sz w:val="16"/>
                      <w:szCs w:val="16"/>
                      <w:lang w:eastAsia="es-EC"/>
                    </w:rPr>
                  </w:pPr>
                  <w:r w:rsidRPr="001116D3">
                    <w:rPr>
                      <w:rFonts w:ascii="Arial" w:eastAsia="Times New Roman" w:hAnsi="Arial" w:cs="Arial"/>
                      <w:color w:val="000000"/>
                      <w:sz w:val="16"/>
                      <w:szCs w:val="16"/>
                      <w:lang w:eastAsia="es-EC"/>
                    </w:rPr>
                    <w:t>0.024</w:t>
                  </w:r>
                </w:p>
              </w:tc>
              <w:tc>
                <w:tcPr>
                  <w:tcW w:w="624" w:type="dxa"/>
                  <w:tcBorders>
                    <w:top w:val="nil"/>
                    <w:left w:val="nil"/>
                    <w:bottom w:val="single" w:sz="8" w:space="0" w:color="auto"/>
                    <w:right w:val="nil"/>
                  </w:tcBorders>
                  <w:shd w:val="clear" w:color="auto" w:fill="auto"/>
                  <w:noWrap/>
                  <w:vAlign w:val="center"/>
                  <w:hideMark/>
                </w:tcPr>
                <w:p w:rsidR="0006543C" w:rsidRPr="001116D3" w:rsidRDefault="0006543C" w:rsidP="0006543C">
                  <w:pPr>
                    <w:rPr>
                      <w:rFonts w:ascii="Arial" w:eastAsia="Times New Roman" w:hAnsi="Arial" w:cs="Arial"/>
                      <w:color w:val="000000"/>
                      <w:sz w:val="16"/>
                      <w:szCs w:val="16"/>
                      <w:lang w:eastAsia="es-EC"/>
                    </w:rPr>
                  </w:pPr>
                  <w:r w:rsidRPr="001116D3">
                    <w:rPr>
                      <w:rFonts w:ascii="Arial" w:eastAsia="Times New Roman" w:hAnsi="Arial" w:cs="Arial"/>
                      <w:color w:val="000000"/>
                      <w:sz w:val="16"/>
                      <w:szCs w:val="16"/>
                      <w:lang w:eastAsia="es-EC"/>
                    </w:rPr>
                    <w:t>30</w:t>
                  </w:r>
                </w:p>
              </w:tc>
              <w:tc>
                <w:tcPr>
                  <w:tcW w:w="1046" w:type="dxa"/>
                  <w:tcBorders>
                    <w:top w:val="nil"/>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color w:val="000000"/>
                      <w:sz w:val="16"/>
                      <w:szCs w:val="16"/>
                      <w:lang w:eastAsia="es-EC"/>
                    </w:rPr>
                  </w:pPr>
                  <w:r w:rsidRPr="001116D3">
                    <w:rPr>
                      <w:rFonts w:ascii="Arial" w:eastAsia="Times New Roman" w:hAnsi="Arial" w:cs="Arial"/>
                      <w:color w:val="000000"/>
                      <w:sz w:val="16"/>
                      <w:szCs w:val="16"/>
                      <w:lang w:eastAsia="es-EC"/>
                    </w:rPr>
                    <w:t>10.328</w:t>
                  </w:r>
                </w:p>
              </w:tc>
              <w:tc>
                <w:tcPr>
                  <w:tcW w:w="794" w:type="dxa"/>
                  <w:tcBorders>
                    <w:top w:val="nil"/>
                    <w:left w:val="nil"/>
                    <w:bottom w:val="single" w:sz="8" w:space="0" w:color="auto"/>
                    <w:right w:val="nil"/>
                  </w:tcBorders>
                  <w:shd w:val="clear" w:color="auto" w:fill="auto"/>
                  <w:noWrap/>
                  <w:vAlign w:val="center"/>
                  <w:hideMark/>
                </w:tcPr>
                <w:p w:rsidR="0006543C" w:rsidRPr="001116D3" w:rsidRDefault="0006543C" w:rsidP="0006543C">
                  <w:pPr>
                    <w:rPr>
                      <w:rFonts w:ascii="Arial" w:eastAsia="Times New Roman" w:hAnsi="Arial" w:cs="Arial"/>
                      <w:color w:val="000000"/>
                      <w:sz w:val="16"/>
                      <w:szCs w:val="16"/>
                      <w:lang w:eastAsia="es-EC"/>
                    </w:rPr>
                  </w:pPr>
                  <w:r w:rsidRPr="001116D3">
                    <w:rPr>
                      <w:rFonts w:ascii="Arial" w:eastAsia="Times New Roman" w:hAnsi="Arial" w:cs="Arial"/>
                      <w:color w:val="000000"/>
                      <w:sz w:val="16"/>
                      <w:szCs w:val="16"/>
                      <w:lang w:eastAsia="es-EC"/>
                    </w:rPr>
                    <w:t>15</w:t>
                  </w:r>
                </w:p>
              </w:tc>
              <w:tc>
                <w:tcPr>
                  <w:tcW w:w="696" w:type="dxa"/>
                  <w:tcBorders>
                    <w:top w:val="nil"/>
                    <w:left w:val="nil"/>
                    <w:bottom w:val="single" w:sz="8" w:space="0" w:color="auto"/>
                    <w:right w:val="nil"/>
                  </w:tcBorders>
                  <w:shd w:val="clear" w:color="auto" w:fill="auto"/>
                  <w:noWrap/>
                  <w:vAlign w:val="center"/>
                  <w:hideMark/>
                </w:tcPr>
                <w:p w:rsidR="0006543C" w:rsidRPr="001116D3" w:rsidRDefault="0006543C" w:rsidP="0006543C">
                  <w:pPr>
                    <w:rPr>
                      <w:rFonts w:ascii="Arial" w:eastAsia="Times New Roman" w:hAnsi="Arial" w:cs="Arial"/>
                      <w:color w:val="000000"/>
                      <w:sz w:val="16"/>
                      <w:szCs w:val="16"/>
                      <w:lang w:eastAsia="es-EC"/>
                    </w:rPr>
                  </w:pPr>
                  <w:r w:rsidRPr="001116D3">
                    <w:rPr>
                      <w:rFonts w:ascii="Arial" w:eastAsia="Times New Roman" w:hAnsi="Arial" w:cs="Arial"/>
                      <w:color w:val="000000"/>
                      <w:sz w:val="16"/>
                      <w:szCs w:val="16"/>
                      <w:lang w:eastAsia="es-EC"/>
                    </w:rPr>
                    <w:t>99</w:t>
                  </w:r>
                </w:p>
              </w:tc>
              <w:tc>
                <w:tcPr>
                  <w:tcW w:w="794" w:type="dxa"/>
                  <w:tcBorders>
                    <w:top w:val="nil"/>
                    <w:left w:val="nil"/>
                    <w:bottom w:val="single" w:sz="8" w:space="0" w:color="auto"/>
                    <w:right w:val="nil"/>
                  </w:tcBorders>
                  <w:shd w:val="clear" w:color="auto" w:fill="auto"/>
                  <w:noWrap/>
                  <w:vAlign w:val="center"/>
                  <w:hideMark/>
                </w:tcPr>
                <w:p w:rsidR="0006543C" w:rsidRPr="001116D3" w:rsidRDefault="0006543C" w:rsidP="0006543C">
                  <w:pPr>
                    <w:rPr>
                      <w:rFonts w:ascii="Arial" w:eastAsia="Times New Roman" w:hAnsi="Arial" w:cs="Arial"/>
                      <w:color w:val="000000"/>
                      <w:sz w:val="16"/>
                      <w:szCs w:val="16"/>
                      <w:lang w:eastAsia="es-EC"/>
                    </w:rPr>
                  </w:pPr>
                  <w:r w:rsidRPr="001116D3">
                    <w:rPr>
                      <w:rFonts w:ascii="Arial" w:eastAsia="Times New Roman" w:hAnsi="Arial" w:cs="Arial"/>
                      <w:color w:val="000000"/>
                      <w:sz w:val="16"/>
                      <w:szCs w:val="16"/>
                      <w:lang w:eastAsia="es-EC"/>
                    </w:rPr>
                    <w:t>22</w:t>
                  </w:r>
                </w:p>
              </w:tc>
              <w:tc>
                <w:tcPr>
                  <w:tcW w:w="735" w:type="dxa"/>
                  <w:tcBorders>
                    <w:top w:val="nil"/>
                    <w:left w:val="nil"/>
                    <w:bottom w:val="single" w:sz="8" w:space="0" w:color="auto"/>
                    <w:right w:val="nil"/>
                  </w:tcBorders>
                  <w:shd w:val="clear" w:color="auto" w:fill="auto"/>
                  <w:noWrap/>
                  <w:vAlign w:val="center"/>
                  <w:hideMark/>
                </w:tcPr>
                <w:p w:rsidR="0006543C" w:rsidRPr="001116D3" w:rsidRDefault="0006543C" w:rsidP="0006543C">
                  <w:pPr>
                    <w:rPr>
                      <w:rFonts w:ascii="Arial" w:eastAsia="Times New Roman" w:hAnsi="Arial" w:cs="Arial"/>
                      <w:color w:val="000000"/>
                      <w:sz w:val="16"/>
                      <w:szCs w:val="16"/>
                      <w:lang w:eastAsia="es-EC"/>
                    </w:rPr>
                  </w:pPr>
                  <w:r w:rsidRPr="001116D3">
                    <w:rPr>
                      <w:rFonts w:ascii="Arial" w:eastAsia="Times New Roman" w:hAnsi="Arial" w:cs="Arial"/>
                      <w:color w:val="000000"/>
                      <w:sz w:val="16"/>
                      <w:szCs w:val="16"/>
                      <w:lang w:eastAsia="es-EC"/>
                    </w:rPr>
                    <w:t>29</w:t>
                  </w:r>
                </w:p>
              </w:tc>
              <w:tc>
                <w:tcPr>
                  <w:tcW w:w="567" w:type="dxa"/>
                  <w:tcBorders>
                    <w:top w:val="nil"/>
                    <w:left w:val="nil"/>
                    <w:bottom w:val="single" w:sz="8" w:space="0" w:color="auto"/>
                    <w:right w:val="nil"/>
                  </w:tcBorders>
                  <w:shd w:val="clear" w:color="auto" w:fill="auto"/>
                  <w:noWrap/>
                  <w:vAlign w:val="center"/>
                  <w:hideMark/>
                </w:tcPr>
                <w:p w:rsidR="0006543C" w:rsidRPr="001116D3" w:rsidRDefault="0006543C" w:rsidP="0006543C">
                  <w:pPr>
                    <w:rPr>
                      <w:rFonts w:ascii="Arial" w:eastAsia="Times New Roman" w:hAnsi="Arial" w:cs="Arial"/>
                      <w:color w:val="000000"/>
                      <w:sz w:val="16"/>
                      <w:szCs w:val="16"/>
                      <w:lang w:eastAsia="es-EC"/>
                    </w:rPr>
                  </w:pPr>
                  <w:r w:rsidRPr="001116D3">
                    <w:rPr>
                      <w:rFonts w:ascii="Arial" w:eastAsia="Times New Roman" w:hAnsi="Arial" w:cs="Arial"/>
                      <w:color w:val="000000"/>
                      <w:sz w:val="16"/>
                      <w:szCs w:val="16"/>
                      <w:lang w:eastAsia="es-EC"/>
                    </w:rPr>
                    <w:t>36</w:t>
                  </w:r>
                </w:p>
              </w:tc>
            </w:tr>
          </w:tbl>
          <w:p w:rsidR="0006543C" w:rsidRPr="001116D3" w:rsidRDefault="0006543C" w:rsidP="0006543C">
            <w:pPr>
              <w:rPr>
                <w:rFonts w:ascii="Arial" w:hAnsi="Arial" w:cs="Arial"/>
                <w:sz w:val="10"/>
                <w:szCs w:val="10"/>
              </w:rPr>
            </w:pPr>
          </w:p>
        </w:tc>
      </w:tr>
    </w:tbl>
    <w:p w:rsidR="0006543C" w:rsidRPr="0086157B" w:rsidRDefault="0006543C" w:rsidP="0086157B">
      <w:pPr>
        <w:pStyle w:val="Prrafodelista"/>
        <w:spacing w:line="276" w:lineRule="auto"/>
        <w:ind w:left="851"/>
        <w:jc w:val="both"/>
        <w:rPr>
          <w:rFonts w:ascii="Arial" w:hAnsi="Arial" w:cs="Arial"/>
          <w:sz w:val="17"/>
          <w:szCs w:val="17"/>
        </w:rPr>
      </w:pPr>
    </w:p>
    <w:p w:rsidR="0006543C" w:rsidRPr="0086157B" w:rsidRDefault="0006543C" w:rsidP="0086157B">
      <w:pPr>
        <w:pStyle w:val="Prrafodelista"/>
        <w:spacing w:line="276" w:lineRule="auto"/>
        <w:ind w:left="851"/>
        <w:jc w:val="both"/>
        <w:rPr>
          <w:rFonts w:ascii="Arial" w:hAnsi="Arial" w:cs="Arial"/>
          <w:sz w:val="17"/>
          <w:szCs w:val="17"/>
        </w:rPr>
      </w:pPr>
      <w:r w:rsidRPr="0086157B">
        <w:rPr>
          <w:rFonts w:ascii="Arial" w:hAnsi="Arial" w:cs="Arial"/>
          <w:b/>
          <w:i/>
          <w:sz w:val="17"/>
          <w:szCs w:val="17"/>
        </w:rPr>
        <w:t>Fuente:</w:t>
      </w:r>
      <w:r w:rsidRPr="0086157B">
        <w:rPr>
          <w:rFonts w:ascii="Arial" w:hAnsi="Arial" w:cs="Arial"/>
          <w:sz w:val="17"/>
          <w:szCs w:val="17"/>
        </w:rPr>
        <w:t xml:space="preserve"> </w:t>
      </w:r>
      <w:r w:rsidRPr="0086157B">
        <w:rPr>
          <w:rFonts w:ascii="Arial" w:hAnsi="Arial" w:cs="Arial"/>
          <w:b/>
          <w:sz w:val="17"/>
          <w:szCs w:val="17"/>
        </w:rPr>
        <w:t xml:space="preserve">INEC </w:t>
      </w:r>
      <w:r w:rsidRPr="0086157B">
        <w:rPr>
          <w:rFonts w:ascii="Arial" w:hAnsi="Arial" w:cs="Arial"/>
          <w:sz w:val="17"/>
          <w:szCs w:val="17"/>
        </w:rPr>
        <w:t>(2010), Base de Datos del VII Censo de Población y VI de Vivienda.</w:t>
      </w:r>
    </w:p>
    <w:p w:rsidR="0006543C" w:rsidRPr="0086157B" w:rsidRDefault="0006543C" w:rsidP="0086157B">
      <w:pPr>
        <w:pStyle w:val="Prrafodelista"/>
        <w:spacing w:line="276" w:lineRule="auto"/>
        <w:ind w:left="851"/>
        <w:jc w:val="both"/>
        <w:rPr>
          <w:rFonts w:ascii="Arial" w:hAnsi="Arial" w:cs="Arial"/>
          <w:sz w:val="17"/>
          <w:szCs w:val="17"/>
        </w:rPr>
      </w:pPr>
      <w:r w:rsidRPr="0086157B">
        <w:rPr>
          <w:rFonts w:ascii="Arial" w:hAnsi="Arial" w:cs="Arial"/>
          <w:b/>
          <w:i/>
          <w:sz w:val="17"/>
          <w:szCs w:val="17"/>
        </w:rPr>
        <w:t>Elaborado por:</w:t>
      </w:r>
      <w:r w:rsidRPr="0086157B">
        <w:rPr>
          <w:rFonts w:ascii="Arial" w:hAnsi="Arial" w:cs="Arial"/>
          <w:sz w:val="17"/>
          <w:szCs w:val="17"/>
        </w:rPr>
        <w:t xml:space="preserve"> Katherine Loor Valeriano</w:t>
      </w:r>
    </w:p>
    <w:p w:rsidR="0006543C" w:rsidRDefault="0006543C" w:rsidP="0086157B">
      <w:pPr>
        <w:spacing w:line="480" w:lineRule="auto"/>
        <w:ind w:left="851"/>
        <w:jc w:val="both"/>
        <w:rPr>
          <w:rFonts w:ascii="Arial" w:hAnsi="Arial" w:cs="Arial"/>
        </w:rPr>
      </w:pPr>
    </w:p>
    <w:p w:rsidR="0006543C" w:rsidRPr="00287F2C" w:rsidRDefault="0086157B" w:rsidP="00287F2C">
      <w:pPr>
        <w:spacing w:line="480" w:lineRule="auto"/>
        <w:ind w:left="851"/>
        <w:jc w:val="both"/>
        <w:rPr>
          <w:rFonts w:ascii="Arial" w:hAnsi="Arial" w:cs="Arial"/>
        </w:rPr>
      </w:pPr>
      <w:bookmarkStart w:id="805" w:name="_Toc339853130"/>
      <w:bookmarkStart w:id="806" w:name="_Toc340231900"/>
      <w:r w:rsidRPr="00287F2C">
        <w:rPr>
          <w:rFonts w:ascii="Arial" w:hAnsi="Arial" w:cs="Arial"/>
        </w:rPr>
        <w:t>D</w:t>
      </w:r>
      <w:r w:rsidR="0006543C" w:rsidRPr="00287F2C">
        <w:rPr>
          <w:rFonts w:ascii="Arial" w:hAnsi="Arial" w:cs="Arial"/>
        </w:rPr>
        <w:t xml:space="preserve">e los emigrantes que salieron a trabajar el 99.40% son personas con edades comprendidas entre los 15 y 65 años, es decir, son personas en edad económicamente activa, tan solo el 0.60% son adultos mayores; y, cabe resaltar que ninguna persona menor de 15 años dejó Ecuador para ir a trabajar a otro país. </w:t>
      </w:r>
      <w:r w:rsidRPr="00287F2C">
        <w:rPr>
          <w:rFonts w:ascii="Arial" w:hAnsi="Arial" w:cs="Arial"/>
        </w:rPr>
        <w:t>S</w:t>
      </w:r>
      <w:r w:rsidR="0006543C" w:rsidRPr="00287F2C">
        <w:rPr>
          <w:rFonts w:ascii="Arial" w:hAnsi="Arial" w:cs="Arial"/>
        </w:rPr>
        <w:t xml:space="preserve">i solamente consideramos a los hombres el 99.43% de ellos tienen entre 15 y 65 años; y, si consideramos a las mujeres se tiene que el 99.35% de ellas están en edad económicamente activa. En la </w:t>
      </w:r>
      <w:r w:rsidR="0006543C" w:rsidRPr="00287F2C">
        <w:rPr>
          <w:rFonts w:ascii="Arial" w:hAnsi="Arial" w:cs="Arial"/>
          <w:i/>
        </w:rPr>
        <w:t>Figura 5.18</w:t>
      </w:r>
      <w:r w:rsidR="0006543C" w:rsidRPr="00287F2C">
        <w:rPr>
          <w:rFonts w:ascii="Arial" w:hAnsi="Arial" w:cs="Arial"/>
        </w:rPr>
        <w:t>, se muestra la distribución de género – edad al salir del país de los emigrantes que fueron a trabajar, en donde notamos que la barra de mayor longitud corresponde a los emigrantes con edades comprendidas entre 20 y 25 años los cuales constituyen el 21.98% del total de emigrantes, la segunda barra de mayor longitud corresponde a los emigrantes con edades entre 25 y 30 años; y, la tercera barra de mayor longitud corresponde a las edades entre 30 y 35 años. Así como también, se puede decir que el 13.01% del total de emigrantes son hombres con edades entre 20 y 25 años, y el 8.97% son mujeres con edades comprendidas en el mismo grupo etario.</w:t>
      </w:r>
      <w:bookmarkEnd w:id="805"/>
      <w:bookmarkEnd w:id="806"/>
    </w:p>
    <w:tbl>
      <w:tblPr>
        <w:tblStyle w:val="Tablaconcuadrcula"/>
        <w:tblW w:w="7459" w:type="dxa"/>
        <w:jc w:val="right"/>
        <w:tblInd w:w="1024"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59"/>
      </w:tblGrid>
      <w:tr w:rsidR="0006543C" w:rsidRPr="00840530" w:rsidTr="0086157B">
        <w:trPr>
          <w:trHeight w:val="2041"/>
          <w:jc w:val="right"/>
        </w:trPr>
        <w:tc>
          <w:tcPr>
            <w:tcW w:w="7459" w:type="dxa"/>
          </w:tcPr>
          <w:p w:rsidR="0006543C" w:rsidRPr="00840530" w:rsidRDefault="0006543C" w:rsidP="0006543C">
            <w:pPr>
              <w:rPr>
                <w:rFonts w:ascii="Arial" w:hAnsi="Arial" w:cs="Arial"/>
                <w:sz w:val="16"/>
                <w:szCs w:val="16"/>
              </w:rPr>
            </w:pPr>
          </w:p>
          <w:p w:rsidR="00E41CC4" w:rsidRPr="00E41CC4" w:rsidRDefault="00E41CC4" w:rsidP="00E41CC4">
            <w:pPr>
              <w:pStyle w:val="Epgrafe"/>
              <w:rPr>
                <w:rFonts w:ascii="Arial" w:hAnsi="Arial" w:cs="Arial"/>
                <w:bCs w:val="0"/>
                <w:color w:val="auto"/>
                <w:sz w:val="16"/>
                <w:szCs w:val="16"/>
              </w:rPr>
            </w:pPr>
            <w:bookmarkStart w:id="807" w:name="_Toc341044098"/>
            <w:r w:rsidRPr="00E41CC4">
              <w:rPr>
                <w:rFonts w:ascii="Arial" w:hAnsi="Arial" w:cs="Arial"/>
                <w:bCs w:val="0"/>
                <w:color w:val="auto"/>
                <w:sz w:val="16"/>
                <w:szCs w:val="16"/>
              </w:rPr>
              <w:t>Figur</w:t>
            </w:r>
            <w:r>
              <w:rPr>
                <w:rFonts w:ascii="Arial" w:hAnsi="Arial" w:cs="Arial"/>
                <w:bCs w:val="0"/>
                <w:color w:val="auto"/>
                <w:sz w:val="16"/>
                <w:szCs w:val="16"/>
              </w:rPr>
              <w:t>a 5.</w:t>
            </w:r>
            <w:r w:rsidR="00990535" w:rsidRPr="00E41CC4">
              <w:rPr>
                <w:rFonts w:ascii="Arial" w:hAnsi="Arial" w:cs="Arial"/>
                <w:bCs w:val="0"/>
                <w:color w:val="auto"/>
                <w:sz w:val="16"/>
                <w:szCs w:val="16"/>
              </w:rPr>
              <w:fldChar w:fldCharType="begin"/>
            </w:r>
            <w:r w:rsidRPr="00E41CC4">
              <w:rPr>
                <w:rFonts w:ascii="Arial" w:hAnsi="Arial" w:cs="Arial"/>
                <w:bCs w:val="0"/>
                <w:color w:val="auto"/>
                <w:sz w:val="16"/>
                <w:szCs w:val="16"/>
              </w:rPr>
              <w:instrText xml:space="preserve"> SEQ Figura_5. \* ARABIC </w:instrText>
            </w:r>
            <w:r w:rsidR="00990535" w:rsidRPr="00E41CC4">
              <w:rPr>
                <w:rFonts w:ascii="Arial" w:hAnsi="Arial" w:cs="Arial"/>
                <w:bCs w:val="0"/>
                <w:color w:val="auto"/>
                <w:sz w:val="16"/>
                <w:szCs w:val="16"/>
              </w:rPr>
              <w:fldChar w:fldCharType="separate"/>
            </w:r>
            <w:r w:rsidR="00A242E0">
              <w:rPr>
                <w:rFonts w:ascii="Arial" w:hAnsi="Arial" w:cs="Arial"/>
                <w:bCs w:val="0"/>
                <w:noProof/>
                <w:color w:val="auto"/>
                <w:sz w:val="16"/>
                <w:szCs w:val="16"/>
              </w:rPr>
              <w:t>18</w:t>
            </w:r>
            <w:bookmarkEnd w:id="807"/>
            <w:r w:rsidR="00990535" w:rsidRPr="00E41CC4">
              <w:rPr>
                <w:rFonts w:ascii="Arial" w:hAnsi="Arial" w:cs="Arial"/>
                <w:bCs w:val="0"/>
                <w:color w:val="auto"/>
                <w:sz w:val="16"/>
                <w:szCs w:val="16"/>
              </w:rPr>
              <w:fldChar w:fldCharType="end"/>
            </w:r>
          </w:p>
          <w:p w:rsidR="0086157B" w:rsidRDefault="0086157B" w:rsidP="0006543C">
            <w:pPr>
              <w:rPr>
                <w:rFonts w:ascii="Arial" w:hAnsi="Arial" w:cs="Arial"/>
                <w:i/>
                <w:sz w:val="16"/>
                <w:szCs w:val="16"/>
              </w:rPr>
            </w:pPr>
            <w:r>
              <w:rPr>
                <w:rFonts w:ascii="Arial" w:hAnsi="Arial" w:cs="Arial"/>
                <w:b/>
                <w:i/>
                <w:sz w:val="16"/>
                <w:szCs w:val="16"/>
              </w:rPr>
              <w:t xml:space="preserve">Ecuador 2010: </w:t>
            </w:r>
            <w:r w:rsidR="0006543C">
              <w:rPr>
                <w:rFonts w:ascii="Arial" w:hAnsi="Arial" w:cs="Arial"/>
                <w:i/>
                <w:sz w:val="16"/>
                <w:szCs w:val="16"/>
              </w:rPr>
              <w:t xml:space="preserve">Distribución Género – Edad al salir del país de los </w:t>
            </w:r>
            <w:r>
              <w:rPr>
                <w:rFonts w:ascii="Arial" w:hAnsi="Arial" w:cs="Arial"/>
                <w:i/>
                <w:sz w:val="16"/>
                <w:szCs w:val="16"/>
              </w:rPr>
              <w:t>e</w:t>
            </w:r>
            <w:r w:rsidR="0006543C">
              <w:rPr>
                <w:rFonts w:ascii="Arial" w:hAnsi="Arial" w:cs="Arial"/>
                <w:i/>
                <w:sz w:val="16"/>
                <w:szCs w:val="16"/>
              </w:rPr>
              <w:t xml:space="preserve">migrantes </w:t>
            </w:r>
          </w:p>
          <w:p w:rsidR="0006543C" w:rsidRDefault="0006543C" w:rsidP="0006543C">
            <w:pPr>
              <w:rPr>
                <w:rFonts w:ascii="Arial" w:hAnsi="Arial" w:cs="Arial"/>
                <w:sz w:val="18"/>
                <w:szCs w:val="18"/>
              </w:rPr>
            </w:pPr>
            <w:r>
              <w:rPr>
                <w:rFonts w:ascii="Arial" w:hAnsi="Arial" w:cs="Arial"/>
                <w:i/>
                <w:sz w:val="16"/>
                <w:szCs w:val="16"/>
              </w:rPr>
              <w:t xml:space="preserve">que viajaron para </w:t>
            </w:r>
            <w:r w:rsidRPr="00611711">
              <w:rPr>
                <w:rFonts w:ascii="Arial" w:hAnsi="Arial" w:cs="Arial"/>
                <w:b/>
                <w:i/>
                <w:sz w:val="16"/>
                <w:szCs w:val="16"/>
              </w:rPr>
              <w:t>trabajar</w:t>
            </w:r>
          </w:p>
          <w:p w:rsidR="0006543C" w:rsidRPr="00840530" w:rsidRDefault="00436907" w:rsidP="0006543C">
            <w:pPr>
              <w:rPr>
                <w:rFonts w:ascii="Arial" w:hAnsi="Arial" w:cs="Arial"/>
                <w:sz w:val="24"/>
                <w:szCs w:val="24"/>
              </w:rPr>
            </w:pPr>
            <w:r>
              <w:rPr>
                <w:rFonts w:ascii="Arial" w:hAnsi="Arial" w:cs="Arial"/>
                <w:noProof/>
                <w:sz w:val="16"/>
                <w:szCs w:val="16"/>
                <w:lang w:eastAsia="es-EC"/>
              </w:rPr>
              <w:pict>
                <v:shape id="_x0000_s1802" type="#_x0000_t202" style="position:absolute;left:0;text-align:left;margin-left:208.25pt;margin-top:9.95pt;width:143.75pt;height:19.05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filled="f" stroked="f" strokecolor="white [3212]">
                  <v:textbox style="mso-next-textbox:#_x0000_s1802">
                    <w:txbxContent>
                      <w:p w:rsidR="006933DF" w:rsidRPr="0086157B" w:rsidRDefault="006933DF" w:rsidP="0006543C">
                        <w:pPr>
                          <w:rPr>
                            <w:rFonts w:ascii="Arial" w:hAnsi="Arial" w:cs="Arial"/>
                            <w:b/>
                            <w:sz w:val="15"/>
                            <w:szCs w:val="15"/>
                          </w:rPr>
                        </w:pPr>
                        <w:r w:rsidRPr="0086157B">
                          <w:rPr>
                            <w:rFonts w:ascii="Arial" w:hAnsi="Arial" w:cs="Arial"/>
                            <w:b/>
                            <w:sz w:val="15"/>
                            <w:szCs w:val="15"/>
                          </w:rPr>
                          <w:t>Femenino</w:t>
                        </w:r>
                      </w:p>
                    </w:txbxContent>
                  </v:textbox>
                </v:shape>
              </w:pict>
            </w:r>
            <w:r>
              <w:rPr>
                <w:rFonts w:ascii="Arial" w:hAnsi="Arial" w:cs="Arial"/>
                <w:noProof/>
                <w:sz w:val="16"/>
                <w:szCs w:val="16"/>
                <w:lang w:eastAsia="es-EC"/>
              </w:rPr>
              <w:pict>
                <v:shape id="_x0000_s1801" type="#_x0000_t202" style="position:absolute;left:0;text-align:left;margin-left:64.5pt;margin-top:9.95pt;width:143.75pt;height:19.05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filled="f" stroked="f" strokecolor="white [3212]">
                  <v:textbox style="mso-next-textbox:#_x0000_s1801">
                    <w:txbxContent>
                      <w:p w:rsidR="006933DF" w:rsidRPr="0086157B" w:rsidRDefault="006933DF" w:rsidP="0006543C">
                        <w:pPr>
                          <w:rPr>
                            <w:rFonts w:ascii="Arial" w:hAnsi="Arial" w:cs="Arial"/>
                            <w:b/>
                            <w:sz w:val="15"/>
                            <w:szCs w:val="15"/>
                          </w:rPr>
                        </w:pPr>
                        <w:r w:rsidRPr="0086157B">
                          <w:rPr>
                            <w:rFonts w:ascii="Arial" w:hAnsi="Arial" w:cs="Arial"/>
                            <w:b/>
                            <w:sz w:val="15"/>
                            <w:szCs w:val="15"/>
                          </w:rPr>
                          <w:t>Masculino</w:t>
                        </w:r>
                      </w:p>
                    </w:txbxContent>
                  </v:textbox>
                </v:shape>
              </w:pict>
            </w:r>
            <w:r w:rsidR="0006543C">
              <w:rPr>
                <w:noProof/>
                <w:lang w:eastAsia="es-EC"/>
              </w:rPr>
              <w:drawing>
                <wp:inline distT="0" distB="0" distL="0" distR="0" wp14:anchorId="532F3E86" wp14:editId="567E72DF">
                  <wp:extent cx="4600575" cy="2609850"/>
                  <wp:effectExtent l="0" t="0" r="0" b="0"/>
                  <wp:docPr id="165" name="Gráfico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c>
      </w:tr>
    </w:tbl>
    <w:p w:rsidR="0006543C" w:rsidRPr="0086157B" w:rsidRDefault="0006543C" w:rsidP="0086157B">
      <w:pPr>
        <w:pStyle w:val="Prrafodelista"/>
        <w:spacing w:line="276" w:lineRule="auto"/>
        <w:ind w:left="851"/>
        <w:jc w:val="both"/>
        <w:rPr>
          <w:rFonts w:ascii="Arial" w:hAnsi="Arial" w:cs="Arial"/>
          <w:sz w:val="17"/>
          <w:szCs w:val="17"/>
        </w:rPr>
      </w:pPr>
    </w:p>
    <w:p w:rsidR="0006543C" w:rsidRPr="0086157B" w:rsidRDefault="0006543C" w:rsidP="0086157B">
      <w:pPr>
        <w:pStyle w:val="Prrafodelista"/>
        <w:spacing w:line="276" w:lineRule="auto"/>
        <w:ind w:left="851"/>
        <w:jc w:val="both"/>
        <w:rPr>
          <w:rFonts w:ascii="Arial" w:hAnsi="Arial" w:cs="Arial"/>
          <w:sz w:val="17"/>
          <w:szCs w:val="17"/>
        </w:rPr>
      </w:pPr>
      <w:r w:rsidRPr="0086157B">
        <w:rPr>
          <w:rFonts w:ascii="Arial" w:hAnsi="Arial" w:cs="Arial"/>
          <w:b/>
          <w:i/>
          <w:sz w:val="17"/>
          <w:szCs w:val="17"/>
        </w:rPr>
        <w:t>Fuente:</w:t>
      </w:r>
      <w:r w:rsidRPr="0086157B">
        <w:rPr>
          <w:rFonts w:ascii="Arial" w:hAnsi="Arial" w:cs="Arial"/>
          <w:sz w:val="17"/>
          <w:szCs w:val="17"/>
        </w:rPr>
        <w:t xml:space="preserve"> </w:t>
      </w:r>
      <w:r w:rsidRPr="0086157B">
        <w:rPr>
          <w:rFonts w:ascii="Arial" w:hAnsi="Arial" w:cs="Arial"/>
          <w:b/>
          <w:sz w:val="17"/>
          <w:szCs w:val="17"/>
        </w:rPr>
        <w:t xml:space="preserve">INEC </w:t>
      </w:r>
      <w:r w:rsidRPr="0086157B">
        <w:rPr>
          <w:rFonts w:ascii="Arial" w:hAnsi="Arial" w:cs="Arial"/>
          <w:sz w:val="17"/>
          <w:szCs w:val="17"/>
        </w:rPr>
        <w:t>(2010), Base de Datos del VII Censo de Población y VI de Vivienda.</w:t>
      </w:r>
    </w:p>
    <w:p w:rsidR="0006543C" w:rsidRPr="0086157B" w:rsidRDefault="0006543C" w:rsidP="0086157B">
      <w:pPr>
        <w:pStyle w:val="Prrafodelista"/>
        <w:spacing w:line="276" w:lineRule="auto"/>
        <w:ind w:left="851"/>
        <w:jc w:val="both"/>
        <w:rPr>
          <w:rFonts w:ascii="Arial" w:hAnsi="Arial" w:cs="Arial"/>
          <w:sz w:val="17"/>
          <w:szCs w:val="17"/>
        </w:rPr>
      </w:pPr>
      <w:r w:rsidRPr="0086157B">
        <w:rPr>
          <w:rFonts w:ascii="Arial" w:hAnsi="Arial" w:cs="Arial"/>
          <w:b/>
          <w:i/>
          <w:sz w:val="17"/>
          <w:szCs w:val="17"/>
        </w:rPr>
        <w:t>Elaborado por:</w:t>
      </w:r>
      <w:r w:rsidRPr="0086157B">
        <w:rPr>
          <w:rFonts w:ascii="Arial" w:hAnsi="Arial" w:cs="Arial"/>
          <w:sz w:val="17"/>
          <w:szCs w:val="17"/>
        </w:rPr>
        <w:t xml:space="preserve"> Katherine Loor Valeriano</w:t>
      </w:r>
    </w:p>
    <w:p w:rsidR="0006543C" w:rsidRDefault="0006543C" w:rsidP="0086157B">
      <w:pPr>
        <w:spacing w:line="480" w:lineRule="auto"/>
        <w:ind w:left="851"/>
        <w:jc w:val="both"/>
        <w:rPr>
          <w:rFonts w:ascii="Arial" w:hAnsi="Arial" w:cs="Arial"/>
        </w:rPr>
      </w:pPr>
    </w:p>
    <w:p w:rsidR="0006543C" w:rsidRPr="00287F2C" w:rsidRDefault="0006543C" w:rsidP="00287F2C">
      <w:pPr>
        <w:spacing w:line="480" w:lineRule="auto"/>
        <w:ind w:left="851"/>
        <w:jc w:val="both"/>
        <w:rPr>
          <w:rFonts w:ascii="Arial" w:hAnsi="Arial" w:cs="Arial"/>
        </w:rPr>
      </w:pPr>
      <w:bookmarkStart w:id="808" w:name="_Toc339853131"/>
      <w:bookmarkStart w:id="809" w:name="_Toc340231901"/>
      <w:r w:rsidRPr="00287F2C">
        <w:rPr>
          <w:rFonts w:ascii="Arial" w:hAnsi="Arial" w:cs="Arial"/>
        </w:rPr>
        <w:t xml:space="preserve">En la </w:t>
      </w:r>
      <w:r w:rsidRPr="00287F2C">
        <w:rPr>
          <w:rFonts w:ascii="Arial" w:hAnsi="Arial" w:cs="Arial"/>
          <w:i/>
        </w:rPr>
        <w:t>Figura 5.19</w:t>
      </w:r>
      <w:r w:rsidRPr="00287F2C">
        <w:rPr>
          <w:rFonts w:ascii="Arial" w:hAnsi="Arial" w:cs="Arial"/>
        </w:rPr>
        <w:t>, se muestra la distribución de edad al salir del país de los emigrantes que viajaron para trabajar por país de residencia actual para los países donde viven las mayores ponderaciones de los emigrantes. En donde, podemos notar que la mayor proporción de la población que reside en los diferentes países tienen entre 15 y 35 años, otra proporción considerable tiene entre 35 y 65 años; y, la cantidad de adultos mayores es menor, aunque de todos los países mostrados Chile es el que recibe el más alto porcentaje de emigrantes mayores de 65 años. Además, tenemos que de los emigrantes que residen actualmente en España y cuyo motivo principal del viaje es trabajar el 66.70% tienen entre 15 y 35 años, el 32.84% tienen edades comprendidas entre 35 y 65 años y el porcentaje restante son mayores de 65 años; mientras que, de los que viven en Estados Unidos, se observa que el 75.20% tienen entre 15 y 35 años, el 24.05% tienen entre 35 y 65 años y el 0.75% son adultos mayores.</w:t>
      </w:r>
      <w:bookmarkEnd w:id="808"/>
      <w:bookmarkEnd w:id="809"/>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86157B">
        <w:trPr>
          <w:trHeight w:val="2041"/>
          <w:jc w:val="right"/>
        </w:trPr>
        <w:tc>
          <w:tcPr>
            <w:tcW w:w="7497" w:type="dxa"/>
          </w:tcPr>
          <w:p w:rsidR="0006543C" w:rsidRPr="00840530" w:rsidRDefault="0006543C" w:rsidP="0006543C">
            <w:pPr>
              <w:rPr>
                <w:rFonts w:ascii="Arial" w:hAnsi="Arial" w:cs="Arial"/>
                <w:sz w:val="16"/>
                <w:szCs w:val="16"/>
              </w:rPr>
            </w:pPr>
          </w:p>
          <w:p w:rsidR="00E41CC4" w:rsidRPr="00E41CC4" w:rsidRDefault="00E41CC4" w:rsidP="00E41CC4">
            <w:pPr>
              <w:pStyle w:val="Epgrafe"/>
              <w:rPr>
                <w:rFonts w:ascii="Arial" w:hAnsi="Arial" w:cs="Arial"/>
                <w:bCs w:val="0"/>
                <w:color w:val="auto"/>
                <w:sz w:val="16"/>
                <w:szCs w:val="16"/>
              </w:rPr>
            </w:pPr>
            <w:bookmarkStart w:id="810" w:name="_Toc341044099"/>
            <w:r>
              <w:rPr>
                <w:rFonts w:ascii="Arial" w:hAnsi="Arial" w:cs="Arial"/>
                <w:bCs w:val="0"/>
                <w:color w:val="auto"/>
                <w:sz w:val="16"/>
                <w:szCs w:val="16"/>
              </w:rPr>
              <w:t>Figura 5.</w:t>
            </w:r>
            <w:r w:rsidR="00990535" w:rsidRPr="00E41CC4">
              <w:rPr>
                <w:rFonts w:ascii="Arial" w:hAnsi="Arial" w:cs="Arial"/>
                <w:bCs w:val="0"/>
                <w:color w:val="auto"/>
                <w:sz w:val="16"/>
                <w:szCs w:val="16"/>
              </w:rPr>
              <w:fldChar w:fldCharType="begin"/>
            </w:r>
            <w:r w:rsidRPr="00E41CC4">
              <w:rPr>
                <w:rFonts w:ascii="Arial" w:hAnsi="Arial" w:cs="Arial"/>
                <w:bCs w:val="0"/>
                <w:color w:val="auto"/>
                <w:sz w:val="16"/>
                <w:szCs w:val="16"/>
              </w:rPr>
              <w:instrText xml:space="preserve"> SEQ Figura_5. \* ARABIC </w:instrText>
            </w:r>
            <w:r w:rsidR="00990535" w:rsidRPr="00E41CC4">
              <w:rPr>
                <w:rFonts w:ascii="Arial" w:hAnsi="Arial" w:cs="Arial"/>
                <w:bCs w:val="0"/>
                <w:color w:val="auto"/>
                <w:sz w:val="16"/>
                <w:szCs w:val="16"/>
              </w:rPr>
              <w:fldChar w:fldCharType="separate"/>
            </w:r>
            <w:r w:rsidR="00A242E0">
              <w:rPr>
                <w:rFonts w:ascii="Arial" w:hAnsi="Arial" w:cs="Arial"/>
                <w:bCs w:val="0"/>
                <w:noProof/>
                <w:color w:val="auto"/>
                <w:sz w:val="16"/>
                <w:szCs w:val="16"/>
              </w:rPr>
              <w:t>19</w:t>
            </w:r>
            <w:bookmarkEnd w:id="810"/>
            <w:r w:rsidR="00990535" w:rsidRPr="00E41CC4">
              <w:rPr>
                <w:rFonts w:ascii="Arial" w:hAnsi="Arial" w:cs="Arial"/>
                <w:bCs w:val="0"/>
                <w:color w:val="auto"/>
                <w:sz w:val="16"/>
                <w:szCs w:val="16"/>
              </w:rPr>
              <w:fldChar w:fldCharType="end"/>
            </w:r>
          </w:p>
          <w:p w:rsidR="0006543C" w:rsidRDefault="0086157B" w:rsidP="0006543C">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Distribución condicional</w:t>
            </w:r>
            <w:r w:rsidR="0006543C">
              <w:rPr>
                <w:rFonts w:ascii="Arial" w:hAnsi="Arial" w:cs="Arial"/>
                <w:i/>
                <w:sz w:val="16"/>
                <w:szCs w:val="16"/>
              </w:rPr>
              <w:t xml:space="preserve"> de la Edad al salir del país de los Emigrantes que viajaron </w:t>
            </w:r>
          </w:p>
          <w:p w:rsidR="0006543C" w:rsidRDefault="0006543C" w:rsidP="0006543C">
            <w:pPr>
              <w:rPr>
                <w:rFonts w:ascii="Arial" w:hAnsi="Arial" w:cs="Arial"/>
                <w:sz w:val="18"/>
                <w:szCs w:val="18"/>
              </w:rPr>
            </w:pPr>
            <w:r>
              <w:rPr>
                <w:rFonts w:ascii="Arial" w:hAnsi="Arial" w:cs="Arial"/>
                <w:i/>
                <w:sz w:val="16"/>
                <w:szCs w:val="16"/>
              </w:rPr>
              <w:t xml:space="preserve">para </w:t>
            </w:r>
            <w:r w:rsidRPr="00611711">
              <w:rPr>
                <w:rFonts w:ascii="Arial" w:hAnsi="Arial" w:cs="Arial"/>
                <w:b/>
                <w:i/>
                <w:sz w:val="16"/>
                <w:szCs w:val="16"/>
              </w:rPr>
              <w:t>trabajar</w:t>
            </w:r>
            <w:r>
              <w:rPr>
                <w:rFonts w:ascii="Arial" w:hAnsi="Arial" w:cs="Arial"/>
                <w:i/>
                <w:sz w:val="16"/>
                <w:szCs w:val="16"/>
              </w:rPr>
              <w:t xml:space="preserve"> </w:t>
            </w:r>
            <w:r w:rsidR="0086157B">
              <w:rPr>
                <w:rFonts w:ascii="Arial" w:hAnsi="Arial" w:cs="Arial"/>
                <w:i/>
                <w:sz w:val="16"/>
                <w:szCs w:val="16"/>
              </w:rPr>
              <w:t>dado que se conoce el</w:t>
            </w:r>
            <w:r>
              <w:rPr>
                <w:rFonts w:ascii="Arial" w:hAnsi="Arial" w:cs="Arial"/>
                <w:i/>
                <w:sz w:val="16"/>
                <w:szCs w:val="16"/>
              </w:rPr>
              <w:t xml:space="preserve"> País de residencia actual</w:t>
            </w:r>
          </w:p>
          <w:p w:rsidR="0006543C" w:rsidRPr="00840530" w:rsidRDefault="0006543C" w:rsidP="0006543C">
            <w:pPr>
              <w:rPr>
                <w:rFonts w:ascii="Arial" w:hAnsi="Arial" w:cs="Arial"/>
                <w:sz w:val="24"/>
                <w:szCs w:val="24"/>
              </w:rPr>
            </w:pPr>
            <w:r>
              <w:rPr>
                <w:noProof/>
                <w:lang w:eastAsia="es-EC"/>
              </w:rPr>
              <w:drawing>
                <wp:inline distT="0" distB="0" distL="0" distR="0" wp14:anchorId="38E8C9C8" wp14:editId="5591D972">
                  <wp:extent cx="4562475" cy="2047875"/>
                  <wp:effectExtent l="0" t="0" r="0" b="0"/>
                  <wp:docPr id="166" name="Gráfico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tc>
      </w:tr>
    </w:tbl>
    <w:p w:rsidR="0006543C" w:rsidRPr="0086157B" w:rsidRDefault="0006543C" w:rsidP="0086157B">
      <w:pPr>
        <w:pStyle w:val="Prrafodelista"/>
        <w:spacing w:line="276" w:lineRule="auto"/>
        <w:ind w:left="851"/>
        <w:jc w:val="both"/>
        <w:rPr>
          <w:rFonts w:ascii="Arial" w:hAnsi="Arial" w:cs="Arial"/>
          <w:sz w:val="17"/>
          <w:szCs w:val="17"/>
        </w:rPr>
      </w:pPr>
    </w:p>
    <w:p w:rsidR="0006543C" w:rsidRPr="0086157B" w:rsidRDefault="0006543C" w:rsidP="0086157B">
      <w:pPr>
        <w:pStyle w:val="Prrafodelista"/>
        <w:spacing w:line="276" w:lineRule="auto"/>
        <w:ind w:left="851"/>
        <w:jc w:val="both"/>
        <w:rPr>
          <w:rFonts w:ascii="Arial" w:hAnsi="Arial" w:cs="Arial"/>
          <w:sz w:val="17"/>
          <w:szCs w:val="17"/>
        </w:rPr>
      </w:pPr>
      <w:r w:rsidRPr="0086157B">
        <w:rPr>
          <w:rFonts w:ascii="Arial" w:hAnsi="Arial" w:cs="Arial"/>
          <w:b/>
          <w:i/>
          <w:sz w:val="17"/>
          <w:szCs w:val="17"/>
        </w:rPr>
        <w:t>Fuente:</w:t>
      </w:r>
      <w:r w:rsidRPr="0086157B">
        <w:rPr>
          <w:rFonts w:ascii="Arial" w:hAnsi="Arial" w:cs="Arial"/>
          <w:sz w:val="17"/>
          <w:szCs w:val="17"/>
        </w:rPr>
        <w:t xml:space="preserve"> </w:t>
      </w:r>
      <w:r w:rsidRPr="0086157B">
        <w:rPr>
          <w:rFonts w:ascii="Arial" w:hAnsi="Arial" w:cs="Arial"/>
          <w:b/>
          <w:sz w:val="17"/>
          <w:szCs w:val="17"/>
        </w:rPr>
        <w:t xml:space="preserve">INEC </w:t>
      </w:r>
      <w:r w:rsidRPr="0086157B">
        <w:rPr>
          <w:rFonts w:ascii="Arial" w:hAnsi="Arial" w:cs="Arial"/>
          <w:sz w:val="17"/>
          <w:szCs w:val="17"/>
        </w:rPr>
        <w:t>(2010), Base de Datos del VII Censo de Población y VI de Vivienda.</w:t>
      </w:r>
    </w:p>
    <w:p w:rsidR="0006543C" w:rsidRPr="0086157B" w:rsidRDefault="0006543C" w:rsidP="0086157B">
      <w:pPr>
        <w:pStyle w:val="Prrafodelista"/>
        <w:spacing w:line="276" w:lineRule="auto"/>
        <w:ind w:left="851"/>
        <w:jc w:val="both"/>
        <w:rPr>
          <w:rFonts w:ascii="Arial" w:hAnsi="Arial" w:cs="Arial"/>
          <w:sz w:val="17"/>
          <w:szCs w:val="17"/>
        </w:rPr>
      </w:pPr>
      <w:r w:rsidRPr="0086157B">
        <w:rPr>
          <w:rFonts w:ascii="Arial" w:hAnsi="Arial" w:cs="Arial"/>
          <w:b/>
          <w:i/>
          <w:sz w:val="17"/>
          <w:szCs w:val="17"/>
        </w:rPr>
        <w:t>Elaborado por:</w:t>
      </w:r>
      <w:r w:rsidRPr="0086157B">
        <w:rPr>
          <w:rFonts w:ascii="Arial" w:hAnsi="Arial" w:cs="Arial"/>
          <w:sz w:val="17"/>
          <w:szCs w:val="17"/>
        </w:rPr>
        <w:t xml:space="preserve"> Katherine Loor Valeriano</w:t>
      </w:r>
    </w:p>
    <w:p w:rsidR="0086157B" w:rsidRDefault="0086157B" w:rsidP="0086157B">
      <w:pPr>
        <w:pStyle w:val="TesisTitulo10"/>
        <w:numPr>
          <w:ilvl w:val="0"/>
          <w:numId w:val="0"/>
        </w:numPr>
        <w:ind w:left="851"/>
        <w:rPr>
          <w:b w:val="0"/>
          <w:sz w:val="22"/>
          <w:szCs w:val="22"/>
        </w:rPr>
      </w:pPr>
      <w:bookmarkStart w:id="811" w:name="_Toc339853132"/>
      <w:bookmarkStart w:id="812" w:name="_Toc340231902"/>
    </w:p>
    <w:p w:rsidR="0006543C" w:rsidRPr="00287F2C" w:rsidRDefault="0006543C" w:rsidP="00287F2C">
      <w:pPr>
        <w:spacing w:line="480" w:lineRule="auto"/>
        <w:ind w:left="851"/>
        <w:jc w:val="both"/>
        <w:rPr>
          <w:rFonts w:ascii="Arial" w:hAnsi="Arial" w:cs="Arial"/>
        </w:rPr>
      </w:pPr>
      <w:r w:rsidRPr="00287F2C">
        <w:rPr>
          <w:rFonts w:ascii="Arial" w:hAnsi="Arial" w:cs="Arial"/>
        </w:rPr>
        <w:t xml:space="preserve">En la </w:t>
      </w:r>
      <w:r w:rsidRPr="00287F2C">
        <w:rPr>
          <w:rFonts w:ascii="Arial" w:hAnsi="Arial" w:cs="Arial"/>
          <w:i/>
        </w:rPr>
        <w:t>Figura 5.20</w:t>
      </w:r>
      <w:r w:rsidRPr="00287F2C">
        <w:rPr>
          <w:rFonts w:ascii="Arial" w:hAnsi="Arial" w:cs="Arial"/>
        </w:rPr>
        <w:t xml:space="preserve">, se presenta la tasa </w:t>
      </w:r>
      <w:r w:rsidR="0086157B" w:rsidRPr="00287F2C">
        <w:rPr>
          <w:rFonts w:ascii="Arial" w:hAnsi="Arial" w:cs="Arial"/>
        </w:rPr>
        <w:t>por</w:t>
      </w:r>
      <w:r w:rsidRPr="00287F2C">
        <w:rPr>
          <w:rFonts w:ascii="Arial" w:hAnsi="Arial" w:cs="Arial"/>
        </w:rPr>
        <w:t xml:space="preserve"> país de residencia actual por cada 1000 emigrantes por género y por grupo de edad; para el caso de los hombres tenemos por cada 1000 emigrantes que viajan por trabajo y tienen entre 15 y 19 años la mayoría se dirigieron hacia Estados Unidos, desde este grupo de edad tenemos que la tasa de los que van hacia dicho país va disminuyendo, pero que a partir de los 50 años vuelve a crecer lentamente, y vuelve a disminuir en los últimos grupos de edad; mientras que la tasa de los que viajan a España empieza crecer desde el primer grupo etario hasta los 45 años y desde esa edad disminuye ligeramente hasta los 80 años donde nuevamente empieza a crecer, llegándose a tener que por cada 1000 hombres emigrantes con edades entre 90 y 95 años 640 han viajado hacia España; y, de los que viajaron ha Italia, esta tasa siempre toma valores menores a 100 debido a que es menor la proporción de la población que ha viajado a este país por motivos de trabajo, respecto a los dos países ya mencionados.</w:t>
      </w:r>
      <w:bookmarkEnd w:id="811"/>
      <w:bookmarkEnd w:id="812"/>
      <w:r w:rsidR="0035238E" w:rsidRPr="00287F2C">
        <w:rPr>
          <w:rFonts w:ascii="Arial" w:hAnsi="Arial" w:cs="Arial"/>
        </w:rPr>
        <w:t xml:space="preserve"> </w:t>
      </w:r>
      <w:bookmarkStart w:id="813" w:name="_Toc339853133"/>
      <w:bookmarkStart w:id="814" w:name="_Toc340231903"/>
      <w:r w:rsidR="0086157B" w:rsidRPr="00287F2C">
        <w:rPr>
          <w:rFonts w:ascii="Arial" w:hAnsi="Arial" w:cs="Arial"/>
        </w:rPr>
        <w:t>D</w:t>
      </w:r>
      <w:r w:rsidRPr="00287F2C">
        <w:rPr>
          <w:rFonts w:ascii="Arial" w:hAnsi="Arial" w:cs="Arial"/>
        </w:rPr>
        <w:t xml:space="preserve">e las mujeres que han emigrado por motivos de trabajo se tiene que en la mayoría de los grupos de edad la mayoría ha viajado a España, presentando la tasa de los que viajan hacia este país un crecimiento desde el primer grupo de edad hasta los 40 años y a partir de esta edad dicha tasa decrece ligeramente hasta los 70 años, edad a partir de la cual vuelve a incrementarse el valor de la tasa de emigrantes en España; en cambio, la tasa de las mujeres que han emigrado hacia Estados Unidos para trabajar se </w:t>
      </w:r>
      <w:r w:rsidR="00AE13C0">
        <w:rPr>
          <w:rFonts w:ascii="Arial" w:hAnsi="Arial" w:cs="Arial"/>
        </w:rPr>
        <w:t>encontró</w:t>
      </w:r>
      <w:r w:rsidRPr="00287F2C">
        <w:rPr>
          <w:rFonts w:ascii="Arial" w:hAnsi="Arial" w:cs="Arial"/>
        </w:rPr>
        <w:t xml:space="preserve"> que dicha tasa disminuye desde el primer grupo de edad hasta los 45 años, a partir de dicha edad empieza a crecer hasta los 70 años y desde esa edad decrece nuevamente, cabe mencionar que por cada 1000 mujeres que han emigrado por motivos de trabajo y que tienen entre 65 y 70 años 340.25 han viajado hacia Estados Unidos; cabe resaltar además que de las mujeres que viajaron a Italia por motivos de trabajo ninguna tenía entre 85 y 90 años al salir del país, lo mismo se presenta en las mujeres que viajaron a otros países ninguna tenía edades comprendidas en dicho grupo de edad. </w:t>
      </w:r>
      <w:r w:rsidR="0035238E" w:rsidRPr="00287F2C">
        <w:rPr>
          <w:rFonts w:ascii="Arial" w:hAnsi="Arial" w:cs="Arial"/>
          <w:i/>
        </w:rPr>
        <w:t>V</w:t>
      </w:r>
      <w:r w:rsidRPr="00287F2C">
        <w:rPr>
          <w:rFonts w:ascii="Arial" w:hAnsi="Arial" w:cs="Arial"/>
          <w:i/>
        </w:rPr>
        <w:t>éase Figura 5.20.</w:t>
      </w:r>
      <w:bookmarkEnd w:id="813"/>
      <w:bookmarkEnd w:id="814"/>
      <w:r w:rsidRPr="00287F2C">
        <w:rPr>
          <w:rFonts w:ascii="Arial" w:hAnsi="Arial" w:cs="Arial"/>
        </w:rPr>
        <w:t xml:space="preserve">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35238E">
        <w:trPr>
          <w:trHeight w:val="2041"/>
          <w:jc w:val="right"/>
        </w:trPr>
        <w:tc>
          <w:tcPr>
            <w:tcW w:w="7497" w:type="dxa"/>
          </w:tcPr>
          <w:p w:rsidR="0006543C" w:rsidRPr="00840530" w:rsidRDefault="0006543C" w:rsidP="0006543C">
            <w:pPr>
              <w:rPr>
                <w:rFonts w:ascii="Arial" w:hAnsi="Arial" w:cs="Arial"/>
                <w:sz w:val="16"/>
                <w:szCs w:val="16"/>
              </w:rPr>
            </w:pPr>
          </w:p>
          <w:p w:rsidR="00E41CC4" w:rsidRPr="00E41CC4" w:rsidRDefault="00E41CC4" w:rsidP="00E41CC4">
            <w:pPr>
              <w:pStyle w:val="Epgrafe"/>
              <w:rPr>
                <w:rFonts w:ascii="Arial" w:hAnsi="Arial" w:cs="Arial"/>
                <w:bCs w:val="0"/>
                <w:color w:val="auto"/>
                <w:sz w:val="16"/>
                <w:szCs w:val="16"/>
              </w:rPr>
            </w:pPr>
            <w:bookmarkStart w:id="815" w:name="_Toc341044100"/>
            <w:r w:rsidRPr="00E41CC4">
              <w:rPr>
                <w:rFonts w:ascii="Arial" w:hAnsi="Arial" w:cs="Arial"/>
                <w:bCs w:val="0"/>
                <w:color w:val="auto"/>
                <w:sz w:val="16"/>
                <w:szCs w:val="16"/>
              </w:rPr>
              <w:t>Figura 5.</w:t>
            </w:r>
            <w:r w:rsidR="00990535" w:rsidRPr="00E41CC4">
              <w:rPr>
                <w:rFonts w:ascii="Arial" w:hAnsi="Arial" w:cs="Arial"/>
                <w:bCs w:val="0"/>
                <w:color w:val="auto"/>
                <w:sz w:val="16"/>
                <w:szCs w:val="16"/>
              </w:rPr>
              <w:fldChar w:fldCharType="begin"/>
            </w:r>
            <w:r w:rsidRPr="00E41CC4">
              <w:rPr>
                <w:rFonts w:ascii="Arial" w:hAnsi="Arial" w:cs="Arial"/>
                <w:bCs w:val="0"/>
                <w:color w:val="auto"/>
                <w:sz w:val="16"/>
                <w:szCs w:val="16"/>
              </w:rPr>
              <w:instrText xml:space="preserve"> SEQ Figura_5. \* ARABIC </w:instrText>
            </w:r>
            <w:r w:rsidR="00990535" w:rsidRPr="00E41CC4">
              <w:rPr>
                <w:rFonts w:ascii="Arial" w:hAnsi="Arial" w:cs="Arial"/>
                <w:bCs w:val="0"/>
                <w:color w:val="auto"/>
                <w:sz w:val="16"/>
                <w:szCs w:val="16"/>
              </w:rPr>
              <w:fldChar w:fldCharType="separate"/>
            </w:r>
            <w:r w:rsidR="00A242E0">
              <w:rPr>
                <w:rFonts w:ascii="Arial" w:hAnsi="Arial" w:cs="Arial"/>
                <w:bCs w:val="0"/>
                <w:noProof/>
                <w:color w:val="auto"/>
                <w:sz w:val="16"/>
                <w:szCs w:val="16"/>
              </w:rPr>
              <w:t>20</w:t>
            </w:r>
            <w:bookmarkEnd w:id="815"/>
            <w:r w:rsidR="00990535" w:rsidRPr="00E41CC4">
              <w:rPr>
                <w:rFonts w:ascii="Arial" w:hAnsi="Arial" w:cs="Arial"/>
                <w:bCs w:val="0"/>
                <w:color w:val="auto"/>
                <w:sz w:val="16"/>
                <w:szCs w:val="16"/>
              </w:rPr>
              <w:fldChar w:fldCharType="end"/>
            </w:r>
          </w:p>
          <w:p w:rsidR="0086157B" w:rsidRDefault="0086157B" w:rsidP="0006543C">
            <w:pPr>
              <w:rPr>
                <w:rFonts w:ascii="Arial" w:hAnsi="Arial" w:cs="Arial"/>
                <w:i/>
                <w:sz w:val="16"/>
                <w:szCs w:val="16"/>
              </w:rPr>
            </w:pPr>
            <w:r>
              <w:rPr>
                <w:rFonts w:ascii="Arial" w:hAnsi="Arial" w:cs="Arial"/>
                <w:b/>
                <w:i/>
                <w:sz w:val="16"/>
                <w:szCs w:val="16"/>
              </w:rPr>
              <w:t xml:space="preserve">Ecuador 2010: </w:t>
            </w:r>
            <w:r w:rsidR="0006543C">
              <w:rPr>
                <w:rFonts w:ascii="Arial" w:hAnsi="Arial" w:cs="Arial"/>
                <w:i/>
                <w:sz w:val="16"/>
                <w:szCs w:val="16"/>
              </w:rPr>
              <w:t xml:space="preserve">Tasa de país de residencia actual por cada 1000 emigrantes que </w:t>
            </w:r>
          </w:p>
          <w:p w:rsidR="0006543C" w:rsidRPr="00FE01CE" w:rsidRDefault="0006543C" w:rsidP="0006543C">
            <w:pPr>
              <w:rPr>
                <w:rFonts w:ascii="Arial" w:hAnsi="Arial" w:cs="Arial"/>
                <w:sz w:val="18"/>
                <w:szCs w:val="18"/>
              </w:rPr>
            </w:pPr>
            <w:r>
              <w:rPr>
                <w:rFonts w:ascii="Arial" w:hAnsi="Arial" w:cs="Arial"/>
                <w:i/>
                <w:sz w:val="16"/>
                <w:szCs w:val="16"/>
              </w:rPr>
              <w:t xml:space="preserve">viajaron para </w:t>
            </w:r>
            <w:r>
              <w:rPr>
                <w:rFonts w:ascii="Arial" w:hAnsi="Arial" w:cs="Arial"/>
                <w:b/>
                <w:i/>
                <w:sz w:val="16"/>
                <w:szCs w:val="16"/>
              </w:rPr>
              <w:t>trabajar</w:t>
            </w:r>
            <w:r>
              <w:rPr>
                <w:rFonts w:ascii="Arial" w:hAnsi="Arial" w:cs="Arial"/>
                <w:i/>
                <w:sz w:val="16"/>
                <w:szCs w:val="16"/>
              </w:rPr>
              <w:t xml:space="preserve"> por género y edad al salir del país</w:t>
            </w:r>
          </w:p>
          <w:p w:rsidR="0006543C" w:rsidRDefault="00436907" w:rsidP="0006543C">
            <w:pPr>
              <w:rPr>
                <w:rFonts w:ascii="Arial" w:hAnsi="Arial" w:cs="Arial"/>
                <w:sz w:val="24"/>
                <w:szCs w:val="24"/>
              </w:rPr>
            </w:pPr>
            <w:r>
              <w:rPr>
                <w:rFonts w:ascii="Arial" w:hAnsi="Arial" w:cs="Arial"/>
                <w:noProof/>
                <w:sz w:val="16"/>
                <w:szCs w:val="16"/>
                <w:lang w:eastAsia="es-EC"/>
              </w:rPr>
              <w:pict>
                <v:shape id="_x0000_s1856" type="#_x0000_t202" style="position:absolute;left:0;text-align:left;margin-left:161.35pt;margin-top:69.9pt;width:106.85pt;height:15.8pt;z-index:251736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56;mso-fit-shape-to-text:t">
                    <w:txbxContent>
                      <w:p w:rsidR="006933DF" w:rsidRPr="00623DB4"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Italia</w:t>
                        </w:r>
                      </w:p>
                    </w:txbxContent>
                  </v:textbox>
                </v:shape>
              </w:pict>
            </w:r>
            <w:r>
              <w:rPr>
                <w:rFonts w:ascii="Arial" w:hAnsi="Arial" w:cs="Arial"/>
                <w:noProof/>
                <w:sz w:val="16"/>
                <w:szCs w:val="16"/>
                <w:lang w:eastAsia="es-EC"/>
              </w:rPr>
              <w:pict>
                <v:shape id="_x0000_s2390" type="#_x0000_t32" style="position:absolute;left:0;text-align:left;margin-left:214.8pt;margin-top:80.45pt;width:14.25pt;height:18.75pt;z-index:252065280" o:connectortype="straight" strokecolor="#e36c0a [2409]">
                  <v:stroke endarrow="block"/>
                </v:shape>
              </w:pict>
            </w:r>
            <w:r>
              <w:rPr>
                <w:rFonts w:ascii="Arial" w:hAnsi="Arial" w:cs="Arial"/>
                <w:noProof/>
                <w:sz w:val="16"/>
                <w:szCs w:val="16"/>
                <w:lang w:eastAsia="es-EC"/>
              </w:rPr>
              <w:pict>
                <v:shape id="_x0000_s2388" type="#_x0000_t32" style="position:absolute;left:0;text-align:left;margin-left:73.05pt;margin-top:85.7pt;width:13.5pt;height:8.15pt;flip:x;z-index:252063232" o:connectortype="straight" strokecolor="#00b050">
                  <v:stroke endarrow="block"/>
                </v:shape>
              </w:pict>
            </w:r>
            <w:r>
              <w:rPr>
                <w:rFonts w:ascii="Arial" w:hAnsi="Arial" w:cs="Arial"/>
                <w:noProof/>
                <w:sz w:val="16"/>
                <w:szCs w:val="16"/>
                <w:lang w:eastAsia="es-EC"/>
              </w:rPr>
              <w:pict>
                <v:shape id="_x0000_s1855" type="#_x0000_t202" style="position:absolute;left:0;text-align:left;margin-left:54.4pt;margin-top:75.95pt;width:106.85pt;height:15.8pt;z-index:251735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55;mso-fit-shape-to-text:t">
                    <w:txbxContent>
                      <w:p w:rsidR="006933DF" w:rsidRPr="0035238E" w:rsidRDefault="006933DF" w:rsidP="0006543C">
                        <w:pPr>
                          <w:rPr>
                            <w:rFonts w:ascii="Arial" w:hAnsi="Arial" w:cs="Arial"/>
                            <w:color w:val="00B050"/>
                            <w:sz w:val="15"/>
                            <w:szCs w:val="15"/>
                          </w:rPr>
                        </w:pPr>
                        <w:r w:rsidRPr="0035238E">
                          <w:rPr>
                            <w:rFonts w:ascii="Arial" w:hAnsi="Arial" w:cs="Arial"/>
                            <w:color w:val="00B050"/>
                            <w:sz w:val="15"/>
                            <w:szCs w:val="15"/>
                          </w:rPr>
                          <w:t>Otros países</w:t>
                        </w:r>
                      </w:p>
                    </w:txbxContent>
                  </v:textbox>
                </v:shape>
              </w:pict>
            </w:r>
            <w:r>
              <w:rPr>
                <w:rFonts w:ascii="Arial" w:hAnsi="Arial" w:cs="Arial"/>
                <w:noProof/>
                <w:sz w:val="16"/>
                <w:szCs w:val="16"/>
                <w:lang w:eastAsia="es-EC"/>
              </w:rPr>
              <w:pict>
                <v:shape id="_x0000_s1853" type="#_x0000_t202" style="position:absolute;left:0;text-align:left;margin-left:231.3pt;margin-top:32.4pt;width:106.85pt;height:15.8pt;z-index:251733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70C0"/>
                            <w:sz w:val="15"/>
                            <w:szCs w:val="15"/>
                          </w:rPr>
                        </w:pPr>
                        <w:r>
                          <w:rPr>
                            <w:rFonts w:ascii="Arial" w:hAnsi="Arial" w:cs="Arial"/>
                            <w:color w:val="0070C0"/>
                            <w:sz w:val="15"/>
                            <w:szCs w:val="15"/>
                          </w:rPr>
                          <w:t>España</w:t>
                        </w:r>
                      </w:p>
                    </w:txbxContent>
                  </v:textbox>
                </v:shape>
              </w:pict>
            </w:r>
            <w:r>
              <w:rPr>
                <w:rFonts w:ascii="Arial" w:hAnsi="Arial" w:cs="Arial"/>
                <w:noProof/>
                <w:sz w:val="16"/>
                <w:szCs w:val="16"/>
                <w:lang w:eastAsia="es-EC"/>
              </w:rPr>
              <w:pict>
                <v:shape id="_x0000_s2383" type="#_x0000_t32" style="position:absolute;left:0;text-align:left;margin-left:290.55pt;margin-top:44.45pt;width:17.25pt;height:7.15pt;z-index:252059136" o:connectortype="straight" strokecolor="#0070c0">
                  <v:stroke endarrow="block"/>
                </v:shape>
              </w:pict>
            </w:r>
            <w:r>
              <w:rPr>
                <w:rFonts w:ascii="Arial" w:hAnsi="Arial" w:cs="Arial"/>
                <w:noProof/>
                <w:sz w:val="16"/>
                <w:szCs w:val="16"/>
                <w:lang w:eastAsia="es-EC"/>
              </w:rPr>
              <w:pict>
                <v:shape id="_x0000_s1854" type="#_x0000_t202" style="position:absolute;left:0;text-align:left;margin-left:151.15pt;margin-top:32.4pt;width:106.85pt;height:15.8pt;z-index:251734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D60093"/>
                            <w:sz w:val="15"/>
                            <w:szCs w:val="15"/>
                          </w:rPr>
                        </w:pPr>
                        <w:r>
                          <w:rPr>
                            <w:rFonts w:ascii="Arial" w:hAnsi="Arial" w:cs="Arial"/>
                            <w:color w:val="D60093"/>
                            <w:sz w:val="15"/>
                            <w:szCs w:val="15"/>
                          </w:rPr>
                          <w:t>Estados Unidos</w:t>
                        </w:r>
                      </w:p>
                    </w:txbxContent>
                  </v:textbox>
                </v:shape>
              </w:pict>
            </w:r>
            <w:r>
              <w:rPr>
                <w:rFonts w:ascii="Arial" w:hAnsi="Arial" w:cs="Arial"/>
                <w:noProof/>
                <w:sz w:val="16"/>
                <w:szCs w:val="16"/>
                <w:lang w:eastAsia="es-EC"/>
              </w:rPr>
              <w:pict>
                <v:shape id="_x0000_s2386" type="#_x0000_t32" style="position:absolute;left:0;text-align:left;margin-left:209.2pt;margin-top:44.45pt;width:19.85pt;height:12.75pt;z-index:252061184" o:connectortype="straight" strokecolor="#d60093">
                  <v:stroke endarrow="block"/>
                </v:shape>
              </w:pict>
            </w:r>
            <w:r>
              <w:rPr>
                <w:rFonts w:ascii="Arial" w:hAnsi="Arial" w:cs="Arial"/>
                <w:noProof/>
                <w:sz w:val="16"/>
                <w:szCs w:val="16"/>
                <w:lang w:eastAsia="es-EC"/>
              </w:rPr>
              <w:pict>
                <v:shape id="_x0000_s1857" type="#_x0000_t202" style="position:absolute;left:0;text-align:left;margin-left:246.6pt;margin-top:11.25pt;width:106.85pt;height:27.1pt;z-index:251737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E7578A" w:rsidRDefault="006933DF" w:rsidP="0006543C">
                        <w:pPr>
                          <w:rPr>
                            <w:rFonts w:ascii="Arial" w:hAnsi="Arial" w:cs="Arial"/>
                            <w:b/>
                            <w:sz w:val="15"/>
                            <w:szCs w:val="15"/>
                          </w:rPr>
                        </w:pPr>
                        <w:r>
                          <w:rPr>
                            <w:rFonts w:ascii="Arial" w:hAnsi="Arial" w:cs="Arial"/>
                            <w:b/>
                            <w:sz w:val="15"/>
                            <w:szCs w:val="15"/>
                          </w:rPr>
                          <w:t>Hombre</w:t>
                        </w:r>
                      </w:p>
                    </w:txbxContent>
                  </v:textbox>
                </v:shape>
              </w:pict>
            </w:r>
            <w:r w:rsidR="0006543C">
              <w:rPr>
                <w:noProof/>
                <w:lang w:eastAsia="es-EC"/>
              </w:rPr>
              <w:drawing>
                <wp:inline distT="0" distB="0" distL="0" distR="0" wp14:anchorId="2EF91A3F" wp14:editId="2570A8B9">
                  <wp:extent cx="4211955" cy="1800000"/>
                  <wp:effectExtent l="0" t="0" r="0" b="0"/>
                  <wp:docPr id="167" name="Gráfico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06543C" w:rsidRPr="00840530" w:rsidRDefault="00436907" w:rsidP="0006543C">
            <w:pPr>
              <w:rPr>
                <w:rFonts w:ascii="Arial" w:hAnsi="Arial" w:cs="Arial"/>
                <w:sz w:val="24"/>
                <w:szCs w:val="24"/>
              </w:rPr>
            </w:pPr>
            <w:r>
              <w:rPr>
                <w:rFonts w:ascii="Arial" w:hAnsi="Arial" w:cs="Arial"/>
                <w:noProof/>
                <w:sz w:val="16"/>
                <w:szCs w:val="16"/>
                <w:lang w:eastAsia="es-EC"/>
              </w:rPr>
              <w:pict>
                <v:shape id="_x0000_s1861" type="#_x0000_t202" style="position:absolute;left:0;text-align:left;margin-left:246.9pt;margin-top:57.25pt;width:106.85pt;height:15.8pt;z-index:251741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61;mso-fit-shape-to-text:t">
                    <w:txbxContent>
                      <w:p w:rsidR="006933DF" w:rsidRPr="00623DB4"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Italia</w:t>
                        </w:r>
                      </w:p>
                    </w:txbxContent>
                  </v:textbox>
                </v:shape>
              </w:pict>
            </w:r>
            <w:r>
              <w:rPr>
                <w:rFonts w:ascii="Arial" w:hAnsi="Arial" w:cs="Arial"/>
                <w:noProof/>
                <w:sz w:val="16"/>
                <w:szCs w:val="16"/>
                <w:lang w:eastAsia="es-EC"/>
              </w:rPr>
              <w:pict>
                <v:shape id="_x0000_s2391" type="#_x0000_t32" style="position:absolute;left:0;text-align:left;margin-left:279.3pt;margin-top:69.25pt;width:19.5pt;height:27.75pt;flip:x;z-index:252066304" o:connectortype="straight" strokecolor="#e36c0a [2409]">
                  <v:stroke endarrow="block"/>
                </v:shape>
              </w:pict>
            </w:r>
            <w:r>
              <w:rPr>
                <w:rFonts w:ascii="Arial" w:hAnsi="Arial" w:cs="Arial"/>
                <w:noProof/>
                <w:sz w:val="16"/>
                <w:szCs w:val="16"/>
                <w:lang w:eastAsia="es-EC"/>
              </w:rPr>
              <w:pict>
                <v:shape id="_x0000_s1860" type="#_x0000_t202" style="position:absolute;left:0;text-align:left;margin-left:37.05pt;margin-top:62.5pt;width:106.85pt;height:15.8pt;z-index:251740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60;mso-fit-shape-to-text:t">
                    <w:txbxContent>
                      <w:p w:rsidR="006933DF" w:rsidRPr="0035238E" w:rsidRDefault="006933DF" w:rsidP="0006543C">
                        <w:pPr>
                          <w:rPr>
                            <w:rFonts w:ascii="Arial" w:hAnsi="Arial" w:cs="Arial"/>
                            <w:color w:val="00B050"/>
                            <w:sz w:val="15"/>
                            <w:szCs w:val="15"/>
                          </w:rPr>
                        </w:pPr>
                        <w:r w:rsidRPr="0035238E">
                          <w:rPr>
                            <w:rFonts w:ascii="Arial" w:hAnsi="Arial" w:cs="Arial"/>
                            <w:color w:val="00B050"/>
                            <w:sz w:val="15"/>
                            <w:szCs w:val="15"/>
                          </w:rPr>
                          <w:t>Otros países</w:t>
                        </w:r>
                      </w:p>
                    </w:txbxContent>
                  </v:textbox>
                </v:shape>
              </w:pict>
            </w:r>
            <w:r>
              <w:rPr>
                <w:rFonts w:ascii="Arial" w:hAnsi="Arial" w:cs="Arial"/>
                <w:noProof/>
                <w:sz w:val="16"/>
                <w:szCs w:val="16"/>
                <w:lang w:eastAsia="es-EC"/>
              </w:rPr>
              <w:pict>
                <v:shape id="_x0000_s2389" type="#_x0000_t32" style="position:absolute;left:0;text-align:left;margin-left:67.8pt;margin-top:73.05pt;width:18.75pt;height:17.95pt;flip:x;z-index:252064256" o:connectortype="straight" strokecolor="#00b050">
                  <v:stroke endarrow="block"/>
                </v:shape>
              </w:pict>
            </w:r>
            <w:r>
              <w:rPr>
                <w:rFonts w:ascii="Arial" w:hAnsi="Arial" w:cs="Arial"/>
                <w:noProof/>
                <w:sz w:val="16"/>
                <w:szCs w:val="16"/>
                <w:lang w:eastAsia="es-EC"/>
              </w:rPr>
              <w:pict>
                <v:shape id="_x0000_s1859" type="#_x0000_t202" style="position:absolute;left:0;text-align:left;margin-left:122.2pt;margin-top:57.25pt;width:106.85pt;height:15.8pt;z-index:251739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D60093"/>
                            <w:sz w:val="15"/>
                            <w:szCs w:val="15"/>
                          </w:rPr>
                        </w:pPr>
                        <w:r>
                          <w:rPr>
                            <w:rFonts w:ascii="Arial" w:hAnsi="Arial" w:cs="Arial"/>
                            <w:color w:val="D60093"/>
                            <w:sz w:val="15"/>
                            <w:szCs w:val="15"/>
                          </w:rPr>
                          <w:t>Estados Unidos</w:t>
                        </w:r>
                      </w:p>
                    </w:txbxContent>
                  </v:textbox>
                </v:shape>
              </w:pict>
            </w:r>
            <w:r>
              <w:rPr>
                <w:rFonts w:ascii="Arial" w:hAnsi="Arial" w:cs="Arial"/>
                <w:noProof/>
                <w:sz w:val="16"/>
                <w:szCs w:val="16"/>
                <w:lang w:eastAsia="es-EC"/>
              </w:rPr>
              <w:pict>
                <v:shape id="_x0000_s2387" type="#_x0000_t32" style="position:absolute;left:0;text-align:left;margin-left:178.35pt;margin-top:69.25pt;width:16.2pt;height:13.5pt;z-index:252062208" o:connectortype="straight" strokecolor="#d60093">
                  <v:stroke endarrow="block"/>
                </v:shape>
              </w:pict>
            </w:r>
            <w:r>
              <w:rPr>
                <w:rFonts w:ascii="Arial" w:hAnsi="Arial" w:cs="Arial"/>
                <w:noProof/>
                <w:sz w:val="16"/>
                <w:szCs w:val="16"/>
                <w:lang w:eastAsia="es-EC"/>
              </w:rPr>
              <w:pict>
                <v:shape id="_x0000_s1858" type="#_x0000_t202" style="position:absolute;left:0;text-align:left;margin-left:201pt;margin-top:23.05pt;width:106.85pt;height:15.8pt;z-index:251738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58;mso-fit-shape-to-text:t">
                    <w:txbxContent>
                      <w:p w:rsidR="006933DF" w:rsidRPr="00623DB4" w:rsidRDefault="006933DF" w:rsidP="0006543C">
                        <w:pPr>
                          <w:rPr>
                            <w:rFonts w:ascii="Arial" w:hAnsi="Arial" w:cs="Arial"/>
                            <w:color w:val="0070C0"/>
                            <w:sz w:val="15"/>
                            <w:szCs w:val="15"/>
                          </w:rPr>
                        </w:pPr>
                        <w:r>
                          <w:rPr>
                            <w:rFonts w:ascii="Arial" w:hAnsi="Arial" w:cs="Arial"/>
                            <w:color w:val="0070C0"/>
                            <w:sz w:val="15"/>
                            <w:szCs w:val="15"/>
                          </w:rPr>
                          <w:t>España</w:t>
                        </w:r>
                      </w:p>
                    </w:txbxContent>
                  </v:textbox>
                </v:shape>
              </w:pict>
            </w:r>
            <w:r>
              <w:rPr>
                <w:rFonts w:ascii="Arial" w:hAnsi="Arial" w:cs="Arial"/>
                <w:noProof/>
                <w:sz w:val="16"/>
                <w:szCs w:val="16"/>
                <w:lang w:eastAsia="es-EC"/>
              </w:rPr>
              <w:pict>
                <v:shape id="_x0000_s2385" type="#_x0000_t32" style="position:absolute;left:0;text-align:left;margin-left:269.55pt;margin-top:34pt;width:21pt;height:8.6pt;z-index:252060160" o:connectortype="straight" strokecolor="#0070c0">
                  <v:stroke endarrow="block"/>
                </v:shape>
              </w:pict>
            </w:r>
            <w:r>
              <w:rPr>
                <w:rFonts w:ascii="Arial" w:hAnsi="Arial" w:cs="Arial"/>
                <w:noProof/>
                <w:sz w:val="16"/>
                <w:szCs w:val="16"/>
                <w:lang w:eastAsia="es-EC"/>
              </w:rPr>
              <w:pict>
                <v:shape id="_x0000_s1862" type="#_x0000_t202" style="position:absolute;left:0;text-align:left;margin-left:246.6pt;margin-top:8.25pt;width:106.85pt;height:15.8pt;z-index:251742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62;mso-fit-shape-to-text:t">
                    <w:txbxContent>
                      <w:p w:rsidR="006933DF" w:rsidRPr="00E7578A" w:rsidRDefault="006933DF" w:rsidP="0006543C">
                        <w:pPr>
                          <w:rPr>
                            <w:rFonts w:ascii="Arial" w:hAnsi="Arial" w:cs="Arial"/>
                            <w:b/>
                            <w:sz w:val="15"/>
                            <w:szCs w:val="15"/>
                          </w:rPr>
                        </w:pPr>
                        <w:r>
                          <w:rPr>
                            <w:rFonts w:ascii="Arial" w:hAnsi="Arial" w:cs="Arial"/>
                            <w:b/>
                            <w:sz w:val="15"/>
                            <w:szCs w:val="15"/>
                          </w:rPr>
                          <w:t>Mujer</w:t>
                        </w:r>
                      </w:p>
                    </w:txbxContent>
                  </v:textbox>
                </v:shape>
              </w:pict>
            </w:r>
            <w:r w:rsidR="0006543C">
              <w:rPr>
                <w:noProof/>
                <w:lang w:eastAsia="es-EC"/>
              </w:rPr>
              <w:drawing>
                <wp:inline distT="0" distB="0" distL="0" distR="0" wp14:anchorId="6E057FC5" wp14:editId="64039C1B">
                  <wp:extent cx="4211955" cy="1800000"/>
                  <wp:effectExtent l="0" t="0" r="0" b="0"/>
                  <wp:docPr id="168" name="Gráfico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tc>
      </w:tr>
    </w:tbl>
    <w:p w:rsidR="0006543C" w:rsidRPr="0035238E" w:rsidRDefault="0006543C" w:rsidP="0035238E">
      <w:pPr>
        <w:pStyle w:val="Prrafodelista"/>
        <w:spacing w:line="276" w:lineRule="auto"/>
        <w:ind w:left="851"/>
        <w:jc w:val="both"/>
        <w:rPr>
          <w:rFonts w:ascii="Arial" w:hAnsi="Arial" w:cs="Arial"/>
          <w:sz w:val="17"/>
          <w:szCs w:val="17"/>
        </w:rPr>
      </w:pPr>
    </w:p>
    <w:p w:rsidR="0006543C" w:rsidRPr="0035238E" w:rsidRDefault="0006543C" w:rsidP="0035238E">
      <w:pPr>
        <w:pStyle w:val="Prrafodelista"/>
        <w:spacing w:line="276" w:lineRule="auto"/>
        <w:ind w:left="851"/>
        <w:jc w:val="both"/>
        <w:rPr>
          <w:rFonts w:ascii="Arial" w:hAnsi="Arial" w:cs="Arial"/>
          <w:sz w:val="17"/>
          <w:szCs w:val="17"/>
        </w:rPr>
      </w:pPr>
      <w:r w:rsidRPr="0035238E">
        <w:rPr>
          <w:rFonts w:ascii="Arial" w:hAnsi="Arial" w:cs="Arial"/>
          <w:b/>
          <w:i/>
          <w:sz w:val="17"/>
          <w:szCs w:val="17"/>
        </w:rPr>
        <w:t>Fuente:</w:t>
      </w:r>
      <w:r w:rsidRPr="0035238E">
        <w:rPr>
          <w:rFonts w:ascii="Arial" w:hAnsi="Arial" w:cs="Arial"/>
          <w:sz w:val="17"/>
          <w:szCs w:val="17"/>
        </w:rPr>
        <w:t xml:space="preserve"> </w:t>
      </w:r>
      <w:r w:rsidRPr="0035238E">
        <w:rPr>
          <w:rFonts w:ascii="Arial" w:hAnsi="Arial" w:cs="Arial"/>
          <w:b/>
          <w:sz w:val="17"/>
          <w:szCs w:val="17"/>
        </w:rPr>
        <w:t xml:space="preserve">INEC </w:t>
      </w:r>
      <w:r w:rsidRPr="0035238E">
        <w:rPr>
          <w:rFonts w:ascii="Arial" w:hAnsi="Arial" w:cs="Arial"/>
          <w:sz w:val="17"/>
          <w:szCs w:val="17"/>
        </w:rPr>
        <w:t>(2010), Base de Datos del VII Censo de Población y VI de Vivienda.</w:t>
      </w:r>
    </w:p>
    <w:p w:rsidR="0006543C" w:rsidRPr="0035238E" w:rsidRDefault="0006543C" w:rsidP="0035238E">
      <w:pPr>
        <w:pStyle w:val="Prrafodelista"/>
        <w:spacing w:line="276" w:lineRule="auto"/>
        <w:ind w:left="851"/>
        <w:jc w:val="both"/>
        <w:rPr>
          <w:rFonts w:ascii="Arial" w:hAnsi="Arial" w:cs="Arial"/>
          <w:sz w:val="17"/>
          <w:szCs w:val="17"/>
        </w:rPr>
      </w:pPr>
      <w:r w:rsidRPr="0035238E">
        <w:rPr>
          <w:rFonts w:ascii="Arial" w:hAnsi="Arial" w:cs="Arial"/>
          <w:b/>
          <w:i/>
          <w:sz w:val="17"/>
          <w:szCs w:val="17"/>
        </w:rPr>
        <w:t>Elaborado por:</w:t>
      </w:r>
      <w:r w:rsidRPr="0035238E">
        <w:rPr>
          <w:rFonts w:ascii="Arial" w:hAnsi="Arial" w:cs="Arial"/>
          <w:sz w:val="17"/>
          <w:szCs w:val="17"/>
        </w:rPr>
        <w:t xml:space="preserve"> Katherine Loor Valeriano</w:t>
      </w:r>
    </w:p>
    <w:p w:rsidR="0006543C" w:rsidRDefault="0006543C" w:rsidP="0006543C">
      <w:pPr>
        <w:pStyle w:val="TesisTitulo10"/>
        <w:numPr>
          <w:ilvl w:val="0"/>
          <w:numId w:val="0"/>
        </w:numPr>
        <w:ind w:left="567"/>
        <w:rPr>
          <w:b w:val="0"/>
          <w:sz w:val="22"/>
          <w:szCs w:val="22"/>
        </w:rPr>
      </w:pPr>
    </w:p>
    <w:p w:rsidR="0006543C" w:rsidRDefault="0006543C" w:rsidP="0035238E">
      <w:pPr>
        <w:pStyle w:val="51"/>
        <w:ind w:left="851" w:hanging="567"/>
      </w:pPr>
      <w:bookmarkStart w:id="816" w:name="_Toc338407808"/>
      <w:bookmarkStart w:id="817" w:name="_Toc338412811"/>
      <w:bookmarkStart w:id="818" w:name="_Toc341040736"/>
      <w:r>
        <w:t>Perfil de los Emigrantes cuyo motivo principal de viaje es unión familiar</w:t>
      </w:r>
      <w:bookmarkEnd w:id="816"/>
      <w:bookmarkEnd w:id="817"/>
      <w:bookmarkEnd w:id="818"/>
    </w:p>
    <w:p w:rsidR="0006543C" w:rsidRDefault="0006543C" w:rsidP="0035238E">
      <w:pPr>
        <w:pStyle w:val="52"/>
        <w:ind w:left="1560" w:hanging="709"/>
      </w:pPr>
      <w:bookmarkStart w:id="819" w:name="_Toc338407810"/>
      <w:bookmarkStart w:id="820" w:name="_Toc338412813"/>
      <w:bookmarkStart w:id="821" w:name="_Toc341040737"/>
      <w:r>
        <w:t xml:space="preserve">Año de salida de los </w:t>
      </w:r>
      <w:r w:rsidR="0035238E">
        <w:t>e</w:t>
      </w:r>
      <w:r>
        <w:t>migrantes</w:t>
      </w:r>
      <w:bookmarkEnd w:id="819"/>
      <w:bookmarkEnd w:id="820"/>
      <w:r w:rsidR="0035238E">
        <w:t xml:space="preserve"> por unión familiar</w:t>
      </w:r>
      <w:bookmarkEnd w:id="821"/>
    </w:p>
    <w:p w:rsidR="0006543C" w:rsidRPr="00287F2C" w:rsidRDefault="0006543C" w:rsidP="00287F2C">
      <w:pPr>
        <w:spacing w:line="480" w:lineRule="auto"/>
        <w:ind w:left="851"/>
        <w:jc w:val="both"/>
        <w:rPr>
          <w:rFonts w:ascii="Arial" w:hAnsi="Arial" w:cs="Arial"/>
        </w:rPr>
      </w:pPr>
      <w:bookmarkStart w:id="822" w:name="_Toc339853136"/>
      <w:bookmarkStart w:id="823" w:name="_Toc340231906"/>
      <w:r w:rsidRPr="00287F2C">
        <w:rPr>
          <w:rFonts w:ascii="Arial" w:hAnsi="Arial" w:cs="Arial"/>
        </w:rPr>
        <w:t xml:space="preserve">En lo que respecta al año de salida de los 50597 personas que emigraron para unirse con sus familiares en el exterior, tenemos que presentan un escenario distinto al mostrado por la población emigrante total o por los que emigraron para trabajar pues la mayor cantidad de ellos dejaron el país en los años 2001 y 2002 para ambos casos; mientras que, para este caso notamos que las mayores ponderaciones salieron del Ecuador en los años 2002 y 2008; y, el 14.62% de estos emigrantes no especificaron el año en el cual salieron. Para más detalles </w:t>
      </w:r>
      <w:r w:rsidRPr="00287F2C">
        <w:rPr>
          <w:rFonts w:ascii="Arial" w:hAnsi="Arial" w:cs="Arial"/>
          <w:i/>
        </w:rPr>
        <w:t>véase Figura 5.21</w:t>
      </w:r>
      <w:r w:rsidRPr="00287F2C">
        <w:rPr>
          <w:rFonts w:ascii="Arial" w:hAnsi="Arial" w:cs="Arial"/>
        </w:rPr>
        <w:t>.</w:t>
      </w:r>
      <w:bookmarkEnd w:id="822"/>
      <w:bookmarkEnd w:id="823"/>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35238E">
        <w:trPr>
          <w:trHeight w:val="2041"/>
          <w:jc w:val="right"/>
        </w:trPr>
        <w:tc>
          <w:tcPr>
            <w:tcW w:w="7497" w:type="dxa"/>
          </w:tcPr>
          <w:p w:rsidR="0006543C" w:rsidRPr="00840530" w:rsidRDefault="0006543C" w:rsidP="0006543C">
            <w:pPr>
              <w:rPr>
                <w:rFonts w:ascii="Arial" w:hAnsi="Arial" w:cs="Arial"/>
                <w:sz w:val="16"/>
                <w:szCs w:val="16"/>
              </w:rPr>
            </w:pPr>
          </w:p>
          <w:p w:rsidR="00E41CC4" w:rsidRPr="00E41CC4" w:rsidRDefault="00E41CC4" w:rsidP="00E41CC4">
            <w:pPr>
              <w:pStyle w:val="Epgrafe"/>
              <w:rPr>
                <w:rFonts w:ascii="Arial" w:hAnsi="Arial" w:cs="Arial"/>
                <w:bCs w:val="0"/>
                <w:color w:val="auto"/>
                <w:sz w:val="16"/>
                <w:szCs w:val="16"/>
              </w:rPr>
            </w:pPr>
            <w:bookmarkStart w:id="824" w:name="_Toc341044101"/>
            <w:r w:rsidRPr="00E41CC4">
              <w:rPr>
                <w:rFonts w:ascii="Arial" w:hAnsi="Arial" w:cs="Arial"/>
                <w:bCs w:val="0"/>
                <w:color w:val="auto"/>
                <w:sz w:val="16"/>
                <w:szCs w:val="16"/>
              </w:rPr>
              <w:t>Figura 5.</w:t>
            </w:r>
            <w:r w:rsidR="00990535" w:rsidRPr="00E41CC4">
              <w:rPr>
                <w:rFonts w:ascii="Arial" w:hAnsi="Arial" w:cs="Arial"/>
                <w:bCs w:val="0"/>
                <w:color w:val="auto"/>
                <w:sz w:val="16"/>
                <w:szCs w:val="16"/>
              </w:rPr>
              <w:fldChar w:fldCharType="begin"/>
            </w:r>
            <w:r w:rsidRPr="00E41CC4">
              <w:rPr>
                <w:rFonts w:ascii="Arial" w:hAnsi="Arial" w:cs="Arial"/>
                <w:bCs w:val="0"/>
                <w:color w:val="auto"/>
                <w:sz w:val="16"/>
                <w:szCs w:val="16"/>
              </w:rPr>
              <w:instrText xml:space="preserve"> SEQ Figura_5. \* ARABIC </w:instrText>
            </w:r>
            <w:r w:rsidR="00990535" w:rsidRPr="00E41CC4">
              <w:rPr>
                <w:rFonts w:ascii="Arial" w:hAnsi="Arial" w:cs="Arial"/>
                <w:bCs w:val="0"/>
                <w:color w:val="auto"/>
                <w:sz w:val="16"/>
                <w:szCs w:val="16"/>
              </w:rPr>
              <w:fldChar w:fldCharType="separate"/>
            </w:r>
            <w:r w:rsidR="00A242E0">
              <w:rPr>
                <w:rFonts w:ascii="Arial" w:hAnsi="Arial" w:cs="Arial"/>
                <w:bCs w:val="0"/>
                <w:noProof/>
                <w:color w:val="auto"/>
                <w:sz w:val="16"/>
                <w:szCs w:val="16"/>
              </w:rPr>
              <w:t>21</w:t>
            </w:r>
            <w:bookmarkEnd w:id="824"/>
            <w:r w:rsidR="00990535" w:rsidRPr="00E41CC4">
              <w:rPr>
                <w:rFonts w:ascii="Arial" w:hAnsi="Arial" w:cs="Arial"/>
                <w:bCs w:val="0"/>
                <w:color w:val="auto"/>
                <w:sz w:val="16"/>
                <w:szCs w:val="16"/>
              </w:rPr>
              <w:fldChar w:fldCharType="end"/>
            </w:r>
          </w:p>
          <w:p w:rsidR="0006543C" w:rsidRPr="00287B5F" w:rsidRDefault="0035238E" w:rsidP="0006543C">
            <w:pPr>
              <w:rPr>
                <w:rFonts w:ascii="Arial" w:hAnsi="Arial" w:cs="Arial"/>
                <w:sz w:val="10"/>
                <w:szCs w:val="10"/>
              </w:rPr>
            </w:pPr>
            <w:r>
              <w:rPr>
                <w:rFonts w:ascii="Arial" w:hAnsi="Arial" w:cs="Arial"/>
                <w:b/>
                <w:i/>
                <w:sz w:val="16"/>
                <w:szCs w:val="16"/>
              </w:rPr>
              <w:t xml:space="preserve">Ecuador 2010: </w:t>
            </w:r>
            <w:r w:rsidRPr="00B21B84">
              <w:rPr>
                <w:rFonts w:ascii="Arial" w:hAnsi="Arial" w:cs="Arial"/>
                <w:i/>
                <w:sz w:val="16"/>
                <w:szCs w:val="16"/>
              </w:rPr>
              <w:t>To</w:t>
            </w:r>
            <w:r>
              <w:rPr>
                <w:rFonts w:ascii="Arial" w:hAnsi="Arial" w:cs="Arial"/>
                <w:i/>
                <w:sz w:val="16"/>
                <w:szCs w:val="16"/>
              </w:rPr>
              <w:t xml:space="preserve">tal de emigrantes que salieron por </w:t>
            </w:r>
            <w:r>
              <w:rPr>
                <w:rFonts w:ascii="Arial" w:hAnsi="Arial" w:cs="Arial"/>
                <w:b/>
                <w:i/>
                <w:sz w:val="16"/>
                <w:szCs w:val="16"/>
              </w:rPr>
              <w:t>unión familiar</w:t>
            </w:r>
            <w:r>
              <w:rPr>
                <w:rFonts w:ascii="Arial" w:hAnsi="Arial" w:cs="Arial"/>
                <w:i/>
                <w:sz w:val="16"/>
                <w:szCs w:val="16"/>
              </w:rPr>
              <w:t xml:space="preserve"> por Año de salida del país</w:t>
            </w:r>
          </w:p>
          <w:p w:rsidR="0006543C" w:rsidRPr="00840530" w:rsidRDefault="0035238E" w:rsidP="0006543C">
            <w:pPr>
              <w:rPr>
                <w:rFonts w:ascii="Arial" w:hAnsi="Arial" w:cs="Arial"/>
                <w:sz w:val="24"/>
                <w:szCs w:val="24"/>
              </w:rPr>
            </w:pPr>
            <w:r>
              <w:rPr>
                <w:noProof/>
                <w:lang w:eastAsia="es-EC"/>
              </w:rPr>
              <w:drawing>
                <wp:inline distT="0" distB="0" distL="0" distR="0" wp14:anchorId="14635B2D" wp14:editId="42AD8A6A">
                  <wp:extent cx="4410075" cy="1657350"/>
                  <wp:effectExtent l="0" t="0" r="0" b="0"/>
                  <wp:docPr id="288" name="Gráfico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c>
      </w:tr>
    </w:tbl>
    <w:p w:rsidR="0006543C" w:rsidRPr="0035238E" w:rsidRDefault="0006543C" w:rsidP="0035238E">
      <w:pPr>
        <w:pStyle w:val="Prrafodelista"/>
        <w:spacing w:line="276" w:lineRule="auto"/>
        <w:ind w:left="851"/>
        <w:jc w:val="both"/>
        <w:rPr>
          <w:rFonts w:ascii="Arial" w:hAnsi="Arial" w:cs="Arial"/>
          <w:sz w:val="17"/>
          <w:szCs w:val="17"/>
        </w:rPr>
      </w:pPr>
    </w:p>
    <w:p w:rsidR="0006543C" w:rsidRPr="0035238E" w:rsidRDefault="0006543C" w:rsidP="0035238E">
      <w:pPr>
        <w:pStyle w:val="Prrafodelista"/>
        <w:spacing w:line="276" w:lineRule="auto"/>
        <w:ind w:left="851"/>
        <w:jc w:val="both"/>
        <w:rPr>
          <w:rFonts w:ascii="Arial" w:hAnsi="Arial" w:cs="Arial"/>
          <w:sz w:val="17"/>
          <w:szCs w:val="17"/>
        </w:rPr>
      </w:pPr>
      <w:r w:rsidRPr="0035238E">
        <w:rPr>
          <w:rFonts w:ascii="Arial" w:hAnsi="Arial" w:cs="Arial"/>
          <w:b/>
          <w:i/>
          <w:sz w:val="17"/>
          <w:szCs w:val="17"/>
        </w:rPr>
        <w:t>Fuente:</w:t>
      </w:r>
      <w:r w:rsidRPr="0035238E">
        <w:rPr>
          <w:rFonts w:ascii="Arial" w:hAnsi="Arial" w:cs="Arial"/>
          <w:sz w:val="17"/>
          <w:szCs w:val="17"/>
        </w:rPr>
        <w:t xml:space="preserve"> </w:t>
      </w:r>
      <w:r w:rsidRPr="0035238E">
        <w:rPr>
          <w:rFonts w:ascii="Arial" w:hAnsi="Arial" w:cs="Arial"/>
          <w:b/>
          <w:sz w:val="17"/>
          <w:szCs w:val="17"/>
        </w:rPr>
        <w:t xml:space="preserve">INEC </w:t>
      </w:r>
      <w:r w:rsidRPr="0035238E">
        <w:rPr>
          <w:rFonts w:ascii="Arial" w:hAnsi="Arial" w:cs="Arial"/>
          <w:sz w:val="17"/>
          <w:szCs w:val="17"/>
        </w:rPr>
        <w:t>(2010), Base de Datos del VII Censo de Población y VI de Vivienda.</w:t>
      </w:r>
    </w:p>
    <w:p w:rsidR="0006543C" w:rsidRPr="0035238E" w:rsidRDefault="0006543C" w:rsidP="0035238E">
      <w:pPr>
        <w:pStyle w:val="51"/>
        <w:numPr>
          <w:ilvl w:val="0"/>
          <w:numId w:val="0"/>
        </w:numPr>
        <w:spacing w:line="276" w:lineRule="auto"/>
        <w:ind w:left="851"/>
        <w:rPr>
          <w:sz w:val="17"/>
          <w:szCs w:val="17"/>
        </w:rPr>
      </w:pPr>
      <w:bookmarkStart w:id="825" w:name="_Toc339853137"/>
      <w:bookmarkStart w:id="826" w:name="_Toc340231907"/>
      <w:bookmarkStart w:id="827" w:name="_Toc341040738"/>
      <w:r w:rsidRPr="0035238E">
        <w:rPr>
          <w:i/>
          <w:sz w:val="17"/>
          <w:szCs w:val="17"/>
        </w:rPr>
        <w:t>Elaborado por:</w:t>
      </w:r>
      <w:r w:rsidRPr="0035238E">
        <w:rPr>
          <w:sz w:val="17"/>
          <w:szCs w:val="17"/>
        </w:rPr>
        <w:t xml:space="preserve"> </w:t>
      </w:r>
      <w:r w:rsidRPr="0035238E">
        <w:rPr>
          <w:b w:val="0"/>
          <w:sz w:val="17"/>
          <w:szCs w:val="17"/>
        </w:rPr>
        <w:t>Katherine Loor Valeriano</w:t>
      </w:r>
      <w:bookmarkEnd w:id="825"/>
      <w:bookmarkEnd w:id="826"/>
      <w:bookmarkEnd w:id="827"/>
    </w:p>
    <w:p w:rsidR="0006543C" w:rsidRDefault="0006543C" w:rsidP="0006543C">
      <w:pPr>
        <w:pStyle w:val="51"/>
        <w:numPr>
          <w:ilvl w:val="0"/>
          <w:numId w:val="0"/>
        </w:numPr>
        <w:ind w:left="567"/>
        <w:rPr>
          <w:b w:val="0"/>
          <w:sz w:val="22"/>
          <w:szCs w:val="22"/>
        </w:rPr>
      </w:pPr>
    </w:p>
    <w:p w:rsidR="0006543C" w:rsidRPr="00254464" w:rsidRDefault="0006543C" w:rsidP="0035238E">
      <w:pPr>
        <w:pStyle w:val="52"/>
        <w:ind w:left="851"/>
      </w:pPr>
      <w:bookmarkStart w:id="828" w:name="_Toc338407809"/>
      <w:bookmarkStart w:id="829" w:name="_Toc338412812"/>
      <w:bookmarkStart w:id="830" w:name="_Toc341040739"/>
      <w:r>
        <w:t xml:space="preserve">País de residencia actual de los </w:t>
      </w:r>
      <w:r w:rsidR="0035238E">
        <w:t>e</w:t>
      </w:r>
      <w:r>
        <w:t>migrantes</w:t>
      </w:r>
      <w:bookmarkEnd w:id="828"/>
      <w:bookmarkEnd w:id="829"/>
      <w:r w:rsidR="0035238E">
        <w:t xml:space="preserve"> que salieron por unión familiar</w:t>
      </w:r>
      <w:bookmarkEnd w:id="830"/>
    </w:p>
    <w:p w:rsidR="0006543C" w:rsidRPr="00287F2C" w:rsidRDefault="0035238E" w:rsidP="00287F2C">
      <w:pPr>
        <w:spacing w:line="480" w:lineRule="auto"/>
        <w:ind w:left="851"/>
        <w:jc w:val="both"/>
        <w:rPr>
          <w:rFonts w:ascii="Arial" w:hAnsi="Arial" w:cs="Arial"/>
        </w:rPr>
      </w:pPr>
      <w:bookmarkStart w:id="831" w:name="_Toc339853139"/>
      <w:bookmarkStart w:id="832" w:name="_Toc340231909"/>
      <w:r w:rsidRPr="00287F2C">
        <w:rPr>
          <w:rFonts w:ascii="Arial" w:hAnsi="Arial" w:cs="Arial"/>
        </w:rPr>
        <w:t>D</w:t>
      </w:r>
      <w:r w:rsidR="0006543C" w:rsidRPr="00287F2C">
        <w:rPr>
          <w:rFonts w:ascii="Arial" w:hAnsi="Arial" w:cs="Arial"/>
        </w:rPr>
        <w:t xml:space="preserve">e los emigrantes que salieron del país para reunirse con sus familiares en el exterior, tenemos que 56.67% fueron a Europa, el 26.79% residen actualmente en algún país de América del Norte, el 7.11% están en Latino América y el Caribe, el 0.63% están en algún país de Asia, África u Oceanía; y, el porcentaje restante no especificaron el país donde viven actualmente. Al llevar este análisis a nivel de países, se tiene que el 44.07% del total de personas que emigraron para reunirse con familiares en el exterior fueron  a España, el 25.38% fueron a Estados Unidos, el 8.42% viajaron hasta Italia, el 1.93% en cambio fueron a Colombia. Si consideramos solamente a los que emigraron hacia Europa el 77.77% fueron a España, mientras que los que viajaron hacia América del Norte el 94.72% fueron a Estados Unidos; y, de los que fueron a Latino América y el Caribe el 27.17% viajaron a Colombia. Para más detalles sobre otros países </w:t>
      </w:r>
      <w:r w:rsidR="0006543C" w:rsidRPr="00287F2C">
        <w:rPr>
          <w:rFonts w:ascii="Arial" w:hAnsi="Arial" w:cs="Arial"/>
          <w:i/>
        </w:rPr>
        <w:t>véase Figura 5.22</w:t>
      </w:r>
      <w:r w:rsidR="0006543C" w:rsidRPr="00287F2C">
        <w:rPr>
          <w:rFonts w:ascii="Arial" w:hAnsi="Arial" w:cs="Arial"/>
        </w:rPr>
        <w:t>.</w:t>
      </w:r>
      <w:bookmarkEnd w:id="831"/>
      <w:bookmarkEnd w:id="832"/>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35238E">
        <w:trPr>
          <w:trHeight w:val="2154"/>
          <w:jc w:val="right"/>
        </w:trPr>
        <w:tc>
          <w:tcPr>
            <w:tcW w:w="7497" w:type="dxa"/>
          </w:tcPr>
          <w:p w:rsidR="0006543C" w:rsidRPr="00840530" w:rsidRDefault="0006543C" w:rsidP="0006543C">
            <w:pPr>
              <w:rPr>
                <w:rFonts w:ascii="Arial" w:hAnsi="Arial" w:cs="Arial"/>
                <w:sz w:val="16"/>
                <w:szCs w:val="16"/>
              </w:rPr>
            </w:pPr>
          </w:p>
          <w:p w:rsidR="00E41CC4" w:rsidRPr="00E41CC4" w:rsidRDefault="00E41CC4" w:rsidP="00E41CC4">
            <w:pPr>
              <w:pStyle w:val="Epgrafe"/>
              <w:rPr>
                <w:rFonts w:ascii="Arial" w:hAnsi="Arial" w:cs="Arial"/>
                <w:bCs w:val="0"/>
                <w:color w:val="auto"/>
                <w:sz w:val="16"/>
                <w:szCs w:val="16"/>
              </w:rPr>
            </w:pPr>
            <w:bookmarkStart w:id="833" w:name="_Toc341044102"/>
            <w:r>
              <w:rPr>
                <w:rFonts w:ascii="Arial" w:hAnsi="Arial" w:cs="Arial"/>
                <w:bCs w:val="0"/>
                <w:color w:val="auto"/>
                <w:sz w:val="16"/>
                <w:szCs w:val="16"/>
              </w:rPr>
              <w:t>Figura 5.</w:t>
            </w:r>
            <w:r w:rsidR="00990535" w:rsidRPr="00E41CC4">
              <w:rPr>
                <w:rFonts w:ascii="Arial" w:hAnsi="Arial" w:cs="Arial"/>
                <w:bCs w:val="0"/>
                <w:color w:val="auto"/>
                <w:sz w:val="16"/>
                <w:szCs w:val="16"/>
              </w:rPr>
              <w:fldChar w:fldCharType="begin"/>
            </w:r>
            <w:r w:rsidRPr="00E41CC4">
              <w:rPr>
                <w:rFonts w:ascii="Arial" w:hAnsi="Arial" w:cs="Arial"/>
                <w:bCs w:val="0"/>
                <w:color w:val="auto"/>
                <w:sz w:val="16"/>
                <w:szCs w:val="16"/>
              </w:rPr>
              <w:instrText xml:space="preserve"> SEQ Figura_5. \* ARABIC </w:instrText>
            </w:r>
            <w:r w:rsidR="00990535" w:rsidRPr="00E41CC4">
              <w:rPr>
                <w:rFonts w:ascii="Arial" w:hAnsi="Arial" w:cs="Arial"/>
                <w:bCs w:val="0"/>
                <w:color w:val="auto"/>
                <w:sz w:val="16"/>
                <w:szCs w:val="16"/>
              </w:rPr>
              <w:fldChar w:fldCharType="separate"/>
            </w:r>
            <w:r w:rsidR="00A242E0">
              <w:rPr>
                <w:rFonts w:ascii="Arial" w:hAnsi="Arial" w:cs="Arial"/>
                <w:bCs w:val="0"/>
                <w:noProof/>
                <w:color w:val="auto"/>
                <w:sz w:val="16"/>
                <w:szCs w:val="16"/>
              </w:rPr>
              <w:t>22</w:t>
            </w:r>
            <w:bookmarkEnd w:id="833"/>
            <w:r w:rsidR="00990535" w:rsidRPr="00E41CC4">
              <w:rPr>
                <w:rFonts w:ascii="Arial" w:hAnsi="Arial" w:cs="Arial"/>
                <w:bCs w:val="0"/>
                <w:color w:val="auto"/>
                <w:sz w:val="16"/>
                <w:szCs w:val="16"/>
              </w:rPr>
              <w:fldChar w:fldCharType="end"/>
            </w:r>
          </w:p>
          <w:p w:rsidR="0035238E" w:rsidRDefault="0035238E" w:rsidP="0035238E">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Frecuencia Relativa de País de residencia actual de los emigrantes </w:t>
            </w:r>
          </w:p>
          <w:p w:rsidR="0035238E" w:rsidRDefault="0035238E" w:rsidP="0035238E">
            <w:pPr>
              <w:rPr>
                <w:rFonts w:ascii="Arial" w:hAnsi="Arial" w:cs="Arial"/>
                <w:i/>
                <w:sz w:val="16"/>
                <w:szCs w:val="16"/>
              </w:rPr>
            </w:pPr>
            <w:r>
              <w:rPr>
                <w:rFonts w:ascii="Arial" w:hAnsi="Arial" w:cs="Arial"/>
                <w:i/>
                <w:sz w:val="16"/>
                <w:szCs w:val="16"/>
              </w:rPr>
              <w:t xml:space="preserve">que viajaron por </w:t>
            </w:r>
            <w:r>
              <w:rPr>
                <w:rFonts w:ascii="Arial" w:hAnsi="Arial" w:cs="Arial"/>
                <w:b/>
                <w:i/>
                <w:sz w:val="16"/>
                <w:szCs w:val="16"/>
              </w:rPr>
              <w:t>unión familiar</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760"/>
              <w:gridCol w:w="4539"/>
            </w:tblGrid>
            <w:tr w:rsidR="0006543C" w:rsidTr="0035238E">
              <w:trPr>
                <w:jc w:val="center"/>
              </w:trPr>
              <w:tc>
                <w:tcPr>
                  <w:tcW w:w="2760" w:type="dxa"/>
                </w:tcPr>
                <w:p w:rsidR="0006543C" w:rsidRPr="00C61AEB" w:rsidRDefault="0006543C" w:rsidP="0006543C">
                  <w:pPr>
                    <w:rPr>
                      <w:rFonts w:ascii="Arial" w:hAnsi="Arial" w:cs="Arial"/>
                      <w:b/>
                      <w:sz w:val="16"/>
                      <w:szCs w:val="16"/>
                    </w:rPr>
                  </w:pPr>
                  <w:r>
                    <w:rPr>
                      <w:rFonts w:ascii="Arial" w:hAnsi="Arial" w:cs="Arial"/>
                      <w:b/>
                      <w:sz w:val="16"/>
                      <w:szCs w:val="16"/>
                    </w:rPr>
                    <w:t>Tabla de Frecuencias</w:t>
                  </w:r>
                </w:p>
                <w:p w:rsidR="0006543C" w:rsidRPr="00C61AEB" w:rsidRDefault="0006543C" w:rsidP="0006543C">
                  <w:pPr>
                    <w:rPr>
                      <w:rFonts w:ascii="Arial" w:hAnsi="Arial" w:cs="Arial"/>
                      <w:sz w:val="10"/>
                      <w:szCs w:val="10"/>
                    </w:rPr>
                  </w:pPr>
                </w:p>
                <w:tbl>
                  <w:tblPr>
                    <w:tblW w:w="2566" w:type="dxa"/>
                    <w:jc w:val="center"/>
                    <w:tblCellMar>
                      <w:left w:w="70" w:type="dxa"/>
                      <w:right w:w="70" w:type="dxa"/>
                    </w:tblCellMar>
                    <w:tblLook w:val="04A0" w:firstRow="1" w:lastRow="0" w:firstColumn="1" w:lastColumn="0" w:noHBand="0" w:noVBand="1"/>
                  </w:tblPr>
                  <w:tblGrid>
                    <w:gridCol w:w="1581"/>
                    <w:gridCol w:w="1019"/>
                  </w:tblGrid>
                  <w:tr w:rsidR="0006543C" w:rsidRPr="00C61AEB" w:rsidTr="0006543C">
                    <w:trPr>
                      <w:trHeight w:val="227"/>
                      <w:jc w:val="center"/>
                    </w:trPr>
                    <w:tc>
                      <w:tcPr>
                        <w:tcW w:w="1581" w:type="dxa"/>
                        <w:tcBorders>
                          <w:top w:val="single" w:sz="4" w:space="0" w:color="auto"/>
                          <w:left w:val="nil"/>
                          <w:bottom w:val="single" w:sz="4" w:space="0" w:color="auto"/>
                          <w:right w:val="nil"/>
                        </w:tcBorders>
                        <w:shd w:val="clear" w:color="auto" w:fill="auto"/>
                        <w:vAlign w:val="center"/>
                        <w:hideMark/>
                      </w:tcPr>
                      <w:p w:rsidR="0006543C" w:rsidRPr="00C61AEB" w:rsidRDefault="0006543C" w:rsidP="0006543C">
                        <w:pPr>
                          <w:rPr>
                            <w:rFonts w:ascii="Arial" w:eastAsia="Times New Roman" w:hAnsi="Arial" w:cs="Arial"/>
                            <w:b/>
                            <w:bCs/>
                            <w:color w:val="000000"/>
                            <w:sz w:val="16"/>
                            <w:szCs w:val="16"/>
                            <w:lang w:eastAsia="es-EC"/>
                          </w:rPr>
                        </w:pPr>
                        <w:r w:rsidRPr="00C61AEB">
                          <w:rPr>
                            <w:rFonts w:ascii="Arial" w:eastAsia="Times New Roman" w:hAnsi="Arial" w:cs="Arial"/>
                            <w:b/>
                            <w:bCs/>
                            <w:color w:val="000000"/>
                            <w:sz w:val="16"/>
                            <w:szCs w:val="16"/>
                            <w:lang w:eastAsia="es-EC"/>
                          </w:rPr>
                          <w:t xml:space="preserve">País de residencia </w:t>
                        </w:r>
                        <w:r>
                          <w:rPr>
                            <w:rFonts w:ascii="Arial" w:eastAsia="Times New Roman" w:hAnsi="Arial" w:cs="Arial"/>
                            <w:b/>
                            <w:bCs/>
                            <w:color w:val="000000"/>
                            <w:sz w:val="16"/>
                            <w:szCs w:val="16"/>
                            <w:lang w:eastAsia="es-EC"/>
                          </w:rPr>
                          <w:t>actual</w:t>
                        </w:r>
                      </w:p>
                    </w:tc>
                    <w:tc>
                      <w:tcPr>
                        <w:tcW w:w="985" w:type="dxa"/>
                        <w:tcBorders>
                          <w:top w:val="single" w:sz="4" w:space="0" w:color="auto"/>
                          <w:left w:val="nil"/>
                          <w:bottom w:val="single" w:sz="4" w:space="0" w:color="auto"/>
                          <w:right w:val="nil"/>
                        </w:tcBorders>
                        <w:shd w:val="clear" w:color="auto" w:fill="auto"/>
                        <w:vAlign w:val="center"/>
                        <w:hideMark/>
                      </w:tcPr>
                      <w:p w:rsidR="0006543C" w:rsidRPr="00C61AEB" w:rsidRDefault="0006543C" w:rsidP="0006543C">
                        <w:pPr>
                          <w:rPr>
                            <w:rFonts w:ascii="Arial" w:eastAsia="Times New Roman" w:hAnsi="Arial" w:cs="Arial"/>
                            <w:b/>
                            <w:bCs/>
                            <w:color w:val="000000"/>
                            <w:sz w:val="16"/>
                            <w:szCs w:val="16"/>
                            <w:lang w:eastAsia="es-EC"/>
                          </w:rPr>
                        </w:pPr>
                        <w:r w:rsidRPr="00C61AEB">
                          <w:rPr>
                            <w:rFonts w:ascii="Arial" w:eastAsia="Times New Roman" w:hAnsi="Arial" w:cs="Arial"/>
                            <w:b/>
                            <w:bCs/>
                            <w:color w:val="000000"/>
                            <w:sz w:val="16"/>
                            <w:szCs w:val="16"/>
                            <w:lang w:eastAsia="es-EC"/>
                          </w:rPr>
                          <w:t>Frecuencia Relativa</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España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0.441</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Estados Unidos</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0.254</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Italia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0.084</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Colombia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0.019</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Chile</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0.017</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Venezuela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0.013</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Canadá</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0.011</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Alemania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0.008</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Bélgica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0.007</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Reino Unido</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0.006</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Perú</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0.006</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Argentina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0.005</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Suiza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0.005</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Francia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0.004</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México</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0.003</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Otros países</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0.030</w:t>
                        </w:r>
                      </w:p>
                    </w:tc>
                  </w:tr>
                  <w:tr w:rsidR="0006543C" w:rsidRPr="00C61AEB" w:rsidTr="000870EC">
                    <w:trPr>
                      <w:trHeight w:val="170"/>
                      <w:jc w:val="center"/>
                    </w:trPr>
                    <w:tc>
                      <w:tcPr>
                        <w:tcW w:w="1581" w:type="dxa"/>
                        <w:tcBorders>
                          <w:top w:val="nil"/>
                          <w:left w:val="nil"/>
                          <w:bottom w:val="nil"/>
                          <w:right w:val="nil"/>
                        </w:tcBorders>
                        <w:shd w:val="clear" w:color="auto" w:fill="auto"/>
                        <w:noWrap/>
                        <w:vAlign w:val="center"/>
                      </w:tcPr>
                      <w:p w:rsidR="0006543C" w:rsidRDefault="0006543C" w:rsidP="0035238E">
                        <w:pPr>
                          <w:jc w:val="left"/>
                          <w:rPr>
                            <w:rFonts w:ascii="Arial" w:hAnsi="Arial" w:cs="Arial"/>
                            <w:sz w:val="16"/>
                            <w:szCs w:val="16"/>
                          </w:rPr>
                        </w:pPr>
                        <w:r>
                          <w:rPr>
                            <w:rFonts w:ascii="Arial" w:hAnsi="Arial" w:cs="Arial"/>
                            <w:sz w:val="16"/>
                            <w:szCs w:val="16"/>
                          </w:rPr>
                          <w:t>No especifica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0.088</w:t>
                        </w:r>
                      </w:p>
                    </w:tc>
                  </w:tr>
                  <w:tr w:rsidR="0006543C" w:rsidRPr="00C61AEB" w:rsidTr="000870EC">
                    <w:trPr>
                      <w:trHeight w:val="170"/>
                      <w:jc w:val="center"/>
                    </w:trPr>
                    <w:tc>
                      <w:tcPr>
                        <w:tcW w:w="1581" w:type="dxa"/>
                        <w:tcBorders>
                          <w:top w:val="nil"/>
                          <w:left w:val="nil"/>
                          <w:bottom w:val="single" w:sz="4" w:space="0" w:color="auto"/>
                          <w:right w:val="nil"/>
                        </w:tcBorders>
                        <w:shd w:val="clear" w:color="auto" w:fill="auto"/>
                        <w:noWrap/>
                        <w:vAlign w:val="center"/>
                        <w:hideMark/>
                      </w:tcPr>
                      <w:p w:rsidR="0006543C" w:rsidRPr="00C61AEB" w:rsidRDefault="0006543C" w:rsidP="0035238E">
                        <w:pPr>
                          <w:jc w:val="left"/>
                          <w:rPr>
                            <w:rFonts w:ascii="Arial" w:eastAsia="Times New Roman" w:hAnsi="Arial" w:cs="Arial"/>
                            <w:b/>
                            <w:bCs/>
                            <w:i/>
                            <w:iCs/>
                            <w:color w:val="000000"/>
                            <w:sz w:val="16"/>
                            <w:szCs w:val="16"/>
                            <w:lang w:eastAsia="es-EC"/>
                          </w:rPr>
                        </w:pPr>
                        <w:r w:rsidRPr="00C61AEB">
                          <w:rPr>
                            <w:rFonts w:ascii="Arial" w:eastAsia="Times New Roman" w:hAnsi="Arial" w:cs="Arial"/>
                            <w:b/>
                            <w:bCs/>
                            <w:i/>
                            <w:iCs/>
                            <w:color w:val="000000"/>
                            <w:sz w:val="16"/>
                            <w:szCs w:val="16"/>
                            <w:lang w:eastAsia="es-EC"/>
                          </w:rPr>
                          <w:t>Total</w:t>
                        </w:r>
                      </w:p>
                    </w:tc>
                    <w:tc>
                      <w:tcPr>
                        <w:tcW w:w="985" w:type="dxa"/>
                        <w:tcBorders>
                          <w:top w:val="nil"/>
                          <w:left w:val="nil"/>
                          <w:bottom w:val="single" w:sz="4" w:space="0" w:color="auto"/>
                          <w:right w:val="nil"/>
                        </w:tcBorders>
                        <w:shd w:val="clear" w:color="auto" w:fill="auto"/>
                        <w:noWrap/>
                        <w:vAlign w:val="center"/>
                        <w:hideMark/>
                      </w:tcPr>
                      <w:p w:rsidR="0006543C" w:rsidRPr="00C61AEB" w:rsidRDefault="0006543C" w:rsidP="0006543C">
                        <w:pPr>
                          <w:rPr>
                            <w:rFonts w:ascii="Arial" w:eastAsia="Times New Roman" w:hAnsi="Arial" w:cs="Arial"/>
                            <w:b/>
                            <w:bCs/>
                            <w:i/>
                            <w:iCs/>
                            <w:color w:val="000000"/>
                            <w:sz w:val="16"/>
                            <w:szCs w:val="16"/>
                            <w:lang w:eastAsia="es-EC"/>
                          </w:rPr>
                        </w:pPr>
                        <w:r w:rsidRPr="00C61AEB">
                          <w:rPr>
                            <w:rFonts w:ascii="Arial" w:eastAsia="Times New Roman" w:hAnsi="Arial" w:cs="Arial"/>
                            <w:b/>
                            <w:bCs/>
                            <w:i/>
                            <w:iCs/>
                            <w:color w:val="000000"/>
                            <w:sz w:val="16"/>
                            <w:szCs w:val="16"/>
                            <w:lang w:eastAsia="es-EC"/>
                          </w:rPr>
                          <w:t>1.000</w:t>
                        </w:r>
                      </w:p>
                    </w:tc>
                  </w:tr>
                </w:tbl>
                <w:p w:rsidR="0006543C" w:rsidRDefault="0006543C" w:rsidP="0006543C">
                  <w:pPr>
                    <w:rPr>
                      <w:rFonts w:ascii="Arial" w:hAnsi="Arial" w:cs="Arial"/>
                      <w:sz w:val="24"/>
                      <w:szCs w:val="24"/>
                    </w:rPr>
                  </w:pPr>
                </w:p>
              </w:tc>
              <w:tc>
                <w:tcPr>
                  <w:tcW w:w="4539" w:type="dxa"/>
                </w:tcPr>
                <w:p w:rsidR="0006543C" w:rsidRPr="00C61AEB" w:rsidRDefault="0006543C" w:rsidP="0006543C">
                  <w:pPr>
                    <w:rPr>
                      <w:rFonts w:ascii="Arial" w:hAnsi="Arial" w:cs="Arial"/>
                      <w:b/>
                      <w:noProof/>
                      <w:sz w:val="16"/>
                      <w:szCs w:val="16"/>
                      <w:lang w:eastAsia="es-EC"/>
                    </w:rPr>
                  </w:pPr>
                  <w:r>
                    <w:rPr>
                      <w:rFonts w:ascii="Arial" w:hAnsi="Arial" w:cs="Arial"/>
                      <w:b/>
                      <w:noProof/>
                      <w:sz w:val="16"/>
                      <w:szCs w:val="16"/>
                      <w:lang w:eastAsia="es-EC"/>
                    </w:rPr>
                    <w:t>Histograma de Frecuencias</w:t>
                  </w:r>
                </w:p>
                <w:p w:rsidR="0006543C" w:rsidRDefault="0006543C" w:rsidP="0006543C">
                  <w:pPr>
                    <w:rPr>
                      <w:rFonts w:ascii="Arial" w:hAnsi="Arial" w:cs="Arial"/>
                      <w:sz w:val="24"/>
                      <w:szCs w:val="24"/>
                    </w:rPr>
                  </w:pPr>
                  <w:r>
                    <w:rPr>
                      <w:noProof/>
                      <w:lang w:eastAsia="es-EC"/>
                    </w:rPr>
                    <w:drawing>
                      <wp:inline distT="0" distB="0" distL="0" distR="0" wp14:anchorId="26EDA105" wp14:editId="05470055">
                        <wp:extent cx="2771775" cy="2505075"/>
                        <wp:effectExtent l="0" t="0" r="0" b="0"/>
                        <wp:docPr id="170" name="Gráfico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c>
            </w:tr>
          </w:tbl>
          <w:p w:rsidR="0006543C" w:rsidRPr="00840530" w:rsidRDefault="0006543C" w:rsidP="0006543C">
            <w:pPr>
              <w:rPr>
                <w:rFonts w:ascii="Arial" w:hAnsi="Arial" w:cs="Arial"/>
                <w:sz w:val="24"/>
                <w:szCs w:val="24"/>
              </w:rPr>
            </w:pPr>
          </w:p>
        </w:tc>
      </w:tr>
    </w:tbl>
    <w:p w:rsidR="0006543C" w:rsidRPr="0035238E" w:rsidRDefault="0006543C" w:rsidP="0035238E">
      <w:pPr>
        <w:pStyle w:val="Prrafodelista"/>
        <w:spacing w:line="276" w:lineRule="auto"/>
        <w:ind w:left="851"/>
        <w:jc w:val="both"/>
        <w:rPr>
          <w:rFonts w:ascii="Arial" w:hAnsi="Arial" w:cs="Arial"/>
          <w:sz w:val="17"/>
          <w:szCs w:val="17"/>
        </w:rPr>
      </w:pPr>
    </w:p>
    <w:p w:rsidR="0006543C" w:rsidRPr="0035238E" w:rsidRDefault="0006543C" w:rsidP="0035238E">
      <w:pPr>
        <w:pStyle w:val="Prrafodelista"/>
        <w:spacing w:line="276" w:lineRule="auto"/>
        <w:ind w:left="851"/>
        <w:jc w:val="both"/>
        <w:rPr>
          <w:rFonts w:ascii="Arial" w:hAnsi="Arial" w:cs="Arial"/>
          <w:sz w:val="17"/>
          <w:szCs w:val="17"/>
        </w:rPr>
      </w:pPr>
      <w:r w:rsidRPr="0035238E">
        <w:rPr>
          <w:rFonts w:ascii="Arial" w:hAnsi="Arial" w:cs="Arial"/>
          <w:b/>
          <w:i/>
          <w:sz w:val="17"/>
          <w:szCs w:val="17"/>
        </w:rPr>
        <w:t>Fuente:</w:t>
      </w:r>
      <w:r w:rsidRPr="0035238E">
        <w:rPr>
          <w:rFonts w:ascii="Arial" w:hAnsi="Arial" w:cs="Arial"/>
          <w:sz w:val="17"/>
          <w:szCs w:val="17"/>
        </w:rPr>
        <w:t xml:space="preserve"> </w:t>
      </w:r>
      <w:r w:rsidRPr="0035238E">
        <w:rPr>
          <w:rFonts w:ascii="Arial" w:hAnsi="Arial" w:cs="Arial"/>
          <w:b/>
          <w:sz w:val="17"/>
          <w:szCs w:val="17"/>
        </w:rPr>
        <w:t xml:space="preserve">INEC </w:t>
      </w:r>
      <w:r w:rsidRPr="0035238E">
        <w:rPr>
          <w:rFonts w:ascii="Arial" w:hAnsi="Arial" w:cs="Arial"/>
          <w:sz w:val="17"/>
          <w:szCs w:val="17"/>
        </w:rPr>
        <w:t>(2010), Base de Datos del VII Censo de Población y VI de Vivienda.</w:t>
      </w:r>
    </w:p>
    <w:p w:rsidR="0006543C" w:rsidRDefault="0006543C" w:rsidP="0035238E">
      <w:pPr>
        <w:pStyle w:val="Prrafodelista"/>
        <w:spacing w:line="276" w:lineRule="auto"/>
        <w:ind w:left="851"/>
        <w:jc w:val="both"/>
        <w:rPr>
          <w:rFonts w:ascii="Arial" w:hAnsi="Arial" w:cs="Arial"/>
          <w:sz w:val="17"/>
          <w:szCs w:val="17"/>
        </w:rPr>
      </w:pPr>
      <w:r w:rsidRPr="0035238E">
        <w:rPr>
          <w:rFonts w:ascii="Arial" w:hAnsi="Arial" w:cs="Arial"/>
          <w:b/>
          <w:i/>
          <w:sz w:val="17"/>
          <w:szCs w:val="17"/>
        </w:rPr>
        <w:t>Elaborado por:</w:t>
      </w:r>
      <w:r w:rsidRPr="0035238E">
        <w:rPr>
          <w:rFonts w:ascii="Arial" w:hAnsi="Arial" w:cs="Arial"/>
          <w:sz w:val="17"/>
          <w:szCs w:val="17"/>
        </w:rPr>
        <w:t xml:space="preserve"> Katherine Loor Valeriano</w:t>
      </w:r>
    </w:p>
    <w:p w:rsidR="0035238E" w:rsidRPr="0035238E" w:rsidRDefault="0035238E" w:rsidP="0035238E">
      <w:pPr>
        <w:pStyle w:val="Prrafodelista"/>
        <w:spacing w:line="480" w:lineRule="auto"/>
        <w:ind w:left="851"/>
        <w:jc w:val="both"/>
        <w:rPr>
          <w:rFonts w:ascii="Arial" w:hAnsi="Arial" w:cs="Arial"/>
        </w:rPr>
      </w:pPr>
    </w:p>
    <w:p w:rsidR="00087FF8" w:rsidRDefault="00087FF8" w:rsidP="00087FF8">
      <w:pPr>
        <w:pStyle w:val="52"/>
        <w:ind w:left="851"/>
      </w:pPr>
      <w:bookmarkStart w:id="834" w:name="_Toc341040740"/>
      <w:r>
        <w:t>Índice de Feminidad de los emigrantes que salieron por unión familiar</w:t>
      </w:r>
      <w:bookmarkEnd w:id="834"/>
    </w:p>
    <w:p w:rsidR="0006543C" w:rsidRPr="00087FF8" w:rsidRDefault="00087FF8" w:rsidP="00087FF8">
      <w:pPr>
        <w:spacing w:line="480" w:lineRule="auto"/>
        <w:ind w:left="851"/>
        <w:jc w:val="both"/>
        <w:rPr>
          <w:rFonts w:ascii="Arial" w:hAnsi="Arial" w:cs="Arial"/>
        </w:rPr>
      </w:pPr>
      <w:bookmarkStart w:id="835" w:name="_Toc339853141"/>
      <w:bookmarkStart w:id="836" w:name="_Toc340231911"/>
      <w:r>
        <w:rPr>
          <w:rFonts w:ascii="Arial" w:hAnsi="Arial" w:cs="Arial"/>
        </w:rPr>
        <w:t>De</w:t>
      </w:r>
      <w:r w:rsidR="0006543C" w:rsidRPr="00087FF8">
        <w:rPr>
          <w:rFonts w:ascii="Arial" w:hAnsi="Arial" w:cs="Arial"/>
        </w:rPr>
        <w:t xml:space="preserve"> las personas que emigran para trabajar es mayor la cantidad de hombres que de mujeres; para quienes viajaron para reunirse con sus familiares en el exterior se tiene que el 53.94% son mujeres y por tanto el porcentaje restante (46.04%) son hombres, teniéndose que emigran 117.21 mujeres para reunirse con sus familiares por cada 100 hombres que emigran por el mismo motivo.</w:t>
      </w:r>
      <w:bookmarkEnd w:id="835"/>
      <w:bookmarkEnd w:id="836"/>
      <w:r w:rsidR="0006543C" w:rsidRPr="00087FF8">
        <w:rPr>
          <w:rFonts w:ascii="Arial" w:hAnsi="Arial" w:cs="Arial"/>
        </w:rPr>
        <w:t xml:space="preserve"> </w:t>
      </w:r>
      <w:bookmarkStart w:id="837" w:name="_Toc339853142"/>
      <w:bookmarkStart w:id="838" w:name="_Toc340231912"/>
      <w:r w:rsidR="0006543C" w:rsidRPr="00087FF8">
        <w:rPr>
          <w:rFonts w:ascii="Arial" w:hAnsi="Arial" w:cs="Arial"/>
        </w:rPr>
        <w:t xml:space="preserve">En la </w:t>
      </w:r>
      <w:r w:rsidR="0006543C" w:rsidRPr="00087FF8">
        <w:rPr>
          <w:rFonts w:ascii="Arial" w:hAnsi="Arial" w:cs="Arial"/>
          <w:i/>
        </w:rPr>
        <w:t>Figura 5.23</w:t>
      </w:r>
      <w:r w:rsidR="0006543C" w:rsidRPr="00087FF8">
        <w:rPr>
          <w:rFonts w:ascii="Arial" w:hAnsi="Arial" w:cs="Arial"/>
        </w:rPr>
        <w:t xml:space="preserve">, se presenta el índice de feminidad de los emigrantes para algunos países de residencia actual, en los resultados en esa figura mostradas se observa que en todos los casos el índice de feminidad toma valores mayores a 100, es decir, hacia todos esos países han emigrado mayor cantidad de mujeres que de hombres. Aunque, de quienes fueron a Suecia hay 92 mujeres por cada 100 hombres que emigraron a este país; y, de las personas que emigraron a China hay 68.29 mujeres por cada 100 hombres, a parte de estos dos casos hay muchos más. De las personas que emigraron a España para reunirse con familiares hay 113.06 mujeres por cada 100 hombres; y, de los que fueron a Estados Unidos habían 147.09 mujeres por cada 100 hombres; hacia Brasil se </w:t>
      </w:r>
      <w:r w:rsidR="00AE13C0">
        <w:rPr>
          <w:rFonts w:ascii="Arial" w:hAnsi="Arial" w:cs="Arial"/>
        </w:rPr>
        <w:t>encontró</w:t>
      </w:r>
      <w:r w:rsidR="0006543C" w:rsidRPr="00087FF8">
        <w:rPr>
          <w:rFonts w:ascii="Arial" w:hAnsi="Arial" w:cs="Arial"/>
        </w:rPr>
        <w:t xml:space="preserve"> que emigraron 142.55 mujeres por cada 100 hombres; y, el índice de feminidad más alto es el de Países Bajos hacia donde emigraron 300 mujeres por cada 100 hombres.</w:t>
      </w:r>
      <w:bookmarkEnd w:id="837"/>
      <w:bookmarkEnd w:id="838"/>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0870EC">
        <w:trPr>
          <w:trHeight w:val="2041"/>
          <w:jc w:val="right"/>
        </w:trPr>
        <w:tc>
          <w:tcPr>
            <w:tcW w:w="7497" w:type="dxa"/>
          </w:tcPr>
          <w:p w:rsidR="0006543C" w:rsidRPr="00840530" w:rsidRDefault="0006543C" w:rsidP="0006543C">
            <w:pPr>
              <w:rPr>
                <w:rFonts w:ascii="Arial" w:hAnsi="Arial" w:cs="Arial"/>
                <w:sz w:val="16"/>
                <w:szCs w:val="16"/>
              </w:rPr>
            </w:pPr>
          </w:p>
          <w:p w:rsidR="009249A4" w:rsidRPr="009249A4" w:rsidRDefault="009249A4" w:rsidP="009249A4">
            <w:pPr>
              <w:pStyle w:val="Epgrafe"/>
              <w:rPr>
                <w:rFonts w:ascii="Arial" w:hAnsi="Arial" w:cs="Arial"/>
                <w:bCs w:val="0"/>
                <w:color w:val="auto"/>
                <w:sz w:val="16"/>
                <w:szCs w:val="16"/>
              </w:rPr>
            </w:pPr>
            <w:bookmarkStart w:id="839" w:name="_Toc341044103"/>
            <w:r>
              <w:rPr>
                <w:rFonts w:ascii="Arial" w:hAnsi="Arial" w:cs="Arial"/>
                <w:bCs w:val="0"/>
                <w:color w:val="auto"/>
                <w:sz w:val="16"/>
                <w:szCs w:val="16"/>
              </w:rPr>
              <w:t>Figura 5.</w:t>
            </w:r>
            <w:r w:rsidR="00990535" w:rsidRPr="009249A4">
              <w:rPr>
                <w:rFonts w:ascii="Arial" w:hAnsi="Arial" w:cs="Arial"/>
                <w:bCs w:val="0"/>
                <w:color w:val="auto"/>
                <w:sz w:val="16"/>
                <w:szCs w:val="16"/>
              </w:rPr>
              <w:fldChar w:fldCharType="begin"/>
            </w:r>
            <w:r w:rsidRPr="009249A4">
              <w:rPr>
                <w:rFonts w:ascii="Arial" w:hAnsi="Arial" w:cs="Arial"/>
                <w:bCs w:val="0"/>
                <w:color w:val="auto"/>
                <w:sz w:val="16"/>
                <w:szCs w:val="16"/>
              </w:rPr>
              <w:instrText xml:space="preserve"> SEQ Figura_5. \* ARABIC </w:instrText>
            </w:r>
            <w:r w:rsidR="00990535" w:rsidRPr="009249A4">
              <w:rPr>
                <w:rFonts w:ascii="Arial" w:hAnsi="Arial" w:cs="Arial"/>
                <w:bCs w:val="0"/>
                <w:color w:val="auto"/>
                <w:sz w:val="16"/>
                <w:szCs w:val="16"/>
              </w:rPr>
              <w:fldChar w:fldCharType="separate"/>
            </w:r>
            <w:r w:rsidR="00A242E0">
              <w:rPr>
                <w:rFonts w:ascii="Arial" w:hAnsi="Arial" w:cs="Arial"/>
                <w:bCs w:val="0"/>
                <w:noProof/>
                <w:color w:val="auto"/>
                <w:sz w:val="16"/>
                <w:szCs w:val="16"/>
              </w:rPr>
              <w:t>23</w:t>
            </w:r>
            <w:bookmarkEnd w:id="839"/>
            <w:r w:rsidR="00990535" w:rsidRPr="009249A4">
              <w:rPr>
                <w:rFonts w:ascii="Arial" w:hAnsi="Arial" w:cs="Arial"/>
                <w:bCs w:val="0"/>
                <w:color w:val="auto"/>
                <w:sz w:val="16"/>
                <w:szCs w:val="16"/>
              </w:rPr>
              <w:fldChar w:fldCharType="end"/>
            </w:r>
          </w:p>
          <w:p w:rsidR="000870EC" w:rsidRDefault="000870EC" w:rsidP="000870EC">
            <w:pPr>
              <w:rPr>
                <w:rFonts w:ascii="Arial" w:hAnsi="Arial" w:cs="Arial"/>
                <w:b/>
                <w:i/>
                <w:sz w:val="16"/>
                <w:szCs w:val="16"/>
              </w:rPr>
            </w:pPr>
            <w:r>
              <w:rPr>
                <w:rFonts w:ascii="Arial" w:hAnsi="Arial" w:cs="Arial"/>
                <w:b/>
                <w:i/>
                <w:sz w:val="16"/>
                <w:szCs w:val="16"/>
              </w:rPr>
              <w:t xml:space="preserve">Ecuador 2010: </w:t>
            </w:r>
            <w:r>
              <w:rPr>
                <w:rFonts w:ascii="Arial" w:hAnsi="Arial" w:cs="Arial"/>
                <w:i/>
                <w:sz w:val="16"/>
                <w:szCs w:val="16"/>
              </w:rPr>
              <w:t xml:space="preserve">Índice de Feminidad de los emigrantes que viajaron para </w:t>
            </w:r>
            <w:r>
              <w:rPr>
                <w:rFonts w:ascii="Arial" w:hAnsi="Arial" w:cs="Arial"/>
                <w:b/>
                <w:i/>
                <w:sz w:val="16"/>
                <w:szCs w:val="16"/>
              </w:rPr>
              <w:t>unión familiar</w:t>
            </w:r>
          </w:p>
          <w:p w:rsidR="0006543C" w:rsidRDefault="000870EC" w:rsidP="000870EC">
            <w:pPr>
              <w:rPr>
                <w:rFonts w:ascii="Arial" w:hAnsi="Arial" w:cs="Arial"/>
                <w:sz w:val="18"/>
                <w:szCs w:val="18"/>
              </w:rPr>
            </w:pPr>
            <w:r>
              <w:rPr>
                <w:rFonts w:ascii="Arial" w:hAnsi="Arial" w:cs="Arial"/>
                <w:i/>
                <w:sz w:val="16"/>
                <w:szCs w:val="16"/>
              </w:rPr>
              <w:t xml:space="preserve"> por País de residencia actual</w:t>
            </w:r>
          </w:p>
          <w:p w:rsidR="0006543C" w:rsidRPr="00287B5F" w:rsidRDefault="0006543C" w:rsidP="0006543C">
            <w:pPr>
              <w:rPr>
                <w:rFonts w:ascii="Arial" w:hAnsi="Arial" w:cs="Arial"/>
                <w:sz w:val="10"/>
                <w:szCs w:val="10"/>
              </w:rPr>
            </w:pPr>
          </w:p>
          <w:p w:rsidR="0006543C" w:rsidRPr="00840530" w:rsidRDefault="000870EC" w:rsidP="0006543C">
            <w:pPr>
              <w:rPr>
                <w:rFonts w:ascii="Arial" w:hAnsi="Arial" w:cs="Arial"/>
                <w:sz w:val="24"/>
                <w:szCs w:val="24"/>
              </w:rPr>
            </w:pPr>
            <w:r>
              <w:rPr>
                <w:noProof/>
                <w:lang w:eastAsia="es-EC"/>
              </w:rPr>
              <w:drawing>
                <wp:inline distT="0" distB="0" distL="0" distR="0" wp14:anchorId="7481E2E4" wp14:editId="35EA3A2B">
                  <wp:extent cx="4505325" cy="1980000"/>
                  <wp:effectExtent l="0" t="0" r="0" b="0"/>
                  <wp:docPr id="289" name="Gráfico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tc>
      </w:tr>
    </w:tbl>
    <w:p w:rsidR="0006543C" w:rsidRPr="000870EC" w:rsidRDefault="0006543C" w:rsidP="000870EC">
      <w:pPr>
        <w:pStyle w:val="Prrafodelista"/>
        <w:spacing w:line="276" w:lineRule="auto"/>
        <w:ind w:left="851"/>
        <w:jc w:val="both"/>
        <w:rPr>
          <w:rFonts w:ascii="Arial" w:hAnsi="Arial" w:cs="Arial"/>
          <w:sz w:val="17"/>
          <w:szCs w:val="17"/>
        </w:rPr>
      </w:pPr>
    </w:p>
    <w:p w:rsidR="0006543C" w:rsidRPr="000870EC" w:rsidRDefault="0006543C" w:rsidP="000870EC">
      <w:pPr>
        <w:pStyle w:val="Prrafodelista"/>
        <w:spacing w:line="276" w:lineRule="auto"/>
        <w:ind w:left="851"/>
        <w:jc w:val="both"/>
        <w:rPr>
          <w:rFonts w:ascii="Arial" w:hAnsi="Arial" w:cs="Arial"/>
          <w:sz w:val="17"/>
          <w:szCs w:val="17"/>
        </w:rPr>
      </w:pPr>
      <w:r w:rsidRPr="000870EC">
        <w:rPr>
          <w:rFonts w:ascii="Arial" w:hAnsi="Arial" w:cs="Arial"/>
          <w:b/>
          <w:i/>
          <w:sz w:val="17"/>
          <w:szCs w:val="17"/>
        </w:rPr>
        <w:t>Fuente:</w:t>
      </w:r>
      <w:r w:rsidRPr="000870EC">
        <w:rPr>
          <w:rFonts w:ascii="Arial" w:hAnsi="Arial" w:cs="Arial"/>
          <w:sz w:val="17"/>
          <w:szCs w:val="17"/>
        </w:rPr>
        <w:t xml:space="preserve"> </w:t>
      </w:r>
      <w:r w:rsidRPr="000870EC">
        <w:rPr>
          <w:rFonts w:ascii="Arial" w:hAnsi="Arial" w:cs="Arial"/>
          <w:b/>
          <w:sz w:val="17"/>
          <w:szCs w:val="17"/>
        </w:rPr>
        <w:t xml:space="preserve">INEC </w:t>
      </w:r>
      <w:r w:rsidRPr="000870EC">
        <w:rPr>
          <w:rFonts w:ascii="Arial" w:hAnsi="Arial" w:cs="Arial"/>
          <w:sz w:val="17"/>
          <w:szCs w:val="17"/>
        </w:rPr>
        <w:t>(2010), Base de Datos del VII Censo de Población y VI de Vivienda.</w:t>
      </w:r>
    </w:p>
    <w:p w:rsidR="0006543C" w:rsidRPr="000870EC" w:rsidRDefault="0006543C" w:rsidP="000870EC">
      <w:pPr>
        <w:pStyle w:val="Prrafodelista"/>
        <w:spacing w:line="276" w:lineRule="auto"/>
        <w:ind w:left="851"/>
        <w:jc w:val="both"/>
        <w:rPr>
          <w:rFonts w:ascii="Arial" w:hAnsi="Arial" w:cs="Arial"/>
          <w:sz w:val="17"/>
          <w:szCs w:val="17"/>
        </w:rPr>
      </w:pPr>
      <w:r w:rsidRPr="000870EC">
        <w:rPr>
          <w:rFonts w:ascii="Arial" w:hAnsi="Arial" w:cs="Arial"/>
          <w:b/>
          <w:i/>
          <w:sz w:val="17"/>
          <w:szCs w:val="17"/>
        </w:rPr>
        <w:t>Elaborado por:</w:t>
      </w:r>
      <w:r w:rsidRPr="000870EC">
        <w:rPr>
          <w:rFonts w:ascii="Arial" w:hAnsi="Arial" w:cs="Arial"/>
          <w:sz w:val="17"/>
          <w:szCs w:val="17"/>
        </w:rPr>
        <w:t xml:space="preserve"> Katherine Loor Valeriano</w:t>
      </w:r>
    </w:p>
    <w:p w:rsidR="0006543C" w:rsidRDefault="002A0104" w:rsidP="002A0104">
      <w:pPr>
        <w:pStyle w:val="52"/>
        <w:ind w:left="851"/>
      </w:pPr>
      <w:bookmarkStart w:id="840" w:name="_Toc341040741"/>
      <w:r>
        <w:t>Distribución Género y Edad al salir del país de los emigrantes que viajaron por unión familiar</w:t>
      </w:r>
      <w:bookmarkEnd w:id="840"/>
    </w:p>
    <w:p w:rsidR="0006543C" w:rsidRPr="00287F2C" w:rsidRDefault="0006543C" w:rsidP="00287F2C">
      <w:pPr>
        <w:spacing w:line="480" w:lineRule="auto"/>
        <w:ind w:left="851"/>
        <w:jc w:val="both"/>
        <w:rPr>
          <w:rFonts w:ascii="Arial" w:hAnsi="Arial" w:cs="Arial"/>
          <w:i/>
        </w:rPr>
      </w:pPr>
      <w:r w:rsidRPr="00287F2C">
        <w:rPr>
          <w:rFonts w:ascii="Arial" w:hAnsi="Arial" w:cs="Arial"/>
        </w:rPr>
        <w:t xml:space="preserve">Recordemos, que la edad promedio al salir del país de las personas que emigraron para trabajar era 30.517 ± 0.024 años; mientras que, de las personas que dejaron Ecuador para reunirse con sus familiares en el exterior la edad promedio al salir del país es 21.637 ± 0.073 años, la edad de mayor frecuencia o moda es de 1 año, la edad mínima y máxima son 0 y 90 años respectivamente, la edad mediana es 18 años, es decir, el 50% de la población tienen menos de 18 años. </w:t>
      </w:r>
      <w:r w:rsidRPr="00287F2C">
        <w:rPr>
          <w:rFonts w:ascii="Arial" w:hAnsi="Arial" w:cs="Arial"/>
          <w:i/>
        </w:rPr>
        <w:t>Véase Tabla 5.3.</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2A0104">
        <w:trPr>
          <w:trHeight w:val="1814"/>
          <w:jc w:val="right"/>
        </w:trPr>
        <w:tc>
          <w:tcPr>
            <w:tcW w:w="7497" w:type="dxa"/>
          </w:tcPr>
          <w:p w:rsidR="0006543C" w:rsidRPr="00840530" w:rsidRDefault="0006543C" w:rsidP="0006543C">
            <w:pPr>
              <w:rPr>
                <w:rFonts w:ascii="Arial" w:hAnsi="Arial" w:cs="Arial"/>
                <w:sz w:val="16"/>
                <w:szCs w:val="16"/>
              </w:rPr>
            </w:pPr>
          </w:p>
          <w:p w:rsidR="009249A4" w:rsidRPr="009249A4" w:rsidRDefault="009249A4" w:rsidP="009249A4">
            <w:pPr>
              <w:pStyle w:val="Epgrafe"/>
              <w:rPr>
                <w:rFonts w:ascii="Arial" w:hAnsi="Arial" w:cs="Arial"/>
                <w:bCs w:val="0"/>
                <w:color w:val="auto"/>
                <w:sz w:val="16"/>
                <w:szCs w:val="16"/>
              </w:rPr>
            </w:pPr>
            <w:bookmarkStart w:id="841" w:name="_Toc341042149"/>
            <w:r>
              <w:rPr>
                <w:rFonts w:ascii="Arial" w:hAnsi="Arial" w:cs="Arial"/>
                <w:bCs w:val="0"/>
                <w:color w:val="auto"/>
                <w:sz w:val="16"/>
                <w:szCs w:val="16"/>
              </w:rPr>
              <w:t>Tabla 5.</w:t>
            </w:r>
            <w:r w:rsidR="00990535" w:rsidRPr="009249A4">
              <w:rPr>
                <w:rFonts w:ascii="Arial" w:hAnsi="Arial" w:cs="Arial"/>
                <w:bCs w:val="0"/>
                <w:color w:val="auto"/>
                <w:sz w:val="16"/>
                <w:szCs w:val="16"/>
              </w:rPr>
              <w:fldChar w:fldCharType="begin"/>
            </w:r>
            <w:r w:rsidRPr="009249A4">
              <w:rPr>
                <w:rFonts w:ascii="Arial" w:hAnsi="Arial" w:cs="Arial"/>
                <w:bCs w:val="0"/>
                <w:color w:val="auto"/>
                <w:sz w:val="16"/>
                <w:szCs w:val="16"/>
              </w:rPr>
              <w:instrText xml:space="preserve"> SEQ Tabla_5. \* ARABIC </w:instrText>
            </w:r>
            <w:r w:rsidR="00990535" w:rsidRPr="009249A4">
              <w:rPr>
                <w:rFonts w:ascii="Arial" w:hAnsi="Arial" w:cs="Arial"/>
                <w:bCs w:val="0"/>
                <w:color w:val="auto"/>
                <w:sz w:val="16"/>
                <w:szCs w:val="16"/>
              </w:rPr>
              <w:fldChar w:fldCharType="separate"/>
            </w:r>
            <w:r w:rsidR="00A242E0">
              <w:rPr>
                <w:rFonts w:ascii="Arial" w:hAnsi="Arial" w:cs="Arial"/>
                <w:bCs w:val="0"/>
                <w:noProof/>
                <w:color w:val="auto"/>
                <w:sz w:val="16"/>
                <w:szCs w:val="16"/>
              </w:rPr>
              <w:t>3</w:t>
            </w:r>
            <w:bookmarkEnd w:id="841"/>
            <w:r w:rsidR="00990535" w:rsidRPr="009249A4">
              <w:rPr>
                <w:rFonts w:ascii="Arial" w:hAnsi="Arial" w:cs="Arial"/>
                <w:bCs w:val="0"/>
                <w:color w:val="auto"/>
                <w:sz w:val="16"/>
                <w:szCs w:val="16"/>
              </w:rPr>
              <w:fldChar w:fldCharType="end"/>
            </w:r>
          </w:p>
          <w:p w:rsidR="002A0104" w:rsidRDefault="002A0104" w:rsidP="002A0104">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Estadísticas Descriptivas de la Edad al salir del país de los emigrantes </w:t>
            </w:r>
          </w:p>
          <w:p w:rsidR="0006543C" w:rsidRPr="004A6007" w:rsidRDefault="002A0104" w:rsidP="002A0104">
            <w:pPr>
              <w:rPr>
                <w:rFonts w:ascii="Arial" w:hAnsi="Arial" w:cs="Arial"/>
                <w:b/>
                <w:i/>
                <w:sz w:val="16"/>
                <w:szCs w:val="16"/>
              </w:rPr>
            </w:pPr>
            <w:r>
              <w:rPr>
                <w:rFonts w:ascii="Arial" w:hAnsi="Arial" w:cs="Arial"/>
                <w:i/>
                <w:sz w:val="16"/>
                <w:szCs w:val="16"/>
              </w:rPr>
              <w:t xml:space="preserve">que viajaron por </w:t>
            </w:r>
            <w:r>
              <w:rPr>
                <w:rFonts w:ascii="Arial" w:hAnsi="Arial" w:cs="Arial"/>
                <w:b/>
                <w:i/>
                <w:sz w:val="16"/>
                <w:szCs w:val="16"/>
              </w:rPr>
              <w:t>unión familiar</w:t>
            </w:r>
          </w:p>
          <w:p w:rsidR="0006543C" w:rsidRPr="001116D3" w:rsidRDefault="0006543C" w:rsidP="0006543C">
            <w:pPr>
              <w:rPr>
                <w:rFonts w:ascii="Arial" w:hAnsi="Arial" w:cs="Arial"/>
                <w:sz w:val="10"/>
                <w:szCs w:val="10"/>
              </w:rPr>
            </w:pPr>
          </w:p>
          <w:tbl>
            <w:tblPr>
              <w:tblW w:w="7164" w:type="dxa"/>
              <w:jc w:val="center"/>
              <w:tblCellMar>
                <w:left w:w="70" w:type="dxa"/>
                <w:right w:w="70" w:type="dxa"/>
              </w:tblCellMar>
              <w:tblLook w:val="04A0" w:firstRow="1" w:lastRow="0" w:firstColumn="1" w:lastColumn="0" w:noHBand="0" w:noVBand="1"/>
            </w:tblPr>
            <w:tblGrid>
              <w:gridCol w:w="680"/>
              <w:gridCol w:w="1044"/>
              <w:gridCol w:w="624"/>
              <w:gridCol w:w="1060"/>
              <w:gridCol w:w="794"/>
              <w:gridCol w:w="696"/>
              <w:gridCol w:w="794"/>
              <w:gridCol w:w="735"/>
              <w:gridCol w:w="737"/>
            </w:tblGrid>
            <w:tr w:rsidR="0006543C" w:rsidRPr="001116D3" w:rsidTr="002A0104">
              <w:trPr>
                <w:trHeight w:val="397"/>
                <w:jc w:val="center"/>
              </w:trPr>
              <w:tc>
                <w:tcPr>
                  <w:tcW w:w="680"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Media</w:t>
                  </w:r>
                </w:p>
              </w:tc>
              <w:tc>
                <w:tcPr>
                  <w:tcW w:w="104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Error estándar de la media</w:t>
                  </w:r>
                </w:p>
              </w:tc>
              <w:tc>
                <w:tcPr>
                  <w:tcW w:w="62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Moda</w:t>
                  </w:r>
                </w:p>
              </w:tc>
              <w:tc>
                <w:tcPr>
                  <w:tcW w:w="1060"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Desviación estándar</w:t>
                  </w:r>
                </w:p>
              </w:tc>
              <w:tc>
                <w:tcPr>
                  <w:tcW w:w="79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Mínimo</w:t>
                  </w:r>
                </w:p>
              </w:tc>
              <w:tc>
                <w:tcPr>
                  <w:tcW w:w="696"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Máximo</w:t>
                  </w:r>
                </w:p>
              </w:tc>
              <w:tc>
                <w:tcPr>
                  <w:tcW w:w="79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Cuartil 1</w:t>
                  </w:r>
                </w:p>
              </w:tc>
              <w:tc>
                <w:tcPr>
                  <w:tcW w:w="735"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Mediana</w:t>
                  </w:r>
                </w:p>
              </w:tc>
              <w:tc>
                <w:tcPr>
                  <w:tcW w:w="737"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Cuartil 3</w:t>
                  </w:r>
                </w:p>
              </w:tc>
            </w:tr>
            <w:tr w:rsidR="0006543C" w:rsidRPr="001116D3" w:rsidTr="002A0104">
              <w:trPr>
                <w:trHeight w:val="227"/>
                <w:jc w:val="center"/>
              </w:trPr>
              <w:tc>
                <w:tcPr>
                  <w:tcW w:w="680"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21.637</w:t>
                  </w:r>
                </w:p>
              </w:tc>
              <w:tc>
                <w:tcPr>
                  <w:tcW w:w="1044" w:type="dxa"/>
                  <w:tcBorders>
                    <w:top w:val="nil"/>
                    <w:left w:val="nil"/>
                    <w:bottom w:val="single" w:sz="8" w:space="0" w:color="auto"/>
                    <w:right w:val="nil"/>
                  </w:tcBorders>
                  <w:shd w:val="clear" w:color="auto" w:fill="auto"/>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0.073</w:t>
                  </w:r>
                </w:p>
              </w:tc>
              <w:tc>
                <w:tcPr>
                  <w:tcW w:w="624"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1</w:t>
                  </w:r>
                </w:p>
              </w:tc>
              <w:tc>
                <w:tcPr>
                  <w:tcW w:w="1060" w:type="dxa"/>
                  <w:tcBorders>
                    <w:top w:val="nil"/>
                    <w:left w:val="nil"/>
                    <w:bottom w:val="single" w:sz="8" w:space="0" w:color="auto"/>
                    <w:right w:val="nil"/>
                  </w:tcBorders>
                  <w:shd w:val="clear" w:color="auto" w:fill="auto"/>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16.336</w:t>
                  </w:r>
                </w:p>
              </w:tc>
              <w:tc>
                <w:tcPr>
                  <w:tcW w:w="794"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w:t>
                  </w:r>
                </w:p>
              </w:tc>
              <w:tc>
                <w:tcPr>
                  <w:tcW w:w="696"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99</w:t>
                  </w:r>
                </w:p>
              </w:tc>
              <w:tc>
                <w:tcPr>
                  <w:tcW w:w="794"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10</w:t>
                  </w:r>
                </w:p>
              </w:tc>
              <w:tc>
                <w:tcPr>
                  <w:tcW w:w="735"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18</w:t>
                  </w:r>
                </w:p>
              </w:tc>
              <w:tc>
                <w:tcPr>
                  <w:tcW w:w="737"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29</w:t>
                  </w:r>
                </w:p>
              </w:tc>
            </w:tr>
          </w:tbl>
          <w:p w:rsidR="0006543C" w:rsidRPr="001116D3" w:rsidRDefault="0006543C" w:rsidP="0006543C">
            <w:pPr>
              <w:rPr>
                <w:rFonts w:ascii="Arial" w:hAnsi="Arial" w:cs="Arial"/>
                <w:sz w:val="10"/>
                <w:szCs w:val="10"/>
              </w:rPr>
            </w:pPr>
          </w:p>
        </w:tc>
      </w:tr>
    </w:tbl>
    <w:p w:rsidR="0006543C" w:rsidRPr="002A0104" w:rsidRDefault="0006543C" w:rsidP="002A0104">
      <w:pPr>
        <w:pStyle w:val="Prrafodelista"/>
        <w:spacing w:line="276" w:lineRule="auto"/>
        <w:ind w:left="851"/>
        <w:jc w:val="both"/>
        <w:rPr>
          <w:rFonts w:ascii="Arial" w:hAnsi="Arial" w:cs="Arial"/>
          <w:sz w:val="17"/>
          <w:szCs w:val="17"/>
        </w:rPr>
      </w:pPr>
    </w:p>
    <w:p w:rsidR="0006543C" w:rsidRPr="002A0104" w:rsidRDefault="0006543C" w:rsidP="002A0104">
      <w:pPr>
        <w:pStyle w:val="Prrafodelista"/>
        <w:spacing w:line="276" w:lineRule="auto"/>
        <w:ind w:left="851"/>
        <w:jc w:val="both"/>
        <w:rPr>
          <w:rFonts w:ascii="Arial" w:hAnsi="Arial" w:cs="Arial"/>
          <w:sz w:val="17"/>
          <w:szCs w:val="17"/>
        </w:rPr>
      </w:pPr>
      <w:r w:rsidRPr="002A0104">
        <w:rPr>
          <w:rFonts w:ascii="Arial" w:hAnsi="Arial" w:cs="Arial"/>
          <w:b/>
          <w:i/>
          <w:sz w:val="17"/>
          <w:szCs w:val="17"/>
        </w:rPr>
        <w:t>Fuente:</w:t>
      </w:r>
      <w:r w:rsidRPr="002A0104">
        <w:rPr>
          <w:rFonts w:ascii="Arial" w:hAnsi="Arial" w:cs="Arial"/>
          <w:sz w:val="17"/>
          <w:szCs w:val="17"/>
        </w:rPr>
        <w:t xml:space="preserve"> </w:t>
      </w:r>
      <w:r w:rsidRPr="002A0104">
        <w:rPr>
          <w:rFonts w:ascii="Arial" w:hAnsi="Arial" w:cs="Arial"/>
          <w:b/>
          <w:sz w:val="17"/>
          <w:szCs w:val="17"/>
        </w:rPr>
        <w:t xml:space="preserve">INEC </w:t>
      </w:r>
      <w:r w:rsidRPr="002A0104">
        <w:rPr>
          <w:rFonts w:ascii="Arial" w:hAnsi="Arial" w:cs="Arial"/>
          <w:sz w:val="17"/>
          <w:szCs w:val="17"/>
        </w:rPr>
        <w:t>(2010), Base de Datos del VII Censo de Población y VI de Vivienda.</w:t>
      </w:r>
    </w:p>
    <w:p w:rsidR="0006543C" w:rsidRPr="002A0104" w:rsidRDefault="0006543C" w:rsidP="002A0104">
      <w:pPr>
        <w:pStyle w:val="Prrafodelista"/>
        <w:spacing w:line="276" w:lineRule="auto"/>
        <w:ind w:left="851"/>
        <w:jc w:val="both"/>
        <w:rPr>
          <w:rFonts w:ascii="Arial" w:hAnsi="Arial" w:cs="Arial"/>
          <w:sz w:val="17"/>
          <w:szCs w:val="17"/>
        </w:rPr>
      </w:pPr>
      <w:r w:rsidRPr="002A0104">
        <w:rPr>
          <w:rFonts w:ascii="Arial" w:hAnsi="Arial" w:cs="Arial"/>
          <w:b/>
          <w:i/>
          <w:sz w:val="17"/>
          <w:szCs w:val="17"/>
        </w:rPr>
        <w:t>Elaborado por:</w:t>
      </w:r>
      <w:r w:rsidRPr="002A0104">
        <w:rPr>
          <w:rFonts w:ascii="Arial" w:hAnsi="Arial" w:cs="Arial"/>
          <w:sz w:val="17"/>
          <w:szCs w:val="17"/>
        </w:rPr>
        <w:t xml:space="preserve"> Katherine Loor Valeriano</w:t>
      </w:r>
    </w:p>
    <w:p w:rsidR="002A0104" w:rsidRDefault="002A0104" w:rsidP="002A0104">
      <w:pPr>
        <w:pStyle w:val="TesisTitulo10"/>
        <w:numPr>
          <w:ilvl w:val="0"/>
          <w:numId w:val="0"/>
        </w:numPr>
        <w:ind w:left="851"/>
        <w:rPr>
          <w:b w:val="0"/>
          <w:sz w:val="22"/>
          <w:szCs w:val="22"/>
        </w:rPr>
      </w:pPr>
      <w:bookmarkStart w:id="842" w:name="_Toc339853144"/>
      <w:bookmarkStart w:id="843" w:name="_Toc340231914"/>
    </w:p>
    <w:p w:rsidR="0006543C" w:rsidRPr="00287F2C" w:rsidRDefault="0006543C" w:rsidP="00287F2C">
      <w:pPr>
        <w:spacing w:line="480" w:lineRule="auto"/>
        <w:ind w:left="851"/>
        <w:jc w:val="both"/>
        <w:rPr>
          <w:rFonts w:ascii="Arial" w:hAnsi="Arial" w:cs="Arial"/>
        </w:rPr>
      </w:pPr>
      <w:r w:rsidRPr="00287F2C">
        <w:rPr>
          <w:rFonts w:ascii="Arial" w:hAnsi="Arial" w:cs="Arial"/>
        </w:rPr>
        <w:t xml:space="preserve">Además, tenemos que el 40% de los emigrantes que viajaron para reunirse con sus familiares son menores de 15 años, el 57.41% tienen edades comprendidas entre 15 y 65 años (en edad económicamente activa); y, el 2.59% son mayores de 65 años (adultos mayores). Cabe resaltar, que el 0.32% del total de emigrantes son menores de 1 año. En la </w:t>
      </w:r>
      <w:r w:rsidRPr="00287F2C">
        <w:rPr>
          <w:rFonts w:ascii="Arial" w:hAnsi="Arial" w:cs="Arial"/>
          <w:i/>
        </w:rPr>
        <w:t>Figura 5.24</w:t>
      </w:r>
      <w:r w:rsidRPr="00287F2C">
        <w:rPr>
          <w:rFonts w:ascii="Arial" w:hAnsi="Arial" w:cs="Arial"/>
        </w:rPr>
        <w:t xml:space="preserve">, se presenta la distribución género – edad al salir del país de los emigrantes, donde podemos notar que la barra de mayor longitud corresponde a los emigrantes con edades comprendidas entre 10 y 15 años, la segunda barra de mayor longitud corresponde a las edades comprendidas en el grupo etario de 15 a 20 años. También, se </w:t>
      </w:r>
      <w:r w:rsidR="00AE13C0">
        <w:rPr>
          <w:rFonts w:ascii="Arial" w:hAnsi="Arial" w:cs="Arial"/>
        </w:rPr>
        <w:t>obtuvo</w:t>
      </w:r>
      <w:r w:rsidRPr="00287F2C">
        <w:rPr>
          <w:rFonts w:ascii="Arial" w:hAnsi="Arial" w:cs="Arial"/>
        </w:rPr>
        <w:t xml:space="preserve"> que el 5.85% de los emigrantes que salieron para reunirse con familiares son hombres con edades comprendidas de 1 a 5 años, el 4.40% son mujeres con edades comprendidas en el mismo grupo de edad, el 7.77% son hombres con edades entre 15 y 20 años; y, el 7.06% son hombres con edades comprendidas en el mismo intervalo.</w:t>
      </w:r>
      <w:bookmarkEnd w:id="842"/>
      <w:bookmarkEnd w:id="843"/>
    </w:p>
    <w:tbl>
      <w:tblPr>
        <w:tblStyle w:val="Tablaconcuadrcula"/>
        <w:tblW w:w="7459" w:type="dxa"/>
        <w:jc w:val="right"/>
        <w:tblInd w:w="1027"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59"/>
      </w:tblGrid>
      <w:tr w:rsidR="0006543C" w:rsidRPr="00840530" w:rsidTr="002A0104">
        <w:trPr>
          <w:trHeight w:val="2041"/>
          <w:jc w:val="right"/>
        </w:trPr>
        <w:tc>
          <w:tcPr>
            <w:tcW w:w="7459" w:type="dxa"/>
          </w:tcPr>
          <w:p w:rsidR="0006543C" w:rsidRPr="00840530" w:rsidRDefault="0006543C" w:rsidP="0006543C">
            <w:pPr>
              <w:rPr>
                <w:rFonts w:ascii="Arial" w:hAnsi="Arial" w:cs="Arial"/>
                <w:sz w:val="16"/>
                <w:szCs w:val="16"/>
              </w:rPr>
            </w:pPr>
          </w:p>
          <w:p w:rsidR="009249A4" w:rsidRPr="009249A4" w:rsidRDefault="009249A4" w:rsidP="009249A4">
            <w:pPr>
              <w:pStyle w:val="Epgrafe"/>
              <w:rPr>
                <w:rFonts w:ascii="Arial" w:hAnsi="Arial" w:cs="Arial"/>
                <w:bCs w:val="0"/>
                <w:color w:val="auto"/>
                <w:sz w:val="16"/>
                <w:szCs w:val="16"/>
              </w:rPr>
            </w:pPr>
            <w:bookmarkStart w:id="844" w:name="_Toc341044104"/>
            <w:r>
              <w:rPr>
                <w:rFonts w:ascii="Arial" w:hAnsi="Arial" w:cs="Arial"/>
                <w:bCs w:val="0"/>
                <w:color w:val="auto"/>
                <w:sz w:val="16"/>
                <w:szCs w:val="16"/>
              </w:rPr>
              <w:t>Figura 5.</w:t>
            </w:r>
            <w:r w:rsidR="00990535" w:rsidRPr="009249A4">
              <w:rPr>
                <w:rFonts w:ascii="Arial" w:hAnsi="Arial" w:cs="Arial"/>
                <w:bCs w:val="0"/>
                <w:color w:val="auto"/>
                <w:sz w:val="16"/>
                <w:szCs w:val="16"/>
              </w:rPr>
              <w:fldChar w:fldCharType="begin"/>
            </w:r>
            <w:r w:rsidRPr="009249A4">
              <w:rPr>
                <w:rFonts w:ascii="Arial" w:hAnsi="Arial" w:cs="Arial"/>
                <w:bCs w:val="0"/>
                <w:color w:val="auto"/>
                <w:sz w:val="16"/>
                <w:szCs w:val="16"/>
              </w:rPr>
              <w:instrText xml:space="preserve"> SEQ Figura_5. \* ARABIC </w:instrText>
            </w:r>
            <w:r w:rsidR="00990535" w:rsidRPr="009249A4">
              <w:rPr>
                <w:rFonts w:ascii="Arial" w:hAnsi="Arial" w:cs="Arial"/>
                <w:bCs w:val="0"/>
                <w:color w:val="auto"/>
                <w:sz w:val="16"/>
                <w:szCs w:val="16"/>
              </w:rPr>
              <w:fldChar w:fldCharType="separate"/>
            </w:r>
            <w:r w:rsidR="00A242E0">
              <w:rPr>
                <w:rFonts w:ascii="Arial" w:hAnsi="Arial" w:cs="Arial"/>
                <w:bCs w:val="0"/>
                <w:noProof/>
                <w:color w:val="auto"/>
                <w:sz w:val="16"/>
                <w:szCs w:val="16"/>
              </w:rPr>
              <w:t>24</w:t>
            </w:r>
            <w:bookmarkEnd w:id="844"/>
            <w:r w:rsidR="00990535" w:rsidRPr="009249A4">
              <w:rPr>
                <w:rFonts w:ascii="Arial" w:hAnsi="Arial" w:cs="Arial"/>
                <w:bCs w:val="0"/>
                <w:color w:val="auto"/>
                <w:sz w:val="16"/>
                <w:szCs w:val="16"/>
              </w:rPr>
              <w:fldChar w:fldCharType="end"/>
            </w:r>
          </w:p>
          <w:p w:rsidR="002A0104" w:rsidRDefault="002A0104" w:rsidP="002A0104">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Distribución Género – Edad al salir del país de los emigrantes </w:t>
            </w:r>
          </w:p>
          <w:p w:rsidR="0006543C" w:rsidRPr="00CD2309" w:rsidRDefault="002A0104" w:rsidP="002A0104">
            <w:pPr>
              <w:rPr>
                <w:rFonts w:ascii="Arial" w:hAnsi="Arial" w:cs="Arial"/>
                <w:b/>
                <w:sz w:val="18"/>
                <w:szCs w:val="18"/>
              </w:rPr>
            </w:pPr>
            <w:r>
              <w:rPr>
                <w:rFonts w:ascii="Arial" w:hAnsi="Arial" w:cs="Arial"/>
                <w:i/>
                <w:sz w:val="16"/>
                <w:szCs w:val="16"/>
              </w:rPr>
              <w:t xml:space="preserve">que viajaron por </w:t>
            </w:r>
            <w:r>
              <w:rPr>
                <w:rFonts w:ascii="Arial" w:hAnsi="Arial" w:cs="Arial"/>
                <w:b/>
                <w:i/>
                <w:sz w:val="16"/>
                <w:szCs w:val="16"/>
              </w:rPr>
              <w:t>unión familiar</w:t>
            </w:r>
          </w:p>
          <w:p w:rsidR="0006543C" w:rsidRPr="00840530" w:rsidRDefault="00436907" w:rsidP="0006543C">
            <w:pPr>
              <w:rPr>
                <w:rFonts w:ascii="Arial" w:hAnsi="Arial" w:cs="Arial"/>
                <w:sz w:val="24"/>
                <w:szCs w:val="24"/>
              </w:rPr>
            </w:pPr>
            <w:r>
              <w:rPr>
                <w:rFonts w:ascii="Arial" w:hAnsi="Arial" w:cs="Arial"/>
                <w:noProof/>
                <w:sz w:val="16"/>
                <w:szCs w:val="16"/>
                <w:lang w:eastAsia="es-EC"/>
              </w:rPr>
              <w:pict>
                <v:shape id="_x0000_s1804" type="#_x0000_t202" style="position:absolute;left:0;text-align:left;margin-left:211.25pt;margin-top:9.65pt;width:143.75pt;height:19.0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filled="f" stroked="f" strokecolor="white [3212]">
                  <v:textbox style="mso-next-textbox:#_x0000_s1804">
                    <w:txbxContent>
                      <w:p w:rsidR="006933DF" w:rsidRPr="002A0104" w:rsidRDefault="006933DF" w:rsidP="0006543C">
                        <w:pPr>
                          <w:rPr>
                            <w:rFonts w:ascii="Arial" w:hAnsi="Arial" w:cs="Arial"/>
                            <w:b/>
                            <w:sz w:val="15"/>
                            <w:szCs w:val="15"/>
                          </w:rPr>
                        </w:pPr>
                        <w:r w:rsidRPr="002A0104">
                          <w:rPr>
                            <w:rFonts w:ascii="Arial" w:hAnsi="Arial" w:cs="Arial"/>
                            <w:b/>
                            <w:sz w:val="15"/>
                            <w:szCs w:val="15"/>
                          </w:rPr>
                          <w:t>Femenino</w:t>
                        </w:r>
                      </w:p>
                    </w:txbxContent>
                  </v:textbox>
                </v:shape>
              </w:pict>
            </w:r>
            <w:r>
              <w:rPr>
                <w:rFonts w:ascii="Arial" w:hAnsi="Arial" w:cs="Arial"/>
                <w:noProof/>
                <w:sz w:val="16"/>
                <w:szCs w:val="16"/>
                <w:lang w:eastAsia="es-EC"/>
              </w:rPr>
              <w:pict>
                <v:shape id="_x0000_s1803" type="#_x0000_t202" style="position:absolute;left:0;text-align:left;margin-left:67.5pt;margin-top:9.65pt;width:143.75pt;height:19.05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filled="f" stroked="f" strokecolor="white [3212]">
                  <v:textbox style="mso-next-textbox:#_x0000_s1803">
                    <w:txbxContent>
                      <w:p w:rsidR="006933DF" w:rsidRPr="002A0104" w:rsidRDefault="006933DF" w:rsidP="0006543C">
                        <w:pPr>
                          <w:rPr>
                            <w:rFonts w:ascii="Arial" w:hAnsi="Arial" w:cs="Arial"/>
                            <w:b/>
                            <w:sz w:val="15"/>
                            <w:szCs w:val="15"/>
                          </w:rPr>
                        </w:pPr>
                        <w:r w:rsidRPr="002A0104">
                          <w:rPr>
                            <w:rFonts w:ascii="Arial" w:hAnsi="Arial" w:cs="Arial"/>
                            <w:b/>
                            <w:sz w:val="15"/>
                            <w:szCs w:val="15"/>
                          </w:rPr>
                          <w:t>Masculino</w:t>
                        </w:r>
                      </w:p>
                    </w:txbxContent>
                  </v:textbox>
                </v:shape>
              </w:pict>
            </w:r>
            <w:r w:rsidR="0006543C">
              <w:rPr>
                <w:noProof/>
                <w:lang w:eastAsia="es-EC"/>
              </w:rPr>
              <w:drawing>
                <wp:inline distT="0" distB="0" distL="0" distR="0" wp14:anchorId="357F87DD" wp14:editId="788C04EB">
                  <wp:extent cx="4543425" cy="24860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tc>
      </w:tr>
    </w:tbl>
    <w:p w:rsidR="0006543C" w:rsidRPr="002A0104" w:rsidRDefault="0006543C" w:rsidP="002A0104">
      <w:pPr>
        <w:pStyle w:val="Prrafodelista"/>
        <w:spacing w:line="276" w:lineRule="auto"/>
        <w:ind w:left="851"/>
        <w:jc w:val="both"/>
        <w:rPr>
          <w:rFonts w:ascii="Arial" w:hAnsi="Arial" w:cs="Arial"/>
          <w:sz w:val="17"/>
          <w:szCs w:val="17"/>
        </w:rPr>
      </w:pPr>
    </w:p>
    <w:p w:rsidR="0006543C" w:rsidRPr="002A0104" w:rsidRDefault="0006543C" w:rsidP="002A0104">
      <w:pPr>
        <w:pStyle w:val="Prrafodelista"/>
        <w:spacing w:line="276" w:lineRule="auto"/>
        <w:ind w:left="851"/>
        <w:jc w:val="both"/>
        <w:rPr>
          <w:rFonts w:ascii="Arial" w:hAnsi="Arial" w:cs="Arial"/>
          <w:sz w:val="17"/>
          <w:szCs w:val="17"/>
        </w:rPr>
      </w:pPr>
      <w:r w:rsidRPr="002A0104">
        <w:rPr>
          <w:rFonts w:ascii="Arial" w:hAnsi="Arial" w:cs="Arial"/>
          <w:b/>
          <w:i/>
          <w:sz w:val="17"/>
          <w:szCs w:val="17"/>
        </w:rPr>
        <w:t>Fuente:</w:t>
      </w:r>
      <w:r w:rsidRPr="002A0104">
        <w:rPr>
          <w:rFonts w:ascii="Arial" w:hAnsi="Arial" w:cs="Arial"/>
          <w:sz w:val="17"/>
          <w:szCs w:val="17"/>
        </w:rPr>
        <w:t xml:space="preserve"> </w:t>
      </w:r>
      <w:r w:rsidRPr="002A0104">
        <w:rPr>
          <w:rFonts w:ascii="Arial" w:hAnsi="Arial" w:cs="Arial"/>
          <w:b/>
          <w:sz w:val="17"/>
          <w:szCs w:val="17"/>
        </w:rPr>
        <w:t xml:space="preserve">INEC </w:t>
      </w:r>
      <w:r w:rsidRPr="002A0104">
        <w:rPr>
          <w:rFonts w:ascii="Arial" w:hAnsi="Arial" w:cs="Arial"/>
          <w:sz w:val="17"/>
          <w:szCs w:val="17"/>
        </w:rPr>
        <w:t>(2010), Base de Datos del VII Censo de Población y VI de Vivienda.</w:t>
      </w:r>
    </w:p>
    <w:p w:rsidR="0006543C" w:rsidRPr="002A0104" w:rsidRDefault="0006543C" w:rsidP="002A0104">
      <w:pPr>
        <w:pStyle w:val="Prrafodelista"/>
        <w:spacing w:line="276" w:lineRule="auto"/>
        <w:ind w:left="851"/>
        <w:jc w:val="both"/>
        <w:rPr>
          <w:rFonts w:ascii="Arial" w:hAnsi="Arial" w:cs="Arial"/>
          <w:sz w:val="17"/>
          <w:szCs w:val="17"/>
        </w:rPr>
      </w:pPr>
      <w:r w:rsidRPr="002A0104">
        <w:rPr>
          <w:rFonts w:ascii="Arial" w:hAnsi="Arial" w:cs="Arial"/>
          <w:b/>
          <w:i/>
          <w:sz w:val="17"/>
          <w:szCs w:val="17"/>
        </w:rPr>
        <w:t>Elaborado por:</w:t>
      </w:r>
      <w:r w:rsidRPr="002A0104">
        <w:rPr>
          <w:rFonts w:ascii="Arial" w:hAnsi="Arial" w:cs="Arial"/>
          <w:sz w:val="17"/>
          <w:szCs w:val="17"/>
        </w:rPr>
        <w:t xml:space="preserve"> Katherine Loor Valeriano</w:t>
      </w:r>
    </w:p>
    <w:p w:rsidR="002A0104" w:rsidRDefault="002A0104" w:rsidP="002A0104">
      <w:pPr>
        <w:pStyle w:val="TesisTitulo10"/>
        <w:numPr>
          <w:ilvl w:val="0"/>
          <w:numId w:val="0"/>
        </w:numPr>
        <w:ind w:left="851"/>
        <w:rPr>
          <w:b w:val="0"/>
          <w:sz w:val="22"/>
          <w:szCs w:val="22"/>
        </w:rPr>
      </w:pPr>
      <w:bookmarkStart w:id="845" w:name="_Toc339853145"/>
      <w:bookmarkStart w:id="846" w:name="_Toc340231915"/>
    </w:p>
    <w:p w:rsidR="0006543C" w:rsidRPr="00287F2C" w:rsidRDefault="0006543C" w:rsidP="00287F2C">
      <w:pPr>
        <w:spacing w:line="480" w:lineRule="auto"/>
        <w:ind w:left="851"/>
        <w:jc w:val="both"/>
        <w:rPr>
          <w:rFonts w:ascii="Arial" w:hAnsi="Arial" w:cs="Arial"/>
        </w:rPr>
      </w:pPr>
      <w:r w:rsidRPr="00287F2C">
        <w:rPr>
          <w:rFonts w:ascii="Arial" w:hAnsi="Arial" w:cs="Arial"/>
        </w:rPr>
        <w:t xml:space="preserve">En la </w:t>
      </w:r>
      <w:r w:rsidRPr="00287F2C">
        <w:rPr>
          <w:rFonts w:ascii="Arial" w:hAnsi="Arial" w:cs="Arial"/>
          <w:i/>
        </w:rPr>
        <w:t>Figura 5.25</w:t>
      </w:r>
      <w:r w:rsidRPr="00287F2C">
        <w:rPr>
          <w:rFonts w:ascii="Arial" w:hAnsi="Arial" w:cs="Arial"/>
        </w:rPr>
        <w:t xml:space="preserve">, se presenta la distribución de edad al salir del país de los emigrantes por país de residencia actual, en donde tenemos que en todos los casos aquí mostrados más del 50% de los emigrantes tienen edades comprendidas entre 15 y 65 años, otra ponderación alta son menores de 15 años; y, los de menor proporción son los mayores de 65 años. Para el caso particular de las personas que emigraron hacia España tenemos que el 47.32% son menores de 15 años, el 51.65% tienen entre 15 y 65 años, es decir son personas en edad de trabajar, el 1.02% tienen 65 años y más; mientras que, de los que emigraron hacia Estados Unidos el 24.69% son menores de 15 años, el 69.17% están en edad económicamente activa y el porcentaje restante son adultos mayores; y, de los que emigraron hacia Italia el 41.03% tienen menos de 15 años, el 57.33% tienen entre 15 y 65 años y el 1.64% tienen 65 años y más. Cabe resaltar, que quienes fueron a Bélgica casi el 50% son menores de 15 años y el otro 50% tienen entre 15 y 65 años. </w:t>
      </w:r>
      <w:bookmarkEnd w:id="845"/>
      <w:bookmarkEnd w:id="846"/>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2A0104">
        <w:trPr>
          <w:trHeight w:val="2041"/>
          <w:jc w:val="right"/>
        </w:trPr>
        <w:tc>
          <w:tcPr>
            <w:tcW w:w="7497" w:type="dxa"/>
          </w:tcPr>
          <w:p w:rsidR="0006543C" w:rsidRPr="00840530" w:rsidRDefault="0006543C" w:rsidP="0006543C">
            <w:pPr>
              <w:rPr>
                <w:rFonts w:ascii="Arial" w:hAnsi="Arial" w:cs="Arial"/>
                <w:sz w:val="16"/>
                <w:szCs w:val="16"/>
              </w:rPr>
            </w:pPr>
          </w:p>
          <w:p w:rsidR="009249A4" w:rsidRPr="009249A4" w:rsidRDefault="009249A4" w:rsidP="009249A4">
            <w:pPr>
              <w:pStyle w:val="Epgrafe"/>
              <w:rPr>
                <w:rFonts w:ascii="Arial" w:hAnsi="Arial" w:cs="Arial"/>
                <w:bCs w:val="0"/>
                <w:color w:val="auto"/>
                <w:sz w:val="16"/>
                <w:szCs w:val="16"/>
              </w:rPr>
            </w:pPr>
            <w:bookmarkStart w:id="847" w:name="_Toc341044105"/>
            <w:r>
              <w:rPr>
                <w:rFonts w:ascii="Arial" w:hAnsi="Arial" w:cs="Arial"/>
                <w:bCs w:val="0"/>
                <w:color w:val="auto"/>
                <w:sz w:val="16"/>
                <w:szCs w:val="16"/>
              </w:rPr>
              <w:t>Figura 5.</w:t>
            </w:r>
            <w:r w:rsidR="00990535" w:rsidRPr="009249A4">
              <w:rPr>
                <w:rFonts w:ascii="Arial" w:hAnsi="Arial" w:cs="Arial"/>
                <w:bCs w:val="0"/>
                <w:color w:val="auto"/>
                <w:sz w:val="16"/>
                <w:szCs w:val="16"/>
              </w:rPr>
              <w:fldChar w:fldCharType="begin"/>
            </w:r>
            <w:r w:rsidRPr="009249A4">
              <w:rPr>
                <w:rFonts w:ascii="Arial" w:hAnsi="Arial" w:cs="Arial"/>
                <w:bCs w:val="0"/>
                <w:color w:val="auto"/>
                <w:sz w:val="16"/>
                <w:szCs w:val="16"/>
              </w:rPr>
              <w:instrText xml:space="preserve"> SEQ Figura_5. \* ARABIC </w:instrText>
            </w:r>
            <w:r w:rsidR="00990535" w:rsidRPr="009249A4">
              <w:rPr>
                <w:rFonts w:ascii="Arial" w:hAnsi="Arial" w:cs="Arial"/>
                <w:bCs w:val="0"/>
                <w:color w:val="auto"/>
                <w:sz w:val="16"/>
                <w:szCs w:val="16"/>
              </w:rPr>
              <w:fldChar w:fldCharType="separate"/>
            </w:r>
            <w:r w:rsidR="00A242E0">
              <w:rPr>
                <w:rFonts w:ascii="Arial" w:hAnsi="Arial" w:cs="Arial"/>
                <w:bCs w:val="0"/>
                <w:noProof/>
                <w:color w:val="auto"/>
                <w:sz w:val="16"/>
                <w:szCs w:val="16"/>
              </w:rPr>
              <w:t>25</w:t>
            </w:r>
            <w:bookmarkEnd w:id="847"/>
            <w:r w:rsidR="00990535" w:rsidRPr="009249A4">
              <w:rPr>
                <w:rFonts w:ascii="Arial" w:hAnsi="Arial" w:cs="Arial"/>
                <w:bCs w:val="0"/>
                <w:color w:val="auto"/>
                <w:sz w:val="16"/>
                <w:szCs w:val="16"/>
              </w:rPr>
              <w:fldChar w:fldCharType="end"/>
            </w:r>
          </w:p>
          <w:p w:rsidR="002A0104" w:rsidRDefault="002A0104" w:rsidP="002A0104">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Distribución condicional de la Edad al salir del país de los Emigrantes que viajaron </w:t>
            </w:r>
          </w:p>
          <w:p w:rsidR="0006543C" w:rsidRDefault="002A0104" w:rsidP="002A0104">
            <w:pPr>
              <w:rPr>
                <w:rFonts w:ascii="Arial" w:hAnsi="Arial" w:cs="Arial"/>
                <w:sz w:val="18"/>
                <w:szCs w:val="18"/>
              </w:rPr>
            </w:pPr>
            <w:r>
              <w:rPr>
                <w:rFonts w:ascii="Arial" w:hAnsi="Arial" w:cs="Arial"/>
                <w:i/>
                <w:sz w:val="16"/>
                <w:szCs w:val="16"/>
              </w:rPr>
              <w:t xml:space="preserve">por </w:t>
            </w:r>
            <w:r>
              <w:rPr>
                <w:rFonts w:ascii="Arial" w:hAnsi="Arial" w:cs="Arial"/>
                <w:b/>
                <w:i/>
                <w:sz w:val="16"/>
                <w:szCs w:val="16"/>
              </w:rPr>
              <w:t>unión familiar</w:t>
            </w:r>
            <w:r>
              <w:rPr>
                <w:rFonts w:ascii="Arial" w:hAnsi="Arial" w:cs="Arial"/>
                <w:i/>
                <w:sz w:val="16"/>
                <w:szCs w:val="16"/>
              </w:rPr>
              <w:t xml:space="preserve"> dado que se conoce el País de residencia actual</w:t>
            </w:r>
          </w:p>
          <w:p w:rsidR="0006543C" w:rsidRPr="00840530" w:rsidRDefault="0006543C" w:rsidP="0006543C">
            <w:pPr>
              <w:rPr>
                <w:rFonts w:ascii="Arial" w:hAnsi="Arial" w:cs="Arial"/>
                <w:sz w:val="24"/>
                <w:szCs w:val="24"/>
              </w:rPr>
            </w:pPr>
            <w:r>
              <w:rPr>
                <w:noProof/>
                <w:lang w:eastAsia="es-EC"/>
              </w:rPr>
              <w:drawing>
                <wp:inline distT="0" distB="0" distL="0" distR="0" wp14:anchorId="07B35879" wp14:editId="0655D47B">
                  <wp:extent cx="4543425" cy="2047875"/>
                  <wp:effectExtent l="0" t="0" r="0" b="0"/>
                  <wp:docPr id="173" name="Gráfico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tc>
      </w:tr>
    </w:tbl>
    <w:p w:rsidR="0006543C" w:rsidRPr="002A0104" w:rsidRDefault="0006543C" w:rsidP="002A0104">
      <w:pPr>
        <w:pStyle w:val="Prrafodelista"/>
        <w:spacing w:line="276" w:lineRule="auto"/>
        <w:ind w:left="851"/>
        <w:jc w:val="both"/>
        <w:rPr>
          <w:rFonts w:ascii="Arial" w:hAnsi="Arial" w:cs="Arial"/>
          <w:sz w:val="17"/>
          <w:szCs w:val="17"/>
        </w:rPr>
      </w:pPr>
    </w:p>
    <w:p w:rsidR="0006543C" w:rsidRPr="002A0104" w:rsidRDefault="0006543C" w:rsidP="002A0104">
      <w:pPr>
        <w:pStyle w:val="Prrafodelista"/>
        <w:spacing w:line="276" w:lineRule="auto"/>
        <w:ind w:left="851"/>
        <w:jc w:val="both"/>
        <w:rPr>
          <w:rFonts w:ascii="Arial" w:hAnsi="Arial" w:cs="Arial"/>
          <w:sz w:val="17"/>
          <w:szCs w:val="17"/>
        </w:rPr>
      </w:pPr>
      <w:r w:rsidRPr="002A0104">
        <w:rPr>
          <w:rFonts w:ascii="Arial" w:hAnsi="Arial" w:cs="Arial"/>
          <w:b/>
          <w:i/>
          <w:sz w:val="17"/>
          <w:szCs w:val="17"/>
        </w:rPr>
        <w:t>Fuente:</w:t>
      </w:r>
      <w:r w:rsidRPr="002A0104">
        <w:rPr>
          <w:rFonts w:ascii="Arial" w:hAnsi="Arial" w:cs="Arial"/>
          <w:sz w:val="17"/>
          <w:szCs w:val="17"/>
        </w:rPr>
        <w:t xml:space="preserve"> </w:t>
      </w:r>
      <w:r w:rsidRPr="002A0104">
        <w:rPr>
          <w:rFonts w:ascii="Arial" w:hAnsi="Arial" w:cs="Arial"/>
          <w:b/>
          <w:sz w:val="17"/>
          <w:szCs w:val="17"/>
        </w:rPr>
        <w:t xml:space="preserve">INEC </w:t>
      </w:r>
      <w:r w:rsidRPr="002A0104">
        <w:rPr>
          <w:rFonts w:ascii="Arial" w:hAnsi="Arial" w:cs="Arial"/>
          <w:sz w:val="17"/>
          <w:szCs w:val="17"/>
        </w:rPr>
        <w:t>(2010), Base de Datos del VII Censo de Población y VI de Vivienda.</w:t>
      </w:r>
    </w:p>
    <w:p w:rsidR="0006543C" w:rsidRPr="002A0104" w:rsidRDefault="0006543C" w:rsidP="002A0104">
      <w:pPr>
        <w:pStyle w:val="Prrafodelista"/>
        <w:spacing w:line="276" w:lineRule="auto"/>
        <w:ind w:left="851"/>
        <w:jc w:val="both"/>
        <w:rPr>
          <w:rFonts w:ascii="Arial" w:hAnsi="Arial" w:cs="Arial"/>
          <w:sz w:val="17"/>
          <w:szCs w:val="17"/>
        </w:rPr>
      </w:pPr>
      <w:r w:rsidRPr="002A0104">
        <w:rPr>
          <w:rFonts w:ascii="Arial" w:hAnsi="Arial" w:cs="Arial"/>
          <w:b/>
          <w:i/>
          <w:sz w:val="17"/>
          <w:szCs w:val="17"/>
        </w:rPr>
        <w:t>Elaborado por:</w:t>
      </w:r>
      <w:r w:rsidRPr="002A0104">
        <w:rPr>
          <w:rFonts w:ascii="Arial" w:hAnsi="Arial" w:cs="Arial"/>
          <w:sz w:val="17"/>
          <w:szCs w:val="17"/>
        </w:rPr>
        <w:t xml:space="preserve"> Katherine Loor Valeriano</w:t>
      </w:r>
    </w:p>
    <w:p w:rsidR="002A0104" w:rsidRDefault="002A0104" w:rsidP="00395185">
      <w:pPr>
        <w:spacing w:line="480" w:lineRule="auto"/>
        <w:ind w:left="851"/>
        <w:jc w:val="both"/>
        <w:rPr>
          <w:rFonts w:ascii="Arial" w:hAnsi="Arial" w:cs="Arial"/>
        </w:rPr>
      </w:pPr>
    </w:p>
    <w:p w:rsidR="00395185" w:rsidRDefault="0006543C" w:rsidP="00395185">
      <w:pPr>
        <w:spacing w:line="480" w:lineRule="auto"/>
        <w:ind w:left="851"/>
        <w:jc w:val="both"/>
        <w:rPr>
          <w:rFonts w:ascii="Arial" w:hAnsi="Arial" w:cs="Arial"/>
        </w:rPr>
      </w:pPr>
      <w:r>
        <w:rPr>
          <w:rFonts w:ascii="Arial" w:hAnsi="Arial" w:cs="Arial"/>
        </w:rPr>
        <w:t xml:space="preserve">En la </w:t>
      </w:r>
      <w:r>
        <w:rPr>
          <w:rFonts w:ascii="Arial" w:hAnsi="Arial" w:cs="Arial"/>
          <w:i/>
        </w:rPr>
        <w:t>Figura 5.26</w:t>
      </w:r>
      <w:r>
        <w:rPr>
          <w:rFonts w:ascii="Arial" w:hAnsi="Arial" w:cs="Arial"/>
        </w:rPr>
        <w:t xml:space="preserve">, se presenta la tasa de país de residencia actual por cada 1000 emigrantes que viajaron por unión familiar por género y edad al salir del país. Para el caso de los hombres tenemos que de los emigrantes que son menores de 1 año la mayoría se dirigieron a España; los que tienen de 5 a 50 años viajaron mayoritariamente hacia España; pero, para quienes tenían de 55 a los 90 años cuando dejaron el país su destino atractivo para emigrar era Estados Unidos; y, para quienes tenían más de 90 años el país al que mayoritariamente se dirigieron era España. Si analizamos el caso particular de los emigrantes con edades entre 45 y 50 años, tenemos que por cada 1000 de ellos </w:t>
      </w:r>
      <w:r w:rsidRPr="0043254F">
        <w:rPr>
          <w:rFonts w:ascii="Arial" w:hAnsi="Arial" w:cs="Arial"/>
        </w:rPr>
        <w:t>367.30</w:t>
      </w:r>
      <w:r>
        <w:rPr>
          <w:rFonts w:ascii="Arial" w:hAnsi="Arial" w:cs="Arial"/>
        </w:rPr>
        <w:t xml:space="preserve"> fueron hacia España, </w:t>
      </w:r>
      <w:r w:rsidRPr="0043254F">
        <w:rPr>
          <w:rFonts w:ascii="Arial" w:hAnsi="Arial" w:cs="Arial"/>
        </w:rPr>
        <w:t>251.18</w:t>
      </w:r>
      <w:r>
        <w:rPr>
          <w:rFonts w:ascii="Arial" w:hAnsi="Arial" w:cs="Arial"/>
        </w:rPr>
        <w:t xml:space="preserve"> a Estados Unidos, </w:t>
      </w:r>
      <w:r w:rsidRPr="0043254F">
        <w:rPr>
          <w:rFonts w:ascii="Arial" w:hAnsi="Arial" w:cs="Arial"/>
        </w:rPr>
        <w:t>106.64</w:t>
      </w:r>
      <w:r>
        <w:rPr>
          <w:rFonts w:ascii="Arial" w:hAnsi="Arial" w:cs="Arial"/>
        </w:rPr>
        <w:t xml:space="preserve"> se fueron a Italia y </w:t>
      </w:r>
      <w:r w:rsidRPr="0043254F">
        <w:rPr>
          <w:rFonts w:ascii="Arial" w:hAnsi="Arial" w:cs="Arial"/>
        </w:rPr>
        <w:t>274.88</w:t>
      </w:r>
      <w:r>
        <w:rPr>
          <w:rFonts w:ascii="Arial" w:hAnsi="Arial" w:cs="Arial"/>
        </w:rPr>
        <w:t xml:space="preserve"> a otros países.</w:t>
      </w:r>
      <w:r w:rsidR="00395185">
        <w:rPr>
          <w:rFonts w:ascii="Arial" w:hAnsi="Arial" w:cs="Arial"/>
        </w:rPr>
        <w:t xml:space="preserve">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395185">
        <w:trPr>
          <w:trHeight w:val="2041"/>
          <w:jc w:val="right"/>
        </w:trPr>
        <w:tc>
          <w:tcPr>
            <w:tcW w:w="7497" w:type="dxa"/>
          </w:tcPr>
          <w:p w:rsidR="0006543C" w:rsidRPr="00840530" w:rsidRDefault="0006543C" w:rsidP="0006543C">
            <w:pPr>
              <w:rPr>
                <w:rFonts w:ascii="Arial" w:hAnsi="Arial" w:cs="Arial"/>
                <w:sz w:val="16"/>
                <w:szCs w:val="16"/>
              </w:rPr>
            </w:pPr>
          </w:p>
          <w:p w:rsidR="009249A4" w:rsidRPr="009249A4" w:rsidRDefault="009249A4" w:rsidP="009249A4">
            <w:pPr>
              <w:pStyle w:val="Epgrafe"/>
              <w:rPr>
                <w:rFonts w:ascii="Arial" w:hAnsi="Arial" w:cs="Arial"/>
                <w:bCs w:val="0"/>
                <w:color w:val="auto"/>
                <w:sz w:val="16"/>
                <w:szCs w:val="16"/>
              </w:rPr>
            </w:pPr>
            <w:bookmarkStart w:id="848" w:name="_Toc341044106"/>
            <w:r>
              <w:rPr>
                <w:rFonts w:ascii="Arial" w:hAnsi="Arial" w:cs="Arial"/>
                <w:bCs w:val="0"/>
                <w:color w:val="auto"/>
                <w:sz w:val="16"/>
                <w:szCs w:val="16"/>
              </w:rPr>
              <w:t>Figura 5.</w:t>
            </w:r>
            <w:r w:rsidR="00990535" w:rsidRPr="009249A4">
              <w:rPr>
                <w:rFonts w:ascii="Arial" w:hAnsi="Arial" w:cs="Arial"/>
                <w:bCs w:val="0"/>
                <w:color w:val="auto"/>
                <w:sz w:val="16"/>
                <w:szCs w:val="16"/>
              </w:rPr>
              <w:fldChar w:fldCharType="begin"/>
            </w:r>
            <w:r w:rsidRPr="009249A4">
              <w:rPr>
                <w:rFonts w:ascii="Arial" w:hAnsi="Arial" w:cs="Arial"/>
                <w:bCs w:val="0"/>
                <w:color w:val="auto"/>
                <w:sz w:val="16"/>
                <w:szCs w:val="16"/>
              </w:rPr>
              <w:instrText xml:space="preserve"> SEQ Figura_5. \* ARABIC </w:instrText>
            </w:r>
            <w:r w:rsidR="00990535" w:rsidRPr="009249A4">
              <w:rPr>
                <w:rFonts w:ascii="Arial" w:hAnsi="Arial" w:cs="Arial"/>
                <w:bCs w:val="0"/>
                <w:color w:val="auto"/>
                <w:sz w:val="16"/>
                <w:szCs w:val="16"/>
              </w:rPr>
              <w:fldChar w:fldCharType="separate"/>
            </w:r>
            <w:r w:rsidR="00A242E0">
              <w:rPr>
                <w:rFonts w:ascii="Arial" w:hAnsi="Arial" w:cs="Arial"/>
                <w:bCs w:val="0"/>
                <w:noProof/>
                <w:color w:val="auto"/>
                <w:sz w:val="16"/>
                <w:szCs w:val="16"/>
              </w:rPr>
              <w:t>26</w:t>
            </w:r>
            <w:bookmarkEnd w:id="848"/>
            <w:r w:rsidR="00990535" w:rsidRPr="009249A4">
              <w:rPr>
                <w:rFonts w:ascii="Arial" w:hAnsi="Arial" w:cs="Arial"/>
                <w:bCs w:val="0"/>
                <w:color w:val="auto"/>
                <w:sz w:val="16"/>
                <w:szCs w:val="16"/>
              </w:rPr>
              <w:fldChar w:fldCharType="end"/>
            </w:r>
          </w:p>
          <w:p w:rsidR="00395185" w:rsidRDefault="00395185" w:rsidP="00395185">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Tasa de país de residencia actual por cada 1000 emigrantes que </w:t>
            </w:r>
          </w:p>
          <w:p w:rsidR="00395185" w:rsidRPr="00FE01CE" w:rsidRDefault="00395185" w:rsidP="00395185">
            <w:pPr>
              <w:rPr>
                <w:rFonts w:ascii="Arial" w:hAnsi="Arial" w:cs="Arial"/>
                <w:sz w:val="18"/>
                <w:szCs w:val="18"/>
              </w:rPr>
            </w:pPr>
            <w:r>
              <w:rPr>
                <w:rFonts w:ascii="Arial" w:hAnsi="Arial" w:cs="Arial"/>
                <w:i/>
                <w:sz w:val="16"/>
                <w:szCs w:val="16"/>
              </w:rPr>
              <w:t xml:space="preserve">viajaron por </w:t>
            </w:r>
            <w:r>
              <w:rPr>
                <w:rFonts w:ascii="Arial" w:hAnsi="Arial" w:cs="Arial"/>
                <w:b/>
                <w:i/>
                <w:sz w:val="16"/>
                <w:szCs w:val="16"/>
              </w:rPr>
              <w:t>unión familiar</w:t>
            </w:r>
            <w:r>
              <w:rPr>
                <w:rFonts w:ascii="Arial" w:hAnsi="Arial" w:cs="Arial"/>
                <w:i/>
                <w:sz w:val="16"/>
                <w:szCs w:val="16"/>
              </w:rPr>
              <w:t xml:space="preserve"> por género y edad al salir del país</w:t>
            </w:r>
          </w:p>
          <w:p w:rsidR="0006543C" w:rsidRDefault="00436907" w:rsidP="0006543C">
            <w:pPr>
              <w:rPr>
                <w:rFonts w:ascii="Arial" w:hAnsi="Arial" w:cs="Arial"/>
                <w:sz w:val="24"/>
                <w:szCs w:val="24"/>
              </w:rPr>
            </w:pPr>
            <w:r>
              <w:rPr>
                <w:rFonts w:ascii="Arial" w:hAnsi="Arial" w:cs="Arial"/>
                <w:noProof/>
                <w:sz w:val="16"/>
                <w:szCs w:val="16"/>
                <w:lang w:eastAsia="es-EC"/>
              </w:rPr>
              <w:pict>
                <v:shape id="_x0000_s1866" type="#_x0000_t202" style="position:absolute;left:0;text-align:left;margin-left:114.3pt;margin-top:79.5pt;width:106.85pt;height:15.8pt;z-index:251746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66;mso-fit-shape-to-text:t">
                    <w:txbxContent>
                      <w:p w:rsidR="006933DF" w:rsidRPr="00623DB4"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Italia</w:t>
                        </w:r>
                      </w:p>
                    </w:txbxContent>
                  </v:textbox>
                </v:shape>
              </w:pict>
            </w:r>
            <w:r>
              <w:rPr>
                <w:rFonts w:ascii="Arial" w:hAnsi="Arial" w:cs="Arial"/>
                <w:noProof/>
                <w:sz w:val="16"/>
                <w:szCs w:val="16"/>
                <w:lang w:eastAsia="es-EC"/>
              </w:rPr>
              <w:pict>
                <v:shape id="_x0000_s2398" type="#_x0000_t32" style="position:absolute;left:0;text-align:left;margin-left:138.3pt;margin-top:87.8pt;width:19.5pt;height:9pt;flip:x;z-index:252073472" o:connectortype="straight" strokecolor="#e36c0a [2409]">
                  <v:stroke endarrow="block"/>
                </v:shape>
              </w:pict>
            </w:r>
            <w:r>
              <w:rPr>
                <w:rFonts w:ascii="Arial" w:hAnsi="Arial" w:cs="Arial"/>
                <w:noProof/>
                <w:sz w:val="16"/>
                <w:szCs w:val="16"/>
                <w:lang w:eastAsia="es-EC"/>
              </w:rPr>
              <w:pict>
                <v:shape id="_x0000_s1865" type="#_x0000_t202" style="position:absolute;left:0;text-align:left;margin-left:132.7pt;margin-top:39.9pt;width:106.85pt;height:24.45pt;z-index:2517457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65;mso-fit-shape-to-text:t">
                    <w:txbxContent>
                      <w:p w:rsidR="006933DF" w:rsidRPr="00395185" w:rsidRDefault="006933DF" w:rsidP="0006543C">
                        <w:pPr>
                          <w:rPr>
                            <w:rFonts w:ascii="Arial" w:hAnsi="Arial" w:cs="Arial"/>
                            <w:color w:val="00B050"/>
                            <w:sz w:val="15"/>
                            <w:szCs w:val="15"/>
                          </w:rPr>
                        </w:pPr>
                        <w:r w:rsidRPr="00395185">
                          <w:rPr>
                            <w:rFonts w:ascii="Arial" w:hAnsi="Arial" w:cs="Arial"/>
                            <w:color w:val="00B050"/>
                            <w:sz w:val="15"/>
                            <w:szCs w:val="15"/>
                          </w:rPr>
                          <w:t>Otros</w:t>
                        </w:r>
                      </w:p>
                      <w:p w:rsidR="006933DF" w:rsidRPr="00395185" w:rsidRDefault="006933DF" w:rsidP="0006543C">
                        <w:pPr>
                          <w:rPr>
                            <w:rFonts w:ascii="Arial" w:hAnsi="Arial" w:cs="Arial"/>
                            <w:color w:val="00B050"/>
                            <w:sz w:val="15"/>
                            <w:szCs w:val="15"/>
                          </w:rPr>
                        </w:pPr>
                        <w:r w:rsidRPr="00395185">
                          <w:rPr>
                            <w:rFonts w:ascii="Arial" w:hAnsi="Arial" w:cs="Arial"/>
                            <w:color w:val="00B050"/>
                            <w:sz w:val="15"/>
                            <w:szCs w:val="15"/>
                          </w:rPr>
                          <w:t>países</w:t>
                        </w:r>
                      </w:p>
                    </w:txbxContent>
                  </v:textbox>
                </v:shape>
              </w:pict>
            </w:r>
            <w:r>
              <w:rPr>
                <w:rFonts w:ascii="Arial" w:hAnsi="Arial" w:cs="Arial"/>
                <w:noProof/>
                <w:sz w:val="16"/>
                <w:szCs w:val="16"/>
                <w:lang w:eastAsia="es-EC"/>
              </w:rPr>
              <w:pict>
                <v:shape id="_x0000_s2396" type="#_x0000_t32" style="position:absolute;left:0;text-align:left;margin-left:198.9pt;margin-top:52.55pt;width:12.9pt;height:12.55pt;z-index:252071424" o:connectortype="straight" strokecolor="#00b050">
                  <v:stroke endarrow="block"/>
                </v:shape>
              </w:pict>
            </w:r>
            <w:r>
              <w:rPr>
                <w:rFonts w:ascii="Arial" w:hAnsi="Arial" w:cs="Arial"/>
                <w:noProof/>
                <w:sz w:val="16"/>
                <w:szCs w:val="16"/>
                <w:lang w:eastAsia="es-EC"/>
              </w:rPr>
              <w:pict>
                <v:shape id="_x0000_s2394" type="#_x0000_t32" style="position:absolute;left:0;text-align:left;margin-left:239.55pt;margin-top:31.5pt;width:12.65pt;height:10.6pt;z-index:252069376" o:connectortype="straight" strokecolor="#d60093">
                  <v:stroke endarrow="block"/>
                </v:shape>
              </w:pict>
            </w:r>
            <w:r>
              <w:rPr>
                <w:rFonts w:ascii="Arial" w:hAnsi="Arial" w:cs="Arial"/>
                <w:noProof/>
                <w:sz w:val="16"/>
                <w:szCs w:val="16"/>
                <w:lang w:eastAsia="es-EC"/>
              </w:rPr>
              <w:pict>
                <v:shape id="_x0000_s1864" type="#_x0000_t202" style="position:absolute;left:0;text-align:left;margin-left:187.45pt;margin-top:19.6pt;width:106.85pt;height:15.8pt;z-index:251744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64;mso-fit-shape-to-text:t">
                    <w:txbxContent>
                      <w:p w:rsidR="006933DF" w:rsidRPr="00623DB4" w:rsidRDefault="006933DF" w:rsidP="0006543C">
                        <w:pPr>
                          <w:rPr>
                            <w:rFonts w:ascii="Arial" w:hAnsi="Arial" w:cs="Arial"/>
                            <w:color w:val="D60093"/>
                            <w:sz w:val="15"/>
                            <w:szCs w:val="15"/>
                          </w:rPr>
                        </w:pPr>
                        <w:r>
                          <w:rPr>
                            <w:rFonts w:ascii="Arial" w:hAnsi="Arial" w:cs="Arial"/>
                            <w:color w:val="D60093"/>
                            <w:sz w:val="15"/>
                            <w:szCs w:val="15"/>
                          </w:rPr>
                          <w:t>Estados Unidos</w:t>
                        </w:r>
                      </w:p>
                    </w:txbxContent>
                  </v:textbox>
                </v:shape>
              </w:pict>
            </w:r>
            <w:r>
              <w:rPr>
                <w:rFonts w:ascii="Arial" w:hAnsi="Arial" w:cs="Arial"/>
                <w:noProof/>
                <w:sz w:val="16"/>
                <w:szCs w:val="16"/>
                <w:lang w:eastAsia="es-EC"/>
              </w:rPr>
              <w:pict>
                <v:shape id="_x0000_s2392" type="#_x0000_t32" style="position:absolute;left:0;text-align:left;margin-left:110.2pt;margin-top:40.65pt;width:11pt;height:11.9pt;flip:x;z-index:252067328" o:connectortype="straight" strokecolor="#0070c0">
                  <v:stroke endarrow="block"/>
                </v:shape>
              </w:pict>
            </w:r>
            <w:r>
              <w:rPr>
                <w:rFonts w:ascii="Arial" w:hAnsi="Arial" w:cs="Arial"/>
                <w:noProof/>
                <w:sz w:val="16"/>
                <w:szCs w:val="16"/>
                <w:lang w:eastAsia="es-EC"/>
              </w:rPr>
              <w:pict>
                <v:shape id="_x0000_s1863" type="#_x0000_t202" style="position:absolute;left:0;text-align:left;margin-left:73.95pt;margin-top:27.05pt;width:106.85pt;height:15.8pt;z-index:251743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63;mso-fit-shape-to-text:t">
                    <w:txbxContent>
                      <w:p w:rsidR="006933DF" w:rsidRPr="00623DB4" w:rsidRDefault="006933DF" w:rsidP="0006543C">
                        <w:pPr>
                          <w:rPr>
                            <w:rFonts w:ascii="Arial" w:hAnsi="Arial" w:cs="Arial"/>
                            <w:color w:val="0070C0"/>
                            <w:sz w:val="15"/>
                            <w:szCs w:val="15"/>
                          </w:rPr>
                        </w:pPr>
                        <w:r>
                          <w:rPr>
                            <w:rFonts w:ascii="Arial" w:hAnsi="Arial" w:cs="Arial"/>
                            <w:color w:val="0070C0"/>
                            <w:sz w:val="15"/>
                            <w:szCs w:val="15"/>
                          </w:rPr>
                          <w:t>España</w:t>
                        </w:r>
                      </w:p>
                    </w:txbxContent>
                  </v:textbox>
                </v:shape>
              </w:pict>
            </w:r>
            <w:r>
              <w:rPr>
                <w:rFonts w:ascii="Arial" w:hAnsi="Arial" w:cs="Arial"/>
                <w:noProof/>
                <w:sz w:val="16"/>
                <w:szCs w:val="16"/>
                <w:lang w:eastAsia="es-EC"/>
              </w:rPr>
              <w:pict>
                <v:shape id="_x0000_s1867" type="#_x0000_t202" style="position:absolute;left:0;text-align:left;margin-left:246.6pt;margin-top:11.25pt;width:106.85pt;height:27.1pt;z-index:251747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67;mso-fit-shape-to-text:t">
                    <w:txbxContent>
                      <w:p w:rsidR="006933DF" w:rsidRPr="00E7578A" w:rsidRDefault="006933DF" w:rsidP="0006543C">
                        <w:pPr>
                          <w:rPr>
                            <w:rFonts w:ascii="Arial" w:hAnsi="Arial" w:cs="Arial"/>
                            <w:b/>
                            <w:sz w:val="15"/>
                            <w:szCs w:val="15"/>
                          </w:rPr>
                        </w:pPr>
                        <w:r>
                          <w:rPr>
                            <w:rFonts w:ascii="Arial" w:hAnsi="Arial" w:cs="Arial"/>
                            <w:b/>
                            <w:sz w:val="15"/>
                            <w:szCs w:val="15"/>
                          </w:rPr>
                          <w:t>Hombre</w:t>
                        </w:r>
                      </w:p>
                    </w:txbxContent>
                  </v:textbox>
                </v:shape>
              </w:pict>
            </w:r>
            <w:r w:rsidR="0006543C">
              <w:rPr>
                <w:noProof/>
                <w:lang w:eastAsia="es-EC"/>
              </w:rPr>
              <w:drawing>
                <wp:inline distT="0" distB="0" distL="0" distR="0" wp14:anchorId="216142F6" wp14:editId="2B52A3F2">
                  <wp:extent cx="4211955" cy="1800000"/>
                  <wp:effectExtent l="0" t="0" r="0" b="0"/>
                  <wp:docPr id="174" name="Gráfico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06543C" w:rsidRPr="00840530" w:rsidRDefault="00436907" w:rsidP="0006543C">
            <w:pPr>
              <w:rPr>
                <w:rFonts w:ascii="Arial" w:hAnsi="Arial" w:cs="Arial"/>
                <w:sz w:val="24"/>
                <w:szCs w:val="24"/>
              </w:rPr>
            </w:pPr>
            <w:r>
              <w:rPr>
                <w:rFonts w:ascii="Arial" w:hAnsi="Arial" w:cs="Arial"/>
                <w:noProof/>
                <w:sz w:val="16"/>
                <w:szCs w:val="16"/>
                <w:lang w:eastAsia="es-EC"/>
              </w:rPr>
              <w:pict>
                <v:shape id="_x0000_s1871" type="#_x0000_t202" style="position:absolute;left:0;text-align:left;margin-left:102.7pt;margin-top:81.7pt;width:106.85pt;height:15.8pt;z-index:2517519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71;mso-fit-shape-to-text:t">
                    <w:txbxContent>
                      <w:p w:rsidR="006933DF" w:rsidRPr="00623DB4"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Italia</w:t>
                        </w:r>
                      </w:p>
                    </w:txbxContent>
                  </v:textbox>
                </v:shape>
              </w:pict>
            </w:r>
            <w:r>
              <w:rPr>
                <w:rFonts w:ascii="Arial" w:hAnsi="Arial" w:cs="Arial"/>
                <w:noProof/>
                <w:sz w:val="16"/>
                <w:szCs w:val="16"/>
                <w:lang w:eastAsia="es-EC"/>
              </w:rPr>
              <w:pict>
                <v:shape id="_x0000_s2399" type="#_x0000_t32" style="position:absolute;left:0;text-align:left;margin-left:136.05pt;margin-top:90.1pt;width:10.5pt;height:8.15pt;flip:x;z-index:252074496" o:connectortype="straight" strokecolor="#e36c0a [2409]">
                  <v:stroke endarrow="block"/>
                </v:shape>
              </w:pict>
            </w:r>
            <w:r>
              <w:rPr>
                <w:rFonts w:ascii="Arial" w:hAnsi="Arial" w:cs="Arial"/>
                <w:noProof/>
                <w:sz w:val="16"/>
                <w:szCs w:val="16"/>
                <w:lang w:eastAsia="es-EC"/>
              </w:rPr>
              <w:pict>
                <v:shape id="_x0000_s1870" type="#_x0000_t202" style="position:absolute;left:0;text-align:left;margin-left:118.45pt;margin-top:40.55pt;width:106.85pt;height:15.8pt;z-index:251750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70;mso-fit-shape-to-text:t">
                    <w:txbxContent>
                      <w:p w:rsidR="006933DF" w:rsidRPr="00395185" w:rsidRDefault="006933DF" w:rsidP="0006543C">
                        <w:pPr>
                          <w:rPr>
                            <w:rFonts w:ascii="Arial" w:hAnsi="Arial" w:cs="Arial"/>
                            <w:color w:val="00B050"/>
                            <w:sz w:val="15"/>
                            <w:szCs w:val="15"/>
                          </w:rPr>
                        </w:pPr>
                        <w:r w:rsidRPr="00395185">
                          <w:rPr>
                            <w:rFonts w:ascii="Arial" w:hAnsi="Arial" w:cs="Arial"/>
                            <w:color w:val="00B050"/>
                            <w:sz w:val="15"/>
                            <w:szCs w:val="15"/>
                          </w:rPr>
                          <w:t>Otros países</w:t>
                        </w:r>
                      </w:p>
                    </w:txbxContent>
                  </v:textbox>
                </v:shape>
              </w:pict>
            </w:r>
            <w:r>
              <w:rPr>
                <w:rFonts w:ascii="Arial" w:hAnsi="Arial" w:cs="Arial"/>
                <w:noProof/>
                <w:sz w:val="16"/>
                <w:szCs w:val="16"/>
                <w:lang w:eastAsia="es-EC"/>
              </w:rPr>
              <w:pict>
                <v:shape id="_x0000_s2397" type="#_x0000_t32" style="position:absolute;left:0;text-align:left;margin-left:148.8pt;margin-top:51.1pt;width:20.25pt;height:28.5pt;flip:x;z-index:252072448" o:connectortype="straight" strokecolor="#00b050">
                  <v:stroke endarrow="block"/>
                </v:shape>
              </w:pict>
            </w:r>
            <w:r>
              <w:rPr>
                <w:rFonts w:ascii="Arial" w:hAnsi="Arial" w:cs="Arial"/>
                <w:noProof/>
                <w:sz w:val="16"/>
                <w:szCs w:val="16"/>
                <w:lang w:eastAsia="es-EC"/>
              </w:rPr>
              <w:pict>
                <v:shape id="_x0000_s1869" type="#_x0000_t202" style="position:absolute;left:0;text-align:left;margin-left:194.7pt;margin-top:18.85pt;width:106.85pt;height:15.8pt;z-index:251749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69;mso-fit-shape-to-text:t">
                    <w:txbxContent>
                      <w:p w:rsidR="006933DF" w:rsidRPr="00623DB4" w:rsidRDefault="006933DF" w:rsidP="0006543C">
                        <w:pPr>
                          <w:rPr>
                            <w:rFonts w:ascii="Arial" w:hAnsi="Arial" w:cs="Arial"/>
                            <w:color w:val="D60093"/>
                            <w:sz w:val="15"/>
                            <w:szCs w:val="15"/>
                          </w:rPr>
                        </w:pPr>
                        <w:r>
                          <w:rPr>
                            <w:rFonts w:ascii="Arial" w:hAnsi="Arial" w:cs="Arial"/>
                            <w:color w:val="D60093"/>
                            <w:sz w:val="15"/>
                            <w:szCs w:val="15"/>
                          </w:rPr>
                          <w:t>Estados Unidos</w:t>
                        </w:r>
                      </w:p>
                    </w:txbxContent>
                  </v:textbox>
                </v:shape>
              </w:pict>
            </w:r>
            <w:r>
              <w:rPr>
                <w:rFonts w:ascii="Arial" w:hAnsi="Arial" w:cs="Arial"/>
                <w:noProof/>
                <w:sz w:val="16"/>
                <w:szCs w:val="16"/>
                <w:lang w:eastAsia="es-EC"/>
              </w:rPr>
              <w:pict>
                <v:shape id="_x0000_s2395" type="#_x0000_t32" style="position:absolute;left:0;text-align:left;margin-left:249.2pt;margin-top:30.1pt;width:18.85pt;height:15.75pt;z-index:252070400" o:connectortype="straight" strokecolor="#d60093">
                  <v:stroke endarrow="block"/>
                </v:shape>
              </w:pict>
            </w:r>
            <w:r>
              <w:rPr>
                <w:rFonts w:ascii="Arial" w:hAnsi="Arial" w:cs="Arial"/>
                <w:noProof/>
                <w:sz w:val="16"/>
                <w:szCs w:val="16"/>
                <w:lang w:eastAsia="es-EC"/>
              </w:rPr>
              <w:pict>
                <v:shape id="_x0000_s1868" type="#_x0000_t202" style="position:absolute;left:0;text-align:left;margin-left:62.2pt;margin-top:27.8pt;width:106.85pt;height:15.8pt;z-index:251748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68;mso-fit-shape-to-text:t">
                    <w:txbxContent>
                      <w:p w:rsidR="006933DF" w:rsidRPr="00623DB4" w:rsidRDefault="006933DF" w:rsidP="0006543C">
                        <w:pPr>
                          <w:rPr>
                            <w:rFonts w:ascii="Arial" w:hAnsi="Arial" w:cs="Arial"/>
                            <w:color w:val="0070C0"/>
                            <w:sz w:val="15"/>
                            <w:szCs w:val="15"/>
                          </w:rPr>
                        </w:pPr>
                        <w:r>
                          <w:rPr>
                            <w:rFonts w:ascii="Arial" w:hAnsi="Arial" w:cs="Arial"/>
                            <w:color w:val="0070C0"/>
                            <w:sz w:val="15"/>
                            <w:szCs w:val="15"/>
                          </w:rPr>
                          <w:t>España</w:t>
                        </w:r>
                      </w:p>
                    </w:txbxContent>
                  </v:textbox>
                </v:shape>
              </w:pict>
            </w:r>
            <w:r>
              <w:rPr>
                <w:rFonts w:ascii="Arial" w:hAnsi="Arial" w:cs="Arial"/>
                <w:noProof/>
                <w:sz w:val="16"/>
                <w:szCs w:val="16"/>
                <w:lang w:eastAsia="es-EC"/>
              </w:rPr>
              <w:pict>
                <v:shape id="_x0000_s2393" type="#_x0000_t32" style="position:absolute;left:0;text-align:left;margin-left:106.05pt;margin-top:39.1pt;width:11.25pt;height:12pt;flip:x;z-index:252068352" o:connectortype="straight" strokecolor="#0070c0">
                  <v:stroke endarrow="block"/>
                </v:shape>
              </w:pict>
            </w:r>
            <w:r>
              <w:rPr>
                <w:rFonts w:ascii="Arial" w:hAnsi="Arial" w:cs="Arial"/>
                <w:noProof/>
                <w:sz w:val="16"/>
                <w:szCs w:val="16"/>
                <w:lang w:eastAsia="es-EC"/>
              </w:rPr>
              <w:pict>
                <v:shape id="_x0000_s1872" type="#_x0000_t202" style="position:absolute;left:0;text-align:left;margin-left:246.6pt;margin-top:11.25pt;width:106.85pt;height:27.1pt;z-index:2517529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72;mso-fit-shape-to-text:t">
                    <w:txbxContent>
                      <w:p w:rsidR="006933DF" w:rsidRPr="00E7578A" w:rsidRDefault="006933DF" w:rsidP="0006543C">
                        <w:pPr>
                          <w:rPr>
                            <w:rFonts w:ascii="Arial" w:hAnsi="Arial" w:cs="Arial"/>
                            <w:b/>
                            <w:sz w:val="15"/>
                            <w:szCs w:val="15"/>
                          </w:rPr>
                        </w:pPr>
                        <w:r>
                          <w:rPr>
                            <w:rFonts w:ascii="Arial" w:hAnsi="Arial" w:cs="Arial"/>
                            <w:b/>
                            <w:sz w:val="15"/>
                            <w:szCs w:val="15"/>
                          </w:rPr>
                          <w:t>Mujer</w:t>
                        </w:r>
                      </w:p>
                    </w:txbxContent>
                  </v:textbox>
                </v:shape>
              </w:pict>
            </w:r>
            <w:r w:rsidR="0006543C">
              <w:rPr>
                <w:noProof/>
                <w:lang w:eastAsia="es-EC"/>
              </w:rPr>
              <w:drawing>
                <wp:inline distT="0" distB="0" distL="0" distR="0" wp14:anchorId="1C6846D2" wp14:editId="677199D6">
                  <wp:extent cx="4211955" cy="1800000"/>
                  <wp:effectExtent l="0" t="0" r="0" b="0"/>
                  <wp:docPr id="175" name="Gráfico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tc>
      </w:tr>
    </w:tbl>
    <w:p w:rsidR="0006543C" w:rsidRPr="00395185" w:rsidRDefault="0006543C" w:rsidP="00395185">
      <w:pPr>
        <w:pStyle w:val="Prrafodelista"/>
        <w:spacing w:line="276" w:lineRule="auto"/>
        <w:ind w:left="851"/>
        <w:jc w:val="both"/>
        <w:rPr>
          <w:rFonts w:ascii="Arial" w:hAnsi="Arial" w:cs="Arial"/>
          <w:sz w:val="17"/>
          <w:szCs w:val="17"/>
        </w:rPr>
      </w:pPr>
    </w:p>
    <w:p w:rsidR="0006543C" w:rsidRPr="00395185" w:rsidRDefault="0006543C" w:rsidP="00395185">
      <w:pPr>
        <w:pStyle w:val="Prrafodelista"/>
        <w:spacing w:line="276" w:lineRule="auto"/>
        <w:ind w:left="851"/>
        <w:jc w:val="both"/>
        <w:rPr>
          <w:rFonts w:ascii="Arial" w:hAnsi="Arial" w:cs="Arial"/>
          <w:sz w:val="17"/>
          <w:szCs w:val="17"/>
        </w:rPr>
      </w:pPr>
      <w:r w:rsidRPr="00395185">
        <w:rPr>
          <w:rFonts w:ascii="Arial" w:hAnsi="Arial" w:cs="Arial"/>
          <w:b/>
          <w:i/>
          <w:sz w:val="17"/>
          <w:szCs w:val="17"/>
        </w:rPr>
        <w:t>Fuente:</w:t>
      </w:r>
      <w:r w:rsidRPr="00395185">
        <w:rPr>
          <w:rFonts w:ascii="Arial" w:hAnsi="Arial" w:cs="Arial"/>
          <w:sz w:val="17"/>
          <w:szCs w:val="17"/>
        </w:rPr>
        <w:t xml:space="preserve"> </w:t>
      </w:r>
      <w:r w:rsidRPr="00395185">
        <w:rPr>
          <w:rFonts w:ascii="Arial" w:hAnsi="Arial" w:cs="Arial"/>
          <w:b/>
          <w:sz w:val="17"/>
          <w:szCs w:val="17"/>
        </w:rPr>
        <w:t xml:space="preserve">INEC </w:t>
      </w:r>
      <w:r w:rsidRPr="00395185">
        <w:rPr>
          <w:rFonts w:ascii="Arial" w:hAnsi="Arial" w:cs="Arial"/>
          <w:sz w:val="17"/>
          <w:szCs w:val="17"/>
        </w:rPr>
        <w:t>(2010), Base de Datos del VII Censo de Población y VI de Vivienda.</w:t>
      </w:r>
    </w:p>
    <w:p w:rsidR="0006543C" w:rsidRPr="00395185" w:rsidRDefault="0006543C" w:rsidP="00395185">
      <w:pPr>
        <w:pStyle w:val="Prrafodelista"/>
        <w:spacing w:line="276" w:lineRule="auto"/>
        <w:ind w:left="851"/>
        <w:jc w:val="both"/>
        <w:rPr>
          <w:rFonts w:ascii="Arial" w:hAnsi="Arial" w:cs="Arial"/>
          <w:sz w:val="17"/>
          <w:szCs w:val="17"/>
        </w:rPr>
      </w:pPr>
      <w:r w:rsidRPr="00395185">
        <w:rPr>
          <w:rFonts w:ascii="Arial" w:hAnsi="Arial" w:cs="Arial"/>
          <w:b/>
          <w:i/>
          <w:sz w:val="17"/>
          <w:szCs w:val="17"/>
        </w:rPr>
        <w:t>Elaborado por:</w:t>
      </w:r>
      <w:r w:rsidRPr="00395185">
        <w:rPr>
          <w:rFonts w:ascii="Arial" w:hAnsi="Arial" w:cs="Arial"/>
          <w:sz w:val="17"/>
          <w:szCs w:val="17"/>
        </w:rPr>
        <w:t xml:space="preserve"> Katherine Loor Valeriano</w:t>
      </w:r>
    </w:p>
    <w:p w:rsidR="0006543C" w:rsidRPr="00395185" w:rsidRDefault="0006543C" w:rsidP="00395185">
      <w:pPr>
        <w:spacing w:line="480" w:lineRule="auto"/>
        <w:ind w:left="851"/>
        <w:jc w:val="both"/>
        <w:rPr>
          <w:rFonts w:ascii="Arial" w:hAnsi="Arial" w:cs="Arial"/>
        </w:rPr>
      </w:pPr>
    </w:p>
    <w:p w:rsidR="00395185" w:rsidRDefault="00395185" w:rsidP="00395185">
      <w:pPr>
        <w:spacing w:line="480" w:lineRule="auto"/>
        <w:ind w:left="851"/>
        <w:jc w:val="both"/>
        <w:rPr>
          <w:rFonts w:ascii="Arial" w:hAnsi="Arial" w:cs="Arial"/>
          <w:i/>
        </w:rPr>
      </w:pPr>
      <w:r w:rsidRPr="00395185">
        <w:rPr>
          <w:rFonts w:ascii="Arial" w:hAnsi="Arial" w:cs="Arial"/>
        </w:rPr>
        <w:t>Para el caso de las mujeres que emigraron entre noviembre de 2001 y noviembre de 2010 y cuyo motivo principal del viaje era unión familiar, se</w:t>
      </w:r>
      <w:r>
        <w:rPr>
          <w:rFonts w:ascii="Arial" w:hAnsi="Arial" w:cs="Arial"/>
        </w:rPr>
        <w:t xml:space="preserve"> tiene que quienes tenían edades comprendidas entre 5 y 25 años se dirigieron en mayor proporción hacia España; mientras que las mujeres que tenían entre 25 y 95 años cuando dejaron Ecuador su país de destino para reunirse con familiares es Estados Unidos; y, por cada 1000 emigrantes con edades entre 95 y 100 años </w:t>
      </w:r>
      <w:r w:rsidRPr="00B25047">
        <w:rPr>
          <w:rFonts w:ascii="Arial" w:hAnsi="Arial" w:cs="Arial"/>
        </w:rPr>
        <w:t>285.71</w:t>
      </w:r>
      <w:r>
        <w:rPr>
          <w:rFonts w:ascii="Arial" w:hAnsi="Arial" w:cs="Arial"/>
        </w:rPr>
        <w:t xml:space="preserve"> se fueron a Estados Unidos, </w:t>
      </w:r>
      <w:r w:rsidRPr="00B25047">
        <w:rPr>
          <w:rFonts w:ascii="Arial" w:hAnsi="Arial" w:cs="Arial"/>
        </w:rPr>
        <w:t>285.71</w:t>
      </w:r>
      <w:r>
        <w:rPr>
          <w:rFonts w:ascii="Arial" w:hAnsi="Arial" w:cs="Arial"/>
        </w:rPr>
        <w:t xml:space="preserve"> a Italia y </w:t>
      </w:r>
      <w:r w:rsidRPr="00B25047">
        <w:rPr>
          <w:rFonts w:ascii="Arial" w:hAnsi="Arial" w:cs="Arial"/>
        </w:rPr>
        <w:t>428.57</w:t>
      </w:r>
      <w:r>
        <w:rPr>
          <w:rFonts w:ascii="Arial" w:hAnsi="Arial" w:cs="Arial"/>
        </w:rPr>
        <w:t xml:space="preserve"> emigraron hacia otros países. Si consideramos el caso particular de las mujeres que tenían entre 5 y 10 años cuando emigraron, se </w:t>
      </w:r>
      <w:r w:rsidR="00AE13C0">
        <w:rPr>
          <w:rFonts w:ascii="Arial" w:hAnsi="Arial" w:cs="Arial"/>
        </w:rPr>
        <w:t>encontró</w:t>
      </w:r>
      <w:r>
        <w:rPr>
          <w:rFonts w:ascii="Arial" w:hAnsi="Arial" w:cs="Arial"/>
        </w:rPr>
        <w:t xml:space="preserve"> que por cada 1000 de ellas, </w:t>
      </w:r>
      <w:r w:rsidRPr="006A0DB8">
        <w:rPr>
          <w:rFonts w:ascii="Arial" w:hAnsi="Arial" w:cs="Arial"/>
        </w:rPr>
        <w:t>596.67</w:t>
      </w:r>
      <w:r>
        <w:rPr>
          <w:rFonts w:ascii="Arial" w:hAnsi="Arial" w:cs="Arial"/>
        </w:rPr>
        <w:t xml:space="preserve"> se dirigieron a España, </w:t>
      </w:r>
      <w:r w:rsidRPr="006A0DB8">
        <w:rPr>
          <w:rFonts w:ascii="Arial" w:hAnsi="Arial" w:cs="Arial"/>
        </w:rPr>
        <w:t>161.33</w:t>
      </w:r>
      <w:r>
        <w:rPr>
          <w:rFonts w:ascii="Arial" w:hAnsi="Arial" w:cs="Arial"/>
        </w:rPr>
        <w:t xml:space="preserve"> a Estados Unidos, </w:t>
      </w:r>
      <w:r w:rsidRPr="006A0DB8">
        <w:rPr>
          <w:rFonts w:ascii="Arial" w:hAnsi="Arial" w:cs="Arial"/>
        </w:rPr>
        <w:t>106.40</w:t>
      </w:r>
      <w:r>
        <w:rPr>
          <w:rFonts w:ascii="Arial" w:hAnsi="Arial" w:cs="Arial"/>
        </w:rPr>
        <w:t xml:space="preserve"> fueron a Italia y </w:t>
      </w:r>
      <w:r w:rsidRPr="006A0DB8">
        <w:rPr>
          <w:rFonts w:ascii="Arial" w:hAnsi="Arial" w:cs="Arial"/>
        </w:rPr>
        <w:t>135.59</w:t>
      </w:r>
      <w:r>
        <w:rPr>
          <w:rFonts w:ascii="Arial" w:hAnsi="Arial" w:cs="Arial"/>
        </w:rPr>
        <w:t xml:space="preserve"> emigraron hacia otros países para reunirse con familiares. Para más detalles </w:t>
      </w:r>
      <w:r>
        <w:rPr>
          <w:rFonts w:ascii="Arial" w:hAnsi="Arial" w:cs="Arial"/>
          <w:i/>
        </w:rPr>
        <w:t>véase Figura 5.26.</w:t>
      </w:r>
    </w:p>
    <w:p w:rsidR="00395185" w:rsidRPr="00395185" w:rsidRDefault="00395185" w:rsidP="00395185">
      <w:pPr>
        <w:spacing w:line="480" w:lineRule="auto"/>
        <w:ind w:left="851"/>
        <w:jc w:val="both"/>
        <w:rPr>
          <w:rFonts w:ascii="Arial" w:hAnsi="Arial" w:cs="Arial"/>
        </w:rPr>
      </w:pPr>
    </w:p>
    <w:p w:rsidR="0006543C" w:rsidRDefault="0006543C" w:rsidP="00395185">
      <w:pPr>
        <w:pStyle w:val="51"/>
        <w:ind w:left="851" w:hanging="567"/>
      </w:pPr>
      <w:bookmarkStart w:id="849" w:name="_Toc338407813"/>
      <w:bookmarkStart w:id="850" w:name="_Toc338412816"/>
      <w:bookmarkStart w:id="851" w:name="_Toc341040742"/>
      <w:r>
        <w:t>Perfil de los Emigrantes cuyo motivo principal de viaje es estudiar</w:t>
      </w:r>
      <w:bookmarkEnd w:id="849"/>
      <w:bookmarkEnd w:id="850"/>
      <w:bookmarkEnd w:id="851"/>
    </w:p>
    <w:p w:rsidR="0006543C" w:rsidRDefault="0006543C" w:rsidP="00395185">
      <w:pPr>
        <w:pStyle w:val="52"/>
        <w:ind w:left="1701" w:hanging="850"/>
      </w:pPr>
      <w:bookmarkStart w:id="852" w:name="_Toc338407815"/>
      <w:bookmarkStart w:id="853" w:name="_Toc338412818"/>
      <w:bookmarkStart w:id="854" w:name="_Toc341040743"/>
      <w:r>
        <w:t xml:space="preserve">Año de salida </w:t>
      </w:r>
      <w:r w:rsidR="00395185">
        <w:t>de los e</w:t>
      </w:r>
      <w:r>
        <w:t>migrantes</w:t>
      </w:r>
      <w:bookmarkEnd w:id="852"/>
      <w:bookmarkEnd w:id="853"/>
      <w:r w:rsidR="00395185">
        <w:t xml:space="preserve"> por estudios</w:t>
      </w:r>
      <w:bookmarkEnd w:id="854"/>
    </w:p>
    <w:p w:rsidR="0006543C" w:rsidRPr="00287F2C" w:rsidRDefault="0006543C" w:rsidP="00287F2C">
      <w:pPr>
        <w:spacing w:line="480" w:lineRule="auto"/>
        <w:ind w:left="851"/>
        <w:jc w:val="both"/>
        <w:rPr>
          <w:rFonts w:ascii="Arial" w:hAnsi="Arial" w:cs="Arial"/>
        </w:rPr>
      </w:pPr>
      <w:bookmarkStart w:id="855" w:name="_Toc339853148"/>
      <w:bookmarkStart w:id="856" w:name="_Toc340231918"/>
      <w:r w:rsidRPr="00287F2C">
        <w:rPr>
          <w:rFonts w:ascii="Arial" w:hAnsi="Arial" w:cs="Arial"/>
        </w:rPr>
        <w:t xml:space="preserve">En lo que respecta al año en el cual salió del país el emigrante para ir a estudiar al exterior, podemos notar que este escenario es distinto a los dos ya mostrados en secciones anteriores, pues de los que emigraron para estudiar las mayoría salió entre el año 2008 y 2010, aunque también hay un porcentaje considerable (11.24%) de personas que no especificaron dicho dato; pero, en general se puede notar que cada año han emigrado similar número de personas por este motivo. Así como también, que en el 2004 se tiene la menor cantidad de emigrantes que salieron en este año y aún continúan en el exterior. Para más detalles </w:t>
      </w:r>
      <w:r w:rsidRPr="00287F2C">
        <w:rPr>
          <w:rFonts w:ascii="Arial" w:hAnsi="Arial" w:cs="Arial"/>
          <w:i/>
        </w:rPr>
        <w:t>véase Figura 5.27</w:t>
      </w:r>
      <w:r w:rsidRPr="00287F2C">
        <w:rPr>
          <w:rFonts w:ascii="Arial" w:hAnsi="Arial" w:cs="Arial"/>
        </w:rPr>
        <w:t>.</w:t>
      </w:r>
      <w:bookmarkEnd w:id="855"/>
      <w:bookmarkEnd w:id="856"/>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395185">
        <w:trPr>
          <w:trHeight w:val="2041"/>
          <w:jc w:val="right"/>
        </w:trPr>
        <w:tc>
          <w:tcPr>
            <w:tcW w:w="7497" w:type="dxa"/>
          </w:tcPr>
          <w:p w:rsidR="0006543C" w:rsidRPr="00840530" w:rsidRDefault="0006543C" w:rsidP="0006543C">
            <w:pPr>
              <w:rPr>
                <w:rFonts w:ascii="Arial" w:hAnsi="Arial" w:cs="Arial"/>
                <w:sz w:val="16"/>
                <w:szCs w:val="16"/>
              </w:rPr>
            </w:pPr>
          </w:p>
          <w:p w:rsidR="009249A4" w:rsidRPr="009249A4" w:rsidRDefault="009249A4" w:rsidP="009249A4">
            <w:pPr>
              <w:pStyle w:val="Epgrafe"/>
              <w:rPr>
                <w:rFonts w:ascii="Arial" w:hAnsi="Arial" w:cs="Arial"/>
                <w:bCs w:val="0"/>
                <w:color w:val="auto"/>
                <w:sz w:val="16"/>
                <w:szCs w:val="16"/>
              </w:rPr>
            </w:pPr>
            <w:bookmarkStart w:id="857" w:name="_Toc341044107"/>
            <w:r>
              <w:rPr>
                <w:rFonts w:ascii="Arial" w:hAnsi="Arial" w:cs="Arial"/>
                <w:bCs w:val="0"/>
                <w:color w:val="auto"/>
                <w:sz w:val="16"/>
                <w:szCs w:val="16"/>
              </w:rPr>
              <w:t>Figura 5.</w:t>
            </w:r>
            <w:r w:rsidR="00990535" w:rsidRPr="009249A4">
              <w:rPr>
                <w:rFonts w:ascii="Arial" w:hAnsi="Arial" w:cs="Arial"/>
                <w:bCs w:val="0"/>
                <w:color w:val="auto"/>
                <w:sz w:val="16"/>
                <w:szCs w:val="16"/>
              </w:rPr>
              <w:fldChar w:fldCharType="begin"/>
            </w:r>
            <w:r w:rsidRPr="009249A4">
              <w:rPr>
                <w:rFonts w:ascii="Arial" w:hAnsi="Arial" w:cs="Arial"/>
                <w:bCs w:val="0"/>
                <w:color w:val="auto"/>
                <w:sz w:val="16"/>
                <w:szCs w:val="16"/>
              </w:rPr>
              <w:instrText xml:space="preserve"> SEQ Figura_5. \* ARABIC </w:instrText>
            </w:r>
            <w:r w:rsidR="00990535" w:rsidRPr="009249A4">
              <w:rPr>
                <w:rFonts w:ascii="Arial" w:hAnsi="Arial" w:cs="Arial"/>
                <w:bCs w:val="0"/>
                <w:color w:val="auto"/>
                <w:sz w:val="16"/>
                <w:szCs w:val="16"/>
              </w:rPr>
              <w:fldChar w:fldCharType="separate"/>
            </w:r>
            <w:r w:rsidR="00A242E0">
              <w:rPr>
                <w:rFonts w:ascii="Arial" w:hAnsi="Arial" w:cs="Arial"/>
                <w:bCs w:val="0"/>
                <w:noProof/>
                <w:color w:val="auto"/>
                <w:sz w:val="16"/>
                <w:szCs w:val="16"/>
              </w:rPr>
              <w:t>27</w:t>
            </w:r>
            <w:bookmarkEnd w:id="857"/>
            <w:r w:rsidR="00990535" w:rsidRPr="009249A4">
              <w:rPr>
                <w:rFonts w:ascii="Arial" w:hAnsi="Arial" w:cs="Arial"/>
                <w:bCs w:val="0"/>
                <w:color w:val="auto"/>
                <w:sz w:val="16"/>
                <w:szCs w:val="16"/>
              </w:rPr>
              <w:fldChar w:fldCharType="end"/>
            </w:r>
          </w:p>
          <w:p w:rsidR="0006543C" w:rsidRDefault="00395185" w:rsidP="00395185">
            <w:pPr>
              <w:rPr>
                <w:noProof/>
                <w:lang w:eastAsia="es-EC"/>
              </w:rPr>
            </w:pPr>
            <w:r w:rsidRPr="00DD02A2">
              <w:rPr>
                <w:rFonts w:ascii="Arial" w:hAnsi="Arial" w:cs="Arial"/>
                <w:b/>
                <w:i/>
                <w:sz w:val="16"/>
                <w:szCs w:val="16"/>
              </w:rPr>
              <w:t xml:space="preserve">Ecuador 2010: </w:t>
            </w:r>
            <w:r w:rsidRPr="00DD02A2">
              <w:rPr>
                <w:rFonts w:ascii="Arial" w:hAnsi="Arial" w:cs="Arial"/>
                <w:i/>
                <w:sz w:val="16"/>
                <w:szCs w:val="16"/>
              </w:rPr>
              <w:t xml:space="preserve">Total de emigrantes que salieron para </w:t>
            </w:r>
            <w:r>
              <w:rPr>
                <w:rFonts w:ascii="Arial" w:hAnsi="Arial" w:cs="Arial"/>
                <w:b/>
                <w:i/>
                <w:sz w:val="16"/>
                <w:szCs w:val="16"/>
              </w:rPr>
              <w:t>estudiar</w:t>
            </w:r>
            <w:r w:rsidRPr="00DD02A2">
              <w:rPr>
                <w:rFonts w:ascii="Arial" w:hAnsi="Arial" w:cs="Arial"/>
                <w:i/>
                <w:sz w:val="16"/>
                <w:szCs w:val="16"/>
              </w:rPr>
              <w:t xml:space="preserve"> por Año de salida del país</w:t>
            </w:r>
            <w:r>
              <w:rPr>
                <w:noProof/>
                <w:lang w:eastAsia="es-EC"/>
              </w:rPr>
              <w:t xml:space="preserve"> </w:t>
            </w:r>
          </w:p>
          <w:p w:rsidR="00395185" w:rsidRPr="00840530" w:rsidRDefault="00395185" w:rsidP="00395185">
            <w:pPr>
              <w:rPr>
                <w:rFonts w:ascii="Arial" w:hAnsi="Arial" w:cs="Arial"/>
                <w:sz w:val="24"/>
                <w:szCs w:val="24"/>
              </w:rPr>
            </w:pPr>
            <w:r>
              <w:rPr>
                <w:noProof/>
                <w:lang w:eastAsia="es-EC"/>
              </w:rPr>
              <w:drawing>
                <wp:inline distT="0" distB="0" distL="0" distR="0" wp14:anchorId="228A2660" wp14:editId="28EF0732">
                  <wp:extent cx="4391025" cy="1800225"/>
                  <wp:effectExtent l="0" t="0" r="0" b="0"/>
                  <wp:docPr id="290" name="Gráfico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tc>
      </w:tr>
    </w:tbl>
    <w:p w:rsidR="0006543C" w:rsidRPr="00395185" w:rsidRDefault="0006543C" w:rsidP="00395185">
      <w:pPr>
        <w:pStyle w:val="Prrafodelista"/>
        <w:spacing w:line="276" w:lineRule="auto"/>
        <w:ind w:left="851"/>
        <w:jc w:val="both"/>
        <w:rPr>
          <w:rFonts w:ascii="Arial" w:hAnsi="Arial" w:cs="Arial"/>
          <w:sz w:val="17"/>
          <w:szCs w:val="17"/>
        </w:rPr>
      </w:pPr>
    </w:p>
    <w:p w:rsidR="0006543C" w:rsidRPr="00395185" w:rsidRDefault="0006543C" w:rsidP="00395185">
      <w:pPr>
        <w:pStyle w:val="Prrafodelista"/>
        <w:spacing w:line="276" w:lineRule="auto"/>
        <w:ind w:left="851"/>
        <w:jc w:val="both"/>
        <w:rPr>
          <w:rFonts w:ascii="Arial" w:hAnsi="Arial" w:cs="Arial"/>
          <w:sz w:val="17"/>
          <w:szCs w:val="17"/>
        </w:rPr>
      </w:pPr>
      <w:r w:rsidRPr="00395185">
        <w:rPr>
          <w:rFonts w:ascii="Arial" w:hAnsi="Arial" w:cs="Arial"/>
          <w:b/>
          <w:i/>
          <w:sz w:val="17"/>
          <w:szCs w:val="17"/>
        </w:rPr>
        <w:t>Fuente:</w:t>
      </w:r>
      <w:r w:rsidRPr="00395185">
        <w:rPr>
          <w:rFonts w:ascii="Arial" w:hAnsi="Arial" w:cs="Arial"/>
          <w:sz w:val="17"/>
          <w:szCs w:val="17"/>
        </w:rPr>
        <w:t xml:space="preserve"> </w:t>
      </w:r>
      <w:r w:rsidRPr="00395185">
        <w:rPr>
          <w:rFonts w:ascii="Arial" w:hAnsi="Arial" w:cs="Arial"/>
          <w:b/>
          <w:sz w:val="17"/>
          <w:szCs w:val="17"/>
        </w:rPr>
        <w:t xml:space="preserve">INEC </w:t>
      </w:r>
      <w:r w:rsidRPr="00395185">
        <w:rPr>
          <w:rFonts w:ascii="Arial" w:hAnsi="Arial" w:cs="Arial"/>
          <w:sz w:val="17"/>
          <w:szCs w:val="17"/>
        </w:rPr>
        <w:t>(2010), Base de Datos del VII Censo de Población y VI de Vivienda.</w:t>
      </w:r>
    </w:p>
    <w:p w:rsidR="0006543C" w:rsidRPr="00395185" w:rsidRDefault="0006543C" w:rsidP="00395185">
      <w:pPr>
        <w:pStyle w:val="Prrafodelista"/>
        <w:spacing w:line="276" w:lineRule="auto"/>
        <w:ind w:left="851"/>
        <w:jc w:val="both"/>
        <w:rPr>
          <w:rFonts w:ascii="Arial" w:hAnsi="Arial" w:cs="Arial"/>
          <w:sz w:val="17"/>
          <w:szCs w:val="17"/>
        </w:rPr>
      </w:pPr>
      <w:r w:rsidRPr="00395185">
        <w:rPr>
          <w:rFonts w:ascii="Arial" w:hAnsi="Arial" w:cs="Arial"/>
          <w:b/>
          <w:i/>
          <w:sz w:val="17"/>
          <w:szCs w:val="17"/>
        </w:rPr>
        <w:t>Elaborado por:</w:t>
      </w:r>
      <w:r w:rsidRPr="00395185">
        <w:rPr>
          <w:rFonts w:ascii="Arial" w:hAnsi="Arial" w:cs="Arial"/>
          <w:sz w:val="17"/>
          <w:szCs w:val="17"/>
        </w:rPr>
        <w:t xml:space="preserve"> Katherine Loor Valeriano</w:t>
      </w:r>
    </w:p>
    <w:p w:rsidR="0006543C" w:rsidRDefault="0006543C" w:rsidP="0006543C">
      <w:pPr>
        <w:spacing w:line="480" w:lineRule="auto"/>
        <w:ind w:left="567"/>
        <w:jc w:val="both"/>
        <w:rPr>
          <w:rFonts w:ascii="Arial" w:hAnsi="Arial" w:cs="Arial"/>
        </w:rPr>
      </w:pPr>
    </w:p>
    <w:p w:rsidR="0006543C" w:rsidRPr="00254464" w:rsidRDefault="00395185" w:rsidP="00395185">
      <w:pPr>
        <w:pStyle w:val="52"/>
        <w:ind w:left="851"/>
      </w:pPr>
      <w:bookmarkStart w:id="858" w:name="_Toc341040744"/>
      <w:r>
        <w:t>País de residencia actual de los emigrantes que salieron para estudiar</w:t>
      </w:r>
      <w:bookmarkEnd w:id="858"/>
    </w:p>
    <w:p w:rsidR="0006543C" w:rsidRPr="00287F2C" w:rsidRDefault="0006543C" w:rsidP="00287F2C">
      <w:pPr>
        <w:spacing w:line="480" w:lineRule="auto"/>
        <w:ind w:left="851"/>
        <w:jc w:val="both"/>
        <w:rPr>
          <w:rFonts w:ascii="Arial" w:hAnsi="Arial" w:cs="Arial"/>
        </w:rPr>
      </w:pPr>
      <w:bookmarkStart w:id="859" w:name="_Toc339853150"/>
      <w:bookmarkStart w:id="860" w:name="_Toc340231920"/>
      <w:r w:rsidRPr="00287F2C">
        <w:rPr>
          <w:rFonts w:ascii="Arial" w:hAnsi="Arial" w:cs="Arial"/>
        </w:rPr>
        <w:t xml:space="preserve">Así como estudiamos </w:t>
      </w:r>
      <w:r w:rsidR="00395185" w:rsidRPr="00287F2C">
        <w:rPr>
          <w:rFonts w:ascii="Arial" w:hAnsi="Arial" w:cs="Arial"/>
        </w:rPr>
        <w:t>las</w:t>
      </w:r>
      <w:r w:rsidRPr="00287F2C">
        <w:rPr>
          <w:rFonts w:ascii="Arial" w:hAnsi="Arial" w:cs="Arial"/>
        </w:rPr>
        <w:t xml:space="preserve"> características de las personas que salieron de Ecuador para trabajar o para reunirse con sus familiares que viven en el exterior, ahora conozcamos las características de las personas que emigraron para estudiar, pues esta población es de gran interés para el país ya que ellos al regresar al territorio ecuatoriano contribuyen a mejorar el nivel de educación de nuestra población. De las 32701 personas que han emigrado para estudiar desde noviembre de 2001 hasta noviembre de 2010, el 44.11% fueron hacia países europeos, el 30.41% hacia América del Norte, el 19.35% están en América Latina y el Caribe, el 0.83% fueron a países asiáticos, el 0.49% están en África u Oceanía; y, el porcentaje restante no especificaron.</w:t>
      </w:r>
      <w:bookmarkEnd w:id="859"/>
      <w:bookmarkEnd w:id="860"/>
      <w:r w:rsidRPr="00287F2C">
        <w:rPr>
          <w:rFonts w:ascii="Arial" w:hAnsi="Arial" w:cs="Arial"/>
        </w:rPr>
        <w:t xml:space="preserve"> </w:t>
      </w:r>
      <w:bookmarkStart w:id="861" w:name="_Toc339853151"/>
      <w:bookmarkStart w:id="862" w:name="_Toc340231921"/>
      <w:r w:rsidR="000E4E74" w:rsidRPr="00287F2C">
        <w:rPr>
          <w:rFonts w:ascii="Arial" w:hAnsi="Arial" w:cs="Arial"/>
        </w:rPr>
        <w:t>De</w:t>
      </w:r>
      <w:r w:rsidRPr="00287F2C">
        <w:rPr>
          <w:rFonts w:ascii="Arial" w:hAnsi="Arial" w:cs="Arial"/>
        </w:rPr>
        <w:t xml:space="preserve"> los países de Oceanía el que ha recibido a la mayor cantidad de emigrantes que salieron del Ecuador entre noviembre de 2001 y noviembre 2010 es Australia, pues de todos los que viajan hacia este continente el 89.47% van a estudiar a este país</w:t>
      </w:r>
      <w:r w:rsidR="00506BFD">
        <w:rPr>
          <w:rFonts w:ascii="Arial" w:hAnsi="Arial" w:cs="Arial"/>
        </w:rPr>
        <w:t>;</w:t>
      </w:r>
      <w:r w:rsidRPr="00287F2C">
        <w:rPr>
          <w:rFonts w:ascii="Arial" w:hAnsi="Arial" w:cs="Arial"/>
        </w:rPr>
        <w:t xml:space="preserve"> </w:t>
      </w:r>
      <w:r w:rsidR="00506BFD">
        <w:rPr>
          <w:rFonts w:ascii="Arial" w:hAnsi="Arial" w:cs="Arial"/>
        </w:rPr>
        <w:t>m</w:t>
      </w:r>
      <w:r w:rsidRPr="00287F2C">
        <w:rPr>
          <w:rFonts w:ascii="Arial" w:hAnsi="Arial" w:cs="Arial"/>
        </w:rPr>
        <w:t>ientras, que las personas que emigraron hacia Asia el 40.22% están en China, el 16.24% están en Israel, el 15.50% están en Japón; y, hacia África han emigrado 26 personas durante el período mencionado a inicios de este párrafo, de los cuales el 30.77% están en Sudáfrica y el 11.54% están en Nigeria. De los que fueron a Europa el 63.86% están en España y el 13.48% están en Italia; de los que viajaron a estudiar a América del Norte, se tiene que el 86.98% están en Estados Unidos; y, finalmente de los que emigraron para estudiar en otros países de América Latina y el Caribe el 30.82% están en Argentina, el 23.53% en Cuba y el 14.54% en Chile. Cabe resaltar, que el análisis en este párrafo presentado es sobre la población total emigrante por continente de residencia actual.</w:t>
      </w:r>
      <w:bookmarkEnd w:id="861"/>
      <w:bookmarkEnd w:id="862"/>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0E4E74">
        <w:trPr>
          <w:trHeight w:val="2041"/>
          <w:jc w:val="right"/>
        </w:trPr>
        <w:tc>
          <w:tcPr>
            <w:tcW w:w="7497" w:type="dxa"/>
          </w:tcPr>
          <w:p w:rsidR="0006543C" w:rsidRPr="00840530" w:rsidRDefault="0006543C" w:rsidP="0006543C">
            <w:pPr>
              <w:rPr>
                <w:rFonts w:ascii="Arial" w:hAnsi="Arial" w:cs="Arial"/>
                <w:sz w:val="16"/>
                <w:szCs w:val="16"/>
              </w:rPr>
            </w:pPr>
          </w:p>
          <w:p w:rsidR="009249A4" w:rsidRPr="009249A4" w:rsidRDefault="009249A4" w:rsidP="009249A4">
            <w:pPr>
              <w:pStyle w:val="Epgrafe"/>
              <w:rPr>
                <w:rFonts w:ascii="Arial" w:hAnsi="Arial" w:cs="Arial"/>
                <w:bCs w:val="0"/>
                <w:color w:val="auto"/>
                <w:sz w:val="16"/>
                <w:szCs w:val="16"/>
              </w:rPr>
            </w:pPr>
            <w:bookmarkStart w:id="863" w:name="_Toc341044108"/>
            <w:r>
              <w:rPr>
                <w:rFonts w:ascii="Arial" w:hAnsi="Arial" w:cs="Arial"/>
                <w:bCs w:val="0"/>
                <w:color w:val="auto"/>
                <w:sz w:val="16"/>
                <w:szCs w:val="16"/>
              </w:rPr>
              <w:t>Figura 5.</w:t>
            </w:r>
            <w:r w:rsidR="00990535" w:rsidRPr="009249A4">
              <w:rPr>
                <w:rFonts w:ascii="Arial" w:hAnsi="Arial" w:cs="Arial"/>
                <w:bCs w:val="0"/>
                <w:color w:val="auto"/>
                <w:sz w:val="16"/>
                <w:szCs w:val="16"/>
              </w:rPr>
              <w:fldChar w:fldCharType="begin"/>
            </w:r>
            <w:r w:rsidRPr="009249A4">
              <w:rPr>
                <w:rFonts w:ascii="Arial" w:hAnsi="Arial" w:cs="Arial"/>
                <w:bCs w:val="0"/>
                <w:color w:val="auto"/>
                <w:sz w:val="16"/>
                <w:szCs w:val="16"/>
              </w:rPr>
              <w:instrText xml:space="preserve"> SEQ Figura_5. \* ARABIC </w:instrText>
            </w:r>
            <w:r w:rsidR="00990535" w:rsidRPr="009249A4">
              <w:rPr>
                <w:rFonts w:ascii="Arial" w:hAnsi="Arial" w:cs="Arial"/>
                <w:bCs w:val="0"/>
                <w:color w:val="auto"/>
                <w:sz w:val="16"/>
                <w:szCs w:val="16"/>
              </w:rPr>
              <w:fldChar w:fldCharType="separate"/>
            </w:r>
            <w:r w:rsidR="00A242E0">
              <w:rPr>
                <w:rFonts w:ascii="Arial" w:hAnsi="Arial" w:cs="Arial"/>
                <w:bCs w:val="0"/>
                <w:noProof/>
                <w:color w:val="auto"/>
                <w:sz w:val="16"/>
                <w:szCs w:val="16"/>
              </w:rPr>
              <w:t>28</w:t>
            </w:r>
            <w:bookmarkEnd w:id="863"/>
            <w:r w:rsidR="00990535" w:rsidRPr="009249A4">
              <w:rPr>
                <w:rFonts w:ascii="Arial" w:hAnsi="Arial" w:cs="Arial"/>
                <w:bCs w:val="0"/>
                <w:color w:val="auto"/>
                <w:sz w:val="16"/>
                <w:szCs w:val="16"/>
              </w:rPr>
              <w:fldChar w:fldCharType="end"/>
            </w:r>
          </w:p>
          <w:p w:rsidR="000E4E74" w:rsidRPr="00DD02A2" w:rsidRDefault="000E4E74" w:rsidP="000E4E74">
            <w:pPr>
              <w:rPr>
                <w:rFonts w:ascii="Arial" w:hAnsi="Arial" w:cs="Arial"/>
                <w:i/>
                <w:sz w:val="16"/>
                <w:szCs w:val="16"/>
              </w:rPr>
            </w:pPr>
            <w:r w:rsidRPr="00DD02A2">
              <w:rPr>
                <w:rFonts w:ascii="Arial" w:hAnsi="Arial" w:cs="Arial"/>
                <w:b/>
                <w:i/>
                <w:sz w:val="16"/>
                <w:szCs w:val="16"/>
              </w:rPr>
              <w:t xml:space="preserve">Ecuador 2010: </w:t>
            </w:r>
            <w:r w:rsidRPr="00DD02A2">
              <w:rPr>
                <w:rFonts w:ascii="Arial" w:hAnsi="Arial" w:cs="Arial"/>
                <w:i/>
                <w:sz w:val="16"/>
                <w:szCs w:val="16"/>
              </w:rPr>
              <w:t xml:space="preserve">Frecuencia Relativa de País de residencia actual de los emigrantes </w:t>
            </w:r>
          </w:p>
          <w:p w:rsidR="0006543C" w:rsidRDefault="000E4E74" w:rsidP="000E4E74">
            <w:pPr>
              <w:rPr>
                <w:rFonts w:ascii="Arial" w:hAnsi="Arial" w:cs="Arial"/>
                <w:i/>
                <w:sz w:val="16"/>
                <w:szCs w:val="16"/>
              </w:rPr>
            </w:pPr>
            <w:r w:rsidRPr="00DD02A2">
              <w:rPr>
                <w:rFonts w:ascii="Arial" w:hAnsi="Arial" w:cs="Arial"/>
                <w:i/>
                <w:sz w:val="16"/>
                <w:szCs w:val="16"/>
              </w:rPr>
              <w:t xml:space="preserve">que viajaron para </w:t>
            </w:r>
            <w:r>
              <w:rPr>
                <w:rFonts w:ascii="Arial" w:hAnsi="Arial" w:cs="Arial"/>
                <w:b/>
                <w:i/>
                <w:sz w:val="16"/>
                <w:szCs w:val="16"/>
              </w:rPr>
              <w:t>estudiar</w:t>
            </w:r>
          </w:p>
          <w:p w:rsidR="0006543C" w:rsidRDefault="0006543C" w:rsidP="0006543C">
            <w:pPr>
              <w:rPr>
                <w:rFonts w:ascii="Arial" w:hAnsi="Arial" w:cs="Arial"/>
                <w:i/>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760"/>
              <w:gridCol w:w="4539"/>
            </w:tblGrid>
            <w:tr w:rsidR="0006543C" w:rsidTr="0006543C">
              <w:trPr>
                <w:jc w:val="center"/>
              </w:trPr>
              <w:tc>
                <w:tcPr>
                  <w:tcW w:w="2760" w:type="dxa"/>
                </w:tcPr>
                <w:p w:rsidR="0006543C" w:rsidRPr="00C61AEB" w:rsidRDefault="0006543C" w:rsidP="0006543C">
                  <w:pPr>
                    <w:rPr>
                      <w:rFonts w:ascii="Arial" w:hAnsi="Arial" w:cs="Arial"/>
                      <w:b/>
                      <w:sz w:val="16"/>
                      <w:szCs w:val="16"/>
                    </w:rPr>
                  </w:pPr>
                  <w:r>
                    <w:rPr>
                      <w:rFonts w:ascii="Arial" w:hAnsi="Arial" w:cs="Arial"/>
                      <w:b/>
                      <w:sz w:val="16"/>
                      <w:szCs w:val="16"/>
                    </w:rPr>
                    <w:t>Tabla de Frecuencias</w:t>
                  </w:r>
                </w:p>
                <w:p w:rsidR="0006543C" w:rsidRPr="00C61AEB" w:rsidRDefault="0006543C" w:rsidP="0006543C">
                  <w:pPr>
                    <w:rPr>
                      <w:rFonts w:ascii="Arial" w:hAnsi="Arial" w:cs="Arial"/>
                      <w:sz w:val="10"/>
                      <w:szCs w:val="10"/>
                    </w:rPr>
                  </w:pPr>
                </w:p>
                <w:tbl>
                  <w:tblPr>
                    <w:tblW w:w="2566" w:type="dxa"/>
                    <w:jc w:val="center"/>
                    <w:tblCellMar>
                      <w:left w:w="70" w:type="dxa"/>
                      <w:right w:w="70" w:type="dxa"/>
                    </w:tblCellMar>
                    <w:tblLook w:val="04A0" w:firstRow="1" w:lastRow="0" w:firstColumn="1" w:lastColumn="0" w:noHBand="0" w:noVBand="1"/>
                  </w:tblPr>
                  <w:tblGrid>
                    <w:gridCol w:w="1581"/>
                    <w:gridCol w:w="1019"/>
                  </w:tblGrid>
                  <w:tr w:rsidR="0006543C" w:rsidRPr="00C61AEB" w:rsidTr="0006543C">
                    <w:trPr>
                      <w:trHeight w:val="227"/>
                      <w:jc w:val="center"/>
                    </w:trPr>
                    <w:tc>
                      <w:tcPr>
                        <w:tcW w:w="1581" w:type="dxa"/>
                        <w:tcBorders>
                          <w:top w:val="single" w:sz="4" w:space="0" w:color="auto"/>
                          <w:left w:val="nil"/>
                          <w:bottom w:val="single" w:sz="4" w:space="0" w:color="auto"/>
                          <w:right w:val="nil"/>
                        </w:tcBorders>
                        <w:shd w:val="clear" w:color="auto" w:fill="auto"/>
                        <w:vAlign w:val="center"/>
                        <w:hideMark/>
                      </w:tcPr>
                      <w:p w:rsidR="0006543C" w:rsidRPr="00C61AEB" w:rsidRDefault="0006543C" w:rsidP="0006543C">
                        <w:pPr>
                          <w:rPr>
                            <w:rFonts w:ascii="Arial" w:eastAsia="Times New Roman" w:hAnsi="Arial" w:cs="Arial"/>
                            <w:b/>
                            <w:bCs/>
                            <w:color w:val="000000"/>
                            <w:sz w:val="16"/>
                            <w:szCs w:val="16"/>
                            <w:lang w:eastAsia="es-EC"/>
                          </w:rPr>
                        </w:pPr>
                        <w:r w:rsidRPr="00C61AEB">
                          <w:rPr>
                            <w:rFonts w:ascii="Arial" w:eastAsia="Times New Roman" w:hAnsi="Arial" w:cs="Arial"/>
                            <w:b/>
                            <w:bCs/>
                            <w:color w:val="000000"/>
                            <w:sz w:val="16"/>
                            <w:szCs w:val="16"/>
                            <w:lang w:eastAsia="es-EC"/>
                          </w:rPr>
                          <w:t xml:space="preserve">País de residencia </w:t>
                        </w:r>
                        <w:r>
                          <w:rPr>
                            <w:rFonts w:ascii="Arial" w:eastAsia="Times New Roman" w:hAnsi="Arial" w:cs="Arial"/>
                            <w:b/>
                            <w:bCs/>
                            <w:color w:val="000000"/>
                            <w:sz w:val="16"/>
                            <w:szCs w:val="16"/>
                            <w:lang w:eastAsia="es-EC"/>
                          </w:rPr>
                          <w:t>actual</w:t>
                        </w:r>
                      </w:p>
                    </w:tc>
                    <w:tc>
                      <w:tcPr>
                        <w:tcW w:w="985" w:type="dxa"/>
                        <w:tcBorders>
                          <w:top w:val="single" w:sz="4" w:space="0" w:color="auto"/>
                          <w:left w:val="nil"/>
                          <w:bottom w:val="single" w:sz="4" w:space="0" w:color="auto"/>
                          <w:right w:val="nil"/>
                        </w:tcBorders>
                        <w:shd w:val="clear" w:color="auto" w:fill="auto"/>
                        <w:vAlign w:val="center"/>
                        <w:hideMark/>
                      </w:tcPr>
                      <w:p w:rsidR="0006543C" w:rsidRPr="00C61AEB" w:rsidRDefault="0006543C" w:rsidP="0006543C">
                        <w:pPr>
                          <w:rPr>
                            <w:rFonts w:ascii="Arial" w:eastAsia="Times New Roman" w:hAnsi="Arial" w:cs="Arial"/>
                            <w:b/>
                            <w:bCs/>
                            <w:color w:val="000000"/>
                            <w:sz w:val="16"/>
                            <w:szCs w:val="16"/>
                            <w:lang w:eastAsia="es-EC"/>
                          </w:rPr>
                        </w:pPr>
                        <w:r w:rsidRPr="00C61AEB">
                          <w:rPr>
                            <w:rFonts w:ascii="Arial" w:eastAsia="Times New Roman" w:hAnsi="Arial" w:cs="Arial"/>
                            <w:b/>
                            <w:bCs/>
                            <w:color w:val="000000"/>
                            <w:sz w:val="16"/>
                            <w:szCs w:val="16"/>
                            <w:lang w:eastAsia="es-EC"/>
                          </w:rPr>
                          <w:t>Frecuencia Relativa</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España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0.282</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Estados Unidos</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0.265</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Argentina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0.060</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Italia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0.059</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Cuba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0.046</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Chile</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0.028</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Alemania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0.024</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Canadá</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0.021</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México</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0.019</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Francia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0.017</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Colombia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0.017</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Reino Unido</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0.013</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Venezuela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0.013</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Bélgica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0.009</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Brasil</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0.008</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Otros países</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0.072</w:t>
                        </w:r>
                      </w:p>
                    </w:tc>
                  </w:tr>
                  <w:tr w:rsidR="0006543C" w:rsidRPr="00C61AEB" w:rsidTr="000E4E74">
                    <w:trPr>
                      <w:trHeight w:val="198"/>
                      <w:jc w:val="center"/>
                    </w:trPr>
                    <w:tc>
                      <w:tcPr>
                        <w:tcW w:w="1581" w:type="dxa"/>
                        <w:tcBorders>
                          <w:top w:val="nil"/>
                          <w:left w:val="nil"/>
                          <w:bottom w:val="nil"/>
                          <w:right w:val="nil"/>
                        </w:tcBorders>
                        <w:shd w:val="clear" w:color="auto" w:fill="auto"/>
                        <w:noWrap/>
                        <w:vAlign w:val="center"/>
                      </w:tcPr>
                      <w:p w:rsidR="0006543C" w:rsidRDefault="0006543C" w:rsidP="000E4E74">
                        <w:pPr>
                          <w:jc w:val="left"/>
                          <w:rPr>
                            <w:rFonts w:ascii="Arial" w:hAnsi="Arial" w:cs="Arial"/>
                            <w:sz w:val="16"/>
                            <w:szCs w:val="16"/>
                          </w:rPr>
                        </w:pPr>
                        <w:r>
                          <w:rPr>
                            <w:rFonts w:ascii="Arial" w:hAnsi="Arial" w:cs="Arial"/>
                            <w:sz w:val="16"/>
                            <w:szCs w:val="16"/>
                          </w:rPr>
                          <w:t>No especifica</w:t>
                        </w:r>
                      </w:p>
                    </w:tc>
                    <w:tc>
                      <w:tcPr>
                        <w:tcW w:w="985" w:type="dxa"/>
                        <w:tcBorders>
                          <w:top w:val="nil"/>
                          <w:left w:val="nil"/>
                          <w:bottom w:val="nil"/>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0.048</w:t>
                        </w:r>
                      </w:p>
                    </w:tc>
                  </w:tr>
                  <w:tr w:rsidR="0006543C" w:rsidRPr="00C61AEB" w:rsidTr="000E4E74">
                    <w:trPr>
                      <w:trHeight w:val="198"/>
                      <w:jc w:val="center"/>
                    </w:trPr>
                    <w:tc>
                      <w:tcPr>
                        <w:tcW w:w="1581" w:type="dxa"/>
                        <w:tcBorders>
                          <w:top w:val="nil"/>
                          <w:left w:val="nil"/>
                          <w:bottom w:val="single" w:sz="4" w:space="0" w:color="auto"/>
                          <w:right w:val="nil"/>
                        </w:tcBorders>
                        <w:shd w:val="clear" w:color="auto" w:fill="auto"/>
                        <w:noWrap/>
                        <w:vAlign w:val="center"/>
                        <w:hideMark/>
                      </w:tcPr>
                      <w:p w:rsidR="0006543C" w:rsidRPr="00C61AEB" w:rsidRDefault="0006543C" w:rsidP="000E4E74">
                        <w:pPr>
                          <w:jc w:val="left"/>
                          <w:rPr>
                            <w:rFonts w:ascii="Arial" w:eastAsia="Times New Roman" w:hAnsi="Arial" w:cs="Arial"/>
                            <w:b/>
                            <w:bCs/>
                            <w:i/>
                            <w:iCs/>
                            <w:color w:val="000000"/>
                            <w:sz w:val="16"/>
                            <w:szCs w:val="16"/>
                            <w:lang w:eastAsia="es-EC"/>
                          </w:rPr>
                        </w:pPr>
                        <w:r w:rsidRPr="00C61AEB">
                          <w:rPr>
                            <w:rFonts w:ascii="Arial" w:eastAsia="Times New Roman" w:hAnsi="Arial" w:cs="Arial"/>
                            <w:b/>
                            <w:bCs/>
                            <w:i/>
                            <w:iCs/>
                            <w:color w:val="000000"/>
                            <w:sz w:val="16"/>
                            <w:szCs w:val="16"/>
                            <w:lang w:eastAsia="es-EC"/>
                          </w:rPr>
                          <w:t>Total</w:t>
                        </w:r>
                      </w:p>
                    </w:tc>
                    <w:tc>
                      <w:tcPr>
                        <w:tcW w:w="985" w:type="dxa"/>
                        <w:tcBorders>
                          <w:top w:val="nil"/>
                          <w:left w:val="nil"/>
                          <w:bottom w:val="single" w:sz="4" w:space="0" w:color="auto"/>
                          <w:right w:val="nil"/>
                        </w:tcBorders>
                        <w:shd w:val="clear" w:color="auto" w:fill="auto"/>
                        <w:noWrap/>
                        <w:vAlign w:val="center"/>
                        <w:hideMark/>
                      </w:tcPr>
                      <w:p w:rsidR="0006543C" w:rsidRPr="00C61AEB" w:rsidRDefault="0006543C" w:rsidP="0006543C">
                        <w:pPr>
                          <w:rPr>
                            <w:rFonts w:ascii="Arial" w:eastAsia="Times New Roman" w:hAnsi="Arial" w:cs="Arial"/>
                            <w:b/>
                            <w:bCs/>
                            <w:i/>
                            <w:iCs/>
                            <w:color w:val="000000"/>
                            <w:sz w:val="16"/>
                            <w:szCs w:val="16"/>
                            <w:lang w:eastAsia="es-EC"/>
                          </w:rPr>
                        </w:pPr>
                        <w:r w:rsidRPr="00C61AEB">
                          <w:rPr>
                            <w:rFonts w:ascii="Arial" w:eastAsia="Times New Roman" w:hAnsi="Arial" w:cs="Arial"/>
                            <w:b/>
                            <w:bCs/>
                            <w:i/>
                            <w:iCs/>
                            <w:color w:val="000000"/>
                            <w:sz w:val="16"/>
                            <w:szCs w:val="16"/>
                            <w:lang w:eastAsia="es-EC"/>
                          </w:rPr>
                          <w:t>1.000</w:t>
                        </w:r>
                      </w:p>
                    </w:tc>
                  </w:tr>
                </w:tbl>
                <w:p w:rsidR="0006543C" w:rsidRDefault="0006543C" w:rsidP="0006543C">
                  <w:pPr>
                    <w:rPr>
                      <w:rFonts w:ascii="Arial" w:hAnsi="Arial" w:cs="Arial"/>
                      <w:sz w:val="24"/>
                      <w:szCs w:val="24"/>
                    </w:rPr>
                  </w:pPr>
                </w:p>
              </w:tc>
              <w:tc>
                <w:tcPr>
                  <w:tcW w:w="4427" w:type="dxa"/>
                </w:tcPr>
                <w:p w:rsidR="0006543C" w:rsidRPr="00C61AEB" w:rsidRDefault="0006543C" w:rsidP="0006543C">
                  <w:pPr>
                    <w:rPr>
                      <w:rFonts w:ascii="Arial" w:hAnsi="Arial" w:cs="Arial"/>
                      <w:b/>
                      <w:noProof/>
                      <w:sz w:val="16"/>
                      <w:szCs w:val="16"/>
                      <w:lang w:eastAsia="es-EC"/>
                    </w:rPr>
                  </w:pPr>
                  <w:r>
                    <w:rPr>
                      <w:rFonts w:ascii="Arial" w:hAnsi="Arial" w:cs="Arial"/>
                      <w:b/>
                      <w:noProof/>
                      <w:sz w:val="16"/>
                      <w:szCs w:val="16"/>
                      <w:lang w:eastAsia="es-EC"/>
                    </w:rPr>
                    <w:t>Histograma de Frecuencias</w:t>
                  </w:r>
                </w:p>
                <w:p w:rsidR="0006543C" w:rsidRDefault="0006543C" w:rsidP="0006543C">
                  <w:pPr>
                    <w:rPr>
                      <w:rFonts w:ascii="Arial" w:hAnsi="Arial" w:cs="Arial"/>
                      <w:sz w:val="24"/>
                      <w:szCs w:val="24"/>
                    </w:rPr>
                  </w:pPr>
                  <w:r>
                    <w:rPr>
                      <w:noProof/>
                      <w:lang w:eastAsia="es-EC"/>
                    </w:rPr>
                    <w:drawing>
                      <wp:inline distT="0" distB="0" distL="0" distR="0" wp14:anchorId="5AAF2DD2" wp14:editId="0D7DC5E2">
                        <wp:extent cx="2771775" cy="2762250"/>
                        <wp:effectExtent l="0" t="0" r="0" b="0"/>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tc>
            </w:tr>
          </w:tbl>
          <w:p w:rsidR="0006543C" w:rsidRPr="00840530" w:rsidRDefault="0006543C" w:rsidP="0006543C">
            <w:pPr>
              <w:rPr>
                <w:rFonts w:ascii="Arial" w:hAnsi="Arial" w:cs="Arial"/>
                <w:sz w:val="24"/>
                <w:szCs w:val="24"/>
              </w:rPr>
            </w:pPr>
          </w:p>
        </w:tc>
      </w:tr>
    </w:tbl>
    <w:p w:rsidR="0006543C" w:rsidRPr="000E4E74" w:rsidRDefault="0006543C" w:rsidP="000E4E74">
      <w:pPr>
        <w:pStyle w:val="Prrafodelista"/>
        <w:spacing w:line="276" w:lineRule="auto"/>
        <w:ind w:left="851"/>
        <w:jc w:val="both"/>
        <w:rPr>
          <w:rFonts w:ascii="Arial" w:hAnsi="Arial" w:cs="Arial"/>
          <w:sz w:val="17"/>
          <w:szCs w:val="17"/>
        </w:rPr>
      </w:pPr>
    </w:p>
    <w:p w:rsidR="0006543C" w:rsidRPr="000E4E74" w:rsidRDefault="0006543C" w:rsidP="000E4E74">
      <w:pPr>
        <w:pStyle w:val="Prrafodelista"/>
        <w:spacing w:line="276" w:lineRule="auto"/>
        <w:ind w:left="851"/>
        <w:jc w:val="both"/>
        <w:rPr>
          <w:rFonts w:ascii="Arial" w:hAnsi="Arial" w:cs="Arial"/>
          <w:sz w:val="17"/>
          <w:szCs w:val="17"/>
        </w:rPr>
      </w:pPr>
      <w:r w:rsidRPr="000E4E74">
        <w:rPr>
          <w:rFonts w:ascii="Arial" w:hAnsi="Arial" w:cs="Arial"/>
          <w:b/>
          <w:i/>
          <w:sz w:val="17"/>
          <w:szCs w:val="17"/>
        </w:rPr>
        <w:t>Fuente:</w:t>
      </w:r>
      <w:r w:rsidRPr="000E4E74">
        <w:rPr>
          <w:rFonts w:ascii="Arial" w:hAnsi="Arial" w:cs="Arial"/>
          <w:sz w:val="17"/>
          <w:szCs w:val="17"/>
        </w:rPr>
        <w:t xml:space="preserve"> </w:t>
      </w:r>
      <w:r w:rsidRPr="000E4E74">
        <w:rPr>
          <w:rFonts w:ascii="Arial" w:hAnsi="Arial" w:cs="Arial"/>
          <w:b/>
          <w:sz w:val="17"/>
          <w:szCs w:val="17"/>
        </w:rPr>
        <w:t xml:space="preserve">INEC </w:t>
      </w:r>
      <w:r w:rsidRPr="000E4E74">
        <w:rPr>
          <w:rFonts w:ascii="Arial" w:hAnsi="Arial" w:cs="Arial"/>
          <w:sz w:val="17"/>
          <w:szCs w:val="17"/>
        </w:rPr>
        <w:t>(2010), Base de Datos del VII Censo de Población y VI de Vivienda.</w:t>
      </w:r>
    </w:p>
    <w:p w:rsidR="0006543C" w:rsidRPr="000E4E74" w:rsidRDefault="0006543C" w:rsidP="000E4E74">
      <w:pPr>
        <w:pStyle w:val="Prrafodelista"/>
        <w:spacing w:line="276" w:lineRule="auto"/>
        <w:ind w:left="851"/>
        <w:jc w:val="both"/>
        <w:rPr>
          <w:rFonts w:ascii="Arial" w:hAnsi="Arial" w:cs="Arial"/>
          <w:sz w:val="17"/>
          <w:szCs w:val="17"/>
        </w:rPr>
      </w:pPr>
      <w:r w:rsidRPr="000E4E74">
        <w:rPr>
          <w:rFonts w:ascii="Arial" w:hAnsi="Arial" w:cs="Arial"/>
          <w:b/>
          <w:i/>
          <w:sz w:val="17"/>
          <w:szCs w:val="17"/>
        </w:rPr>
        <w:t>Elaborado por:</w:t>
      </w:r>
      <w:r w:rsidRPr="000E4E74">
        <w:rPr>
          <w:rFonts w:ascii="Arial" w:hAnsi="Arial" w:cs="Arial"/>
          <w:sz w:val="17"/>
          <w:szCs w:val="17"/>
        </w:rPr>
        <w:t xml:space="preserve"> Katherine Loor Valeriano</w:t>
      </w:r>
    </w:p>
    <w:p w:rsidR="000E4E74" w:rsidRPr="000E4E74" w:rsidRDefault="000E4E74" w:rsidP="000E4E74">
      <w:pPr>
        <w:spacing w:line="480" w:lineRule="auto"/>
        <w:ind w:left="851"/>
        <w:jc w:val="both"/>
        <w:rPr>
          <w:rFonts w:ascii="Arial" w:hAnsi="Arial" w:cs="Arial"/>
          <w:i/>
        </w:rPr>
      </w:pPr>
      <w:bookmarkStart w:id="864" w:name="_Toc339853152"/>
      <w:bookmarkStart w:id="865" w:name="_Toc340231922"/>
      <w:r w:rsidRPr="000E4E74">
        <w:rPr>
          <w:rFonts w:ascii="Arial" w:hAnsi="Arial" w:cs="Arial"/>
        </w:rPr>
        <w:t>También, tenemos que de la población total de emigrantes que salieron del Ecuador para estudiar el 28.17% fueron a España, una cantidad cercana de personas fueron a estudiar a Estados Unidos, el país de América Latina que mayor cantidad de emigrantes ha receptado para estudiar es Argentina, en Italia está el 5.94% de los emigrantes que salieron para estudiar; y, en Cuba está el 4.55% de las personas que salieron del país.</w:t>
      </w:r>
      <w:r w:rsidRPr="000E4E74">
        <w:rPr>
          <w:rFonts w:ascii="Arial" w:hAnsi="Arial" w:cs="Arial"/>
          <w:i/>
        </w:rPr>
        <w:t xml:space="preserve"> Véase Figura 5.28.</w:t>
      </w:r>
      <w:bookmarkEnd w:id="864"/>
      <w:bookmarkEnd w:id="865"/>
    </w:p>
    <w:p w:rsidR="000E4E74" w:rsidRPr="000E4E74" w:rsidRDefault="000E4E74" w:rsidP="000E4E74">
      <w:pPr>
        <w:spacing w:line="480" w:lineRule="auto"/>
        <w:ind w:left="851"/>
        <w:jc w:val="both"/>
        <w:rPr>
          <w:rFonts w:ascii="Arial" w:hAnsi="Arial" w:cs="Arial"/>
        </w:rPr>
      </w:pPr>
    </w:p>
    <w:p w:rsidR="0006543C" w:rsidRDefault="00241427" w:rsidP="00241427">
      <w:pPr>
        <w:pStyle w:val="52"/>
        <w:ind w:left="851"/>
      </w:pPr>
      <w:bookmarkStart w:id="866" w:name="_Toc341040745"/>
      <w:r>
        <w:t>Índice de Feminidad de los emigrantes que salieron para estudiar</w:t>
      </w:r>
      <w:bookmarkEnd w:id="866"/>
      <w:r w:rsidR="0006543C">
        <w:t xml:space="preserve"> </w:t>
      </w:r>
    </w:p>
    <w:p w:rsidR="0006543C" w:rsidRPr="00287F2C" w:rsidRDefault="0006543C" w:rsidP="00287F2C">
      <w:pPr>
        <w:spacing w:line="480" w:lineRule="auto"/>
        <w:ind w:left="851"/>
        <w:jc w:val="both"/>
        <w:rPr>
          <w:rFonts w:ascii="Arial" w:hAnsi="Arial" w:cs="Arial"/>
        </w:rPr>
      </w:pPr>
      <w:bookmarkStart w:id="867" w:name="_Toc339853154"/>
      <w:bookmarkStart w:id="868" w:name="_Toc340231924"/>
      <w:r w:rsidRPr="00287F2C">
        <w:rPr>
          <w:rFonts w:ascii="Arial" w:hAnsi="Arial" w:cs="Arial"/>
        </w:rPr>
        <w:t xml:space="preserve">En lo referente a la edad de los emigrantes que fueron al exterior a estudiar, se tiene que el 51.36% de ellos son hombres y el 48.64% son mujeres, teniéndose que emigran 94.72 mujeres por cada 100 hombres que también emigran para estudiar. En la </w:t>
      </w:r>
      <w:r w:rsidRPr="00287F2C">
        <w:rPr>
          <w:rFonts w:ascii="Arial" w:hAnsi="Arial" w:cs="Arial"/>
          <w:i/>
        </w:rPr>
        <w:t>Figura 5.29</w:t>
      </w:r>
      <w:r w:rsidRPr="00287F2C">
        <w:rPr>
          <w:rFonts w:ascii="Arial" w:hAnsi="Arial" w:cs="Arial"/>
        </w:rPr>
        <w:t>, se muestra el índice de feminidad de los emigrantes por país de residencia actual, en donde podemos observar que en la mayoría de los países hay mayor cantidad de hombres que de mujeres, aunque en España, Italia, Cuba, Canadá, Suiza y otros países este índice toma valores superiores a 100 lo cual indica que hacia estos países han emigrado mayor cantidad de mujeres que de hombres.</w:t>
      </w:r>
      <w:bookmarkEnd w:id="867"/>
      <w:bookmarkEnd w:id="868"/>
      <w:r w:rsidRPr="00287F2C">
        <w:rPr>
          <w:rFonts w:ascii="Arial" w:hAnsi="Arial" w:cs="Arial"/>
        </w:rPr>
        <w:t xml:space="preserve"> </w:t>
      </w:r>
      <w:bookmarkStart w:id="869" w:name="_Toc339853155"/>
      <w:bookmarkStart w:id="870" w:name="_Toc340231925"/>
      <w:r w:rsidRPr="00287F2C">
        <w:rPr>
          <w:rFonts w:ascii="Arial" w:hAnsi="Arial" w:cs="Arial"/>
        </w:rPr>
        <w:t xml:space="preserve">Además, tenemos que para el caso particular de las personas que emigraron hacia España fueron 106.48 mujeres por cada 100 hombres; de los que fueron a Estados Unidos por el contrario fueron mayor cantidad de hombres 105.73 hombres por cada 100 mujeres, hacia Argentina también emigraron menor número de mujeres pues viajaron hacia este país 82.58 mujeres por cada 100 hombres que fueron al mismo país para estudiar; mientras que, quienes viajaron hacia Italia fueron mayoritariamente mujeres 106.81 mujeres por cada 100 hombres; y, de los que emigraron hacia Suiza habían 133.33 mujeres por cada 100 hombres. </w:t>
      </w:r>
      <w:r w:rsidRPr="00287F2C">
        <w:rPr>
          <w:rFonts w:ascii="Arial" w:hAnsi="Arial" w:cs="Arial"/>
          <w:i/>
        </w:rPr>
        <w:t>Véase Figura 5.29</w:t>
      </w:r>
      <w:r w:rsidRPr="00287F2C">
        <w:rPr>
          <w:rFonts w:ascii="Arial" w:hAnsi="Arial" w:cs="Arial"/>
        </w:rPr>
        <w:t>.</w:t>
      </w:r>
      <w:bookmarkEnd w:id="869"/>
      <w:bookmarkEnd w:id="870"/>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F01C76">
        <w:trPr>
          <w:trHeight w:val="2041"/>
          <w:jc w:val="right"/>
        </w:trPr>
        <w:tc>
          <w:tcPr>
            <w:tcW w:w="7497" w:type="dxa"/>
          </w:tcPr>
          <w:p w:rsidR="0006543C" w:rsidRPr="00840530" w:rsidRDefault="0006543C" w:rsidP="0006543C">
            <w:pPr>
              <w:rPr>
                <w:rFonts w:ascii="Arial" w:hAnsi="Arial" w:cs="Arial"/>
                <w:sz w:val="16"/>
                <w:szCs w:val="16"/>
              </w:rPr>
            </w:pPr>
          </w:p>
          <w:p w:rsidR="009249A4" w:rsidRPr="009249A4" w:rsidRDefault="009249A4" w:rsidP="009249A4">
            <w:pPr>
              <w:pStyle w:val="Epgrafe"/>
              <w:rPr>
                <w:rFonts w:ascii="Arial" w:hAnsi="Arial" w:cs="Arial"/>
                <w:bCs w:val="0"/>
                <w:color w:val="auto"/>
                <w:sz w:val="16"/>
                <w:szCs w:val="16"/>
              </w:rPr>
            </w:pPr>
            <w:bookmarkStart w:id="871" w:name="_Toc341044109"/>
            <w:r>
              <w:rPr>
                <w:rFonts w:ascii="Arial" w:hAnsi="Arial" w:cs="Arial"/>
                <w:bCs w:val="0"/>
                <w:color w:val="auto"/>
                <w:sz w:val="16"/>
                <w:szCs w:val="16"/>
              </w:rPr>
              <w:t>Figura 5.</w:t>
            </w:r>
            <w:r w:rsidR="00990535" w:rsidRPr="009249A4">
              <w:rPr>
                <w:rFonts w:ascii="Arial" w:hAnsi="Arial" w:cs="Arial"/>
                <w:bCs w:val="0"/>
                <w:color w:val="auto"/>
                <w:sz w:val="16"/>
                <w:szCs w:val="16"/>
              </w:rPr>
              <w:fldChar w:fldCharType="begin"/>
            </w:r>
            <w:r w:rsidRPr="009249A4">
              <w:rPr>
                <w:rFonts w:ascii="Arial" w:hAnsi="Arial" w:cs="Arial"/>
                <w:bCs w:val="0"/>
                <w:color w:val="auto"/>
                <w:sz w:val="16"/>
                <w:szCs w:val="16"/>
              </w:rPr>
              <w:instrText xml:space="preserve"> SEQ Figura_5. \* ARABIC </w:instrText>
            </w:r>
            <w:r w:rsidR="00990535" w:rsidRPr="009249A4">
              <w:rPr>
                <w:rFonts w:ascii="Arial" w:hAnsi="Arial" w:cs="Arial"/>
                <w:bCs w:val="0"/>
                <w:color w:val="auto"/>
                <w:sz w:val="16"/>
                <w:szCs w:val="16"/>
              </w:rPr>
              <w:fldChar w:fldCharType="separate"/>
            </w:r>
            <w:r w:rsidR="00A242E0">
              <w:rPr>
                <w:rFonts w:ascii="Arial" w:hAnsi="Arial" w:cs="Arial"/>
                <w:bCs w:val="0"/>
                <w:noProof/>
                <w:color w:val="auto"/>
                <w:sz w:val="16"/>
                <w:szCs w:val="16"/>
              </w:rPr>
              <w:t>29</w:t>
            </w:r>
            <w:bookmarkEnd w:id="871"/>
            <w:r w:rsidR="00990535" w:rsidRPr="009249A4">
              <w:rPr>
                <w:rFonts w:ascii="Arial" w:hAnsi="Arial" w:cs="Arial"/>
                <w:bCs w:val="0"/>
                <w:color w:val="auto"/>
                <w:sz w:val="16"/>
                <w:szCs w:val="16"/>
              </w:rPr>
              <w:fldChar w:fldCharType="end"/>
            </w:r>
          </w:p>
          <w:p w:rsidR="00241427" w:rsidRPr="00DD02A2" w:rsidRDefault="00241427" w:rsidP="00241427">
            <w:pPr>
              <w:rPr>
                <w:rFonts w:ascii="Arial" w:hAnsi="Arial" w:cs="Arial"/>
                <w:b/>
                <w:i/>
                <w:sz w:val="16"/>
                <w:szCs w:val="16"/>
              </w:rPr>
            </w:pPr>
            <w:r w:rsidRPr="00DD02A2">
              <w:rPr>
                <w:rFonts w:ascii="Arial" w:hAnsi="Arial" w:cs="Arial"/>
                <w:b/>
                <w:i/>
                <w:sz w:val="16"/>
                <w:szCs w:val="16"/>
              </w:rPr>
              <w:t xml:space="preserve">Ecuador 2010: </w:t>
            </w:r>
            <w:r w:rsidRPr="00DD02A2">
              <w:rPr>
                <w:rFonts w:ascii="Arial" w:hAnsi="Arial" w:cs="Arial"/>
                <w:i/>
                <w:sz w:val="16"/>
                <w:szCs w:val="16"/>
              </w:rPr>
              <w:t xml:space="preserve">Índice de Feminidad de los emigrantes que viajaron para </w:t>
            </w:r>
            <w:r>
              <w:rPr>
                <w:rFonts w:ascii="Arial" w:hAnsi="Arial" w:cs="Arial"/>
                <w:b/>
                <w:i/>
                <w:sz w:val="16"/>
                <w:szCs w:val="16"/>
              </w:rPr>
              <w:t>estudiar</w:t>
            </w:r>
          </w:p>
          <w:p w:rsidR="0006543C" w:rsidRDefault="00241427" w:rsidP="00241427">
            <w:pPr>
              <w:rPr>
                <w:rFonts w:ascii="Arial" w:hAnsi="Arial" w:cs="Arial"/>
                <w:sz w:val="18"/>
                <w:szCs w:val="18"/>
              </w:rPr>
            </w:pPr>
            <w:r w:rsidRPr="00DD02A2">
              <w:rPr>
                <w:rFonts w:ascii="Arial" w:hAnsi="Arial" w:cs="Arial"/>
                <w:i/>
                <w:sz w:val="16"/>
                <w:szCs w:val="16"/>
              </w:rPr>
              <w:t xml:space="preserve"> por País de residencia actual</w:t>
            </w:r>
          </w:p>
          <w:p w:rsidR="0006543C" w:rsidRPr="00287B5F" w:rsidRDefault="0006543C" w:rsidP="0006543C">
            <w:pPr>
              <w:rPr>
                <w:rFonts w:ascii="Arial" w:hAnsi="Arial" w:cs="Arial"/>
                <w:sz w:val="10"/>
                <w:szCs w:val="10"/>
              </w:rPr>
            </w:pPr>
          </w:p>
          <w:p w:rsidR="0006543C" w:rsidRPr="00840530" w:rsidRDefault="00F01C76" w:rsidP="0006543C">
            <w:pPr>
              <w:rPr>
                <w:rFonts w:ascii="Arial" w:hAnsi="Arial" w:cs="Arial"/>
                <w:sz w:val="24"/>
                <w:szCs w:val="24"/>
              </w:rPr>
            </w:pPr>
            <w:r>
              <w:rPr>
                <w:noProof/>
                <w:lang w:eastAsia="es-EC"/>
              </w:rPr>
              <w:drawing>
                <wp:inline distT="0" distB="0" distL="0" distR="0" wp14:anchorId="72847940" wp14:editId="5F2C7081">
                  <wp:extent cx="4467225" cy="1962150"/>
                  <wp:effectExtent l="0" t="0" r="0" b="0"/>
                  <wp:docPr id="291" name="Gráfico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tc>
      </w:tr>
    </w:tbl>
    <w:p w:rsidR="0006543C" w:rsidRPr="00F01C76" w:rsidRDefault="0006543C" w:rsidP="00F01C76">
      <w:pPr>
        <w:pStyle w:val="Prrafodelista"/>
        <w:spacing w:line="276" w:lineRule="auto"/>
        <w:ind w:left="851"/>
        <w:jc w:val="both"/>
        <w:rPr>
          <w:rFonts w:ascii="Arial" w:hAnsi="Arial" w:cs="Arial"/>
          <w:sz w:val="17"/>
          <w:szCs w:val="17"/>
        </w:rPr>
      </w:pPr>
    </w:p>
    <w:p w:rsidR="0006543C" w:rsidRPr="00F01C76" w:rsidRDefault="0006543C" w:rsidP="00F01C76">
      <w:pPr>
        <w:pStyle w:val="Prrafodelista"/>
        <w:spacing w:line="276" w:lineRule="auto"/>
        <w:ind w:left="851"/>
        <w:jc w:val="both"/>
        <w:rPr>
          <w:rFonts w:ascii="Arial" w:hAnsi="Arial" w:cs="Arial"/>
          <w:sz w:val="17"/>
          <w:szCs w:val="17"/>
        </w:rPr>
      </w:pPr>
      <w:r w:rsidRPr="00F01C76">
        <w:rPr>
          <w:rFonts w:ascii="Arial" w:hAnsi="Arial" w:cs="Arial"/>
          <w:b/>
          <w:i/>
          <w:sz w:val="17"/>
          <w:szCs w:val="17"/>
        </w:rPr>
        <w:t>Fuente:</w:t>
      </w:r>
      <w:r w:rsidRPr="00F01C76">
        <w:rPr>
          <w:rFonts w:ascii="Arial" w:hAnsi="Arial" w:cs="Arial"/>
          <w:sz w:val="17"/>
          <w:szCs w:val="17"/>
        </w:rPr>
        <w:t xml:space="preserve"> </w:t>
      </w:r>
      <w:r w:rsidRPr="00F01C76">
        <w:rPr>
          <w:rFonts w:ascii="Arial" w:hAnsi="Arial" w:cs="Arial"/>
          <w:b/>
          <w:sz w:val="17"/>
          <w:szCs w:val="17"/>
        </w:rPr>
        <w:t xml:space="preserve">INEC </w:t>
      </w:r>
      <w:r w:rsidRPr="00F01C76">
        <w:rPr>
          <w:rFonts w:ascii="Arial" w:hAnsi="Arial" w:cs="Arial"/>
          <w:sz w:val="17"/>
          <w:szCs w:val="17"/>
        </w:rPr>
        <w:t>(2010), Base de Datos del VII Censo de Población y VI de Vivienda.</w:t>
      </w:r>
    </w:p>
    <w:p w:rsidR="0006543C" w:rsidRPr="00F01C76" w:rsidRDefault="0006543C" w:rsidP="00F01C76">
      <w:pPr>
        <w:pStyle w:val="Prrafodelista"/>
        <w:spacing w:line="276" w:lineRule="auto"/>
        <w:ind w:left="851"/>
        <w:jc w:val="both"/>
        <w:rPr>
          <w:rFonts w:ascii="Arial" w:hAnsi="Arial" w:cs="Arial"/>
          <w:sz w:val="17"/>
          <w:szCs w:val="17"/>
        </w:rPr>
      </w:pPr>
      <w:r w:rsidRPr="00F01C76">
        <w:rPr>
          <w:rFonts w:ascii="Arial" w:hAnsi="Arial" w:cs="Arial"/>
          <w:b/>
          <w:i/>
          <w:sz w:val="17"/>
          <w:szCs w:val="17"/>
        </w:rPr>
        <w:t>Elaborado por:</w:t>
      </w:r>
      <w:r w:rsidRPr="00F01C76">
        <w:rPr>
          <w:rFonts w:ascii="Arial" w:hAnsi="Arial" w:cs="Arial"/>
          <w:sz w:val="17"/>
          <w:szCs w:val="17"/>
        </w:rPr>
        <w:t xml:space="preserve"> Katherine Loor Valeriano</w:t>
      </w:r>
    </w:p>
    <w:p w:rsidR="0006543C" w:rsidRDefault="0006543C" w:rsidP="00F01C76">
      <w:pPr>
        <w:spacing w:line="480" w:lineRule="auto"/>
        <w:ind w:left="851"/>
        <w:jc w:val="both"/>
        <w:rPr>
          <w:rFonts w:ascii="Arial" w:hAnsi="Arial" w:cs="Arial"/>
        </w:rPr>
      </w:pPr>
    </w:p>
    <w:p w:rsidR="0006543C" w:rsidRDefault="00F01C76" w:rsidP="00F01C76">
      <w:pPr>
        <w:pStyle w:val="52"/>
        <w:ind w:left="851"/>
      </w:pPr>
      <w:bookmarkStart w:id="872" w:name="_Toc341040746"/>
      <w:r>
        <w:t>Distribución Género y Edad al salir del país de los emigrantes que viajaron para estudiar</w:t>
      </w:r>
      <w:bookmarkEnd w:id="872"/>
    </w:p>
    <w:p w:rsidR="0006543C" w:rsidRPr="00287F2C" w:rsidRDefault="0006543C" w:rsidP="00287F2C">
      <w:pPr>
        <w:spacing w:line="480" w:lineRule="auto"/>
        <w:ind w:left="851"/>
        <w:jc w:val="both"/>
        <w:rPr>
          <w:rFonts w:ascii="Arial" w:hAnsi="Arial" w:cs="Arial"/>
        </w:rPr>
      </w:pPr>
      <w:bookmarkStart w:id="873" w:name="_Toc339853157"/>
      <w:bookmarkStart w:id="874" w:name="_Toc340231927"/>
      <w:r w:rsidRPr="00287F2C">
        <w:rPr>
          <w:rFonts w:ascii="Arial" w:hAnsi="Arial" w:cs="Arial"/>
        </w:rPr>
        <w:t xml:space="preserve">La edad promedio al salir del país de los emigrantes que fueron a estudiar al exterior es 20.780 ± 0.045 años, si recordamos los promedios de edad de las personas que salieron del país para trabajar o para reunirse con sus familiares que eran 21.637 y 30.517 años respectivamente podríamos notar que quienes van a estudiar son una población más joven que las dos analizadas en secciones anteriores. Además, la edad de mayor frecuencia o moda es 18 años, la edad mínima y máxima son 5 y 64 años respectivamente, el 25% de los emigrantes son menores de 16 años y el 50% del total de emigrantes son menores de 19 años. </w:t>
      </w:r>
      <w:r w:rsidRPr="00287F2C">
        <w:rPr>
          <w:rFonts w:ascii="Arial" w:hAnsi="Arial" w:cs="Arial"/>
          <w:i/>
        </w:rPr>
        <w:t>Véase Tabla 5.4</w:t>
      </w:r>
      <w:r w:rsidRPr="00287F2C">
        <w:rPr>
          <w:rFonts w:ascii="Arial" w:hAnsi="Arial" w:cs="Arial"/>
        </w:rPr>
        <w:t>.</w:t>
      </w:r>
      <w:bookmarkEnd w:id="873"/>
      <w:bookmarkEnd w:id="874"/>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F01C76">
        <w:trPr>
          <w:trHeight w:val="1814"/>
          <w:jc w:val="right"/>
        </w:trPr>
        <w:tc>
          <w:tcPr>
            <w:tcW w:w="7497" w:type="dxa"/>
          </w:tcPr>
          <w:p w:rsidR="0006543C" w:rsidRPr="00840530" w:rsidRDefault="0006543C" w:rsidP="0006543C">
            <w:pPr>
              <w:rPr>
                <w:rFonts w:ascii="Arial" w:hAnsi="Arial" w:cs="Arial"/>
                <w:sz w:val="16"/>
                <w:szCs w:val="16"/>
              </w:rPr>
            </w:pPr>
          </w:p>
          <w:p w:rsidR="009249A4" w:rsidRPr="009249A4" w:rsidRDefault="009249A4" w:rsidP="009249A4">
            <w:pPr>
              <w:pStyle w:val="Epgrafe"/>
              <w:rPr>
                <w:rFonts w:ascii="Arial" w:hAnsi="Arial" w:cs="Arial"/>
                <w:bCs w:val="0"/>
                <w:color w:val="auto"/>
                <w:sz w:val="16"/>
                <w:szCs w:val="16"/>
              </w:rPr>
            </w:pPr>
            <w:bookmarkStart w:id="875" w:name="_Toc341042150"/>
            <w:r w:rsidRPr="009249A4">
              <w:rPr>
                <w:rFonts w:ascii="Arial" w:hAnsi="Arial" w:cs="Arial"/>
                <w:bCs w:val="0"/>
                <w:color w:val="auto"/>
                <w:sz w:val="16"/>
                <w:szCs w:val="16"/>
              </w:rPr>
              <w:t>Tabla 5.</w:t>
            </w:r>
            <w:r w:rsidR="00990535" w:rsidRPr="009249A4">
              <w:rPr>
                <w:rFonts w:ascii="Arial" w:hAnsi="Arial" w:cs="Arial"/>
                <w:bCs w:val="0"/>
                <w:color w:val="auto"/>
                <w:sz w:val="16"/>
                <w:szCs w:val="16"/>
              </w:rPr>
              <w:fldChar w:fldCharType="begin"/>
            </w:r>
            <w:r w:rsidRPr="009249A4">
              <w:rPr>
                <w:rFonts w:ascii="Arial" w:hAnsi="Arial" w:cs="Arial"/>
                <w:bCs w:val="0"/>
                <w:color w:val="auto"/>
                <w:sz w:val="16"/>
                <w:szCs w:val="16"/>
              </w:rPr>
              <w:instrText xml:space="preserve"> SEQ Tabla_5. \* ARABIC </w:instrText>
            </w:r>
            <w:r w:rsidR="00990535" w:rsidRPr="009249A4">
              <w:rPr>
                <w:rFonts w:ascii="Arial" w:hAnsi="Arial" w:cs="Arial"/>
                <w:bCs w:val="0"/>
                <w:color w:val="auto"/>
                <w:sz w:val="16"/>
                <w:szCs w:val="16"/>
              </w:rPr>
              <w:fldChar w:fldCharType="separate"/>
            </w:r>
            <w:r w:rsidR="00A242E0">
              <w:rPr>
                <w:rFonts w:ascii="Arial" w:hAnsi="Arial" w:cs="Arial"/>
                <w:bCs w:val="0"/>
                <w:noProof/>
                <w:color w:val="auto"/>
                <w:sz w:val="16"/>
                <w:szCs w:val="16"/>
              </w:rPr>
              <w:t>4</w:t>
            </w:r>
            <w:bookmarkEnd w:id="875"/>
            <w:r w:rsidR="00990535" w:rsidRPr="009249A4">
              <w:rPr>
                <w:rFonts w:ascii="Arial" w:hAnsi="Arial" w:cs="Arial"/>
                <w:bCs w:val="0"/>
                <w:color w:val="auto"/>
                <w:sz w:val="16"/>
                <w:szCs w:val="16"/>
              </w:rPr>
              <w:fldChar w:fldCharType="end"/>
            </w:r>
          </w:p>
          <w:p w:rsidR="00F01C76" w:rsidRPr="00DD02A2" w:rsidRDefault="00F01C76" w:rsidP="00F01C76">
            <w:pPr>
              <w:rPr>
                <w:rFonts w:ascii="Arial" w:hAnsi="Arial" w:cs="Arial"/>
                <w:i/>
                <w:sz w:val="16"/>
                <w:szCs w:val="16"/>
              </w:rPr>
            </w:pPr>
            <w:r w:rsidRPr="00DD02A2">
              <w:rPr>
                <w:rFonts w:ascii="Arial" w:hAnsi="Arial" w:cs="Arial"/>
                <w:b/>
                <w:i/>
                <w:sz w:val="16"/>
                <w:szCs w:val="16"/>
              </w:rPr>
              <w:t xml:space="preserve">Ecuador 2010: </w:t>
            </w:r>
            <w:r w:rsidRPr="00DD02A2">
              <w:rPr>
                <w:rFonts w:ascii="Arial" w:hAnsi="Arial" w:cs="Arial"/>
                <w:i/>
                <w:sz w:val="16"/>
                <w:szCs w:val="16"/>
              </w:rPr>
              <w:t xml:space="preserve">Estadísticas Descriptivas de la Edad al salir del país de los emigrantes </w:t>
            </w:r>
          </w:p>
          <w:p w:rsidR="0006543C" w:rsidRPr="004A6007" w:rsidRDefault="00F01C76" w:rsidP="00F01C76">
            <w:pPr>
              <w:rPr>
                <w:rFonts w:ascii="Arial" w:hAnsi="Arial" w:cs="Arial"/>
                <w:b/>
                <w:i/>
                <w:sz w:val="16"/>
                <w:szCs w:val="16"/>
              </w:rPr>
            </w:pPr>
            <w:r w:rsidRPr="00DD02A2">
              <w:rPr>
                <w:rFonts w:ascii="Arial" w:hAnsi="Arial" w:cs="Arial"/>
                <w:i/>
                <w:sz w:val="16"/>
                <w:szCs w:val="16"/>
              </w:rPr>
              <w:t>que viajaron p</w:t>
            </w:r>
            <w:r>
              <w:rPr>
                <w:rFonts w:ascii="Arial" w:hAnsi="Arial" w:cs="Arial"/>
                <w:i/>
                <w:sz w:val="16"/>
                <w:szCs w:val="16"/>
              </w:rPr>
              <w:t>a</w:t>
            </w:r>
            <w:r w:rsidRPr="00DD02A2">
              <w:rPr>
                <w:rFonts w:ascii="Arial" w:hAnsi="Arial" w:cs="Arial"/>
                <w:i/>
                <w:sz w:val="16"/>
                <w:szCs w:val="16"/>
              </w:rPr>
              <w:t>r</w:t>
            </w:r>
            <w:r>
              <w:rPr>
                <w:rFonts w:ascii="Arial" w:hAnsi="Arial" w:cs="Arial"/>
                <w:i/>
                <w:sz w:val="16"/>
                <w:szCs w:val="16"/>
              </w:rPr>
              <w:t>a</w:t>
            </w:r>
            <w:r w:rsidRPr="00DD02A2">
              <w:rPr>
                <w:rFonts w:ascii="Arial" w:hAnsi="Arial" w:cs="Arial"/>
                <w:i/>
                <w:sz w:val="16"/>
                <w:szCs w:val="16"/>
              </w:rPr>
              <w:t xml:space="preserve"> </w:t>
            </w:r>
            <w:r>
              <w:rPr>
                <w:rFonts w:ascii="Arial" w:hAnsi="Arial" w:cs="Arial"/>
                <w:b/>
                <w:i/>
                <w:sz w:val="16"/>
                <w:szCs w:val="16"/>
              </w:rPr>
              <w:t>estudiar</w:t>
            </w:r>
          </w:p>
          <w:p w:rsidR="0006543C" w:rsidRPr="001116D3" w:rsidRDefault="0006543C" w:rsidP="0006543C">
            <w:pPr>
              <w:rPr>
                <w:rFonts w:ascii="Arial" w:hAnsi="Arial" w:cs="Arial"/>
                <w:sz w:val="10"/>
                <w:szCs w:val="10"/>
              </w:rPr>
            </w:pPr>
          </w:p>
          <w:tbl>
            <w:tblPr>
              <w:tblW w:w="6937" w:type="dxa"/>
              <w:jc w:val="center"/>
              <w:tblCellMar>
                <w:left w:w="70" w:type="dxa"/>
                <w:right w:w="70" w:type="dxa"/>
              </w:tblCellMar>
              <w:tblLook w:val="04A0" w:firstRow="1" w:lastRow="0" w:firstColumn="1" w:lastColumn="0" w:noHBand="0" w:noVBand="1"/>
            </w:tblPr>
            <w:tblGrid>
              <w:gridCol w:w="680"/>
              <w:gridCol w:w="998"/>
              <w:gridCol w:w="540"/>
              <w:gridCol w:w="1036"/>
              <w:gridCol w:w="664"/>
              <w:gridCol w:w="696"/>
              <w:gridCol w:w="794"/>
              <w:gridCol w:w="735"/>
              <w:gridCol w:w="794"/>
            </w:tblGrid>
            <w:tr w:rsidR="0006543C" w:rsidRPr="001116D3" w:rsidTr="00F01C76">
              <w:trPr>
                <w:trHeight w:val="397"/>
                <w:jc w:val="center"/>
              </w:trPr>
              <w:tc>
                <w:tcPr>
                  <w:tcW w:w="680"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Media</w:t>
                  </w:r>
                </w:p>
              </w:tc>
              <w:tc>
                <w:tcPr>
                  <w:tcW w:w="102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Error estándar de la media</w:t>
                  </w:r>
                </w:p>
              </w:tc>
              <w:tc>
                <w:tcPr>
                  <w:tcW w:w="540"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Moda</w:t>
                  </w:r>
                </w:p>
              </w:tc>
              <w:tc>
                <w:tcPr>
                  <w:tcW w:w="1050"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Desviación estándar</w:t>
                  </w:r>
                </w:p>
              </w:tc>
              <w:tc>
                <w:tcPr>
                  <w:tcW w:w="62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Mínimo</w:t>
                  </w:r>
                </w:p>
              </w:tc>
              <w:tc>
                <w:tcPr>
                  <w:tcW w:w="696"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Máximo</w:t>
                  </w:r>
                </w:p>
              </w:tc>
              <w:tc>
                <w:tcPr>
                  <w:tcW w:w="79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Cuartil 1</w:t>
                  </w:r>
                </w:p>
              </w:tc>
              <w:tc>
                <w:tcPr>
                  <w:tcW w:w="735"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Mediana</w:t>
                  </w:r>
                </w:p>
              </w:tc>
              <w:tc>
                <w:tcPr>
                  <w:tcW w:w="794" w:type="dxa"/>
                  <w:tcBorders>
                    <w:top w:val="single" w:sz="8" w:space="0" w:color="auto"/>
                    <w:left w:val="nil"/>
                    <w:bottom w:val="single" w:sz="8" w:space="0" w:color="auto"/>
                    <w:right w:val="nil"/>
                  </w:tcBorders>
                  <w:shd w:val="clear" w:color="auto" w:fill="auto"/>
                  <w:vAlign w:val="center"/>
                  <w:hideMark/>
                </w:tcPr>
                <w:p w:rsidR="0006543C" w:rsidRPr="001116D3" w:rsidRDefault="0006543C" w:rsidP="0006543C">
                  <w:pPr>
                    <w:rPr>
                      <w:rFonts w:ascii="Arial" w:eastAsia="Times New Roman" w:hAnsi="Arial" w:cs="Arial"/>
                      <w:b/>
                      <w:bCs/>
                      <w:color w:val="000000"/>
                      <w:sz w:val="14"/>
                      <w:szCs w:val="14"/>
                      <w:lang w:eastAsia="es-EC"/>
                    </w:rPr>
                  </w:pPr>
                  <w:r w:rsidRPr="001116D3">
                    <w:rPr>
                      <w:rFonts w:ascii="Arial" w:eastAsia="Times New Roman" w:hAnsi="Arial" w:cs="Arial"/>
                      <w:b/>
                      <w:bCs/>
                      <w:color w:val="000000"/>
                      <w:sz w:val="14"/>
                      <w:szCs w:val="14"/>
                      <w:lang w:eastAsia="es-EC"/>
                    </w:rPr>
                    <w:t>Cuartil 3</w:t>
                  </w:r>
                </w:p>
              </w:tc>
            </w:tr>
            <w:tr w:rsidR="0006543C" w:rsidRPr="001116D3" w:rsidTr="00F01C76">
              <w:trPr>
                <w:trHeight w:val="227"/>
                <w:jc w:val="center"/>
              </w:trPr>
              <w:tc>
                <w:tcPr>
                  <w:tcW w:w="680"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20.780</w:t>
                  </w:r>
                </w:p>
              </w:tc>
              <w:tc>
                <w:tcPr>
                  <w:tcW w:w="1024" w:type="dxa"/>
                  <w:tcBorders>
                    <w:top w:val="nil"/>
                    <w:left w:val="nil"/>
                    <w:bottom w:val="single" w:sz="8" w:space="0" w:color="auto"/>
                    <w:right w:val="nil"/>
                  </w:tcBorders>
                  <w:shd w:val="clear" w:color="auto" w:fill="auto"/>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0.045</w:t>
                  </w:r>
                </w:p>
              </w:tc>
              <w:tc>
                <w:tcPr>
                  <w:tcW w:w="540"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18</w:t>
                  </w:r>
                </w:p>
              </w:tc>
              <w:tc>
                <w:tcPr>
                  <w:tcW w:w="1050" w:type="dxa"/>
                  <w:tcBorders>
                    <w:top w:val="nil"/>
                    <w:left w:val="nil"/>
                    <w:bottom w:val="single" w:sz="8" w:space="0" w:color="auto"/>
                    <w:right w:val="nil"/>
                  </w:tcBorders>
                  <w:shd w:val="clear" w:color="auto" w:fill="auto"/>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8.159</w:t>
                  </w:r>
                </w:p>
              </w:tc>
              <w:tc>
                <w:tcPr>
                  <w:tcW w:w="624"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5</w:t>
                  </w:r>
                </w:p>
              </w:tc>
              <w:tc>
                <w:tcPr>
                  <w:tcW w:w="696"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64</w:t>
                  </w:r>
                </w:p>
              </w:tc>
              <w:tc>
                <w:tcPr>
                  <w:tcW w:w="794"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16</w:t>
                  </w:r>
                </w:p>
              </w:tc>
              <w:tc>
                <w:tcPr>
                  <w:tcW w:w="735"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19</w:t>
                  </w:r>
                </w:p>
              </w:tc>
              <w:tc>
                <w:tcPr>
                  <w:tcW w:w="794" w:type="dxa"/>
                  <w:tcBorders>
                    <w:top w:val="nil"/>
                    <w:left w:val="nil"/>
                    <w:bottom w:val="single" w:sz="8" w:space="0" w:color="auto"/>
                    <w:right w:val="nil"/>
                  </w:tcBorders>
                  <w:shd w:val="clear" w:color="auto" w:fill="auto"/>
                  <w:noWrap/>
                  <w:vAlign w:val="center"/>
                </w:tcPr>
                <w:p w:rsidR="0006543C" w:rsidRDefault="0006543C" w:rsidP="0006543C">
                  <w:pPr>
                    <w:rPr>
                      <w:rFonts w:ascii="Arial" w:hAnsi="Arial" w:cs="Arial"/>
                      <w:color w:val="000000"/>
                      <w:sz w:val="16"/>
                      <w:szCs w:val="16"/>
                    </w:rPr>
                  </w:pPr>
                  <w:r>
                    <w:rPr>
                      <w:rFonts w:ascii="Arial" w:hAnsi="Arial" w:cs="Arial"/>
                      <w:color w:val="000000"/>
                      <w:sz w:val="16"/>
                      <w:szCs w:val="16"/>
                    </w:rPr>
                    <w:t>25</w:t>
                  </w:r>
                </w:p>
              </w:tc>
            </w:tr>
          </w:tbl>
          <w:p w:rsidR="0006543C" w:rsidRPr="001116D3" w:rsidRDefault="0006543C" w:rsidP="0006543C">
            <w:pPr>
              <w:rPr>
                <w:rFonts w:ascii="Arial" w:hAnsi="Arial" w:cs="Arial"/>
                <w:sz w:val="10"/>
                <w:szCs w:val="10"/>
              </w:rPr>
            </w:pPr>
          </w:p>
        </w:tc>
      </w:tr>
    </w:tbl>
    <w:p w:rsidR="0006543C" w:rsidRPr="00F01C76" w:rsidRDefault="0006543C" w:rsidP="00F01C76">
      <w:pPr>
        <w:pStyle w:val="Prrafodelista"/>
        <w:spacing w:line="276" w:lineRule="auto"/>
        <w:ind w:left="851"/>
        <w:jc w:val="both"/>
        <w:rPr>
          <w:rFonts w:ascii="Arial" w:hAnsi="Arial" w:cs="Arial"/>
          <w:sz w:val="17"/>
          <w:szCs w:val="17"/>
        </w:rPr>
      </w:pPr>
    </w:p>
    <w:p w:rsidR="0006543C" w:rsidRPr="00F01C76" w:rsidRDefault="0006543C" w:rsidP="00F01C76">
      <w:pPr>
        <w:pStyle w:val="Prrafodelista"/>
        <w:spacing w:line="276" w:lineRule="auto"/>
        <w:ind w:left="851"/>
        <w:jc w:val="both"/>
        <w:rPr>
          <w:rFonts w:ascii="Arial" w:hAnsi="Arial" w:cs="Arial"/>
          <w:sz w:val="17"/>
          <w:szCs w:val="17"/>
        </w:rPr>
      </w:pPr>
      <w:r w:rsidRPr="00F01C76">
        <w:rPr>
          <w:rFonts w:ascii="Arial" w:hAnsi="Arial" w:cs="Arial"/>
          <w:b/>
          <w:i/>
          <w:sz w:val="17"/>
          <w:szCs w:val="17"/>
        </w:rPr>
        <w:t>Fuente:</w:t>
      </w:r>
      <w:r w:rsidRPr="00F01C76">
        <w:rPr>
          <w:rFonts w:ascii="Arial" w:hAnsi="Arial" w:cs="Arial"/>
          <w:sz w:val="17"/>
          <w:szCs w:val="17"/>
        </w:rPr>
        <w:t xml:space="preserve"> </w:t>
      </w:r>
      <w:r w:rsidRPr="00F01C76">
        <w:rPr>
          <w:rFonts w:ascii="Arial" w:hAnsi="Arial" w:cs="Arial"/>
          <w:b/>
          <w:sz w:val="17"/>
          <w:szCs w:val="17"/>
        </w:rPr>
        <w:t xml:space="preserve">INEC </w:t>
      </w:r>
      <w:r w:rsidRPr="00F01C76">
        <w:rPr>
          <w:rFonts w:ascii="Arial" w:hAnsi="Arial" w:cs="Arial"/>
          <w:sz w:val="17"/>
          <w:szCs w:val="17"/>
        </w:rPr>
        <w:t>(2010), Base de Datos del VII Censo de Población y VI de Vivienda.</w:t>
      </w:r>
    </w:p>
    <w:p w:rsidR="0006543C" w:rsidRDefault="0006543C" w:rsidP="00F01C76">
      <w:pPr>
        <w:pStyle w:val="Prrafodelista"/>
        <w:spacing w:line="276" w:lineRule="auto"/>
        <w:ind w:left="851"/>
        <w:jc w:val="both"/>
        <w:rPr>
          <w:rFonts w:ascii="Arial" w:hAnsi="Arial" w:cs="Arial"/>
          <w:sz w:val="18"/>
          <w:szCs w:val="18"/>
        </w:rPr>
      </w:pPr>
      <w:r w:rsidRPr="00F01C76">
        <w:rPr>
          <w:rFonts w:ascii="Arial" w:hAnsi="Arial" w:cs="Arial"/>
          <w:b/>
          <w:i/>
          <w:sz w:val="17"/>
          <w:szCs w:val="17"/>
        </w:rPr>
        <w:t>Elaborado por:</w:t>
      </w:r>
      <w:r w:rsidRPr="00F01C76">
        <w:rPr>
          <w:rFonts w:ascii="Arial" w:hAnsi="Arial" w:cs="Arial"/>
          <w:sz w:val="17"/>
          <w:szCs w:val="17"/>
        </w:rPr>
        <w:t xml:space="preserve"> Katherine Loor Valeriano</w:t>
      </w:r>
    </w:p>
    <w:p w:rsidR="0006543C" w:rsidRDefault="0006543C" w:rsidP="00F01C76">
      <w:pPr>
        <w:spacing w:line="480" w:lineRule="auto"/>
        <w:ind w:left="851"/>
        <w:jc w:val="both"/>
        <w:rPr>
          <w:rFonts w:ascii="Arial" w:hAnsi="Arial" w:cs="Arial"/>
        </w:rPr>
      </w:pPr>
    </w:p>
    <w:p w:rsidR="0006543C" w:rsidRPr="00287F2C" w:rsidRDefault="00F01C76" w:rsidP="00287F2C">
      <w:pPr>
        <w:spacing w:line="480" w:lineRule="auto"/>
        <w:ind w:left="851"/>
        <w:jc w:val="both"/>
        <w:rPr>
          <w:rFonts w:ascii="Arial" w:hAnsi="Arial" w:cs="Arial"/>
        </w:rPr>
      </w:pPr>
      <w:bookmarkStart w:id="876" w:name="_Toc339853158"/>
      <w:bookmarkStart w:id="877" w:name="_Toc340231928"/>
      <w:r w:rsidRPr="00287F2C">
        <w:rPr>
          <w:rFonts w:ascii="Arial" w:hAnsi="Arial" w:cs="Arial"/>
        </w:rPr>
        <w:t>D</w:t>
      </w:r>
      <w:r w:rsidR="0006543C" w:rsidRPr="00287F2C">
        <w:rPr>
          <w:rFonts w:ascii="Arial" w:hAnsi="Arial" w:cs="Arial"/>
        </w:rPr>
        <w:t xml:space="preserve">e los emigrantes que salieron del país para estudiar se tiene que el 19.13% tenían entre 5 y 15 años cuando dejaron Ecuador, el 75.20% en cambio tenían entre 15 y 35 años; y, el porcentaje restante (5.67%) tenían entre 35 y 65 años. </w:t>
      </w:r>
      <w:r w:rsidR="00506BFD">
        <w:rPr>
          <w:rFonts w:ascii="Arial" w:hAnsi="Arial" w:cs="Arial"/>
        </w:rPr>
        <w:t>S</w:t>
      </w:r>
      <w:r w:rsidR="0006543C" w:rsidRPr="00287F2C">
        <w:rPr>
          <w:rFonts w:ascii="Arial" w:hAnsi="Arial" w:cs="Arial"/>
        </w:rPr>
        <w:t xml:space="preserve">i solamente consideramos a los hombres tenemos que el 18.80% tienen entre 5 y 15 años, el 75.99% tienen entre 15 y 35 años y el 5.21% tenían entre 35 y 65 años cuando salieron del país; y, si solo consideramos a las mujeres se </w:t>
      </w:r>
      <w:r w:rsidR="00AE13C0">
        <w:rPr>
          <w:rFonts w:ascii="Arial" w:hAnsi="Arial" w:cs="Arial"/>
        </w:rPr>
        <w:t>observa</w:t>
      </w:r>
      <w:r w:rsidR="0006543C" w:rsidRPr="00287F2C">
        <w:rPr>
          <w:rFonts w:ascii="Arial" w:hAnsi="Arial" w:cs="Arial"/>
        </w:rPr>
        <w:t xml:space="preserve"> que el 19.48% tienen entre 5 y 15 años, el 74.36% tienen entre 15 y 35 años, y los restantes tienen edades comprendidas en el intervalo de 35 a 65 años cuando salieron del Ecuador. En la </w:t>
      </w:r>
      <w:r w:rsidR="0006543C" w:rsidRPr="00287F2C">
        <w:rPr>
          <w:rFonts w:ascii="Arial" w:hAnsi="Arial" w:cs="Arial"/>
          <w:i/>
        </w:rPr>
        <w:t>Figura 5.30</w:t>
      </w:r>
      <w:r w:rsidR="0006543C" w:rsidRPr="00287F2C">
        <w:rPr>
          <w:rFonts w:ascii="Arial" w:hAnsi="Arial" w:cs="Arial"/>
        </w:rPr>
        <w:t xml:space="preserve">, se </w:t>
      </w:r>
      <w:r w:rsidR="00AE13C0">
        <w:rPr>
          <w:rFonts w:ascii="Arial" w:hAnsi="Arial" w:cs="Arial"/>
        </w:rPr>
        <w:t>presenta</w:t>
      </w:r>
      <w:r w:rsidR="0006543C" w:rsidRPr="00287F2C">
        <w:rPr>
          <w:rFonts w:ascii="Arial" w:hAnsi="Arial" w:cs="Arial"/>
        </w:rPr>
        <w:t xml:space="preserve"> la distribución género – edad al salir del país de las personas que emigraron para estudiar, en donde se </w:t>
      </w:r>
      <w:r w:rsidR="00AE13C0">
        <w:rPr>
          <w:rFonts w:ascii="Arial" w:hAnsi="Arial" w:cs="Arial"/>
        </w:rPr>
        <w:t>obtiene</w:t>
      </w:r>
      <w:r w:rsidR="0006543C" w:rsidRPr="00287F2C">
        <w:rPr>
          <w:rFonts w:ascii="Arial" w:hAnsi="Arial" w:cs="Arial"/>
        </w:rPr>
        <w:t xml:space="preserve"> que la barra de mayor longitud corresponde a los emigrantes con edades entre 15 y 20 años, teniendo el 31.41% de los emigrantes edades comprendidas en este grupo etario, la segunda barra de mayor longitud corresponde a las edades entre 20 y 25 años, teniendo más del 50% de la  población edades entre 15 y 30 años.</w:t>
      </w:r>
      <w:bookmarkEnd w:id="876"/>
      <w:bookmarkEnd w:id="877"/>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F01C76">
        <w:trPr>
          <w:trHeight w:val="2041"/>
          <w:jc w:val="right"/>
        </w:trPr>
        <w:tc>
          <w:tcPr>
            <w:tcW w:w="7497" w:type="dxa"/>
          </w:tcPr>
          <w:p w:rsidR="0006543C" w:rsidRPr="00840530" w:rsidRDefault="0006543C" w:rsidP="0006543C">
            <w:pPr>
              <w:rPr>
                <w:rFonts w:ascii="Arial" w:hAnsi="Arial" w:cs="Arial"/>
                <w:sz w:val="16"/>
                <w:szCs w:val="16"/>
              </w:rPr>
            </w:pPr>
          </w:p>
          <w:p w:rsidR="00ED5AC6" w:rsidRPr="00ED5AC6" w:rsidRDefault="00ED5AC6" w:rsidP="00ED5AC6">
            <w:pPr>
              <w:pStyle w:val="Epgrafe"/>
              <w:rPr>
                <w:rFonts w:ascii="Arial" w:hAnsi="Arial" w:cs="Arial"/>
                <w:bCs w:val="0"/>
                <w:color w:val="auto"/>
                <w:sz w:val="16"/>
                <w:szCs w:val="16"/>
              </w:rPr>
            </w:pPr>
            <w:bookmarkStart w:id="878" w:name="_Toc341044110"/>
            <w:r>
              <w:rPr>
                <w:rFonts w:ascii="Arial" w:hAnsi="Arial" w:cs="Arial"/>
                <w:bCs w:val="0"/>
                <w:color w:val="auto"/>
                <w:sz w:val="16"/>
                <w:szCs w:val="16"/>
              </w:rPr>
              <w:t>Figura 5.</w:t>
            </w:r>
            <w:r w:rsidR="00990535" w:rsidRPr="00ED5AC6">
              <w:rPr>
                <w:rFonts w:ascii="Arial" w:hAnsi="Arial" w:cs="Arial"/>
                <w:bCs w:val="0"/>
                <w:color w:val="auto"/>
                <w:sz w:val="16"/>
                <w:szCs w:val="16"/>
              </w:rPr>
              <w:fldChar w:fldCharType="begin"/>
            </w:r>
            <w:r w:rsidRPr="00ED5AC6">
              <w:rPr>
                <w:rFonts w:ascii="Arial" w:hAnsi="Arial" w:cs="Arial"/>
                <w:bCs w:val="0"/>
                <w:color w:val="auto"/>
                <w:sz w:val="16"/>
                <w:szCs w:val="16"/>
              </w:rPr>
              <w:instrText xml:space="preserve"> SEQ Figura_5. \* ARABIC </w:instrText>
            </w:r>
            <w:r w:rsidR="00990535" w:rsidRPr="00ED5AC6">
              <w:rPr>
                <w:rFonts w:ascii="Arial" w:hAnsi="Arial" w:cs="Arial"/>
                <w:bCs w:val="0"/>
                <w:color w:val="auto"/>
                <w:sz w:val="16"/>
                <w:szCs w:val="16"/>
              </w:rPr>
              <w:fldChar w:fldCharType="separate"/>
            </w:r>
            <w:r w:rsidR="00A242E0">
              <w:rPr>
                <w:rFonts w:ascii="Arial" w:hAnsi="Arial" w:cs="Arial"/>
                <w:bCs w:val="0"/>
                <w:noProof/>
                <w:color w:val="auto"/>
                <w:sz w:val="16"/>
                <w:szCs w:val="16"/>
              </w:rPr>
              <w:t>30</w:t>
            </w:r>
            <w:bookmarkEnd w:id="878"/>
            <w:r w:rsidR="00990535" w:rsidRPr="00ED5AC6">
              <w:rPr>
                <w:rFonts w:ascii="Arial" w:hAnsi="Arial" w:cs="Arial"/>
                <w:bCs w:val="0"/>
                <w:color w:val="auto"/>
                <w:sz w:val="16"/>
                <w:szCs w:val="16"/>
              </w:rPr>
              <w:fldChar w:fldCharType="end"/>
            </w:r>
          </w:p>
          <w:p w:rsidR="00F01C76" w:rsidRDefault="00F01C76" w:rsidP="00F01C76">
            <w:pPr>
              <w:rPr>
                <w:rFonts w:ascii="Arial" w:hAnsi="Arial" w:cs="Arial"/>
                <w:i/>
                <w:sz w:val="16"/>
                <w:szCs w:val="16"/>
              </w:rPr>
            </w:pPr>
            <w:r w:rsidRPr="00DD02A2">
              <w:rPr>
                <w:rFonts w:ascii="Arial" w:hAnsi="Arial" w:cs="Arial"/>
                <w:b/>
                <w:i/>
                <w:sz w:val="16"/>
                <w:szCs w:val="16"/>
              </w:rPr>
              <w:t>Ecuador</w:t>
            </w:r>
            <w:r>
              <w:rPr>
                <w:rFonts w:ascii="Arial" w:hAnsi="Arial" w:cs="Arial"/>
                <w:b/>
                <w:i/>
                <w:sz w:val="16"/>
                <w:szCs w:val="16"/>
              </w:rPr>
              <w:t xml:space="preserve"> 2010: </w:t>
            </w:r>
            <w:r>
              <w:rPr>
                <w:rFonts w:ascii="Arial" w:hAnsi="Arial" w:cs="Arial"/>
                <w:i/>
                <w:sz w:val="16"/>
                <w:szCs w:val="16"/>
              </w:rPr>
              <w:t xml:space="preserve">Distribución Género – Edad al salir del país de los emigrantes </w:t>
            </w:r>
          </w:p>
          <w:p w:rsidR="0006543C" w:rsidRPr="00CD2309" w:rsidRDefault="00F01C76" w:rsidP="00F01C76">
            <w:pPr>
              <w:rPr>
                <w:rFonts w:ascii="Arial" w:hAnsi="Arial" w:cs="Arial"/>
                <w:b/>
                <w:sz w:val="18"/>
                <w:szCs w:val="18"/>
              </w:rPr>
            </w:pPr>
            <w:r>
              <w:rPr>
                <w:rFonts w:ascii="Arial" w:hAnsi="Arial" w:cs="Arial"/>
                <w:i/>
                <w:sz w:val="16"/>
                <w:szCs w:val="16"/>
              </w:rPr>
              <w:t xml:space="preserve">que viajaron para </w:t>
            </w:r>
            <w:r>
              <w:rPr>
                <w:rFonts w:ascii="Arial" w:hAnsi="Arial" w:cs="Arial"/>
                <w:b/>
                <w:i/>
                <w:sz w:val="16"/>
                <w:szCs w:val="16"/>
              </w:rPr>
              <w:t>estudiar</w:t>
            </w:r>
          </w:p>
          <w:p w:rsidR="0006543C" w:rsidRPr="00840530" w:rsidRDefault="00436907" w:rsidP="0006543C">
            <w:pPr>
              <w:rPr>
                <w:rFonts w:ascii="Arial" w:hAnsi="Arial" w:cs="Arial"/>
                <w:sz w:val="24"/>
                <w:szCs w:val="24"/>
              </w:rPr>
            </w:pPr>
            <w:r>
              <w:rPr>
                <w:rFonts w:ascii="Arial" w:hAnsi="Arial" w:cs="Arial"/>
                <w:noProof/>
                <w:lang w:eastAsia="es-EC"/>
              </w:rPr>
              <w:pict>
                <v:shape id="_x0000_s1806" type="#_x0000_t202" style="position:absolute;left:0;text-align:left;margin-left:211.25pt;margin-top:11.15pt;width:143.75pt;height:19.05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filled="f" stroked="f" strokecolor="white [3212]">
                  <v:textbox style="mso-next-textbox:#_x0000_s1806">
                    <w:txbxContent>
                      <w:p w:rsidR="006933DF" w:rsidRPr="00F01C76" w:rsidRDefault="006933DF" w:rsidP="0006543C">
                        <w:pPr>
                          <w:rPr>
                            <w:rFonts w:ascii="Arial" w:hAnsi="Arial" w:cs="Arial"/>
                            <w:b/>
                            <w:sz w:val="15"/>
                            <w:szCs w:val="15"/>
                          </w:rPr>
                        </w:pPr>
                        <w:r w:rsidRPr="00F01C76">
                          <w:rPr>
                            <w:rFonts w:ascii="Arial" w:hAnsi="Arial" w:cs="Arial"/>
                            <w:b/>
                            <w:sz w:val="15"/>
                            <w:szCs w:val="15"/>
                          </w:rPr>
                          <w:t>Femenino</w:t>
                        </w:r>
                      </w:p>
                    </w:txbxContent>
                  </v:textbox>
                </v:shape>
              </w:pict>
            </w:r>
            <w:r>
              <w:rPr>
                <w:noProof/>
              </w:rPr>
              <w:pict>
                <v:shape id="_x0000_s1805" type="#_x0000_t202" style="position:absolute;left:0;text-align:left;margin-left:67.5pt;margin-top:11.15pt;width:143.75pt;height:19.05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filled="f" stroked="f" strokecolor="white [3212]">
                  <v:textbox style="mso-next-textbox:#_x0000_s1805">
                    <w:txbxContent>
                      <w:p w:rsidR="006933DF" w:rsidRPr="00F01C76" w:rsidRDefault="006933DF" w:rsidP="0006543C">
                        <w:pPr>
                          <w:rPr>
                            <w:rFonts w:ascii="Arial" w:hAnsi="Arial" w:cs="Arial"/>
                            <w:b/>
                            <w:sz w:val="15"/>
                            <w:szCs w:val="15"/>
                          </w:rPr>
                        </w:pPr>
                        <w:r w:rsidRPr="00F01C76">
                          <w:rPr>
                            <w:rFonts w:ascii="Arial" w:hAnsi="Arial" w:cs="Arial"/>
                            <w:b/>
                            <w:sz w:val="15"/>
                            <w:szCs w:val="15"/>
                          </w:rPr>
                          <w:t>Masculino</w:t>
                        </w:r>
                      </w:p>
                    </w:txbxContent>
                  </v:textbox>
                </v:shape>
              </w:pict>
            </w:r>
            <w:r w:rsidR="0006543C">
              <w:rPr>
                <w:noProof/>
                <w:lang w:eastAsia="es-EC"/>
              </w:rPr>
              <w:drawing>
                <wp:inline distT="0" distB="0" distL="0" distR="0" wp14:anchorId="743C0D10" wp14:editId="3ECE0A43">
                  <wp:extent cx="4524375" cy="2809875"/>
                  <wp:effectExtent l="0" t="0" r="0" b="0"/>
                  <wp:docPr id="179" name="Gráfico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tc>
      </w:tr>
    </w:tbl>
    <w:p w:rsidR="0006543C" w:rsidRPr="00F01C76" w:rsidRDefault="0006543C" w:rsidP="00F01C76">
      <w:pPr>
        <w:pStyle w:val="Prrafodelista"/>
        <w:spacing w:line="276" w:lineRule="auto"/>
        <w:ind w:left="851"/>
        <w:jc w:val="both"/>
        <w:rPr>
          <w:rFonts w:ascii="Arial" w:hAnsi="Arial" w:cs="Arial"/>
          <w:sz w:val="17"/>
          <w:szCs w:val="17"/>
        </w:rPr>
      </w:pPr>
    </w:p>
    <w:p w:rsidR="0006543C" w:rsidRPr="00F01C76" w:rsidRDefault="0006543C" w:rsidP="00F01C76">
      <w:pPr>
        <w:pStyle w:val="Prrafodelista"/>
        <w:spacing w:line="276" w:lineRule="auto"/>
        <w:ind w:left="851"/>
        <w:jc w:val="both"/>
        <w:rPr>
          <w:rFonts w:ascii="Arial" w:hAnsi="Arial" w:cs="Arial"/>
          <w:sz w:val="17"/>
          <w:szCs w:val="17"/>
        </w:rPr>
      </w:pPr>
      <w:r w:rsidRPr="00F01C76">
        <w:rPr>
          <w:rFonts w:ascii="Arial" w:hAnsi="Arial" w:cs="Arial"/>
          <w:b/>
          <w:i/>
          <w:sz w:val="17"/>
          <w:szCs w:val="17"/>
        </w:rPr>
        <w:t>Fuente:</w:t>
      </w:r>
      <w:r w:rsidRPr="00F01C76">
        <w:rPr>
          <w:rFonts w:ascii="Arial" w:hAnsi="Arial" w:cs="Arial"/>
          <w:sz w:val="17"/>
          <w:szCs w:val="17"/>
        </w:rPr>
        <w:t xml:space="preserve"> </w:t>
      </w:r>
      <w:r w:rsidRPr="00F01C76">
        <w:rPr>
          <w:rFonts w:ascii="Arial" w:hAnsi="Arial" w:cs="Arial"/>
          <w:b/>
          <w:sz w:val="17"/>
          <w:szCs w:val="17"/>
        </w:rPr>
        <w:t xml:space="preserve">INEC </w:t>
      </w:r>
      <w:r w:rsidRPr="00F01C76">
        <w:rPr>
          <w:rFonts w:ascii="Arial" w:hAnsi="Arial" w:cs="Arial"/>
          <w:sz w:val="17"/>
          <w:szCs w:val="17"/>
        </w:rPr>
        <w:t>(2010), Base de Datos del VII Censo de Población y VI de Vivienda.</w:t>
      </w:r>
    </w:p>
    <w:p w:rsidR="0006543C" w:rsidRPr="00F01C76" w:rsidRDefault="0006543C" w:rsidP="00F01C76">
      <w:pPr>
        <w:pStyle w:val="Prrafodelista"/>
        <w:spacing w:line="276" w:lineRule="auto"/>
        <w:ind w:left="851"/>
        <w:jc w:val="both"/>
        <w:rPr>
          <w:rFonts w:ascii="Arial" w:hAnsi="Arial" w:cs="Arial"/>
          <w:sz w:val="17"/>
          <w:szCs w:val="17"/>
        </w:rPr>
      </w:pPr>
      <w:r w:rsidRPr="00F01C76">
        <w:rPr>
          <w:rFonts w:ascii="Arial" w:hAnsi="Arial" w:cs="Arial"/>
          <w:b/>
          <w:i/>
          <w:sz w:val="17"/>
          <w:szCs w:val="17"/>
        </w:rPr>
        <w:t>Elaborado por:</w:t>
      </w:r>
      <w:r w:rsidRPr="00F01C76">
        <w:rPr>
          <w:rFonts w:ascii="Arial" w:hAnsi="Arial" w:cs="Arial"/>
          <w:sz w:val="17"/>
          <w:szCs w:val="17"/>
        </w:rPr>
        <w:t xml:space="preserve"> Katherine Loor Valeriano</w:t>
      </w:r>
    </w:p>
    <w:p w:rsidR="0006543C" w:rsidRDefault="0006543C" w:rsidP="00F01C76">
      <w:pPr>
        <w:spacing w:line="480" w:lineRule="auto"/>
        <w:ind w:left="851"/>
        <w:jc w:val="both"/>
        <w:rPr>
          <w:rFonts w:ascii="Arial" w:hAnsi="Arial" w:cs="Arial"/>
        </w:rPr>
      </w:pPr>
    </w:p>
    <w:p w:rsidR="0006543C" w:rsidRPr="00287F2C" w:rsidRDefault="0006543C" w:rsidP="00287F2C">
      <w:pPr>
        <w:spacing w:line="480" w:lineRule="auto"/>
        <w:ind w:left="851"/>
        <w:jc w:val="both"/>
        <w:rPr>
          <w:rFonts w:ascii="Arial" w:hAnsi="Arial" w:cs="Arial"/>
        </w:rPr>
      </w:pPr>
      <w:bookmarkStart w:id="879" w:name="_Toc339853159"/>
      <w:bookmarkStart w:id="880" w:name="_Toc340231929"/>
      <w:r w:rsidRPr="00287F2C">
        <w:rPr>
          <w:rFonts w:ascii="Arial" w:hAnsi="Arial" w:cs="Arial"/>
        </w:rPr>
        <w:t xml:space="preserve">En la </w:t>
      </w:r>
      <w:r w:rsidRPr="00287F2C">
        <w:rPr>
          <w:rFonts w:ascii="Arial" w:hAnsi="Arial" w:cs="Arial"/>
          <w:i/>
        </w:rPr>
        <w:t>Figura 5.31</w:t>
      </w:r>
      <w:r w:rsidRPr="00287F2C">
        <w:rPr>
          <w:rFonts w:ascii="Arial" w:hAnsi="Arial" w:cs="Arial"/>
        </w:rPr>
        <w:t>, se presenta la distribución de edad de los emigrantes que salieron del país para estudiar por país de residencia actual, en donde podemos notar que la mayor ponderación de la población en cada país tienen entre 5 y 25 años, la segunda ponderación más alta corresponde a la población emigrante con edades entre 25 y 45 años; y, los mayores de 45 años que están representados con el color fucsia son los de menor ponderación. Para el caso particular de España tenemos que el 78.33% de los emigrantes que fueron a estudiar en ese país tienen entre 5 y 25 años, el 19.81% tienen entre 25 y 45 años y el porcentaje restante entre 45 y 65 años, mientras que, los que fueron a Estados Unidos el 73.33% tienen entre 5 y 25 años, el 24.90% tienen entre 25 y 45 años y el 1.77% son mayores de 45 años. De los que emigraron hacia Cuba tenemos que el 86.50% son menores de 25 años, el 12.83% tienen edades comprendidas entre los 25 y 45 años y tan sólo el 0.67% tienen 45 años y más.</w:t>
      </w:r>
      <w:bookmarkEnd w:id="879"/>
      <w:bookmarkEnd w:id="880"/>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F01C76">
        <w:trPr>
          <w:trHeight w:val="2041"/>
          <w:jc w:val="right"/>
        </w:trPr>
        <w:tc>
          <w:tcPr>
            <w:tcW w:w="7497" w:type="dxa"/>
          </w:tcPr>
          <w:p w:rsidR="0006543C" w:rsidRPr="00840530" w:rsidRDefault="0006543C" w:rsidP="0006543C">
            <w:pPr>
              <w:rPr>
                <w:rFonts w:ascii="Arial" w:hAnsi="Arial" w:cs="Arial"/>
                <w:sz w:val="16"/>
                <w:szCs w:val="16"/>
              </w:rPr>
            </w:pPr>
          </w:p>
          <w:p w:rsidR="00ED5AC6" w:rsidRPr="00ED5AC6" w:rsidRDefault="00ED5AC6" w:rsidP="00ED5AC6">
            <w:pPr>
              <w:pStyle w:val="Epgrafe"/>
              <w:rPr>
                <w:rFonts w:ascii="Arial" w:hAnsi="Arial" w:cs="Arial"/>
                <w:bCs w:val="0"/>
                <w:color w:val="auto"/>
                <w:sz w:val="16"/>
                <w:szCs w:val="16"/>
              </w:rPr>
            </w:pPr>
            <w:bookmarkStart w:id="881" w:name="_Toc341044111"/>
            <w:r>
              <w:rPr>
                <w:rFonts w:ascii="Arial" w:hAnsi="Arial" w:cs="Arial"/>
                <w:bCs w:val="0"/>
                <w:color w:val="auto"/>
                <w:sz w:val="16"/>
                <w:szCs w:val="16"/>
              </w:rPr>
              <w:t>Figura 5.</w:t>
            </w:r>
            <w:r w:rsidR="00990535" w:rsidRPr="00ED5AC6">
              <w:rPr>
                <w:rFonts w:ascii="Arial" w:hAnsi="Arial" w:cs="Arial"/>
                <w:bCs w:val="0"/>
                <w:color w:val="auto"/>
                <w:sz w:val="16"/>
                <w:szCs w:val="16"/>
              </w:rPr>
              <w:fldChar w:fldCharType="begin"/>
            </w:r>
            <w:r w:rsidRPr="00ED5AC6">
              <w:rPr>
                <w:rFonts w:ascii="Arial" w:hAnsi="Arial" w:cs="Arial"/>
                <w:bCs w:val="0"/>
                <w:color w:val="auto"/>
                <w:sz w:val="16"/>
                <w:szCs w:val="16"/>
              </w:rPr>
              <w:instrText xml:space="preserve"> SEQ Figura_5. \* ARABIC </w:instrText>
            </w:r>
            <w:r w:rsidR="00990535" w:rsidRPr="00ED5AC6">
              <w:rPr>
                <w:rFonts w:ascii="Arial" w:hAnsi="Arial" w:cs="Arial"/>
                <w:bCs w:val="0"/>
                <w:color w:val="auto"/>
                <w:sz w:val="16"/>
                <w:szCs w:val="16"/>
              </w:rPr>
              <w:fldChar w:fldCharType="separate"/>
            </w:r>
            <w:r w:rsidR="00A242E0">
              <w:rPr>
                <w:rFonts w:ascii="Arial" w:hAnsi="Arial" w:cs="Arial"/>
                <w:bCs w:val="0"/>
                <w:noProof/>
                <w:color w:val="auto"/>
                <w:sz w:val="16"/>
                <w:szCs w:val="16"/>
              </w:rPr>
              <w:t>31</w:t>
            </w:r>
            <w:bookmarkEnd w:id="881"/>
            <w:r w:rsidR="00990535" w:rsidRPr="00ED5AC6">
              <w:rPr>
                <w:rFonts w:ascii="Arial" w:hAnsi="Arial" w:cs="Arial"/>
                <w:bCs w:val="0"/>
                <w:color w:val="auto"/>
                <w:sz w:val="16"/>
                <w:szCs w:val="16"/>
              </w:rPr>
              <w:fldChar w:fldCharType="end"/>
            </w:r>
          </w:p>
          <w:p w:rsidR="00F01C76" w:rsidRDefault="00F01C76" w:rsidP="00F01C76">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Distribución condicional de la Edad al salir del país de los Emigrantes que viajaron </w:t>
            </w:r>
          </w:p>
          <w:p w:rsidR="0006543C" w:rsidRDefault="00F01C76" w:rsidP="00F01C76">
            <w:pPr>
              <w:rPr>
                <w:rFonts w:ascii="Arial" w:hAnsi="Arial" w:cs="Arial"/>
                <w:sz w:val="18"/>
                <w:szCs w:val="18"/>
              </w:rPr>
            </w:pPr>
            <w:r>
              <w:rPr>
                <w:rFonts w:ascii="Arial" w:hAnsi="Arial" w:cs="Arial"/>
                <w:i/>
                <w:sz w:val="16"/>
                <w:szCs w:val="16"/>
              </w:rPr>
              <w:t xml:space="preserve">para </w:t>
            </w:r>
            <w:r>
              <w:rPr>
                <w:rFonts w:ascii="Arial" w:hAnsi="Arial" w:cs="Arial"/>
                <w:b/>
                <w:i/>
                <w:sz w:val="16"/>
                <w:szCs w:val="16"/>
              </w:rPr>
              <w:t>estudiar</w:t>
            </w:r>
            <w:r>
              <w:rPr>
                <w:rFonts w:ascii="Arial" w:hAnsi="Arial" w:cs="Arial"/>
                <w:i/>
                <w:sz w:val="16"/>
                <w:szCs w:val="16"/>
              </w:rPr>
              <w:t xml:space="preserve"> dado que se conoce el País de residencia actual</w:t>
            </w:r>
          </w:p>
          <w:p w:rsidR="0006543C" w:rsidRPr="00840530" w:rsidRDefault="0006543C" w:rsidP="0006543C">
            <w:pPr>
              <w:rPr>
                <w:rFonts w:ascii="Arial" w:hAnsi="Arial" w:cs="Arial"/>
                <w:sz w:val="24"/>
                <w:szCs w:val="24"/>
              </w:rPr>
            </w:pPr>
            <w:r>
              <w:rPr>
                <w:noProof/>
                <w:lang w:eastAsia="es-EC"/>
              </w:rPr>
              <w:drawing>
                <wp:inline distT="0" distB="0" distL="0" distR="0" wp14:anchorId="75FFD1D6" wp14:editId="7221ED1C">
                  <wp:extent cx="4533900" cy="2219325"/>
                  <wp:effectExtent l="0" t="0" r="0" b="0"/>
                  <wp:docPr id="181" name="Gráfico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tc>
      </w:tr>
    </w:tbl>
    <w:p w:rsidR="0006543C" w:rsidRPr="00F01C76" w:rsidRDefault="0006543C" w:rsidP="00F01C76">
      <w:pPr>
        <w:pStyle w:val="Prrafodelista"/>
        <w:spacing w:line="276" w:lineRule="auto"/>
        <w:ind w:left="851"/>
        <w:jc w:val="both"/>
        <w:rPr>
          <w:rFonts w:ascii="Arial" w:hAnsi="Arial" w:cs="Arial"/>
          <w:sz w:val="17"/>
          <w:szCs w:val="17"/>
        </w:rPr>
      </w:pPr>
    </w:p>
    <w:p w:rsidR="0006543C" w:rsidRPr="00F01C76" w:rsidRDefault="0006543C" w:rsidP="00F01C76">
      <w:pPr>
        <w:pStyle w:val="Prrafodelista"/>
        <w:spacing w:line="276" w:lineRule="auto"/>
        <w:ind w:left="851"/>
        <w:jc w:val="both"/>
        <w:rPr>
          <w:rFonts w:ascii="Arial" w:hAnsi="Arial" w:cs="Arial"/>
          <w:sz w:val="17"/>
          <w:szCs w:val="17"/>
        </w:rPr>
      </w:pPr>
      <w:r w:rsidRPr="00F01C76">
        <w:rPr>
          <w:rFonts w:ascii="Arial" w:hAnsi="Arial" w:cs="Arial"/>
          <w:b/>
          <w:i/>
          <w:sz w:val="17"/>
          <w:szCs w:val="17"/>
        </w:rPr>
        <w:t>Fuente:</w:t>
      </w:r>
      <w:r w:rsidRPr="00F01C76">
        <w:rPr>
          <w:rFonts w:ascii="Arial" w:hAnsi="Arial" w:cs="Arial"/>
          <w:sz w:val="17"/>
          <w:szCs w:val="17"/>
        </w:rPr>
        <w:t xml:space="preserve"> </w:t>
      </w:r>
      <w:r w:rsidRPr="00F01C76">
        <w:rPr>
          <w:rFonts w:ascii="Arial" w:hAnsi="Arial" w:cs="Arial"/>
          <w:b/>
          <w:sz w:val="17"/>
          <w:szCs w:val="17"/>
        </w:rPr>
        <w:t xml:space="preserve">INEC </w:t>
      </w:r>
      <w:r w:rsidRPr="00F01C76">
        <w:rPr>
          <w:rFonts w:ascii="Arial" w:hAnsi="Arial" w:cs="Arial"/>
          <w:sz w:val="17"/>
          <w:szCs w:val="17"/>
        </w:rPr>
        <w:t>(2010), Base de Datos del VII Censo de Población y VI de Vivienda.</w:t>
      </w:r>
    </w:p>
    <w:p w:rsidR="0006543C" w:rsidRDefault="0006543C" w:rsidP="00F01C76">
      <w:pPr>
        <w:pStyle w:val="Prrafodelista"/>
        <w:spacing w:line="276" w:lineRule="auto"/>
        <w:ind w:left="851"/>
        <w:jc w:val="both"/>
        <w:rPr>
          <w:rFonts w:ascii="Arial" w:hAnsi="Arial" w:cs="Arial"/>
          <w:sz w:val="18"/>
          <w:szCs w:val="18"/>
        </w:rPr>
      </w:pPr>
      <w:r w:rsidRPr="00F01C76">
        <w:rPr>
          <w:rFonts w:ascii="Arial" w:hAnsi="Arial" w:cs="Arial"/>
          <w:b/>
          <w:i/>
          <w:sz w:val="17"/>
          <w:szCs w:val="17"/>
        </w:rPr>
        <w:t>Elaborado por:</w:t>
      </w:r>
      <w:r w:rsidRPr="00F01C76">
        <w:rPr>
          <w:rFonts w:ascii="Arial" w:hAnsi="Arial" w:cs="Arial"/>
          <w:sz w:val="17"/>
          <w:szCs w:val="17"/>
        </w:rPr>
        <w:t xml:space="preserve"> Katherine Loor Valeriano</w:t>
      </w:r>
    </w:p>
    <w:p w:rsidR="0006543C" w:rsidRPr="00C240B0" w:rsidRDefault="0006543C" w:rsidP="00F01C76">
      <w:pPr>
        <w:spacing w:line="480" w:lineRule="auto"/>
        <w:ind w:left="851"/>
        <w:jc w:val="both"/>
        <w:rPr>
          <w:rFonts w:ascii="Arial" w:hAnsi="Arial" w:cs="Arial"/>
        </w:rPr>
      </w:pPr>
    </w:p>
    <w:p w:rsidR="0006543C" w:rsidRPr="00287F2C" w:rsidRDefault="0006543C" w:rsidP="00287F2C">
      <w:pPr>
        <w:spacing w:line="480" w:lineRule="auto"/>
        <w:ind w:left="851"/>
        <w:jc w:val="both"/>
        <w:rPr>
          <w:rFonts w:ascii="Arial" w:hAnsi="Arial" w:cs="Arial"/>
        </w:rPr>
      </w:pPr>
      <w:bookmarkStart w:id="882" w:name="_Toc339853160"/>
      <w:bookmarkStart w:id="883" w:name="_Toc340231930"/>
      <w:r w:rsidRPr="00287F2C">
        <w:rPr>
          <w:rFonts w:ascii="Arial" w:hAnsi="Arial" w:cs="Arial"/>
        </w:rPr>
        <w:t xml:space="preserve">En la </w:t>
      </w:r>
      <w:r w:rsidRPr="00287F2C">
        <w:rPr>
          <w:rFonts w:ascii="Arial" w:hAnsi="Arial" w:cs="Arial"/>
          <w:i/>
        </w:rPr>
        <w:t>Figura 5.32</w:t>
      </w:r>
      <w:r w:rsidRPr="00287F2C">
        <w:rPr>
          <w:rFonts w:ascii="Arial" w:hAnsi="Arial" w:cs="Arial"/>
        </w:rPr>
        <w:t>, se muestra la tasa de país de residencia por cada 1000 emigrantes que viajaron para estudiar por género y edad al salir del país. En donde tenemos que de los hombres que emigraron por este motivo, la tasa de los que se dirigieron hacia España va decreciendo desde el primer grupo de edad hasta los 30 años, a partir de esta edad el valor de dicha tasa va incrementándose ligeramente hasta los 50 años, de aquí en adelante vuelve a decrecer, teniéndose que por cada 1000 hombres emigrantes con edades de 60 a 65 años 90.91 se dirigieron a España; mientras que la tasa de quienes emigraron hacia Estados Unidos va incrementándose a medida que se incrementa la edad al salir del país, teniéndose que por cada 1000 emigrantes con edades entre 60 y 65 años 272.73 fueron a Estados Unidos. Para el caso particular de los hombres con edades comprendidas entre los 5 y 10 años, tenemos que por cada 1000 de ellos, 524.73 viajaron a España para estudiar, 198.84 fueron a Estados Unidos, 70.81 se dirigieron hacia Italia y 205.63 fueron a otros países.</w:t>
      </w:r>
      <w:bookmarkEnd w:id="882"/>
      <w:bookmarkEnd w:id="883"/>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06543C" w:rsidRPr="00840530" w:rsidTr="00F01C76">
        <w:trPr>
          <w:trHeight w:val="2041"/>
          <w:jc w:val="right"/>
        </w:trPr>
        <w:tc>
          <w:tcPr>
            <w:tcW w:w="7497" w:type="dxa"/>
          </w:tcPr>
          <w:p w:rsidR="0006543C" w:rsidRPr="00840530" w:rsidRDefault="0006543C" w:rsidP="0006543C">
            <w:pPr>
              <w:rPr>
                <w:rFonts w:ascii="Arial" w:hAnsi="Arial" w:cs="Arial"/>
                <w:sz w:val="16"/>
                <w:szCs w:val="16"/>
              </w:rPr>
            </w:pPr>
          </w:p>
          <w:p w:rsidR="00ED5AC6" w:rsidRPr="00ED5AC6" w:rsidRDefault="00ED5AC6" w:rsidP="00ED5AC6">
            <w:pPr>
              <w:pStyle w:val="Epgrafe"/>
              <w:rPr>
                <w:rFonts w:ascii="Arial" w:hAnsi="Arial" w:cs="Arial"/>
                <w:bCs w:val="0"/>
                <w:color w:val="auto"/>
                <w:sz w:val="16"/>
                <w:szCs w:val="16"/>
              </w:rPr>
            </w:pPr>
            <w:bookmarkStart w:id="884" w:name="_Toc341044112"/>
            <w:r>
              <w:rPr>
                <w:rFonts w:ascii="Arial" w:hAnsi="Arial" w:cs="Arial"/>
                <w:bCs w:val="0"/>
                <w:color w:val="auto"/>
                <w:sz w:val="16"/>
                <w:szCs w:val="16"/>
              </w:rPr>
              <w:t>Figura 5.</w:t>
            </w:r>
            <w:r w:rsidR="00990535" w:rsidRPr="00ED5AC6">
              <w:rPr>
                <w:rFonts w:ascii="Arial" w:hAnsi="Arial" w:cs="Arial"/>
                <w:bCs w:val="0"/>
                <w:color w:val="auto"/>
                <w:sz w:val="16"/>
                <w:szCs w:val="16"/>
              </w:rPr>
              <w:fldChar w:fldCharType="begin"/>
            </w:r>
            <w:r w:rsidRPr="00ED5AC6">
              <w:rPr>
                <w:rFonts w:ascii="Arial" w:hAnsi="Arial" w:cs="Arial"/>
                <w:bCs w:val="0"/>
                <w:color w:val="auto"/>
                <w:sz w:val="16"/>
                <w:szCs w:val="16"/>
              </w:rPr>
              <w:instrText xml:space="preserve"> SEQ Figura_5. \* ARABIC </w:instrText>
            </w:r>
            <w:r w:rsidR="00990535" w:rsidRPr="00ED5AC6">
              <w:rPr>
                <w:rFonts w:ascii="Arial" w:hAnsi="Arial" w:cs="Arial"/>
                <w:bCs w:val="0"/>
                <w:color w:val="auto"/>
                <w:sz w:val="16"/>
                <w:szCs w:val="16"/>
              </w:rPr>
              <w:fldChar w:fldCharType="separate"/>
            </w:r>
            <w:r w:rsidR="00A242E0">
              <w:rPr>
                <w:rFonts w:ascii="Arial" w:hAnsi="Arial" w:cs="Arial"/>
                <w:bCs w:val="0"/>
                <w:noProof/>
                <w:color w:val="auto"/>
                <w:sz w:val="16"/>
                <w:szCs w:val="16"/>
              </w:rPr>
              <w:t>32</w:t>
            </w:r>
            <w:bookmarkEnd w:id="884"/>
            <w:r w:rsidR="00990535" w:rsidRPr="00ED5AC6">
              <w:rPr>
                <w:rFonts w:ascii="Arial" w:hAnsi="Arial" w:cs="Arial"/>
                <w:bCs w:val="0"/>
                <w:color w:val="auto"/>
                <w:sz w:val="16"/>
                <w:szCs w:val="16"/>
              </w:rPr>
              <w:fldChar w:fldCharType="end"/>
            </w:r>
          </w:p>
          <w:p w:rsidR="00F01C76" w:rsidRDefault="00F01C76" w:rsidP="00F01C76">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Tasa de país de residencia actual por cada 1000 emigrantes que </w:t>
            </w:r>
          </w:p>
          <w:p w:rsidR="0006543C" w:rsidRPr="00FE01CE" w:rsidRDefault="00F01C76" w:rsidP="00F01C76">
            <w:pPr>
              <w:rPr>
                <w:rFonts w:ascii="Arial" w:hAnsi="Arial" w:cs="Arial"/>
                <w:sz w:val="18"/>
                <w:szCs w:val="18"/>
              </w:rPr>
            </w:pPr>
            <w:r>
              <w:rPr>
                <w:rFonts w:ascii="Arial" w:hAnsi="Arial" w:cs="Arial"/>
                <w:i/>
                <w:sz w:val="16"/>
                <w:szCs w:val="16"/>
              </w:rPr>
              <w:t xml:space="preserve">viajaron para </w:t>
            </w:r>
            <w:r>
              <w:rPr>
                <w:rFonts w:ascii="Arial" w:hAnsi="Arial" w:cs="Arial"/>
                <w:b/>
                <w:i/>
                <w:sz w:val="16"/>
                <w:szCs w:val="16"/>
              </w:rPr>
              <w:t>estudiar</w:t>
            </w:r>
            <w:r>
              <w:rPr>
                <w:rFonts w:ascii="Arial" w:hAnsi="Arial" w:cs="Arial"/>
                <w:i/>
                <w:sz w:val="16"/>
                <w:szCs w:val="16"/>
              </w:rPr>
              <w:t xml:space="preserve"> por género y edad al salir del país</w:t>
            </w:r>
          </w:p>
          <w:p w:rsidR="0006543C" w:rsidRPr="00840530" w:rsidRDefault="00436907" w:rsidP="0006543C">
            <w:pPr>
              <w:rPr>
                <w:rFonts w:ascii="Arial" w:hAnsi="Arial" w:cs="Arial"/>
                <w:sz w:val="24"/>
                <w:szCs w:val="24"/>
              </w:rPr>
            </w:pPr>
            <w:r>
              <w:rPr>
                <w:rFonts w:ascii="Arial" w:hAnsi="Arial" w:cs="Arial"/>
                <w:noProof/>
                <w:sz w:val="16"/>
                <w:szCs w:val="16"/>
                <w:lang w:eastAsia="es-EC"/>
              </w:rPr>
              <w:pict>
                <v:shape id="_x0000_s1879" type="#_x0000_t202" style="position:absolute;left:0;text-align:left;margin-left:217.8pt;margin-top:187.35pt;width:106.85pt;height:15.8pt;z-index:2517601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D60093"/>
                            <w:sz w:val="15"/>
                            <w:szCs w:val="15"/>
                          </w:rPr>
                        </w:pPr>
                        <w:r>
                          <w:rPr>
                            <w:rFonts w:ascii="Arial" w:hAnsi="Arial" w:cs="Arial"/>
                            <w:color w:val="D60093"/>
                            <w:sz w:val="15"/>
                            <w:szCs w:val="15"/>
                          </w:rPr>
                          <w:t>Estados Unidos</w:t>
                        </w:r>
                      </w:p>
                    </w:txbxContent>
                  </v:textbox>
                </v:shape>
              </w:pict>
            </w:r>
            <w:r>
              <w:rPr>
                <w:rFonts w:ascii="Arial" w:hAnsi="Arial" w:cs="Arial"/>
                <w:noProof/>
                <w:sz w:val="16"/>
                <w:szCs w:val="16"/>
                <w:lang w:eastAsia="es-EC"/>
              </w:rPr>
              <w:pict>
                <v:shape id="_x0000_s2407" type="#_x0000_t32" style="position:absolute;left:0;text-align:left;margin-left:276.3pt;margin-top:199.35pt;width:27pt;height:21.4pt;z-index:252082688" o:connectortype="straight" strokecolor="#d60093">
                  <v:stroke endarrow="block"/>
                </v:shape>
              </w:pict>
            </w:r>
            <w:r>
              <w:rPr>
                <w:rFonts w:ascii="Arial" w:hAnsi="Arial" w:cs="Arial"/>
                <w:noProof/>
                <w:sz w:val="16"/>
                <w:szCs w:val="16"/>
                <w:lang w:eastAsia="es-EC"/>
              </w:rPr>
              <w:pict>
                <v:shape id="_x0000_s1874" type="#_x0000_t202" style="position:absolute;left:0;text-align:left;margin-left:231.9pt;margin-top:38.55pt;width:106.85pt;height:15.8pt;z-index:2517550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D60093"/>
                            <w:sz w:val="15"/>
                            <w:szCs w:val="15"/>
                          </w:rPr>
                        </w:pPr>
                        <w:r>
                          <w:rPr>
                            <w:rFonts w:ascii="Arial" w:hAnsi="Arial" w:cs="Arial"/>
                            <w:color w:val="D60093"/>
                            <w:sz w:val="15"/>
                            <w:szCs w:val="15"/>
                          </w:rPr>
                          <w:t>Estados Unidos</w:t>
                        </w:r>
                      </w:p>
                    </w:txbxContent>
                  </v:textbox>
                </v:shape>
              </w:pict>
            </w:r>
            <w:r>
              <w:rPr>
                <w:rFonts w:ascii="Arial" w:hAnsi="Arial" w:cs="Arial"/>
                <w:noProof/>
                <w:sz w:val="16"/>
                <w:szCs w:val="16"/>
                <w:lang w:eastAsia="es-EC"/>
              </w:rPr>
              <w:pict>
                <v:shape id="_x0000_s2406" type="#_x0000_t32" style="position:absolute;left:0;text-align:left;margin-left:287.75pt;margin-top:50.15pt;width:9.55pt;height:12.7pt;z-index:252081664" o:connectortype="straight" strokecolor="#d60093">
                  <v:stroke endarrow="block"/>
                </v:shape>
              </w:pict>
            </w:r>
            <w:r>
              <w:rPr>
                <w:rFonts w:ascii="Arial" w:hAnsi="Arial" w:cs="Arial"/>
                <w:noProof/>
                <w:sz w:val="16"/>
                <w:szCs w:val="16"/>
                <w:lang w:eastAsia="es-EC"/>
              </w:rPr>
              <w:pict>
                <v:shape id="_x0000_s1878" type="#_x0000_t202" style="position:absolute;left:0;text-align:left;margin-left:55.6pt;margin-top:171.55pt;width:106.85pt;height:15.8pt;z-index:2517591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70C0"/>
                            <w:sz w:val="15"/>
                            <w:szCs w:val="15"/>
                          </w:rPr>
                        </w:pPr>
                        <w:r>
                          <w:rPr>
                            <w:rFonts w:ascii="Arial" w:hAnsi="Arial" w:cs="Arial"/>
                            <w:color w:val="0070C0"/>
                            <w:sz w:val="15"/>
                            <w:szCs w:val="15"/>
                          </w:rPr>
                          <w:t>España</w:t>
                        </w:r>
                      </w:p>
                    </w:txbxContent>
                  </v:textbox>
                </v:shape>
              </w:pict>
            </w:r>
            <w:r>
              <w:rPr>
                <w:rFonts w:ascii="Arial" w:hAnsi="Arial" w:cs="Arial"/>
                <w:noProof/>
                <w:sz w:val="16"/>
                <w:szCs w:val="16"/>
                <w:lang w:eastAsia="es-EC"/>
              </w:rPr>
              <w:pict>
                <v:shape id="_x0000_s2405" type="#_x0000_t32" style="position:absolute;left:0;text-align:left;margin-left:84.3pt;margin-top:182.85pt;width:18pt;height:11.25pt;flip:x;z-index:252080640" o:connectortype="straight" strokecolor="#0070c0">
                  <v:stroke endarrow="block"/>
                </v:shape>
              </w:pict>
            </w:r>
            <w:r>
              <w:rPr>
                <w:rFonts w:ascii="Arial" w:hAnsi="Arial" w:cs="Arial"/>
                <w:noProof/>
                <w:sz w:val="16"/>
                <w:szCs w:val="16"/>
                <w:lang w:eastAsia="es-EC"/>
              </w:rPr>
              <w:pict>
                <v:shape id="_x0000_s1873" type="#_x0000_t202" style="position:absolute;left:0;text-align:left;margin-left:50.35pt;margin-top:34.35pt;width:106.85pt;height:15.8pt;z-index:2517539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623DB4" w:rsidRDefault="006933DF" w:rsidP="0006543C">
                        <w:pPr>
                          <w:rPr>
                            <w:rFonts w:ascii="Arial" w:hAnsi="Arial" w:cs="Arial"/>
                            <w:color w:val="0070C0"/>
                            <w:sz w:val="15"/>
                            <w:szCs w:val="15"/>
                          </w:rPr>
                        </w:pPr>
                        <w:r>
                          <w:rPr>
                            <w:rFonts w:ascii="Arial" w:hAnsi="Arial" w:cs="Arial"/>
                            <w:color w:val="0070C0"/>
                            <w:sz w:val="15"/>
                            <w:szCs w:val="15"/>
                          </w:rPr>
                          <w:t>España</w:t>
                        </w:r>
                      </w:p>
                    </w:txbxContent>
                  </v:textbox>
                </v:shape>
              </w:pict>
            </w:r>
            <w:r>
              <w:rPr>
                <w:rFonts w:ascii="Arial" w:hAnsi="Arial" w:cs="Arial"/>
                <w:noProof/>
                <w:sz w:val="16"/>
                <w:szCs w:val="16"/>
                <w:lang w:eastAsia="es-EC"/>
              </w:rPr>
              <w:pict>
                <v:shape id="_x0000_s2404" type="#_x0000_t32" style="position:absolute;left:0;text-align:left;margin-left:84.3pt;margin-top:45.6pt;width:13.5pt;height:11.25pt;flip:x;z-index:252079616" o:connectortype="straight" strokecolor="#0070c0">
                  <v:stroke endarrow="block"/>
                </v:shape>
              </w:pict>
            </w:r>
            <w:r>
              <w:rPr>
                <w:rFonts w:ascii="Arial" w:hAnsi="Arial" w:cs="Arial"/>
                <w:noProof/>
                <w:sz w:val="16"/>
                <w:szCs w:val="16"/>
                <w:lang w:eastAsia="es-EC"/>
              </w:rPr>
              <w:pict>
                <v:shape id="_x0000_s1875" type="#_x0000_t202" style="position:absolute;left:0;text-align:left;margin-left:130.45pt;margin-top:24.8pt;width:106.85pt;height:15.8pt;z-index:2517560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75;mso-fit-shape-to-text:t">
                    <w:txbxContent>
                      <w:p w:rsidR="006933DF" w:rsidRPr="00B15EDE" w:rsidRDefault="006933DF" w:rsidP="0006543C">
                        <w:pPr>
                          <w:rPr>
                            <w:rFonts w:ascii="Arial" w:hAnsi="Arial" w:cs="Arial"/>
                            <w:color w:val="00B050"/>
                            <w:sz w:val="15"/>
                            <w:szCs w:val="15"/>
                          </w:rPr>
                        </w:pPr>
                        <w:r w:rsidRPr="00B15EDE">
                          <w:rPr>
                            <w:rFonts w:ascii="Arial" w:hAnsi="Arial" w:cs="Arial"/>
                            <w:color w:val="00B050"/>
                            <w:sz w:val="15"/>
                            <w:szCs w:val="15"/>
                          </w:rPr>
                          <w:t>Otros países</w:t>
                        </w:r>
                      </w:p>
                    </w:txbxContent>
                  </v:textbox>
                </v:shape>
              </w:pict>
            </w:r>
            <w:r>
              <w:rPr>
                <w:rFonts w:ascii="Arial" w:hAnsi="Arial" w:cs="Arial"/>
                <w:noProof/>
                <w:sz w:val="16"/>
                <w:szCs w:val="16"/>
                <w:lang w:eastAsia="es-EC"/>
              </w:rPr>
              <w:pict>
                <v:shape id="_x0000_s2403" type="#_x0000_t32" style="position:absolute;left:0;text-align:left;margin-left:162.3pt;margin-top:35.1pt;width:19.35pt;height:14.55pt;flip:x;z-index:252078592" o:connectortype="straight" strokecolor="#00b050">
                  <v:stroke endarrow="block"/>
                </v:shape>
              </w:pict>
            </w:r>
            <w:r>
              <w:rPr>
                <w:rFonts w:ascii="Arial" w:hAnsi="Arial" w:cs="Arial"/>
                <w:noProof/>
                <w:sz w:val="16"/>
                <w:szCs w:val="16"/>
                <w:lang w:eastAsia="es-EC"/>
              </w:rPr>
              <w:pict>
                <v:shape id="_x0000_s1880" type="#_x0000_t202" style="position:absolute;left:0;text-align:left;margin-left:110.95pt;margin-top:178.3pt;width:106.85pt;height:15.8pt;z-index:2517611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80;mso-fit-shape-to-text:t">
                    <w:txbxContent>
                      <w:p w:rsidR="006933DF" w:rsidRPr="00B15EDE" w:rsidRDefault="006933DF" w:rsidP="0006543C">
                        <w:pPr>
                          <w:rPr>
                            <w:rFonts w:ascii="Arial" w:hAnsi="Arial" w:cs="Arial"/>
                            <w:color w:val="00B050"/>
                            <w:sz w:val="15"/>
                            <w:szCs w:val="15"/>
                          </w:rPr>
                        </w:pPr>
                        <w:r w:rsidRPr="00B15EDE">
                          <w:rPr>
                            <w:rFonts w:ascii="Arial" w:hAnsi="Arial" w:cs="Arial"/>
                            <w:color w:val="00B050"/>
                            <w:sz w:val="15"/>
                            <w:szCs w:val="15"/>
                          </w:rPr>
                          <w:t>Otros países</w:t>
                        </w:r>
                      </w:p>
                    </w:txbxContent>
                  </v:textbox>
                </v:shape>
              </w:pict>
            </w:r>
            <w:r>
              <w:rPr>
                <w:rFonts w:ascii="Arial" w:hAnsi="Arial" w:cs="Arial"/>
                <w:noProof/>
                <w:sz w:val="16"/>
                <w:szCs w:val="16"/>
                <w:lang w:eastAsia="es-EC"/>
              </w:rPr>
              <w:pict>
                <v:shape id="_x0000_s2402" type="#_x0000_t32" style="position:absolute;left:0;text-align:left;margin-left:147.3pt;margin-top:190.35pt;width:14.25pt;height:9pt;flip:x;z-index:252077568" o:connectortype="straight" strokecolor="#00b050">
                  <v:stroke endarrow="block"/>
                </v:shape>
              </w:pict>
            </w:r>
            <w:r>
              <w:rPr>
                <w:rFonts w:ascii="Arial" w:hAnsi="Arial" w:cs="Arial"/>
                <w:noProof/>
                <w:sz w:val="16"/>
                <w:szCs w:val="16"/>
                <w:lang w:eastAsia="es-EC"/>
              </w:rPr>
              <w:pict>
                <v:shape id="_x0000_s1876" type="#_x0000_t202" style="position:absolute;left:0;text-align:left;margin-left:180.9pt;margin-top:220.55pt;width:106.85pt;height:15.8pt;z-index:2517570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76;mso-fit-shape-to-text:t">
                    <w:txbxContent>
                      <w:p w:rsidR="006933DF" w:rsidRPr="00623DB4"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Italia</w:t>
                        </w:r>
                      </w:p>
                    </w:txbxContent>
                  </v:textbox>
                </v:shape>
              </w:pict>
            </w:r>
            <w:r>
              <w:rPr>
                <w:rFonts w:ascii="Arial" w:hAnsi="Arial" w:cs="Arial"/>
                <w:noProof/>
                <w:sz w:val="16"/>
                <w:szCs w:val="16"/>
                <w:lang w:eastAsia="es-EC"/>
              </w:rPr>
              <w:pict>
                <v:shape id="_x0000_s2401" type="#_x0000_t32" style="position:absolute;left:0;text-align:left;margin-left:221.4pt;margin-top:231.85pt;width:9.15pt;height:5.75pt;flip:x;z-index:252076544" o:connectortype="straight" strokecolor="#e36c0a [2409]">
                  <v:stroke endarrow="block"/>
                </v:shape>
              </w:pict>
            </w:r>
            <w:r>
              <w:rPr>
                <w:rFonts w:ascii="Arial" w:hAnsi="Arial" w:cs="Arial"/>
                <w:noProof/>
                <w:sz w:val="16"/>
                <w:szCs w:val="16"/>
                <w:lang w:eastAsia="es-EC"/>
              </w:rPr>
              <w:pict>
                <v:shape id="_x0000_s1881" type="#_x0000_t202" style="position:absolute;left:0;text-align:left;margin-left:221.4pt;margin-top:78.85pt;width:106.85pt;height:15.8pt;z-index:2517621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next-textbox:#_x0000_s1881;mso-fit-shape-to-text:t">
                    <w:txbxContent>
                      <w:p w:rsidR="006933DF" w:rsidRPr="00623DB4" w:rsidRDefault="006933DF" w:rsidP="0006543C">
                        <w:pPr>
                          <w:rPr>
                            <w:rFonts w:ascii="Arial" w:hAnsi="Arial" w:cs="Arial"/>
                            <w:color w:val="E36C0A" w:themeColor="accent6" w:themeShade="BF"/>
                            <w:sz w:val="15"/>
                            <w:szCs w:val="15"/>
                          </w:rPr>
                        </w:pPr>
                        <w:r>
                          <w:rPr>
                            <w:rFonts w:ascii="Arial" w:hAnsi="Arial" w:cs="Arial"/>
                            <w:color w:val="E36C0A" w:themeColor="accent6" w:themeShade="BF"/>
                            <w:sz w:val="15"/>
                            <w:szCs w:val="15"/>
                          </w:rPr>
                          <w:t>Italia</w:t>
                        </w:r>
                      </w:p>
                    </w:txbxContent>
                  </v:textbox>
                </v:shape>
              </w:pict>
            </w:r>
            <w:r>
              <w:rPr>
                <w:rFonts w:ascii="Arial" w:hAnsi="Arial" w:cs="Arial"/>
                <w:noProof/>
                <w:sz w:val="16"/>
                <w:szCs w:val="16"/>
                <w:lang w:eastAsia="es-EC"/>
              </w:rPr>
              <w:pict>
                <v:shape id="_x0000_s2400" type="#_x0000_t32" style="position:absolute;left:0;text-align:left;margin-left:256.8pt;margin-top:90.6pt;width:15pt;height:6.3pt;flip:x;z-index:252075520" o:connectortype="straight" strokecolor="#e36c0a [2409]">
                  <v:stroke endarrow="block"/>
                </v:shape>
              </w:pict>
            </w:r>
            <w:r>
              <w:rPr>
                <w:rFonts w:ascii="Arial" w:hAnsi="Arial" w:cs="Arial"/>
                <w:noProof/>
                <w:sz w:val="16"/>
                <w:szCs w:val="16"/>
                <w:lang w:eastAsia="es-EC"/>
              </w:rPr>
              <w:pict>
                <v:shape id="_x0000_s1882" type="#_x0000_t202" style="position:absolute;left:0;text-align:left;margin-left:243.95pt;margin-top:152.1pt;width:106.85pt;height:15.8pt;z-index:251763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E7578A" w:rsidRDefault="006933DF" w:rsidP="0006543C">
                        <w:pPr>
                          <w:rPr>
                            <w:rFonts w:ascii="Arial" w:hAnsi="Arial" w:cs="Arial"/>
                            <w:b/>
                            <w:sz w:val="15"/>
                            <w:szCs w:val="15"/>
                          </w:rPr>
                        </w:pPr>
                        <w:r>
                          <w:rPr>
                            <w:rFonts w:ascii="Arial" w:hAnsi="Arial" w:cs="Arial"/>
                            <w:b/>
                            <w:sz w:val="15"/>
                            <w:szCs w:val="15"/>
                          </w:rPr>
                          <w:t>Mujer</w:t>
                        </w:r>
                      </w:p>
                    </w:txbxContent>
                  </v:textbox>
                </v:shape>
              </w:pict>
            </w:r>
            <w:r w:rsidR="0006543C">
              <w:rPr>
                <w:noProof/>
                <w:lang w:eastAsia="es-EC"/>
              </w:rPr>
              <w:drawing>
                <wp:inline distT="0" distB="0" distL="0" distR="0" wp14:anchorId="43D85CDB" wp14:editId="5E6F1C1E">
                  <wp:extent cx="4211955" cy="1800000"/>
                  <wp:effectExtent l="0" t="0" r="0" b="0"/>
                  <wp:docPr id="182" name="Gráfico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r w:rsidR="0006543C">
              <w:rPr>
                <w:noProof/>
                <w:lang w:eastAsia="es-EC"/>
              </w:rPr>
              <w:t xml:space="preserve"> </w:t>
            </w:r>
            <w:r w:rsidR="0006543C">
              <w:rPr>
                <w:noProof/>
                <w:lang w:eastAsia="es-EC"/>
              </w:rPr>
              <w:drawing>
                <wp:inline distT="0" distB="0" distL="0" distR="0" wp14:anchorId="67968D94" wp14:editId="15C24913">
                  <wp:extent cx="4211955" cy="1800000"/>
                  <wp:effectExtent l="0" t="0" r="0" b="0"/>
                  <wp:docPr id="183" name="Gráfico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r>
              <w:rPr>
                <w:rFonts w:ascii="Arial" w:hAnsi="Arial" w:cs="Arial"/>
                <w:noProof/>
                <w:sz w:val="16"/>
                <w:szCs w:val="16"/>
                <w:lang w:eastAsia="es-EC"/>
              </w:rPr>
              <w:pict>
                <v:shape id="_x0000_s1877" type="#_x0000_t202" style="position:absolute;left:0;text-align:left;margin-left:246.6pt;margin-top:11.25pt;width:106.85pt;height:27.1pt;z-index:25175808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ed="f" stroked="f">
                  <v:textbox style="mso-fit-shape-to-text:t">
                    <w:txbxContent>
                      <w:p w:rsidR="006933DF" w:rsidRPr="00E7578A" w:rsidRDefault="006933DF" w:rsidP="0006543C">
                        <w:pPr>
                          <w:rPr>
                            <w:rFonts w:ascii="Arial" w:hAnsi="Arial" w:cs="Arial"/>
                            <w:b/>
                            <w:sz w:val="15"/>
                            <w:szCs w:val="15"/>
                          </w:rPr>
                        </w:pPr>
                        <w:r>
                          <w:rPr>
                            <w:rFonts w:ascii="Arial" w:hAnsi="Arial" w:cs="Arial"/>
                            <w:b/>
                            <w:sz w:val="15"/>
                            <w:szCs w:val="15"/>
                          </w:rPr>
                          <w:t>Hombre</w:t>
                        </w:r>
                      </w:p>
                    </w:txbxContent>
                  </v:textbox>
                </v:shape>
              </w:pict>
            </w:r>
          </w:p>
        </w:tc>
      </w:tr>
    </w:tbl>
    <w:p w:rsidR="0006543C" w:rsidRPr="00F01C76" w:rsidRDefault="0006543C" w:rsidP="00F01C76">
      <w:pPr>
        <w:pStyle w:val="Prrafodelista"/>
        <w:spacing w:line="276" w:lineRule="auto"/>
        <w:ind w:left="851"/>
        <w:jc w:val="both"/>
        <w:rPr>
          <w:rFonts w:ascii="Arial" w:hAnsi="Arial" w:cs="Arial"/>
          <w:sz w:val="17"/>
          <w:szCs w:val="17"/>
        </w:rPr>
      </w:pPr>
    </w:p>
    <w:p w:rsidR="0006543C" w:rsidRPr="00F01C76" w:rsidRDefault="0006543C" w:rsidP="00F01C76">
      <w:pPr>
        <w:pStyle w:val="Prrafodelista"/>
        <w:spacing w:line="276" w:lineRule="auto"/>
        <w:ind w:left="851"/>
        <w:jc w:val="both"/>
        <w:rPr>
          <w:rFonts w:ascii="Arial" w:hAnsi="Arial" w:cs="Arial"/>
          <w:sz w:val="17"/>
          <w:szCs w:val="17"/>
        </w:rPr>
      </w:pPr>
      <w:r w:rsidRPr="00F01C76">
        <w:rPr>
          <w:rFonts w:ascii="Arial" w:hAnsi="Arial" w:cs="Arial"/>
          <w:b/>
          <w:i/>
          <w:sz w:val="17"/>
          <w:szCs w:val="17"/>
        </w:rPr>
        <w:t>Fuente:</w:t>
      </w:r>
      <w:r w:rsidRPr="00F01C76">
        <w:rPr>
          <w:rFonts w:ascii="Arial" w:hAnsi="Arial" w:cs="Arial"/>
          <w:sz w:val="17"/>
          <w:szCs w:val="17"/>
        </w:rPr>
        <w:t xml:space="preserve"> </w:t>
      </w:r>
      <w:r w:rsidRPr="00F01C76">
        <w:rPr>
          <w:rFonts w:ascii="Arial" w:hAnsi="Arial" w:cs="Arial"/>
          <w:b/>
          <w:sz w:val="17"/>
          <w:szCs w:val="17"/>
        </w:rPr>
        <w:t xml:space="preserve">INEC </w:t>
      </w:r>
      <w:r w:rsidRPr="00F01C76">
        <w:rPr>
          <w:rFonts w:ascii="Arial" w:hAnsi="Arial" w:cs="Arial"/>
          <w:sz w:val="17"/>
          <w:szCs w:val="17"/>
        </w:rPr>
        <w:t>(2010), Base de Datos del VII Censo de Población y VI de Vivienda.</w:t>
      </w:r>
    </w:p>
    <w:p w:rsidR="0006543C" w:rsidRPr="00F01C76" w:rsidRDefault="0006543C" w:rsidP="00F01C76">
      <w:pPr>
        <w:pStyle w:val="Prrafodelista"/>
        <w:spacing w:line="276" w:lineRule="auto"/>
        <w:ind w:left="851"/>
        <w:jc w:val="both"/>
        <w:rPr>
          <w:rFonts w:ascii="Arial" w:hAnsi="Arial" w:cs="Arial"/>
          <w:sz w:val="17"/>
          <w:szCs w:val="17"/>
        </w:rPr>
      </w:pPr>
      <w:r w:rsidRPr="00F01C76">
        <w:rPr>
          <w:rFonts w:ascii="Arial" w:hAnsi="Arial" w:cs="Arial"/>
          <w:b/>
          <w:i/>
          <w:sz w:val="17"/>
          <w:szCs w:val="17"/>
        </w:rPr>
        <w:t>Elaborado por:</w:t>
      </w:r>
      <w:r w:rsidRPr="00F01C76">
        <w:rPr>
          <w:rFonts w:ascii="Arial" w:hAnsi="Arial" w:cs="Arial"/>
          <w:sz w:val="17"/>
          <w:szCs w:val="17"/>
        </w:rPr>
        <w:t xml:space="preserve"> Katherine Loor Valeriano</w:t>
      </w:r>
    </w:p>
    <w:p w:rsidR="00B37F50" w:rsidRPr="00F01C76" w:rsidRDefault="00B37F50" w:rsidP="00F01C76">
      <w:pPr>
        <w:spacing w:line="480" w:lineRule="auto"/>
        <w:ind w:left="851"/>
        <w:jc w:val="both"/>
        <w:rPr>
          <w:rFonts w:ascii="Arial" w:hAnsi="Arial" w:cs="Arial"/>
        </w:rPr>
      </w:pPr>
    </w:p>
    <w:p w:rsidR="00F01C76" w:rsidRPr="00F01C76" w:rsidRDefault="00F01C76" w:rsidP="00F01C76">
      <w:pPr>
        <w:spacing w:line="480" w:lineRule="auto"/>
        <w:ind w:left="851"/>
        <w:jc w:val="both"/>
        <w:rPr>
          <w:rFonts w:ascii="Arial" w:hAnsi="Arial" w:cs="Arial"/>
          <w:i/>
        </w:rPr>
      </w:pPr>
      <w:bookmarkStart w:id="885" w:name="_Toc339853161"/>
      <w:bookmarkStart w:id="886" w:name="_Toc340231931"/>
      <w:r w:rsidRPr="00F01C76">
        <w:rPr>
          <w:rFonts w:ascii="Arial" w:hAnsi="Arial" w:cs="Arial"/>
        </w:rPr>
        <w:t xml:space="preserve">Para el caso de las mujeres que emigraron por motivo de estudios entre noviembre de 2001 y el mismo mes en 2010; se tiene que la tasa de las que se dirigieron a España va disminuyendo desde el primer grupo de edad hasta los 25 años, a partir de dicha edad empieza a incrementar el valor de la tasa hasta los 40 años, y desde esta edad va decreciendo ligeramente; y, de las mujeres que viajaron hacia Estados Unidos tenemos que la cantidad de ellas se va incrementando lentamente hasta los 50 años, en el siguiente grupo etario (de 50 a 55 años) dicha tasa disminuye, pero de aquí en adelante vuelve a incrementarse. Tenemos además que, por cada 1000 mujeres que emigraron para estudiar con edades entre 5 y 10 años 557.88 se fueron a España, 186.63 se dirigieron hacia Estados Unidos, 71.86 hacia Italia y 183.63 a otros países. Para más detalles </w:t>
      </w:r>
      <w:r w:rsidRPr="00F01C76">
        <w:rPr>
          <w:rFonts w:ascii="Arial" w:hAnsi="Arial" w:cs="Arial"/>
          <w:i/>
        </w:rPr>
        <w:t>véase Figura 5.32.</w:t>
      </w:r>
      <w:bookmarkEnd w:id="885"/>
      <w:bookmarkEnd w:id="886"/>
    </w:p>
    <w:p w:rsidR="00F01C76" w:rsidRPr="00F01C76" w:rsidRDefault="00F01C76" w:rsidP="00F01C76">
      <w:pPr>
        <w:spacing w:line="480" w:lineRule="auto"/>
        <w:ind w:left="851"/>
        <w:jc w:val="both"/>
        <w:rPr>
          <w:rFonts w:ascii="Arial" w:hAnsi="Arial" w:cs="Arial"/>
          <w:i/>
        </w:rPr>
      </w:pPr>
    </w:p>
    <w:p w:rsidR="00F01C76" w:rsidRDefault="00F01C76" w:rsidP="00361FCE">
      <w:pPr>
        <w:spacing w:line="480" w:lineRule="auto"/>
        <w:ind w:left="567"/>
        <w:jc w:val="both"/>
        <w:rPr>
          <w:rFonts w:ascii="Arial" w:hAnsi="Arial" w:cs="Arial"/>
        </w:rPr>
        <w:sectPr w:rsidR="00F01C76" w:rsidSect="00455F4F">
          <w:pgSz w:w="11907" w:h="16839" w:code="9"/>
          <w:pgMar w:top="2268" w:right="1361" w:bottom="2268" w:left="2268" w:header="708" w:footer="708" w:gutter="0"/>
          <w:cols w:space="708"/>
          <w:titlePg/>
          <w:docGrid w:linePitch="360"/>
        </w:sectPr>
      </w:pPr>
    </w:p>
    <w:p w:rsidR="00B37F50" w:rsidRPr="00455F4F" w:rsidRDefault="00B37F50" w:rsidP="00B37F50">
      <w:pPr>
        <w:spacing w:line="480" w:lineRule="auto"/>
        <w:rPr>
          <w:rFonts w:ascii="Arial" w:hAnsi="Arial" w:cs="Arial"/>
        </w:rPr>
      </w:pPr>
    </w:p>
    <w:p w:rsidR="00B37F50" w:rsidRPr="00455F4F" w:rsidRDefault="00B37F50" w:rsidP="00B37F50">
      <w:pPr>
        <w:spacing w:line="480" w:lineRule="auto"/>
        <w:rPr>
          <w:rFonts w:ascii="Arial" w:hAnsi="Arial" w:cs="Arial"/>
        </w:rPr>
      </w:pPr>
    </w:p>
    <w:p w:rsidR="00B37F50" w:rsidRPr="00455F4F" w:rsidRDefault="00B37F50" w:rsidP="00B37F50">
      <w:pPr>
        <w:spacing w:line="480" w:lineRule="auto"/>
        <w:rPr>
          <w:rFonts w:ascii="Arial" w:hAnsi="Arial" w:cs="Arial"/>
        </w:rPr>
      </w:pPr>
    </w:p>
    <w:p w:rsidR="00B37F50" w:rsidRPr="00455F4F" w:rsidRDefault="00B37F50" w:rsidP="00B37F50">
      <w:pPr>
        <w:spacing w:line="480" w:lineRule="auto"/>
        <w:rPr>
          <w:rFonts w:ascii="Arial" w:hAnsi="Arial" w:cs="Arial"/>
        </w:rPr>
      </w:pPr>
    </w:p>
    <w:p w:rsidR="00B37F50" w:rsidRPr="00455F4F" w:rsidRDefault="00B37F50" w:rsidP="00B37F50">
      <w:pPr>
        <w:spacing w:line="480" w:lineRule="auto"/>
        <w:rPr>
          <w:rFonts w:ascii="Arial" w:hAnsi="Arial" w:cs="Arial"/>
        </w:rPr>
      </w:pPr>
    </w:p>
    <w:p w:rsidR="00B37F50" w:rsidRPr="00455F4F" w:rsidRDefault="00B37F50" w:rsidP="00B37F50">
      <w:pPr>
        <w:spacing w:line="480" w:lineRule="auto"/>
        <w:rPr>
          <w:rFonts w:ascii="Arial" w:hAnsi="Arial" w:cs="Arial"/>
        </w:rPr>
      </w:pPr>
    </w:p>
    <w:p w:rsidR="00B37F50" w:rsidRPr="00254597" w:rsidRDefault="00B37F50" w:rsidP="00B37F50">
      <w:pPr>
        <w:pStyle w:val="Indice1"/>
      </w:pPr>
      <w:bookmarkStart w:id="887" w:name="_Toc341040747"/>
      <w:r>
        <w:t>CAPÍTULO 6</w:t>
      </w:r>
      <w:bookmarkEnd w:id="887"/>
    </w:p>
    <w:p w:rsidR="00B37F50" w:rsidRPr="00F46587" w:rsidRDefault="00527A09" w:rsidP="00F46587">
      <w:pPr>
        <w:pStyle w:val="Prrafodelista"/>
        <w:numPr>
          <w:ilvl w:val="0"/>
          <w:numId w:val="14"/>
        </w:numPr>
        <w:spacing w:line="480" w:lineRule="auto"/>
        <w:ind w:left="284" w:hanging="284"/>
        <w:jc w:val="both"/>
        <w:rPr>
          <w:sz w:val="32"/>
          <w:szCs w:val="32"/>
        </w:rPr>
      </w:pPr>
      <w:r w:rsidRPr="00F46587">
        <w:rPr>
          <w:rFonts w:ascii="Arial" w:hAnsi="Arial" w:cs="Arial"/>
          <w:b/>
          <w:sz w:val="32"/>
          <w:szCs w:val="32"/>
        </w:rPr>
        <w:t>ANÁLISIS MULTIVARIADO: APLICACIÓN DEL MODELO LOGIT</w:t>
      </w:r>
    </w:p>
    <w:p w:rsidR="005C75BB" w:rsidRDefault="005C75BB" w:rsidP="00F46587">
      <w:pPr>
        <w:pStyle w:val="61"/>
        <w:ind w:left="851"/>
      </w:pPr>
      <w:bookmarkStart w:id="888" w:name="_Toc339275950"/>
      <w:bookmarkStart w:id="889" w:name="_Toc341040748"/>
      <w:r>
        <w:t>Introducción</w:t>
      </w:r>
      <w:bookmarkEnd w:id="888"/>
      <w:bookmarkEnd w:id="889"/>
    </w:p>
    <w:p w:rsidR="005C75BB" w:rsidRDefault="005C75BB" w:rsidP="00F46587">
      <w:pPr>
        <w:spacing w:line="480" w:lineRule="auto"/>
        <w:ind w:left="851"/>
        <w:jc w:val="both"/>
        <w:rPr>
          <w:rFonts w:ascii="Arial" w:hAnsi="Arial" w:cs="Arial"/>
        </w:rPr>
      </w:pPr>
      <w:r w:rsidRPr="006A3169">
        <w:rPr>
          <w:rFonts w:ascii="Arial" w:hAnsi="Arial" w:cs="Arial"/>
        </w:rPr>
        <w:t>En capítulos anteriores de est</w:t>
      </w:r>
      <w:r>
        <w:rPr>
          <w:rFonts w:ascii="Arial" w:hAnsi="Arial" w:cs="Arial"/>
        </w:rPr>
        <w:t>a</w:t>
      </w:r>
      <w:r w:rsidRPr="006A3169">
        <w:rPr>
          <w:rFonts w:ascii="Arial" w:hAnsi="Arial" w:cs="Arial"/>
        </w:rPr>
        <w:t xml:space="preserve"> </w:t>
      </w:r>
      <w:r>
        <w:rPr>
          <w:rFonts w:ascii="Arial" w:hAnsi="Arial" w:cs="Arial"/>
        </w:rPr>
        <w:t xml:space="preserve">investigación </w:t>
      </w:r>
      <w:r w:rsidRPr="006A3169">
        <w:rPr>
          <w:rFonts w:ascii="Arial" w:hAnsi="Arial" w:cs="Arial"/>
        </w:rPr>
        <w:t xml:space="preserve">hemos descrito las características de la población interna migrante, de los extranjeros residentes en el país y de los individuos que durante noviembre de 2001 y noviembre de 2010 </w:t>
      </w:r>
      <w:r>
        <w:rPr>
          <w:rFonts w:ascii="Arial" w:hAnsi="Arial" w:cs="Arial"/>
        </w:rPr>
        <w:t>salieron</w:t>
      </w:r>
      <w:r w:rsidRPr="006A3169">
        <w:rPr>
          <w:rFonts w:ascii="Arial" w:hAnsi="Arial" w:cs="Arial"/>
        </w:rPr>
        <w:t xml:space="preserve"> </w:t>
      </w:r>
      <w:r>
        <w:rPr>
          <w:rFonts w:ascii="Arial" w:hAnsi="Arial" w:cs="Arial"/>
        </w:rPr>
        <w:t>d</w:t>
      </w:r>
      <w:r w:rsidRPr="006A3169">
        <w:rPr>
          <w:rFonts w:ascii="Arial" w:hAnsi="Arial" w:cs="Arial"/>
        </w:rPr>
        <w:t xml:space="preserve">el Ecuador. En este capítulo, </w:t>
      </w:r>
      <w:r>
        <w:rPr>
          <w:rFonts w:ascii="Arial" w:hAnsi="Arial" w:cs="Arial"/>
        </w:rPr>
        <w:t>utilizando modelos lineales generalizados (Regresión Logística)</w:t>
      </w:r>
      <w:r w:rsidRPr="006A3169">
        <w:rPr>
          <w:rFonts w:ascii="Arial" w:hAnsi="Arial" w:cs="Arial"/>
        </w:rPr>
        <w:t xml:space="preserve"> </w:t>
      </w:r>
      <w:r>
        <w:rPr>
          <w:rFonts w:ascii="Arial" w:hAnsi="Arial" w:cs="Arial"/>
        </w:rPr>
        <w:t xml:space="preserve">se </w:t>
      </w:r>
      <w:r w:rsidR="00F46587">
        <w:rPr>
          <w:rFonts w:ascii="Arial" w:hAnsi="Arial" w:cs="Arial"/>
        </w:rPr>
        <w:t>infiere estadísticamente en</w:t>
      </w:r>
      <w:r>
        <w:rPr>
          <w:rFonts w:ascii="Arial" w:hAnsi="Arial" w:cs="Arial"/>
        </w:rPr>
        <w:t xml:space="preserve"> qu</w:t>
      </w:r>
      <w:r w:rsidR="00F46587">
        <w:rPr>
          <w:rFonts w:ascii="Arial" w:hAnsi="Arial" w:cs="Arial"/>
        </w:rPr>
        <w:t>é</w:t>
      </w:r>
      <w:r w:rsidRPr="006A3169">
        <w:rPr>
          <w:rFonts w:ascii="Arial" w:hAnsi="Arial" w:cs="Arial"/>
        </w:rPr>
        <w:t xml:space="preserve"> factores</w:t>
      </w:r>
      <w:r>
        <w:rPr>
          <w:rFonts w:ascii="Arial" w:hAnsi="Arial" w:cs="Arial"/>
        </w:rPr>
        <w:t xml:space="preserve"> influyen en los inmigrantes residentes en Guayaquil, que nacieron en otro lugar del país y que son mayores de 15 años</w:t>
      </w:r>
      <w:r w:rsidR="001029E5">
        <w:rPr>
          <w:rFonts w:ascii="Arial" w:hAnsi="Arial" w:cs="Arial"/>
        </w:rPr>
        <w:t>; y</w:t>
      </w:r>
      <w:r>
        <w:rPr>
          <w:rFonts w:ascii="Arial" w:hAnsi="Arial" w:cs="Arial"/>
        </w:rPr>
        <w:t>, en el nivel de instrucción superior de los estadounidenses residentes en el país</w:t>
      </w:r>
      <w:r w:rsidR="001029E5">
        <w:rPr>
          <w:rFonts w:ascii="Arial" w:hAnsi="Arial" w:cs="Arial"/>
        </w:rPr>
        <w:t xml:space="preserve"> y que son mayores de 17 años</w:t>
      </w:r>
      <w:r>
        <w:rPr>
          <w:rFonts w:ascii="Arial" w:hAnsi="Arial" w:cs="Arial"/>
        </w:rPr>
        <w:t>, en base a los datos obtenidos desde las Bases de datos del VII Censo de Población y VI de Vivienda</w:t>
      </w:r>
      <w:r w:rsidR="00F46587">
        <w:rPr>
          <w:rFonts w:ascii="Arial" w:hAnsi="Arial" w:cs="Arial"/>
        </w:rPr>
        <w:t>, llevado a cabo en noviembre de 2010 por el INEC</w:t>
      </w:r>
      <w:r>
        <w:rPr>
          <w:rFonts w:ascii="Arial" w:hAnsi="Arial" w:cs="Arial"/>
        </w:rPr>
        <w:t>.</w:t>
      </w:r>
    </w:p>
    <w:p w:rsidR="001029E5" w:rsidRDefault="001029E5" w:rsidP="00F46587">
      <w:pPr>
        <w:spacing w:line="480" w:lineRule="auto"/>
        <w:ind w:left="851"/>
        <w:jc w:val="both"/>
        <w:rPr>
          <w:rFonts w:ascii="Arial" w:hAnsi="Arial" w:cs="Arial"/>
        </w:rPr>
      </w:pPr>
    </w:p>
    <w:p w:rsidR="005C75BB" w:rsidRDefault="005C75BB" w:rsidP="00F46587">
      <w:pPr>
        <w:pStyle w:val="61"/>
        <w:ind w:left="851"/>
      </w:pPr>
      <w:bookmarkStart w:id="890" w:name="_Toc339275951"/>
      <w:bookmarkStart w:id="891" w:name="_Toc341040749"/>
      <w:r>
        <w:t>Introducción a la Regresión Logística</w:t>
      </w:r>
      <w:bookmarkEnd w:id="890"/>
      <w:bookmarkEnd w:id="891"/>
    </w:p>
    <w:p w:rsidR="005C75BB" w:rsidRPr="00F46587" w:rsidRDefault="005C75BB" w:rsidP="00F46587">
      <w:pPr>
        <w:spacing w:line="480" w:lineRule="auto"/>
        <w:ind w:left="851"/>
        <w:jc w:val="both"/>
        <w:rPr>
          <w:rFonts w:ascii="Arial" w:hAnsi="Arial" w:cs="Arial"/>
          <w:b/>
        </w:rPr>
      </w:pPr>
      <w:bookmarkStart w:id="892" w:name="_Toc339853165"/>
      <w:bookmarkStart w:id="893" w:name="_Toc340231935"/>
      <w:r w:rsidRPr="00F46587">
        <w:rPr>
          <w:rFonts w:ascii="Arial" w:hAnsi="Arial" w:cs="Arial"/>
        </w:rPr>
        <w:t>El modelo de regresión logística se utiliza para estimar la probabilidad P(Y), donde la variable binomial Y asume uno de los dos valores (1 ó 0) en función de los diferentes valores que adoptan el conjunto de variables independientes X</w:t>
      </w:r>
      <w:r w:rsidRPr="00F46587">
        <w:rPr>
          <w:rFonts w:ascii="Arial" w:hAnsi="Arial" w:cs="Arial"/>
          <w:vertAlign w:val="subscript"/>
        </w:rPr>
        <w:t>1</w:t>
      </w:r>
      <w:r w:rsidRPr="00F46587">
        <w:rPr>
          <w:rFonts w:ascii="Arial" w:hAnsi="Arial" w:cs="Arial"/>
        </w:rPr>
        <w:t>, X</w:t>
      </w:r>
      <w:r w:rsidRPr="00F46587">
        <w:rPr>
          <w:rFonts w:ascii="Arial" w:hAnsi="Arial" w:cs="Arial"/>
          <w:vertAlign w:val="subscript"/>
        </w:rPr>
        <w:t>2</w:t>
      </w:r>
      <w:r w:rsidRPr="00F46587">
        <w:rPr>
          <w:rFonts w:ascii="Arial" w:hAnsi="Arial" w:cs="Arial"/>
        </w:rPr>
        <w:t>, …, X</w:t>
      </w:r>
      <w:r w:rsidRPr="00F46587">
        <w:rPr>
          <w:rFonts w:ascii="Arial" w:hAnsi="Arial" w:cs="Arial"/>
          <w:vertAlign w:val="subscript"/>
        </w:rPr>
        <w:t>k</w:t>
      </w:r>
      <w:r w:rsidRPr="00F46587">
        <w:rPr>
          <w:rFonts w:ascii="Arial" w:hAnsi="Arial" w:cs="Arial"/>
        </w:rPr>
        <w:t>. En otras palabras el modelo de regresión logística permite relacionar una variable dependiente dicotómica con una o más variables independientes cualitativas o cuantitativas</w:t>
      </w:r>
      <w:r w:rsidRPr="00F46587">
        <w:rPr>
          <w:rStyle w:val="Refdenotaalpie"/>
          <w:rFonts w:ascii="Arial" w:hAnsi="Arial" w:cs="Arial"/>
        </w:rPr>
        <w:footnoteReference w:id="40"/>
      </w:r>
      <w:r w:rsidRPr="00F46587">
        <w:rPr>
          <w:rFonts w:ascii="Arial" w:hAnsi="Arial" w:cs="Arial"/>
        </w:rPr>
        <w:t>.</w:t>
      </w:r>
      <w:bookmarkEnd w:id="892"/>
      <w:bookmarkEnd w:id="893"/>
    </w:p>
    <w:p w:rsidR="005C75BB" w:rsidRPr="00F46587" w:rsidRDefault="005C75BB" w:rsidP="00F46587">
      <w:pPr>
        <w:spacing w:line="480" w:lineRule="auto"/>
        <w:ind w:left="851"/>
        <w:jc w:val="both"/>
        <w:rPr>
          <w:rFonts w:ascii="Arial" w:hAnsi="Arial" w:cs="Arial"/>
          <w:b/>
        </w:rPr>
      </w:pPr>
    </w:p>
    <w:p w:rsidR="005C75BB" w:rsidRPr="00F46587" w:rsidRDefault="005C75BB" w:rsidP="00F46587">
      <w:pPr>
        <w:spacing w:line="480" w:lineRule="auto"/>
        <w:ind w:left="851"/>
        <w:jc w:val="both"/>
        <w:rPr>
          <w:rFonts w:ascii="Arial" w:hAnsi="Arial" w:cs="Arial"/>
          <w:b/>
        </w:rPr>
      </w:pPr>
      <w:bookmarkStart w:id="894" w:name="_Toc339853166"/>
      <w:bookmarkStart w:id="895" w:name="_Toc340231936"/>
      <w:r w:rsidRPr="00F46587">
        <w:rPr>
          <w:rFonts w:ascii="Arial" w:hAnsi="Arial" w:cs="Arial"/>
        </w:rPr>
        <w:t>Para obtener el modelo logístico tomando como base la función logística, escribim</w:t>
      </w:r>
      <w:r w:rsidR="00F46587">
        <w:rPr>
          <w:rFonts w:ascii="Arial" w:hAnsi="Arial" w:cs="Arial"/>
        </w:rPr>
        <w:t>os z como la combinación lineal</w:t>
      </w:r>
      <w:r w:rsidRPr="00F46587">
        <w:rPr>
          <w:rStyle w:val="Refdenotaalpie"/>
          <w:rFonts w:ascii="Arial" w:hAnsi="Arial" w:cs="Arial"/>
        </w:rPr>
        <w:footnoteReference w:id="41"/>
      </w:r>
      <w:bookmarkEnd w:id="894"/>
      <w:bookmarkEnd w:id="895"/>
      <w:r w:rsidR="00F46587">
        <w:rPr>
          <w:rFonts w:ascii="Arial" w:hAnsi="Arial" w:cs="Arial"/>
        </w:rPr>
        <w:t>,</w:t>
      </w:r>
    </w:p>
    <w:p w:rsidR="005C75BB" w:rsidRPr="00E067DD" w:rsidRDefault="005C75BB" w:rsidP="005C75BB">
      <w:pPr>
        <w:pStyle w:val="TesisTitulo10"/>
        <w:numPr>
          <w:ilvl w:val="0"/>
          <w:numId w:val="0"/>
        </w:numPr>
        <w:ind w:left="567"/>
        <w:jc w:val="center"/>
        <w:rPr>
          <w:b w:val="0"/>
          <w:sz w:val="10"/>
          <w:szCs w:val="10"/>
        </w:rPr>
      </w:pPr>
    </w:p>
    <w:p w:rsidR="00F46587" w:rsidRDefault="005C75BB" w:rsidP="00F46587">
      <w:pPr>
        <w:spacing w:line="480" w:lineRule="auto"/>
        <w:ind w:left="851"/>
        <w:rPr>
          <w:rFonts w:ascii="Arial" w:hAnsi="Arial" w:cs="Arial"/>
          <w:vertAlign w:val="subscript"/>
        </w:rPr>
      </w:pPr>
      <w:bookmarkStart w:id="896" w:name="_Toc339853167"/>
      <w:bookmarkStart w:id="897" w:name="_Toc340231937"/>
      <w:r w:rsidRPr="00F46587">
        <w:rPr>
          <w:rFonts w:ascii="Arial" w:hAnsi="Arial" w:cs="Arial"/>
        </w:rPr>
        <w:t xml:space="preserve">z = </w:t>
      </w:r>
      <w:r w:rsidRPr="00F46587">
        <w:rPr>
          <w:rFonts w:ascii="Arial" w:hAnsi="Arial" w:cs="Arial"/>
        </w:rPr>
        <w:sym w:font="Symbol" w:char="F020"/>
      </w:r>
      <w:r w:rsidR="00F46587" w:rsidRPr="00F46587">
        <w:rPr>
          <w:rFonts w:ascii="Arial" w:hAnsi="Arial" w:cs="Arial"/>
        </w:rPr>
        <w:sym w:font="Symbol" w:char="F062"/>
      </w:r>
      <w:r w:rsidR="00F46587">
        <w:rPr>
          <w:rFonts w:ascii="Arial" w:hAnsi="Arial" w:cs="Arial"/>
          <w:vertAlign w:val="subscript"/>
        </w:rPr>
        <w:t>0</w:t>
      </w:r>
      <w:r w:rsidRPr="00F46587">
        <w:rPr>
          <w:rFonts w:ascii="Arial" w:hAnsi="Arial" w:cs="Arial"/>
        </w:rPr>
        <w:t xml:space="preserve"> + </w:t>
      </w:r>
      <w:r w:rsidRPr="00F46587">
        <w:rPr>
          <w:rFonts w:ascii="Arial" w:hAnsi="Arial" w:cs="Arial"/>
        </w:rPr>
        <w:sym w:font="Symbol" w:char="F062"/>
      </w:r>
      <w:r w:rsidR="00F46587">
        <w:rPr>
          <w:rFonts w:ascii="Arial" w:hAnsi="Arial" w:cs="Arial"/>
          <w:vertAlign w:val="subscript"/>
        </w:rPr>
        <w:t>1</w:t>
      </w:r>
      <w:r w:rsidRPr="00F46587">
        <w:rPr>
          <w:rFonts w:ascii="Arial" w:hAnsi="Arial" w:cs="Arial"/>
        </w:rPr>
        <w:t>X</w:t>
      </w:r>
      <w:r w:rsidR="00F46587">
        <w:rPr>
          <w:rFonts w:ascii="Arial" w:hAnsi="Arial" w:cs="Arial"/>
          <w:vertAlign w:val="subscript"/>
        </w:rPr>
        <w:t>1</w:t>
      </w:r>
      <w:r w:rsidRPr="00F46587">
        <w:rPr>
          <w:rFonts w:ascii="Arial" w:hAnsi="Arial" w:cs="Arial"/>
        </w:rPr>
        <w:t xml:space="preserve"> + </w:t>
      </w:r>
      <w:r w:rsidRPr="00F46587">
        <w:rPr>
          <w:rFonts w:ascii="Arial" w:hAnsi="Arial" w:cs="Arial"/>
        </w:rPr>
        <w:sym w:font="Symbol" w:char="F062"/>
      </w:r>
      <w:r w:rsidR="00F46587">
        <w:rPr>
          <w:rFonts w:ascii="Arial" w:hAnsi="Arial" w:cs="Arial"/>
          <w:vertAlign w:val="subscript"/>
        </w:rPr>
        <w:t>2</w:t>
      </w:r>
      <w:r w:rsidRPr="00F46587">
        <w:rPr>
          <w:rFonts w:ascii="Arial" w:hAnsi="Arial" w:cs="Arial"/>
        </w:rPr>
        <w:t>X</w:t>
      </w:r>
      <w:r w:rsidR="00F46587">
        <w:rPr>
          <w:rFonts w:ascii="Arial" w:hAnsi="Arial" w:cs="Arial"/>
          <w:vertAlign w:val="subscript"/>
        </w:rPr>
        <w:t>2</w:t>
      </w:r>
      <w:r w:rsidRPr="00F46587">
        <w:rPr>
          <w:rFonts w:ascii="Arial" w:hAnsi="Arial" w:cs="Arial"/>
        </w:rPr>
        <w:t xml:space="preserve"> + … + </w:t>
      </w:r>
      <w:r w:rsidRPr="00F46587">
        <w:rPr>
          <w:rFonts w:ascii="Arial" w:hAnsi="Arial" w:cs="Arial"/>
        </w:rPr>
        <w:sym w:font="Symbol" w:char="F062"/>
      </w:r>
      <w:r w:rsidRPr="00F46587">
        <w:rPr>
          <w:rFonts w:ascii="Arial" w:hAnsi="Arial" w:cs="Arial"/>
          <w:vertAlign w:val="subscript"/>
        </w:rPr>
        <w:t>k</w:t>
      </w:r>
      <w:r w:rsidRPr="00F46587">
        <w:rPr>
          <w:rFonts w:ascii="Arial" w:hAnsi="Arial" w:cs="Arial"/>
        </w:rPr>
        <w:t>X</w:t>
      </w:r>
      <w:r w:rsidRPr="00F46587">
        <w:rPr>
          <w:rFonts w:ascii="Arial" w:hAnsi="Arial" w:cs="Arial"/>
          <w:vertAlign w:val="subscript"/>
        </w:rPr>
        <w:t>k</w:t>
      </w:r>
      <w:bookmarkEnd w:id="896"/>
      <w:bookmarkEnd w:id="897"/>
    </w:p>
    <w:p w:rsidR="00F46587" w:rsidRPr="00F46587" w:rsidRDefault="00F46587" w:rsidP="00F46587">
      <w:pPr>
        <w:spacing w:line="480" w:lineRule="auto"/>
        <w:ind w:left="851"/>
        <w:rPr>
          <w:rFonts w:ascii="Arial" w:hAnsi="Arial" w:cs="Arial"/>
        </w:rPr>
      </w:pPr>
      <w:r w:rsidRPr="00F46587">
        <w:rPr>
          <w:rFonts w:ascii="Arial" w:hAnsi="Arial" w:cs="Arial"/>
          <w:position w:val="-32"/>
        </w:rPr>
        <w:object w:dxaOrig="1120" w:dyaOrig="720">
          <v:shape id="_x0000_i1071" type="#_x0000_t75" style="width:56.25pt;height:36pt" o:ole="">
            <v:imagedata r:id="rId281" o:title=""/>
          </v:shape>
          <o:OLEObject Type="Embed" ProgID="Equation.3" ShapeID="_x0000_i1071" DrawAspect="Content" ObjectID="_1415677160" r:id="rId282"/>
        </w:object>
      </w:r>
    </w:p>
    <w:p w:rsidR="005C75BB" w:rsidRPr="00F46587" w:rsidRDefault="005C75BB" w:rsidP="00F46587">
      <w:pPr>
        <w:spacing w:line="480" w:lineRule="auto"/>
        <w:ind w:left="851"/>
        <w:jc w:val="both"/>
        <w:rPr>
          <w:rFonts w:ascii="Arial" w:hAnsi="Arial" w:cs="Arial"/>
          <w:b/>
        </w:rPr>
      </w:pPr>
      <w:bookmarkStart w:id="898" w:name="_Toc339853168"/>
      <w:bookmarkStart w:id="899" w:name="_Toc340231938"/>
      <w:r w:rsidRPr="00F46587">
        <w:rPr>
          <w:rFonts w:ascii="Arial" w:hAnsi="Arial" w:cs="Arial"/>
        </w:rPr>
        <w:t xml:space="preserve">donde las X’s son variables independientes y </w:t>
      </w:r>
      <w:r w:rsidRPr="00F46587">
        <w:rPr>
          <w:rFonts w:ascii="Arial" w:hAnsi="Arial" w:cs="Arial"/>
        </w:rPr>
        <w:sym w:font="Symbol" w:char="F061"/>
      </w:r>
      <w:r w:rsidRPr="00F46587">
        <w:rPr>
          <w:rFonts w:ascii="Arial" w:hAnsi="Arial" w:cs="Arial"/>
        </w:rPr>
        <w:t xml:space="preserve"> y </w:t>
      </w:r>
      <w:r w:rsidRPr="00F46587">
        <w:rPr>
          <w:rFonts w:ascii="Arial" w:hAnsi="Arial" w:cs="Arial"/>
        </w:rPr>
        <w:sym w:font="Symbol" w:char="F062"/>
      </w:r>
      <w:r w:rsidRPr="00F46587">
        <w:rPr>
          <w:rFonts w:ascii="Arial" w:hAnsi="Arial" w:cs="Arial"/>
          <w:vertAlign w:val="subscript"/>
        </w:rPr>
        <w:t>i</w:t>
      </w:r>
      <w:r w:rsidRPr="00F46587">
        <w:rPr>
          <w:rFonts w:ascii="Arial" w:hAnsi="Arial" w:cs="Arial"/>
        </w:rPr>
        <w:t xml:space="preserve"> son constantes. Luego, substituimos la expresión de z en el lado derecho de la expresión de g(z)</w:t>
      </w:r>
      <w:bookmarkEnd w:id="898"/>
      <w:bookmarkEnd w:id="899"/>
    </w:p>
    <w:bookmarkStart w:id="900" w:name="_Toc339853169"/>
    <w:bookmarkStart w:id="901" w:name="_Toc340231939"/>
    <w:bookmarkEnd w:id="900"/>
    <w:bookmarkEnd w:id="901"/>
    <w:p w:rsidR="005C75BB" w:rsidRPr="00F46587" w:rsidRDefault="005C75BB" w:rsidP="00F46587">
      <w:pPr>
        <w:spacing w:line="480" w:lineRule="auto"/>
        <w:ind w:left="851"/>
        <w:rPr>
          <w:rFonts w:ascii="Arial" w:hAnsi="Arial" w:cs="Arial"/>
          <w:b/>
        </w:rPr>
      </w:pPr>
      <w:r w:rsidRPr="00F46587">
        <w:rPr>
          <w:rFonts w:ascii="Arial" w:hAnsi="Arial" w:cs="Arial"/>
          <w:position w:val="-58"/>
        </w:rPr>
        <w:object w:dxaOrig="2920" w:dyaOrig="960">
          <v:shape id="_x0000_i1072" type="#_x0000_t75" style="width:146.25pt;height:48pt" o:ole="">
            <v:imagedata r:id="rId283" o:title=""/>
          </v:shape>
          <o:OLEObject Type="Embed" ProgID="Equation.3" ShapeID="_x0000_i1072" DrawAspect="Content" ObjectID="_1415677161" r:id="rId284"/>
        </w:object>
      </w:r>
    </w:p>
    <w:p w:rsidR="005C75BB" w:rsidRPr="00F46587" w:rsidRDefault="005C75BB" w:rsidP="00F46587">
      <w:pPr>
        <w:spacing w:line="480" w:lineRule="auto"/>
        <w:ind w:left="851"/>
        <w:jc w:val="both"/>
        <w:rPr>
          <w:rFonts w:ascii="Arial" w:hAnsi="Arial" w:cs="Arial"/>
          <w:b/>
        </w:rPr>
      </w:pPr>
      <w:bookmarkStart w:id="902" w:name="_Toc339853170"/>
      <w:bookmarkStart w:id="903" w:name="_Toc340231940"/>
      <w:r w:rsidRPr="00F46587">
        <w:rPr>
          <w:rFonts w:ascii="Arial" w:hAnsi="Arial" w:cs="Arial"/>
        </w:rPr>
        <w:t>Lo que deseamos es usar la información para describir la probabilidad de que un evento que fue etiquetado por “1” suceda durante el período de estudio, en términos de un conjunto de variables independientes X</w:t>
      </w:r>
      <w:r w:rsidRPr="00F46587">
        <w:rPr>
          <w:rFonts w:ascii="Arial" w:hAnsi="Arial" w:cs="Arial"/>
          <w:vertAlign w:val="subscript"/>
        </w:rPr>
        <w:t>1</w:t>
      </w:r>
      <w:r w:rsidRPr="00F46587">
        <w:rPr>
          <w:rFonts w:ascii="Arial" w:hAnsi="Arial" w:cs="Arial"/>
        </w:rPr>
        <w:t>, X</w:t>
      </w:r>
      <w:r w:rsidRPr="00F46587">
        <w:rPr>
          <w:rFonts w:ascii="Arial" w:hAnsi="Arial" w:cs="Arial"/>
          <w:vertAlign w:val="subscript"/>
        </w:rPr>
        <w:t>2</w:t>
      </w:r>
      <w:r w:rsidRPr="00F46587">
        <w:rPr>
          <w:rFonts w:ascii="Arial" w:hAnsi="Arial" w:cs="Arial"/>
        </w:rPr>
        <w:t>, …, X</w:t>
      </w:r>
      <w:r w:rsidRPr="00F46587">
        <w:rPr>
          <w:rFonts w:ascii="Arial" w:hAnsi="Arial" w:cs="Arial"/>
          <w:vertAlign w:val="subscript"/>
        </w:rPr>
        <w:t>k</w:t>
      </w:r>
      <w:r w:rsidRPr="00F46587">
        <w:rPr>
          <w:rFonts w:ascii="Arial" w:hAnsi="Arial" w:cs="Arial"/>
        </w:rPr>
        <w:t>; esta probabilidad viene dada por la probabilidad condicional</w:t>
      </w:r>
      <w:bookmarkEnd w:id="902"/>
      <w:bookmarkEnd w:id="903"/>
      <w:r w:rsidR="00F46587">
        <w:rPr>
          <w:rFonts w:ascii="Arial" w:hAnsi="Arial" w:cs="Arial"/>
        </w:rPr>
        <w:t>,</w:t>
      </w:r>
    </w:p>
    <w:p w:rsidR="005C75BB" w:rsidRPr="00F46587" w:rsidRDefault="005C75BB" w:rsidP="00F46587">
      <w:pPr>
        <w:spacing w:line="480" w:lineRule="auto"/>
        <w:ind w:left="851"/>
        <w:rPr>
          <w:rFonts w:ascii="Arial" w:hAnsi="Arial" w:cs="Arial"/>
          <w:b/>
        </w:rPr>
      </w:pPr>
      <w:bookmarkStart w:id="904" w:name="_Toc339853171"/>
      <w:bookmarkStart w:id="905" w:name="_Toc340231941"/>
      <w:r w:rsidRPr="00F46587">
        <w:rPr>
          <w:rFonts w:ascii="Arial" w:hAnsi="Arial" w:cs="Arial"/>
        </w:rPr>
        <w:t>P(Y = 1 | X</w:t>
      </w:r>
      <w:r w:rsidRPr="00F46587">
        <w:rPr>
          <w:rFonts w:ascii="Arial" w:hAnsi="Arial" w:cs="Arial"/>
          <w:vertAlign w:val="subscript"/>
        </w:rPr>
        <w:t>1</w:t>
      </w:r>
      <w:r w:rsidRPr="00F46587">
        <w:rPr>
          <w:rFonts w:ascii="Arial" w:hAnsi="Arial" w:cs="Arial"/>
        </w:rPr>
        <w:t>, X</w:t>
      </w:r>
      <w:r w:rsidRPr="00F46587">
        <w:rPr>
          <w:rFonts w:ascii="Arial" w:hAnsi="Arial" w:cs="Arial"/>
          <w:vertAlign w:val="subscript"/>
        </w:rPr>
        <w:t>2</w:t>
      </w:r>
      <w:r w:rsidRPr="00F46587">
        <w:rPr>
          <w:rFonts w:ascii="Arial" w:hAnsi="Arial" w:cs="Arial"/>
        </w:rPr>
        <w:t>, …, X</w:t>
      </w:r>
      <w:r w:rsidRPr="00F46587">
        <w:rPr>
          <w:rFonts w:ascii="Arial" w:hAnsi="Arial" w:cs="Arial"/>
          <w:vertAlign w:val="subscript"/>
        </w:rPr>
        <w:t>k</w:t>
      </w:r>
      <w:r w:rsidRPr="00F46587">
        <w:rPr>
          <w:rFonts w:ascii="Arial" w:hAnsi="Arial" w:cs="Arial"/>
        </w:rPr>
        <w:t>)</w:t>
      </w:r>
      <w:bookmarkEnd w:id="904"/>
      <w:bookmarkEnd w:id="905"/>
    </w:p>
    <w:p w:rsidR="005C75BB" w:rsidRPr="00F46587" w:rsidRDefault="005C75BB" w:rsidP="00F46587">
      <w:pPr>
        <w:spacing w:line="480" w:lineRule="auto"/>
        <w:ind w:left="851"/>
        <w:jc w:val="both"/>
        <w:rPr>
          <w:rFonts w:ascii="Arial" w:hAnsi="Arial" w:cs="Arial"/>
          <w:b/>
        </w:rPr>
      </w:pPr>
      <w:bookmarkStart w:id="906" w:name="_Toc339853172"/>
      <w:bookmarkStart w:id="907" w:name="_Toc340231942"/>
      <w:r w:rsidRPr="00F46587">
        <w:rPr>
          <w:rFonts w:ascii="Arial" w:hAnsi="Arial" w:cs="Arial"/>
        </w:rPr>
        <w:t>El modelo es definido como logístico si la expresión para la probabilidad de ocurrencia de un evento, dado los valores de X’s, es equivalente a la expresión</w:t>
      </w:r>
      <w:bookmarkEnd w:id="906"/>
      <w:bookmarkEnd w:id="907"/>
    </w:p>
    <w:bookmarkStart w:id="908" w:name="_Toc339853173"/>
    <w:bookmarkStart w:id="909" w:name="_Toc340231943"/>
    <w:bookmarkEnd w:id="908"/>
    <w:bookmarkEnd w:id="909"/>
    <w:p w:rsidR="005C75BB" w:rsidRPr="00F46587" w:rsidRDefault="00F46587" w:rsidP="00F46587">
      <w:pPr>
        <w:spacing w:line="480" w:lineRule="auto"/>
        <w:ind w:left="851"/>
        <w:rPr>
          <w:rFonts w:ascii="Arial" w:hAnsi="Arial" w:cs="Arial"/>
          <w:b/>
        </w:rPr>
      </w:pPr>
      <w:r w:rsidRPr="00F46587">
        <w:rPr>
          <w:rFonts w:ascii="Arial" w:hAnsi="Arial" w:cs="Arial"/>
          <w:position w:val="-58"/>
        </w:rPr>
        <w:object w:dxaOrig="3820" w:dyaOrig="940">
          <v:shape id="_x0000_i1073" type="#_x0000_t75" style="width:191.25pt;height:47.25pt" o:ole="">
            <v:imagedata r:id="rId285" o:title=""/>
          </v:shape>
          <o:OLEObject Type="Embed" ProgID="Equation.3" ShapeID="_x0000_i1073" DrawAspect="Content" ObjectID="_1415677162" r:id="rId286"/>
        </w:object>
      </w:r>
    </w:p>
    <w:p w:rsidR="005C75BB" w:rsidRPr="00F46587" w:rsidRDefault="005C75BB" w:rsidP="00F46587">
      <w:pPr>
        <w:spacing w:line="480" w:lineRule="auto"/>
        <w:ind w:left="851"/>
        <w:jc w:val="both"/>
        <w:rPr>
          <w:rFonts w:ascii="Arial" w:hAnsi="Arial" w:cs="Arial"/>
          <w:b/>
        </w:rPr>
      </w:pPr>
      <w:bookmarkStart w:id="910" w:name="_Toc339853174"/>
      <w:bookmarkStart w:id="911" w:name="_Toc340231944"/>
      <w:r w:rsidRPr="00F46587">
        <w:rPr>
          <w:rFonts w:ascii="Arial" w:hAnsi="Arial" w:cs="Arial"/>
        </w:rPr>
        <w:t xml:space="preserve">Los términos </w:t>
      </w:r>
      <w:r w:rsidRPr="00F46587">
        <w:rPr>
          <w:rFonts w:ascii="Arial" w:hAnsi="Arial" w:cs="Arial"/>
        </w:rPr>
        <w:sym w:font="Symbol" w:char="F062"/>
      </w:r>
      <w:r w:rsidRPr="00F46587">
        <w:rPr>
          <w:rFonts w:ascii="Arial" w:hAnsi="Arial" w:cs="Arial"/>
          <w:vertAlign w:val="subscript"/>
        </w:rPr>
        <w:t>i</w:t>
      </w:r>
      <w:r w:rsidRPr="00F46587">
        <w:rPr>
          <w:rFonts w:ascii="Arial" w:hAnsi="Arial" w:cs="Arial"/>
        </w:rPr>
        <w:t xml:space="preserve"> en este modelo representan parámetros desconocidos que podemos estimar en base a los datos obtenidos de los X’s y de Y para un grupo de individuos. Ahora, vamos a denotar a P(Y = 1 | X</w:t>
      </w:r>
      <w:r w:rsidRPr="00F46587">
        <w:rPr>
          <w:rFonts w:ascii="Arial" w:hAnsi="Arial" w:cs="Arial"/>
          <w:vertAlign w:val="subscript"/>
        </w:rPr>
        <w:t>1</w:t>
      </w:r>
      <w:r w:rsidRPr="00F46587">
        <w:rPr>
          <w:rFonts w:ascii="Arial" w:hAnsi="Arial" w:cs="Arial"/>
        </w:rPr>
        <w:t>, X</w:t>
      </w:r>
      <w:r w:rsidRPr="00F46587">
        <w:rPr>
          <w:rFonts w:ascii="Arial" w:hAnsi="Arial" w:cs="Arial"/>
          <w:vertAlign w:val="subscript"/>
        </w:rPr>
        <w:t>2</w:t>
      </w:r>
      <w:r w:rsidRPr="00F46587">
        <w:rPr>
          <w:rFonts w:ascii="Arial" w:hAnsi="Arial" w:cs="Arial"/>
        </w:rPr>
        <w:t>, …, X</w:t>
      </w:r>
      <w:r w:rsidRPr="00F46587">
        <w:rPr>
          <w:rFonts w:ascii="Arial" w:hAnsi="Arial" w:cs="Arial"/>
          <w:vertAlign w:val="subscript"/>
        </w:rPr>
        <w:t>k</w:t>
      </w:r>
      <w:r w:rsidRPr="00F46587">
        <w:rPr>
          <w:rFonts w:ascii="Arial" w:hAnsi="Arial" w:cs="Arial"/>
        </w:rPr>
        <w:t>) por P(</w:t>
      </w:r>
      <w:r w:rsidRPr="00F46587">
        <w:rPr>
          <w:rFonts w:ascii="Arial" w:hAnsi="Arial" w:cs="Arial"/>
          <w:b/>
        </w:rPr>
        <w:t>X</w:t>
      </w:r>
      <w:r w:rsidRPr="00F46587">
        <w:rPr>
          <w:rFonts w:ascii="Arial" w:hAnsi="Arial" w:cs="Arial"/>
        </w:rPr>
        <w:t xml:space="preserve">), tal que </w:t>
      </w:r>
      <w:r w:rsidRPr="00F46587">
        <w:rPr>
          <w:rFonts w:ascii="Arial" w:hAnsi="Arial" w:cs="Arial"/>
          <w:b/>
        </w:rPr>
        <w:t>X</w:t>
      </w:r>
      <w:r w:rsidRPr="00F46587">
        <w:rPr>
          <w:rFonts w:ascii="Arial" w:hAnsi="Arial" w:cs="Arial"/>
          <w:vertAlign w:val="superscript"/>
        </w:rPr>
        <w:t>T</w:t>
      </w:r>
      <w:r w:rsidRPr="00F46587">
        <w:rPr>
          <w:rFonts w:ascii="Arial" w:hAnsi="Arial" w:cs="Arial"/>
        </w:rPr>
        <w:t xml:space="preserve"> = (X</w:t>
      </w:r>
      <w:r w:rsidRPr="00F46587">
        <w:rPr>
          <w:rFonts w:ascii="Arial" w:hAnsi="Arial" w:cs="Arial"/>
          <w:vertAlign w:val="subscript"/>
        </w:rPr>
        <w:t>1</w:t>
      </w:r>
      <w:r w:rsidRPr="00F46587">
        <w:rPr>
          <w:rFonts w:ascii="Arial" w:hAnsi="Arial" w:cs="Arial"/>
        </w:rPr>
        <w:t xml:space="preserve">  X</w:t>
      </w:r>
      <w:r w:rsidRPr="00F46587">
        <w:rPr>
          <w:rFonts w:ascii="Arial" w:hAnsi="Arial" w:cs="Arial"/>
          <w:vertAlign w:val="subscript"/>
        </w:rPr>
        <w:t>2</w:t>
      </w:r>
      <w:r w:rsidRPr="00F46587">
        <w:rPr>
          <w:rFonts w:ascii="Arial" w:hAnsi="Arial" w:cs="Arial"/>
        </w:rPr>
        <w:t xml:space="preserve">  …  X</w:t>
      </w:r>
      <w:r w:rsidRPr="00F46587">
        <w:rPr>
          <w:rFonts w:ascii="Arial" w:hAnsi="Arial" w:cs="Arial"/>
          <w:vertAlign w:val="subscript"/>
        </w:rPr>
        <w:t>k</w:t>
      </w:r>
      <w:r w:rsidRPr="00F46587">
        <w:rPr>
          <w:rFonts w:ascii="Arial" w:hAnsi="Arial" w:cs="Arial"/>
        </w:rPr>
        <w:t>).</w:t>
      </w:r>
      <w:bookmarkEnd w:id="910"/>
      <w:bookmarkEnd w:id="911"/>
    </w:p>
    <w:p w:rsidR="005C75BB" w:rsidRPr="00F46587" w:rsidRDefault="005C75BB" w:rsidP="00F46587">
      <w:pPr>
        <w:spacing w:line="480" w:lineRule="auto"/>
        <w:ind w:left="851"/>
        <w:jc w:val="both"/>
        <w:rPr>
          <w:rFonts w:ascii="Arial" w:hAnsi="Arial" w:cs="Arial"/>
          <w:b/>
        </w:rPr>
      </w:pPr>
    </w:p>
    <w:p w:rsidR="005C75BB" w:rsidRPr="00F46587" w:rsidRDefault="005C75BB" w:rsidP="00F46587">
      <w:pPr>
        <w:spacing w:line="480" w:lineRule="auto"/>
        <w:ind w:left="851"/>
        <w:jc w:val="both"/>
        <w:rPr>
          <w:rFonts w:ascii="Arial" w:hAnsi="Arial" w:cs="Arial"/>
          <w:b/>
        </w:rPr>
      </w:pPr>
      <w:bookmarkStart w:id="912" w:name="_Toc339853175"/>
      <w:bookmarkStart w:id="913" w:name="_Toc340231945"/>
      <w:r w:rsidRPr="00F46587">
        <w:rPr>
          <w:rFonts w:ascii="Arial" w:hAnsi="Arial" w:cs="Arial"/>
        </w:rPr>
        <w:t>Así como obtuvimos una expresión matemática para P(X), podemos determinar a partir de dicha expresión otra para 1 – P(X)</w:t>
      </w:r>
      <w:bookmarkEnd w:id="912"/>
      <w:bookmarkEnd w:id="913"/>
    </w:p>
    <w:p w:rsidR="005C75BB" w:rsidRPr="00F46587" w:rsidRDefault="005C75BB" w:rsidP="00F46587">
      <w:pPr>
        <w:spacing w:line="480" w:lineRule="auto"/>
        <w:ind w:left="851"/>
        <w:rPr>
          <w:rFonts w:ascii="Arial" w:hAnsi="Arial" w:cs="Arial"/>
          <w:b/>
        </w:rPr>
      </w:pPr>
      <w:bookmarkStart w:id="914" w:name="_Toc339853176"/>
      <w:bookmarkStart w:id="915" w:name="_Toc340231946"/>
      <w:r w:rsidRPr="00F46587">
        <w:rPr>
          <w:rFonts w:ascii="Arial" w:hAnsi="Arial" w:cs="Arial"/>
        </w:rPr>
        <w:t xml:space="preserve">1 – P(X) = </w:t>
      </w:r>
      <w:bookmarkEnd w:id="914"/>
      <w:bookmarkEnd w:id="915"/>
      <w:r w:rsidR="00F46587" w:rsidRPr="00F46587">
        <w:rPr>
          <w:rFonts w:ascii="Arial" w:hAnsi="Arial" w:cs="Arial"/>
          <w:position w:val="-58"/>
        </w:rPr>
        <w:object w:dxaOrig="1719" w:dyaOrig="940">
          <v:shape id="_x0000_i1074" type="#_x0000_t75" style="width:85.5pt;height:47.25pt" o:ole="">
            <v:imagedata r:id="rId287" o:title=""/>
          </v:shape>
          <o:OLEObject Type="Embed" ProgID="Equation.3" ShapeID="_x0000_i1074" DrawAspect="Content" ObjectID="_1415677163" r:id="rId288"/>
        </w:object>
      </w:r>
    </w:p>
    <w:p w:rsidR="005C75BB" w:rsidRPr="00F46587" w:rsidRDefault="005C75BB" w:rsidP="00F46587">
      <w:pPr>
        <w:spacing w:line="480" w:lineRule="auto"/>
        <w:ind w:left="851"/>
        <w:rPr>
          <w:rFonts w:ascii="Arial" w:hAnsi="Arial" w:cs="Arial"/>
          <w:b/>
        </w:rPr>
      </w:pPr>
      <w:bookmarkStart w:id="916" w:name="_Toc339853177"/>
      <w:bookmarkStart w:id="917" w:name="_Toc340231947"/>
      <w:r w:rsidRPr="00F46587">
        <w:rPr>
          <w:rFonts w:ascii="Arial" w:hAnsi="Arial" w:cs="Arial"/>
        </w:rPr>
        <w:t>1 – P(</w:t>
      </w:r>
      <w:r w:rsidRPr="00F46587">
        <w:rPr>
          <w:rFonts w:ascii="Arial" w:hAnsi="Arial" w:cs="Arial"/>
          <w:b/>
        </w:rPr>
        <w:t>X</w:t>
      </w:r>
      <w:r w:rsidRPr="00F46587">
        <w:rPr>
          <w:rFonts w:ascii="Arial" w:hAnsi="Arial" w:cs="Arial"/>
        </w:rPr>
        <w:t xml:space="preserve">) = </w:t>
      </w:r>
      <w:bookmarkEnd w:id="916"/>
      <w:bookmarkEnd w:id="917"/>
      <w:r w:rsidRPr="00F46587">
        <w:rPr>
          <w:rFonts w:ascii="Arial" w:hAnsi="Arial" w:cs="Arial"/>
          <w:position w:val="-58"/>
        </w:rPr>
        <w:object w:dxaOrig="1359" w:dyaOrig="1260">
          <v:shape id="_x0000_i1075" type="#_x0000_t75" style="width:68.25pt;height:63pt" o:ole="">
            <v:imagedata r:id="rId289" o:title=""/>
          </v:shape>
          <o:OLEObject Type="Embed" ProgID="Equation.3" ShapeID="_x0000_i1075" DrawAspect="Content" ObjectID="_1415677164" r:id="rId290"/>
        </w:object>
      </w:r>
    </w:p>
    <w:p w:rsidR="005C75BB" w:rsidRPr="00F46587" w:rsidRDefault="005C75BB" w:rsidP="00F46587">
      <w:pPr>
        <w:spacing w:line="480" w:lineRule="auto"/>
        <w:ind w:left="851"/>
        <w:jc w:val="both"/>
        <w:rPr>
          <w:rFonts w:ascii="Arial" w:hAnsi="Arial" w:cs="Arial"/>
          <w:b/>
        </w:rPr>
      </w:pPr>
      <w:bookmarkStart w:id="918" w:name="_Toc339853178"/>
      <w:bookmarkStart w:id="919" w:name="_Toc340231948"/>
      <w:r w:rsidRPr="00F46587">
        <w:rPr>
          <w:rFonts w:ascii="Arial" w:hAnsi="Arial" w:cs="Arial"/>
        </w:rPr>
        <w:t>Si dividimos ambos lados de la ecuación de P(X) para 1 – P(X), obtenemos</w:t>
      </w:r>
      <w:bookmarkEnd w:id="918"/>
      <w:bookmarkEnd w:id="919"/>
    </w:p>
    <w:bookmarkStart w:id="920" w:name="_Toc339853179"/>
    <w:bookmarkStart w:id="921" w:name="_Toc340231949"/>
    <w:bookmarkEnd w:id="920"/>
    <w:bookmarkEnd w:id="921"/>
    <w:p w:rsidR="005C75BB" w:rsidRPr="00F46587" w:rsidRDefault="005C75BB" w:rsidP="00F46587">
      <w:pPr>
        <w:spacing w:line="480" w:lineRule="auto"/>
        <w:ind w:left="851"/>
        <w:rPr>
          <w:rFonts w:ascii="Arial" w:hAnsi="Arial" w:cs="Arial"/>
          <w:b/>
        </w:rPr>
      </w:pPr>
      <w:r w:rsidRPr="00F46587">
        <w:rPr>
          <w:rFonts w:ascii="Arial" w:hAnsi="Arial" w:cs="Arial"/>
          <w:position w:val="-118"/>
        </w:rPr>
        <w:object w:dxaOrig="3760" w:dyaOrig="2160">
          <v:shape id="_x0000_i1076" type="#_x0000_t75" style="width:188.25pt;height:108.75pt" o:ole="">
            <v:imagedata r:id="rId291" o:title=""/>
          </v:shape>
          <o:OLEObject Type="Embed" ProgID="Equation.3" ShapeID="_x0000_i1076" DrawAspect="Content" ObjectID="_1415677165" r:id="rId292"/>
        </w:object>
      </w:r>
    </w:p>
    <w:p w:rsidR="005C75BB" w:rsidRPr="00F46587" w:rsidRDefault="005C75BB" w:rsidP="00F46587">
      <w:pPr>
        <w:spacing w:line="480" w:lineRule="auto"/>
        <w:ind w:left="851"/>
        <w:jc w:val="both"/>
        <w:rPr>
          <w:rFonts w:ascii="Arial" w:hAnsi="Arial" w:cs="Arial"/>
          <w:b/>
        </w:rPr>
      </w:pPr>
      <w:bookmarkStart w:id="922" w:name="_Toc339853180"/>
      <w:bookmarkStart w:id="923" w:name="_Toc340231950"/>
      <w:r w:rsidRPr="00F46587">
        <w:rPr>
          <w:rFonts w:ascii="Arial" w:hAnsi="Arial" w:cs="Arial"/>
        </w:rPr>
        <w:t>Y si aplicamos logaritmo natural a ambos lados de la ecuación anterior, obtenemos</w:t>
      </w:r>
      <w:bookmarkEnd w:id="922"/>
      <w:bookmarkEnd w:id="923"/>
    </w:p>
    <w:bookmarkStart w:id="924" w:name="_Toc339853181"/>
    <w:bookmarkStart w:id="925" w:name="_Toc340231951"/>
    <w:bookmarkEnd w:id="924"/>
    <w:bookmarkEnd w:id="925"/>
    <w:p w:rsidR="005C75BB" w:rsidRPr="00F46587" w:rsidRDefault="00F46587" w:rsidP="00F46587">
      <w:pPr>
        <w:spacing w:line="480" w:lineRule="auto"/>
        <w:ind w:left="851"/>
        <w:rPr>
          <w:rFonts w:ascii="Arial" w:hAnsi="Arial" w:cs="Arial"/>
          <w:b/>
          <w:position w:val="-58"/>
        </w:rPr>
      </w:pPr>
      <w:r w:rsidRPr="00F46587">
        <w:rPr>
          <w:rFonts w:ascii="Arial" w:hAnsi="Arial" w:cs="Arial"/>
          <w:position w:val="-32"/>
        </w:rPr>
        <w:object w:dxaOrig="4580" w:dyaOrig="859">
          <v:shape id="_x0000_i1077" type="#_x0000_t75" style="width:228.75pt;height:43.5pt" o:ole="">
            <v:imagedata r:id="rId293" o:title=""/>
          </v:shape>
          <o:OLEObject Type="Embed" ProgID="Equation.3" ShapeID="_x0000_i1077" DrawAspect="Content" ObjectID="_1415677166" r:id="rId294"/>
        </w:object>
      </w:r>
    </w:p>
    <w:p w:rsidR="005C75BB" w:rsidRPr="00F46587" w:rsidRDefault="005C75BB" w:rsidP="00F46587">
      <w:pPr>
        <w:spacing w:line="480" w:lineRule="auto"/>
        <w:ind w:left="851"/>
        <w:jc w:val="both"/>
        <w:rPr>
          <w:rFonts w:ascii="Arial" w:hAnsi="Arial" w:cs="Arial"/>
          <w:b/>
        </w:rPr>
      </w:pPr>
    </w:p>
    <w:p w:rsidR="005C75BB" w:rsidRDefault="005C75BB" w:rsidP="00FF65E6">
      <w:pPr>
        <w:pStyle w:val="62"/>
        <w:ind w:left="1560"/>
      </w:pPr>
      <w:bookmarkStart w:id="926" w:name="_Toc339275952"/>
      <w:bookmarkStart w:id="927" w:name="_Toc341040750"/>
      <w:r>
        <w:t>Odds Ratio</w:t>
      </w:r>
      <w:bookmarkEnd w:id="926"/>
      <w:bookmarkEnd w:id="927"/>
    </w:p>
    <w:p w:rsidR="005C75BB" w:rsidRPr="00FF65E6" w:rsidRDefault="005C75BB" w:rsidP="00FF65E6">
      <w:pPr>
        <w:spacing w:line="480" w:lineRule="auto"/>
        <w:ind w:left="851"/>
        <w:jc w:val="both"/>
        <w:rPr>
          <w:rFonts w:ascii="Arial" w:hAnsi="Arial" w:cs="Arial"/>
        </w:rPr>
      </w:pPr>
      <w:bookmarkStart w:id="928" w:name="_Toc339853183"/>
      <w:bookmarkStart w:id="929" w:name="_Toc340231953"/>
      <w:r w:rsidRPr="00FF65E6">
        <w:rPr>
          <w:rFonts w:ascii="Arial" w:hAnsi="Arial" w:cs="Arial"/>
        </w:rPr>
        <w:t>Se define además el “odds ratio” como</w:t>
      </w:r>
      <w:bookmarkEnd w:id="928"/>
      <w:bookmarkEnd w:id="929"/>
    </w:p>
    <w:bookmarkStart w:id="930" w:name="_Toc339853184"/>
    <w:bookmarkStart w:id="931" w:name="_Toc340231954"/>
    <w:bookmarkEnd w:id="930"/>
    <w:bookmarkEnd w:id="931"/>
    <w:p w:rsidR="005C75BB" w:rsidRPr="00FF65E6" w:rsidRDefault="005C75BB" w:rsidP="00FF65E6">
      <w:pPr>
        <w:spacing w:line="480" w:lineRule="auto"/>
        <w:ind w:left="851"/>
        <w:rPr>
          <w:rFonts w:ascii="Arial" w:hAnsi="Arial" w:cs="Arial"/>
          <w:position w:val="-28"/>
        </w:rPr>
      </w:pPr>
      <w:r w:rsidRPr="00FF65E6">
        <w:rPr>
          <w:rFonts w:ascii="Arial" w:hAnsi="Arial" w:cs="Arial"/>
          <w:position w:val="-28"/>
        </w:rPr>
        <w:object w:dxaOrig="3360" w:dyaOrig="639">
          <v:shape id="_x0000_i1078" type="#_x0000_t75" style="width:168pt;height:32.25pt" o:ole="">
            <v:imagedata r:id="rId295" o:title=""/>
          </v:shape>
          <o:OLEObject Type="Embed" ProgID="Equation.3" ShapeID="_x0000_i1078" DrawAspect="Content" ObjectID="_1415677167" r:id="rId296"/>
        </w:object>
      </w:r>
    </w:p>
    <w:p w:rsidR="005C75BB" w:rsidRPr="00FF65E6" w:rsidRDefault="005C75BB" w:rsidP="00FF65E6">
      <w:pPr>
        <w:spacing w:line="480" w:lineRule="auto"/>
        <w:ind w:left="851"/>
        <w:jc w:val="both"/>
        <w:rPr>
          <w:rFonts w:ascii="Arial" w:hAnsi="Arial" w:cs="Arial"/>
        </w:rPr>
      </w:pPr>
      <w:bookmarkStart w:id="932" w:name="_Toc339853185"/>
      <w:bookmarkStart w:id="933" w:name="_Toc340231955"/>
      <w:r w:rsidRPr="00FF65E6">
        <w:rPr>
          <w:rFonts w:ascii="Arial" w:hAnsi="Arial" w:cs="Arial"/>
        </w:rPr>
        <w:t xml:space="preserve">Que representa la razón estimada de que en un individuo ocurra un evento definido inicialmente como P(Y = 1) y la probabilidad complementaria </w:t>
      </w:r>
      <w:r w:rsidR="00FF65E6">
        <w:rPr>
          <w:rFonts w:ascii="Arial" w:hAnsi="Arial" w:cs="Arial"/>
        </w:rPr>
        <w:t xml:space="preserve">    </w:t>
      </w:r>
      <w:r w:rsidRPr="00FF65E6">
        <w:rPr>
          <w:rFonts w:ascii="Arial" w:hAnsi="Arial" w:cs="Arial"/>
        </w:rPr>
        <w:t>P(Y = 0)</w:t>
      </w:r>
      <w:r w:rsidR="00FF65E6">
        <w:rPr>
          <w:rFonts w:ascii="Arial" w:hAnsi="Arial" w:cs="Arial"/>
        </w:rPr>
        <w:t>; esta expresión ya fue definida al final de la sección previa</w:t>
      </w:r>
      <w:r w:rsidRPr="00FF65E6">
        <w:rPr>
          <w:rFonts w:ascii="Arial" w:hAnsi="Arial" w:cs="Arial"/>
        </w:rPr>
        <w:t>.</w:t>
      </w:r>
      <w:bookmarkEnd w:id="932"/>
      <w:bookmarkEnd w:id="933"/>
      <w:r w:rsidRPr="00FF65E6">
        <w:rPr>
          <w:rFonts w:ascii="Arial" w:hAnsi="Arial" w:cs="Arial"/>
        </w:rPr>
        <w:t xml:space="preserve"> </w:t>
      </w:r>
    </w:p>
    <w:p w:rsidR="005C75BB" w:rsidRPr="00FF65E6" w:rsidRDefault="005C75BB" w:rsidP="00FF65E6">
      <w:pPr>
        <w:spacing w:line="480" w:lineRule="auto"/>
        <w:ind w:left="851"/>
        <w:jc w:val="both"/>
        <w:rPr>
          <w:rFonts w:ascii="Arial" w:hAnsi="Arial" w:cs="Arial"/>
        </w:rPr>
      </w:pPr>
    </w:p>
    <w:p w:rsidR="005C75BB" w:rsidRDefault="005C75BB" w:rsidP="00FF65E6">
      <w:pPr>
        <w:pStyle w:val="62"/>
        <w:ind w:left="1560"/>
      </w:pPr>
      <w:bookmarkStart w:id="934" w:name="_Toc339275953"/>
      <w:bookmarkStart w:id="935" w:name="_Toc341040751"/>
      <w:r>
        <w:t xml:space="preserve">Prueba de la </w:t>
      </w:r>
      <w:r w:rsidR="00FF65E6">
        <w:t>r</w:t>
      </w:r>
      <w:r>
        <w:t xml:space="preserve">azón de </w:t>
      </w:r>
      <w:r w:rsidR="00FF65E6">
        <w:t>v</w:t>
      </w:r>
      <w:r>
        <w:t>erosimilitud</w:t>
      </w:r>
      <w:bookmarkEnd w:id="934"/>
      <w:r w:rsidR="00FF65E6">
        <w:t xml:space="preserve"> o desvianza</w:t>
      </w:r>
      <w:bookmarkEnd w:id="935"/>
    </w:p>
    <w:p w:rsidR="005C75BB" w:rsidRPr="00FF65E6" w:rsidRDefault="005C75BB" w:rsidP="00FF65E6">
      <w:pPr>
        <w:spacing w:line="480" w:lineRule="auto"/>
        <w:ind w:left="851"/>
        <w:jc w:val="both"/>
        <w:rPr>
          <w:rFonts w:ascii="Arial" w:hAnsi="Arial" w:cs="Arial"/>
        </w:rPr>
      </w:pPr>
      <w:bookmarkStart w:id="936" w:name="_Toc339853187"/>
      <w:bookmarkStart w:id="937" w:name="_Toc340231957"/>
      <w:r w:rsidRPr="00FF65E6">
        <w:rPr>
          <w:rFonts w:ascii="Arial" w:hAnsi="Arial" w:cs="Arial"/>
        </w:rPr>
        <w:t>Dentro de este capítulo vamos a tratar acerca de la prueba de la razón de verosimilitud, para comparar un modelo y otro; donde partimos de un modelo completo y luego iremos construyendo nuevos modelos a los cuales se les eliminará alguna de las variables que estaban incluidas en el modelo completo inicial. Siendo el contraste de hipótesis H</w:t>
      </w:r>
      <w:r w:rsidRPr="00FF65E6">
        <w:rPr>
          <w:rFonts w:ascii="Arial" w:hAnsi="Arial" w:cs="Arial"/>
          <w:vertAlign w:val="subscript"/>
        </w:rPr>
        <w:t>0</w:t>
      </w:r>
      <w:r w:rsidRPr="00FF65E6">
        <w:rPr>
          <w:rFonts w:ascii="Arial" w:hAnsi="Arial" w:cs="Arial"/>
        </w:rPr>
        <w:t xml:space="preserve">: </w:t>
      </w:r>
      <w:r w:rsidRPr="00FF65E6">
        <w:rPr>
          <w:rFonts w:ascii="Arial" w:hAnsi="Arial" w:cs="Arial"/>
        </w:rPr>
        <w:sym w:font="Symbol" w:char="F062"/>
      </w:r>
      <w:r w:rsidRPr="00FF65E6">
        <w:rPr>
          <w:rFonts w:ascii="Arial" w:hAnsi="Arial" w:cs="Arial"/>
          <w:vertAlign w:val="subscript"/>
        </w:rPr>
        <w:t>eliminada</w:t>
      </w:r>
      <w:r w:rsidRPr="00FF65E6">
        <w:rPr>
          <w:rFonts w:ascii="Arial" w:hAnsi="Arial" w:cs="Arial"/>
        </w:rPr>
        <w:t xml:space="preserve"> = 0 vs. H</w:t>
      </w:r>
      <w:r w:rsidRPr="00FF65E6">
        <w:rPr>
          <w:rFonts w:ascii="Arial" w:hAnsi="Arial" w:cs="Arial"/>
          <w:vertAlign w:val="subscript"/>
        </w:rPr>
        <w:t>1</w:t>
      </w:r>
      <w:r w:rsidRPr="00FF65E6">
        <w:rPr>
          <w:rFonts w:ascii="Arial" w:hAnsi="Arial" w:cs="Arial"/>
        </w:rPr>
        <w:t xml:space="preserve">: </w:t>
      </w:r>
      <w:r w:rsidRPr="00FF65E6">
        <w:rPr>
          <w:rFonts w:ascii="Arial" w:hAnsi="Arial" w:cs="Arial"/>
        </w:rPr>
        <w:sym w:font="Symbol" w:char="F0D8"/>
      </w:r>
      <w:r w:rsidRPr="00FF65E6">
        <w:rPr>
          <w:rFonts w:ascii="Arial" w:hAnsi="Arial" w:cs="Arial"/>
        </w:rPr>
        <w:t>H</w:t>
      </w:r>
      <w:r w:rsidRPr="00FF65E6">
        <w:rPr>
          <w:rFonts w:ascii="Arial" w:hAnsi="Arial" w:cs="Arial"/>
          <w:vertAlign w:val="subscript"/>
        </w:rPr>
        <w:t>0</w:t>
      </w:r>
      <w:r w:rsidRPr="00FF65E6">
        <w:rPr>
          <w:rFonts w:ascii="Arial" w:hAnsi="Arial" w:cs="Arial"/>
        </w:rPr>
        <w:t>; esta prueba se basa en el estadístico de prueba G, que se calcula como</w:t>
      </w:r>
      <w:r w:rsidRPr="00FF65E6">
        <w:rPr>
          <w:rStyle w:val="Refdenotaalpie"/>
          <w:rFonts w:ascii="Arial" w:hAnsi="Arial" w:cs="Arial"/>
          <w:b/>
        </w:rPr>
        <w:footnoteReference w:id="42"/>
      </w:r>
      <w:r w:rsidRPr="00FF65E6">
        <w:rPr>
          <w:rFonts w:ascii="Arial" w:hAnsi="Arial" w:cs="Arial"/>
        </w:rPr>
        <w:t>:</w:t>
      </w:r>
      <w:bookmarkEnd w:id="936"/>
      <w:bookmarkEnd w:id="937"/>
    </w:p>
    <w:p w:rsidR="005C75BB" w:rsidRPr="00FF65E6" w:rsidRDefault="005C75BB" w:rsidP="00FF65E6">
      <w:pPr>
        <w:spacing w:line="480" w:lineRule="auto"/>
        <w:ind w:left="851"/>
        <w:rPr>
          <w:rFonts w:ascii="Arial" w:hAnsi="Arial" w:cs="Arial"/>
        </w:rPr>
      </w:pPr>
      <w:bookmarkStart w:id="938" w:name="_Toc339853188"/>
      <w:bookmarkStart w:id="939" w:name="_Toc340231958"/>
      <w:r w:rsidRPr="00FF65E6">
        <w:rPr>
          <w:rFonts w:ascii="Arial" w:hAnsi="Arial" w:cs="Arial"/>
        </w:rPr>
        <w:t>G = -2 [log</w:t>
      </w:r>
      <w:r w:rsidRPr="00FF65E6">
        <w:rPr>
          <w:rFonts w:ascii="Arial" w:hAnsi="Arial" w:cs="Arial"/>
          <w:vertAlign w:val="subscript"/>
        </w:rPr>
        <w:t>e</w:t>
      </w:r>
      <w:r w:rsidRPr="00FF65E6">
        <w:rPr>
          <w:rFonts w:ascii="Arial" w:hAnsi="Arial" w:cs="Arial"/>
        </w:rPr>
        <w:t xml:space="preserve">(Verosimitud </w:t>
      </w:r>
      <w:r w:rsidRPr="00FF65E6">
        <w:rPr>
          <w:rFonts w:ascii="Arial" w:hAnsi="Arial" w:cs="Arial"/>
          <w:vertAlign w:val="subscript"/>
        </w:rPr>
        <w:t>modelo reducido</w:t>
      </w:r>
      <w:r w:rsidRPr="00FF65E6">
        <w:rPr>
          <w:rFonts w:ascii="Arial" w:hAnsi="Arial" w:cs="Arial"/>
        </w:rPr>
        <w:t>) - log</w:t>
      </w:r>
      <w:r w:rsidRPr="00FF65E6">
        <w:rPr>
          <w:rFonts w:ascii="Arial" w:hAnsi="Arial" w:cs="Arial"/>
          <w:vertAlign w:val="subscript"/>
        </w:rPr>
        <w:t>e</w:t>
      </w:r>
      <w:r w:rsidRPr="00FF65E6">
        <w:rPr>
          <w:rFonts w:ascii="Arial" w:hAnsi="Arial" w:cs="Arial"/>
        </w:rPr>
        <w:t xml:space="preserve">(Verosimilitud </w:t>
      </w:r>
      <w:r w:rsidRPr="00FF65E6">
        <w:rPr>
          <w:rFonts w:ascii="Arial" w:hAnsi="Arial" w:cs="Arial"/>
          <w:vertAlign w:val="subscript"/>
        </w:rPr>
        <w:t>modelo completo</w:t>
      </w:r>
      <w:r w:rsidRPr="00FF65E6">
        <w:rPr>
          <w:rFonts w:ascii="Arial" w:hAnsi="Arial" w:cs="Arial"/>
        </w:rPr>
        <w:t>)]</w:t>
      </w:r>
      <w:bookmarkEnd w:id="938"/>
      <w:bookmarkEnd w:id="939"/>
    </w:p>
    <w:p w:rsidR="005C75BB" w:rsidRPr="00FF65E6" w:rsidRDefault="005C75BB" w:rsidP="00FF65E6">
      <w:pPr>
        <w:spacing w:line="480" w:lineRule="auto"/>
        <w:ind w:left="851"/>
        <w:jc w:val="both"/>
        <w:rPr>
          <w:rFonts w:ascii="Arial" w:hAnsi="Arial" w:cs="Arial"/>
        </w:rPr>
      </w:pPr>
      <w:bookmarkStart w:id="940" w:name="_Toc339853189"/>
      <w:bookmarkStart w:id="941" w:name="_Toc340231959"/>
      <w:r w:rsidRPr="00FF65E6">
        <w:rPr>
          <w:rFonts w:ascii="Arial" w:hAnsi="Arial" w:cs="Arial"/>
        </w:rPr>
        <w:t>La distribución de G es una Ji-Cuadrado con q grados de libertad, donde q es igual a la diferencia entre los grados de libertad del modelo completo y los grados de libertad del modelo reducido.</w:t>
      </w:r>
      <w:bookmarkEnd w:id="940"/>
      <w:bookmarkEnd w:id="941"/>
      <w:r w:rsidRPr="00FF65E6">
        <w:rPr>
          <w:rFonts w:ascii="Arial" w:hAnsi="Arial" w:cs="Arial"/>
        </w:rPr>
        <w:t xml:space="preserve"> </w:t>
      </w:r>
    </w:p>
    <w:p w:rsidR="005C75BB" w:rsidRPr="00FF65E6" w:rsidRDefault="005C75BB" w:rsidP="00FF65E6">
      <w:pPr>
        <w:spacing w:line="480" w:lineRule="auto"/>
        <w:ind w:left="851"/>
        <w:jc w:val="both"/>
        <w:rPr>
          <w:rFonts w:ascii="Arial" w:hAnsi="Arial" w:cs="Arial"/>
        </w:rPr>
      </w:pPr>
    </w:p>
    <w:p w:rsidR="005C75BB" w:rsidRDefault="005C75BB" w:rsidP="00FF65E6">
      <w:pPr>
        <w:pStyle w:val="61"/>
        <w:ind w:left="851"/>
      </w:pPr>
      <w:bookmarkStart w:id="942" w:name="_Toc339275954"/>
      <w:bookmarkStart w:id="943" w:name="_Toc341040752"/>
      <w:r>
        <w:t>Factores que influyen en los Inmigrantes residentes en Guayaquil, que nacieron en otra zona geográfica y son mayores de 15 años</w:t>
      </w:r>
      <w:bookmarkEnd w:id="942"/>
      <w:bookmarkEnd w:id="943"/>
    </w:p>
    <w:p w:rsidR="005C75BB" w:rsidRPr="00FF65E6" w:rsidRDefault="005C75BB" w:rsidP="00FF65E6">
      <w:pPr>
        <w:spacing w:line="480" w:lineRule="auto"/>
        <w:ind w:left="851"/>
        <w:jc w:val="both"/>
        <w:rPr>
          <w:rFonts w:ascii="Arial" w:hAnsi="Arial" w:cs="Arial"/>
        </w:rPr>
      </w:pPr>
      <w:bookmarkStart w:id="944" w:name="_Toc339853191"/>
      <w:bookmarkStart w:id="945" w:name="_Toc340231961"/>
      <w:r w:rsidRPr="00FF65E6">
        <w:rPr>
          <w:rFonts w:ascii="Arial" w:hAnsi="Arial" w:cs="Arial"/>
        </w:rPr>
        <w:t xml:space="preserve">Dentro de las poblaciones estudiadas en capítulos anteriores de este trabajo de investigación está la </w:t>
      </w:r>
      <w:r w:rsidRPr="00FF65E6">
        <w:rPr>
          <w:rFonts w:ascii="Arial" w:hAnsi="Arial" w:cs="Arial"/>
          <w:i/>
        </w:rPr>
        <w:t>población inmigrante que reside en Guayaquil y que nació en otra ciudad del país</w:t>
      </w:r>
      <w:r w:rsidRPr="00FF65E6">
        <w:rPr>
          <w:rFonts w:ascii="Arial" w:hAnsi="Arial" w:cs="Arial"/>
        </w:rPr>
        <w:t xml:space="preserve">, por tal motivo en esta sección vamos a </w:t>
      </w:r>
      <w:r w:rsidR="00FF65E6">
        <w:rPr>
          <w:rFonts w:ascii="Arial" w:hAnsi="Arial" w:cs="Arial"/>
        </w:rPr>
        <w:t>inferir</w:t>
      </w:r>
      <w:r w:rsidRPr="00FF65E6">
        <w:rPr>
          <w:rFonts w:ascii="Arial" w:hAnsi="Arial" w:cs="Arial"/>
        </w:rPr>
        <w:t xml:space="preserve"> cuales son los factores que influyen en que una persona resida como inmigrante en el cantón Guayaquil. Cabe mencionar que la población sujeta a estudio son los residentes en Guayaquil, tanto nativos como inmigrantes internos de toda la vida, y que tienen 15 años y más.</w:t>
      </w:r>
      <w:bookmarkEnd w:id="944"/>
      <w:bookmarkEnd w:id="945"/>
    </w:p>
    <w:p w:rsidR="005C75BB" w:rsidRPr="00FF65E6" w:rsidRDefault="005C75BB" w:rsidP="00FF65E6">
      <w:pPr>
        <w:spacing w:line="480" w:lineRule="auto"/>
        <w:ind w:left="851"/>
        <w:jc w:val="both"/>
        <w:rPr>
          <w:rFonts w:ascii="Arial" w:hAnsi="Arial" w:cs="Arial"/>
        </w:rPr>
      </w:pPr>
    </w:p>
    <w:p w:rsidR="005C75BB" w:rsidRDefault="005C75BB" w:rsidP="00FF65E6">
      <w:pPr>
        <w:pStyle w:val="62"/>
        <w:ind w:left="1560"/>
      </w:pPr>
      <w:bookmarkStart w:id="946" w:name="_Toc339275955"/>
      <w:bookmarkStart w:id="947" w:name="_Toc341040753"/>
      <w:r>
        <w:t>Selección de una muestra</w:t>
      </w:r>
      <w:bookmarkEnd w:id="946"/>
      <w:bookmarkEnd w:id="947"/>
    </w:p>
    <w:p w:rsidR="005C75BB" w:rsidRPr="00FF65E6" w:rsidRDefault="005C75BB" w:rsidP="00FF65E6">
      <w:pPr>
        <w:spacing w:line="480" w:lineRule="auto"/>
        <w:ind w:left="851"/>
        <w:jc w:val="both"/>
        <w:rPr>
          <w:rFonts w:ascii="Arial" w:hAnsi="Arial" w:cs="Arial"/>
        </w:rPr>
      </w:pPr>
      <w:bookmarkStart w:id="948" w:name="_Toc339853193"/>
      <w:bookmarkStart w:id="949" w:name="_Toc340231963"/>
      <w:r w:rsidRPr="00FF65E6">
        <w:rPr>
          <w:rFonts w:ascii="Arial" w:hAnsi="Arial" w:cs="Arial"/>
        </w:rPr>
        <w:t>Hasta noviembre de 2010, se contabilizó que en Guayaquil residen habitualmente 1655165 ecuatorianos mayores de 15 años</w:t>
      </w:r>
      <w:r w:rsidR="00FF65E6">
        <w:rPr>
          <w:rFonts w:ascii="Arial" w:hAnsi="Arial" w:cs="Arial"/>
        </w:rPr>
        <w:t>;</w:t>
      </w:r>
      <w:r w:rsidRPr="00FF65E6">
        <w:rPr>
          <w:rFonts w:ascii="Arial" w:hAnsi="Arial" w:cs="Arial"/>
        </w:rPr>
        <w:t xml:space="preserve"> cabe resaltar que no se ha incluido a los extranjeros que viven en este cantón</w:t>
      </w:r>
      <w:r w:rsidR="00FF65E6">
        <w:rPr>
          <w:rFonts w:ascii="Arial" w:hAnsi="Arial" w:cs="Arial"/>
        </w:rPr>
        <w:t>.</w:t>
      </w:r>
      <w:r w:rsidRPr="00FF65E6">
        <w:rPr>
          <w:rFonts w:ascii="Arial" w:hAnsi="Arial" w:cs="Arial"/>
        </w:rPr>
        <w:t xml:space="preserve"> </w:t>
      </w:r>
      <w:r w:rsidR="00FF65E6">
        <w:rPr>
          <w:rFonts w:ascii="Arial" w:hAnsi="Arial" w:cs="Arial"/>
        </w:rPr>
        <w:t>P</w:t>
      </w:r>
      <w:r w:rsidRPr="00FF65E6">
        <w:rPr>
          <w:rFonts w:ascii="Arial" w:hAnsi="Arial" w:cs="Arial"/>
        </w:rPr>
        <w:t xml:space="preserve">uesto que, el tamaño de la población es grande (mayor a 20000), al realizar regresión logística el estadístico de Wald al reducir extremadamente su denominador, se vuelve poco fiable, por tal motivo vamos a proceder a seleccionar </w:t>
      </w:r>
      <w:r w:rsidR="00FF65E6">
        <w:rPr>
          <w:rFonts w:ascii="Arial" w:hAnsi="Arial" w:cs="Arial"/>
        </w:rPr>
        <w:t xml:space="preserve">aleatoriamente </w:t>
      </w:r>
      <w:r w:rsidRPr="00FF65E6">
        <w:rPr>
          <w:rFonts w:ascii="Arial" w:hAnsi="Arial" w:cs="Arial"/>
        </w:rPr>
        <w:t xml:space="preserve">una muestra a partir de esta población. El tipo de muestreo a utilizar es muestreo aleatorio estratificado </w:t>
      </w:r>
      <w:r w:rsidR="00FF65E6">
        <w:rPr>
          <w:rFonts w:ascii="Arial" w:hAnsi="Arial" w:cs="Arial"/>
        </w:rPr>
        <w:t xml:space="preserve">con afijación </w:t>
      </w:r>
      <w:r w:rsidRPr="00FF65E6">
        <w:rPr>
          <w:rFonts w:ascii="Arial" w:hAnsi="Arial" w:cs="Arial"/>
        </w:rPr>
        <w:t>proporcional, siendo las provincias cada uno de los estratos; el error de diseño es de 0.0</w:t>
      </w:r>
      <w:r w:rsidR="00FF65E6">
        <w:rPr>
          <w:rFonts w:ascii="Arial" w:hAnsi="Arial" w:cs="Arial"/>
        </w:rPr>
        <w:t>07</w:t>
      </w:r>
      <w:r w:rsidRPr="00FF65E6">
        <w:rPr>
          <w:rFonts w:ascii="Arial" w:hAnsi="Arial" w:cs="Arial"/>
        </w:rPr>
        <w:t xml:space="preserve">, el nivel de confianza es del 95% y se toma el caso pesimista para la afijación proporcional, p = 0.50. En la </w:t>
      </w:r>
      <w:r w:rsidRPr="00FF65E6">
        <w:rPr>
          <w:rFonts w:ascii="Arial" w:hAnsi="Arial" w:cs="Arial"/>
          <w:i/>
        </w:rPr>
        <w:t>Tabla 6.1</w:t>
      </w:r>
      <w:r w:rsidRPr="00FF65E6">
        <w:rPr>
          <w:rFonts w:ascii="Arial" w:hAnsi="Arial" w:cs="Arial"/>
        </w:rPr>
        <w:t>, se presenta el tamaño de la muestra seleccionada para cada una de las provincias.</w:t>
      </w:r>
      <w:bookmarkEnd w:id="948"/>
      <w:bookmarkEnd w:id="949"/>
      <w:r w:rsidRPr="00FF65E6">
        <w:rPr>
          <w:rFonts w:ascii="Arial" w:hAnsi="Arial" w:cs="Arial"/>
        </w:rPr>
        <w:t xml:space="preserve"> </w:t>
      </w:r>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5C75BB" w:rsidRPr="003559D6" w:rsidTr="00035515">
        <w:trPr>
          <w:trHeight w:val="6406"/>
          <w:jc w:val="right"/>
        </w:trPr>
        <w:tc>
          <w:tcPr>
            <w:tcW w:w="7497" w:type="dxa"/>
          </w:tcPr>
          <w:p w:rsidR="005C75BB" w:rsidRPr="00434327" w:rsidRDefault="005C75BB" w:rsidP="005C75BB">
            <w:pPr>
              <w:rPr>
                <w:rFonts w:ascii="Arial" w:hAnsi="Arial" w:cs="Arial"/>
                <w:sz w:val="16"/>
                <w:szCs w:val="16"/>
              </w:rPr>
            </w:pPr>
          </w:p>
          <w:p w:rsidR="005C75BB" w:rsidRPr="005C75BB" w:rsidRDefault="005C75BB" w:rsidP="005C75BB">
            <w:pPr>
              <w:pStyle w:val="Epgrafe"/>
              <w:rPr>
                <w:rFonts w:ascii="Arial" w:hAnsi="Arial" w:cs="Arial"/>
                <w:bCs w:val="0"/>
                <w:color w:val="auto"/>
                <w:sz w:val="16"/>
                <w:szCs w:val="16"/>
              </w:rPr>
            </w:pPr>
            <w:bookmarkStart w:id="950" w:name="_Toc341042347"/>
            <w:r>
              <w:rPr>
                <w:rFonts w:ascii="Arial" w:hAnsi="Arial" w:cs="Arial"/>
                <w:bCs w:val="0"/>
                <w:color w:val="auto"/>
                <w:sz w:val="16"/>
                <w:szCs w:val="16"/>
              </w:rPr>
              <w:t>Tabla 6.</w:t>
            </w:r>
            <w:r w:rsidR="00990535" w:rsidRPr="005C75BB">
              <w:rPr>
                <w:rFonts w:ascii="Arial" w:hAnsi="Arial" w:cs="Arial"/>
                <w:bCs w:val="0"/>
                <w:color w:val="auto"/>
                <w:sz w:val="16"/>
                <w:szCs w:val="16"/>
              </w:rPr>
              <w:fldChar w:fldCharType="begin"/>
            </w:r>
            <w:r w:rsidRPr="005C75BB">
              <w:rPr>
                <w:rFonts w:ascii="Arial" w:hAnsi="Arial" w:cs="Arial"/>
                <w:bCs w:val="0"/>
                <w:color w:val="auto"/>
                <w:sz w:val="16"/>
                <w:szCs w:val="16"/>
              </w:rPr>
              <w:instrText xml:space="preserve"> SEQ Tabla_6. \* ARABIC </w:instrText>
            </w:r>
            <w:r w:rsidR="00990535" w:rsidRPr="005C75BB">
              <w:rPr>
                <w:rFonts w:ascii="Arial" w:hAnsi="Arial" w:cs="Arial"/>
                <w:bCs w:val="0"/>
                <w:color w:val="auto"/>
                <w:sz w:val="16"/>
                <w:szCs w:val="16"/>
              </w:rPr>
              <w:fldChar w:fldCharType="separate"/>
            </w:r>
            <w:r w:rsidR="00A242E0">
              <w:rPr>
                <w:rFonts w:ascii="Arial" w:hAnsi="Arial" w:cs="Arial"/>
                <w:bCs w:val="0"/>
                <w:noProof/>
                <w:color w:val="auto"/>
                <w:sz w:val="16"/>
                <w:szCs w:val="16"/>
              </w:rPr>
              <w:t>1</w:t>
            </w:r>
            <w:bookmarkEnd w:id="950"/>
            <w:r w:rsidR="00990535" w:rsidRPr="005C75BB">
              <w:rPr>
                <w:rFonts w:ascii="Arial" w:hAnsi="Arial" w:cs="Arial"/>
                <w:bCs w:val="0"/>
                <w:color w:val="auto"/>
                <w:sz w:val="16"/>
                <w:szCs w:val="16"/>
              </w:rPr>
              <w:fldChar w:fldCharType="end"/>
            </w:r>
          </w:p>
          <w:p w:rsidR="005C75BB" w:rsidRDefault="00F84BFD" w:rsidP="005C75BB">
            <w:pPr>
              <w:rPr>
                <w:rFonts w:ascii="Arial" w:hAnsi="Arial" w:cs="Arial"/>
                <w:i/>
                <w:sz w:val="16"/>
                <w:szCs w:val="16"/>
              </w:rPr>
            </w:pPr>
            <w:r>
              <w:rPr>
                <w:rFonts w:ascii="Arial" w:hAnsi="Arial" w:cs="Arial"/>
                <w:b/>
                <w:i/>
                <w:sz w:val="16"/>
                <w:szCs w:val="16"/>
              </w:rPr>
              <w:t xml:space="preserve">Guayaquil 2010: </w:t>
            </w:r>
            <w:r w:rsidR="005C75BB">
              <w:rPr>
                <w:rFonts w:ascii="Arial" w:hAnsi="Arial" w:cs="Arial"/>
                <w:i/>
                <w:sz w:val="16"/>
                <w:szCs w:val="16"/>
              </w:rPr>
              <w:t>Selección de una muestra</w:t>
            </w:r>
            <w:r w:rsidR="00FF65E6">
              <w:rPr>
                <w:rFonts w:ascii="Arial" w:hAnsi="Arial" w:cs="Arial"/>
                <w:i/>
                <w:sz w:val="16"/>
                <w:szCs w:val="16"/>
              </w:rPr>
              <w:t xml:space="preserve"> de la población ecuatoriana residente en Guayaquil utilizando muestreo aleatorio estratificado con afijación proporcional</w:t>
            </w:r>
          </w:p>
          <w:p w:rsidR="005C75BB" w:rsidRPr="003D21E9" w:rsidRDefault="005C75BB" w:rsidP="005C75BB">
            <w:pPr>
              <w:rPr>
                <w:rFonts w:ascii="Arial" w:hAnsi="Arial" w:cs="Arial"/>
                <w:i/>
                <w:sz w:val="10"/>
                <w:szCs w:val="10"/>
              </w:rPr>
            </w:pPr>
          </w:p>
          <w:tbl>
            <w:tblPr>
              <w:tblW w:w="6060" w:type="dxa"/>
              <w:jc w:val="center"/>
              <w:tblCellMar>
                <w:left w:w="70" w:type="dxa"/>
                <w:right w:w="70" w:type="dxa"/>
              </w:tblCellMar>
              <w:tblLook w:val="04A0" w:firstRow="1" w:lastRow="0" w:firstColumn="1" w:lastColumn="0" w:noHBand="0" w:noVBand="1"/>
            </w:tblPr>
            <w:tblGrid>
              <w:gridCol w:w="2500"/>
              <w:gridCol w:w="1860"/>
              <w:gridCol w:w="1700"/>
            </w:tblGrid>
            <w:tr w:rsidR="005C75BB" w:rsidRPr="003D21E9" w:rsidTr="005C75BB">
              <w:trPr>
                <w:trHeight w:val="20"/>
                <w:jc w:val="center"/>
              </w:trPr>
              <w:tc>
                <w:tcPr>
                  <w:tcW w:w="2500" w:type="dxa"/>
                  <w:tcBorders>
                    <w:top w:val="single" w:sz="4" w:space="0" w:color="auto"/>
                    <w:left w:val="nil"/>
                    <w:bottom w:val="single" w:sz="4" w:space="0" w:color="auto"/>
                    <w:right w:val="nil"/>
                  </w:tcBorders>
                  <w:shd w:val="clear" w:color="auto" w:fill="auto"/>
                  <w:vAlign w:val="center"/>
                  <w:hideMark/>
                </w:tcPr>
                <w:p w:rsidR="005C75BB" w:rsidRPr="003D21E9" w:rsidRDefault="005C75BB" w:rsidP="00654171">
                  <w:pPr>
                    <w:rPr>
                      <w:rFonts w:ascii="Arial" w:eastAsia="Times New Roman" w:hAnsi="Arial" w:cs="Arial"/>
                      <w:b/>
                      <w:bCs/>
                      <w:color w:val="000000"/>
                      <w:sz w:val="16"/>
                      <w:szCs w:val="16"/>
                      <w:lang w:eastAsia="es-EC"/>
                    </w:rPr>
                  </w:pPr>
                  <w:r w:rsidRPr="003D21E9">
                    <w:rPr>
                      <w:rFonts w:ascii="Arial" w:eastAsia="Times New Roman" w:hAnsi="Arial" w:cs="Arial"/>
                      <w:b/>
                      <w:bCs/>
                      <w:color w:val="000000"/>
                      <w:sz w:val="16"/>
                      <w:szCs w:val="16"/>
                      <w:lang w:eastAsia="es-EC"/>
                    </w:rPr>
                    <w:t>Provincia de nacimiento</w:t>
                  </w:r>
                </w:p>
              </w:tc>
              <w:tc>
                <w:tcPr>
                  <w:tcW w:w="1860" w:type="dxa"/>
                  <w:tcBorders>
                    <w:top w:val="single" w:sz="4" w:space="0" w:color="auto"/>
                    <w:left w:val="nil"/>
                    <w:bottom w:val="single" w:sz="4" w:space="0" w:color="auto"/>
                    <w:right w:val="nil"/>
                  </w:tcBorders>
                  <w:shd w:val="clear" w:color="auto" w:fill="auto"/>
                  <w:vAlign w:val="center"/>
                  <w:hideMark/>
                </w:tcPr>
                <w:p w:rsidR="005C75BB" w:rsidRPr="003D21E9" w:rsidRDefault="005C75BB" w:rsidP="005C75BB">
                  <w:pPr>
                    <w:rPr>
                      <w:rFonts w:ascii="Arial" w:eastAsia="Times New Roman" w:hAnsi="Arial" w:cs="Arial"/>
                      <w:b/>
                      <w:bCs/>
                      <w:color w:val="000000"/>
                      <w:sz w:val="16"/>
                      <w:szCs w:val="16"/>
                      <w:lang w:eastAsia="es-EC"/>
                    </w:rPr>
                  </w:pPr>
                  <w:r w:rsidRPr="003D21E9">
                    <w:rPr>
                      <w:rFonts w:ascii="Arial" w:eastAsia="Times New Roman" w:hAnsi="Arial" w:cs="Arial"/>
                      <w:b/>
                      <w:bCs/>
                      <w:color w:val="000000"/>
                      <w:sz w:val="16"/>
                      <w:szCs w:val="16"/>
                      <w:lang w:eastAsia="es-EC"/>
                    </w:rPr>
                    <w:t>Total de residentes mayores de 15 años</w:t>
                  </w:r>
                </w:p>
              </w:tc>
              <w:tc>
                <w:tcPr>
                  <w:tcW w:w="1700" w:type="dxa"/>
                  <w:tcBorders>
                    <w:top w:val="single" w:sz="4" w:space="0" w:color="auto"/>
                    <w:left w:val="nil"/>
                    <w:bottom w:val="single" w:sz="4" w:space="0" w:color="auto"/>
                    <w:right w:val="nil"/>
                  </w:tcBorders>
                  <w:shd w:val="clear" w:color="auto" w:fill="auto"/>
                  <w:vAlign w:val="center"/>
                  <w:hideMark/>
                </w:tcPr>
                <w:p w:rsidR="005C75BB" w:rsidRPr="003D21E9" w:rsidRDefault="005C75BB" w:rsidP="005C75BB">
                  <w:pPr>
                    <w:rPr>
                      <w:rFonts w:ascii="Arial" w:eastAsia="Times New Roman" w:hAnsi="Arial" w:cs="Arial"/>
                      <w:b/>
                      <w:bCs/>
                      <w:color w:val="000000"/>
                      <w:sz w:val="16"/>
                      <w:szCs w:val="16"/>
                      <w:lang w:eastAsia="es-EC"/>
                    </w:rPr>
                  </w:pPr>
                  <w:r w:rsidRPr="003D21E9">
                    <w:rPr>
                      <w:rFonts w:ascii="Arial" w:eastAsia="Times New Roman" w:hAnsi="Arial" w:cs="Arial"/>
                      <w:b/>
                      <w:bCs/>
                      <w:color w:val="000000"/>
                      <w:sz w:val="16"/>
                      <w:szCs w:val="16"/>
                      <w:lang w:eastAsia="es-EC"/>
                    </w:rPr>
                    <w:t>Tamaño de la muestra</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Azuay</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17563</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207</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Bolívar</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9869</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116</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Cañar</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8439</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99</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Carchi</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1543</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18</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Cotopaxi</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3105</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37</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Chimborazo</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31744</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373</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El Oro</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18442</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217</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Esmeraldas</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43968</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517</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Nativos</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1088540</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12804</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Otros cantones del Guayas</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89460</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1052</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Imbabura</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2183</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26</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Loja</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13283</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156</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Los Ríos</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87632</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1031</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Manabí</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193250</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2273</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Morona Santiago</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581</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7</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Napo</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347</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4</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Pastaza</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401</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5</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Pichincha</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12950</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152</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Tungurahua</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9278</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109</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Zamora Chinchipe</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511</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6</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Galápagos</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632</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7</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Sucumbíos</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428</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5</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Orellana</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227</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3</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Santo Domingo</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3776</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44</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Santa Elena</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17001</w:t>
                  </w:r>
                </w:p>
              </w:tc>
              <w:tc>
                <w:tcPr>
                  <w:tcW w:w="1700" w:type="dxa"/>
                  <w:tcBorders>
                    <w:top w:val="nil"/>
                    <w:left w:val="nil"/>
                    <w:bottom w:val="nil"/>
                    <w:right w:val="nil"/>
                  </w:tcBorders>
                  <w:shd w:val="clear" w:color="auto" w:fill="auto"/>
                  <w:noWrap/>
                  <w:vAlign w:val="bottom"/>
                  <w:hideMark/>
                </w:tcPr>
                <w:p w:rsidR="00FF65E6" w:rsidRPr="00FF65E6" w:rsidRDefault="00FF65E6">
                  <w:pPr>
                    <w:rPr>
                      <w:rFonts w:ascii="Arial" w:hAnsi="Arial" w:cs="Arial"/>
                      <w:sz w:val="16"/>
                      <w:szCs w:val="16"/>
                    </w:rPr>
                  </w:pPr>
                  <w:r w:rsidRPr="00FF65E6">
                    <w:rPr>
                      <w:rFonts w:ascii="Arial" w:hAnsi="Arial" w:cs="Arial"/>
                      <w:sz w:val="16"/>
                      <w:szCs w:val="16"/>
                    </w:rPr>
                    <w:t>200</w:t>
                  </w:r>
                </w:p>
              </w:tc>
            </w:tr>
            <w:tr w:rsidR="00FF65E6" w:rsidRPr="003D21E9" w:rsidTr="005C75BB">
              <w:trPr>
                <w:trHeight w:val="20"/>
                <w:jc w:val="center"/>
              </w:trPr>
              <w:tc>
                <w:tcPr>
                  <w:tcW w:w="2500" w:type="dxa"/>
                  <w:tcBorders>
                    <w:top w:val="nil"/>
                    <w:left w:val="nil"/>
                    <w:bottom w:val="nil"/>
                    <w:right w:val="nil"/>
                  </w:tcBorders>
                  <w:shd w:val="clear" w:color="auto" w:fill="auto"/>
                  <w:vAlign w:val="center"/>
                  <w:hideMark/>
                </w:tcPr>
                <w:p w:rsidR="00FF65E6" w:rsidRPr="00FF65E6" w:rsidRDefault="00FF65E6" w:rsidP="00FF65E6">
                  <w:pPr>
                    <w:jc w:val="left"/>
                    <w:rPr>
                      <w:rFonts w:ascii="Arial" w:hAnsi="Arial" w:cs="Arial"/>
                      <w:color w:val="000000"/>
                      <w:sz w:val="16"/>
                      <w:szCs w:val="16"/>
                    </w:rPr>
                  </w:pPr>
                  <w:r w:rsidRPr="00FF65E6">
                    <w:rPr>
                      <w:rFonts w:ascii="Arial" w:hAnsi="Arial" w:cs="Arial"/>
                      <w:color w:val="000000"/>
                      <w:sz w:val="16"/>
                      <w:szCs w:val="16"/>
                    </w:rPr>
                    <w:t>Zonas No Delimitadas</w:t>
                  </w:r>
                </w:p>
              </w:tc>
              <w:tc>
                <w:tcPr>
                  <w:tcW w:w="1860" w:type="dxa"/>
                  <w:tcBorders>
                    <w:top w:val="nil"/>
                    <w:left w:val="nil"/>
                    <w:bottom w:val="nil"/>
                    <w:right w:val="nil"/>
                  </w:tcBorders>
                  <w:shd w:val="clear" w:color="auto" w:fill="auto"/>
                  <w:noWrap/>
                  <w:vAlign w:val="center"/>
                  <w:hideMark/>
                </w:tcPr>
                <w:p w:rsidR="00FF65E6" w:rsidRPr="00FF65E6" w:rsidRDefault="00FF65E6">
                  <w:pPr>
                    <w:rPr>
                      <w:rFonts w:ascii="Arial" w:hAnsi="Arial" w:cs="Arial"/>
                      <w:color w:val="000000"/>
                      <w:sz w:val="16"/>
                      <w:szCs w:val="16"/>
                    </w:rPr>
                  </w:pPr>
                  <w:r w:rsidRPr="00FF65E6">
                    <w:rPr>
                      <w:rFonts w:ascii="Arial" w:hAnsi="Arial" w:cs="Arial"/>
                      <w:color w:val="000000"/>
                      <w:sz w:val="16"/>
                      <w:szCs w:val="16"/>
                    </w:rPr>
                    <w:t>12</w:t>
                  </w:r>
                </w:p>
              </w:tc>
              <w:tc>
                <w:tcPr>
                  <w:tcW w:w="1700" w:type="dxa"/>
                  <w:tcBorders>
                    <w:top w:val="nil"/>
                    <w:left w:val="nil"/>
                    <w:bottom w:val="nil"/>
                    <w:right w:val="nil"/>
                  </w:tcBorders>
                  <w:shd w:val="clear" w:color="auto" w:fill="auto"/>
                  <w:noWrap/>
                  <w:vAlign w:val="bottom"/>
                  <w:hideMark/>
                </w:tcPr>
                <w:p w:rsidR="00FF65E6" w:rsidRPr="00FF65E6" w:rsidRDefault="00035515">
                  <w:pPr>
                    <w:rPr>
                      <w:rFonts w:ascii="Arial" w:hAnsi="Arial" w:cs="Arial"/>
                      <w:sz w:val="16"/>
                      <w:szCs w:val="16"/>
                    </w:rPr>
                  </w:pPr>
                  <w:r>
                    <w:rPr>
                      <w:rFonts w:ascii="Arial" w:hAnsi="Arial" w:cs="Arial"/>
                      <w:sz w:val="16"/>
                      <w:szCs w:val="16"/>
                    </w:rPr>
                    <w:t>0</w:t>
                  </w:r>
                </w:p>
              </w:tc>
            </w:tr>
            <w:tr w:rsidR="00FF65E6" w:rsidRPr="003D21E9" w:rsidTr="005C75BB">
              <w:trPr>
                <w:trHeight w:val="20"/>
                <w:jc w:val="center"/>
              </w:trPr>
              <w:tc>
                <w:tcPr>
                  <w:tcW w:w="2500" w:type="dxa"/>
                  <w:tcBorders>
                    <w:top w:val="nil"/>
                    <w:left w:val="nil"/>
                    <w:bottom w:val="single" w:sz="4" w:space="0" w:color="auto"/>
                    <w:right w:val="nil"/>
                  </w:tcBorders>
                  <w:shd w:val="clear" w:color="auto" w:fill="auto"/>
                  <w:vAlign w:val="center"/>
                  <w:hideMark/>
                </w:tcPr>
                <w:p w:rsidR="00FF65E6" w:rsidRPr="00FF65E6" w:rsidRDefault="00FF65E6" w:rsidP="00FF65E6">
                  <w:pPr>
                    <w:jc w:val="left"/>
                    <w:rPr>
                      <w:rFonts w:ascii="Arial" w:hAnsi="Arial" w:cs="Arial"/>
                      <w:b/>
                      <w:bCs/>
                      <w:i/>
                      <w:iCs/>
                      <w:color w:val="000000"/>
                      <w:sz w:val="16"/>
                      <w:szCs w:val="16"/>
                    </w:rPr>
                  </w:pPr>
                  <w:r w:rsidRPr="00FF65E6">
                    <w:rPr>
                      <w:rFonts w:ascii="Arial" w:hAnsi="Arial" w:cs="Arial"/>
                      <w:b/>
                      <w:bCs/>
                      <w:i/>
                      <w:iCs/>
                      <w:color w:val="000000"/>
                      <w:sz w:val="16"/>
                      <w:szCs w:val="16"/>
                    </w:rPr>
                    <w:t>Total</w:t>
                  </w:r>
                </w:p>
              </w:tc>
              <w:tc>
                <w:tcPr>
                  <w:tcW w:w="1860" w:type="dxa"/>
                  <w:tcBorders>
                    <w:top w:val="nil"/>
                    <w:left w:val="nil"/>
                    <w:bottom w:val="single" w:sz="4" w:space="0" w:color="auto"/>
                    <w:right w:val="nil"/>
                  </w:tcBorders>
                  <w:shd w:val="clear" w:color="auto" w:fill="auto"/>
                  <w:noWrap/>
                  <w:vAlign w:val="center"/>
                  <w:hideMark/>
                </w:tcPr>
                <w:p w:rsidR="00FF65E6" w:rsidRPr="00FF65E6" w:rsidRDefault="00FF65E6">
                  <w:pPr>
                    <w:rPr>
                      <w:rFonts w:ascii="Arial" w:hAnsi="Arial" w:cs="Arial"/>
                      <w:b/>
                      <w:bCs/>
                      <w:i/>
                      <w:iCs/>
                      <w:color w:val="000000"/>
                      <w:sz w:val="16"/>
                      <w:szCs w:val="16"/>
                    </w:rPr>
                  </w:pPr>
                  <w:r w:rsidRPr="00FF65E6">
                    <w:rPr>
                      <w:rFonts w:ascii="Arial" w:hAnsi="Arial" w:cs="Arial"/>
                      <w:b/>
                      <w:bCs/>
                      <w:i/>
                      <w:iCs/>
                      <w:color w:val="000000"/>
                      <w:sz w:val="16"/>
                      <w:szCs w:val="16"/>
                    </w:rPr>
                    <w:t>1655165</w:t>
                  </w:r>
                </w:p>
              </w:tc>
              <w:tc>
                <w:tcPr>
                  <w:tcW w:w="1700" w:type="dxa"/>
                  <w:tcBorders>
                    <w:top w:val="nil"/>
                    <w:left w:val="nil"/>
                    <w:bottom w:val="single" w:sz="4" w:space="0" w:color="auto"/>
                    <w:right w:val="nil"/>
                  </w:tcBorders>
                  <w:shd w:val="clear" w:color="auto" w:fill="auto"/>
                  <w:noWrap/>
                  <w:vAlign w:val="bottom"/>
                  <w:hideMark/>
                </w:tcPr>
                <w:p w:rsidR="00FF65E6" w:rsidRPr="00FF65E6" w:rsidRDefault="00035515">
                  <w:pPr>
                    <w:rPr>
                      <w:rFonts w:ascii="Arial" w:hAnsi="Arial" w:cs="Arial"/>
                      <w:b/>
                      <w:bCs/>
                      <w:i/>
                      <w:iCs/>
                      <w:sz w:val="16"/>
                      <w:szCs w:val="16"/>
                    </w:rPr>
                  </w:pPr>
                  <w:r>
                    <w:rPr>
                      <w:rFonts w:ascii="Arial" w:hAnsi="Arial" w:cs="Arial"/>
                      <w:b/>
                      <w:bCs/>
                      <w:i/>
                      <w:iCs/>
                      <w:sz w:val="16"/>
                      <w:szCs w:val="16"/>
                    </w:rPr>
                    <w:t>19468</w:t>
                  </w:r>
                </w:p>
              </w:tc>
            </w:tr>
          </w:tbl>
          <w:p w:rsidR="005C75BB" w:rsidRPr="00607324" w:rsidRDefault="005C75BB" w:rsidP="005C75BB">
            <w:pPr>
              <w:rPr>
                <w:rFonts w:ascii="Arial" w:hAnsi="Arial" w:cs="Arial"/>
                <w:sz w:val="24"/>
                <w:szCs w:val="24"/>
              </w:rPr>
            </w:pPr>
          </w:p>
        </w:tc>
      </w:tr>
    </w:tbl>
    <w:p w:rsidR="005C75BB" w:rsidRPr="00035515" w:rsidRDefault="005C75BB" w:rsidP="00035515">
      <w:pPr>
        <w:pStyle w:val="Prrafodelista"/>
        <w:spacing w:line="276" w:lineRule="auto"/>
        <w:ind w:left="851"/>
        <w:jc w:val="both"/>
        <w:rPr>
          <w:rFonts w:ascii="Arial" w:hAnsi="Arial" w:cs="Arial"/>
          <w:sz w:val="17"/>
          <w:szCs w:val="17"/>
        </w:rPr>
      </w:pPr>
    </w:p>
    <w:p w:rsidR="005C75BB" w:rsidRPr="00035515" w:rsidRDefault="005C75BB" w:rsidP="00035515">
      <w:pPr>
        <w:pStyle w:val="Prrafodelista"/>
        <w:spacing w:line="276" w:lineRule="auto"/>
        <w:ind w:left="851"/>
        <w:jc w:val="both"/>
        <w:rPr>
          <w:rFonts w:ascii="Arial" w:hAnsi="Arial" w:cs="Arial"/>
          <w:sz w:val="17"/>
          <w:szCs w:val="17"/>
        </w:rPr>
      </w:pPr>
      <w:r w:rsidRPr="00035515">
        <w:rPr>
          <w:rFonts w:ascii="Arial" w:hAnsi="Arial" w:cs="Arial"/>
          <w:b/>
          <w:i/>
          <w:sz w:val="17"/>
          <w:szCs w:val="17"/>
        </w:rPr>
        <w:t>Fuente:</w:t>
      </w:r>
      <w:r w:rsidRPr="00035515">
        <w:rPr>
          <w:rFonts w:ascii="Arial" w:hAnsi="Arial" w:cs="Arial"/>
          <w:sz w:val="17"/>
          <w:szCs w:val="17"/>
        </w:rPr>
        <w:t xml:space="preserve"> </w:t>
      </w:r>
      <w:r w:rsidRPr="00035515">
        <w:rPr>
          <w:rFonts w:ascii="Arial" w:hAnsi="Arial" w:cs="Arial"/>
          <w:b/>
          <w:sz w:val="17"/>
          <w:szCs w:val="17"/>
        </w:rPr>
        <w:t xml:space="preserve">INEC </w:t>
      </w:r>
      <w:r w:rsidRPr="00035515">
        <w:rPr>
          <w:rFonts w:ascii="Arial" w:hAnsi="Arial" w:cs="Arial"/>
          <w:sz w:val="17"/>
          <w:szCs w:val="17"/>
        </w:rPr>
        <w:t>(2010), Base de Datos del VII Censo de Población y VI de Vivienda.</w:t>
      </w:r>
    </w:p>
    <w:p w:rsidR="005C75BB" w:rsidRPr="00035515" w:rsidRDefault="005C75BB" w:rsidP="00035515">
      <w:pPr>
        <w:pStyle w:val="Prrafodelista"/>
        <w:spacing w:line="276" w:lineRule="auto"/>
        <w:ind w:left="851"/>
        <w:jc w:val="both"/>
        <w:rPr>
          <w:rFonts w:ascii="Arial" w:hAnsi="Arial" w:cs="Arial"/>
          <w:sz w:val="17"/>
          <w:szCs w:val="17"/>
        </w:rPr>
      </w:pPr>
      <w:r w:rsidRPr="00035515">
        <w:rPr>
          <w:rFonts w:ascii="Arial" w:hAnsi="Arial" w:cs="Arial"/>
          <w:b/>
          <w:i/>
          <w:sz w:val="17"/>
          <w:szCs w:val="17"/>
        </w:rPr>
        <w:t>Elaborado por:</w:t>
      </w:r>
      <w:r w:rsidRPr="00035515">
        <w:rPr>
          <w:rFonts w:ascii="Arial" w:hAnsi="Arial" w:cs="Arial"/>
          <w:sz w:val="17"/>
          <w:szCs w:val="17"/>
        </w:rPr>
        <w:t xml:space="preserve"> Katherine Loor Valeriano</w:t>
      </w:r>
    </w:p>
    <w:p w:rsidR="005C75BB" w:rsidRDefault="005C75BB" w:rsidP="00035515">
      <w:pPr>
        <w:pStyle w:val="TesisTitulo10"/>
        <w:numPr>
          <w:ilvl w:val="0"/>
          <w:numId w:val="0"/>
        </w:numPr>
        <w:ind w:left="851"/>
        <w:rPr>
          <w:b w:val="0"/>
          <w:sz w:val="22"/>
          <w:szCs w:val="22"/>
        </w:rPr>
      </w:pPr>
    </w:p>
    <w:p w:rsidR="00035515" w:rsidRPr="00DE4CCB" w:rsidRDefault="000A162B" w:rsidP="00DE4CCB">
      <w:pPr>
        <w:spacing w:line="480" w:lineRule="auto"/>
        <w:ind w:left="851"/>
        <w:jc w:val="both"/>
        <w:rPr>
          <w:rFonts w:ascii="Arial" w:hAnsi="Arial" w:cs="Arial"/>
        </w:rPr>
      </w:pPr>
      <w:r w:rsidRPr="00DE4CCB">
        <w:rPr>
          <w:rFonts w:ascii="Arial" w:hAnsi="Arial" w:cs="Arial"/>
        </w:rPr>
        <w:t>Recordemos que la población objetivo son los ecuatorianos que habitualmente residen en Guayaquil y son mayor de 15 años, los cuales contabilizan 1655165 personas, a partir de esa población se desea seleccionar una muestra de tamaño n = 19468 personas utilizando muestreo aleatorio estratificado con afijación proporcional, para ello</w:t>
      </w:r>
      <w:r w:rsidR="00035515" w:rsidRPr="00DE4CCB">
        <w:rPr>
          <w:rFonts w:ascii="Arial" w:hAnsi="Arial" w:cs="Arial"/>
        </w:rPr>
        <w:t xml:space="preserve"> se utiliz</w:t>
      </w:r>
      <w:r w:rsidR="00EB3229" w:rsidRPr="00DE4CCB">
        <w:rPr>
          <w:rFonts w:ascii="Arial" w:hAnsi="Arial" w:cs="Arial"/>
        </w:rPr>
        <w:t xml:space="preserve">ó el software SPSS y mediante el control </w:t>
      </w:r>
      <w:r w:rsidRPr="00DE4CCB">
        <w:rPr>
          <w:rFonts w:ascii="Arial" w:hAnsi="Arial" w:cs="Arial"/>
        </w:rPr>
        <w:t>“</w:t>
      </w:r>
      <w:r w:rsidRPr="00DE4CCB">
        <w:rPr>
          <w:rFonts w:ascii="Arial" w:hAnsi="Arial" w:cs="Arial"/>
          <w:i/>
        </w:rPr>
        <w:t>complex sample</w:t>
      </w:r>
      <w:r w:rsidRPr="00DE4CCB">
        <w:rPr>
          <w:rFonts w:ascii="Arial" w:hAnsi="Arial" w:cs="Arial"/>
        </w:rPr>
        <w:t>” se especifico el tamaño de la muestra de cada estrato y se generó un nuevo archivo .sav que contiene los datos correspondientes a la muestra.</w:t>
      </w:r>
      <w:r w:rsidR="00EB3229" w:rsidRPr="00DE4CCB">
        <w:rPr>
          <w:rFonts w:ascii="Arial" w:hAnsi="Arial" w:cs="Arial"/>
        </w:rPr>
        <w:t xml:space="preserve"> </w:t>
      </w:r>
    </w:p>
    <w:p w:rsidR="000A162B" w:rsidRDefault="000A162B" w:rsidP="00035515">
      <w:pPr>
        <w:pStyle w:val="TesisTitulo10"/>
        <w:numPr>
          <w:ilvl w:val="0"/>
          <w:numId w:val="0"/>
        </w:numPr>
        <w:ind w:left="851"/>
        <w:rPr>
          <w:b w:val="0"/>
          <w:sz w:val="22"/>
          <w:szCs w:val="22"/>
        </w:rPr>
      </w:pPr>
    </w:p>
    <w:p w:rsidR="005C75BB" w:rsidRDefault="005C75BB" w:rsidP="00035515">
      <w:pPr>
        <w:pStyle w:val="62"/>
        <w:ind w:left="1560"/>
      </w:pPr>
      <w:bookmarkStart w:id="951" w:name="_Toc339275956"/>
      <w:bookmarkStart w:id="952" w:name="_Toc341040754"/>
      <w:r>
        <w:t>Descripción de los factores a utilizar</w:t>
      </w:r>
      <w:bookmarkEnd w:id="951"/>
      <w:bookmarkEnd w:id="952"/>
    </w:p>
    <w:p w:rsidR="005C75BB" w:rsidRPr="00DE4CCB" w:rsidRDefault="005C75BB" w:rsidP="00DE4CCB">
      <w:pPr>
        <w:spacing w:line="480" w:lineRule="auto"/>
        <w:ind w:left="851"/>
        <w:jc w:val="both"/>
        <w:rPr>
          <w:rFonts w:ascii="Arial" w:hAnsi="Arial" w:cs="Arial"/>
        </w:rPr>
      </w:pPr>
      <w:bookmarkStart w:id="953" w:name="_Toc339853195"/>
      <w:bookmarkStart w:id="954" w:name="_Toc340231965"/>
      <w:r w:rsidRPr="00DE4CCB">
        <w:rPr>
          <w:rFonts w:ascii="Arial" w:hAnsi="Arial" w:cs="Arial"/>
        </w:rPr>
        <w:t>Los factores que se utilizarán para la construcción del modelo son:</w:t>
      </w:r>
      <w:bookmarkEnd w:id="953"/>
      <w:bookmarkEnd w:id="954"/>
    </w:p>
    <w:p w:rsidR="00DE4CCB" w:rsidRDefault="005C75BB" w:rsidP="00DE4CCB">
      <w:pPr>
        <w:pStyle w:val="Prrafodelista"/>
        <w:numPr>
          <w:ilvl w:val="0"/>
          <w:numId w:val="27"/>
        </w:numPr>
        <w:spacing w:line="480" w:lineRule="auto"/>
        <w:ind w:left="1134" w:hanging="283"/>
        <w:jc w:val="both"/>
        <w:rPr>
          <w:rFonts w:ascii="Arial" w:hAnsi="Arial" w:cs="Arial"/>
        </w:rPr>
      </w:pPr>
      <w:bookmarkStart w:id="955" w:name="_Toc339853196"/>
      <w:bookmarkStart w:id="956" w:name="_Toc340231966"/>
      <w:r w:rsidRPr="00DE4CCB">
        <w:rPr>
          <w:rFonts w:ascii="Arial" w:hAnsi="Arial" w:cs="Arial"/>
          <w:i/>
        </w:rPr>
        <w:t>Edad</w:t>
      </w:r>
      <w:r w:rsidRPr="00DE4CCB">
        <w:rPr>
          <w:rFonts w:ascii="Arial" w:hAnsi="Arial" w:cs="Arial"/>
        </w:rPr>
        <w:t>: ha sido codificada en dos categorías etiquetadas como 1 y 0, donde “1” son las personas menores de 30 años; y, “0” son los tienen 30 años o más.</w:t>
      </w:r>
      <w:bookmarkStart w:id="957" w:name="_Toc339853197"/>
      <w:bookmarkStart w:id="958" w:name="_Toc340231967"/>
      <w:bookmarkEnd w:id="955"/>
      <w:bookmarkEnd w:id="956"/>
    </w:p>
    <w:p w:rsidR="00DE4CCB" w:rsidRDefault="005C75BB" w:rsidP="00DE4CCB">
      <w:pPr>
        <w:pStyle w:val="Prrafodelista"/>
        <w:numPr>
          <w:ilvl w:val="0"/>
          <w:numId w:val="27"/>
        </w:numPr>
        <w:spacing w:line="480" w:lineRule="auto"/>
        <w:ind w:left="1134" w:hanging="283"/>
        <w:jc w:val="both"/>
        <w:rPr>
          <w:rFonts w:ascii="Arial" w:hAnsi="Arial" w:cs="Arial"/>
        </w:rPr>
      </w:pPr>
      <w:r w:rsidRPr="00DE4CCB">
        <w:rPr>
          <w:rFonts w:ascii="Arial" w:hAnsi="Arial" w:cs="Arial"/>
          <w:i/>
        </w:rPr>
        <w:t>Género</w:t>
      </w:r>
      <w:r w:rsidRPr="00DE4CCB">
        <w:rPr>
          <w:rFonts w:ascii="Arial" w:hAnsi="Arial" w:cs="Arial"/>
        </w:rPr>
        <w:t>: que puede ser masculino (1) o femenino (0).</w:t>
      </w:r>
      <w:bookmarkStart w:id="959" w:name="_Toc339853198"/>
      <w:bookmarkStart w:id="960" w:name="_Toc340231968"/>
      <w:bookmarkEnd w:id="957"/>
      <w:bookmarkEnd w:id="958"/>
    </w:p>
    <w:p w:rsidR="00DE4CCB" w:rsidRDefault="005C75BB" w:rsidP="00DE4CCB">
      <w:pPr>
        <w:pStyle w:val="Prrafodelista"/>
        <w:numPr>
          <w:ilvl w:val="0"/>
          <w:numId w:val="27"/>
        </w:numPr>
        <w:spacing w:line="480" w:lineRule="auto"/>
        <w:ind w:left="1134" w:hanging="283"/>
        <w:jc w:val="both"/>
        <w:rPr>
          <w:rFonts w:ascii="Arial" w:hAnsi="Arial" w:cs="Arial"/>
        </w:rPr>
      </w:pPr>
      <w:r w:rsidRPr="00DE4CCB">
        <w:rPr>
          <w:rFonts w:ascii="Arial" w:hAnsi="Arial" w:cs="Arial"/>
          <w:i/>
        </w:rPr>
        <w:t>Área de residencia</w:t>
      </w:r>
      <w:r w:rsidRPr="00DE4CCB">
        <w:rPr>
          <w:rFonts w:ascii="Arial" w:hAnsi="Arial" w:cs="Arial"/>
        </w:rPr>
        <w:t>: que esta codificada como urbana o rural y esta etiquetada por 1 y 0 respectivamente.</w:t>
      </w:r>
      <w:bookmarkStart w:id="961" w:name="_Toc339853199"/>
      <w:bookmarkStart w:id="962" w:name="_Toc340231969"/>
      <w:bookmarkEnd w:id="959"/>
      <w:bookmarkEnd w:id="960"/>
    </w:p>
    <w:p w:rsidR="00DE4CCB" w:rsidRDefault="005C75BB" w:rsidP="00DE4CCB">
      <w:pPr>
        <w:pStyle w:val="Prrafodelista"/>
        <w:numPr>
          <w:ilvl w:val="0"/>
          <w:numId w:val="27"/>
        </w:numPr>
        <w:spacing w:line="480" w:lineRule="auto"/>
        <w:ind w:left="1134" w:hanging="283"/>
        <w:jc w:val="both"/>
        <w:rPr>
          <w:rFonts w:ascii="Arial" w:hAnsi="Arial" w:cs="Arial"/>
        </w:rPr>
      </w:pPr>
      <w:r w:rsidRPr="00DE4CCB">
        <w:rPr>
          <w:rFonts w:ascii="Arial" w:hAnsi="Arial" w:cs="Arial"/>
          <w:i/>
        </w:rPr>
        <w:t>Estado conyugal</w:t>
      </w:r>
      <w:r w:rsidRPr="00DE4CCB">
        <w:rPr>
          <w:rFonts w:ascii="Arial" w:hAnsi="Arial" w:cs="Arial"/>
        </w:rPr>
        <w:t>: en el cual “1” significa que la persona esta casada o unida y “0” que no está casada, lo cual incluye a los solteros, divorciados, viudos, separados o se ignora.</w:t>
      </w:r>
      <w:bookmarkStart w:id="963" w:name="_Toc339853200"/>
      <w:bookmarkStart w:id="964" w:name="_Toc340231970"/>
      <w:bookmarkEnd w:id="961"/>
      <w:bookmarkEnd w:id="962"/>
    </w:p>
    <w:p w:rsidR="00DE4CCB" w:rsidRDefault="005C75BB" w:rsidP="00DE4CCB">
      <w:pPr>
        <w:pStyle w:val="Prrafodelista"/>
        <w:numPr>
          <w:ilvl w:val="0"/>
          <w:numId w:val="27"/>
        </w:numPr>
        <w:spacing w:line="480" w:lineRule="auto"/>
        <w:ind w:left="1134" w:hanging="283"/>
        <w:jc w:val="both"/>
        <w:rPr>
          <w:rFonts w:ascii="Arial" w:hAnsi="Arial" w:cs="Arial"/>
        </w:rPr>
      </w:pPr>
      <w:r w:rsidRPr="00DE4CCB">
        <w:rPr>
          <w:rFonts w:ascii="Arial" w:hAnsi="Arial" w:cs="Arial"/>
          <w:i/>
        </w:rPr>
        <w:t>Instrucción</w:t>
      </w:r>
      <w:r w:rsidRPr="00DE4CCB">
        <w:rPr>
          <w:rFonts w:ascii="Arial" w:hAnsi="Arial" w:cs="Arial"/>
        </w:rPr>
        <w:t>: que se codificó como “0” tiene instrucción primaria, secundaria, superior o postgrado; y, “1” no tiene alguno de los niveles de instrucción descritos previamente.</w:t>
      </w:r>
      <w:bookmarkStart w:id="965" w:name="_Toc339853201"/>
      <w:bookmarkStart w:id="966" w:name="_Toc340231971"/>
      <w:bookmarkEnd w:id="963"/>
      <w:bookmarkEnd w:id="964"/>
    </w:p>
    <w:p w:rsidR="00DE4CCB" w:rsidRDefault="005C75BB" w:rsidP="00DE4CCB">
      <w:pPr>
        <w:pStyle w:val="Prrafodelista"/>
        <w:numPr>
          <w:ilvl w:val="0"/>
          <w:numId w:val="27"/>
        </w:numPr>
        <w:spacing w:line="480" w:lineRule="auto"/>
        <w:ind w:left="1134" w:hanging="283"/>
        <w:jc w:val="both"/>
        <w:rPr>
          <w:rFonts w:ascii="Arial" w:hAnsi="Arial" w:cs="Arial"/>
        </w:rPr>
      </w:pPr>
      <w:r w:rsidRPr="00DE4CCB">
        <w:rPr>
          <w:rFonts w:ascii="Arial" w:hAnsi="Arial" w:cs="Arial"/>
          <w:i/>
        </w:rPr>
        <w:t>Tipo de vivienda</w:t>
      </w:r>
      <w:r w:rsidRPr="00DE4CCB">
        <w:rPr>
          <w:rFonts w:ascii="Arial" w:hAnsi="Arial" w:cs="Arial"/>
        </w:rPr>
        <w:t>: “1” representa a las personas que viven en una casa/villa, en un departamento en casa o edificio, o en un cuarto en casa de inquilinato; y, “0” son los que viven en otro  tipo de vivienda.</w:t>
      </w:r>
      <w:bookmarkStart w:id="967" w:name="_Toc339853202"/>
      <w:bookmarkStart w:id="968" w:name="_Toc340231972"/>
      <w:bookmarkEnd w:id="965"/>
      <w:bookmarkEnd w:id="966"/>
    </w:p>
    <w:p w:rsidR="005C75BB" w:rsidRPr="00DE4CCB" w:rsidRDefault="005C75BB" w:rsidP="00DE4CCB">
      <w:pPr>
        <w:pStyle w:val="Prrafodelista"/>
        <w:numPr>
          <w:ilvl w:val="0"/>
          <w:numId w:val="27"/>
        </w:numPr>
        <w:spacing w:line="480" w:lineRule="auto"/>
        <w:ind w:left="1134" w:hanging="283"/>
        <w:jc w:val="both"/>
        <w:rPr>
          <w:rFonts w:ascii="Arial" w:hAnsi="Arial" w:cs="Arial"/>
        </w:rPr>
      </w:pPr>
      <w:r w:rsidRPr="00DE4CCB">
        <w:rPr>
          <w:rFonts w:ascii="Arial" w:hAnsi="Arial" w:cs="Arial"/>
          <w:i/>
        </w:rPr>
        <w:t>Trabaja</w:t>
      </w:r>
      <w:r w:rsidRPr="00DE4CCB">
        <w:rPr>
          <w:rFonts w:ascii="Arial" w:hAnsi="Arial" w:cs="Arial"/>
        </w:rPr>
        <w:t>: este factor fue codificado como “1” realizó alguna actividad la semana pasada (sea remunerada o no remunerada); y, “0” que no trabajó.</w:t>
      </w:r>
      <w:bookmarkEnd w:id="967"/>
      <w:bookmarkEnd w:id="968"/>
    </w:p>
    <w:p w:rsidR="005C75BB" w:rsidRPr="00DE4CCB" w:rsidRDefault="005C75BB" w:rsidP="00DE4CCB">
      <w:pPr>
        <w:spacing w:line="480" w:lineRule="auto"/>
        <w:ind w:left="851"/>
        <w:jc w:val="both"/>
        <w:rPr>
          <w:rFonts w:ascii="Arial" w:hAnsi="Arial" w:cs="Arial"/>
        </w:rPr>
      </w:pPr>
    </w:p>
    <w:p w:rsidR="005C75BB" w:rsidRPr="00DE4CCB" w:rsidRDefault="005C75BB" w:rsidP="00DE4CCB">
      <w:pPr>
        <w:spacing w:line="480" w:lineRule="auto"/>
        <w:ind w:left="851"/>
        <w:jc w:val="both"/>
        <w:rPr>
          <w:rFonts w:ascii="Arial" w:hAnsi="Arial" w:cs="Arial"/>
        </w:rPr>
      </w:pPr>
      <w:bookmarkStart w:id="969" w:name="_Toc339853203"/>
      <w:bookmarkStart w:id="970" w:name="_Toc340231973"/>
      <w:r w:rsidRPr="00DE4CCB">
        <w:rPr>
          <w:rFonts w:ascii="Arial" w:hAnsi="Arial" w:cs="Arial"/>
        </w:rPr>
        <w:t>Por tanto, el modelo que se procederá a construir es:</w:t>
      </w:r>
      <w:bookmarkEnd w:id="969"/>
      <w:bookmarkEnd w:id="970"/>
    </w:p>
    <w:p w:rsidR="005C75BB" w:rsidRPr="00DE4CCB" w:rsidRDefault="005C75BB" w:rsidP="00DE4CCB">
      <w:pPr>
        <w:spacing w:line="480" w:lineRule="auto"/>
        <w:ind w:left="851"/>
        <w:rPr>
          <w:rFonts w:ascii="Arial" w:hAnsi="Arial" w:cs="Arial"/>
        </w:rPr>
      </w:pPr>
      <w:bookmarkStart w:id="971" w:name="_Toc338938894"/>
      <w:bookmarkStart w:id="972" w:name="_Toc338938933"/>
      <w:bookmarkStart w:id="973" w:name="_Toc338947235"/>
      <w:bookmarkStart w:id="974" w:name="_Toc339275957"/>
      <w:bookmarkStart w:id="975" w:name="_Toc339853204"/>
      <w:bookmarkStart w:id="976" w:name="_Toc340231974"/>
      <w:r w:rsidRPr="00DE4CCB">
        <w:rPr>
          <w:rFonts w:ascii="Arial" w:hAnsi="Arial" w:cs="Arial"/>
        </w:rPr>
        <w:t xml:space="preserve">z = </w:t>
      </w:r>
      <w:r w:rsidRPr="00DE4CCB">
        <w:rPr>
          <w:rFonts w:ascii="Arial" w:hAnsi="Arial" w:cs="Arial"/>
        </w:rPr>
        <w:sym w:font="Symbol" w:char="F062"/>
      </w:r>
      <w:r w:rsidRPr="00DE4CCB">
        <w:rPr>
          <w:rFonts w:ascii="Arial" w:hAnsi="Arial" w:cs="Arial"/>
          <w:vertAlign w:val="subscript"/>
        </w:rPr>
        <w:t>0</w:t>
      </w:r>
      <w:r w:rsidRPr="00DE4CCB">
        <w:rPr>
          <w:rFonts w:ascii="Arial" w:hAnsi="Arial" w:cs="Arial"/>
        </w:rPr>
        <w:t xml:space="preserve"> + </w:t>
      </w:r>
      <w:r w:rsidRPr="00DE4CCB">
        <w:rPr>
          <w:rFonts w:ascii="Arial" w:hAnsi="Arial" w:cs="Arial"/>
        </w:rPr>
        <w:sym w:font="Symbol" w:char="F062"/>
      </w:r>
      <w:r w:rsidRPr="00DE4CCB">
        <w:rPr>
          <w:rFonts w:ascii="Arial" w:hAnsi="Arial" w:cs="Arial"/>
          <w:vertAlign w:val="subscript"/>
        </w:rPr>
        <w:t>1</w:t>
      </w:r>
      <w:r w:rsidRPr="00DE4CCB">
        <w:rPr>
          <w:rFonts w:ascii="Arial" w:hAnsi="Arial" w:cs="Arial"/>
        </w:rPr>
        <w:t xml:space="preserve">Edad + </w:t>
      </w:r>
      <w:r w:rsidRPr="00DE4CCB">
        <w:rPr>
          <w:rFonts w:ascii="Arial" w:hAnsi="Arial" w:cs="Arial"/>
        </w:rPr>
        <w:sym w:font="Symbol" w:char="F062"/>
      </w:r>
      <w:r w:rsidRPr="00DE4CCB">
        <w:rPr>
          <w:rFonts w:ascii="Arial" w:hAnsi="Arial" w:cs="Arial"/>
          <w:vertAlign w:val="subscript"/>
        </w:rPr>
        <w:t>2</w:t>
      </w:r>
      <w:r w:rsidRPr="00DE4CCB">
        <w:rPr>
          <w:rFonts w:ascii="Arial" w:hAnsi="Arial" w:cs="Arial"/>
        </w:rPr>
        <w:t xml:space="preserve">Género + </w:t>
      </w:r>
      <w:r w:rsidRPr="00DE4CCB">
        <w:rPr>
          <w:rFonts w:ascii="Arial" w:hAnsi="Arial" w:cs="Arial"/>
        </w:rPr>
        <w:sym w:font="Symbol" w:char="F062"/>
      </w:r>
      <w:r w:rsidRPr="00DE4CCB">
        <w:rPr>
          <w:rFonts w:ascii="Arial" w:hAnsi="Arial" w:cs="Arial"/>
          <w:vertAlign w:val="subscript"/>
        </w:rPr>
        <w:t>3</w:t>
      </w:r>
      <w:r w:rsidRPr="00DE4CCB">
        <w:rPr>
          <w:rFonts w:ascii="Arial" w:hAnsi="Arial" w:cs="Arial"/>
        </w:rPr>
        <w:t xml:space="preserve">Área de residencia + </w:t>
      </w:r>
      <w:r w:rsidRPr="00DE4CCB">
        <w:rPr>
          <w:rFonts w:ascii="Arial" w:hAnsi="Arial" w:cs="Arial"/>
        </w:rPr>
        <w:sym w:font="Symbol" w:char="F062"/>
      </w:r>
      <w:r w:rsidRPr="00DE4CCB">
        <w:rPr>
          <w:rFonts w:ascii="Arial" w:hAnsi="Arial" w:cs="Arial"/>
          <w:vertAlign w:val="subscript"/>
        </w:rPr>
        <w:t>4</w:t>
      </w:r>
      <w:r w:rsidRPr="00DE4CCB">
        <w:rPr>
          <w:rFonts w:ascii="Arial" w:hAnsi="Arial" w:cs="Arial"/>
        </w:rPr>
        <w:t xml:space="preserve">Estado conyugal + </w:t>
      </w:r>
      <w:r w:rsidRPr="00DE4CCB">
        <w:rPr>
          <w:rFonts w:ascii="Arial" w:hAnsi="Arial" w:cs="Arial"/>
        </w:rPr>
        <w:sym w:font="Symbol" w:char="F062"/>
      </w:r>
      <w:r w:rsidRPr="00DE4CCB">
        <w:rPr>
          <w:rFonts w:ascii="Arial" w:hAnsi="Arial" w:cs="Arial"/>
          <w:vertAlign w:val="subscript"/>
        </w:rPr>
        <w:t>5</w:t>
      </w:r>
      <w:r w:rsidRPr="00DE4CCB">
        <w:rPr>
          <w:rFonts w:ascii="Arial" w:hAnsi="Arial" w:cs="Arial"/>
        </w:rPr>
        <w:t xml:space="preserve">Instrucción + </w:t>
      </w:r>
      <w:r w:rsidRPr="00DE4CCB">
        <w:rPr>
          <w:rFonts w:ascii="Arial" w:hAnsi="Arial" w:cs="Arial"/>
        </w:rPr>
        <w:sym w:font="Symbol" w:char="F062"/>
      </w:r>
      <w:r w:rsidRPr="00DE4CCB">
        <w:rPr>
          <w:rFonts w:ascii="Arial" w:hAnsi="Arial" w:cs="Arial"/>
          <w:vertAlign w:val="subscript"/>
        </w:rPr>
        <w:t>6</w:t>
      </w:r>
      <w:r w:rsidRPr="00DE4CCB">
        <w:rPr>
          <w:rFonts w:ascii="Arial" w:hAnsi="Arial" w:cs="Arial"/>
        </w:rPr>
        <w:t xml:space="preserve">Tipo de vivienda + </w:t>
      </w:r>
      <w:r w:rsidRPr="00DE4CCB">
        <w:rPr>
          <w:rFonts w:ascii="Arial" w:hAnsi="Arial" w:cs="Arial"/>
        </w:rPr>
        <w:sym w:font="Symbol" w:char="F062"/>
      </w:r>
      <w:r w:rsidRPr="00DE4CCB">
        <w:rPr>
          <w:rFonts w:ascii="Arial" w:hAnsi="Arial" w:cs="Arial"/>
          <w:vertAlign w:val="subscript"/>
        </w:rPr>
        <w:t>7</w:t>
      </w:r>
      <w:r w:rsidRPr="00DE4CCB">
        <w:rPr>
          <w:rFonts w:ascii="Arial" w:hAnsi="Arial" w:cs="Arial"/>
        </w:rPr>
        <w:t>Trabaja</w:t>
      </w:r>
      <w:bookmarkEnd w:id="971"/>
      <w:bookmarkEnd w:id="972"/>
      <w:bookmarkEnd w:id="973"/>
      <w:bookmarkEnd w:id="974"/>
      <w:bookmarkEnd w:id="975"/>
      <w:bookmarkEnd w:id="976"/>
    </w:p>
    <w:p w:rsidR="000A162B" w:rsidRPr="00DE4CCB" w:rsidRDefault="000A162B" w:rsidP="00DE4CCB">
      <w:pPr>
        <w:spacing w:line="480" w:lineRule="auto"/>
        <w:ind w:left="851"/>
        <w:jc w:val="both"/>
        <w:rPr>
          <w:rFonts w:ascii="Arial" w:hAnsi="Arial" w:cs="Arial"/>
        </w:rPr>
      </w:pPr>
    </w:p>
    <w:p w:rsidR="005C75BB" w:rsidRDefault="005C75BB" w:rsidP="000A162B">
      <w:pPr>
        <w:pStyle w:val="62"/>
        <w:ind w:left="1560"/>
      </w:pPr>
      <w:bookmarkStart w:id="977" w:name="_Toc339275958"/>
      <w:bookmarkStart w:id="978" w:name="_Toc341040755"/>
      <w:r>
        <w:t>Resultados del modelo completo</w:t>
      </w:r>
      <w:bookmarkEnd w:id="977"/>
      <w:bookmarkEnd w:id="978"/>
    </w:p>
    <w:p w:rsidR="005C75BB" w:rsidRPr="000A162B" w:rsidRDefault="005C75BB" w:rsidP="000A162B">
      <w:pPr>
        <w:spacing w:line="480" w:lineRule="auto"/>
        <w:ind w:left="851"/>
        <w:jc w:val="both"/>
        <w:rPr>
          <w:rFonts w:ascii="Arial" w:hAnsi="Arial" w:cs="Arial"/>
          <w:b/>
        </w:rPr>
      </w:pPr>
      <w:bookmarkStart w:id="979" w:name="_Toc339853206"/>
      <w:bookmarkStart w:id="980" w:name="_Toc340231976"/>
      <w:r w:rsidRPr="000A162B">
        <w:rPr>
          <w:rFonts w:ascii="Arial" w:hAnsi="Arial" w:cs="Arial"/>
        </w:rPr>
        <w:t xml:space="preserve">En la </w:t>
      </w:r>
      <w:r w:rsidRPr="000A162B">
        <w:rPr>
          <w:rFonts w:ascii="Arial" w:hAnsi="Arial" w:cs="Arial"/>
          <w:i/>
        </w:rPr>
        <w:t>Tabla 6.2</w:t>
      </w:r>
      <w:r w:rsidRPr="000A162B">
        <w:rPr>
          <w:rFonts w:ascii="Arial" w:hAnsi="Arial" w:cs="Arial"/>
        </w:rPr>
        <w:t>, se presentan los resultados de los estimadores de beta, la interpretación del signo de dichos estimadores para el modelo descrito en la subsección anterior y el valor p; siendo el modelo final igual a:</w:t>
      </w:r>
      <w:bookmarkEnd w:id="979"/>
      <w:bookmarkEnd w:id="980"/>
    </w:p>
    <w:p w:rsidR="005C75BB" w:rsidRPr="000A162B" w:rsidRDefault="005C75BB" w:rsidP="000A162B">
      <w:pPr>
        <w:spacing w:line="480" w:lineRule="auto"/>
        <w:ind w:left="851"/>
        <w:jc w:val="both"/>
        <w:rPr>
          <w:rFonts w:ascii="Arial" w:hAnsi="Arial" w:cs="Arial"/>
          <w:b/>
          <w:sz w:val="10"/>
          <w:szCs w:val="10"/>
        </w:rPr>
      </w:pPr>
    </w:p>
    <w:p w:rsidR="005C75BB" w:rsidRPr="000A162B" w:rsidRDefault="000A162B" w:rsidP="000A162B">
      <w:pPr>
        <w:spacing w:line="480" w:lineRule="auto"/>
        <w:ind w:left="851"/>
        <w:rPr>
          <w:rFonts w:ascii="Arial" w:hAnsi="Arial" w:cs="Arial"/>
          <w:b/>
        </w:rPr>
      </w:pPr>
      <w:bookmarkStart w:id="981" w:name="_Toc338938895"/>
      <w:bookmarkStart w:id="982" w:name="_Toc338938935"/>
      <w:bookmarkStart w:id="983" w:name="_Toc338947237"/>
      <w:bookmarkStart w:id="984" w:name="_Toc339275959"/>
      <w:bookmarkStart w:id="985" w:name="_Toc339853207"/>
      <w:bookmarkStart w:id="986" w:name="_Toc340231977"/>
      <w:r>
        <w:rPr>
          <w:rFonts w:ascii="Arial" w:hAnsi="Arial" w:cs="Arial"/>
        </w:rPr>
        <w:t xml:space="preserve">z = </w:t>
      </w:r>
      <w:r w:rsidRPr="000A162B">
        <w:rPr>
          <w:rFonts w:ascii="Arial" w:hAnsi="Arial" w:cs="Arial"/>
        </w:rPr>
        <w:t>–</w:t>
      </w:r>
      <w:r>
        <w:rPr>
          <w:rFonts w:ascii="Arial" w:hAnsi="Arial" w:cs="Arial"/>
        </w:rPr>
        <w:t xml:space="preserve">0.065 </w:t>
      </w:r>
      <w:r w:rsidR="005C75BB" w:rsidRPr="000A162B">
        <w:rPr>
          <w:rFonts w:ascii="Arial" w:hAnsi="Arial" w:cs="Arial"/>
        </w:rPr>
        <w:t>– 0.8</w:t>
      </w:r>
      <w:r>
        <w:rPr>
          <w:rFonts w:ascii="Arial" w:hAnsi="Arial" w:cs="Arial"/>
        </w:rPr>
        <w:t>80</w:t>
      </w:r>
      <w:r w:rsidR="005C75BB" w:rsidRPr="000A162B">
        <w:rPr>
          <w:rFonts w:ascii="Arial" w:hAnsi="Arial" w:cs="Arial"/>
        </w:rPr>
        <w:t xml:space="preserve"> Edad – 0.</w:t>
      </w:r>
      <w:r>
        <w:rPr>
          <w:rFonts w:ascii="Arial" w:hAnsi="Arial" w:cs="Arial"/>
        </w:rPr>
        <w:t>117</w:t>
      </w:r>
      <w:r w:rsidR="005C75BB" w:rsidRPr="000A162B">
        <w:rPr>
          <w:rFonts w:ascii="Arial" w:hAnsi="Arial" w:cs="Arial"/>
        </w:rPr>
        <w:t xml:space="preserve"> Género </w:t>
      </w:r>
      <w:r w:rsidRPr="000A162B">
        <w:rPr>
          <w:rFonts w:ascii="Arial" w:hAnsi="Arial" w:cs="Arial"/>
        </w:rPr>
        <w:t>–</w:t>
      </w:r>
      <w:r w:rsidR="005C75BB" w:rsidRPr="000A162B">
        <w:rPr>
          <w:rFonts w:ascii="Arial" w:hAnsi="Arial" w:cs="Arial"/>
        </w:rPr>
        <w:t xml:space="preserve"> 0.</w:t>
      </w:r>
      <w:r>
        <w:rPr>
          <w:rFonts w:ascii="Arial" w:hAnsi="Arial" w:cs="Arial"/>
        </w:rPr>
        <w:t>001</w:t>
      </w:r>
      <w:r w:rsidR="005C75BB" w:rsidRPr="000A162B">
        <w:rPr>
          <w:rFonts w:ascii="Arial" w:hAnsi="Arial" w:cs="Arial"/>
        </w:rPr>
        <w:t xml:space="preserve"> Área de residencia</w:t>
      </w:r>
      <w:bookmarkEnd w:id="981"/>
      <w:bookmarkEnd w:id="982"/>
      <w:bookmarkEnd w:id="983"/>
      <w:bookmarkEnd w:id="984"/>
      <w:bookmarkEnd w:id="985"/>
      <w:bookmarkEnd w:id="986"/>
    </w:p>
    <w:p w:rsidR="005C75BB" w:rsidRPr="000A162B" w:rsidRDefault="005C75BB" w:rsidP="000A162B">
      <w:pPr>
        <w:spacing w:line="480" w:lineRule="auto"/>
        <w:ind w:left="851"/>
        <w:rPr>
          <w:rFonts w:ascii="Arial" w:hAnsi="Arial" w:cs="Arial"/>
          <w:b/>
        </w:rPr>
      </w:pPr>
      <w:bookmarkStart w:id="987" w:name="_Toc338938896"/>
      <w:bookmarkStart w:id="988" w:name="_Toc338938936"/>
      <w:bookmarkStart w:id="989" w:name="_Toc338947238"/>
      <w:bookmarkStart w:id="990" w:name="_Toc339275960"/>
      <w:bookmarkStart w:id="991" w:name="_Toc339853208"/>
      <w:bookmarkStart w:id="992" w:name="_Toc340231978"/>
      <w:r w:rsidRPr="000A162B">
        <w:rPr>
          <w:rFonts w:ascii="Arial" w:hAnsi="Arial" w:cs="Arial"/>
        </w:rPr>
        <w:t>+ 0.</w:t>
      </w:r>
      <w:r w:rsidR="000A162B">
        <w:rPr>
          <w:rFonts w:ascii="Arial" w:hAnsi="Arial" w:cs="Arial"/>
        </w:rPr>
        <w:t>362</w:t>
      </w:r>
      <w:r w:rsidRPr="000A162B">
        <w:rPr>
          <w:rFonts w:ascii="Arial" w:hAnsi="Arial" w:cs="Arial"/>
        </w:rPr>
        <w:t xml:space="preserve"> Estado conyugal – 0.</w:t>
      </w:r>
      <w:r w:rsidR="000A162B">
        <w:rPr>
          <w:rFonts w:ascii="Arial" w:hAnsi="Arial" w:cs="Arial"/>
        </w:rPr>
        <w:t>191</w:t>
      </w:r>
      <w:r w:rsidRPr="000A162B">
        <w:rPr>
          <w:rFonts w:ascii="Arial" w:hAnsi="Arial" w:cs="Arial"/>
        </w:rPr>
        <w:t xml:space="preserve"> Instrucción – 0.</w:t>
      </w:r>
      <w:r w:rsidR="000A162B">
        <w:rPr>
          <w:rFonts w:ascii="Arial" w:hAnsi="Arial" w:cs="Arial"/>
        </w:rPr>
        <w:t>491</w:t>
      </w:r>
      <w:r w:rsidRPr="000A162B">
        <w:rPr>
          <w:rFonts w:ascii="Arial" w:hAnsi="Arial" w:cs="Arial"/>
        </w:rPr>
        <w:t xml:space="preserve"> Tipo de vivienda</w:t>
      </w:r>
      <w:bookmarkEnd w:id="987"/>
      <w:bookmarkEnd w:id="988"/>
      <w:bookmarkEnd w:id="989"/>
      <w:bookmarkEnd w:id="990"/>
      <w:bookmarkEnd w:id="991"/>
      <w:bookmarkEnd w:id="992"/>
    </w:p>
    <w:p w:rsidR="005C75BB" w:rsidRPr="000A162B" w:rsidRDefault="000A162B" w:rsidP="000A162B">
      <w:pPr>
        <w:spacing w:line="480" w:lineRule="auto"/>
        <w:ind w:left="851"/>
        <w:rPr>
          <w:rFonts w:ascii="Arial" w:hAnsi="Arial" w:cs="Arial"/>
          <w:b/>
        </w:rPr>
      </w:pPr>
      <w:bookmarkStart w:id="993" w:name="_Toc338938897"/>
      <w:bookmarkStart w:id="994" w:name="_Toc338938937"/>
      <w:bookmarkStart w:id="995" w:name="_Toc338947239"/>
      <w:bookmarkStart w:id="996" w:name="_Toc339275961"/>
      <w:bookmarkStart w:id="997" w:name="_Toc339853209"/>
      <w:bookmarkStart w:id="998" w:name="_Toc340231979"/>
      <w:r>
        <w:rPr>
          <w:rFonts w:ascii="Arial" w:hAnsi="Arial" w:cs="Arial"/>
        </w:rPr>
        <w:t>+</w:t>
      </w:r>
      <w:r w:rsidR="005C75BB" w:rsidRPr="000A162B">
        <w:rPr>
          <w:rFonts w:ascii="Arial" w:hAnsi="Arial" w:cs="Arial"/>
        </w:rPr>
        <w:t xml:space="preserve"> 0.</w:t>
      </w:r>
      <w:r>
        <w:rPr>
          <w:rFonts w:ascii="Arial" w:hAnsi="Arial" w:cs="Arial"/>
        </w:rPr>
        <w:t>044</w:t>
      </w:r>
      <w:r w:rsidR="005C75BB" w:rsidRPr="000A162B">
        <w:rPr>
          <w:rFonts w:ascii="Arial" w:hAnsi="Arial" w:cs="Arial"/>
        </w:rPr>
        <w:t xml:space="preserve"> Trabaja</w:t>
      </w:r>
      <w:bookmarkEnd w:id="993"/>
      <w:bookmarkEnd w:id="994"/>
      <w:bookmarkEnd w:id="995"/>
      <w:bookmarkEnd w:id="996"/>
      <w:bookmarkEnd w:id="997"/>
      <w:bookmarkEnd w:id="998"/>
    </w:p>
    <w:p w:rsidR="000A162B" w:rsidRPr="000A162B" w:rsidRDefault="000A162B" w:rsidP="000A162B">
      <w:pPr>
        <w:spacing w:line="480" w:lineRule="auto"/>
        <w:ind w:left="851"/>
        <w:jc w:val="both"/>
        <w:rPr>
          <w:rFonts w:ascii="Arial" w:hAnsi="Arial" w:cs="Arial"/>
          <w:sz w:val="10"/>
          <w:szCs w:val="10"/>
        </w:rPr>
      </w:pPr>
      <w:bookmarkStart w:id="999" w:name="_Toc339853210"/>
      <w:bookmarkStart w:id="1000" w:name="_Toc340231980"/>
    </w:p>
    <w:p w:rsidR="005C75BB" w:rsidRPr="000A162B" w:rsidRDefault="005C75BB" w:rsidP="000A162B">
      <w:pPr>
        <w:spacing w:line="480" w:lineRule="auto"/>
        <w:ind w:left="851"/>
        <w:jc w:val="both"/>
        <w:rPr>
          <w:rFonts w:ascii="Arial" w:hAnsi="Arial" w:cs="Arial"/>
          <w:b/>
          <w:i/>
        </w:rPr>
      </w:pPr>
      <w:r w:rsidRPr="000A162B">
        <w:rPr>
          <w:rFonts w:ascii="Arial" w:hAnsi="Arial" w:cs="Arial"/>
        </w:rPr>
        <w:t>Donde tenemos que para las personas menores de 30 años disminuye la probabilidad de ser inmigrante, puesto que el signo del estimador de beta es negativo; mientras que en lo referente al género decrece la probabilidad de ser inmigrante en los hombres; y, en lo que respecta al estado conyugal, el signo del estimador de beta es positivo lo cual nos indica que la probabilidad de ser inmigrante aumenta para las personas que están casadas o unidas.</w:t>
      </w:r>
      <w:bookmarkEnd w:id="999"/>
      <w:bookmarkEnd w:id="1000"/>
      <w:r w:rsidRPr="000A162B">
        <w:rPr>
          <w:rFonts w:ascii="Arial" w:hAnsi="Arial" w:cs="Arial"/>
        </w:rPr>
        <w:t xml:space="preserve"> </w:t>
      </w:r>
      <w:bookmarkStart w:id="1001" w:name="_Toc339853211"/>
      <w:bookmarkStart w:id="1002" w:name="_Toc340231981"/>
      <w:r w:rsidRPr="000A162B">
        <w:rPr>
          <w:rFonts w:ascii="Arial" w:hAnsi="Arial" w:cs="Arial"/>
        </w:rPr>
        <w:t xml:space="preserve">En </w:t>
      </w:r>
      <w:r w:rsidR="009543C0">
        <w:rPr>
          <w:rFonts w:ascii="Arial" w:hAnsi="Arial" w:cs="Arial"/>
        </w:rPr>
        <w:t>cambio, en</w:t>
      </w:r>
      <w:r w:rsidRPr="000A162B">
        <w:rPr>
          <w:rFonts w:ascii="Arial" w:hAnsi="Arial" w:cs="Arial"/>
        </w:rPr>
        <w:t xml:space="preserve"> </w:t>
      </w:r>
      <w:r w:rsidR="009543C0">
        <w:rPr>
          <w:rFonts w:ascii="Arial" w:hAnsi="Arial" w:cs="Arial"/>
        </w:rPr>
        <w:t>e</w:t>
      </w:r>
      <w:r w:rsidRPr="000A162B">
        <w:rPr>
          <w:rFonts w:ascii="Arial" w:hAnsi="Arial" w:cs="Arial"/>
        </w:rPr>
        <w:t>l nivel de instrucción la probabilidad de ser inmigrante disminuye para las personas que tienen instrucción inferior a la primaria; y, en lo que respecta a vivir en una casa/villa, departamento en casa o edificio y departamento en casa de inquilinato disminuye la probabilidad de vivir como inmigrante en Guayaquil</w:t>
      </w:r>
      <w:r w:rsidR="009543C0">
        <w:rPr>
          <w:rFonts w:ascii="Arial" w:hAnsi="Arial" w:cs="Arial"/>
        </w:rPr>
        <w:t>; y, trabajar aumenta dicha probabilidad</w:t>
      </w:r>
      <w:r w:rsidRPr="000A162B">
        <w:rPr>
          <w:rFonts w:ascii="Arial" w:hAnsi="Arial" w:cs="Arial"/>
        </w:rPr>
        <w:t>. Analizando el valor p, podemos notar que los factores área de residencia y si la persona trabaja</w:t>
      </w:r>
      <w:r w:rsidR="009543C0">
        <w:rPr>
          <w:rFonts w:ascii="Arial" w:hAnsi="Arial" w:cs="Arial"/>
        </w:rPr>
        <w:t>,</w:t>
      </w:r>
      <w:r w:rsidRPr="000A162B">
        <w:rPr>
          <w:rFonts w:ascii="Arial" w:hAnsi="Arial" w:cs="Arial"/>
        </w:rPr>
        <w:t xml:space="preserve"> no son significativas para el modelo, debido a que el valor p es mayor que 0.10, por tanto existe evidencia estadística para no rechazar la hipótesis nula de que los </w:t>
      </w:r>
      <w:r w:rsidRPr="000A162B">
        <w:rPr>
          <w:rFonts w:ascii="Arial" w:hAnsi="Arial" w:cs="Arial"/>
        </w:rPr>
        <w:sym w:font="Symbol" w:char="F062"/>
      </w:r>
      <w:r w:rsidRPr="000A162B">
        <w:rPr>
          <w:rFonts w:ascii="Arial" w:hAnsi="Arial" w:cs="Arial"/>
          <w:vertAlign w:val="subscript"/>
        </w:rPr>
        <w:t>i</w:t>
      </w:r>
      <w:r w:rsidRPr="000A162B">
        <w:rPr>
          <w:rFonts w:ascii="Arial" w:hAnsi="Arial" w:cs="Arial"/>
        </w:rPr>
        <w:t xml:space="preserve"> son iguales a cero; mientras que, para los otros factores el valor p obtenido es menor que 0.05, pudiéndose concluir que estos factores son significativos para el modelo. </w:t>
      </w:r>
      <w:r w:rsidRPr="000A162B">
        <w:rPr>
          <w:rFonts w:ascii="Arial" w:hAnsi="Arial" w:cs="Arial"/>
          <w:i/>
        </w:rPr>
        <w:t>Véase Tabla 6.2.</w:t>
      </w:r>
      <w:bookmarkEnd w:id="1001"/>
      <w:bookmarkEnd w:id="1002"/>
    </w:p>
    <w:tbl>
      <w:tblPr>
        <w:tblStyle w:val="Tablaconcuadrcula"/>
        <w:tblW w:w="7459" w:type="dxa"/>
        <w:jc w:val="right"/>
        <w:tblInd w:w="103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59"/>
      </w:tblGrid>
      <w:tr w:rsidR="005C75BB" w:rsidRPr="003559D6" w:rsidTr="009543C0">
        <w:trPr>
          <w:trHeight w:val="5613"/>
          <w:jc w:val="right"/>
        </w:trPr>
        <w:tc>
          <w:tcPr>
            <w:tcW w:w="7459" w:type="dxa"/>
          </w:tcPr>
          <w:p w:rsidR="005C75BB" w:rsidRPr="00434327" w:rsidRDefault="005C75BB" w:rsidP="005C75BB">
            <w:pPr>
              <w:rPr>
                <w:rFonts w:ascii="Arial" w:hAnsi="Arial" w:cs="Arial"/>
                <w:sz w:val="16"/>
                <w:szCs w:val="16"/>
              </w:rPr>
            </w:pPr>
          </w:p>
          <w:p w:rsidR="00654171" w:rsidRPr="00654171" w:rsidRDefault="00654171" w:rsidP="00654171">
            <w:pPr>
              <w:pStyle w:val="Epgrafe"/>
              <w:rPr>
                <w:rFonts w:ascii="Arial" w:hAnsi="Arial" w:cs="Arial"/>
                <w:bCs w:val="0"/>
                <w:color w:val="auto"/>
                <w:sz w:val="16"/>
                <w:szCs w:val="16"/>
              </w:rPr>
            </w:pPr>
            <w:bookmarkStart w:id="1003" w:name="_Toc341042348"/>
            <w:r>
              <w:rPr>
                <w:rFonts w:ascii="Arial" w:hAnsi="Arial" w:cs="Arial"/>
                <w:bCs w:val="0"/>
                <w:color w:val="auto"/>
                <w:sz w:val="16"/>
                <w:szCs w:val="16"/>
              </w:rPr>
              <w:t>Tabla 6.</w:t>
            </w:r>
            <w:r w:rsidR="00990535" w:rsidRPr="00654171">
              <w:rPr>
                <w:rFonts w:ascii="Arial" w:hAnsi="Arial" w:cs="Arial"/>
                <w:bCs w:val="0"/>
                <w:color w:val="auto"/>
                <w:sz w:val="16"/>
                <w:szCs w:val="16"/>
              </w:rPr>
              <w:fldChar w:fldCharType="begin"/>
            </w:r>
            <w:r w:rsidRPr="00654171">
              <w:rPr>
                <w:rFonts w:ascii="Arial" w:hAnsi="Arial" w:cs="Arial"/>
                <w:bCs w:val="0"/>
                <w:color w:val="auto"/>
                <w:sz w:val="16"/>
                <w:szCs w:val="16"/>
              </w:rPr>
              <w:instrText xml:space="preserve"> SEQ Tabla_6. \* ARABIC </w:instrText>
            </w:r>
            <w:r w:rsidR="00990535" w:rsidRPr="00654171">
              <w:rPr>
                <w:rFonts w:ascii="Arial" w:hAnsi="Arial" w:cs="Arial"/>
                <w:bCs w:val="0"/>
                <w:color w:val="auto"/>
                <w:sz w:val="16"/>
                <w:szCs w:val="16"/>
              </w:rPr>
              <w:fldChar w:fldCharType="separate"/>
            </w:r>
            <w:r w:rsidR="00A242E0">
              <w:rPr>
                <w:rFonts w:ascii="Arial" w:hAnsi="Arial" w:cs="Arial"/>
                <w:bCs w:val="0"/>
                <w:noProof/>
                <w:color w:val="auto"/>
                <w:sz w:val="16"/>
                <w:szCs w:val="16"/>
              </w:rPr>
              <w:t>2</w:t>
            </w:r>
            <w:bookmarkEnd w:id="1003"/>
            <w:r w:rsidR="00990535" w:rsidRPr="00654171">
              <w:rPr>
                <w:rFonts w:ascii="Arial" w:hAnsi="Arial" w:cs="Arial"/>
                <w:bCs w:val="0"/>
                <w:color w:val="auto"/>
                <w:sz w:val="16"/>
                <w:szCs w:val="16"/>
              </w:rPr>
              <w:fldChar w:fldCharType="end"/>
            </w:r>
          </w:p>
          <w:p w:rsidR="005C75BB" w:rsidRDefault="009543C0" w:rsidP="005C75BB">
            <w:pPr>
              <w:rPr>
                <w:rFonts w:ascii="Arial" w:hAnsi="Arial" w:cs="Arial"/>
                <w:i/>
                <w:sz w:val="16"/>
                <w:szCs w:val="16"/>
              </w:rPr>
            </w:pPr>
            <w:r>
              <w:rPr>
                <w:rFonts w:ascii="Arial" w:hAnsi="Arial" w:cs="Arial"/>
                <w:b/>
                <w:i/>
                <w:sz w:val="16"/>
                <w:szCs w:val="16"/>
              </w:rPr>
              <w:t xml:space="preserve">Guayaquil 2010: </w:t>
            </w:r>
            <w:r w:rsidR="005C75BB">
              <w:rPr>
                <w:rFonts w:ascii="Arial" w:hAnsi="Arial" w:cs="Arial"/>
                <w:i/>
                <w:sz w:val="16"/>
                <w:szCs w:val="16"/>
              </w:rPr>
              <w:t>Estimadores de los parámetros del modelo</w:t>
            </w:r>
            <w:r w:rsidR="0070524B">
              <w:rPr>
                <w:rFonts w:ascii="Arial" w:hAnsi="Arial" w:cs="Arial"/>
                <w:i/>
                <w:sz w:val="16"/>
                <w:szCs w:val="16"/>
              </w:rPr>
              <w:t xml:space="preserve"> completo</w:t>
            </w:r>
            <w:r w:rsidR="002616BE">
              <w:rPr>
                <w:rFonts w:ascii="Arial" w:hAnsi="Arial" w:cs="Arial"/>
                <w:i/>
                <w:sz w:val="16"/>
                <w:szCs w:val="16"/>
              </w:rPr>
              <w:t xml:space="preserve"> de la migración hacia Guayaquil</w:t>
            </w:r>
            <w:r>
              <w:rPr>
                <w:rFonts w:ascii="Arial" w:hAnsi="Arial" w:cs="Arial"/>
                <w:i/>
                <w:sz w:val="16"/>
                <w:szCs w:val="16"/>
              </w:rPr>
              <w:t xml:space="preserve"> (</w:t>
            </w:r>
            <w:r w:rsidR="005C75BB">
              <w:rPr>
                <w:rFonts w:ascii="Arial" w:hAnsi="Arial" w:cs="Arial"/>
                <w:i/>
                <w:sz w:val="16"/>
                <w:szCs w:val="16"/>
              </w:rPr>
              <w:t>y = 1 = Inmigrante; y =  0 = Nativo</w:t>
            </w:r>
            <w:r>
              <w:rPr>
                <w:rFonts w:ascii="Arial" w:hAnsi="Arial" w:cs="Arial"/>
                <w:i/>
                <w:sz w:val="16"/>
                <w:szCs w:val="16"/>
              </w:rPr>
              <w:t>)</w:t>
            </w:r>
          </w:p>
          <w:p w:rsidR="005C75BB" w:rsidRPr="003D21E9" w:rsidRDefault="005C75BB" w:rsidP="005C75BB">
            <w:pPr>
              <w:rPr>
                <w:rFonts w:ascii="Arial" w:hAnsi="Arial" w:cs="Arial"/>
                <w:i/>
                <w:sz w:val="10"/>
                <w:szCs w:val="10"/>
              </w:rPr>
            </w:pPr>
          </w:p>
          <w:tbl>
            <w:tblPr>
              <w:tblW w:w="7179" w:type="dxa"/>
              <w:jc w:val="center"/>
              <w:tblCellMar>
                <w:left w:w="70" w:type="dxa"/>
                <w:right w:w="70" w:type="dxa"/>
              </w:tblCellMar>
              <w:tblLook w:val="04A0" w:firstRow="1" w:lastRow="0" w:firstColumn="1" w:lastColumn="0" w:noHBand="0" w:noVBand="1"/>
            </w:tblPr>
            <w:tblGrid>
              <w:gridCol w:w="1077"/>
              <w:gridCol w:w="1112"/>
              <w:gridCol w:w="859"/>
              <w:gridCol w:w="727"/>
              <w:gridCol w:w="1841"/>
              <w:gridCol w:w="525"/>
              <w:gridCol w:w="1038"/>
            </w:tblGrid>
            <w:tr w:rsidR="005C75BB" w:rsidRPr="00944799" w:rsidTr="009543C0">
              <w:trPr>
                <w:trHeight w:val="397"/>
                <w:jc w:val="center"/>
              </w:trPr>
              <w:tc>
                <w:tcPr>
                  <w:tcW w:w="1077" w:type="dxa"/>
                  <w:tcBorders>
                    <w:top w:val="single" w:sz="4" w:space="0" w:color="auto"/>
                    <w:left w:val="nil"/>
                    <w:bottom w:val="single" w:sz="4" w:space="0" w:color="auto"/>
                    <w:right w:val="nil"/>
                  </w:tcBorders>
                  <w:shd w:val="clear" w:color="auto" w:fill="auto"/>
                  <w:noWrap/>
                  <w:vAlign w:val="center"/>
                  <w:hideMark/>
                </w:tcPr>
                <w:p w:rsidR="005C75BB" w:rsidRPr="00944799" w:rsidRDefault="005C75BB" w:rsidP="005C75BB">
                  <w:pPr>
                    <w:rPr>
                      <w:rFonts w:ascii="Arial" w:eastAsia="Times New Roman" w:hAnsi="Arial" w:cs="Arial"/>
                      <w:b/>
                      <w:bCs/>
                      <w:color w:val="000000"/>
                      <w:sz w:val="14"/>
                      <w:szCs w:val="14"/>
                      <w:lang w:eastAsia="es-EC"/>
                    </w:rPr>
                  </w:pPr>
                  <w:r w:rsidRPr="00944799">
                    <w:rPr>
                      <w:rFonts w:ascii="Arial" w:eastAsia="Times New Roman" w:hAnsi="Arial" w:cs="Arial"/>
                      <w:b/>
                      <w:bCs/>
                      <w:color w:val="000000"/>
                      <w:sz w:val="14"/>
                      <w:szCs w:val="14"/>
                      <w:lang w:eastAsia="es-EC"/>
                    </w:rPr>
                    <w:t>Variable</w:t>
                  </w:r>
                </w:p>
              </w:tc>
              <w:tc>
                <w:tcPr>
                  <w:tcW w:w="1113" w:type="dxa"/>
                  <w:tcBorders>
                    <w:top w:val="single" w:sz="4" w:space="0" w:color="auto"/>
                    <w:left w:val="nil"/>
                    <w:bottom w:val="single" w:sz="4" w:space="0" w:color="auto"/>
                    <w:right w:val="nil"/>
                  </w:tcBorders>
                  <w:vAlign w:val="center"/>
                </w:tcPr>
                <w:p w:rsidR="005C75BB" w:rsidRPr="00944799" w:rsidRDefault="005C75BB" w:rsidP="005C75BB">
                  <w:pPr>
                    <w:rPr>
                      <w:rFonts w:ascii="Arial" w:hAnsi="Arial" w:cs="Arial"/>
                      <w:b/>
                      <w:bCs/>
                      <w:color w:val="000000"/>
                      <w:sz w:val="14"/>
                      <w:szCs w:val="14"/>
                    </w:rPr>
                  </w:pPr>
                  <w:r w:rsidRPr="00944799">
                    <w:rPr>
                      <w:rFonts w:ascii="Arial" w:hAnsi="Arial" w:cs="Arial"/>
                      <w:b/>
                      <w:bCs/>
                      <w:color w:val="000000"/>
                      <w:sz w:val="14"/>
                      <w:szCs w:val="14"/>
                    </w:rPr>
                    <w:t>Codificación</w:t>
                  </w:r>
                </w:p>
              </w:tc>
              <w:tc>
                <w:tcPr>
                  <w:tcW w:w="859" w:type="dxa"/>
                  <w:tcBorders>
                    <w:top w:val="single" w:sz="4" w:space="0" w:color="auto"/>
                    <w:left w:val="nil"/>
                    <w:bottom w:val="single" w:sz="4" w:space="0" w:color="auto"/>
                    <w:right w:val="nil"/>
                  </w:tcBorders>
                  <w:shd w:val="clear" w:color="auto" w:fill="auto"/>
                  <w:vAlign w:val="center"/>
                  <w:hideMark/>
                </w:tcPr>
                <w:p w:rsidR="005C75BB" w:rsidRPr="00944799" w:rsidRDefault="005C75BB" w:rsidP="005C75BB">
                  <w:pPr>
                    <w:rPr>
                      <w:rFonts w:ascii="Arial" w:eastAsia="Times New Roman" w:hAnsi="Arial" w:cs="Arial"/>
                      <w:b/>
                      <w:bCs/>
                      <w:color w:val="000000"/>
                      <w:sz w:val="14"/>
                      <w:szCs w:val="14"/>
                      <w:lang w:eastAsia="es-EC"/>
                    </w:rPr>
                  </w:pPr>
                  <w:r w:rsidRPr="00944799">
                    <w:rPr>
                      <w:rFonts w:ascii="Arial" w:eastAsia="Times New Roman" w:hAnsi="Arial" w:cs="Arial"/>
                      <w:b/>
                      <w:bCs/>
                      <w:color w:val="000000"/>
                      <w:sz w:val="14"/>
                      <w:szCs w:val="14"/>
                      <w:lang w:eastAsia="es-EC"/>
                    </w:rPr>
                    <w:t>Estimador</w:t>
                  </w:r>
                </w:p>
              </w:tc>
              <w:tc>
                <w:tcPr>
                  <w:tcW w:w="727" w:type="dxa"/>
                  <w:tcBorders>
                    <w:top w:val="single" w:sz="4" w:space="0" w:color="auto"/>
                    <w:left w:val="nil"/>
                    <w:bottom w:val="single" w:sz="4" w:space="0" w:color="auto"/>
                    <w:right w:val="nil"/>
                  </w:tcBorders>
                  <w:shd w:val="clear" w:color="auto" w:fill="auto"/>
                  <w:vAlign w:val="center"/>
                  <w:hideMark/>
                </w:tcPr>
                <w:p w:rsidR="005C75BB" w:rsidRPr="00944799" w:rsidRDefault="005C75BB" w:rsidP="005C75BB">
                  <w:pPr>
                    <w:rPr>
                      <w:rFonts w:ascii="Arial" w:eastAsia="Times New Roman" w:hAnsi="Arial" w:cs="Arial"/>
                      <w:b/>
                      <w:bCs/>
                      <w:color w:val="000000"/>
                      <w:sz w:val="14"/>
                      <w:szCs w:val="14"/>
                      <w:lang w:eastAsia="es-EC"/>
                    </w:rPr>
                  </w:pPr>
                  <w:r w:rsidRPr="00944799">
                    <w:rPr>
                      <w:rFonts w:ascii="Arial" w:eastAsia="Times New Roman" w:hAnsi="Arial" w:cs="Arial"/>
                      <w:b/>
                      <w:bCs/>
                      <w:color w:val="000000"/>
                      <w:sz w:val="14"/>
                      <w:szCs w:val="14"/>
                      <w:lang w:eastAsia="es-EC"/>
                    </w:rPr>
                    <w:t>Signo</w:t>
                  </w:r>
                </w:p>
              </w:tc>
              <w:tc>
                <w:tcPr>
                  <w:tcW w:w="1855" w:type="dxa"/>
                  <w:tcBorders>
                    <w:top w:val="single" w:sz="4" w:space="0" w:color="auto"/>
                    <w:left w:val="nil"/>
                    <w:bottom w:val="single" w:sz="4" w:space="0" w:color="auto"/>
                    <w:right w:val="nil"/>
                  </w:tcBorders>
                  <w:shd w:val="clear" w:color="auto" w:fill="auto"/>
                  <w:vAlign w:val="center"/>
                  <w:hideMark/>
                </w:tcPr>
                <w:p w:rsidR="005C75BB" w:rsidRPr="00944799" w:rsidRDefault="005C75BB" w:rsidP="005C75BB">
                  <w:pPr>
                    <w:rPr>
                      <w:rFonts w:ascii="Arial" w:eastAsia="Times New Roman" w:hAnsi="Arial" w:cs="Arial"/>
                      <w:b/>
                      <w:bCs/>
                      <w:color w:val="000000"/>
                      <w:sz w:val="14"/>
                      <w:szCs w:val="14"/>
                      <w:lang w:eastAsia="es-EC"/>
                    </w:rPr>
                  </w:pPr>
                  <w:r w:rsidRPr="00944799">
                    <w:rPr>
                      <w:rFonts w:ascii="Arial" w:eastAsia="Times New Roman" w:hAnsi="Arial" w:cs="Arial"/>
                      <w:b/>
                      <w:bCs/>
                      <w:color w:val="000000"/>
                      <w:sz w:val="14"/>
                      <w:szCs w:val="14"/>
                      <w:lang w:eastAsia="es-EC"/>
                    </w:rPr>
                    <w:t>Explicación</w:t>
                  </w:r>
                </w:p>
              </w:tc>
              <w:tc>
                <w:tcPr>
                  <w:tcW w:w="510" w:type="dxa"/>
                  <w:tcBorders>
                    <w:top w:val="single" w:sz="4" w:space="0" w:color="auto"/>
                    <w:left w:val="nil"/>
                    <w:bottom w:val="single" w:sz="4" w:space="0" w:color="auto"/>
                    <w:right w:val="nil"/>
                  </w:tcBorders>
                  <w:shd w:val="clear" w:color="auto" w:fill="auto"/>
                  <w:vAlign w:val="center"/>
                  <w:hideMark/>
                </w:tcPr>
                <w:p w:rsidR="005C75BB" w:rsidRPr="00944799" w:rsidRDefault="005C75BB" w:rsidP="005C75BB">
                  <w:pPr>
                    <w:rPr>
                      <w:rFonts w:ascii="Arial" w:eastAsia="Times New Roman" w:hAnsi="Arial" w:cs="Arial"/>
                      <w:b/>
                      <w:bCs/>
                      <w:color w:val="000000"/>
                      <w:sz w:val="14"/>
                      <w:szCs w:val="14"/>
                      <w:lang w:eastAsia="es-EC"/>
                    </w:rPr>
                  </w:pPr>
                  <w:r w:rsidRPr="00944799">
                    <w:rPr>
                      <w:rFonts w:ascii="Arial" w:eastAsia="Times New Roman" w:hAnsi="Arial" w:cs="Arial"/>
                      <w:b/>
                      <w:bCs/>
                      <w:color w:val="000000"/>
                      <w:sz w:val="14"/>
                      <w:szCs w:val="14"/>
                      <w:lang w:eastAsia="es-EC"/>
                    </w:rPr>
                    <w:t>Valor p</w:t>
                  </w:r>
                </w:p>
              </w:tc>
              <w:tc>
                <w:tcPr>
                  <w:tcW w:w="1038" w:type="dxa"/>
                  <w:tcBorders>
                    <w:top w:val="single" w:sz="4" w:space="0" w:color="auto"/>
                    <w:left w:val="nil"/>
                    <w:bottom w:val="single" w:sz="4" w:space="0" w:color="auto"/>
                    <w:right w:val="nil"/>
                  </w:tcBorders>
                  <w:shd w:val="clear" w:color="auto" w:fill="auto"/>
                  <w:vAlign w:val="center"/>
                  <w:hideMark/>
                </w:tcPr>
                <w:p w:rsidR="005C75BB" w:rsidRPr="00944799" w:rsidRDefault="005C75BB" w:rsidP="005C75BB">
                  <w:pPr>
                    <w:rPr>
                      <w:rFonts w:ascii="Arial" w:eastAsia="Times New Roman" w:hAnsi="Arial" w:cs="Arial"/>
                      <w:b/>
                      <w:bCs/>
                      <w:color w:val="000000"/>
                      <w:sz w:val="14"/>
                      <w:szCs w:val="14"/>
                      <w:lang w:eastAsia="es-EC"/>
                    </w:rPr>
                  </w:pPr>
                  <w:r w:rsidRPr="00944799">
                    <w:rPr>
                      <w:rFonts w:ascii="Arial" w:eastAsia="Times New Roman" w:hAnsi="Arial" w:cs="Arial"/>
                      <w:b/>
                      <w:bCs/>
                      <w:color w:val="000000"/>
                      <w:sz w:val="14"/>
                      <w:szCs w:val="14"/>
                      <w:lang w:eastAsia="es-EC"/>
                    </w:rPr>
                    <w:t>Significancia</w:t>
                  </w:r>
                </w:p>
              </w:tc>
            </w:tr>
            <w:tr w:rsidR="009543C0" w:rsidRPr="00944799" w:rsidTr="009543C0">
              <w:trPr>
                <w:trHeight w:val="20"/>
                <w:jc w:val="center"/>
              </w:trPr>
              <w:tc>
                <w:tcPr>
                  <w:tcW w:w="1077" w:type="dxa"/>
                  <w:tcBorders>
                    <w:top w:val="nil"/>
                    <w:left w:val="nil"/>
                    <w:bottom w:val="nil"/>
                    <w:right w:val="nil"/>
                  </w:tcBorders>
                  <w:shd w:val="clear" w:color="auto" w:fill="auto"/>
                  <w:noWrap/>
                  <w:vAlign w:val="center"/>
                  <w:hideMark/>
                </w:tcPr>
                <w:p w:rsidR="009543C0" w:rsidRPr="00944799" w:rsidRDefault="009543C0" w:rsidP="00654171">
                  <w:pPr>
                    <w:jc w:val="left"/>
                    <w:rPr>
                      <w:rFonts w:ascii="Arial" w:eastAsia="Times New Roman" w:hAnsi="Arial" w:cs="Arial"/>
                      <w:color w:val="000000"/>
                      <w:sz w:val="14"/>
                      <w:szCs w:val="14"/>
                      <w:lang w:eastAsia="es-EC"/>
                    </w:rPr>
                  </w:pPr>
                  <w:r w:rsidRPr="00944799">
                    <w:rPr>
                      <w:rFonts w:ascii="Arial" w:eastAsia="Times New Roman" w:hAnsi="Arial" w:cs="Arial"/>
                      <w:color w:val="000000"/>
                      <w:sz w:val="14"/>
                      <w:szCs w:val="14"/>
                      <w:lang w:eastAsia="es-EC"/>
                    </w:rPr>
                    <w:t>Edad (X</w:t>
                  </w:r>
                  <w:r w:rsidRPr="00944799">
                    <w:rPr>
                      <w:rFonts w:ascii="Arial" w:eastAsia="Times New Roman" w:hAnsi="Arial" w:cs="Arial"/>
                      <w:color w:val="000000"/>
                      <w:sz w:val="14"/>
                      <w:szCs w:val="14"/>
                      <w:vertAlign w:val="subscript"/>
                      <w:lang w:eastAsia="es-EC"/>
                    </w:rPr>
                    <w:t>1</w:t>
                  </w:r>
                  <w:r w:rsidRPr="00944799">
                    <w:rPr>
                      <w:rFonts w:ascii="Arial" w:eastAsia="Times New Roman" w:hAnsi="Arial" w:cs="Arial"/>
                      <w:color w:val="000000"/>
                      <w:sz w:val="14"/>
                      <w:szCs w:val="14"/>
                      <w:lang w:eastAsia="es-EC"/>
                    </w:rPr>
                    <w:t>)</w:t>
                  </w:r>
                </w:p>
              </w:tc>
              <w:tc>
                <w:tcPr>
                  <w:tcW w:w="1113" w:type="dxa"/>
                  <w:tcBorders>
                    <w:top w:val="nil"/>
                    <w:left w:val="nil"/>
                    <w:bottom w:val="nil"/>
                    <w:right w:val="nil"/>
                  </w:tcBorders>
                  <w:vAlign w:val="center"/>
                </w:tcPr>
                <w:p w:rsidR="009543C0" w:rsidRPr="00944799" w:rsidRDefault="009543C0" w:rsidP="00654171">
                  <w:pPr>
                    <w:jc w:val="left"/>
                    <w:rPr>
                      <w:rFonts w:ascii="Arial" w:hAnsi="Arial" w:cs="Arial"/>
                      <w:color w:val="000000"/>
                      <w:sz w:val="14"/>
                      <w:szCs w:val="14"/>
                    </w:rPr>
                  </w:pPr>
                  <w:r w:rsidRPr="00944799">
                    <w:rPr>
                      <w:rFonts w:ascii="Arial" w:hAnsi="Arial" w:cs="Arial"/>
                      <w:color w:val="000000"/>
                      <w:sz w:val="14"/>
                      <w:szCs w:val="14"/>
                    </w:rPr>
                    <w:t>1: Menor de 30</w:t>
                  </w:r>
                  <w:r w:rsidRPr="00944799">
                    <w:rPr>
                      <w:rFonts w:ascii="Arial" w:hAnsi="Arial" w:cs="Arial"/>
                      <w:color w:val="000000"/>
                      <w:sz w:val="14"/>
                      <w:szCs w:val="14"/>
                    </w:rPr>
                    <w:br/>
                    <w:t xml:space="preserve">0: 30 años </w:t>
                  </w:r>
                  <w:r>
                    <w:rPr>
                      <w:rFonts w:ascii="Arial" w:hAnsi="Arial" w:cs="Arial"/>
                      <w:color w:val="000000"/>
                      <w:sz w:val="14"/>
                      <w:szCs w:val="14"/>
                    </w:rPr>
                    <w:t>o</w:t>
                  </w:r>
                  <w:r w:rsidRPr="00944799">
                    <w:rPr>
                      <w:rFonts w:ascii="Arial" w:hAnsi="Arial" w:cs="Arial"/>
                      <w:color w:val="000000"/>
                      <w:sz w:val="14"/>
                      <w:szCs w:val="14"/>
                    </w:rPr>
                    <w:t xml:space="preserve"> más</w:t>
                  </w:r>
                </w:p>
              </w:tc>
              <w:tc>
                <w:tcPr>
                  <w:tcW w:w="859"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-0.880</w:t>
                  </w:r>
                </w:p>
              </w:tc>
              <w:tc>
                <w:tcPr>
                  <w:tcW w:w="727"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Negativo</w:t>
                  </w:r>
                </w:p>
              </w:tc>
              <w:tc>
                <w:tcPr>
                  <w:tcW w:w="1855" w:type="dxa"/>
                  <w:tcBorders>
                    <w:top w:val="nil"/>
                    <w:left w:val="nil"/>
                    <w:bottom w:val="nil"/>
                    <w:right w:val="nil"/>
                  </w:tcBorders>
                  <w:shd w:val="clear" w:color="auto" w:fill="auto"/>
                  <w:vAlign w:val="center"/>
                </w:tcPr>
                <w:p w:rsidR="009543C0" w:rsidRPr="00944799" w:rsidRDefault="009543C0" w:rsidP="00654171">
                  <w:pPr>
                    <w:jc w:val="left"/>
                    <w:rPr>
                      <w:rFonts w:ascii="Arial" w:hAnsi="Arial" w:cs="Arial"/>
                      <w:color w:val="000000"/>
                      <w:sz w:val="14"/>
                      <w:szCs w:val="14"/>
                    </w:rPr>
                  </w:pPr>
                  <w:r w:rsidRPr="00944799">
                    <w:rPr>
                      <w:rFonts w:ascii="Arial" w:hAnsi="Arial" w:cs="Arial"/>
                      <w:color w:val="000000"/>
                      <w:sz w:val="14"/>
                      <w:szCs w:val="14"/>
                    </w:rPr>
                    <w:t>Personas menores de 30 años disminuye la probabilidad ser inmigrante</w:t>
                  </w:r>
                </w:p>
              </w:tc>
              <w:tc>
                <w:tcPr>
                  <w:tcW w:w="510"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0.000</w:t>
                  </w:r>
                </w:p>
              </w:tc>
              <w:tc>
                <w:tcPr>
                  <w:tcW w:w="1038"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Sí</w:t>
                  </w:r>
                </w:p>
              </w:tc>
            </w:tr>
            <w:tr w:rsidR="009543C0" w:rsidRPr="00944799" w:rsidTr="009543C0">
              <w:trPr>
                <w:trHeight w:val="20"/>
                <w:jc w:val="center"/>
              </w:trPr>
              <w:tc>
                <w:tcPr>
                  <w:tcW w:w="1077" w:type="dxa"/>
                  <w:tcBorders>
                    <w:top w:val="nil"/>
                    <w:left w:val="nil"/>
                    <w:bottom w:val="nil"/>
                    <w:right w:val="nil"/>
                  </w:tcBorders>
                  <w:shd w:val="clear" w:color="auto" w:fill="auto"/>
                  <w:noWrap/>
                  <w:vAlign w:val="center"/>
                  <w:hideMark/>
                </w:tcPr>
                <w:p w:rsidR="009543C0" w:rsidRPr="00944799" w:rsidRDefault="009543C0" w:rsidP="00654171">
                  <w:pPr>
                    <w:jc w:val="left"/>
                    <w:rPr>
                      <w:rFonts w:ascii="Arial" w:eastAsia="Times New Roman" w:hAnsi="Arial" w:cs="Arial"/>
                      <w:color w:val="000000"/>
                      <w:sz w:val="14"/>
                      <w:szCs w:val="14"/>
                      <w:lang w:eastAsia="es-EC"/>
                    </w:rPr>
                  </w:pPr>
                  <w:r w:rsidRPr="00944799">
                    <w:rPr>
                      <w:rFonts w:ascii="Arial" w:eastAsia="Times New Roman" w:hAnsi="Arial" w:cs="Arial"/>
                      <w:color w:val="000000"/>
                      <w:sz w:val="14"/>
                      <w:szCs w:val="14"/>
                      <w:lang w:eastAsia="es-EC"/>
                    </w:rPr>
                    <w:t>Género (X</w:t>
                  </w:r>
                  <w:r w:rsidRPr="00944799">
                    <w:rPr>
                      <w:rFonts w:ascii="Arial" w:eastAsia="Times New Roman" w:hAnsi="Arial" w:cs="Arial"/>
                      <w:color w:val="000000"/>
                      <w:sz w:val="14"/>
                      <w:szCs w:val="14"/>
                      <w:vertAlign w:val="subscript"/>
                      <w:lang w:eastAsia="es-EC"/>
                    </w:rPr>
                    <w:t>2</w:t>
                  </w:r>
                  <w:r w:rsidRPr="00944799">
                    <w:rPr>
                      <w:rFonts w:ascii="Arial" w:eastAsia="Times New Roman" w:hAnsi="Arial" w:cs="Arial"/>
                      <w:color w:val="000000"/>
                      <w:sz w:val="14"/>
                      <w:szCs w:val="14"/>
                      <w:lang w:eastAsia="es-EC"/>
                    </w:rPr>
                    <w:t>)</w:t>
                  </w:r>
                </w:p>
              </w:tc>
              <w:tc>
                <w:tcPr>
                  <w:tcW w:w="1113" w:type="dxa"/>
                  <w:tcBorders>
                    <w:top w:val="nil"/>
                    <w:left w:val="nil"/>
                    <w:bottom w:val="nil"/>
                    <w:right w:val="nil"/>
                  </w:tcBorders>
                  <w:vAlign w:val="center"/>
                </w:tcPr>
                <w:p w:rsidR="009543C0" w:rsidRPr="00944799" w:rsidRDefault="009543C0" w:rsidP="002616BE">
                  <w:pPr>
                    <w:jc w:val="left"/>
                    <w:rPr>
                      <w:rFonts w:ascii="Arial" w:hAnsi="Arial" w:cs="Arial"/>
                      <w:color w:val="000000"/>
                      <w:sz w:val="14"/>
                      <w:szCs w:val="14"/>
                    </w:rPr>
                  </w:pPr>
                  <w:r w:rsidRPr="00944799">
                    <w:rPr>
                      <w:rFonts w:ascii="Arial" w:hAnsi="Arial" w:cs="Arial"/>
                      <w:color w:val="000000"/>
                      <w:sz w:val="14"/>
                      <w:szCs w:val="14"/>
                    </w:rPr>
                    <w:t>1: Masculino</w:t>
                  </w:r>
                  <w:r w:rsidRPr="00944799">
                    <w:rPr>
                      <w:rFonts w:ascii="Arial" w:hAnsi="Arial" w:cs="Arial"/>
                      <w:color w:val="000000"/>
                      <w:sz w:val="14"/>
                      <w:szCs w:val="14"/>
                    </w:rPr>
                    <w:br/>
                    <w:t>0: Femenino</w:t>
                  </w:r>
                </w:p>
              </w:tc>
              <w:tc>
                <w:tcPr>
                  <w:tcW w:w="859"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-0.117</w:t>
                  </w:r>
                </w:p>
              </w:tc>
              <w:tc>
                <w:tcPr>
                  <w:tcW w:w="727"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Negativo</w:t>
                  </w:r>
                </w:p>
              </w:tc>
              <w:tc>
                <w:tcPr>
                  <w:tcW w:w="1855" w:type="dxa"/>
                  <w:tcBorders>
                    <w:top w:val="nil"/>
                    <w:left w:val="nil"/>
                    <w:bottom w:val="nil"/>
                    <w:right w:val="nil"/>
                  </w:tcBorders>
                  <w:shd w:val="clear" w:color="auto" w:fill="auto"/>
                  <w:vAlign w:val="center"/>
                </w:tcPr>
                <w:p w:rsidR="009543C0" w:rsidRPr="00944799" w:rsidRDefault="009543C0" w:rsidP="00654171">
                  <w:pPr>
                    <w:jc w:val="left"/>
                    <w:rPr>
                      <w:rFonts w:ascii="Arial" w:hAnsi="Arial" w:cs="Arial"/>
                      <w:color w:val="000000"/>
                      <w:sz w:val="14"/>
                      <w:szCs w:val="14"/>
                    </w:rPr>
                  </w:pPr>
                  <w:r w:rsidRPr="00944799">
                    <w:rPr>
                      <w:rFonts w:ascii="Arial" w:hAnsi="Arial" w:cs="Arial"/>
                      <w:color w:val="000000"/>
                      <w:sz w:val="14"/>
                      <w:szCs w:val="14"/>
                    </w:rPr>
                    <w:t>Ser hombre disminuye la probabilidad de ser inmigrante</w:t>
                  </w:r>
                </w:p>
              </w:tc>
              <w:tc>
                <w:tcPr>
                  <w:tcW w:w="510"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0.000</w:t>
                  </w:r>
                </w:p>
              </w:tc>
              <w:tc>
                <w:tcPr>
                  <w:tcW w:w="1038"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Sí</w:t>
                  </w:r>
                </w:p>
              </w:tc>
            </w:tr>
            <w:tr w:rsidR="009543C0" w:rsidRPr="00944799" w:rsidTr="009543C0">
              <w:trPr>
                <w:trHeight w:val="20"/>
                <w:jc w:val="center"/>
              </w:trPr>
              <w:tc>
                <w:tcPr>
                  <w:tcW w:w="1077" w:type="dxa"/>
                  <w:tcBorders>
                    <w:top w:val="nil"/>
                    <w:left w:val="nil"/>
                    <w:bottom w:val="nil"/>
                    <w:right w:val="nil"/>
                  </w:tcBorders>
                  <w:shd w:val="clear" w:color="auto" w:fill="auto"/>
                  <w:noWrap/>
                  <w:vAlign w:val="center"/>
                  <w:hideMark/>
                </w:tcPr>
                <w:p w:rsidR="009543C0" w:rsidRPr="00944799" w:rsidRDefault="009543C0" w:rsidP="00654171">
                  <w:pPr>
                    <w:jc w:val="left"/>
                    <w:rPr>
                      <w:rFonts w:ascii="Arial" w:eastAsia="Times New Roman" w:hAnsi="Arial" w:cs="Arial"/>
                      <w:color w:val="000000"/>
                      <w:sz w:val="14"/>
                      <w:szCs w:val="14"/>
                      <w:lang w:eastAsia="es-EC"/>
                    </w:rPr>
                  </w:pPr>
                  <w:r w:rsidRPr="00944799">
                    <w:rPr>
                      <w:rFonts w:ascii="Arial" w:eastAsia="Times New Roman" w:hAnsi="Arial" w:cs="Arial"/>
                      <w:color w:val="000000"/>
                      <w:sz w:val="14"/>
                      <w:szCs w:val="14"/>
                      <w:lang w:eastAsia="es-EC"/>
                    </w:rPr>
                    <w:t>Área de residencia (X</w:t>
                  </w:r>
                  <w:r w:rsidRPr="00944799">
                    <w:rPr>
                      <w:rFonts w:ascii="Arial" w:eastAsia="Times New Roman" w:hAnsi="Arial" w:cs="Arial"/>
                      <w:color w:val="000000"/>
                      <w:sz w:val="14"/>
                      <w:szCs w:val="14"/>
                      <w:vertAlign w:val="subscript"/>
                      <w:lang w:eastAsia="es-EC"/>
                    </w:rPr>
                    <w:t>3</w:t>
                  </w:r>
                  <w:r w:rsidRPr="00944799">
                    <w:rPr>
                      <w:rFonts w:ascii="Arial" w:eastAsia="Times New Roman" w:hAnsi="Arial" w:cs="Arial"/>
                      <w:color w:val="000000"/>
                      <w:sz w:val="14"/>
                      <w:szCs w:val="14"/>
                      <w:lang w:eastAsia="es-EC"/>
                    </w:rPr>
                    <w:t>)</w:t>
                  </w:r>
                </w:p>
              </w:tc>
              <w:tc>
                <w:tcPr>
                  <w:tcW w:w="1113" w:type="dxa"/>
                  <w:tcBorders>
                    <w:top w:val="nil"/>
                    <w:left w:val="nil"/>
                    <w:bottom w:val="nil"/>
                    <w:right w:val="nil"/>
                  </w:tcBorders>
                  <w:vAlign w:val="center"/>
                </w:tcPr>
                <w:p w:rsidR="009543C0" w:rsidRPr="00944799" w:rsidRDefault="009543C0" w:rsidP="002616BE">
                  <w:pPr>
                    <w:jc w:val="left"/>
                    <w:rPr>
                      <w:rFonts w:ascii="Arial" w:hAnsi="Arial" w:cs="Arial"/>
                      <w:color w:val="000000"/>
                      <w:sz w:val="14"/>
                      <w:szCs w:val="14"/>
                    </w:rPr>
                  </w:pPr>
                  <w:r w:rsidRPr="00944799">
                    <w:rPr>
                      <w:rFonts w:ascii="Arial" w:hAnsi="Arial" w:cs="Arial"/>
                      <w:color w:val="000000"/>
                      <w:sz w:val="14"/>
                      <w:szCs w:val="14"/>
                    </w:rPr>
                    <w:t>1: Urbana</w:t>
                  </w:r>
                  <w:r w:rsidRPr="00944799">
                    <w:rPr>
                      <w:rFonts w:ascii="Arial" w:hAnsi="Arial" w:cs="Arial"/>
                      <w:color w:val="000000"/>
                      <w:sz w:val="14"/>
                      <w:szCs w:val="14"/>
                    </w:rPr>
                    <w:br/>
                    <w:t>0: Rural</w:t>
                  </w:r>
                </w:p>
              </w:tc>
              <w:tc>
                <w:tcPr>
                  <w:tcW w:w="859"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-0.001</w:t>
                  </w:r>
                </w:p>
              </w:tc>
              <w:tc>
                <w:tcPr>
                  <w:tcW w:w="727"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Pr>
                      <w:rFonts w:ascii="Arial" w:hAnsi="Arial" w:cs="Arial"/>
                      <w:color w:val="000000"/>
                      <w:sz w:val="14"/>
                      <w:szCs w:val="14"/>
                    </w:rPr>
                    <w:t>Negativo</w:t>
                  </w:r>
                </w:p>
              </w:tc>
              <w:tc>
                <w:tcPr>
                  <w:tcW w:w="1855" w:type="dxa"/>
                  <w:tcBorders>
                    <w:top w:val="nil"/>
                    <w:left w:val="nil"/>
                    <w:bottom w:val="nil"/>
                    <w:right w:val="nil"/>
                  </w:tcBorders>
                  <w:shd w:val="clear" w:color="auto" w:fill="auto"/>
                  <w:vAlign w:val="center"/>
                </w:tcPr>
                <w:p w:rsidR="009543C0" w:rsidRPr="00944799" w:rsidRDefault="009543C0" w:rsidP="009543C0">
                  <w:pPr>
                    <w:jc w:val="left"/>
                    <w:rPr>
                      <w:rFonts w:ascii="Arial" w:hAnsi="Arial" w:cs="Arial"/>
                      <w:color w:val="000000"/>
                      <w:sz w:val="14"/>
                      <w:szCs w:val="14"/>
                    </w:rPr>
                  </w:pPr>
                  <w:r w:rsidRPr="00944799">
                    <w:rPr>
                      <w:rFonts w:ascii="Arial" w:hAnsi="Arial" w:cs="Arial"/>
                      <w:color w:val="000000"/>
                      <w:sz w:val="14"/>
                      <w:szCs w:val="14"/>
                    </w:rPr>
                    <w:t xml:space="preserve">Vivir en áreas urbanas </w:t>
                  </w:r>
                  <w:r>
                    <w:rPr>
                      <w:rFonts w:ascii="Arial" w:hAnsi="Arial" w:cs="Arial"/>
                      <w:color w:val="000000"/>
                      <w:sz w:val="14"/>
                      <w:szCs w:val="14"/>
                    </w:rPr>
                    <w:t>disminuye</w:t>
                  </w:r>
                  <w:r w:rsidRPr="00944799">
                    <w:rPr>
                      <w:rFonts w:ascii="Arial" w:hAnsi="Arial" w:cs="Arial"/>
                      <w:color w:val="000000"/>
                      <w:sz w:val="14"/>
                      <w:szCs w:val="14"/>
                    </w:rPr>
                    <w:t xml:space="preserve"> la probabilidad de ser inmigrante</w:t>
                  </w:r>
                </w:p>
              </w:tc>
              <w:tc>
                <w:tcPr>
                  <w:tcW w:w="510"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0.994</w:t>
                  </w:r>
                </w:p>
              </w:tc>
              <w:tc>
                <w:tcPr>
                  <w:tcW w:w="1038"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No</w:t>
                  </w:r>
                </w:p>
              </w:tc>
            </w:tr>
            <w:tr w:rsidR="009543C0" w:rsidRPr="00944799" w:rsidTr="009543C0">
              <w:trPr>
                <w:trHeight w:val="20"/>
                <w:jc w:val="center"/>
              </w:trPr>
              <w:tc>
                <w:tcPr>
                  <w:tcW w:w="1077" w:type="dxa"/>
                  <w:tcBorders>
                    <w:top w:val="nil"/>
                    <w:left w:val="nil"/>
                    <w:bottom w:val="nil"/>
                    <w:right w:val="nil"/>
                  </w:tcBorders>
                  <w:shd w:val="clear" w:color="auto" w:fill="auto"/>
                  <w:noWrap/>
                  <w:vAlign w:val="center"/>
                  <w:hideMark/>
                </w:tcPr>
                <w:p w:rsidR="009543C0" w:rsidRPr="00944799" w:rsidRDefault="009543C0" w:rsidP="00654171">
                  <w:pPr>
                    <w:jc w:val="left"/>
                    <w:rPr>
                      <w:rFonts w:ascii="Arial" w:eastAsia="Times New Roman" w:hAnsi="Arial" w:cs="Arial"/>
                      <w:color w:val="000000"/>
                      <w:sz w:val="14"/>
                      <w:szCs w:val="14"/>
                      <w:lang w:eastAsia="es-EC"/>
                    </w:rPr>
                  </w:pPr>
                  <w:r w:rsidRPr="00944799">
                    <w:rPr>
                      <w:rFonts w:ascii="Arial" w:eastAsia="Times New Roman" w:hAnsi="Arial" w:cs="Arial"/>
                      <w:color w:val="000000"/>
                      <w:sz w:val="14"/>
                      <w:szCs w:val="14"/>
                      <w:lang w:eastAsia="es-EC"/>
                    </w:rPr>
                    <w:t>Estado conyugal (X</w:t>
                  </w:r>
                  <w:r w:rsidRPr="00944799">
                    <w:rPr>
                      <w:rFonts w:ascii="Arial" w:eastAsia="Times New Roman" w:hAnsi="Arial" w:cs="Arial"/>
                      <w:color w:val="000000"/>
                      <w:sz w:val="14"/>
                      <w:szCs w:val="14"/>
                      <w:vertAlign w:val="subscript"/>
                      <w:lang w:eastAsia="es-EC"/>
                    </w:rPr>
                    <w:t>4</w:t>
                  </w:r>
                  <w:r w:rsidRPr="00944799">
                    <w:rPr>
                      <w:rFonts w:ascii="Arial" w:eastAsia="Times New Roman" w:hAnsi="Arial" w:cs="Arial"/>
                      <w:color w:val="000000"/>
                      <w:sz w:val="14"/>
                      <w:szCs w:val="14"/>
                      <w:lang w:eastAsia="es-EC"/>
                    </w:rPr>
                    <w:t>)</w:t>
                  </w:r>
                </w:p>
              </w:tc>
              <w:tc>
                <w:tcPr>
                  <w:tcW w:w="1113" w:type="dxa"/>
                  <w:tcBorders>
                    <w:top w:val="nil"/>
                    <w:left w:val="nil"/>
                    <w:bottom w:val="nil"/>
                    <w:right w:val="nil"/>
                  </w:tcBorders>
                  <w:vAlign w:val="center"/>
                </w:tcPr>
                <w:p w:rsidR="009543C0" w:rsidRPr="00944799" w:rsidRDefault="009543C0" w:rsidP="002616BE">
                  <w:pPr>
                    <w:jc w:val="left"/>
                    <w:rPr>
                      <w:rFonts w:ascii="Arial" w:hAnsi="Arial" w:cs="Arial"/>
                      <w:color w:val="000000"/>
                      <w:sz w:val="14"/>
                      <w:szCs w:val="14"/>
                    </w:rPr>
                  </w:pPr>
                  <w:r w:rsidRPr="00944799">
                    <w:rPr>
                      <w:rFonts w:ascii="Arial" w:hAnsi="Arial" w:cs="Arial"/>
                      <w:color w:val="000000"/>
                      <w:sz w:val="14"/>
                      <w:szCs w:val="14"/>
                    </w:rPr>
                    <w:t>1: Casado</w:t>
                  </w:r>
                  <w:r w:rsidRPr="00944799">
                    <w:rPr>
                      <w:rFonts w:ascii="Arial" w:hAnsi="Arial" w:cs="Arial"/>
                      <w:color w:val="000000"/>
                      <w:sz w:val="14"/>
                      <w:szCs w:val="14"/>
                    </w:rPr>
                    <w:br/>
                    <w:t>0: No casado</w:t>
                  </w:r>
                </w:p>
              </w:tc>
              <w:tc>
                <w:tcPr>
                  <w:tcW w:w="859"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0.362</w:t>
                  </w:r>
                </w:p>
              </w:tc>
              <w:tc>
                <w:tcPr>
                  <w:tcW w:w="727"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Positivo</w:t>
                  </w:r>
                </w:p>
              </w:tc>
              <w:tc>
                <w:tcPr>
                  <w:tcW w:w="1855" w:type="dxa"/>
                  <w:tcBorders>
                    <w:top w:val="nil"/>
                    <w:left w:val="nil"/>
                    <w:bottom w:val="nil"/>
                    <w:right w:val="nil"/>
                  </w:tcBorders>
                  <w:shd w:val="clear" w:color="auto" w:fill="auto"/>
                  <w:vAlign w:val="center"/>
                </w:tcPr>
                <w:p w:rsidR="009543C0" w:rsidRPr="00944799" w:rsidRDefault="009543C0" w:rsidP="00654171">
                  <w:pPr>
                    <w:jc w:val="left"/>
                    <w:rPr>
                      <w:rFonts w:ascii="Arial" w:hAnsi="Arial" w:cs="Arial"/>
                      <w:color w:val="000000"/>
                      <w:sz w:val="14"/>
                      <w:szCs w:val="14"/>
                    </w:rPr>
                  </w:pPr>
                  <w:r w:rsidRPr="00944799">
                    <w:rPr>
                      <w:rFonts w:ascii="Arial" w:hAnsi="Arial" w:cs="Arial"/>
                      <w:color w:val="000000"/>
                      <w:sz w:val="14"/>
                      <w:szCs w:val="14"/>
                    </w:rPr>
                    <w:t>Ser casado aumenta la probabilidad de ser inmigrante</w:t>
                  </w:r>
                </w:p>
              </w:tc>
              <w:tc>
                <w:tcPr>
                  <w:tcW w:w="510"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0.000</w:t>
                  </w:r>
                </w:p>
              </w:tc>
              <w:tc>
                <w:tcPr>
                  <w:tcW w:w="1038"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Sí</w:t>
                  </w:r>
                </w:p>
              </w:tc>
            </w:tr>
            <w:tr w:rsidR="009543C0" w:rsidRPr="00944799" w:rsidTr="009543C0">
              <w:trPr>
                <w:trHeight w:val="20"/>
                <w:jc w:val="center"/>
              </w:trPr>
              <w:tc>
                <w:tcPr>
                  <w:tcW w:w="1077" w:type="dxa"/>
                  <w:tcBorders>
                    <w:top w:val="nil"/>
                    <w:left w:val="nil"/>
                    <w:bottom w:val="nil"/>
                    <w:right w:val="nil"/>
                  </w:tcBorders>
                  <w:shd w:val="clear" w:color="auto" w:fill="auto"/>
                  <w:noWrap/>
                  <w:vAlign w:val="center"/>
                  <w:hideMark/>
                </w:tcPr>
                <w:p w:rsidR="009543C0" w:rsidRPr="00944799" w:rsidRDefault="009543C0" w:rsidP="00654171">
                  <w:pPr>
                    <w:jc w:val="left"/>
                    <w:rPr>
                      <w:rFonts w:ascii="Arial" w:eastAsia="Times New Roman" w:hAnsi="Arial" w:cs="Arial"/>
                      <w:color w:val="000000"/>
                      <w:sz w:val="14"/>
                      <w:szCs w:val="14"/>
                      <w:lang w:eastAsia="es-EC"/>
                    </w:rPr>
                  </w:pPr>
                  <w:r w:rsidRPr="00944799">
                    <w:rPr>
                      <w:rFonts w:ascii="Arial" w:eastAsia="Times New Roman" w:hAnsi="Arial" w:cs="Arial"/>
                      <w:color w:val="000000"/>
                      <w:sz w:val="14"/>
                      <w:szCs w:val="14"/>
                      <w:lang w:eastAsia="es-EC"/>
                    </w:rPr>
                    <w:t>Instrucción (X</w:t>
                  </w:r>
                  <w:r w:rsidRPr="00944799">
                    <w:rPr>
                      <w:rFonts w:ascii="Arial" w:eastAsia="Times New Roman" w:hAnsi="Arial" w:cs="Arial"/>
                      <w:color w:val="000000"/>
                      <w:sz w:val="14"/>
                      <w:szCs w:val="14"/>
                      <w:vertAlign w:val="subscript"/>
                      <w:lang w:eastAsia="es-EC"/>
                    </w:rPr>
                    <w:t>5</w:t>
                  </w:r>
                  <w:r w:rsidRPr="00944799">
                    <w:rPr>
                      <w:rFonts w:ascii="Arial" w:eastAsia="Times New Roman" w:hAnsi="Arial" w:cs="Arial"/>
                      <w:color w:val="000000"/>
                      <w:sz w:val="14"/>
                      <w:szCs w:val="14"/>
                      <w:lang w:eastAsia="es-EC"/>
                    </w:rPr>
                    <w:t>)</w:t>
                  </w:r>
                </w:p>
              </w:tc>
              <w:tc>
                <w:tcPr>
                  <w:tcW w:w="1113" w:type="dxa"/>
                  <w:tcBorders>
                    <w:top w:val="nil"/>
                    <w:left w:val="nil"/>
                    <w:bottom w:val="nil"/>
                    <w:right w:val="nil"/>
                  </w:tcBorders>
                  <w:vAlign w:val="center"/>
                </w:tcPr>
                <w:p w:rsidR="009543C0" w:rsidRPr="00944799" w:rsidRDefault="009543C0" w:rsidP="00654171">
                  <w:pPr>
                    <w:jc w:val="left"/>
                    <w:rPr>
                      <w:rFonts w:ascii="Arial" w:hAnsi="Arial" w:cs="Arial"/>
                      <w:color w:val="000000"/>
                      <w:sz w:val="14"/>
                      <w:szCs w:val="14"/>
                    </w:rPr>
                  </w:pPr>
                  <w:r w:rsidRPr="00944799">
                    <w:rPr>
                      <w:rFonts w:ascii="Arial" w:hAnsi="Arial" w:cs="Arial"/>
                      <w:color w:val="000000"/>
                      <w:sz w:val="14"/>
                      <w:szCs w:val="14"/>
                    </w:rPr>
                    <w:t>1: Otro</w:t>
                  </w:r>
                  <w:r w:rsidRPr="00944799">
                    <w:rPr>
                      <w:rFonts w:ascii="Arial" w:hAnsi="Arial" w:cs="Arial"/>
                      <w:color w:val="000000"/>
                      <w:sz w:val="14"/>
                      <w:szCs w:val="14"/>
                    </w:rPr>
                    <w:br/>
                    <w:t>0: Primaria o más</w:t>
                  </w:r>
                </w:p>
              </w:tc>
              <w:tc>
                <w:tcPr>
                  <w:tcW w:w="859"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-0.191</w:t>
                  </w:r>
                </w:p>
              </w:tc>
              <w:tc>
                <w:tcPr>
                  <w:tcW w:w="727"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Negativo</w:t>
                  </w:r>
                </w:p>
              </w:tc>
              <w:tc>
                <w:tcPr>
                  <w:tcW w:w="1855" w:type="dxa"/>
                  <w:tcBorders>
                    <w:top w:val="nil"/>
                    <w:left w:val="nil"/>
                    <w:bottom w:val="nil"/>
                    <w:right w:val="nil"/>
                  </w:tcBorders>
                  <w:shd w:val="clear" w:color="auto" w:fill="auto"/>
                  <w:vAlign w:val="center"/>
                </w:tcPr>
                <w:p w:rsidR="009543C0" w:rsidRPr="00944799" w:rsidRDefault="009543C0" w:rsidP="00654171">
                  <w:pPr>
                    <w:jc w:val="left"/>
                    <w:rPr>
                      <w:rFonts w:ascii="Arial" w:hAnsi="Arial" w:cs="Arial"/>
                      <w:color w:val="000000"/>
                      <w:sz w:val="14"/>
                      <w:szCs w:val="14"/>
                    </w:rPr>
                  </w:pPr>
                  <w:r w:rsidRPr="00944799">
                    <w:rPr>
                      <w:rFonts w:ascii="Arial" w:hAnsi="Arial" w:cs="Arial"/>
                      <w:color w:val="000000"/>
                      <w:sz w:val="14"/>
                      <w:szCs w:val="14"/>
                    </w:rPr>
                    <w:t>Tener instrucción inferior a la primaria disminuye la probabilidad de ser inmigrante</w:t>
                  </w:r>
                </w:p>
              </w:tc>
              <w:tc>
                <w:tcPr>
                  <w:tcW w:w="510"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0.002</w:t>
                  </w:r>
                </w:p>
              </w:tc>
              <w:tc>
                <w:tcPr>
                  <w:tcW w:w="1038"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Sí</w:t>
                  </w:r>
                </w:p>
              </w:tc>
            </w:tr>
            <w:tr w:rsidR="009543C0" w:rsidRPr="00944799" w:rsidTr="009543C0">
              <w:trPr>
                <w:trHeight w:val="20"/>
                <w:jc w:val="center"/>
              </w:trPr>
              <w:tc>
                <w:tcPr>
                  <w:tcW w:w="1077" w:type="dxa"/>
                  <w:tcBorders>
                    <w:top w:val="nil"/>
                    <w:left w:val="nil"/>
                    <w:bottom w:val="nil"/>
                    <w:right w:val="nil"/>
                  </w:tcBorders>
                  <w:shd w:val="clear" w:color="auto" w:fill="auto"/>
                  <w:noWrap/>
                  <w:vAlign w:val="center"/>
                  <w:hideMark/>
                </w:tcPr>
                <w:p w:rsidR="009543C0" w:rsidRPr="00944799" w:rsidRDefault="009543C0" w:rsidP="00654171">
                  <w:pPr>
                    <w:jc w:val="left"/>
                    <w:rPr>
                      <w:rFonts w:ascii="Arial" w:eastAsia="Times New Roman" w:hAnsi="Arial" w:cs="Arial"/>
                      <w:color w:val="000000"/>
                      <w:sz w:val="14"/>
                      <w:szCs w:val="14"/>
                      <w:lang w:eastAsia="es-EC"/>
                    </w:rPr>
                  </w:pPr>
                  <w:r w:rsidRPr="00944799">
                    <w:rPr>
                      <w:rFonts w:ascii="Arial" w:eastAsia="Times New Roman" w:hAnsi="Arial" w:cs="Arial"/>
                      <w:color w:val="000000"/>
                      <w:sz w:val="14"/>
                      <w:szCs w:val="14"/>
                      <w:lang w:eastAsia="es-EC"/>
                    </w:rPr>
                    <w:t>Tipo de vivienda (X</w:t>
                  </w:r>
                  <w:r w:rsidRPr="00944799">
                    <w:rPr>
                      <w:rFonts w:ascii="Arial" w:eastAsia="Times New Roman" w:hAnsi="Arial" w:cs="Arial"/>
                      <w:color w:val="000000"/>
                      <w:sz w:val="14"/>
                      <w:szCs w:val="14"/>
                      <w:vertAlign w:val="subscript"/>
                      <w:lang w:eastAsia="es-EC"/>
                    </w:rPr>
                    <w:t>6</w:t>
                  </w:r>
                  <w:r w:rsidRPr="00944799">
                    <w:rPr>
                      <w:rFonts w:ascii="Arial" w:eastAsia="Times New Roman" w:hAnsi="Arial" w:cs="Arial"/>
                      <w:color w:val="000000"/>
                      <w:sz w:val="14"/>
                      <w:szCs w:val="14"/>
                      <w:lang w:eastAsia="es-EC"/>
                    </w:rPr>
                    <w:t>)</w:t>
                  </w:r>
                </w:p>
              </w:tc>
              <w:tc>
                <w:tcPr>
                  <w:tcW w:w="1113" w:type="dxa"/>
                  <w:tcBorders>
                    <w:top w:val="nil"/>
                    <w:left w:val="nil"/>
                    <w:bottom w:val="nil"/>
                    <w:right w:val="nil"/>
                  </w:tcBorders>
                  <w:vAlign w:val="center"/>
                </w:tcPr>
                <w:p w:rsidR="009543C0" w:rsidRPr="00944799" w:rsidRDefault="009543C0" w:rsidP="00654171">
                  <w:pPr>
                    <w:jc w:val="left"/>
                    <w:rPr>
                      <w:rFonts w:ascii="Arial" w:hAnsi="Arial" w:cs="Arial"/>
                      <w:color w:val="000000"/>
                      <w:sz w:val="14"/>
                      <w:szCs w:val="14"/>
                    </w:rPr>
                  </w:pPr>
                  <w:r w:rsidRPr="00944799">
                    <w:rPr>
                      <w:rFonts w:ascii="Arial" w:hAnsi="Arial" w:cs="Arial"/>
                      <w:color w:val="000000"/>
                      <w:sz w:val="14"/>
                      <w:szCs w:val="14"/>
                    </w:rPr>
                    <w:t>1: No Precaria</w:t>
                  </w:r>
                  <w:r w:rsidRPr="00944799">
                    <w:rPr>
                      <w:rFonts w:ascii="Arial" w:hAnsi="Arial" w:cs="Arial"/>
                      <w:color w:val="000000"/>
                      <w:sz w:val="14"/>
                      <w:szCs w:val="14"/>
                    </w:rPr>
                    <w:br/>
                    <w:t>0: Precaria</w:t>
                  </w:r>
                </w:p>
              </w:tc>
              <w:tc>
                <w:tcPr>
                  <w:tcW w:w="859"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-0.491</w:t>
                  </w:r>
                </w:p>
              </w:tc>
              <w:tc>
                <w:tcPr>
                  <w:tcW w:w="727"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Negativo</w:t>
                  </w:r>
                </w:p>
              </w:tc>
              <w:tc>
                <w:tcPr>
                  <w:tcW w:w="1855" w:type="dxa"/>
                  <w:tcBorders>
                    <w:top w:val="nil"/>
                    <w:left w:val="nil"/>
                    <w:bottom w:val="nil"/>
                    <w:right w:val="nil"/>
                  </w:tcBorders>
                  <w:shd w:val="clear" w:color="auto" w:fill="auto"/>
                  <w:vAlign w:val="center"/>
                </w:tcPr>
                <w:p w:rsidR="009543C0" w:rsidRPr="00944799" w:rsidRDefault="009543C0" w:rsidP="00654171">
                  <w:pPr>
                    <w:jc w:val="left"/>
                    <w:rPr>
                      <w:rFonts w:ascii="Arial" w:hAnsi="Arial" w:cs="Arial"/>
                      <w:color w:val="000000"/>
                      <w:sz w:val="14"/>
                      <w:szCs w:val="14"/>
                    </w:rPr>
                  </w:pPr>
                  <w:r w:rsidRPr="00944799">
                    <w:rPr>
                      <w:rFonts w:ascii="Arial" w:hAnsi="Arial" w:cs="Arial"/>
                      <w:color w:val="000000"/>
                      <w:sz w:val="14"/>
                      <w:szCs w:val="14"/>
                    </w:rPr>
                    <w:t>Vivir en una vivienda no precaria disminuye la probabilidad de ser inmigrante</w:t>
                  </w:r>
                </w:p>
              </w:tc>
              <w:tc>
                <w:tcPr>
                  <w:tcW w:w="510"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0.000</w:t>
                  </w:r>
                </w:p>
              </w:tc>
              <w:tc>
                <w:tcPr>
                  <w:tcW w:w="1038"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Sí</w:t>
                  </w:r>
                </w:p>
              </w:tc>
            </w:tr>
            <w:tr w:rsidR="009543C0" w:rsidRPr="00944799" w:rsidTr="009543C0">
              <w:trPr>
                <w:trHeight w:val="20"/>
                <w:jc w:val="center"/>
              </w:trPr>
              <w:tc>
                <w:tcPr>
                  <w:tcW w:w="1077" w:type="dxa"/>
                  <w:tcBorders>
                    <w:top w:val="nil"/>
                    <w:left w:val="nil"/>
                    <w:bottom w:val="nil"/>
                    <w:right w:val="nil"/>
                  </w:tcBorders>
                  <w:shd w:val="clear" w:color="auto" w:fill="auto"/>
                  <w:noWrap/>
                  <w:vAlign w:val="center"/>
                  <w:hideMark/>
                </w:tcPr>
                <w:p w:rsidR="009543C0" w:rsidRPr="00944799" w:rsidRDefault="009543C0" w:rsidP="00654171">
                  <w:pPr>
                    <w:jc w:val="left"/>
                    <w:rPr>
                      <w:rFonts w:ascii="Arial" w:eastAsia="Times New Roman" w:hAnsi="Arial" w:cs="Arial"/>
                      <w:color w:val="000000"/>
                      <w:sz w:val="14"/>
                      <w:szCs w:val="14"/>
                      <w:lang w:eastAsia="es-EC"/>
                    </w:rPr>
                  </w:pPr>
                  <w:r w:rsidRPr="00944799">
                    <w:rPr>
                      <w:rFonts w:ascii="Arial" w:eastAsia="Times New Roman" w:hAnsi="Arial" w:cs="Arial"/>
                      <w:color w:val="000000"/>
                      <w:sz w:val="14"/>
                      <w:szCs w:val="14"/>
                      <w:lang w:eastAsia="es-EC"/>
                    </w:rPr>
                    <w:t>Trabaja (X</w:t>
                  </w:r>
                  <w:r w:rsidRPr="00944799">
                    <w:rPr>
                      <w:rFonts w:ascii="Arial" w:eastAsia="Times New Roman" w:hAnsi="Arial" w:cs="Arial"/>
                      <w:color w:val="000000"/>
                      <w:sz w:val="14"/>
                      <w:szCs w:val="14"/>
                      <w:vertAlign w:val="subscript"/>
                      <w:lang w:eastAsia="es-EC"/>
                    </w:rPr>
                    <w:t>7</w:t>
                  </w:r>
                  <w:r w:rsidRPr="00944799">
                    <w:rPr>
                      <w:rFonts w:ascii="Arial" w:eastAsia="Times New Roman" w:hAnsi="Arial" w:cs="Arial"/>
                      <w:color w:val="000000"/>
                      <w:sz w:val="14"/>
                      <w:szCs w:val="14"/>
                      <w:lang w:eastAsia="es-EC"/>
                    </w:rPr>
                    <w:t>)</w:t>
                  </w:r>
                </w:p>
              </w:tc>
              <w:tc>
                <w:tcPr>
                  <w:tcW w:w="1113" w:type="dxa"/>
                  <w:tcBorders>
                    <w:top w:val="nil"/>
                    <w:left w:val="nil"/>
                    <w:bottom w:val="nil"/>
                    <w:right w:val="nil"/>
                  </w:tcBorders>
                  <w:vAlign w:val="center"/>
                </w:tcPr>
                <w:p w:rsidR="009543C0" w:rsidRPr="00944799" w:rsidRDefault="009543C0" w:rsidP="00654171">
                  <w:pPr>
                    <w:jc w:val="left"/>
                    <w:rPr>
                      <w:rFonts w:ascii="Arial" w:hAnsi="Arial" w:cs="Arial"/>
                      <w:color w:val="000000"/>
                      <w:sz w:val="14"/>
                      <w:szCs w:val="14"/>
                    </w:rPr>
                  </w:pPr>
                  <w:r w:rsidRPr="00944799">
                    <w:rPr>
                      <w:rFonts w:ascii="Arial" w:hAnsi="Arial" w:cs="Arial"/>
                      <w:color w:val="000000"/>
                      <w:sz w:val="14"/>
                      <w:szCs w:val="14"/>
                    </w:rPr>
                    <w:t>1: Sí</w:t>
                  </w:r>
                  <w:r w:rsidRPr="00944799">
                    <w:rPr>
                      <w:rFonts w:ascii="Arial" w:hAnsi="Arial" w:cs="Arial"/>
                      <w:color w:val="000000"/>
                      <w:sz w:val="14"/>
                      <w:szCs w:val="14"/>
                    </w:rPr>
                    <w:br/>
                    <w:t>0: No</w:t>
                  </w:r>
                </w:p>
              </w:tc>
              <w:tc>
                <w:tcPr>
                  <w:tcW w:w="859"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0.044</w:t>
                  </w:r>
                </w:p>
              </w:tc>
              <w:tc>
                <w:tcPr>
                  <w:tcW w:w="727"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Pr>
                      <w:rFonts w:ascii="Arial" w:hAnsi="Arial" w:cs="Arial"/>
                      <w:color w:val="000000"/>
                      <w:sz w:val="14"/>
                      <w:szCs w:val="14"/>
                    </w:rPr>
                    <w:t>Positivo</w:t>
                  </w:r>
                </w:p>
              </w:tc>
              <w:tc>
                <w:tcPr>
                  <w:tcW w:w="1855" w:type="dxa"/>
                  <w:tcBorders>
                    <w:top w:val="nil"/>
                    <w:left w:val="nil"/>
                    <w:bottom w:val="nil"/>
                    <w:right w:val="nil"/>
                  </w:tcBorders>
                  <w:shd w:val="clear" w:color="auto" w:fill="auto"/>
                  <w:vAlign w:val="center"/>
                </w:tcPr>
                <w:p w:rsidR="009543C0" w:rsidRPr="00944799" w:rsidRDefault="009543C0" w:rsidP="009543C0">
                  <w:pPr>
                    <w:jc w:val="left"/>
                    <w:rPr>
                      <w:rFonts w:ascii="Arial" w:hAnsi="Arial" w:cs="Arial"/>
                      <w:color w:val="000000"/>
                      <w:sz w:val="14"/>
                      <w:szCs w:val="14"/>
                    </w:rPr>
                  </w:pPr>
                  <w:r w:rsidRPr="00944799">
                    <w:rPr>
                      <w:rFonts w:ascii="Arial" w:hAnsi="Arial" w:cs="Arial"/>
                      <w:color w:val="000000"/>
                      <w:sz w:val="14"/>
                      <w:szCs w:val="14"/>
                    </w:rPr>
                    <w:t xml:space="preserve">Trabajar </w:t>
                  </w:r>
                  <w:r>
                    <w:rPr>
                      <w:rFonts w:ascii="Arial" w:hAnsi="Arial" w:cs="Arial"/>
                      <w:color w:val="000000"/>
                      <w:sz w:val="14"/>
                      <w:szCs w:val="14"/>
                    </w:rPr>
                    <w:t>aumenta</w:t>
                  </w:r>
                  <w:r w:rsidRPr="00944799">
                    <w:rPr>
                      <w:rFonts w:ascii="Arial" w:hAnsi="Arial" w:cs="Arial"/>
                      <w:color w:val="000000"/>
                      <w:sz w:val="14"/>
                      <w:szCs w:val="14"/>
                    </w:rPr>
                    <w:t xml:space="preserve"> la probabilidad de ser inmigrante</w:t>
                  </w:r>
                </w:p>
              </w:tc>
              <w:tc>
                <w:tcPr>
                  <w:tcW w:w="510" w:type="dxa"/>
                  <w:tcBorders>
                    <w:top w:val="nil"/>
                    <w:left w:val="nil"/>
                    <w:bottom w:val="nil"/>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0.196</w:t>
                  </w:r>
                </w:p>
              </w:tc>
              <w:tc>
                <w:tcPr>
                  <w:tcW w:w="1038" w:type="dxa"/>
                  <w:tcBorders>
                    <w:top w:val="nil"/>
                    <w:left w:val="nil"/>
                    <w:bottom w:val="nil"/>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No</w:t>
                  </w:r>
                </w:p>
              </w:tc>
            </w:tr>
            <w:tr w:rsidR="009543C0" w:rsidRPr="00944799" w:rsidTr="009543C0">
              <w:trPr>
                <w:trHeight w:val="283"/>
                <w:jc w:val="center"/>
              </w:trPr>
              <w:tc>
                <w:tcPr>
                  <w:tcW w:w="1077" w:type="dxa"/>
                  <w:tcBorders>
                    <w:top w:val="nil"/>
                    <w:left w:val="nil"/>
                    <w:bottom w:val="single" w:sz="4" w:space="0" w:color="auto"/>
                    <w:right w:val="nil"/>
                  </w:tcBorders>
                  <w:shd w:val="clear" w:color="auto" w:fill="auto"/>
                  <w:noWrap/>
                  <w:vAlign w:val="center"/>
                  <w:hideMark/>
                </w:tcPr>
                <w:p w:rsidR="009543C0" w:rsidRPr="00944799" w:rsidRDefault="009543C0" w:rsidP="00654171">
                  <w:pPr>
                    <w:jc w:val="left"/>
                    <w:rPr>
                      <w:rFonts w:ascii="Arial" w:eastAsia="Times New Roman" w:hAnsi="Arial" w:cs="Arial"/>
                      <w:color w:val="000000"/>
                      <w:sz w:val="14"/>
                      <w:szCs w:val="14"/>
                      <w:lang w:eastAsia="es-EC"/>
                    </w:rPr>
                  </w:pPr>
                  <w:r w:rsidRPr="00944799">
                    <w:rPr>
                      <w:rFonts w:ascii="Arial" w:eastAsia="Times New Roman" w:hAnsi="Arial" w:cs="Arial"/>
                      <w:color w:val="000000"/>
                      <w:sz w:val="14"/>
                      <w:szCs w:val="14"/>
                      <w:lang w:eastAsia="es-EC"/>
                    </w:rPr>
                    <w:t>Constante</w:t>
                  </w:r>
                </w:p>
              </w:tc>
              <w:tc>
                <w:tcPr>
                  <w:tcW w:w="1113" w:type="dxa"/>
                  <w:tcBorders>
                    <w:top w:val="nil"/>
                    <w:left w:val="nil"/>
                    <w:bottom w:val="single" w:sz="4" w:space="0" w:color="auto"/>
                    <w:right w:val="nil"/>
                  </w:tcBorders>
                  <w:vAlign w:val="center"/>
                </w:tcPr>
                <w:p w:rsidR="009543C0" w:rsidRPr="00944799" w:rsidRDefault="009543C0" w:rsidP="00654171">
                  <w:pPr>
                    <w:jc w:val="left"/>
                    <w:rPr>
                      <w:rFonts w:ascii="Arial" w:hAnsi="Arial" w:cs="Arial"/>
                      <w:color w:val="000000"/>
                      <w:sz w:val="14"/>
                      <w:szCs w:val="14"/>
                    </w:rPr>
                  </w:pPr>
                </w:p>
              </w:tc>
              <w:tc>
                <w:tcPr>
                  <w:tcW w:w="859" w:type="dxa"/>
                  <w:tcBorders>
                    <w:top w:val="nil"/>
                    <w:left w:val="nil"/>
                    <w:bottom w:val="single" w:sz="4" w:space="0" w:color="auto"/>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-0.065</w:t>
                  </w:r>
                </w:p>
              </w:tc>
              <w:tc>
                <w:tcPr>
                  <w:tcW w:w="727" w:type="dxa"/>
                  <w:tcBorders>
                    <w:top w:val="nil"/>
                    <w:left w:val="nil"/>
                    <w:bottom w:val="single" w:sz="4" w:space="0" w:color="auto"/>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 </w:t>
                  </w:r>
                </w:p>
              </w:tc>
              <w:tc>
                <w:tcPr>
                  <w:tcW w:w="1855" w:type="dxa"/>
                  <w:tcBorders>
                    <w:top w:val="nil"/>
                    <w:left w:val="nil"/>
                    <w:bottom w:val="single" w:sz="4" w:space="0" w:color="auto"/>
                    <w:right w:val="nil"/>
                  </w:tcBorders>
                  <w:shd w:val="clear" w:color="auto" w:fill="auto"/>
                  <w:vAlign w:val="center"/>
                </w:tcPr>
                <w:p w:rsidR="009543C0" w:rsidRPr="00944799" w:rsidRDefault="009543C0" w:rsidP="00654171">
                  <w:pPr>
                    <w:jc w:val="left"/>
                    <w:rPr>
                      <w:rFonts w:ascii="Arial" w:hAnsi="Arial" w:cs="Arial"/>
                      <w:color w:val="000000"/>
                      <w:sz w:val="14"/>
                      <w:szCs w:val="14"/>
                    </w:rPr>
                  </w:pPr>
                  <w:r w:rsidRPr="00944799">
                    <w:rPr>
                      <w:rFonts w:ascii="Arial" w:hAnsi="Arial" w:cs="Arial"/>
                      <w:color w:val="000000"/>
                      <w:sz w:val="14"/>
                      <w:szCs w:val="14"/>
                    </w:rPr>
                    <w:t> </w:t>
                  </w:r>
                </w:p>
              </w:tc>
              <w:tc>
                <w:tcPr>
                  <w:tcW w:w="510" w:type="dxa"/>
                  <w:tcBorders>
                    <w:top w:val="nil"/>
                    <w:left w:val="nil"/>
                    <w:bottom w:val="single" w:sz="4" w:space="0" w:color="auto"/>
                    <w:right w:val="nil"/>
                  </w:tcBorders>
                  <w:shd w:val="clear" w:color="auto" w:fill="auto"/>
                  <w:noWrap/>
                  <w:vAlign w:val="center"/>
                </w:tcPr>
                <w:p w:rsidR="009543C0" w:rsidRPr="009543C0" w:rsidRDefault="009543C0">
                  <w:pPr>
                    <w:rPr>
                      <w:rFonts w:ascii="Arial" w:hAnsi="Arial" w:cs="Arial"/>
                      <w:color w:val="000000"/>
                      <w:sz w:val="14"/>
                      <w:szCs w:val="14"/>
                    </w:rPr>
                  </w:pPr>
                  <w:r w:rsidRPr="009543C0">
                    <w:rPr>
                      <w:rFonts w:ascii="Arial" w:hAnsi="Arial" w:cs="Arial"/>
                      <w:color w:val="000000"/>
                      <w:sz w:val="14"/>
                      <w:szCs w:val="14"/>
                    </w:rPr>
                    <w:t>0.544</w:t>
                  </w:r>
                </w:p>
              </w:tc>
              <w:tc>
                <w:tcPr>
                  <w:tcW w:w="1038" w:type="dxa"/>
                  <w:tcBorders>
                    <w:top w:val="nil"/>
                    <w:left w:val="nil"/>
                    <w:bottom w:val="single" w:sz="4" w:space="0" w:color="auto"/>
                    <w:right w:val="nil"/>
                  </w:tcBorders>
                  <w:shd w:val="clear" w:color="auto" w:fill="auto"/>
                  <w:noWrap/>
                  <w:vAlign w:val="center"/>
                </w:tcPr>
                <w:p w:rsidR="009543C0" w:rsidRPr="00944799" w:rsidRDefault="009543C0" w:rsidP="005C75BB">
                  <w:pPr>
                    <w:rPr>
                      <w:rFonts w:ascii="Arial" w:hAnsi="Arial" w:cs="Arial"/>
                      <w:color w:val="000000"/>
                      <w:sz w:val="14"/>
                      <w:szCs w:val="14"/>
                    </w:rPr>
                  </w:pPr>
                  <w:r w:rsidRPr="00944799">
                    <w:rPr>
                      <w:rFonts w:ascii="Arial" w:hAnsi="Arial" w:cs="Arial"/>
                      <w:color w:val="000000"/>
                      <w:sz w:val="14"/>
                      <w:szCs w:val="14"/>
                    </w:rPr>
                    <w:t>No</w:t>
                  </w:r>
                </w:p>
              </w:tc>
            </w:tr>
          </w:tbl>
          <w:p w:rsidR="005C75BB" w:rsidRPr="00607324" w:rsidRDefault="005C75BB" w:rsidP="005C75BB">
            <w:pPr>
              <w:rPr>
                <w:rFonts w:ascii="Arial" w:hAnsi="Arial" w:cs="Arial"/>
                <w:sz w:val="24"/>
                <w:szCs w:val="24"/>
              </w:rPr>
            </w:pPr>
          </w:p>
        </w:tc>
      </w:tr>
    </w:tbl>
    <w:p w:rsidR="005C75BB" w:rsidRPr="002616BE" w:rsidRDefault="005C75BB" w:rsidP="002616BE">
      <w:pPr>
        <w:pStyle w:val="Prrafodelista"/>
        <w:spacing w:line="276" w:lineRule="auto"/>
        <w:ind w:left="851"/>
        <w:jc w:val="both"/>
        <w:rPr>
          <w:rFonts w:ascii="Arial" w:hAnsi="Arial" w:cs="Arial"/>
          <w:sz w:val="17"/>
          <w:szCs w:val="17"/>
        </w:rPr>
      </w:pPr>
    </w:p>
    <w:p w:rsidR="005C75BB" w:rsidRPr="002616BE" w:rsidRDefault="005C75BB" w:rsidP="002616BE">
      <w:pPr>
        <w:pStyle w:val="Prrafodelista"/>
        <w:spacing w:line="276" w:lineRule="auto"/>
        <w:ind w:left="851"/>
        <w:jc w:val="both"/>
        <w:rPr>
          <w:rFonts w:ascii="Arial" w:hAnsi="Arial" w:cs="Arial"/>
          <w:sz w:val="17"/>
          <w:szCs w:val="17"/>
        </w:rPr>
      </w:pPr>
      <w:r w:rsidRPr="002616BE">
        <w:rPr>
          <w:rFonts w:ascii="Arial" w:hAnsi="Arial" w:cs="Arial"/>
          <w:b/>
          <w:i/>
          <w:sz w:val="17"/>
          <w:szCs w:val="17"/>
        </w:rPr>
        <w:t>Fuente:</w:t>
      </w:r>
      <w:r w:rsidRPr="002616BE">
        <w:rPr>
          <w:rFonts w:ascii="Arial" w:hAnsi="Arial" w:cs="Arial"/>
          <w:sz w:val="17"/>
          <w:szCs w:val="17"/>
        </w:rPr>
        <w:t xml:space="preserve"> </w:t>
      </w:r>
      <w:r w:rsidRPr="002616BE">
        <w:rPr>
          <w:rFonts w:ascii="Arial" w:hAnsi="Arial" w:cs="Arial"/>
          <w:b/>
          <w:sz w:val="17"/>
          <w:szCs w:val="17"/>
        </w:rPr>
        <w:t xml:space="preserve">INEC </w:t>
      </w:r>
      <w:r w:rsidRPr="002616BE">
        <w:rPr>
          <w:rFonts w:ascii="Arial" w:hAnsi="Arial" w:cs="Arial"/>
          <w:sz w:val="17"/>
          <w:szCs w:val="17"/>
        </w:rPr>
        <w:t>(2010), Base de Datos del VII Censo de Población y VI de Vivienda.</w:t>
      </w:r>
    </w:p>
    <w:p w:rsidR="005C75BB" w:rsidRPr="002616BE" w:rsidRDefault="005C75BB" w:rsidP="002616BE">
      <w:pPr>
        <w:pStyle w:val="Prrafodelista"/>
        <w:spacing w:line="276" w:lineRule="auto"/>
        <w:ind w:left="851"/>
        <w:jc w:val="both"/>
        <w:rPr>
          <w:rFonts w:ascii="Arial" w:hAnsi="Arial" w:cs="Arial"/>
          <w:sz w:val="17"/>
          <w:szCs w:val="17"/>
        </w:rPr>
      </w:pPr>
      <w:r w:rsidRPr="002616BE">
        <w:rPr>
          <w:rFonts w:ascii="Arial" w:hAnsi="Arial" w:cs="Arial"/>
          <w:b/>
          <w:i/>
          <w:sz w:val="17"/>
          <w:szCs w:val="17"/>
        </w:rPr>
        <w:t>Elaborado por:</w:t>
      </w:r>
      <w:r w:rsidRPr="002616BE">
        <w:rPr>
          <w:rFonts w:ascii="Arial" w:hAnsi="Arial" w:cs="Arial"/>
          <w:sz w:val="17"/>
          <w:szCs w:val="17"/>
        </w:rPr>
        <w:t xml:space="preserve"> Katherine Loor Valeriano</w:t>
      </w:r>
    </w:p>
    <w:p w:rsidR="005C75BB" w:rsidRDefault="005C75BB" w:rsidP="005C75BB">
      <w:pPr>
        <w:pStyle w:val="TesisTitulo10"/>
        <w:numPr>
          <w:ilvl w:val="0"/>
          <w:numId w:val="0"/>
        </w:numPr>
        <w:ind w:left="567"/>
        <w:rPr>
          <w:b w:val="0"/>
          <w:sz w:val="22"/>
          <w:szCs w:val="22"/>
        </w:rPr>
      </w:pPr>
    </w:p>
    <w:p w:rsidR="005C75BB" w:rsidRPr="009543C0" w:rsidRDefault="005C75BB" w:rsidP="009543C0">
      <w:pPr>
        <w:spacing w:line="480" w:lineRule="auto"/>
        <w:ind w:left="851"/>
        <w:jc w:val="both"/>
        <w:rPr>
          <w:rFonts w:ascii="Arial" w:hAnsi="Arial" w:cs="Arial"/>
        </w:rPr>
      </w:pPr>
      <w:bookmarkStart w:id="1004" w:name="_Toc339853212"/>
      <w:bookmarkStart w:id="1005" w:name="_Toc340231982"/>
      <w:r w:rsidRPr="009543C0">
        <w:rPr>
          <w:rFonts w:ascii="Arial" w:hAnsi="Arial" w:cs="Arial"/>
        </w:rPr>
        <w:t xml:space="preserve">Usando el modelo anteriormente descrito, se procedió a clasificar a los inmigrantes usando como punto de corte 0.50, en donde si el valor obtenido al remplazar cada uno de los valores de los factores en la ecuación es menor que 0.50 se clasifica a la persona como nativo; y, para el caso contrario se lo clasifica como inmigrante; obteniendo que, el </w:t>
      </w:r>
      <w:r w:rsidR="00933062">
        <w:rPr>
          <w:rFonts w:ascii="Arial" w:hAnsi="Arial" w:cs="Arial"/>
        </w:rPr>
        <w:t>3.96</w:t>
      </w:r>
      <w:r w:rsidRPr="009543C0">
        <w:rPr>
          <w:rFonts w:ascii="Arial" w:hAnsi="Arial" w:cs="Arial"/>
        </w:rPr>
        <w:t>% de los inmigrantes fueron clasificados correctamente, mientras que el porcentaje restante de los inmigrantes fueron encasillados como nativos; y, en lo referente a los nativos el 9</w:t>
      </w:r>
      <w:r w:rsidR="00F84BFD">
        <w:rPr>
          <w:rFonts w:ascii="Arial" w:hAnsi="Arial" w:cs="Arial"/>
        </w:rPr>
        <w:t>7</w:t>
      </w:r>
      <w:r w:rsidRPr="009543C0">
        <w:rPr>
          <w:rFonts w:ascii="Arial" w:hAnsi="Arial" w:cs="Arial"/>
        </w:rPr>
        <w:t>.9</w:t>
      </w:r>
      <w:r w:rsidR="00F84BFD">
        <w:rPr>
          <w:rFonts w:ascii="Arial" w:hAnsi="Arial" w:cs="Arial"/>
        </w:rPr>
        <w:t>5</w:t>
      </w:r>
      <w:r w:rsidRPr="009543C0">
        <w:rPr>
          <w:rFonts w:ascii="Arial" w:hAnsi="Arial" w:cs="Arial"/>
        </w:rPr>
        <w:t xml:space="preserve">% de ellos fueron clasificados </w:t>
      </w:r>
      <w:r w:rsidR="00F84BFD">
        <w:rPr>
          <w:rFonts w:ascii="Arial" w:hAnsi="Arial" w:cs="Arial"/>
        </w:rPr>
        <w:t>correctamente y tan solo el 2.05</w:t>
      </w:r>
      <w:r w:rsidRPr="009543C0">
        <w:rPr>
          <w:rFonts w:ascii="Arial" w:hAnsi="Arial" w:cs="Arial"/>
        </w:rPr>
        <w:t xml:space="preserve">% de los nativos fueron clasificados como inmigrantes. Véase </w:t>
      </w:r>
      <w:r w:rsidRPr="009543C0">
        <w:rPr>
          <w:rFonts w:ascii="Arial" w:hAnsi="Arial" w:cs="Arial"/>
          <w:i/>
        </w:rPr>
        <w:t>Tabla 6.3.</w:t>
      </w:r>
      <w:bookmarkEnd w:id="1004"/>
      <w:bookmarkEnd w:id="1005"/>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5C75BB" w:rsidRPr="003559D6" w:rsidTr="009543C0">
        <w:trPr>
          <w:trHeight w:val="2381"/>
          <w:jc w:val="right"/>
        </w:trPr>
        <w:tc>
          <w:tcPr>
            <w:tcW w:w="7497" w:type="dxa"/>
          </w:tcPr>
          <w:p w:rsidR="005C75BB" w:rsidRPr="00434327" w:rsidRDefault="005C75BB" w:rsidP="005C75BB">
            <w:pPr>
              <w:rPr>
                <w:rFonts w:ascii="Arial" w:hAnsi="Arial" w:cs="Arial"/>
                <w:sz w:val="16"/>
                <w:szCs w:val="16"/>
              </w:rPr>
            </w:pPr>
          </w:p>
          <w:p w:rsidR="00654171" w:rsidRPr="00654171" w:rsidRDefault="00654171" w:rsidP="00654171">
            <w:pPr>
              <w:pStyle w:val="Epgrafe"/>
              <w:rPr>
                <w:rFonts w:ascii="Arial" w:hAnsi="Arial" w:cs="Arial"/>
                <w:bCs w:val="0"/>
                <w:color w:val="auto"/>
                <w:sz w:val="16"/>
                <w:szCs w:val="16"/>
              </w:rPr>
            </w:pPr>
            <w:bookmarkStart w:id="1006" w:name="_Toc341042349"/>
            <w:r w:rsidRPr="00654171">
              <w:rPr>
                <w:rFonts w:ascii="Arial" w:hAnsi="Arial" w:cs="Arial"/>
                <w:bCs w:val="0"/>
                <w:color w:val="auto"/>
                <w:sz w:val="16"/>
                <w:szCs w:val="16"/>
              </w:rPr>
              <w:t>Tabla 6.</w:t>
            </w:r>
            <w:r w:rsidR="00990535" w:rsidRPr="00654171">
              <w:rPr>
                <w:rFonts w:ascii="Arial" w:hAnsi="Arial" w:cs="Arial"/>
                <w:bCs w:val="0"/>
                <w:color w:val="auto"/>
                <w:sz w:val="16"/>
                <w:szCs w:val="16"/>
              </w:rPr>
              <w:fldChar w:fldCharType="begin"/>
            </w:r>
            <w:r w:rsidRPr="00654171">
              <w:rPr>
                <w:rFonts w:ascii="Arial" w:hAnsi="Arial" w:cs="Arial"/>
                <w:bCs w:val="0"/>
                <w:color w:val="auto"/>
                <w:sz w:val="16"/>
                <w:szCs w:val="16"/>
              </w:rPr>
              <w:instrText xml:space="preserve"> SEQ Tabla_6. \* ARABIC </w:instrText>
            </w:r>
            <w:r w:rsidR="00990535" w:rsidRPr="00654171">
              <w:rPr>
                <w:rFonts w:ascii="Arial" w:hAnsi="Arial" w:cs="Arial"/>
                <w:bCs w:val="0"/>
                <w:color w:val="auto"/>
                <w:sz w:val="16"/>
                <w:szCs w:val="16"/>
              </w:rPr>
              <w:fldChar w:fldCharType="separate"/>
            </w:r>
            <w:r w:rsidR="00A242E0">
              <w:rPr>
                <w:rFonts w:ascii="Arial" w:hAnsi="Arial" w:cs="Arial"/>
                <w:bCs w:val="0"/>
                <w:noProof/>
                <w:color w:val="auto"/>
                <w:sz w:val="16"/>
                <w:szCs w:val="16"/>
              </w:rPr>
              <w:t>3</w:t>
            </w:r>
            <w:bookmarkEnd w:id="1006"/>
            <w:r w:rsidR="00990535" w:rsidRPr="00654171">
              <w:rPr>
                <w:rFonts w:ascii="Arial" w:hAnsi="Arial" w:cs="Arial"/>
                <w:bCs w:val="0"/>
                <w:color w:val="auto"/>
                <w:sz w:val="16"/>
                <w:szCs w:val="16"/>
              </w:rPr>
              <w:fldChar w:fldCharType="end"/>
            </w:r>
          </w:p>
          <w:p w:rsidR="009543C0" w:rsidRDefault="009543C0" w:rsidP="005C75BB">
            <w:pPr>
              <w:rPr>
                <w:rFonts w:ascii="Arial" w:hAnsi="Arial" w:cs="Arial"/>
                <w:i/>
                <w:sz w:val="16"/>
                <w:szCs w:val="16"/>
              </w:rPr>
            </w:pPr>
            <w:r>
              <w:rPr>
                <w:rFonts w:ascii="Arial" w:hAnsi="Arial" w:cs="Arial"/>
                <w:b/>
                <w:i/>
                <w:sz w:val="16"/>
                <w:szCs w:val="16"/>
              </w:rPr>
              <w:t xml:space="preserve">Guayaquil 2010: </w:t>
            </w:r>
            <w:r w:rsidR="005C75BB">
              <w:rPr>
                <w:rFonts w:ascii="Arial" w:hAnsi="Arial" w:cs="Arial"/>
                <w:i/>
                <w:sz w:val="16"/>
                <w:szCs w:val="16"/>
              </w:rPr>
              <w:t>Tabla de Clasificación</w:t>
            </w:r>
            <w:r>
              <w:rPr>
                <w:rFonts w:ascii="Arial" w:hAnsi="Arial" w:cs="Arial"/>
                <w:i/>
                <w:sz w:val="16"/>
                <w:szCs w:val="16"/>
              </w:rPr>
              <w:t xml:space="preserve"> de los inmigrantes y nativos residentes en Guayaquil </w:t>
            </w:r>
          </w:p>
          <w:p w:rsidR="005C75BB" w:rsidRDefault="009543C0" w:rsidP="005C75BB">
            <w:pPr>
              <w:rPr>
                <w:rFonts w:ascii="Arial" w:hAnsi="Arial" w:cs="Arial"/>
                <w:i/>
                <w:sz w:val="16"/>
                <w:szCs w:val="16"/>
              </w:rPr>
            </w:pPr>
            <w:r>
              <w:rPr>
                <w:rFonts w:ascii="Arial" w:hAnsi="Arial" w:cs="Arial"/>
                <w:i/>
                <w:sz w:val="16"/>
                <w:szCs w:val="16"/>
              </w:rPr>
              <w:t>(</w:t>
            </w:r>
            <w:r w:rsidR="005C75BB">
              <w:rPr>
                <w:rFonts w:ascii="Arial" w:hAnsi="Arial" w:cs="Arial"/>
                <w:i/>
                <w:sz w:val="16"/>
                <w:szCs w:val="16"/>
              </w:rPr>
              <w:t>y = 1 = Inmigrante; y =  0 = Nativo</w:t>
            </w:r>
            <w:r>
              <w:rPr>
                <w:rFonts w:ascii="Arial" w:hAnsi="Arial" w:cs="Arial"/>
                <w:i/>
                <w:sz w:val="16"/>
                <w:szCs w:val="16"/>
              </w:rPr>
              <w:t>)</w:t>
            </w:r>
          </w:p>
          <w:p w:rsidR="005C75BB" w:rsidRPr="003D21E9" w:rsidRDefault="005C75BB" w:rsidP="005C75BB">
            <w:pPr>
              <w:rPr>
                <w:rFonts w:ascii="Arial" w:hAnsi="Arial" w:cs="Arial"/>
                <w:i/>
                <w:sz w:val="10"/>
                <w:szCs w:val="10"/>
              </w:rPr>
            </w:pPr>
          </w:p>
          <w:tbl>
            <w:tblPr>
              <w:tblW w:w="7037" w:type="dxa"/>
              <w:jc w:val="center"/>
              <w:tblCellMar>
                <w:left w:w="70" w:type="dxa"/>
                <w:right w:w="70" w:type="dxa"/>
              </w:tblCellMar>
              <w:tblLook w:val="04A0" w:firstRow="1" w:lastRow="0" w:firstColumn="1" w:lastColumn="0" w:noHBand="0" w:noVBand="1"/>
            </w:tblPr>
            <w:tblGrid>
              <w:gridCol w:w="1200"/>
              <w:gridCol w:w="1077"/>
              <w:gridCol w:w="1860"/>
              <w:gridCol w:w="1700"/>
              <w:gridCol w:w="1200"/>
            </w:tblGrid>
            <w:tr w:rsidR="005C75BB" w:rsidRPr="003041FD" w:rsidTr="005C75BB">
              <w:trPr>
                <w:trHeight w:val="198"/>
                <w:jc w:val="center"/>
              </w:trPr>
              <w:tc>
                <w:tcPr>
                  <w:tcW w:w="2277" w:type="dxa"/>
                  <w:gridSpan w:val="2"/>
                  <w:vMerge w:val="restart"/>
                  <w:tcBorders>
                    <w:top w:val="single" w:sz="4" w:space="0" w:color="auto"/>
                    <w:left w:val="nil"/>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Observado</w:t>
                  </w:r>
                </w:p>
              </w:tc>
              <w:tc>
                <w:tcPr>
                  <w:tcW w:w="3560" w:type="dxa"/>
                  <w:gridSpan w:val="2"/>
                  <w:tcBorders>
                    <w:top w:val="single" w:sz="4" w:space="0" w:color="auto"/>
                    <w:left w:val="nil"/>
                    <w:bottom w:val="nil"/>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Predicción</w:t>
                  </w:r>
                </w:p>
              </w:tc>
              <w:tc>
                <w:tcPr>
                  <w:tcW w:w="1200" w:type="dxa"/>
                  <w:vMerge w:val="restart"/>
                  <w:tcBorders>
                    <w:top w:val="single" w:sz="4" w:space="0" w:color="auto"/>
                    <w:left w:val="nil"/>
                    <w:bottom w:val="single" w:sz="4" w:space="0" w:color="000000"/>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Porcentaje correcto</w:t>
                  </w:r>
                </w:p>
              </w:tc>
            </w:tr>
            <w:tr w:rsidR="005C75BB" w:rsidRPr="003041FD" w:rsidTr="005C75BB">
              <w:trPr>
                <w:trHeight w:val="198"/>
                <w:jc w:val="center"/>
              </w:trPr>
              <w:tc>
                <w:tcPr>
                  <w:tcW w:w="2277" w:type="dxa"/>
                  <w:gridSpan w:val="2"/>
                  <w:vMerge/>
                  <w:tcBorders>
                    <w:left w:val="nil"/>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c>
                <w:tcPr>
                  <w:tcW w:w="3560" w:type="dxa"/>
                  <w:gridSpan w:val="2"/>
                  <w:tcBorders>
                    <w:top w:val="single" w:sz="4" w:space="0" w:color="auto"/>
                    <w:left w:val="nil"/>
                    <w:bottom w:val="single" w:sz="4" w:space="0" w:color="auto"/>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Inmigración</w:t>
                  </w:r>
                </w:p>
              </w:tc>
              <w:tc>
                <w:tcPr>
                  <w:tcW w:w="1200" w:type="dxa"/>
                  <w:vMerge/>
                  <w:tcBorders>
                    <w:top w:val="single" w:sz="4" w:space="0" w:color="auto"/>
                    <w:left w:val="nil"/>
                    <w:bottom w:val="single" w:sz="4" w:space="0" w:color="000000"/>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r>
            <w:tr w:rsidR="005C75BB" w:rsidRPr="003041FD" w:rsidTr="005C75BB">
              <w:trPr>
                <w:trHeight w:val="198"/>
                <w:jc w:val="center"/>
              </w:trPr>
              <w:tc>
                <w:tcPr>
                  <w:tcW w:w="2277" w:type="dxa"/>
                  <w:gridSpan w:val="2"/>
                  <w:vMerge/>
                  <w:tcBorders>
                    <w:left w:val="nil"/>
                    <w:bottom w:val="single" w:sz="4" w:space="0" w:color="000000"/>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c>
                <w:tcPr>
                  <w:tcW w:w="1860" w:type="dxa"/>
                  <w:tcBorders>
                    <w:top w:val="nil"/>
                    <w:left w:val="nil"/>
                    <w:bottom w:val="single" w:sz="4" w:space="0" w:color="auto"/>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Inmigrante</w:t>
                  </w:r>
                </w:p>
              </w:tc>
              <w:tc>
                <w:tcPr>
                  <w:tcW w:w="1700" w:type="dxa"/>
                  <w:tcBorders>
                    <w:top w:val="nil"/>
                    <w:left w:val="nil"/>
                    <w:bottom w:val="single" w:sz="4" w:space="0" w:color="auto"/>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Nativo</w:t>
                  </w:r>
                </w:p>
              </w:tc>
              <w:tc>
                <w:tcPr>
                  <w:tcW w:w="1200" w:type="dxa"/>
                  <w:vMerge/>
                  <w:tcBorders>
                    <w:top w:val="single" w:sz="4" w:space="0" w:color="auto"/>
                    <w:left w:val="nil"/>
                    <w:bottom w:val="single" w:sz="4" w:space="0" w:color="000000"/>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r>
            <w:tr w:rsidR="009543C0" w:rsidRPr="003041FD" w:rsidTr="005C75BB">
              <w:trPr>
                <w:trHeight w:val="198"/>
                <w:jc w:val="center"/>
              </w:trPr>
              <w:tc>
                <w:tcPr>
                  <w:tcW w:w="1200" w:type="dxa"/>
                  <w:vMerge w:val="restart"/>
                  <w:tcBorders>
                    <w:top w:val="nil"/>
                    <w:left w:val="nil"/>
                    <w:bottom w:val="nil"/>
                    <w:right w:val="nil"/>
                  </w:tcBorders>
                  <w:shd w:val="clear" w:color="auto" w:fill="auto"/>
                  <w:vAlign w:val="center"/>
                  <w:hideMark/>
                </w:tcPr>
                <w:p w:rsidR="009543C0" w:rsidRPr="003041FD" w:rsidRDefault="009543C0"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Inmigración</w:t>
                  </w:r>
                </w:p>
              </w:tc>
              <w:tc>
                <w:tcPr>
                  <w:tcW w:w="1077" w:type="dxa"/>
                  <w:tcBorders>
                    <w:top w:val="nil"/>
                    <w:left w:val="nil"/>
                    <w:bottom w:val="nil"/>
                    <w:right w:val="nil"/>
                  </w:tcBorders>
                  <w:shd w:val="clear" w:color="auto" w:fill="auto"/>
                  <w:vAlign w:val="center"/>
                  <w:hideMark/>
                </w:tcPr>
                <w:p w:rsidR="009543C0" w:rsidRPr="003041FD" w:rsidRDefault="009543C0" w:rsidP="00654171">
                  <w:pPr>
                    <w:jc w:val="left"/>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Inmigrante</w:t>
                  </w:r>
                </w:p>
              </w:tc>
              <w:tc>
                <w:tcPr>
                  <w:tcW w:w="1860" w:type="dxa"/>
                  <w:tcBorders>
                    <w:top w:val="nil"/>
                    <w:left w:val="nil"/>
                    <w:bottom w:val="nil"/>
                    <w:right w:val="nil"/>
                  </w:tcBorders>
                  <w:shd w:val="clear" w:color="auto" w:fill="auto"/>
                  <w:vAlign w:val="center"/>
                  <w:hideMark/>
                </w:tcPr>
                <w:p w:rsidR="009543C0" w:rsidRDefault="009543C0">
                  <w:pPr>
                    <w:rPr>
                      <w:rFonts w:ascii="Arial" w:hAnsi="Arial" w:cs="Arial"/>
                      <w:color w:val="000000"/>
                      <w:sz w:val="16"/>
                      <w:szCs w:val="16"/>
                    </w:rPr>
                  </w:pPr>
                  <w:r>
                    <w:rPr>
                      <w:rFonts w:ascii="Arial" w:hAnsi="Arial" w:cs="Arial"/>
                      <w:color w:val="000000"/>
                      <w:sz w:val="16"/>
                      <w:szCs w:val="16"/>
                    </w:rPr>
                    <w:t>264</w:t>
                  </w:r>
                </w:p>
              </w:tc>
              <w:tc>
                <w:tcPr>
                  <w:tcW w:w="1700" w:type="dxa"/>
                  <w:tcBorders>
                    <w:top w:val="nil"/>
                    <w:left w:val="nil"/>
                    <w:bottom w:val="nil"/>
                    <w:right w:val="nil"/>
                  </w:tcBorders>
                  <w:shd w:val="clear" w:color="auto" w:fill="auto"/>
                  <w:vAlign w:val="center"/>
                  <w:hideMark/>
                </w:tcPr>
                <w:p w:rsidR="009543C0" w:rsidRDefault="009543C0">
                  <w:pPr>
                    <w:rPr>
                      <w:rFonts w:ascii="Arial" w:hAnsi="Arial" w:cs="Arial"/>
                      <w:color w:val="000000"/>
                      <w:sz w:val="16"/>
                      <w:szCs w:val="16"/>
                    </w:rPr>
                  </w:pPr>
                  <w:r>
                    <w:rPr>
                      <w:rFonts w:ascii="Arial" w:hAnsi="Arial" w:cs="Arial"/>
                      <w:color w:val="000000"/>
                      <w:sz w:val="16"/>
                      <w:szCs w:val="16"/>
                    </w:rPr>
                    <w:t>6400</w:t>
                  </w:r>
                </w:p>
              </w:tc>
              <w:tc>
                <w:tcPr>
                  <w:tcW w:w="1200" w:type="dxa"/>
                  <w:tcBorders>
                    <w:top w:val="nil"/>
                    <w:left w:val="nil"/>
                    <w:bottom w:val="nil"/>
                    <w:right w:val="nil"/>
                  </w:tcBorders>
                  <w:shd w:val="clear" w:color="auto" w:fill="auto"/>
                  <w:vAlign w:val="center"/>
                  <w:hideMark/>
                </w:tcPr>
                <w:p w:rsidR="009543C0" w:rsidRDefault="009543C0">
                  <w:pPr>
                    <w:rPr>
                      <w:rFonts w:ascii="Arial" w:hAnsi="Arial" w:cs="Arial"/>
                      <w:color w:val="000000"/>
                      <w:sz w:val="16"/>
                      <w:szCs w:val="16"/>
                    </w:rPr>
                  </w:pPr>
                  <w:r>
                    <w:rPr>
                      <w:rFonts w:ascii="Arial" w:hAnsi="Arial" w:cs="Arial"/>
                      <w:color w:val="000000"/>
                      <w:sz w:val="16"/>
                      <w:szCs w:val="16"/>
                    </w:rPr>
                    <w:t>3.96%</w:t>
                  </w:r>
                </w:p>
              </w:tc>
            </w:tr>
            <w:tr w:rsidR="009543C0" w:rsidRPr="003041FD" w:rsidTr="005C75BB">
              <w:trPr>
                <w:trHeight w:val="277"/>
                <w:jc w:val="center"/>
              </w:trPr>
              <w:tc>
                <w:tcPr>
                  <w:tcW w:w="1200" w:type="dxa"/>
                  <w:vMerge/>
                  <w:tcBorders>
                    <w:top w:val="nil"/>
                    <w:left w:val="nil"/>
                    <w:bottom w:val="nil"/>
                    <w:right w:val="nil"/>
                  </w:tcBorders>
                  <w:vAlign w:val="center"/>
                  <w:hideMark/>
                </w:tcPr>
                <w:p w:rsidR="009543C0" w:rsidRPr="003041FD" w:rsidRDefault="009543C0" w:rsidP="005C75BB">
                  <w:pPr>
                    <w:rPr>
                      <w:rFonts w:ascii="Arial" w:eastAsia="Times New Roman" w:hAnsi="Arial" w:cs="Arial"/>
                      <w:b/>
                      <w:bCs/>
                      <w:color w:val="000000"/>
                      <w:sz w:val="16"/>
                      <w:szCs w:val="16"/>
                      <w:lang w:eastAsia="es-EC"/>
                    </w:rPr>
                  </w:pPr>
                </w:p>
              </w:tc>
              <w:tc>
                <w:tcPr>
                  <w:tcW w:w="1077" w:type="dxa"/>
                  <w:tcBorders>
                    <w:top w:val="nil"/>
                    <w:left w:val="nil"/>
                    <w:bottom w:val="nil"/>
                    <w:right w:val="nil"/>
                  </w:tcBorders>
                  <w:shd w:val="clear" w:color="auto" w:fill="auto"/>
                  <w:vAlign w:val="center"/>
                  <w:hideMark/>
                </w:tcPr>
                <w:p w:rsidR="009543C0" w:rsidRPr="003041FD" w:rsidRDefault="009543C0" w:rsidP="00654171">
                  <w:pPr>
                    <w:jc w:val="left"/>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Nativo</w:t>
                  </w:r>
                </w:p>
              </w:tc>
              <w:tc>
                <w:tcPr>
                  <w:tcW w:w="1860" w:type="dxa"/>
                  <w:tcBorders>
                    <w:top w:val="nil"/>
                    <w:left w:val="nil"/>
                    <w:bottom w:val="nil"/>
                    <w:right w:val="nil"/>
                  </w:tcBorders>
                  <w:shd w:val="clear" w:color="auto" w:fill="auto"/>
                  <w:vAlign w:val="center"/>
                  <w:hideMark/>
                </w:tcPr>
                <w:p w:rsidR="009543C0" w:rsidRDefault="009543C0">
                  <w:pPr>
                    <w:rPr>
                      <w:rFonts w:ascii="Arial" w:hAnsi="Arial" w:cs="Arial"/>
                      <w:color w:val="000000"/>
                      <w:sz w:val="16"/>
                      <w:szCs w:val="16"/>
                    </w:rPr>
                  </w:pPr>
                  <w:r>
                    <w:rPr>
                      <w:rFonts w:ascii="Arial" w:hAnsi="Arial" w:cs="Arial"/>
                      <w:color w:val="000000"/>
                      <w:sz w:val="16"/>
                      <w:szCs w:val="16"/>
                    </w:rPr>
                    <w:t>262</w:t>
                  </w:r>
                </w:p>
              </w:tc>
              <w:tc>
                <w:tcPr>
                  <w:tcW w:w="1700" w:type="dxa"/>
                  <w:tcBorders>
                    <w:top w:val="nil"/>
                    <w:left w:val="nil"/>
                    <w:bottom w:val="nil"/>
                    <w:right w:val="nil"/>
                  </w:tcBorders>
                  <w:shd w:val="clear" w:color="auto" w:fill="auto"/>
                  <w:vAlign w:val="center"/>
                  <w:hideMark/>
                </w:tcPr>
                <w:p w:rsidR="009543C0" w:rsidRDefault="009543C0">
                  <w:pPr>
                    <w:rPr>
                      <w:rFonts w:ascii="Arial" w:hAnsi="Arial" w:cs="Arial"/>
                      <w:color w:val="000000"/>
                      <w:sz w:val="16"/>
                      <w:szCs w:val="16"/>
                    </w:rPr>
                  </w:pPr>
                  <w:r>
                    <w:rPr>
                      <w:rFonts w:ascii="Arial" w:hAnsi="Arial" w:cs="Arial"/>
                      <w:color w:val="000000"/>
                      <w:sz w:val="16"/>
                      <w:szCs w:val="16"/>
                    </w:rPr>
                    <w:t>12542</w:t>
                  </w:r>
                </w:p>
              </w:tc>
              <w:tc>
                <w:tcPr>
                  <w:tcW w:w="1200" w:type="dxa"/>
                  <w:tcBorders>
                    <w:top w:val="nil"/>
                    <w:left w:val="nil"/>
                    <w:bottom w:val="nil"/>
                    <w:right w:val="nil"/>
                  </w:tcBorders>
                  <w:shd w:val="clear" w:color="auto" w:fill="auto"/>
                  <w:vAlign w:val="center"/>
                  <w:hideMark/>
                </w:tcPr>
                <w:p w:rsidR="009543C0" w:rsidRDefault="009543C0">
                  <w:pPr>
                    <w:rPr>
                      <w:rFonts w:ascii="Arial" w:hAnsi="Arial" w:cs="Arial"/>
                      <w:color w:val="000000"/>
                      <w:sz w:val="16"/>
                      <w:szCs w:val="16"/>
                    </w:rPr>
                  </w:pPr>
                  <w:r>
                    <w:rPr>
                      <w:rFonts w:ascii="Arial" w:hAnsi="Arial" w:cs="Arial"/>
                      <w:color w:val="000000"/>
                      <w:sz w:val="16"/>
                      <w:szCs w:val="16"/>
                    </w:rPr>
                    <w:t>97.95%</w:t>
                  </w:r>
                </w:p>
              </w:tc>
            </w:tr>
            <w:tr w:rsidR="009543C0" w:rsidRPr="003041FD" w:rsidTr="005C75BB">
              <w:trPr>
                <w:trHeight w:val="198"/>
                <w:jc w:val="center"/>
              </w:trPr>
              <w:tc>
                <w:tcPr>
                  <w:tcW w:w="2277" w:type="dxa"/>
                  <w:gridSpan w:val="2"/>
                  <w:tcBorders>
                    <w:top w:val="nil"/>
                    <w:left w:val="nil"/>
                    <w:bottom w:val="single" w:sz="4" w:space="0" w:color="auto"/>
                    <w:right w:val="nil"/>
                  </w:tcBorders>
                  <w:shd w:val="clear" w:color="auto" w:fill="auto"/>
                  <w:vAlign w:val="center"/>
                  <w:hideMark/>
                </w:tcPr>
                <w:p w:rsidR="009543C0" w:rsidRPr="003041FD" w:rsidRDefault="009543C0" w:rsidP="00654171">
                  <w:pPr>
                    <w:jc w:val="left"/>
                    <w:rPr>
                      <w:rFonts w:ascii="Arial" w:eastAsia="Times New Roman" w:hAnsi="Arial" w:cs="Arial"/>
                      <w:b/>
                      <w:bCs/>
                      <w:i/>
                      <w:iCs/>
                      <w:color w:val="000000"/>
                      <w:sz w:val="16"/>
                      <w:szCs w:val="16"/>
                      <w:lang w:eastAsia="es-EC"/>
                    </w:rPr>
                  </w:pPr>
                  <w:r w:rsidRPr="003041FD">
                    <w:rPr>
                      <w:rFonts w:ascii="Arial" w:eastAsia="Times New Roman" w:hAnsi="Arial" w:cs="Arial"/>
                      <w:b/>
                      <w:bCs/>
                      <w:i/>
                      <w:iCs/>
                      <w:color w:val="000000"/>
                      <w:sz w:val="16"/>
                      <w:szCs w:val="16"/>
                      <w:lang w:eastAsia="es-EC"/>
                    </w:rPr>
                    <w:t>Porcentaje Total</w:t>
                  </w:r>
                </w:p>
              </w:tc>
              <w:tc>
                <w:tcPr>
                  <w:tcW w:w="1860" w:type="dxa"/>
                  <w:tcBorders>
                    <w:top w:val="nil"/>
                    <w:left w:val="nil"/>
                    <w:bottom w:val="single" w:sz="4" w:space="0" w:color="auto"/>
                    <w:right w:val="nil"/>
                  </w:tcBorders>
                  <w:shd w:val="clear" w:color="auto" w:fill="auto"/>
                  <w:vAlign w:val="center"/>
                  <w:hideMark/>
                </w:tcPr>
                <w:p w:rsidR="009543C0" w:rsidRPr="003041FD" w:rsidRDefault="009543C0" w:rsidP="005C75BB">
                  <w:pPr>
                    <w:rPr>
                      <w:rFonts w:ascii="Arial" w:eastAsia="Times New Roman" w:hAnsi="Arial" w:cs="Arial"/>
                      <w:color w:val="000000"/>
                      <w:sz w:val="16"/>
                      <w:szCs w:val="16"/>
                      <w:lang w:eastAsia="es-EC"/>
                    </w:rPr>
                  </w:pPr>
                  <w:r w:rsidRPr="003041FD">
                    <w:rPr>
                      <w:rFonts w:ascii="Arial" w:eastAsia="Times New Roman" w:hAnsi="Arial" w:cs="Arial"/>
                      <w:color w:val="000000"/>
                      <w:sz w:val="16"/>
                      <w:szCs w:val="16"/>
                      <w:lang w:eastAsia="es-EC"/>
                    </w:rPr>
                    <w:t> </w:t>
                  </w:r>
                </w:p>
              </w:tc>
              <w:tc>
                <w:tcPr>
                  <w:tcW w:w="1700" w:type="dxa"/>
                  <w:tcBorders>
                    <w:top w:val="nil"/>
                    <w:left w:val="nil"/>
                    <w:bottom w:val="single" w:sz="4" w:space="0" w:color="auto"/>
                    <w:right w:val="nil"/>
                  </w:tcBorders>
                  <w:shd w:val="clear" w:color="auto" w:fill="auto"/>
                  <w:vAlign w:val="center"/>
                  <w:hideMark/>
                </w:tcPr>
                <w:p w:rsidR="009543C0" w:rsidRDefault="009543C0">
                  <w:pPr>
                    <w:rPr>
                      <w:rFonts w:ascii="Arial" w:hAnsi="Arial" w:cs="Arial"/>
                      <w:color w:val="000000"/>
                      <w:sz w:val="16"/>
                      <w:szCs w:val="16"/>
                    </w:rPr>
                  </w:pPr>
                  <w:r>
                    <w:rPr>
                      <w:rFonts w:ascii="Arial" w:hAnsi="Arial" w:cs="Arial"/>
                      <w:color w:val="000000"/>
                      <w:sz w:val="16"/>
                      <w:szCs w:val="16"/>
                    </w:rPr>
                    <w:t> </w:t>
                  </w:r>
                </w:p>
              </w:tc>
              <w:tc>
                <w:tcPr>
                  <w:tcW w:w="1200" w:type="dxa"/>
                  <w:tcBorders>
                    <w:top w:val="nil"/>
                    <w:left w:val="nil"/>
                    <w:bottom w:val="single" w:sz="4" w:space="0" w:color="auto"/>
                    <w:right w:val="nil"/>
                  </w:tcBorders>
                  <w:shd w:val="clear" w:color="auto" w:fill="auto"/>
                  <w:vAlign w:val="center"/>
                  <w:hideMark/>
                </w:tcPr>
                <w:p w:rsidR="009543C0" w:rsidRPr="009543C0" w:rsidRDefault="009543C0" w:rsidP="009543C0">
                  <w:pPr>
                    <w:rPr>
                      <w:rFonts w:ascii="Arial" w:hAnsi="Arial" w:cs="Arial"/>
                      <w:b/>
                      <w:bCs/>
                      <w:i/>
                      <w:iCs/>
                      <w:color w:val="000000"/>
                      <w:sz w:val="16"/>
                      <w:szCs w:val="16"/>
                    </w:rPr>
                  </w:pPr>
                  <w:r>
                    <w:rPr>
                      <w:rFonts w:ascii="Arial" w:hAnsi="Arial" w:cs="Arial"/>
                      <w:b/>
                      <w:bCs/>
                      <w:i/>
                      <w:iCs/>
                      <w:color w:val="000000"/>
                      <w:sz w:val="16"/>
                      <w:szCs w:val="16"/>
                    </w:rPr>
                    <w:t>65.78%</w:t>
                  </w:r>
                  <w:r>
                    <w:rPr>
                      <w:rFonts w:ascii="Arial" w:hAnsi="Arial" w:cs="Arial"/>
                      <w:color w:val="000000"/>
                      <w:sz w:val="16"/>
                      <w:szCs w:val="16"/>
                    </w:rPr>
                    <w:t> </w:t>
                  </w:r>
                </w:p>
              </w:tc>
            </w:tr>
          </w:tbl>
          <w:p w:rsidR="005C75BB" w:rsidRPr="00607324" w:rsidRDefault="005C75BB" w:rsidP="005C75BB">
            <w:pPr>
              <w:rPr>
                <w:rFonts w:ascii="Arial" w:hAnsi="Arial" w:cs="Arial"/>
                <w:sz w:val="24"/>
                <w:szCs w:val="24"/>
              </w:rPr>
            </w:pPr>
          </w:p>
        </w:tc>
      </w:tr>
    </w:tbl>
    <w:p w:rsidR="005C75BB" w:rsidRPr="009543C0" w:rsidRDefault="005C75BB" w:rsidP="009543C0">
      <w:pPr>
        <w:pStyle w:val="Prrafodelista"/>
        <w:spacing w:line="276" w:lineRule="auto"/>
        <w:ind w:left="851"/>
        <w:jc w:val="both"/>
        <w:rPr>
          <w:rFonts w:ascii="Arial" w:hAnsi="Arial" w:cs="Arial"/>
          <w:sz w:val="17"/>
          <w:szCs w:val="17"/>
        </w:rPr>
      </w:pPr>
    </w:p>
    <w:p w:rsidR="005C75BB" w:rsidRPr="009543C0" w:rsidRDefault="005C75BB" w:rsidP="009543C0">
      <w:pPr>
        <w:pStyle w:val="Prrafodelista"/>
        <w:spacing w:line="276" w:lineRule="auto"/>
        <w:ind w:left="851"/>
        <w:jc w:val="both"/>
        <w:rPr>
          <w:rFonts w:ascii="Arial" w:hAnsi="Arial" w:cs="Arial"/>
          <w:sz w:val="17"/>
          <w:szCs w:val="17"/>
        </w:rPr>
      </w:pPr>
      <w:r w:rsidRPr="009543C0">
        <w:rPr>
          <w:rFonts w:ascii="Arial" w:hAnsi="Arial" w:cs="Arial"/>
          <w:b/>
          <w:i/>
          <w:sz w:val="17"/>
          <w:szCs w:val="17"/>
        </w:rPr>
        <w:t>Fuente:</w:t>
      </w:r>
      <w:r w:rsidRPr="009543C0">
        <w:rPr>
          <w:rFonts w:ascii="Arial" w:hAnsi="Arial" w:cs="Arial"/>
          <w:sz w:val="17"/>
          <w:szCs w:val="17"/>
        </w:rPr>
        <w:t xml:space="preserve"> </w:t>
      </w:r>
      <w:r w:rsidRPr="009543C0">
        <w:rPr>
          <w:rFonts w:ascii="Arial" w:hAnsi="Arial" w:cs="Arial"/>
          <w:b/>
          <w:sz w:val="17"/>
          <w:szCs w:val="17"/>
        </w:rPr>
        <w:t xml:space="preserve">INEC </w:t>
      </w:r>
      <w:r w:rsidRPr="009543C0">
        <w:rPr>
          <w:rFonts w:ascii="Arial" w:hAnsi="Arial" w:cs="Arial"/>
          <w:sz w:val="17"/>
          <w:szCs w:val="17"/>
        </w:rPr>
        <w:t>(2010), Base de Datos del VII Censo de Población y VI de Vivienda.</w:t>
      </w:r>
    </w:p>
    <w:p w:rsidR="005C75BB" w:rsidRPr="009543C0" w:rsidRDefault="005C75BB" w:rsidP="009543C0">
      <w:pPr>
        <w:pStyle w:val="Prrafodelista"/>
        <w:spacing w:line="276" w:lineRule="auto"/>
        <w:ind w:left="851"/>
        <w:jc w:val="both"/>
        <w:rPr>
          <w:rFonts w:ascii="Arial" w:hAnsi="Arial" w:cs="Arial"/>
          <w:sz w:val="17"/>
          <w:szCs w:val="17"/>
        </w:rPr>
      </w:pPr>
      <w:r w:rsidRPr="009543C0">
        <w:rPr>
          <w:rFonts w:ascii="Arial" w:hAnsi="Arial" w:cs="Arial"/>
          <w:b/>
          <w:i/>
          <w:sz w:val="17"/>
          <w:szCs w:val="17"/>
        </w:rPr>
        <w:t>Elaborado por:</w:t>
      </w:r>
      <w:r w:rsidRPr="009543C0">
        <w:rPr>
          <w:rFonts w:ascii="Arial" w:hAnsi="Arial" w:cs="Arial"/>
          <w:sz w:val="17"/>
          <w:szCs w:val="17"/>
        </w:rPr>
        <w:t xml:space="preserve"> Katherine Loor Valeriano</w:t>
      </w:r>
    </w:p>
    <w:p w:rsidR="005C75BB" w:rsidRPr="00F84BFD" w:rsidRDefault="005C75BB" w:rsidP="00F84BFD">
      <w:pPr>
        <w:spacing w:line="480" w:lineRule="auto"/>
        <w:ind w:left="851"/>
        <w:jc w:val="both"/>
        <w:rPr>
          <w:rFonts w:ascii="Arial" w:hAnsi="Arial" w:cs="Arial"/>
        </w:rPr>
      </w:pPr>
    </w:p>
    <w:p w:rsidR="005C75BB" w:rsidRPr="00F84BFD" w:rsidRDefault="005C75BB" w:rsidP="00F84BFD">
      <w:pPr>
        <w:spacing w:line="480" w:lineRule="auto"/>
        <w:ind w:left="851"/>
        <w:jc w:val="both"/>
        <w:rPr>
          <w:rFonts w:ascii="Arial" w:hAnsi="Arial" w:cs="Arial"/>
          <w:i/>
        </w:rPr>
      </w:pPr>
      <w:bookmarkStart w:id="1007" w:name="_Toc339853213"/>
      <w:bookmarkStart w:id="1008" w:name="_Toc340231983"/>
      <w:r w:rsidRPr="00F84BFD">
        <w:rPr>
          <w:rFonts w:ascii="Arial" w:hAnsi="Arial" w:cs="Arial"/>
        </w:rPr>
        <w:t xml:space="preserve">En la </w:t>
      </w:r>
      <w:r w:rsidRPr="00F84BFD">
        <w:rPr>
          <w:rFonts w:ascii="Arial" w:hAnsi="Arial" w:cs="Arial"/>
          <w:i/>
        </w:rPr>
        <w:t>Tabla 6.4</w:t>
      </w:r>
      <w:r w:rsidRPr="00F84BFD">
        <w:rPr>
          <w:rFonts w:ascii="Arial" w:hAnsi="Arial" w:cs="Arial"/>
        </w:rPr>
        <w:t xml:space="preserve">, se presentan las Odds Ratio y el análisis de dicho valor, en donde tenemos que para el caso de la edad es 0.408 la verosimilitud de que sea inmigrante si es menor de 30 años respecto a los mayores de 30 años; mientras que, en lo referente al género es 0.873 más verosímil que una persona sea inmigrante si es hombre; y, es 1.456 la verosimilitud de que una persona sea inmigrante si está casado. Para más  detalles </w:t>
      </w:r>
      <w:r w:rsidRPr="00F84BFD">
        <w:rPr>
          <w:rFonts w:ascii="Arial" w:hAnsi="Arial" w:cs="Arial"/>
          <w:i/>
        </w:rPr>
        <w:t>véase Tabla 6.4.</w:t>
      </w:r>
      <w:bookmarkEnd w:id="1007"/>
      <w:bookmarkEnd w:id="1008"/>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5C75BB" w:rsidRPr="003559D6" w:rsidTr="00D4444E">
        <w:trPr>
          <w:trHeight w:val="4706"/>
          <w:jc w:val="right"/>
        </w:trPr>
        <w:tc>
          <w:tcPr>
            <w:tcW w:w="7497" w:type="dxa"/>
          </w:tcPr>
          <w:p w:rsidR="005C75BB" w:rsidRPr="00434327" w:rsidRDefault="005C75BB" w:rsidP="005C75BB">
            <w:pPr>
              <w:rPr>
                <w:rFonts w:ascii="Arial" w:hAnsi="Arial" w:cs="Arial"/>
                <w:sz w:val="16"/>
                <w:szCs w:val="16"/>
              </w:rPr>
            </w:pPr>
          </w:p>
          <w:p w:rsidR="00654171" w:rsidRPr="00654171" w:rsidRDefault="00654171" w:rsidP="00654171">
            <w:pPr>
              <w:pStyle w:val="Epgrafe"/>
              <w:rPr>
                <w:rFonts w:ascii="Arial" w:hAnsi="Arial" w:cs="Arial"/>
                <w:bCs w:val="0"/>
                <w:color w:val="auto"/>
                <w:sz w:val="16"/>
                <w:szCs w:val="16"/>
              </w:rPr>
            </w:pPr>
            <w:bookmarkStart w:id="1009" w:name="_Toc341042350"/>
            <w:r>
              <w:rPr>
                <w:rFonts w:ascii="Arial" w:hAnsi="Arial" w:cs="Arial"/>
                <w:bCs w:val="0"/>
                <w:color w:val="auto"/>
                <w:sz w:val="16"/>
                <w:szCs w:val="16"/>
              </w:rPr>
              <w:t>Tabla 6.</w:t>
            </w:r>
            <w:r w:rsidR="00990535" w:rsidRPr="00654171">
              <w:rPr>
                <w:rFonts w:ascii="Arial" w:hAnsi="Arial" w:cs="Arial"/>
                <w:bCs w:val="0"/>
                <w:color w:val="auto"/>
                <w:sz w:val="16"/>
                <w:szCs w:val="16"/>
              </w:rPr>
              <w:fldChar w:fldCharType="begin"/>
            </w:r>
            <w:r w:rsidRPr="00654171">
              <w:rPr>
                <w:rFonts w:ascii="Arial" w:hAnsi="Arial" w:cs="Arial"/>
                <w:bCs w:val="0"/>
                <w:color w:val="auto"/>
                <w:sz w:val="16"/>
                <w:szCs w:val="16"/>
              </w:rPr>
              <w:instrText xml:space="preserve"> SEQ Tabla_6. \* ARABIC </w:instrText>
            </w:r>
            <w:r w:rsidR="00990535" w:rsidRPr="00654171">
              <w:rPr>
                <w:rFonts w:ascii="Arial" w:hAnsi="Arial" w:cs="Arial"/>
                <w:bCs w:val="0"/>
                <w:color w:val="auto"/>
                <w:sz w:val="16"/>
                <w:szCs w:val="16"/>
              </w:rPr>
              <w:fldChar w:fldCharType="separate"/>
            </w:r>
            <w:r w:rsidR="00A242E0">
              <w:rPr>
                <w:rFonts w:ascii="Arial" w:hAnsi="Arial" w:cs="Arial"/>
                <w:bCs w:val="0"/>
                <w:noProof/>
                <w:color w:val="auto"/>
                <w:sz w:val="16"/>
                <w:szCs w:val="16"/>
              </w:rPr>
              <w:t>4</w:t>
            </w:r>
            <w:bookmarkEnd w:id="1009"/>
            <w:r w:rsidR="00990535" w:rsidRPr="00654171">
              <w:rPr>
                <w:rFonts w:ascii="Arial" w:hAnsi="Arial" w:cs="Arial"/>
                <w:bCs w:val="0"/>
                <w:color w:val="auto"/>
                <w:sz w:val="16"/>
                <w:szCs w:val="16"/>
              </w:rPr>
              <w:fldChar w:fldCharType="end"/>
            </w:r>
          </w:p>
          <w:p w:rsidR="005C75BB" w:rsidRDefault="00D4444E" w:rsidP="005C75BB">
            <w:pPr>
              <w:rPr>
                <w:rFonts w:ascii="Arial" w:hAnsi="Arial" w:cs="Arial"/>
                <w:i/>
                <w:sz w:val="16"/>
                <w:szCs w:val="16"/>
              </w:rPr>
            </w:pPr>
            <w:r>
              <w:rPr>
                <w:rFonts w:ascii="Arial" w:hAnsi="Arial" w:cs="Arial"/>
                <w:b/>
                <w:i/>
                <w:sz w:val="16"/>
                <w:szCs w:val="16"/>
              </w:rPr>
              <w:t xml:space="preserve">Guayaquil 2010: </w:t>
            </w:r>
            <w:r w:rsidR="005C75BB">
              <w:rPr>
                <w:rFonts w:ascii="Arial" w:hAnsi="Arial" w:cs="Arial"/>
                <w:i/>
                <w:sz w:val="16"/>
                <w:szCs w:val="16"/>
              </w:rPr>
              <w:t>Odds Ratio del modelo completo</w:t>
            </w:r>
            <w:r>
              <w:rPr>
                <w:rFonts w:ascii="Arial" w:hAnsi="Arial" w:cs="Arial"/>
                <w:i/>
                <w:sz w:val="16"/>
                <w:szCs w:val="16"/>
              </w:rPr>
              <w:t xml:space="preserve"> de la migración hacia Guayaquil</w:t>
            </w:r>
          </w:p>
          <w:p w:rsidR="005C75BB" w:rsidRDefault="00D4444E" w:rsidP="005C75BB">
            <w:pPr>
              <w:rPr>
                <w:rFonts w:ascii="Arial" w:hAnsi="Arial" w:cs="Arial"/>
                <w:i/>
                <w:sz w:val="16"/>
                <w:szCs w:val="16"/>
              </w:rPr>
            </w:pPr>
            <w:r>
              <w:rPr>
                <w:rFonts w:ascii="Arial" w:hAnsi="Arial" w:cs="Arial"/>
                <w:i/>
                <w:sz w:val="16"/>
                <w:szCs w:val="16"/>
              </w:rPr>
              <w:t>(</w:t>
            </w:r>
            <w:r w:rsidR="005C75BB">
              <w:rPr>
                <w:rFonts w:ascii="Arial" w:hAnsi="Arial" w:cs="Arial"/>
                <w:i/>
                <w:sz w:val="16"/>
                <w:szCs w:val="16"/>
              </w:rPr>
              <w:t>y = 1 = Inmigrante; y =  0 = Nativo</w:t>
            </w:r>
            <w:r>
              <w:rPr>
                <w:rFonts w:ascii="Arial" w:hAnsi="Arial" w:cs="Arial"/>
                <w:i/>
                <w:sz w:val="16"/>
                <w:szCs w:val="16"/>
              </w:rPr>
              <w:t>)</w:t>
            </w:r>
          </w:p>
          <w:p w:rsidR="005C75BB" w:rsidRPr="003D21E9" w:rsidRDefault="005C75BB" w:rsidP="005C75BB">
            <w:pPr>
              <w:rPr>
                <w:rFonts w:ascii="Arial" w:hAnsi="Arial" w:cs="Arial"/>
                <w:i/>
                <w:sz w:val="10"/>
                <w:szCs w:val="10"/>
              </w:rPr>
            </w:pPr>
          </w:p>
          <w:tbl>
            <w:tblPr>
              <w:tblW w:w="7201" w:type="dxa"/>
              <w:jc w:val="center"/>
              <w:tblCellMar>
                <w:left w:w="70" w:type="dxa"/>
                <w:right w:w="70" w:type="dxa"/>
              </w:tblCellMar>
              <w:tblLook w:val="04A0" w:firstRow="1" w:lastRow="0" w:firstColumn="1" w:lastColumn="0" w:noHBand="0" w:noVBand="1"/>
            </w:tblPr>
            <w:tblGrid>
              <w:gridCol w:w="1134"/>
              <w:gridCol w:w="964"/>
              <w:gridCol w:w="3515"/>
              <w:gridCol w:w="794"/>
              <w:gridCol w:w="794"/>
            </w:tblGrid>
            <w:tr w:rsidR="005C75BB" w:rsidRPr="00D03AA1" w:rsidTr="005C75BB">
              <w:trPr>
                <w:trHeight w:val="20"/>
                <w:jc w:val="center"/>
              </w:trPr>
              <w:tc>
                <w:tcPr>
                  <w:tcW w:w="1134" w:type="dxa"/>
                  <w:vMerge w:val="restart"/>
                  <w:tcBorders>
                    <w:top w:val="single" w:sz="4" w:space="0" w:color="auto"/>
                    <w:left w:val="nil"/>
                    <w:right w:val="nil"/>
                  </w:tcBorders>
                  <w:shd w:val="clear" w:color="auto" w:fill="auto"/>
                  <w:vAlign w:val="center"/>
                </w:tcPr>
                <w:p w:rsidR="005C75BB" w:rsidRPr="00D03AA1" w:rsidRDefault="005C75BB" w:rsidP="005C75BB">
                  <w:pPr>
                    <w:rPr>
                      <w:rFonts w:ascii="Arial" w:eastAsia="Times New Roman" w:hAnsi="Arial" w:cs="Arial"/>
                      <w:b/>
                      <w:bCs/>
                      <w:color w:val="000000"/>
                      <w:sz w:val="14"/>
                      <w:szCs w:val="14"/>
                      <w:lang w:eastAsia="es-EC"/>
                    </w:rPr>
                  </w:pPr>
                  <w:r w:rsidRPr="00D03AA1">
                    <w:rPr>
                      <w:rFonts w:ascii="Arial" w:eastAsia="Times New Roman" w:hAnsi="Arial" w:cs="Arial"/>
                      <w:b/>
                      <w:bCs/>
                      <w:color w:val="000000"/>
                      <w:sz w:val="14"/>
                      <w:szCs w:val="14"/>
                      <w:lang w:eastAsia="es-EC"/>
                    </w:rPr>
                    <w:t>Variable</w:t>
                  </w:r>
                </w:p>
              </w:tc>
              <w:tc>
                <w:tcPr>
                  <w:tcW w:w="964" w:type="dxa"/>
                  <w:vMerge w:val="restart"/>
                  <w:tcBorders>
                    <w:top w:val="single" w:sz="4" w:space="0" w:color="auto"/>
                    <w:left w:val="nil"/>
                    <w:right w:val="nil"/>
                  </w:tcBorders>
                  <w:shd w:val="clear" w:color="auto" w:fill="auto"/>
                  <w:vAlign w:val="center"/>
                </w:tcPr>
                <w:p w:rsidR="005C75BB" w:rsidRPr="00D03AA1" w:rsidRDefault="005C75BB" w:rsidP="005C75BB">
                  <w:pPr>
                    <w:rPr>
                      <w:rFonts w:ascii="Arial" w:eastAsia="Times New Roman" w:hAnsi="Arial" w:cs="Arial"/>
                      <w:b/>
                      <w:bCs/>
                      <w:color w:val="000000"/>
                      <w:sz w:val="14"/>
                      <w:szCs w:val="14"/>
                      <w:lang w:eastAsia="es-EC"/>
                    </w:rPr>
                  </w:pPr>
                  <w:r w:rsidRPr="00D03AA1">
                    <w:rPr>
                      <w:rFonts w:ascii="Arial" w:eastAsia="Times New Roman" w:hAnsi="Arial" w:cs="Arial"/>
                      <w:b/>
                      <w:bCs/>
                      <w:color w:val="000000"/>
                      <w:sz w:val="14"/>
                      <w:szCs w:val="14"/>
                      <w:lang w:eastAsia="es-EC"/>
                    </w:rPr>
                    <w:t>Odds Ratio</w:t>
                  </w:r>
                </w:p>
              </w:tc>
              <w:tc>
                <w:tcPr>
                  <w:tcW w:w="3515" w:type="dxa"/>
                  <w:vMerge w:val="restart"/>
                  <w:tcBorders>
                    <w:top w:val="single" w:sz="4" w:space="0" w:color="auto"/>
                    <w:left w:val="nil"/>
                    <w:right w:val="nil"/>
                  </w:tcBorders>
                  <w:shd w:val="clear" w:color="auto" w:fill="auto"/>
                  <w:vAlign w:val="center"/>
                </w:tcPr>
                <w:p w:rsidR="005C75BB" w:rsidRPr="00D03AA1" w:rsidRDefault="005C75BB" w:rsidP="005C75BB">
                  <w:pPr>
                    <w:rPr>
                      <w:rFonts w:ascii="Arial" w:eastAsia="Times New Roman" w:hAnsi="Arial" w:cs="Arial"/>
                      <w:b/>
                      <w:bCs/>
                      <w:color w:val="000000"/>
                      <w:sz w:val="14"/>
                      <w:szCs w:val="14"/>
                      <w:lang w:eastAsia="es-EC"/>
                    </w:rPr>
                  </w:pPr>
                  <w:r w:rsidRPr="00D03AA1">
                    <w:rPr>
                      <w:rFonts w:ascii="Arial" w:eastAsia="Times New Roman" w:hAnsi="Arial" w:cs="Arial"/>
                      <w:b/>
                      <w:bCs/>
                      <w:color w:val="000000"/>
                      <w:sz w:val="14"/>
                      <w:szCs w:val="14"/>
                      <w:lang w:eastAsia="es-EC"/>
                    </w:rPr>
                    <w:t>Susceptibilidad</w:t>
                  </w:r>
                </w:p>
              </w:tc>
              <w:tc>
                <w:tcPr>
                  <w:tcW w:w="1588" w:type="dxa"/>
                  <w:gridSpan w:val="2"/>
                  <w:tcBorders>
                    <w:top w:val="single" w:sz="4" w:space="0" w:color="auto"/>
                    <w:left w:val="nil"/>
                    <w:bottom w:val="single" w:sz="4" w:space="0" w:color="auto"/>
                    <w:right w:val="nil"/>
                  </w:tcBorders>
                  <w:vAlign w:val="center"/>
                </w:tcPr>
                <w:p w:rsidR="005C75BB" w:rsidRPr="00D03AA1" w:rsidRDefault="005C75BB" w:rsidP="005C75BB">
                  <w:pPr>
                    <w:rPr>
                      <w:rFonts w:ascii="Arial" w:eastAsia="Times New Roman" w:hAnsi="Arial" w:cs="Arial"/>
                      <w:b/>
                      <w:bCs/>
                      <w:color w:val="000000"/>
                      <w:sz w:val="12"/>
                      <w:szCs w:val="12"/>
                      <w:lang w:eastAsia="es-EC"/>
                    </w:rPr>
                  </w:pPr>
                  <w:r w:rsidRPr="00D03AA1">
                    <w:rPr>
                      <w:rFonts w:ascii="Arial" w:eastAsia="Times New Roman" w:hAnsi="Arial" w:cs="Arial"/>
                      <w:b/>
                      <w:bCs/>
                      <w:color w:val="000000"/>
                      <w:sz w:val="12"/>
                      <w:szCs w:val="12"/>
                      <w:lang w:eastAsia="es-EC"/>
                    </w:rPr>
                    <w:t>Intervalo de Confianza de los Odss Ratio</w:t>
                  </w:r>
                </w:p>
              </w:tc>
            </w:tr>
            <w:tr w:rsidR="005C75BB" w:rsidRPr="00D03AA1" w:rsidTr="005C75BB">
              <w:trPr>
                <w:trHeight w:val="20"/>
                <w:jc w:val="center"/>
              </w:trPr>
              <w:tc>
                <w:tcPr>
                  <w:tcW w:w="1134" w:type="dxa"/>
                  <w:vMerge/>
                  <w:tcBorders>
                    <w:left w:val="nil"/>
                    <w:bottom w:val="single" w:sz="4" w:space="0" w:color="auto"/>
                    <w:right w:val="nil"/>
                  </w:tcBorders>
                  <w:shd w:val="clear" w:color="auto" w:fill="auto"/>
                  <w:vAlign w:val="center"/>
                  <w:hideMark/>
                </w:tcPr>
                <w:p w:rsidR="005C75BB" w:rsidRPr="00D03AA1" w:rsidRDefault="005C75BB" w:rsidP="005C75BB">
                  <w:pPr>
                    <w:rPr>
                      <w:rFonts w:ascii="Arial" w:eastAsia="Times New Roman" w:hAnsi="Arial" w:cs="Arial"/>
                      <w:b/>
                      <w:bCs/>
                      <w:color w:val="000000"/>
                      <w:sz w:val="14"/>
                      <w:szCs w:val="14"/>
                      <w:lang w:eastAsia="es-EC"/>
                    </w:rPr>
                  </w:pPr>
                </w:p>
              </w:tc>
              <w:tc>
                <w:tcPr>
                  <w:tcW w:w="964" w:type="dxa"/>
                  <w:vMerge/>
                  <w:tcBorders>
                    <w:left w:val="nil"/>
                    <w:bottom w:val="single" w:sz="4" w:space="0" w:color="auto"/>
                    <w:right w:val="nil"/>
                  </w:tcBorders>
                  <w:shd w:val="clear" w:color="auto" w:fill="auto"/>
                  <w:vAlign w:val="center"/>
                  <w:hideMark/>
                </w:tcPr>
                <w:p w:rsidR="005C75BB" w:rsidRPr="00D03AA1" w:rsidRDefault="005C75BB" w:rsidP="005C75BB">
                  <w:pPr>
                    <w:rPr>
                      <w:rFonts w:ascii="Arial" w:eastAsia="Times New Roman" w:hAnsi="Arial" w:cs="Arial"/>
                      <w:b/>
                      <w:bCs/>
                      <w:color w:val="000000"/>
                      <w:sz w:val="14"/>
                      <w:szCs w:val="14"/>
                      <w:lang w:eastAsia="es-EC"/>
                    </w:rPr>
                  </w:pPr>
                </w:p>
              </w:tc>
              <w:tc>
                <w:tcPr>
                  <w:tcW w:w="3515" w:type="dxa"/>
                  <w:vMerge/>
                  <w:tcBorders>
                    <w:left w:val="nil"/>
                    <w:bottom w:val="single" w:sz="4" w:space="0" w:color="auto"/>
                    <w:right w:val="nil"/>
                  </w:tcBorders>
                  <w:shd w:val="clear" w:color="auto" w:fill="auto"/>
                  <w:vAlign w:val="center"/>
                  <w:hideMark/>
                </w:tcPr>
                <w:p w:rsidR="005C75BB" w:rsidRPr="00D03AA1" w:rsidRDefault="005C75BB" w:rsidP="005C75BB">
                  <w:pPr>
                    <w:rPr>
                      <w:rFonts w:ascii="Arial" w:eastAsia="Times New Roman" w:hAnsi="Arial" w:cs="Arial"/>
                      <w:b/>
                      <w:bCs/>
                      <w:color w:val="000000"/>
                      <w:sz w:val="14"/>
                      <w:szCs w:val="14"/>
                      <w:lang w:eastAsia="es-EC"/>
                    </w:rPr>
                  </w:pPr>
                </w:p>
              </w:tc>
              <w:tc>
                <w:tcPr>
                  <w:tcW w:w="794" w:type="dxa"/>
                  <w:tcBorders>
                    <w:top w:val="single" w:sz="4" w:space="0" w:color="auto"/>
                    <w:left w:val="nil"/>
                    <w:bottom w:val="single" w:sz="4" w:space="0" w:color="auto"/>
                    <w:right w:val="nil"/>
                  </w:tcBorders>
                  <w:vAlign w:val="center"/>
                </w:tcPr>
                <w:p w:rsidR="005C75BB" w:rsidRPr="00D03AA1" w:rsidRDefault="005C75BB" w:rsidP="005C75BB">
                  <w:pPr>
                    <w:rPr>
                      <w:rFonts w:ascii="Arial" w:eastAsia="Times New Roman" w:hAnsi="Arial" w:cs="Arial"/>
                      <w:b/>
                      <w:bCs/>
                      <w:color w:val="000000"/>
                      <w:sz w:val="14"/>
                      <w:szCs w:val="14"/>
                      <w:lang w:eastAsia="es-EC"/>
                    </w:rPr>
                  </w:pPr>
                  <w:r>
                    <w:rPr>
                      <w:rFonts w:ascii="Arial" w:eastAsia="Times New Roman" w:hAnsi="Arial" w:cs="Arial"/>
                      <w:b/>
                      <w:bCs/>
                      <w:color w:val="000000"/>
                      <w:sz w:val="14"/>
                      <w:szCs w:val="14"/>
                      <w:lang w:eastAsia="es-EC"/>
                    </w:rPr>
                    <w:t>Límite Inferior</w:t>
                  </w:r>
                </w:p>
              </w:tc>
              <w:tc>
                <w:tcPr>
                  <w:tcW w:w="794" w:type="dxa"/>
                  <w:tcBorders>
                    <w:top w:val="single" w:sz="4" w:space="0" w:color="auto"/>
                    <w:left w:val="nil"/>
                    <w:bottom w:val="single" w:sz="4" w:space="0" w:color="auto"/>
                    <w:right w:val="nil"/>
                  </w:tcBorders>
                </w:tcPr>
                <w:p w:rsidR="005C75BB" w:rsidRPr="00D03AA1" w:rsidRDefault="005C75BB" w:rsidP="005C75BB">
                  <w:pPr>
                    <w:rPr>
                      <w:rFonts w:ascii="Arial" w:eastAsia="Times New Roman" w:hAnsi="Arial" w:cs="Arial"/>
                      <w:b/>
                      <w:bCs/>
                      <w:color w:val="000000"/>
                      <w:sz w:val="14"/>
                      <w:szCs w:val="14"/>
                      <w:lang w:eastAsia="es-EC"/>
                    </w:rPr>
                  </w:pPr>
                  <w:r>
                    <w:rPr>
                      <w:rFonts w:ascii="Arial" w:eastAsia="Times New Roman" w:hAnsi="Arial" w:cs="Arial"/>
                      <w:b/>
                      <w:bCs/>
                      <w:color w:val="000000"/>
                      <w:sz w:val="14"/>
                      <w:szCs w:val="14"/>
                      <w:lang w:eastAsia="es-EC"/>
                    </w:rPr>
                    <w:t>Límite Superior</w:t>
                  </w:r>
                </w:p>
              </w:tc>
            </w:tr>
            <w:tr w:rsidR="00D4444E" w:rsidRPr="00D03AA1" w:rsidTr="00D4444E">
              <w:trPr>
                <w:trHeight w:val="397"/>
                <w:jc w:val="center"/>
              </w:trPr>
              <w:tc>
                <w:tcPr>
                  <w:tcW w:w="1134" w:type="dxa"/>
                  <w:tcBorders>
                    <w:top w:val="nil"/>
                    <w:left w:val="nil"/>
                    <w:bottom w:val="nil"/>
                    <w:right w:val="nil"/>
                  </w:tcBorders>
                  <w:shd w:val="clear" w:color="auto" w:fill="auto"/>
                  <w:noWrap/>
                  <w:vAlign w:val="center"/>
                  <w:hideMark/>
                </w:tcPr>
                <w:p w:rsidR="00D4444E" w:rsidRPr="00D03AA1" w:rsidRDefault="00D4444E" w:rsidP="00654171">
                  <w:pPr>
                    <w:jc w:val="left"/>
                    <w:rPr>
                      <w:rFonts w:ascii="Arial" w:eastAsia="Times New Roman" w:hAnsi="Arial" w:cs="Arial"/>
                      <w:color w:val="000000"/>
                      <w:sz w:val="14"/>
                      <w:szCs w:val="14"/>
                      <w:lang w:eastAsia="es-EC"/>
                    </w:rPr>
                  </w:pPr>
                  <w:r w:rsidRPr="00D03AA1">
                    <w:rPr>
                      <w:rFonts w:ascii="Arial" w:eastAsia="Times New Roman" w:hAnsi="Arial" w:cs="Arial"/>
                      <w:color w:val="000000"/>
                      <w:sz w:val="14"/>
                      <w:szCs w:val="14"/>
                      <w:lang w:eastAsia="es-EC"/>
                    </w:rPr>
                    <w:t>Edad (X</w:t>
                  </w:r>
                  <w:r w:rsidRPr="00D03AA1">
                    <w:rPr>
                      <w:rFonts w:ascii="Arial" w:eastAsia="Times New Roman" w:hAnsi="Arial" w:cs="Arial"/>
                      <w:color w:val="000000"/>
                      <w:sz w:val="14"/>
                      <w:szCs w:val="14"/>
                      <w:vertAlign w:val="subscript"/>
                      <w:lang w:eastAsia="es-EC"/>
                    </w:rPr>
                    <w:t>1</w:t>
                  </w:r>
                  <w:r w:rsidRPr="00D03AA1">
                    <w:rPr>
                      <w:rFonts w:ascii="Arial" w:eastAsia="Times New Roman" w:hAnsi="Arial" w:cs="Arial"/>
                      <w:color w:val="000000"/>
                      <w:sz w:val="14"/>
                      <w:szCs w:val="14"/>
                      <w:lang w:eastAsia="es-EC"/>
                    </w:rPr>
                    <w:t>)</w:t>
                  </w:r>
                </w:p>
              </w:tc>
              <w:tc>
                <w:tcPr>
                  <w:tcW w:w="964" w:type="dxa"/>
                  <w:tcBorders>
                    <w:top w:val="nil"/>
                    <w:left w:val="nil"/>
                    <w:bottom w:val="nil"/>
                    <w:right w:val="nil"/>
                  </w:tcBorders>
                  <w:shd w:val="clear" w:color="auto" w:fill="auto"/>
                  <w:noWrap/>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0.415</w:t>
                  </w:r>
                </w:p>
              </w:tc>
              <w:tc>
                <w:tcPr>
                  <w:tcW w:w="3515" w:type="dxa"/>
                  <w:tcBorders>
                    <w:top w:val="nil"/>
                    <w:left w:val="nil"/>
                    <w:bottom w:val="nil"/>
                    <w:right w:val="nil"/>
                  </w:tcBorders>
                  <w:shd w:val="clear" w:color="auto" w:fill="auto"/>
                  <w:vAlign w:val="center"/>
                  <w:hideMark/>
                </w:tcPr>
                <w:p w:rsidR="00D4444E" w:rsidRPr="00D03AA1" w:rsidRDefault="00D4444E" w:rsidP="00D4444E">
                  <w:pPr>
                    <w:jc w:val="left"/>
                    <w:rPr>
                      <w:rFonts w:ascii="Arial" w:hAnsi="Arial" w:cs="Arial"/>
                      <w:color w:val="000000"/>
                      <w:sz w:val="14"/>
                      <w:szCs w:val="14"/>
                    </w:rPr>
                  </w:pPr>
                  <w:r>
                    <w:rPr>
                      <w:rFonts w:ascii="Arial" w:hAnsi="Arial" w:cs="Arial"/>
                      <w:color w:val="000000"/>
                      <w:sz w:val="14"/>
                      <w:szCs w:val="14"/>
                    </w:rPr>
                    <w:t>Es 0.415</w:t>
                  </w:r>
                  <w:r w:rsidRPr="00D03AA1">
                    <w:rPr>
                      <w:rFonts w:ascii="Arial" w:hAnsi="Arial" w:cs="Arial"/>
                      <w:color w:val="000000"/>
                      <w:sz w:val="14"/>
                      <w:szCs w:val="14"/>
                    </w:rPr>
                    <w:t xml:space="preserve"> la </w:t>
                  </w:r>
                  <w:r>
                    <w:rPr>
                      <w:rFonts w:ascii="Arial" w:hAnsi="Arial" w:cs="Arial"/>
                      <w:color w:val="000000"/>
                      <w:sz w:val="14"/>
                      <w:szCs w:val="14"/>
                    </w:rPr>
                    <w:t>propensión</w:t>
                  </w:r>
                  <w:r w:rsidRPr="00D03AA1">
                    <w:rPr>
                      <w:rFonts w:ascii="Arial" w:hAnsi="Arial" w:cs="Arial"/>
                      <w:color w:val="000000"/>
                      <w:sz w:val="14"/>
                      <w:szCs w:val="14"/>
                    </w:rPr>
                    <w:t xml:space="preserve"> de que </w:t>
                  </w:r>
                  <w:r>
                    <w:rPr>
                      <w:rFonts w:ascii="Arial" w:hAnsi="Arial" w:cs="Arial"/>
                      <w:color w:val="000000"/>
                      <w:sz w:val="14"/>
                      <w:szCs w:val="14"/>
                    </w:rPr>
                    <w:t xml:space="preserve">una persona </w:t>
                  </w:r>
                  <w:r w:rsidRPr="00D03AA1">
                    <w:rPr>
                      <w:rFonts w:ascii="Arial" w:hAnsi="Arial" w:cs="Arial"/>
                      <w:color w:val="000000"/>
                      <w:sz w:val="14"/>
                      <w:szCs w:val="14"/>
                    </w:rPr>
                    <w:t>sea inmigrante si es menor de 30 años</w:t>
                  </w:r>
                </w:p>
              </w:tc>
              <w:tc>
                <w:tcPr>
                  <w:tcW w:w="794" w:type="dxa"/>
                  <w:tcBorders>
                    <w:top w:val="nil"/>
                    <w:left w:val="nil"/>
                    <w:bottom w:val="nil"/>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0.387</w:t>
                  </w:r>
                </w:p>
              </w:tc>
              <w:tc>
                <w:tcPr>
                  <w:tcW w:w="794" w:type="dxa"/>
                  <w:tcBorders>
                    <w:top w:val="nil"/>
                    <w:left w:val="nil"/>
                    <w:bottom w:val="nil"/>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0.445</w:t>
                  </w:r>
                </w:p>
              </w:tc>
            </w:tr>
            <w:tr w:rsidR="00D4444E" w:rsidRPr="00D03AA1" w:rsidTr="00D4444E">
              <w:trPr>
                <w:trHeight w:val="397"/>
                <w:jc w:val="center"/>
              </w:trPr>
              <w:tc>
                <w:tcPr>
                  <w:tcW w:w="1134" w:type="dxa"/>
                  <w:tcBorders>
                    <w:top w:val="nil"/>
                    <w:left w:val="nil"/>
                    <w:bottom w:val="nil"/>
                    <w:right w:val="nil"/>
                  </w:tcBorders>
                  <w:shd w:val="clear" w:color="auto" w:fill="auto"/>
                  <w:noWrap/>
                  <w:vAlign w:val="center"/>
                  <w:hideMark/>
                </w:tcPr>
                <w:p w:rsidR="00D4444E" w:rsidRPr="00D03AA1" w:rsidRDefault="00D4444E" w:rsidP="00654171">
                  <w:pPr>
                    <w:jc w:val="left"/>
                    <w:rPr>
                      <w:rFonts w:ascii="Arial" w:eastAsia="Times New Roman" w:hAnsi="Arial" w:cs="Arial"/>
                      <w:color w:val="000000"/>
                      <w:sz w:val="14"/>
                      <w:szCs w:val="14"/>
                      <w:lang w:eastAsia="es-EC"/>
                    </w:rPr>
                  </w:pPr>
                  <w:r w:rsidRPr="00D03AA1">
                    <w:rPr>
                      <w:rFonts w:ascii="Arial" w:eastAsia="Times New Roman" w:hAnsi="Arial" w:cs="Arial"/>
                      <w:color w:val="000000"/>
                      <w:sz w:val="14"/>
                      <w:szCs w:val="14"/>
                      <w:lang w:eastAsia="es-EC"/>
                    </w:rPr>
                    <w:t>Género (X</w:t>
                  </w:r>
                  <w:r w:rsidRPr="00D03AA1">
                    <w:rPr>
                      <w:rFonts w:ascii="Arial" w:eastAsia="Times New Roman" w:hAnsi="Arial" w:cs="Arial"/>
                      <w:color w:val="000000"/>
                      <w:sz w:val="14"/>
                      <w:szCs w:val="14"/>
                      <w:vertAlign w:val="subscript"/>
                      <w:lang w:eastAsia="es-EC"/>
                    </w:rPr>
                    <w:t>2</w:t>
                  </w:r>
                  <w:r w:rsidRPr="00D03AA1">
                    <w:rPr>
                      <w:rFonts w:ascii="Arial" w:eastAsia="Times New Roman" w:hAnsi="Arial" w:cs="Arial"/>
                      <w:color w:val="000000"/>
                      <w:sz w:val="14"/>
                      <w:szCs w:val="14"/>
                      <w:lang w:eastAsia="es-EC"/>
                    </w:rPr>
                    <w:t>)</w:t>
                  </w:r>
                </w:p>
              </w:tc>
              <w:tc>
                <w:tcPr>
                  <w:tcW w:w="964" w:type="dxa"/>
                  <w:tcBorders>
                    <w:top w:val="nil"/>
                    <w:left w:val="nil"/>
                    <w:bottom w:val="nil"/>
                    <w:right w:val="nil"/>
                  </w:tcBorders>
                  <w:shd w:val="clear" w:color="auto" w:fill="auto"/>
                  <w:noWrap/>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0.889</w:t>
                  </w:r>
                </w:p>
              </w:tc>
              <w:tc>
                <w:tcPr>
                  <w:tcW w:w="3515" w:type="dxa"/>
                  <w:tcBorders>
                    <w:top w:val="nil"/>
                    <w:left w:val="nil"/>
                    <w:bottom w:val="nil"/>
                    <w:right w:val="nil"/>
                  </w:tcBorders>
                  <w:shd w:val="clear" w:color="auto" w:fill="auto"/>
                  <w:vAlign w:val="center"/>
                  <w:hideMark/>
                </w:tcPr>
                <w:p w:rsidR="00D4444E" w:rsidRPr="00D03AA1" w:rsidRDefault="00D4444E" w:rsidP="00D4444E">
                  <w:pPr>
                    <w:jc w:val="left"/>
                    <w:rPr>
                      <w:rFonts w:ascii="Arial" w:hAnsi="Arial" w:cs="Arial"/>
                      <w:color w:val="000000"/>
                      <w:sz w:val="14"/>
                      <w:szCs w:val="14"/>
                    </w:rPr>
                  </w:pPr>
                  <w:r>
                    <w:rPr>
                      <w:rFonts w:ascii="Arial" w:hAnsi="Arial" w:cs="Arial"/>
                      <w:color w:val="000000"/>
                      <w:sz w:val="14"/>
                      <w:szCs w:val="14"/>
                    </w:rPr>
                    <w:t>Una persona e</w:t>
                  </w:r>
                  <w:r w:rsidRPr="00D03AA1">
                    <w:rPr>
                      <w:rFonts w:ascii="Arial" w:hAnsi="Arial" w:cs="Arial"/>
                      <w:color w:val="000000"/>
                      <w:sz w:val="14"/>
                      <w:szCs w:val="14"/>
                    </w:rPr>
                    <w:t>s 0.</w:t>
                  </w:r>
                  <w:r>
                    <w:rPr>
                      <w:rFonts w:ascii="Arial" w:hAnsi="Arial" w:cs="Arial"/>
                      <w:color w:val="000000"/>
                      <w:sz w:val="14"/>
                      <w:szCs w:val="14"/>
                    </w:rPr>
                    <w:t>889</w:t>
                  </w:r>
                  <w:r w:rsidRPr="00D03AA1">
                    <w:rPr>
                      <w:rFonts w:ascii="Arial" w:hAnsi="Arial" w:cs="Arial"/>
                      <w:color w:val="000000"/>
                      <w:sz w:val="14"/>
                      <w:szCs w:val="14"/>
                    </w:rPr>
                    <w:t xml:space="preserve"> más </w:t>
                  </w:r>
                  <w:r>
                    <w:rPr>
                      <w:rFonts w:ascii="Arial" w:hAnsi="Arial" w:cs="Arial"/>
                      <w:color w:val="000000"/>
                      <w:sz w:val="14"/>
                      <w:szCs w:val="14"/>
                    </w:rPr>
                    <w:t>propenso</w:t>
                  </w:r>
                  <w:r w:rsidRPr="00D03AA1">
                    <w:rPr>
                      <w:rFonts w:ascii="Arial" w:hAnsi="Arial" w:cs="Arial"/>
                      <w:color w:val="000000"/>
                      <w:sz w:val="14"/>
                      <w:szCs w:val="14"/>
                    </w:rPr>
                    <w:t xml:space="preserve"> </w:t>
                  </w:r>
                  <w:r>
                    <w:rPr>
                      <w:rFonts w:ascii="Arial" w:hAnsi="Arial" w:cs="Arial"/>
                      <w:color w:val="000000"/>
                      <w:sz w:val="14"/>
                      <w:szCs w:val="14"/>
                    </w:rPr>
                    <w:t>a ser</w:t>
                  </w:r>
                  <w:r w:rsidRPr="00D03AA1">
                    <w:rPr>
                      <w:rFonts w:ascii="Arial" w:hAnsi="Arial" w:cs="Arial"/>
                      <w:color w:val="000000"/>
                      <w:sz w:val="14"/>
                      <w:szCs w:val="14"/>
                    </w:rPr>
                    <w:t xml:space="preserve"> inmigrante si es hombre en relación a ser mujer</w:t>
                  </w:r>
                </w:p>
              </w:tc>
              <w:tc>
                <w:tcPr>
                  <w:tcW w:w="794" w:type="dxa"/>
                  <w:tcBorders>
                    <w:top w:val="nil"/>
                    <w:left w:val="nil"/>
                    <w:bottom w:val="nil"/>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0.833</w:t>
                  </w:r>
                </w:p>
              </w:tc>
              <w:tc>
                <w:tcPr>
                  <w:tcW w:w="794" w:type="dxa"/>
                  <w:tcBorders>
                    <w:top w:val="nil"/>
                    <w:left w:val="nil"/>
                    <w:bottom w:val="nil"/>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0.949</w:t>
                  </w:r>
                </w:p>
              </w:tc>
            </w:tr>
            <w:tr w:rsidR="00D4444E" w:rsidRPr="00D03AA1" w:rsidTr="00D4444E">
              <w:trPr>
                <w:trHeight w:val="624"/>
                <w:jc w:val="center"/>
              </w:trPr>
              <w:tc>
                <w:tcPr>
                  <w:tcW w:w="1134" w:type="dxa"/>
                  <w:tcBorders>
                    <w:top w:val="nil"/>
                    <w:left w:val="nil"/>
                    <w:bottom w:val="nil"/>
                    <w:right w:val="nil"/>
                  </w:tcBorders>
                  <w:shd w:val="clear" w:color="auto" w:fill="auto"/>
                  <w:noWrap/>
                  <w:vAlign w:val="center"/>
                  <w:hideMark/>
                </w:tcPr>
                <w:p w:rsidR="00D4444E" w:rsidRPr="00D03AA1" w:rsidRDefault="00D4444E" w:rsidP="00654171">
                  <w:pPr>
                    <w:jc w:val="left"/>
                    <w:rPr>
                      <w:rFonts w:ascii="Arial" w:eastAsia="Times New Roman" w:hAnsi="Arial" w:cs="Arial"/>
                      <w:color w:val="000000"/>
                      <w:sz w:val="14"/>
                      <w:szCs w:val="14"/>
                      <w:lang w:eastAsia="es-EC"/>
                    </w:rPr>
                  </w:pPr>
                  <w:r w:rsidRPr="00D03AA1">
                    <w:rPr>
                      <w:rFonts w:ascii="Arial" w:eastAsia="Times New Roman" w:hAnsi="Arial" w:cs="Arial"/>
                      <w:color w:val="000000"/>
                      <w:sz w:val="14"/>
                      <w:szCs w:val="14"/>
                      <w:lang w:eastAsia="es-EC"/>
                    </w:rPr>
                    <w:t>Área de residencia (X</w:t>
                  </w:r>
                  <w:r w:rsidRPr="00D03AA1">
                    <w:rPr>
                      <w:rFonts w:ascii="Arial" w:eastAsia="Times New Roman" w:hAnsi="Arial" w:cs="Arial"/>
                      <w:color w:val="000000"/>
                      <w:sz w:val="14"/>
                      <w:szCs w:val="14"/>
                      <w:vertAlign w:val="subscript"/>
                      <w:lang w:eastAsia="es-EC"/>
                    </w:rPr>
                    <w:t>3</w:t>
                  </w:r>
                  <w:r w:rsidRPr="00D03AA1">
                    <w:rPr>
                      <w:rFonts w:ascii="Arial" w:eastAsia="Times New Roman" w:hAnsi="Arial" w:cs="Arial"/>
                      <w:color w:val="000000"/>
                      <w:sz w:val="14"/>
                      <w:szCs w:val="14"/>
                      <w:lang w:eastAsia="es-EC"/>
                    </w:rPr>
                    <w:t>)</w:t>
                  </w:r>
                </w:p>
              </w:tc>
              <w:tc>
                <w:tcPr>
                  <w:tcW w:w="964" w:type="dxa"/>
                  <w:tcBorders>
                    <w:top w:val="nil"/>
                    <w:left w:val="nil"/>
                    <w:bottom w:val="nil"/>
                    <w:right w:val="nil"/>
                  </w:tcBorders>
                  <w:shd w:val="clear" w:color="auto" w:fill="auto"/>
                  <w:noWrap/>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0.999</w:t>
                  </w:r>
                </w:p>
              </w:tc>
              <w:tc>
                <w:tcPr>
                  <w:tcW w:w="3515" w:type="dxa"/>
                  <w:tcBorders>
                    <w:top w:val="nil"/>
                    <w:left w:val="nil"/>
                    <w:bottom w:val="nil"/>
                    <w:right w:val="nil"/>
                  </w:tcBorders>
                  <w:shd w:val="clear" w:color="auto" w:fill="auto"/>
                  <w:vAlign w:val="center"/>
                  <w:hideMark/>
                </w:tcPr>
                <w:p w:rsidR="00D4444E" w:rsidRPr="00D03AA1" w:rsidRDefault="00D4444E" w:rsidP="00D4444E">
                  <w:pPr>
                    <w:jc w:val="left"/>
                    <w:rPr>
                      <w:rFonts w:ascii="Arial" w:hAnsi="Arial" w:cs="Arial"/>
                      <w:color w:val="000000"/>
                      <w:sz w:val="14"/>
                      <w:szCs w:val="14"/>
                    </w:rPr>
                  </w:pPr>
                  <w:r>
                    <w:rPr>
                      <w:rFonts w:ascii="Arial" w:hAnsi="Arial" w:cs="Arial"/>
                      <w:color w:val="000000"/>
                      <w:sz w:val="14"/>
                      <w:szCs w:val="14"/>
                    </w:rPr>
                    <w:t>Es 0.999</w:t>
                  </w:r>
                  <w:r w:rsidRPr="00D03AA1">
                    <w:rPr>
                      <w:rFonts w:ascii="Arial" w:hAnsi="Arial" w:cs="Arial"/>
                      <w:color w:val="000000"/>
                      <w:sz w:val="14"/>
                      <w:szCs w:val="14"/>
                    </w:rPr>
                    <w:t xml:space="preserve"> la </w:t>
                  </w:r>
                  <w:r>
                    <w:rPr>
                      <w:rFonts w:ascii="Arial" w:hAnsi="Arial" w:cs="Arial"/>
                      <w:color w:val="000000"/>
                      <w:sz w:val="14"/>
                      <w:szCs w:val="14"/>
                    </w:rPr>
                    <w:t>propensión</w:t>
                  </w:r>
                  <w:r w:rsidRPr="00D03AA1">
                    <w:rPr>
                      <w:rFonts w:ascii="Arial" w:hAnsi="Arial" w:cs="Arial"/>
                      <w:color w:val="000000"/>
                      <w:sz w:val="14"/>
                      <w:szCs w:val="14"/>
                    </w:rPr>
                    <w:t xml:space="preserve"> de que una persona que vive en el área urbana sea inmigrante respecto a los que viven en el área rural</w:t>
                  </w:r>
                </w:p>
              </w:tc>
              <w:tc>
                <w:tcPr>
                  <w:tcW w:w="794" w:type="dxa"/>
                  <w:tcBorders>
                    <w:top w:val="nil"/>
                    <w:left w:val="nil"/>
                    <w:bottom w:val="nil"/>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0.835</w:t>
                  </w:r>
                </w:p>
              </w:tc>
              <w:tc>
                <w:tcPr>
                  <w:tcW w:w="794" w:type="dxa"/>
                  <w:tcBorders>
                    <w:top w:val="nil"/>
                    <w:left w:val="nil"/>
                    <w:bottom w:val="nil"/>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1.196</w:t>
                  </w:r>
                </w:p>
              </w:tc>
            </w:tr>
            <w:tr w:rsidR="00D4444E" w:rsidRPr="00D03AA1" w:rsidTr="00D4444E">
              <w:trPr>
                <w:trHeight w:val="397"/>
                <w:jc w:val="center"/>
              </w:trPr>
              <w:tc>
                <w:tcPr>
                  <w:tcW w:w="1134" w:type="dxa"/>
                  <w:tcBorders>
                    <w:top w:val="nil"/>
                    <w:left w:val="nil"/>
                    <w:bottom w:val="nil"/>
                    <w:right w:val="nil"/>
                  </w:tcBorders>
                  <w:shd w:val="clear" w:color="auto" w:fill="auto"/>
                  <w:noWrap/>
                  <w:vAlign w:val="center"/>
                  <w:hideMark/>
                </w:tcPr>
                <w:p w:rsidR="00D4444E" w:rsidRPr="00D03AA1" w:rsidRDefault="00D4444E" w:rsidP="00654171">
                  <w:pPr>
                    <w:jc w:val="left"/>
                    <w:rPr>
                      <w:rFonts w:ascii="Arial" w:eastAsia="Times New Roman" w:hAnsi="Arial" w:cs="Arial"/>
                      <w:color w:val="000000"/>
                      <w:sz w:val="14"/>
                      <w:szCs w:val="14"/>
                      <w:lang w:eastAsia="es-EC"/>
                    </w:rPr>
                  </w:pPr>
                  <w:r w:rsidRPr="00D03AA1">
                    <w:rPr>
                      <w:rFonts w:ascii="Arial" w:eastAsia="Times New Roman" w:hAnsi="Arial" w:cs="Arial"/>
                      <w:color w:val="000000"/>
                      <w:sz w:val="14"/>
                      <w:szCs w:val="14"/>
                      <w:lang w:eastAsia="es-EC"/>
                    </w:rPr>
                    <w:t>Estado conyugal (X</w:t>
                  </w:r>
                  <w:r w:rsidRPr="00D03AA1">
                    <w:rPr>
                      <w:rFonts w:ascii="Arial" w:eastAsia="Times New Roman" w:hAnsi="Arial" w:cs="Arial"/>
                      <w:color w:val="000000"/>
                      <w:sz w:val="14"/>
                      <w:szCs w:val="14"/>
                      <w:vertAlign w:val="subscript"/>
                      <w:lang w:eastAsia="es-EC"/>
                    </w:rPr>
                    <w:t>4</w:t>
                  </w:r>
                  <w:r w:rsidRPr="00D03AA1">
                    <w:rPr>
                      <w:rFonts w:ascii="Arial" w:eastAsia="Times New Roman" w:hAnsi="Arial" w:cs="Arial"/>
                      <w:color w:val="000000"/>
                      <w:sz w:val="14"/>
                      <w:szCs w:val="14"/>
                      <w:lang w:eastAsia="es-EC"/>
                    </w:rPr>
                    <w:t>)</w:t>
                  </w:r>
                </w:p>
              </w:tc>
              <w:tc>
                <w:tcPr>
                  <w:tcW w:w="964" w:type="dxa"/>
                  <w:tcBorders>
                    <w:top w:val="nil"/>
                    <w:left w:val="nil"/>
                    <w:bottom w:val="nil"/>
                    <w:right w:val="nil"/>
                  </w:tcBorders>
                  <w:shd w:val="clear" w:color="auto" w:fill="auto"/>
                  <w:noWrap/>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1.437</w:t>
                  </w:r>
                </w:p>
              </w:tc>
              <w:tc>
                <w:tcPr>
                  <w:tcW w:w="3515" w:type="dxa"/>
                  <w:tcBorders>
                    <w:top w:val="nil"/>
                    <w:left w:val="nil"/>
                    <w:bottom w:val="nil"/>
                    <w:right w:val="nil"/>
                  </w:tcBorders>
                  <w:shd w:val="clear" w:color="auto" w:fill="auto"/>
                  <w:vAlign w:val="center"/>
                  <w:hideMark/>
                </w:tcPr>
                <w:p w:rsidR="00D4444E" w:rsidRPr="00D03AA1" w:rsidRDefault="00D4444E" w:rsidP="00D4444E">
                  <w:pPr>
                    <w:jc w:val="left"/>
                    <w:rPr>
                      <w:rFonts w:ascii="Arial" w:hAnsi="Arial" w:cs="Arial"/>
                      <w:color w:val="000000"/>
                      <w:sz w:val="14"/>
                      <w:szCs w:val="14"/>
                    </w:rPr>
                  </w:pPr>
                  <w:r>
                    <w:rPr>
                      <w:rFonts w:ascii="Arial" w:hAnsi="Arial" w:cs="Arial"/>
                      <w:color w:val="000000"/>
                      <w:sz w:val="14"/>
                      <w:szCs w:val="14"/>
                    </w:rPr>
                    <w:t>Una persona e</w:t>
                  </w:r>
                  <w:r w:rsidRPr="00D03AA1">
                    <w:rPr>
                      <w:rFonts w:ascii="Arial" w:hAnsi="Arial" w:cs="Arial"/>
                      <w:color w:val="000000"/>
                      <w:sz w:val="14"/>
                      <w:szCs w:val="14"/>
                    </w:rPr>
                    <w:t>s 1.</w:t>
                  </w:r>
                  <w:r>
                    <w:rPr>
                      <w:rFonts w:ascii="Arial" w:hAnsi="Arial" w:cs="Arial"/>
                      <w:color w:val="000000"/>
                      <w:sz w:val="14"/>
                      <w:szCs w:val="14"/>
                    </w:rPr>
                    <w:t>437</w:t>
                  </w:r>
                  <w:r w:rsidRPr="00D03AA1">
                    <w:rPr>
                      <w:rFonts w:ascii="Arial" w:hAnsi="Arial" w:cs="Arial"/>
                      <w:color w:val="000000"/>
                      <w:sz w:val="14"/>
                      <w:szCs w:val="14"/>
                    </w:rPr>
                    <w:t xml:space="preserve"> veces más </w:t>
                  </w:r>
                  <w:r>
                    <w:rPr>
                      <w:rFonts w:ascii="Arial" w:hAnsi="Arial" w:cs="Arial"/>
                      <w:color w:val="000000"/>
                      <w:sz w:val="14"/>
                      <w:szCs w:val="14"/>
                    </w:rPr>
                    <w:t>propenso</w:t>
                  </w:r>
                  <w:r w:rsidRPr="00D03AA1">
                    <w:rPr>
                      <w:rFonts w:ascii="Arial" w:hAnsi="Arial" w:cs="Arial"/>
                      <w:color w:val="000000"/>
                      <w:sz w:val="14"/>
                      <w:szCs w:val="14"/>
                    </w:rPr>
                    <w:t xml:space="preserve"> </w:t>
                  </w:r>
                  <w:r>
                    <w:rPr>
                      <w:rFonts w:ascii="Arial" w:hAnsi="Arial" w:cs="Arial"/>
                      <w:color w:val="000000"/>
                      <w:sz w:val="14"/>
                      <w:szCs w:val="14"/>
                    </w:rPr>
                    <w:t>a ser</w:t>
                  </w:r>
                  <w:r w:rsidRPr="00D03AA1">
                    <w:rPr>
                      <w:rFonts w:ascii="Arial" w:hAnsi="Arial" w:cs="Arial"/>
                      <w:color w:val="000000"/>
                      <w:sz w:val="14"/>
                      <w:szCs w:val="14"/>
                    </w:rPr>
                    <w:t xml:space="preserve"> inmigrante si está casado</w:t>
                  </w:r>
                </w:p>
              </w:tc>
              <w:tc>
                <w:tcPr>
                  <w:tcW w:w="794" w:type="dxa"/>
                  <w:tcBorders>
                    <w:top w:val="nil"/>
                    <w:left w:val="nil"/>
                    <w:bottom w:val="nil"/>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1.347</w:t>
                  </w:r>
                </w:p>
              </w:tc>
              <w:tc>
                <w:tcPr>
                  <w:tcW w:w="794" w:type="dxa"/>
                  <w:tcBorders>
                    <w:top w:val="nil"/>
                    <w:left w:val="nil"/>
                    <w:bottom w:val="nil"/>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1.532</w:t>
                  </w:r>
                </w:p>
              </w:tc>
            </w:tr>
            <w:tr w:rsidR="00D4444E" w:rsidRPr="00D03AA1" w:rsidTr="00D4444E">
              <w:trPr>
                <w:trHeight w:val="397"/>
                <w:jc w:val="center"/>
              </w:trPr>
              <w:tc>
                <w:tcPr>
                  <w:tcW w:w="1134" w:type="dxa"/>
                  <w:tcBorders>
                    <w:top w:val="nil"/>
                    <w:left w:val="nil"/>
                    <w:bottom w:val="nil"/>
                    <w:right w:val="nil"/>
                  </w:tcBorders>
                  <w:shd w:val="clear" w:color="auto" w:fill="auto"/>
                  <w:noWrap/>
                  <w:vAlign w:val="center"/>
                  <w:hideMark/>
                </w:tcPr>
                <w:p w:rsidR="00D4444E" w:rsidRPr="00D03AA1" w:rsidRDefault="00D4444E" w:rsidP="00654171">
                  <w:pPr>
                    <w:jc w:val="left"/>
                    <w:rPr>
                      <w:rFonts w:ascii="Arial" w:eastAsia="Times New Roman" w:hAnsi="Arial" w:cs="Arial"/>
                      <w:color w:val="000000"/>
                      <w:sz w:val="14"/>
                      <w:szCs w:val="14"/>
                      <w:lang w:eastAsia="es-EC"/>
                    </w:rPr>
                  </w:pPr>
                  <w:r w:rsidRPr="00D03AA1">
                    <w:rPr>
                      <w:rFonts w:ascii="Arial" w:eastAsia="Times New Roman" w:hAnsi="Arial" w:cs="Arial"/>
                      <w:color w:val="000000"/>
                      <w:sz w:val="14"/>
                      <w:szCs w:val="14"/>
                      <w:lang w:eastAsia="es-EC"/>
                    </w:rPr>
                    <w:t>Instrucción (X</w:t>
                  </w:r>
                  <w:r w:rsidRPr="00D03AA1">
                    <w:rPr>
                      <w:rFonts w:ascii="Arial" w:eastAsia="Times New Roman" w:hAnsi="Arial" w:cs="Arial"/>
                      <w:color w:val="000000"/>
                      <w:sz w:val="14"/>
                      <w:szCs w:val="14"/>
                      <w:vertAlign w:val="subscript"/>
                      <w:lang w:eastAsia="es-EC"/>
                    </w:rPr>
                    <w:t>5</w:t>
                  </w:r>
                  <w:r w:rsidRPr="00D03AA1">
                    <w:rPr>
                      <w:rFonts w:ascii="Arial" w:eastAsia="Times New Roman" w:hAnsi="Arial" w:cs="Arial"/>
                      <w:color w:val="000000"/>
                      <w:sz w:val="14"/>
                      <w:szCs w:val="14"/>
                      <w:lang w:eastAsia="es-EC"/>
                    </w:rPr>
                    <w:t>)</w:t>
                  </w:r>
                </w:p>
              </w:tc>
              <w:tc>
                <w:tcPr>
                  <w:tcW w:w="964" w:type="dxa"/>
                  <w:tcBorders>
                    <w:top w:val="nil"/>
                    <w:left w:val="nil"/>
                    <w:bottom w:val="nil"/>
                    <w:right w:val="nil"/>
                  </w:tcBorders>
                  <w:shd w:val="clear" w:color="auto" w:fill="auto"/>
                  <w:noWrap/>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0.826</w:t>
                  </w:r>
                </w:p>
              </w:tc>
              <w:tc>
                <w:tcPr>
                  <w:tcW w:w="3515" w:type="dxa"/>
                  <w:tcBorders>
                    <w:top w:val="nil"/>
                    <w:left w:val="nil"/>
                    <w:bottom w:val="nil"/>
                    <w:right w:val="nil"/>
                  </w:tcBorders>
                  <w:shd w:val="clear" w:color="auto" w:fill="auto"/>
                  <w:vAlign w:val="center"/>
                  <w:hideMark/>
                </w:tcPr>
                <w:p w:rsidR="00D4444E" w:rsidRPr="00D03AA1" w:rsidRDefault="00D4444E" w:rsidP="00D4444E">
                  <w:pPr>
                    <w:jc w:val="left"/>
                    <w:rPr>
                      <w:rFonts w:ascii="Arial" w:hAnsi="Arial" w:cs="Arial"/>
                      <w:color w:val="000000"/>
                      <w:sz w:val="14"/>
                      <w:szCs w:val="14"/>
                    </w:rPr>
                  </w:pPr>
                  <w:r w:rsidRPr="00D03AA1">
                    <w:rPr>
                      <w:rFonts w:ascii="Arial" w:hAnsi="Arial" w:cs="Arial"/>
                      <w:color w:val="000000"/>
                      <w:sz w:val="14"/>
                      <w:szCs w:val="14"/>
                    </w:rPr>
                    <w:t>Es 0.</w:t>
                  </w:r>
                  <w:r>
                    <w:rPr>
                      <w:rFonts w:ascii="Arial" w:hAnsi="Arial" w:cs="Arial"/>
                      <w:color w:val="000000"/>
                      <w:sz w:val="14"/>
                      <w:szCs w:val="14"/>
                    </w:rPr>
                    <w:t>826</w:t>
                  </w:r>
                  <w:r w:rsidRPr="00D03AA1">
                    <w:rPr>
                      <w:rFonts w:ascii="Arial" w:hAnsi="Arial" w:cs="Arial"/>
                      <w:color w:val="000000"/>
                      <w:sz w:val="14"/>
                      <w:szCs w:val="14"/>
                    </w:rPr>
                    <w:t xml:space="preserve"> la </w:t>
                  </w:r>
                  <w:r>
                    <w:rPr>
                      <w:rFonts w:ascii="Arial" w:hAnsi="Arial" w:cs="Arial"/>
                      <w:color w:val="000000"/>
                      <w:sz w:val="14"/>
                      <w:szCs w:val="14"/>
                    </w:rPr>
                    <w:t>propensión</w:t>
                  </w:r>
                  <w:r w:rsidRPr="00D03AA1">
                    <w:rPr>
                      <w:rFonts w:ascii="Arial" w:hAnsi="Arial" w:cs="Arial"/>
                      <w:color w:val="000000"/>
                      <w:sz w:val="14"/>
                      <w:szCs w:val="14"/>
                    </w:rPr>
                    <w:t xml:space="preserve"> de que una persona sea inmigrante si tiene instrucción </w:t>
                  </w:r>
                  <w:r>
                    <w:rPr>
                      <w:rFonts w:ascii="Arial" w:hAnsi="Arial" w:cs="Arial"/>
                      <w:color w:val="000000"/>
                      <w:sz w:val="14"/>
                      <w:szCs w:val="14"/>
                    </w:rPr>
                    <w:t>inferior</w:t>
                  </w:r>
                  <w:r w:rsidRPr="00D03AA1">
                    <w:rPr>
                      <w:rFonts w:ascii="Arial" w:hAnsi="Arial" w:cs="Arial"/>
                      <w:color w:val="000000"/>
                      <w:sz w:val="14"/>
                      <w:szCs w:val="14"/>
                    </w:rPr>
                    <w:t xml:space="preserve"> a la primaria</w:t>
                  </w:r>
                </w:p>
              </w:tc>
              <w:tc>
                <w:tcPr>
                  <w:tcW w:w="794" w:type="dxa"/>
                  <w:tcBorders>
                    <w:top w:val="nil"/>
                    <w:left w:val="nil"/>
                    <w:bottom w:val="nil"/>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0.733</w:t>
                  </w:r>
                </w:p>
              </w:tc>
              <w:tc>
                <w:tcPr>
                  <w:tcW w:w="794" w:type="dxa"/>
                  <w:tcBorders>
                    <w:top w:val="nil"/>
                    <w:left w:val="nil"/>
                    <w:bottom w:val="nil"/>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0.931</w:t>
                  </w:r>
                </w:p>
              </w:tc>
            </w:tr>
            <w:tr w:rsidR="00D4444E" w:rsidRPr="00D03AA1" w:rsidTr="00D4444E">
              <w:trPr>
                <w:trHeight w:val="397"/>
                <w:jc w:val="center"/>
              </w:trPr>
              <w:tc>
                <w:tcPr>
                  <w:tcW w:w="1134" w:type="dxa"/>
                  <w:tcBorders>
                    <w:top w:val="nil"/>
                    <w:left w:val="nil"/>
                    <w:bottom w:val="nil"/>
                    <w:right w:val="nil"/>
                  </w:tcBorders>
                  <w:shd w:val="clear" w:color="auto" w:fill="auto"/>
                  <w:noWrap/>
                  <w:vAlign w:val="center"/>
                  <w:hideMark/>
                </w:tcPr>
                <w:p w:rsidR="00D4444E" w:rsidRPr="00D03AA1" w:rsidRDefault="00D4444E" w:rsidP="00654171">
                  <w:pPr>
                    <w:jc w:val="left"/>
                    <w:rPr>
                      <w:rFonts w:ascii="Arial" w:eastAsia="Times New Roman" w:hAnsi="Arial" w:cs="Arial"/>
                      <w:color w:val="000000"/>
                      <w:sz w:val="14"/>
                      <w:szCs w:val="14"/>
                      <w:lang w:eastAsia="es-EC"/>
                    </w:rPr>
                  </w:pPr>
                  <w:r w:rsidRPr="00D03AA1">
                    <w:rPr>
                      <w:rFonts w:ascii="Arial" w:eastAsia="Times New Roman" w:hAnsi="Arial" w:cs="Arial"/>
                      <w:color w:val="000000"/>
                      <w:sz w:val="14"/>
                      <w:szCs w:val="14"/>
                      <w:lang w:eastAsia="es-EC"/>
                    </w:rPr>
                    <w:t>Tipo de vivienda (X</w:t>
                  </w:r>
                  <w:r w:rsidRPr="00D03AA1">
                    <w:rPr>
                      <w:rFonts w:ascii="Arial" w:eastAsia="Times New Roman" w:hAnsi="Arial" w:cs="Arial"/>
                      <w:color w:val="000000"/>
                      <w:sz w:val="14"/>
                      <w:szCs w:val="14"/>
                      <w:vertAlign w:val="subscript"/>
                      <w:lang w:eastAsia="es-EC"/>
                    </w:rPr>
                    <w:t>6</w:t>
                  </w:r>
                  <w:r w:rsidRPr="00D03AA1">
                    <w:rPr>
                      <w:rFonts w:ascii="Arial" w:eastAsia="Times New Roman" w:hAnsi="Arial" w:cs="Arial"/>
                      <w:color w:val="000000"/>
                      <w:sz w:val="14"/>
                      <w:szCs w:val="14"/>
                      <w:lang w:eastAsia="es-EC"/>
                    </w:rPr>
                    <w:t>)</w:t>
                  </w:r>
                </w:p>
              </w:tc>
              <w:tc>
                <w:tcPr>
                  <w:tcW w:w="964" w:type="dxa"/>
                  <w:tcBorders>
                    <w:top w:val="nil"/>
                    <w:left w:val="nil"/>
                    <w:bottom w:val="nil"/>
                    <w:right w:val="nil"/>
                  </w:tcBorders>
                  <w:shd w:val="clear" w:color="auto" w:fill="auto"/>
                  <w:noWrap/>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0.612</w:t>
                  </w:r>
                </w:p>
              </w:tc>
              <w:tc>
                <w:tcPr>
                  <w:tcW w:w="3515" w:type="dxa"/>
                  <w:tcBorders>
                    <w:top w:val="nil"/>
                    <w:left w:val="nil"/>
                    <w:bottom w:val="nil"/>
                    <w:right w:val="nil"/>
                  </w:tcBorders>
                  <w:shd w:val="clear" w:color="auto" w:fill="auto"/>
                  <w:vAlign w:val="center"/>
                  <w:hideMark/>
                </w:tcPr>
                <w:p w:rsidR="00D4444E" w:rsidRPr="00D03AA1" w:rsidRDefault="00D4444E" w:rsidP="00D4444E">
                  <w:pPr>
                    <w:jc w:val="left"/>
                    <w:rPr>
                      <w:rFonts w:ascii="Arial" w:hAnsi="Arial" w:cs="Arial"/>
                      <w:color w:val="000000"/>
                      <w:sz w:val="14"/>
                      <w:szCs w:val="14"/>
                    </w:rPr>
                  </w:pPr>
                  <w:r>
                    <w:rPr>
                      <w:rFonts w:ascii="Arial" w:hAnsi="Arial" w:cs="Arial"/>
                      <w:color w:val="000000"/>
                      <w:sz w:val="14"/>
                      <w:szCs w:val="14"/>
                    </w:rPr>
                    <w:t>Una persona e</w:t>
                  </w:r>
                  <w:r w:rsidRPr="00D03AA1">
                    <w:rPr>
                      <w:rFonts w:ascii="Arial" w:hAnsi="Arial" w:cs="Arial"/>
                      <w:color w:val="000000"/>
                      <w:sz w:val="14"/>
                      <w:szCs w:val="14"/>
                    </w:rPr>
                    <w:t>s 0.</w:t>
                  </w:r>
                  <w:r>
                    <w:rPr>
                      <w:rFonts w:ascii="Arial" w:hAnsi="Arial" w:cs="Arial"/>
                      <w:color w:val="000000"/>
                      <w:sz w:val="14"/>
                      <w:szCs w:val="14"/>
                    </w:rPr>
                    <w:t>612</w:t>
                  </w:r>
                  <w:r w:rsidRPr="00D03AA1">
                    <w:rPr>
                      <w:rFonts w:ascii="Arial" w:hAnsi="Arial" w:cs="Arial"/>
                      <w:color w:val="000000"/>
                      <w:sz w:val="14"/>
                      <w:szCs w:val="14"/>
                    </w:rPr>
                    <w:t xml:space="preserve"> veces más </w:t>
                  </w:r>
                  <w:r>
                    <w:rPr>
                      <w:rFonts w:ascii="Arial" w:hAnsi="Arial" w:cs="Arial"/>
                      <w:color w:val="000000"/>
                      <w:sz w:val="14"/>
                      <w:szCs w:val="14"/>
                    </w:rPr>
                    <w:t>propenso a ser</w:t>
                  </w:r>
                  <w:r w:rsidRPr="00D03AA1">
                    <w:rPr>
                      <w:rFonts w:ascii="Arial" w:hAnsi="Arial" w:cs="Arial"/>
                      <w:color w:val="000000"/>
                      <w:sz w:val="14"/>
                      <w:szCs w:val="14"/>
                    </w:rPr>
                    <w:t xml:space="preserve"> inmigrante si vive en una vivienda </w:t>
                  </w:r>
                  <w:r>
                    <w:rPr>
                      <w:rFonts w:ascii="Arial" w:hAnsi="Arial" w:cs="Arial"/>
                      <w:color w:val="000000"/>
                      <w:sz w:val="14"/>
                      <w:szCs w:val="14"/>
                    </w:rPr>
                    <w:t xml:space="preserve">no </w:t>
                  </w:r>
                  <w:r w:rsidRPr="00D03AA1">
                    <w:rPr>
                      <w:rFonts w:ascii="Arial" w:hAnsi="Arial" w:cs="Arial"/>
                      <w:color w:val="000000"/>
                      <w:sz w:val="14"/>
                      <w:szCs w:val="14"/>
                    </w:rPr>
                    <w:t>precaria</w:t>
                  </w:r>
                </w:p>
              </w:tc>
              <w:tc>
                <w:tcPr>
                  <w:tcW w:w="794" w:type="dxa"/>
                  <w:tcBorders>
                    <w:top w:val="nil"/>
                    <w:left w:val="nil"/>
                    <w:bottom w:val="nil"/>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0.549</w:t>
                  </w:r>
                </w:p>
              </w:tc>
              <w:tc>
                <w:tcPr>
                  <w:tcW w:w="794" w:type="dxa"/>
                  <w:tcBorders>
                    <w:top w:val="nil"/>
                    <w:left w:val="nil"/>
                    <w:bottom w:val="nil"/>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0.682</w:t>
                  </w:r>
                </w:p>
              </w:tc>
            </w:tr>
            <w:tr w:rsidR="00D4444E" w:rsidRPr="00D03AA1" w:rsidTr="00D4444E">
              <w:trPr>
                <w:trHeight w:val="397"/>
                <w:jc w:val="center"/>
              </w:trPr>
              <w:tc>
                <w:tcPr>
                  <w:tcW w:w="1134" w:type="dxa"/>
                  <w:tcBorders>
                    <w:top w:val="nil"/>
                    <w:left w:val="nil"/>
                    <w:bottom w:val="single" w:sz="4" w:space="0" w:color="auto"/>
                    <w:right w:val="nil"/>
                  </w:tcBorders>
                  <w:shd w:val="clear" w:color="auto" w:fill="auto"/>
                  <w:noWrap/>
                  <w:vAlign w:val="center"/>
                  <w:hideMark/>
                </w:tcPr>
                <w:p w:rsidR="00D4444E" w:rsidRPr="00D03AA1" w:rsidRDefault="00D4444E" w:rsidP="00654171">
                  <w:pPr>
                    <w:jc w:val="left"/>
                    <w:rPr>
                      <w:rFonts w:ascii="Arial" w:eastAsia="Times New Roman" w:hAnsi="Arial" w:cs="Arial"/>
                      <w:color w:val="000000"/>
                      <w:sz w:val="14"/>
                      <w:szCs w:val="14"/>
                      <w:lang w:eastAsia="es-EC"/>
                    </w:rPr>
                  </w:pPr>
                  <w:r w:rsidRPr="00D03AA1">
                    <w:rPr>
                      <w:rFonts w:ascii="Arial" w:eastAsia="Times New Roman" w:hAnsi="Arial" w:cs="Arial"/>
                      <w:color w:val="000000"/>
                      <w:sz w:val="14"/>
                      <w:szCs w:val="14"/>
                      <w:lang w:eastAsia="es-EC"/>
                    </w:rPr>
                    <w:t>Trabaja (X</w:t>
                  </w:r>
                  <w:r w:rsidRPr="00D03AA1">
                    <w:rPr>
                      <w:rFonts w:ascii="Arial" w:eastAsia="Times New Roman" w:hAnsi="Arial" w:cs="Arial"/>
                      <w:color w:val="000000"/>
                      <w:sz w:val="14"/>
                      <w:szCs w:val="14"/>
                      <w:vertAlign w:val="subscript"/>
                      <w:lang w:eastAsia="es-EC"/>
                    </w:rPr>
                    <w:t>7</w:t>
                  </w:r>
                  <w:r w:rsidRPr="00D03AA1">
                    <w:rPr>
                      <w:rFonts w:ascii="Arial" w:eastAsia="Times New Roman" w:hAnsi="Arial" w:cs="Arial"/>
                      <w:color w:val="000000"/>
                      <w:sz w:val="14"/>
                      <w:szCs w:val="14"/>
                      <w:lang w:eastAsia="es-EC"/>
                    </w:rPr>
                    <w:t>)</w:t>
                  </w:r>
                </w:p>
              </w:tc>
              <w:tc>
                <w:tcPr>
                  <w:tcW w:w="964" w:type="dxa"/>
                  <w:tcBorders>
                    <w:top w:val="nil"/>
                    <w:left w:val="nil"/>
                    <w:bottom w:val="single" w:sz="4" w:space="0" w:color="auto"/>
                    <w:right w:val="nil"/>
                  </w:tcBorders>
                  <w:shd w:val="clear" w:color="auto" w:fill="auto"/>
                  <w:noWrap/>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1.045</w:t>
                  </w:r>
                </w:p>
              </w:tc>
              <w:tc>
                <w:tcPr>
                  <w:tcW w:w="3515" w:type="dxa"/>
                  <w:tcBorders>
                    <w:top w:val="nil"/>
                    <w:left w:val="nil"/>
                    <w:bottom w:val="single" w:sz="4" w:space="0" w:color="auto"/>
                    <w:right w:val="nil"/>
                  </w:tcBorders>
                  <w:shd w:val="clear" w:color="auto" w:fill="auto"/>
                  <w:vAlign w:val="center"/>
                  <w:hideMark/>
                </w:tcPr>
                <w:p w:rsidR="00D4444E" w:rsidRPr="00D03AA1" w:rsidRDefault="00D4444E" w:rsidP="00D4444E">
                  <w:pPr>
                    <w:jc w:val="left"/>
                    <w:rPr>
                      <w:rFonts w:ascii="Arial" w:hAnsi="Arial" w:cs="Arial"/>
                      <w:color w:val="000000"/>
                      <w:sz w:val="14"/>
                      <w:szCs w:val="14"/>
                    </w:rPr>
                  </w:pPr>
                  <w:r>
                    <w:rPr>
                      <w:rFonts w:ascii="Arial" w:hAnsi="Arial" w:cs="Arial"/>
                      <w:color w:val="000000"/>
                      <w:sz w:val="14"/>
                      <w:szCs w:val="14"/>
                    </w:rPr>
                    <w:t>Es 1.045</w:t>
                  </w:r>
                  <w:r w:rsidRPr="00D03AA1">
                    <w:rPr>
                      <w:rFonts w:ascii="Arial" w:hAnsi="Arial" w:cs="Arial"/>
                      <w:color w:val="000000"/>
                      <w:sz w:val="14"/>
                      <w:szCs w:val="14"/>
                    </w:rPr>
                    <w:t xml:space="preserve"> la </w:t>
                  </w:r>
                  <w:r>
                    <w:rPr>
                      <w:rFonts w:ascii="Arial" w:hAnsi="Arial" w:cs="Arial"/>
                      <w:color w:val="000000"/>
                      <w:sz w:val="14"/>
                      <w:szCs w:val="14"/>
                    </w:rPr>
                    <w:t>propensión</w:t>
                  </w:r>
                  <w:r w:rsidRPr="00D03AA1">
                    <w:rPr>
                      <w:rFonts w:ascii="Arial" w:hAnsi="Arial" w:cs="Arial"/>
                      <w:color w:val="000000"/>
                      <w:sz w:val="14"/>
                      <w:szCs w:val="14"/>
                    </w:rPr>
                    <w:t xml:space="preserve"> de que una persona sea inmigrante si tiene trabajo</w:t>
                  </w:r>
                </w:p>
              </w:tc>
              <w:tc>
                <w:tcPr>
                  <w:tcW w:w="794" w:type="dxa"/>
                  <w:tcBorders>
                    <w:top w:val="nil"/>
                    <w:left w:val="nil"/>
                    <w:bottom w:val="single" w:sz="4" w:space="0" w:color="auto"/>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0.978</w:t>
                  </w:r>
                </w:p>
              </w:tc>
              <w:tc>
                <w:tcPr>
                  <w:tcW w:w="794" w:type="dxa"/>
                  <w:tcBorders>
                    <w:top w:val="nil"/>
                    <w:left w:val="nil"/>
                    <w:bottom w:val="single" w:sz="4" w:space="0" w:color="auto"/>
                    <w:right w:val="nil"/>
                  </w:tcBorders>
                  <w:vAlign w:val="center"/>
                </w:tcPr>
                <w:p w:rsidR="00D4444E" w:rsidRPr="00D4444E" w:rsidRDefault="00D4444E">
                  <w:pPr>
                    <w:rPr>
                      <w:rFonts w:ascii="Arial" w:hAnsi="Arial" w:cs="Arial"/>
                      <w:color w:val="000000"/>
                      <w:sz w:val="14"/>
                      <w:szCs w:val="14"/>
                    </w:rPr>
                  </w:pPr>
                  <w:r w:rsidRPr="00D4444E">
                    <w:rPr>
                      <w:rFonts w:ascii="Arial" w:hAnsi="Arial" w:cs="Arial"/>
                      <w:color w:val="000000"/>
                      <w:sz w:val="14"/>
                      <w:szCs w:val="14"/>
                    </w:rPr>
                    <w:t>1.117</w:t>
                  </w:r>
                </w:p>
              </w:tc>
            </w:tr>
          </w:tbl>
          <w:p w:rsidR="005C75BB" w:rsidRPr="00607324" w:rsidRDefault="005C75BB" w:rsidP="005C75BB">
            <w:pPr>
              <w:rPr>
                <w:rFonts w:ascii="Arial" w:hAnsi="Arial" w:cs="Arial"/>
                <w:sz w:val="24"/>
                <w:szCs w:val="24"/>
              </w:rPr>
            </w:pPr>
          </w:p>
        </w:tc>
      </w:tr>
    </w:tbl>
    <w:p w:rsidR="005C75BB" w:rsidRPr="00D4444E" w:rsidRDefault="005C75BB" w:rsidP="00D4444E">
      <w:pPr>
        <w:pStyle w:val="Prrafodelista"/>
        <w:spacing w:line="276" w:lineRule="auto"/>
        <w:ind w:left="851"/>
        <w:jc w:val="both"/>
        <w:rPr>
          <w:rFonts w:ascii="Arial" w:hAnsi="Arial" w:cs="Arial"/>
          <w:sz w:val="17"/>
          <w:szCs w:val="17"/>
        </w:rPr>
      </w:pPr>
    </w:p>
    <w:p w:rsidR="005C75BB" w:rsidRPr="00D4444E" w:rsidRDefault="005C75BB" w:rsidP="00D4444E">
      <w:pPr>
        <w:pStyle w:val="Prrafodelista"/>
        <w:spacing w:line="276" w:lineRule="auto"/>
        <w:ind w:left="851"/>
        <w:jc w:val="both"/>
        <w:rPr>
          <w:rFonts w:ascii="Arial" w:hAnsi="Arial" w:cs="Arial"/>
          <w:sz w:val="17"/>
          <w:szCs w:val="17"/>
        </w:rPr>
      </w:pPr>
      <w:r w:rsidRPr="00D4444E">
        <w:rPr>
          <w:rFonts w:ascii="Arial" w:hAnsi="Arial" w:cs="Arial"/>
          <w:b/>
          <w:i/>
          <w:sz w:val="17"/>
          <w:szCs w:val="17"/>
        </w:rPr>
        <w:t>Fuente:</w:t>
      </w:r>
      <w:r w:rsidRPr="00D4444E">
        <w:rPr>
          <w:rFonts w:ascii="Arial" w:hAnsi="Arial" w:cs="Arial"/>
          <w:sz w:val="17"/>
          <w:szCs w:val="17"/>
        </w:rPr>
        <w:t xml:space="preserve"> </w:t>
      </w:r>
      <w:r w:rsidRPr="00D4444E">
        <w:rPr>
          <w:rFonts w:ascii="Arial" w:hAnsi="Arial" w:cs="Arial"/>
          <w:b/>
          <w:sz w:val="17"/>
          <w:szCs w:val="17"/>
        </w:rPr>
        <w:t xml:space="preserve">INEC </w:t>
      </w:r>
      <w:r w:rsidRPr="00D4444E">
        <w:rPr>
          <w:rFonts w:ascii="Arial" w:hAnsi="Arial" w:cs="Arial"/>
          <w:sz w:val="17"/>
          <w:szCs w:val="17"/>
        </w:rPr>
        <w:t>(2010), Base de Datos del VII Censo de Población y VI de Vivienda.</w:t>
      </w:r>
    </w:p>
    <w:p w:rsidR="005C75BB" w:rsidRPr="00D4444E" w:rsidRDefault="005C75BB" w:rsidP="00D4444E">
      <w:pPr>
        <w:pStyle w:val="Prrafodelista"/>
        <w:spacing w:line="276" w:lineRule="auto"/>
        <w:ind w:left="851"/>
        <w:jc w:val="both"/>
        <w:rPr>
          <w:rFonts w:ascii="Arial" w:hAnsi="Arial" w:cs="Arial"/>
          <w:sz w:val="17"/>
          <w:szCs w:val="17"/>
        </w:rPr>
      </w:pPr>
      <w:r w:rsidRPr="00D4444E">
        <w:rPr>
          <w:rFonts w:ascii="Arial" w:hAnsi="Arial" w:cs="Arial"/>
          <w:b/>
          <w:i/>
          <w:sz w:val="17"/>
          <w:szCs w:val="17"/>
        </w:rPr>
        <w:t>Elaborado por:</w:t>
      </w:r>
      <w:r w:rsidRPr="00D4444E">
        <w:rPr>
          <w:rFonts w:ascii="Arial" w:hAnsi="Arial" w:cs="Arial"/>
          <w:sz w:val="17"/>
          <w:szCs w:val="17"/>
        </w:rPr>
        <w:t xml:space="preserve"> Katherine Loor Valeriano</w:t>
      </w:r>
    </w:p>
    <w:p w:rsidR="00D4444E" w:rsidRPr="00D4444E" w:rsidRDefault="00D4444E" w:rsidP="00D4444E">
      <w:pPr>
        <w:pStyle w:val="Prrafodelista"/>
        <w:spacing w:line="480" w:lineRule="auto"/>
        <w:ind w:left="851"/>
        <w:jc w:val="both"/>
        <w:rPr>
          <w:rFonts w:ascii="Arial" w:hAnsi="Arial" w:cs="Arial"/>
        </w:rPr>
      </w:pPr>
    </w:p>
    <w:p w:rsidR="005C75BB" w:rsidRDefault="005C75BB" w:rsidP="00D4444E">
      <w:pPr>
        <w:pStyle w:val="62"/>
        <w:ind w:left="1560"/>
      </w:pPr>
      <w:bookmarkStart w:id="1010" w:name="_Toc339275962"/>
      <w:bookmarkStart w:id="1011" w:name="_Toc341040756"/>
      <w:r>
        <w:t>Prueba de la razón de verosimilitud</w:t>
      </w:r>
      <w:bookmarkEnd w:id="1010"/>
      <w:bookmarkEnd w:id="1011"/>
    </w:p>
    <w:p w:rsidR="00010F4A" w:rsidRDefault="005C75BB" w:rsidP="00D4444E">
      <w:pPr>
        <w:spacing w:line="480" w:lineRule="auto"/>
        <w:ind w:left="851"/>
        <w:jc w:val="both"/>
        <w:rPr>
          <w:rFonts w:ascii="Arial" w:hAnsi="Arial" w:cs="Arial"/>
        </w:rPr>
      </w:pPr>
      <w:bookmarkStart w:id="1012" w:name="_Toc339853215"/>
      <w:bookmarkStart w:id="1013" w:name="_Toc340231985"/>
      <w:r w:rsidRPr="00D4444E">
        <w:rPr>
          <w:rFonts w:ascii="Arial" w:hAnsi="Arial" w:cs="Arial"/>
        </w:rPr>
        <w:t>En la subsección previa se mostró que hay dos factores que no son significativos para el modelo; por tanto, en esta sección vamos a utilizar la prueba de la razón de verosimilitud para determinar si esas son las únicas variables que no son significativas; para ello procedemos a construir siete modelos distintos aparte del mostrado previamente, para cada modelo vamos a eliminar una de las variables y nos vamos a enfocar en el logaritmo de la verosimilitud multiplicado por -2. En donde el estadístico de</w:t>
      </w:r>
      <w:r w:rsidR="00010F4A">
        <w:rPr>
          <w:rFonts w:ascii="Arial" w:hAnsi="Arial" w:cs="Arial"/>
        </w:rPr>
        <w:t xml:space="preserve"> prueba que vamos a utilizar es:</w:t>
      </w:r>
    </w:p>
    <w:p w:rsidR="00010F4A" w:rsidRPr="00010F4A" w:rsidRDefault="00010F4A" w:rsidP="00D4444E">
      <w:pPr>
        <w:spacing w:line="480" w:lineRule="auto"/>
        <w:ind w:left="851"/>
        <w:jc w:val="both"/>
        <w:rPr>
          <w:rFonts w:ascii="Arial" w:hAnsi="Arial" w:cs="Arial"/>
          <w:sz w:val="10"/>
          <w:szCs w:val="10"/>
        </w:rPr>
      </w:pPr>
    </w:p>
    <w:p w:rsidR="00010F4A" w:rsidRDefault="005C75BB" w:rsidP="00010F4A">
      <w:pPr>
        <w:spacing w:line="480" w:lineRule="auto"/>
        <w:ind w:left="851"/>
        <w:rPr>
          <w:rFonts w:ascii="Arial" w:hAnsi="Arial" w:cs="Arial"/>
        </w:rPr>
      </w:pPr>
      <w:r w:rsidRPr="00D4444E">
        <w:rPr>
          <w:rFonts w:ascii="Arial" w:hAnsi="Arial" w:cs="Arial"/>
        </w:rPr>
        <w:t>G = -2 [log</w:t>
      </w:r>
      <w:r w:rsidRPr="00D4444E">
        <w:rPr>
          <w:rFonts w:ascii="Arial" w:hAnsi="Arial" w:cs="Arial"/>
          <w:vertAlign w:val="subscript"/>
        </w:rPr>
        <w:t>e</w:t>
      </w:r>
      <w:r w:rsidRPr="00D4444E">
        <w:rPr>
          <w:rFonts w:ascii="Arial" w:hAnsi="Arial" w:cs="Arial"/>
        </w:rPr>
        <w:t xml:space="preserve">(Verosimitud </w:t>
      </w:r>
      <w:r w:rsidRPr="00D4444E">
        <w:rPr>
          <w:rFonts w:ascii="Arial" w:hAnsi="Arial" w:cs="Arial"/>
          <w:vertAlign w:val="subscript"/>
        </w:rPr>
        <w:t>modelo reducido</w:t>
      </w:r>
      <w:r w:rsidRPr="00D4444E">
        <w:rPr>
          <w:rFonts w:ascii="Arial" w:hAnsi="Arial" w:cs="Arial"/>
        </w:rPr>
        <w:t>) - log</w:t>
      </w:r>
      <w:r w:rsidRPr="00D4444E">
        <w:rPr>
          <w:rFonts w:ascii="Arial" w:hAnsi="Arial" w:cs="Arial"/>
          <w:vertAlign w:val="subscript"/>
        </w:rPr>
        <w:t>e</w:t>
      </w:r>
      <w:r w:rsidRPr="00D4444E">
        <w:rPr>
          <w:rFonts w:ascii="Arial" w:hAnsi="Arial" w:cs="Arial"/>
        </w:rPr>
        <w:t xml:space="preserve">(Verosimilitud </w:t>
      </w:r>
      <w:r w:rsidRPr="00D4444E">
        <w:rPr>
          <w:rFonts w:ascii="Arial" w:hAnsi="Arial" w:cs="Arial"/>
          <w:vertAlign w:val="subscript"/>
        </w:rPr>
        <w:t>modelo completo</w:t>
      </w:r>
      <w:r w:rsidRPr="00D4444E">
        <w:rPr>
          <w:rFonts w:ascii="Arial" w:hAnsi="Arial" w:cs="Arial"/>
        </w:rPr>
        <w:t>)</w:t>
      </w:r>
      <w:r w:rsidR="00010F4A">
        <w:rPr>
          <w:rFonts w:ascii="Arial" w:hAnsi="Arial" w:cs="Arial"/>
        </w:rPr>
        <w:t>]</w:t>
      </w:r>
    </w:p>
    <w:p w:rsidR="00010F4A" w:rsidRDefault="00010F4A" w:rsidP="00010F4A">
      <w:pPr>
        <w:spacing w:line="480" w:lineRule="auto"/>
        <w:ind w:left="851"/>
        <w:rPr>
          <w:rFonts w:ascii="Arial" w:hAnsi="Arial" w:cs="Arial"/>
        </w:rPr>
      </w:pPr>
    </w:p>
    <w:p w:rsidR="005C75BB" w:rsidRPr="00D4444E" w:rsidRDefault="00010F4A" w:rsidP="00D4444E">
      <w:pPr>
        <w:spacing w:line="480" w:lineRule="auto"/>
        <w:ind w:left="851"/>
        <w:jc w:val="both"/>
        <w:rPr>
          <w:rFonts w:ascii="Arial" w:hAnsi="Arial" w:cs="Arial"/>
        </w:rPr>
      </w:pPr>
      <w:r>
        <w:rPr>
          <w:rFonts w:ascii="Arial" w:hAnsi="Arial" w:cs="Arial"/>
        </w:rPr>
        <w:t>E</w:t>
      </w:r>
      <w:r w:rsidR="005C75BB" w:rsidRPr="00D4444E">
        <w:rPr>
          <w:rFonts w:ascii="Arial" w:hAnsi="Arial" w:cs="Arial"/>
        </w:rPr>
        <w:t>l cual sigue una distribución Ji-Cuadrado con un grado de libertad debido a que en cada modelo solo eliminamos un factor, el valor p se determina como la probabilidad de que la Ji-Cuadrado con 1 grado de libertad sea mayor que el estadístico de prueba G.</w:t>
      </w:r>
      <w:bookmarkEnd w:id="1012"/>
      <w:bookmarkEnd w:id="1013"/>
      <w:r w:rsidR="005C75BB" w:rsidRPr="00D4444E">
        <w:rPr>
          <w:rFonts w:ascii="Arial" w:hAnsi="Arial" w:cs="Arial"/>
        </w:rPr>
        <w:t xml:space="preserve"> </w:t>
      </w:r>
    </w:p>
    <w:p w:rsidR="005C75BB" w:rsidRPr="00D4444E" w:rsidRDefault="005C75BB" w:rsidP="00D4444E">
      <w:pPr>
        <w:spacing w:line="480" w:lineRule="auto"/>
        <w:ind w:left="851"/>
        <w:jc w:val="both"/>
        <w:rPr>
          <w:rFonts w:ascii="Arial" w:hAnsi="Arial" w:cs="Arial"/>
        </w:rPr>
      </w:pPr>
    </w:p>
    <w:p w:rsidR="005C75BB" w:rsidRPr="00B5797C" w:rsidRDefault="005C75BB" w:rsidP="00D4444E">
      <w:pPr>
        <w:spacing w:line="480" w:lineRule="auto"/>
        <w:ind w:left="851"/>
        <w:jc w:val="both"/>
      </w:pPr>
      <w:bookmarkStart w:id="1014" w:name="_Toc339853216"/>
      <w:bookmarkStart w:id="1015" w:name="_Toc340231986"/>
      <w:r w:rsidRPr="00D4444E">
        <w:rPr>
          <w:rFonts w:ascii="Arial" w:hAnsi="Arial" w:cs="Arial"/>
        </w:rPr>
        <w:t xml:space="preserve">Los resultados se presentan en la </w:t>
      </w:r>
      <w:r w:rsidRPr="00D4444E">
        <w:rPr>
          <w:rFonts w:ascii="Arial" w:hAnsi="Arial" w:cs="Arial"/>
          <w:i/>
        </w:rPr>
        <w:t>Tabla 6.5</w:t>
      </w:r>
      <w:r w:rsidRPr="00D4444E">
        <w:rPr>
          <w:rFonts w:ascii="Arial" w:hAnsi="Arial" w:cs="Arial"/>
        </w:rPr>
        <w:t xml:space="preserve">, en donde analizando el valor p, tenemos que para los modelos sin los factores área de residencia o la variable trabaja el valor p obtenido es mayor que 0.10, por tanto existe evidencia estadística para no rechazar la hipótesis nula de que los betas correspondientes a esos factores son </w:t>
      </w:r>
      <w:r w:rsidR="005E5A73">
        <w:rPr>
          <w:rFonts w:ascii="Arial" w:hAnsi="Arial" w:cs="Arial"/>
        </w:rPr>
        <w:t>iguales</w:t>
      </w:r>
      <w:r w:rsidRPr="00D4444E">
        <w:rPr>
          <w:rFonts w:ascii="Arial" w:hAnsi="Arial" w:cs="Arial"/>
        </w:rPr>
        <w:t xml:space="preserve"> </w:t>
      </w:r>
      <w:r w:rsidR="005E5A73">
        <w:rPr>
          <w:rFonts w:ascii="Arial" w:hAnsi="Arial" w:cs="Arial"/>
        </w:rPr>
        <w:t>a</w:t>
      </w:r>
      <w:r w:rsidRPr="00D4444E">
        <w:rPr>
          <w:rFonts w:ascii="Arial" w:hAnsi="Arial" w:cs="Arial"/>
        </w:rPr>
        <w:t xml:space="preserve"> cero, llegando finalmente a concluir que esos dos factores son los únicos que no son significativos para el m</w:t>
      </w:r>
      <w:r w:rsidR="005E5A73">
        <w:rPr>
          <w:rFonts w:ascii="Arial" w:hAnsi="Arial" w:cs="Arial"/>
        </w:rPr>
        <w:t>odelo descrito en esta sección; m</w:t>
      </w:r>
      <w:r w:rsidRPr="00D4444E">
        <w:rPr>
          <w:rFonts w:ascii="Arial" w:hAnsi="Arial" w:cs="Arial"/>
        </w:rPr>
        <w:t>ientras que, para el resto de variables el valor p es mucho menor que 0.05, por tanto existe evidencia estadística para rechazar la hipótesis nula de los betas asociados a cada factor son diferentes de cero.</w:t>
      </w:r>
      <w:bookmarkEnd w:id="1014"/>
      <w:bookmarkEnd w:id="1015"/>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5C75BB" w:rsidRPr="003559D6" w:rsidTr="005E5A73">
        <w:trPr>
          <w:trHeight w:val="3089"/>
          <w:jc w:val="right"/>
        </w:trPr>
        <w:tc>
          <w:tcPr>
            <w:tcW w:w="7497" w:type="dxa"/>
          </w:tcPr>
          <w:p w:rsidR="005C75BB" w:rsidRPr="00434327" w:rsidRDefault="005C75BB" w:rsidP="005C75BB">
            <w:pPr>
              <w:rPr>
                <w:rFonts w:ascii="Arial" w:hAnsi="Arial" w:cs="Arial"/>
                <w:sz w:val="16"/>
                <w:szCs w:val="16"/>
              </w:rPr>
            </w:pPr>
          </w:p>
          <w:p w:rsidR="00654171" w:rsidRPr="00654171" w:rsidRDefault="00654171" w:rsidP="00654171">
            <w:pPr>
              <w:pStyle w:val="Epgrafe"/>
              <w:rPr>
                <w:rFonts w:ascii="Arial" w:hAnsi="Arial" w:cs="Arial"/>
                <w:bCs w:val="0"/>
                <w:color w:val="auto"/>
                <w:sz w:val="16"/>
                <w:szCs w:val="16"/>
              </w:rPr>
            </w:pPr>
            <w:bookmarkStart w:id="1016" w:name="_Toc341042351"/>
            <w:r>
              <w:rPr>
                <w:rFonts w:ascii="Arial" w:hAnsi="Arial" w:cs="Arial"/>
                <w:bCs w:val="0"/>
                <w:color w:val="auto"/>
                <w:sz w:val="16"/>
                <w:szCs w:val="16"/>
              </w:rPr>
              <w:t>Tabla 6.</w:t>
            </w:r>
            <w:r w:rsidR="00990535" w:rsidRPr="00654171">
              <w:rPr>
                <w:rFonts w:ascii="Arial" w:hAnsi="Arial" w:cs="Arial"/>
                <w:bCs w:val="0"/>
                <w:color w:val="auto"/>
                <w:sz w:val="16"/>
                <w:szCs w:val="16"/>
              </w:rPr>
              <w:fldChar w:fldCharType="begin"/>
            </w:r>
            <w:r w:rsidRPr="00654171">
              <w:rPr>
                <w:rFonts w:ascii="Arial" w:hAnsi="Arial" w:cs="Arial"/>
                <w:bCs w:val="0"/>
                <w:color w:val="auto"/>
                <w:sz w:val="16"/>
                <w:szCs w:val="16"/>
              </w:rPr>
              <w:instrText xml:space="preserve"> SEQ Tabla_6. \* ARABIC </w:instrText>
            </w:r>
            <w:r w:rsidR="00990535" w:rsidRPr="00654171">
              <w:rPr>
                <w:rFonts w:ascii="Arial" w:hAnsi="Arial" w:cs="Arial"/>
                <w:bCs w:val="0"/>
                <w:color w:val="auto"/>
                <w:sz w:val="16"/>
                <w:szCs w:val="16"/>
              </w:rPr>
              <w:fldChar w:fldCharType="separate"/>
            </w:r>
            <w:r w:rsidR="00A242E0">
              <w:rPr>
                <w:rFonts w:ascii="Arial" w:hAnsi="Arial" w:cs="Arial"/>
                <w:bCs w:val="0"/>
                <w:noProof/>
                <w:color w:val="auto"/>
                <w:sz w:val="16"/>
                <w:szCs w:val="16"/>
              </w:rPr>
              <w:t>5</w:t>
            </w:r>
            <w:bookmarkEnd w:id="1016"/>
            <w:r w:rsidR="00990535" w:rsidRPr="00654171">
              <w:rPr>
                <w:rFonts w:ascii="Arial" w:hAnsi="Arial" w:cs="Arial"/>
                <w:bCs w:val="0"/>
                <w:color w:val="auto"/>
                <w:sz w:val="16"/>
                <w:szCs w:val="16"/>
              </w:rPr>
              <w:fldChar w:fldCharType="end"/>
            </w:r>
          </w:p>
          <w:p w:rsidR="005C75BB" w:rsidRDefault="00010F4A" w:rsidP="005C75BB">
            <w:pPr>
              <w:rPr>
                <w:rFonts w:ascii="Arial" w:hAnsi="Arial" w:cs="Arial"/>
                <w:i/>
                <w:sz w:val="16"/>
                <w:szCs w:val="16"/>
              </w:rPr>
            </w:pPr>
            <w:r>
              <w:rPr>
                <w:rFonts w:ascii="Arial" w:hAnsi="Arial" w:cs="Arial"/>
                <w:b/>
                <w:i/>
                <w:sz w:val="16"/>
                <w:szCs w:val="16"/>
              </w:rPr>
              <w:t xml:space="preserve">Guayaquil 2010: </w:t>
            </w:r>
            <w:r w:rsidR="005C75BB">
              <w:rPr>
                <w:rFonts w:ascii="Arial" w:hAnsi="Arial" w:cs="Arial"/>
                <w:i/>
                <w:sz w:val="16"/>
                <w:szCs w:val="16"/>
              </w:rPr>
              <w:t>Prueba de la razón de la verosimilitud</w:t>
            </w:r>
            <w:r>
              <w:rPr>
                <w:rFonts w:ascii="Arial" w:hAnsi="Arial" w:cs="Arial"/>
                <w:i/>
                <w:sz w:val="16"/>
                <w:szCs w:val="16"/>
              </w:rPr>
              <w:t xml:space="preserve"> (desvianza)</w:t>
            </w:r>
          </w:p>
          <w:p w:rsidR="005C75BB" w:rsidRPr="003D21E9" w:rsidRDefault="005C75BB" w:rsidP="005C75BB">
            <w:pPr>
              <w:rPr>
                <w:rFonts w:ascii="Arial" w:hAnsi="Arial" w:cs="Arial"/>
                <w:i/>
                <w:sz w:val="10"/>
                <w:szCs w:val="10"/>
              </w:rPr>
            </w:pPr>
          </w:p>
          <w:tbl>
            <w:tblPr>
              <w:tblW w:w="6628" w:type="dxa"/>
              <w:jc w:val="center"/>
              <w:tblCellMar>
                <w:left w:w="70" w:type="dxa"/>
                <w:right w:w="70" w:type="dxa"/>
              </w:tblCellMar>
              <w:tblLook w:val="04A0" w:firstRow="1" w:lastRow="0" w:firstColumn="1" w:lastColumn="0" w:noHBand="0" w:noVBand="1"/>
            </w:tblPr>
            <w:tblGrid>
              <w:gridCol w:w="2268"/>
              <w:gridCol w:w="1960"/>
              <w:gridCol w:w="1200"/>
              <w:gridCol w:w="1200"/>
            </w:tblGrid>
            <w:tr w:rsidR="005C75BB" w:rsidRPr="00BA37CC" w:rsidTr="005C75BB">
              <w:trPr>
                <w:trHeight w:val="227"/>
                <w:jc w:val="center"/>
              </w:trPr>
              <w:tc>
                <w:tcPr>
                  <w:tcW w:w="2268" w:type="dxa"/>
                  <w:tcBorders>
                    <w:top w:val="single" w:sz="4" w:space="0" w:color="auto"/>
                    <w:left w:val="nil"/>
                    <w:bottom w:val="single" w:sz="4" w:space="0" w:color="auto"/>
                    <w:right w:val="nil"/>
                  </w:tcBorders>
                  <w:shd w:val="clear" w:color="auto" w:fill="auto"/>
                  <w:noWrap/>
                  <w:vAlign w:val="center"/>
                  <w:hideMark/>
                </w:tcPr>
                <w:p w:rsidR="005C75BB" w:rsidRPr="00BA37CC" w:rsidRDefault="005C75BB" w:rsidP="005C75BB">
                  <w:pPr>
                    <w:rPr>
                      <w:rFonts w:ascii="Arial" w:eastAsia="Times New Roman" w:hAnsi="Arial" w:cs="Arial"/>
                      <w:b/>
                      <w:bCs/>
                      <w:color w:val="000000"/>
                      <w:sz w:val="16"/>
                      <w:szCs w:val="16"/>
                      <w:lang w:eastAsia="es-EC"/>
                    </w:rPr>
                  </w:pPr>
                  <w:r w:rsidRPr="00BA37CC">
                    <w:rPr>
                      <w:rFonts w:ascii="Arial" w:eastAsia="Times New Roman" w:hAnsi="Arial" w:cs="Arial"/>
                      <w:b/>
                      <w:bCs/>
                      <w:color w:val="000000"/>
                      <w:sz w:val="16"/>
                      <w:szCs w:val="16"/>
                      <w:lang w:eastAsia="es-EC"/>
                    </w:rPr>
                    <w:t>Modelo</w:t>
                  </w:r>
                </w:p>
              </w:tc>
              <w:tc>
                <w:tcPr>
                  <w:tcW w:w="1960" w:type="dxa"/>
                  <w:tcBorders>
                    <w:top w:val="single" w:sz="4" w:space="0" w:color="auto"/>
                    <w:left w:val="nil"/>
                    <w:bottom w:val="single" w:sz="4" w:space="0" w:color="auto"/>
                    <w:right w:val="nil"/>
                  </w:tcBorders>
                  <w:shd w:val="clear" w:color="auto" w:fill="auto"/>
                  <w:noWrap/>
                  <w:vAlign w:val="center"/>
                  <w:hideMark/>
                </w:tcPr>
                <w:p w:rsidR="005C75BB" w:rsidRPr="00BA37CC" w:rsidRDefault="005C75BB" w:rsidP="005C75BB">
                  <w:pP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w:t>
                  </w:r>
                  <w:r w:rsidRPr="00BA37CC">
                    <w:rPr>
                      <w:rFonts w:ascii="Arial" w:eastAsia="Times New Roman" w:hAnsi="Arial" w:cs="Arial"/>
                      <w:b/>
                      <w:bCs/>
                      <w:color w:val="000000"/>
                      <w:sz w:val="16"/>
                      <w:szCs w:val="16"/>
                      <w:lang w:eastAsia="es-EC"/>
                    </w:rPr>
                    <w:t>2LogVerosimilitud</w:t>
                  </w:r>
                </w:p>
              </w:tc>
              <w:tc>
                <w:tcPr>
                  <w:tcW w:w="1200" w:type="dxa"/>
                  <w:tcBorders>
                    <w:top w:val="single" w:sz="4" w:space="0" w:color="auto"/>
                    <w:left w:val="nil"/>
                    <w:bottom w:val="single" w:sz="4" w:space="0" w:color="auto"/>
                    <w:right w:val="nil"/>
                  </w:tcBorders>
                  <w:shd w:val="clear" w:color="auto" w:fill="auto"/>
                  <w:noWrap/>
                  <w:vAlign w:val="center"/>
                  <w:hideMark/>
                </w:tcPr>
                <w:p w:rsidR="005C75BB" w:rsidRPr="00BA37CC" w:rsidRDefault="005C75BB" w:rsidP="005C75BB">
                  <w:pPr>
                    <w:rPr>
                      <w:rFonts w:ascii="Arial" w:eastAsia="Times New Roman" w:hAnsi="Arial" w:cs="Arial"/>
                      <w:b/>
                      <w:bCs/>
                      <w:color w:val="000000"/>
                      <w:sz w:val="16"/>
                      <w:szCs w:val="16"/>
                      <w:lang w:eastAsia="es-EC"/>
                    </w:rPr>
                  </w:pPr>
                  <w:r w:rsidRPr="00BA37CC">
                    <w:rPr>
                      <w:rFonts w:ascii="Arial" w:eastAsia="Times New Roman" w:hAnsi="Arial" w:cs="Arial"/>
                      <w:b/>
                      <w:bCs/>
                      <w:color w:val="000000"/>
                      <w:sz w:val="16"/>
                      <w:szCs w:val="16"/>
                      <w:lang w:eastAsia="es-EC"/>
                    </w:rPr>
                    <w:t>G</w:t>
                  </w:r>
                </w:p>
              </w:tc>
              <w:tc>
                <w:tcPr>
                  <w:tcW w:w="1200" w:type="dxa"/>
                  <w:tcBorders>
                    <w:top w:val="single" w:sz="4" w:space="0" w:color="auto"/>
                    <w:left w:val="nil"/>
                    <w:bottom w:val="single" w:sz="4" w:space="0" w:color="auto"/>
                    <w:right w:val="nil"/>
                  </w:tcBorders>
                  <w:shd w:val="clear" w:color="auto" w:fill="auto"/>
                  <w:noWrap/>
                  <w:vAlign w:val="center"/>
                  <w:hideMark/>
                </w:tcPr>
                <w:p w:rsidR="005C75BB" w:rsidRPr="00BA37CC" w:rsidRDefault="005C75BB" w:rsidP="005C75BB">
                  <w:pPr>
                    <w:rPr>
                      <w:rFonts w:ascii="Arial" w:eastAsia="Times New Roman" w:hAnsi="Arial" w:cs="Arial"/>
                      <w:b/>
                      <w:bCs/>
                      <w:color w:val="000000"/>
                      <w:sz w:val="16"/>
                      <w:szCs w:val="16"/>
                      <w:lang w:eastAsia="es-EC"/>
                    </w:rPr>
                  </w:pPr>
                  <w:r w:rsidRPr="00BA37CC">
                    <w:rPr>
                      <w:rFonts w:ascii="Arial" w:eastAsia="Times New Roman" w:hAnsi="Arial" w:cs="Arial"/>
                      <w:b/>
                      <w:bCs/>
                      <w:color w:val="000000"/>
                      <w:sz w:val="16"/>
                      <w:szCs w:val="16"/>
                      <w:lang w:eastAsia="es-EC"/>
                    </w:rPr>
                    <w:t>Valor p</w:t>
                  </w:r>
                </w:p>
              </w:tc>
            </w:tr>
            <w:tr w:rsidR="005E5A73" w:rsidRPr="00BA37CC" w:rsidTr="005C75BB">
              <w:trPr>
                <w:trHeight w:val="227"/>
                <w:jc w:val="center"/>
              </w:trPr>
              <w:tc>
                <w:tcPr>
                  <w:tcW w:w="2268" w:type="dxa"/>
                  <w:tcBorders>
                    <w:top w:val="nil"/>
                    <w:left w:val="nil"/>
                    <w:bottom w:val="nil"/>
                    <w:right w:val="nil"/>
                  </w:tcBorders>
                  <w:shd w:val="clear" w:color="auto" w:fill="auto"/>
                  <w:noWrap/>
                  <w:vAlign w:val="center"/>
                  <w:hideMark/>
                </w:tcPr>
                <w:p w:rsidR="005E5A73" w:rsidRPr="00BA37CC" w:rsidRDefault="005E5A73" w:rsidP="00654171">
                  <w:pPr>
                    <w:jc w:val="left"/>
                    <w:rPr>
                      <w:rFonts w:ascii="Arial" w:eastAsia="Times New Roman" w:hAnsi="Arial" w:cs="Arial"/>
                      <w:color w:val="000000"/>
                      <w:sz w:val="16"/>
                      <w:szCs w:val="16"/>
                      <w:lang w:eastAsia="es-EC"/>
                    </w:rPr>
                  </w:pPr>
                  <w:r w:rsidRPr="00BA37CC">
                    <w:rPr>
                      <w:rFonts w:ascii="Arial" w:eastAsia="Times New Roman" w:hAnsi="Arial" w:cs="Arial"/>
                      <w:color w:val="000000"/>
                      <w:sz w:val="16"/>
                      <w:szCs w:val="16"/>
                      <w:lang w:eastAsia="es-EC"/>
                    </w:rPr>
                    <w:t>Modelo completo</w:t>
                  </w:r>
                </w:p>
              </w:tc>
              <w:tc>
                <w:tcPr>
                  <w:tcW w:w="196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23917.610</w:t>
                  </w: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p>
              </w:tc>
            </w:tr>
            <w:tr w:rsidR="005E5A73" w:rsidRPr="00BA37CC" w:rsidTr="005C75BB">
              <w:trPr>
                <w:trHeight w:val="227"/>
                <w:jc w:val="center"/>
              </w:trPr>
              <w:tc>
                <w:tcPr>
                  <w:tcW w:w="2268" w:type="dxa"/>
                  <w:tcBorders>
                    <w:top w:val="nil"/>
                    <w:left w:val="nil"/>
                    <w:bottom w:val="nil"/>
                    <w:right w:val="nil"/>
                  </w:tcBorders>
                  <w:shd w:val="clear" w:color="auto" w:fill="auto"/>
                  <w:noWrap/>
                  <w:vAlign w:val="center"/>
                  <w:hideMark/>
                </w:tcPr>
                <w:p w:rsidR="005E5A73" w:rsidRPr="00BA37CC" w:rsidRDefault="005E5A73" w:rsidP="00654171">
                  <w:pPr>
                    <w:jc w:val="left"/>
                    <w:rPr>
                      <w:rFonts w:ascii="Arial" w:eastAsia="Times New Roman" w:hAnsi="Arial" w:cs="Arial"/>
                      <w:color w:val="000000"/>
                      <w:sz w:val="16"/>
                      <w:szCs w:val="16"/>
                      <w:lang w:eastAsia="es-EC"/>
                    </w:rPr>
                  </w:pPr>
                  <w:r w:rsidRPr="00BA37CC">
                    <w:rPr>
                      <w:rFonts w:ascii="Arial" w:eastAsia="Times New Roman" w:hAnsi="Arial" w:cs="Arial"/>
                      <w:color w:val="000000"/>
                      <w:sz w:val="16"/>
                      <w:szCs w:val="16"/>
                      <w:lang w:eastAsia="es-EC"/>
                    </w:rPr>
                    <w:t>Modelo sin Edad</w:t>
                  </w:r>
                </w:p>
              </w:tc>
              <w:tc>
                <w:tcPr>
                  <w:tcW w:w="196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24564.776</w:t>
                  </w: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647.166</w:t>
                  </w: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0.000</w:t>
                  </w:r>
                </w:p>
              </w:tc>
            </w:tr>
            <w:tr w:rsidR="005E5A73" w:rsidRPr="00BA37CC" w:rsidTr="005C75BB">
              <w:trPr>
                <w:trHeight w:val="227"/>
                <w:jc w:val="center"/>
              </w:trPr>
              <w:tc>
                <w:tcPr>
                  <w:tcW w:w="2268" w:type="dxa"/>
                  <w:tcBorders>
                    <w:top w:val="nil"/>
                    <w:left w:val="nil"/>
                    <w:bottom w:val="nil"/>
                    <w:right w:val="nil"/>
                  </w:tcBorders>
                  <w:shd w:val="clear" w:color="auto" w:fill="auto"/>
                  <w:noWrap/>
                  <w:vAlign w:val="center"/>
                  <w:hideMark/>
                </w:tcPr>
                <w:p w:rsidR="005E5A73" w:rsidRPr="00BA37CC" w:rsidRDefault="005E5A73" w:rsidP="00654171">
                  <w:pPr>
                    <w:jc w:val="left"/>
                    <w:rPr>
                      <w:rFonts w:ascii="Arial" w:eastAsia="Times New Roman" w:hAnsi="Arial" w:cs="Arial"/>
                      <w:color w:val="000000"/>
                      <w:sz w:val="16"/>
                      <w:szCs w:val="16"/>
                      <w:lang w:eastAsia="es-EC"/>
                    </w:rPr>
                  </w:pPr>
                  <w:r w:rsidRPr="00BA37CC">
                    <w:rPr>
                      <w:rFonts w:ascii="Arial" w:eastAsia="Times New Roman" w:hAnsi="Arial" w:cs="Arial"/>
                      <w:color w:val="000000"/>
                      <w:sz w:val="16"/>
                      <w:szCs w:val="16"/>
                      <w:lang w:eastAsia="es-EC"/>
                    </w:rPr>
                    <w:t>Modelo sin Género</w:t>
                  </w:r>
                </w:p>
              </w:tc>
              <w:tc>
                <w:tcPr>
                  <w:tcW w:w="196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23930.115</w:t>
                  </w: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12.505</w:t>
                  </w: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0.000</w:t>
                  </w:r>
                </w:p>
              </w:tc>
            </w:tr>
            <w:tr w:rsidR="005E5A73" w:rsidRPr="00BA37CC" w:rsidTr="005C75BB">
              <w:trPr>
                <w:trHeight w:val="227"/>
                <w:jc w:val="center"/>
              </w:trPr>
              <w:tc>
                <w:tcPr>
                  <w:tcW w:w="2268" w:type="dxa"/>
                  <w:tcBorders>
                    <w:top w:val="nil"/>
                    <w:left w:val="nil"/>
                    <w:bottom w:val="nil"/>
                    <w:right w:val="nil"/>
                  </w:tcBorders>
                  <w:shd w:val="clear" w:color="auto" w:fill="auto"/>
                  <w:noWrap/>
                  <w:vAlign w:val="center"/>
                  <w:hideMark/>
                </w:tcPr>
                <w:p w:rsidR="005E5A73" w:rsidRPr="00BA37CC" w:rsidRDefault="005E5A73" w:rsidP="00654171">
                  <w:pPr>
                    <w:jc w:val="left"/>
                    <w:rPr>
                      <w:rFonts w:ascii="Arial" w:eastAsia="Times New Roman" w:hAnsi="Arial" w:cs="Arial"/>
                      <w:color w:val="FF0000"/>
                      <w:sz w:val="16"/>
                      <w:szCs w:val="16"/>
                      <w:lang w:eastAsia="es-EC"/>
                    </w:rPr>
                  </w:pPr>
                  <w:r w:rsidRPr="00BA37CC">
                    <w:rPr>
                      <w:rFonts w:ascii="Arial" w:eastAsia="Times New Roman" w:hAnsi="Arial" w:cs="Arial"/>
                      <w:color w:val="FF0000"/>
                      <w:sz w:val="16"/>
                      <w:szCs w:val="16"/>
                      <w:lang w:eastAsia="es-EC"/>
                    </w:rPr>
                    <w:t>Modelo si</w:t>
                  </w:r>
                  <w:r>
                    <w:rPr>
                      <w:rFonts w:ascii="Arial" w:eastAsia="Times New Roman" w:hAnsi="Arial" w:cs="Arial"/>
                      <w:color w:val="FF0000"/>
                      <w:sz w:val="16"/>
                      <w:szCs w:val="16"/>
                      <w:lang w:eastAsia="es-EC"/>
                    </w:rPr>
                    <w:t>n</w:t>
                  </w:r>
                  <w:r w:rsidRPr="00BA37CC">
                    <w:rPr>
                      <w:rFonts w:ascii="Arial" w:eastAsia="Times New Roman" w:hAnsi="Arial" w:cs="Arial"/>
                      <w:color w:val="FF0000"/>
                      <w:sz w:val="16"/>
                      <w:szCs w:val="16"/>
                      <w:lang w:eastAsia="es-EC"/>
                    </w:rPr>
                    <w:t xml:space="preserve"> Área de residencia</w:t>
                  </w:r>
                </w:p>
              </w:tc>
              <w:tc>
                <w:tcPr>
                  <w:tcW w:w="1960" w:type="dxa"/>
                  <w:tcBorders>
                    <w:top w:val="nil"/>
                    <w:left w:val="nil"/>
                    <w:bottom w:val="nil"/>
                    <w:right w:val="nil"/>
                  </w:tcBorders>
                  <w:shd w:val="clear" w:color="auto" w:fill="auto"/>
                  <w:noWrap/>
                  <w:vAlign w:val="center"/>
                </w:tcPr>
                <w:p w:rsidR="005E5A73" w:rsidRDefault="005E5A73">
                  <w:pPr>
                    <w:rPr>
                      <w:rFonts w:ascii="Arial" w:hAnsi="Arial" w:cs="Arial"/>
                      <w:color w:val="FF0000"/>
                      <w:sz w:val="16"/>
                      <w:szCs w:val="16"/>
                    </w:rPr>
                  </w:pPr>
                  <w:r>
                    <w:rPr>
                      <w:rFonts w:ascii="Arial" w:hAnsi="Arial" w:cs="Arial"/>
                      <w:color w:val="FF0000"/>
                      <w:sz w:val="16"/>
                      <w:szCs w:val="16"/>
                    </w:rPr>
                    <w:t>23917.610</w:t>
                  </w: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FF0000"/>
                      <w:sz w:val="16"/>
                      <w:szCs w:val="16"/>
                    </w:rPr>
                  </w:pPr>
                  <w:r>
                    <w:rPr>
                      <w:rFonts w:ascii="Arial" w:hAnsi="Arial" w:cs="Arial"/>
                      <w:color w:val="FF0000"/>
                      <w:sz w:val="16"/>
                      <w:szCs w:val="16"/>
                    </w:rPr>
                    <w:t>0.000</w:t>
                  </w:r>
                </w:p>
              </w:tc>
              <w:tc>
                <w:tcPr>
                  <w:tcW w:w="1200" w:type="dxa"/>
                  <w:tcBorders>
                    <w:top w:val="nil"/>
                    <w:left w:val="nil"/>
                    <w:bottom w:val="nil"/>
                    <w:right w:val="nil"/>
                  </w:tcBorders>
                  <w:shd w:val="clear" w:color="auto" w:fill="auto"/>
                  <w:noWrap/>
                  <w:vAlign w:val="center"/>
                </w:tcPr>
                <w:p w:rsidR="005E5A73" w:rsidRPr="005E5A73" w:rsidRDefault="005E5A73">
                  <w:pPr>
                    <w:rPr>
                      <w:rFonts w:ascii="Arial" w:hAnsi="Arial" w:cs="Arial"/>
                      <w:color w:val="FF0000"/>
                      <w:sz w:val="16"/>
                      <w:szCs w:val="16"/>
                    </w:rPr>
                  </w:pPr>
                  <w:r w:rsidRPr="005E5A73">
                    <w:rPr>
                      <w:rFonts w:ascii="Arial" w:hAnsi="Arial" w:cs="Arial"/>
                      <w:color w:val="FF0000"/>
                      <w:sz w:val="16"/>
                      <w:szCs w:val="16"/>
                    </w:rPr>
                    <w:t>1.000</w:t>
                  </w:r>
                </w:p>
              </w:tc>
            </w:tr>
            <w:tr w:rsidR="005E5A73" w:rsidRPr="00BA37CC" w:rsidTr="005C75BB">
              <w:trPr>
                <w:trHeight w:val="227"/>
                <w:jc w:val="center"/>
              </w:trPr>
              <w:tc>
                <w:tcPr>
                  <w:tcW w:w="2268" w:type="dxa"/>
                  <w:tcBorders>
                    <w:top w:val="nil"/>
                    <w:left w:val="nil"/>
                    <w:bottom w:val="nil"/>
                    <w:right w:val="nil"/>
                  </w:tcBorders>
                  <w:shd w:val="clear" w:color="auto" w:fill="auto"/>
                  <w:noWrap/>
                  <w:vAlign w:val="center"/>
                  <w:hideMark/>
                </w:tcPr>
                <w:p w:rsidR="005E5A73" w:rsidRPr="00BA37CC" w:rsidRDefault="005E5A73" w:rsidP="00654171">
                  <w:pPr>
                    <w:jc w:val="left"/>
                    <w:rPr>
                      <w:rFonts w:ascii="Arial" w:eastAsia="Times New Roman" w:hAnsi="Arial" w:cs="Arial"/>
                      <w:color w:val="000000"/>
                      <w:sz w:val="16"/>
                      <w:szCs w:val="16"/>
                      <w:lang w:eastAsia="es-EC"/>
                    </w:rPr>
                  </w:pPr>
                  <w:r w:rsidRPr="00BA37CC">
                    <w:rPr>
                      <w:rFonts w:ascii="Arial" w:eastAsia="Times New Roman" w:hAnsi="Arial" w:cs="Arial"/>
                      <w:color w:val="000000"/>
                      <w:sz w:val="16"/>
                      <w:szCs w:val="16"/>
                      <w:lang w:eastAsia="es-EC"/>
                    </w:rPr>
                    <w:t>Modelo sin Estado conyugal</w:t>
                  </w:r>
                </w:p>
              </w:tc>
              <w:tc>
                <w:tcPr>
                  <w:tcW w:w="196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24040.654</w:t>
                  </w: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123.044</w:t>
                  </w: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0.000</w:t>
                  </w:r>
                </w:p>
              </w:tc>
            </w:tr>
            <w:tr w:rsidR="005E5A73" w:rsidRPr="00BA37CC" w:rsidTr="005C75BB">
              <w:trPr>
                <w:trHeight w:val="227"/>
                <w:jc w:val="center"/>
              </w:trPr>
              <w:tc>
                <w:tcPr>
                  <w:tcW w:w="2268" w:type="dxa"/>
                  <w:tcBorders>
                    <w:top w:val="nil"/>
                    <w:left w:val="nil"/>
                    <w:bottom w:val="nil"/>
                    <w:right w:val="nil"/>
                  </w:tcBorders>
                  <w:shd w:val="clear" w:color="auto" w:fill="auto"/>
                  <w:noWrap/>
                  <w:vAlign w:val="center"/>
                  <w:hideMark/>
                </w:tcPr>
                <w:p w:rsidR="005E5A73" w:rsidRPr="00BA37CC" w:rsidRDefault="005E5A73" w:rsidP="00654171">
                  <w:pPr>
                    <w:jc w:val="left"/>
                    <w:rPr>
                      <w:rFonts w:ascii="Arial" w:eastAsia="Times New Roman" w:hAnsi="Arial" w:cs="Arial"/>
                      <w:color w:val="000000"/>
                      <w:sz w:val="16"/>
                      <w:szCs w:val="16"/>
                      <w:lang w:eastAsia="es-EC"/>
                    </w:rPr>
                  </w:pPr>
                  <w:r w:rsidRPr="00BA37CC">
                    <w:rPr>
                      <w:rFonts w:ascii="Arial" w:eastAsia="Times New Roman" w:hAnsi="Arial" w:cs="Arial"/>
                      <w:color w:val="000000"/>
                      <w:sz w:val="16"/>
                      <w:szCs w:val="16"/>
                      <w:lang w:eastAsia="es-EC"/>
                    </w:rPr>
                    <w:t>Modelo sin Instrucción</w:t>
                  </w:r>
                </w:p>
              </w:tc>
              <w:tc>
                <w:tcPr>
                  <w:tcW w:w="196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23927.603</w:t>
                  </w: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9.993</w:t>
                  </w: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0.002</w:t>
                  </w:r>
                </w:p>
              </w:tc>
            </w:tr>
            <w:tr w:rsidR="005E5A73" w:rsidRPr="00BA37CC" w:rsidTr="005C75BB">
              <w:trPr>
                <w:trHeight w:val="227"/>
                <w:jc w:val="center"/>
              </w:trPr>
              <w:tc>
                <w:tcPr>
                  <w:tcW w:w="2268" w:type="dxa"/>
                  <w:tcBorders>
                    <w:top w:val="nil"/>
                    <w:left w:val="nil"/>
                    <w:bottom w:val="nil"/>
                    <w:right w:val="nil"/>
                  </w:tcBorders>
                  <w:shd w:val="clear" w:color="auto" w:fill="auto"/>
                  <w:noWrap/>
                  <w:vAlign w:val="center"/>
                  <w:hideMark/>
                </w:tcPr>
                <w:p w:rsidR="005E5A73" w:rsidRPr="00BA37CC" w:rsidRDefault="005E5A73" w:rsidP="00654171">
                  <w:pPr>
                    <w:jc w:val="left"/>
                    <w:rPr>
                      <w:rFonts w:ascii="Arial" w:eastAsia="Times New Roman" w:hAnsi="Arial" w:cs="Arial"/>
                      <w:color w:val="000000"/>
                      <w:sz w:val="16"/>
                      <w:szCs w:val="16"/>
                      <w:lang w:eastAsia="es-EC"/>
                    </w:rPr>
                  </w:pPr>
                  <w:r w:rsidRPr="00BA37CC">
                    <w:rPr>
                      <w:rFonts w:ascii="Arial" w:eastAsia="Times New Roman" w:hAnsi="Arial" w:cs="Arial"/>
                      <w:color w:val="000000"/>
                      <w:sz w:val="16"/>
                      <w:szCs w:val="16"/>
                      <w:lang w:eastAsia="es-EC"/>
                    </w:rPr>
                    <w:t>Modelo sin Tipo de Vivienda</w:t>
                  </w:r>
                </w:p>
              </w:tc>
              <w:tc>
                <w:tcPr>
                  <w:tcW w:w="196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23995.073</w:t>
                  </w: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77.463</w:t>
                  </w:r>
                </w:p>
              </w:tc>
              <w:tc>
                <w:tcPr>
                  <w:tcW w:w="1200" w:type="dxa"/>
                  <w:tcBorders>
                    <w:top w:val="nil"/>
                    <w:left w:val="nil"/>
                    <w:bottom w:val="nil"/>
                    <w:right w:val="nil"/>
                  </w:tcBorders>
                  <w:shd w:val="clear" w:color="auto" w:fill="auto"/>
                  <w:noWrap/>
                  <w:vAlign w:val="center"/>
                </w:tcPr>
                <w:p w:rsidR="005E5A73" w:rsidRDefault="005E5A73">
                  <w:pPr>
                    <w:rPr>
                      <w:rFonts w:ascii="Arial" w:hAnsi="Arial" w:cs="Arial"/>
                      <w:color w:val="000000"/>
                      <w:sz w:val="16"/>
                      <w:szCs w:val="16"/>
                    </w:rPr>
                  </w:pPr>
                  <w:r>
                    <w:rPr>
                      <w:rFonts w:ascii="Arial" w:hAnsi="Arial" w:cs="Arial"/>
                      <w:color w:val="000000"/>
                      <w:sz w:val="16"/>
                      <w:szCs w:val="16"/>
                    </w:rPr>
                    <w:t>0.000</w:t>
                  </w:r>
                </w:p>
              </w:tc>
            </w:tr>
            <w:tr w:rsidR="005E5A73" w:rsidRPr="00BA37CC" w:rsidTr="005C75BB">
              <w:trPr>
                <w:trHeight w:val="227"/>
                <w:jc w:val="center"/>
              </w:trPr>
              <w:tc>
                <w:tcPr>
                  <w:tcW w:w="2268" w:type="dxa"/>
                  <w:tcBorders>
                    <w:top w:val="nil"/>
                    <w:left w:val="nil"/>
                    <w:bottom w:val="single" w:sz="4" w:space="0" w:color="auto"/>
                    <w:right w:val="nil"/>
                  </w:tcBorders>
                  <w:shd w:val="clear" w:color="auto" w:fill="auto"/>
                  <w:noWrap/>
                  <w:vAlign w:val="center"/>
                  <w:hideMark/>
                </w:tcPr>
                <w:p w:rsidR="005E5A73" w:rsidRPr="00BA37CC" w:rsidRDefault="005E5A73" w:rsidP="00654171">
                  <w:pPr>
                    <w:jc w:val="left"/>
                    <w:rPr>
                      <w:rFonts w:ascii="Arial" w:eastAsia="Times New Roman" w:hAnsi="Arial" w:cs="Arial"/>
                      <w:color w:val="FF0000"/>
                      <w:sz w:val="16"/>
                      <w:szCs w:val="16"/>
                      <w:lang w:eastAsia="es-EC"/>
                    </w:rPr>
                  </w:pPr>
                  <w:r w:rsidRPr="00BA37CC">
                    <w:rPr>
                      <w:rFonts w:ascii="Arial" w:eastAsia="Times New Roman" w:hAnsi="Arial" w:cs="Arial"/>
                      <w:color w:val="FF0000"/>
                      <w:sz w:val="16"/>
                      <w:szCs w:val="16"/>
                      <w:lang w:eastAsia="es-EC"/>
                    </w:rPr>
                    <w:t>Modelo sin Trabaja</w:t>
                  </w:r>
                </w:p>
              </w:tc>
              <w:tc>
                <w:tcPr>
                  <w:tcW w:w="1960" w:type="dxa"/>
                  <w:tcBorders>
                    <w:top w:val="nil"/>
                    <w:left w:val="nil"/>
                    <w:bottom w:val="single" w:sz="4" w:space="0" w:color="auto"/>
                    <w:right w:val="nil"/>
                  </w:tcBorders>
                  <w:shd w:val="clear" w:color="auto" w:fill="auto"/>
                  <w:noWrap/>
                  <w:vAlign w:val="center"/>
                </w:tcPr>
                <w:p w:rsidR="005E5A73" w:rsidRDefault="005E5A73">
                  <w:pPr>
                    <w:rPr>
                      <w:rFonts w:ascii="Arial" w:hAnsi="Arial" w:cs="Arial"/>
                      <w:color w:val="FF0000"/>
                      <w:sz w:val="16"/>
                      <w:szCs w:val="16"/>
                    </w:rPr>
                  </w:pPr>
                  <w:r>
                    <w:rPr>
                      <w:rFonts w:ascii="Arial" w:hAnsi="Arial" w:cs="Arial"/>
                      <w:color w:val="FF0000"/>
                      <w:sz w:val="16"/>
                      <w:szCs w:val="16"/>
                    </w:rPr>
                    <w:t>23919.279</w:t>
                  </w:r>
                </w:p>
              </w:tc>
              <w:tc>
                <w:tcPr>
                  <w:tcW w:w="1200" w:type="dxa"/>
                  <w:tcBorders>
                    <w:top w:val="nil"/>
                    <w:left w:val="nil"/>
                    <w:bottom w:val="single" w:sz="4" w:space="0" w:color="auto"/>
                    <w:right w:val="nil"/>
                  </w:tcBorders>
                  <w:shd w:val="clear" w:color="auto" w:fill="auto"/>
                  <w:noWrap/>
                  <w:vAlign w:val="center"/>
                </w:tcPr>
                <w:p w:rsidR="005E5A73" w:rsidRDefault="005E5A73">
                  <w:pPr>
                    <w:rPr>
                      <w:rFonts w:ascii="Arial" w:hAnsi="Arial" w:cs="Arial"/>
                      <w:color w:val="FF0000"/>
                      <w:sz w:val="16"/>
                      <w:szCs w:val="16"/>
                    </w:rPr>
                  </w:pPr>
                  <w:r>
                    <w:rPr>
                      <w:rFonts w:ascii="Arial" w:hAnsi="Arial" w:cs="Arial"/>
                      <w:color w:val="FF0000"/>
                      <w:sz w:val="16"/>
                      <w:szCs w:val="16"/>
                    </w:rPr>
                    <w:t>1.669</w:t>
                  </w:r>
                </w:p>
              </w:tc>
              <w:tc>
                <w:tcPr>
                  <w:tcW w:w="1200" w:type="dxa"/>
                  <w:tcBorders>
                    <w:top w:val="nil"/>
                    <w:left w:val="nil"/>
                    <w:bottom w:val="single" w:sz="4" w:space="0" w:color="auto"/>
                    <w:right w:val="nil"/>
                  </w:tcBorders>
                  <w:shd w:val="clear" w:color="auto" w:fill="auto"/>
                  <w:noWrap/>
                  <w:vAlign w:val="center"/>
                </w:tcPr>
                <w:p w:rsidR="005E5A73" w:rsidRPr="005E5A73" w:rsidRDefault="005E5A73">
                  <w:pPr>
                    <w:rPr>
                      <w:rFonts w:ascii="Arial" w:hAnsi="Arial" w:cs="Arial"/>
                      <w:color w:val="FF0000"/>
                      <w:sz w:val="16"/>
                      <w:szCs w:val="16"/>
                    </w:rPr>
                  </w:pPr>
                  <w:r w:rsidRPr="005E5A73">
                    <w:rPr>
                      <w:rFonts w:ascii="Arial" w:hAnsi="Arial" w:cs="Arial"/>
                      <w:color w:val="FF0000"/>
                      <w:sz w:val="16"/>
                      <w:szCs w:val="16"/>
                    </w:rPr>
                    <w:t>0.196</w:t>
                  </w:r>
                </w:p>
              </w:tc>
            </w:tr>
          </w:tbl>
          <w:p w:rsidR="005C75BB" w:rsidRPr="00607324" w:rsidRDefault="005C75BB" w:rsidP="005C75BB">
            <w:pPr>
              <w:rPr>
                <w:rFonts w:ascii="Arial" w:hAnsi="Arial" w:cs="Arial"/>
                <w:sz w:val="24"/>
                <w:szCs w:val="24"/>
              </w:rPr>
            </w:pPr>
          </w:p>
        </w:tc>
      </w:tr>
    </w:tbl>
    <w:p w:rsidR="005C75BB" w:rsidRPr="005E5A73" w:rsidRDefault="005C75BB" w:rsidP="005E5A73">
      <w:pPr>
        <w:pStyle w:val="Prrafodelista"/>
        <w:spacing w:line="276" w:lineRule="auto"/>
        <w:ind w:left="851"/>
        <w:jc w:val="both"/>
        <w:rPr>
          <w:rFonts w:ascii="Arial" w:hAnsi="Arial" w:cs="Arial"/>
          <w:sz w:val="17"/>
          <w:szCs w:val="17"/>
        </w:rPr>
      </w:pPr>
    </w:p>
    <w:p w:rsidR="005C75BB" w:rsidRPr="005E5A73" w:rsidRDefault="005C75BB" w:rsidP="005E5A73">
      <w:pPr>
        <w:pStyle w:val="Prrafodelista"/>
        <w:spacing w:line="276" w:lineRule="auto"/>
        <w:ind w:left="851"/>
        <w:jc w:val="both"/>
        <w:rPr>
          <w:rFonts w:ascii="Arial" w:hAnsi="Arial" w:cs="Arial"/>
          <w:sz w:val="17"/>
          <w:szCs w:val="17"/>
        </w:rPr>
      </w:pPr>
      <w:r w:rsidRPr="005E5A73">
        <w:rPr>
          <w:rFonts w:ascii="Arial" w:hAnsi="Arial" w:cs="Arial"/>
          <w:b/>
          <w:i/>
          <w:sz w:val="17"/>
          <w:szCs w:val="17"/>
        </w:rPr>
        <w:t>Fuente:</w:t>
      </w:r>
      <w:r w:rsidRPr="005E5A73">
        <w:rPr>
          <w:rFonts w:ascii="Arial" w:hAnsi="Arial" w:cs="Arial"/>
          <w:sz w:val="17"/>
          <w:szCs w:val="17"/>
        </w:rPr>
        <w:t xml:space="preserve"> </w:t>
      </w:r>
      <w:r w:rsidRPr="005E5A73">
        <w:rPr>
          <w:rFonts w:ascii="Arial" w:hAnsi="Arial" w:cs="Arial"/>
          <w:b/>
          <w:sz w:val="17"/>
          <w:szCs w:val="17"/>
        </w:rPr>
        <w:t xml:space="preserve">INEC </w:t>
      </w:r>
      <w:r w:rsidRPr="005E5A73">
        <w:rPr>
          <w:rFonts w:ascii="Arial" w:hAnsi="Arial" w:cs="Arial"/>
          <w:sz w:val="17"/>
          <w:szCs w:val="17"/>
        </w:rPr>
        <w:t>(2010), Base de Datos del VII Censo de Población y VI de Vivienda.</w:t>
      </w:r>
    </w:p>
    <w:p w:rsidR="005C75BB" w:rsidRDefault="005C75BB" w:rsidP="005E5A73">
      <w:pPr>
        <w:pStyle w:val="Prrafodelista"/>
        <w:spacing w:line="276" w:lineRule="auto"/>
        <w:ind w:left="851"/>
        <w:jc w:val="both"/>
        <w:rPr>
          <w:rFonts w:ascii="Arial" w:hAnsi="Arial" w:cs="Arial"/>
          <w:sz w:val="18"/>
          <w:szCs w:val="18"/>
        </w:rPr>
      </w:pPr>
      <w:r w:rsidRPr="005E5A73">
        <w:rPr>
          <w:rFonts w:ascii="Arial" w:hAnsi="Arial" w:cs="Arial"/>
          <w:b/>
          <w:i/>
          <w:sz w:val="17"/>
          <w:szCs w:val="17"/>
        </w:rPr>
        <w:t>Elaborado por:</w:t>
      </w:r>
      <w:r w:rsidRPr="005E5A73">
        <w:rPr>
          <w:rFonts w:ascii="Arial" w:hAnsi="Arial" w:cs="Arial"/>
          <w:sz w:val="17"/>
          <w:szCs w:val="17"/>
        </w:rPr>
        <w:t xml:space="preserve"> Katherine Loor Valeriano</w:t>
      </w:r>
    </w:p>
    <w:p w:rsidR="005C75BB" w:rsidRDefault="005C75BB" w:rsidP="005C75BB">
      <w:pPr>
        <w:pStyle w:val="62"/>
        <w:numPr>
          <w:ilvl w:val="0"/>
          <w:numId w:val="0"/>
        </w:numPr>
        <w:ind w:left="1276"/>
      </w:pPr>
      <w:bookmarkStart w:id="1017" w:name="_Toc339275963"/>
    </w:p>
    <w:p w:rsidR="005C75BB" w:rsidRDefault="005C75BB" w:rsidP="00010F4A">
      <w:pPr>
        <w:pStyle w:val="62"/>
        <w:ind w:left="1560"/>
      </w:pPr>
      <w:bookmarkStart w:id="1018" w:name="_Toc341040757"/>
      <w:r>
        <w:t>Resultados del Modelo reducido</w:t>
      </w:r>
      <w:bookmarkEnd w:id="1017"/>
      <w:bookmarkEnd w:id="1018"/>
    </w:p>
    <w:p w:rsidR="005C75BB" w:rsidRPr="00010F4A" w:rsidRDefault="005C75BB" w:rsidP="00010F4A">
      <w:pPr>
        <w:spacing w:line="480" w:lineRule="auto"/>
        <w:ind w:left="851"/>
        <w:jc w:val="both"/>
        <w:rPr>
          <w:rFonts w:ascii="Arial" w:hAnsi="Arial" w:cs="Arial"/>
        </w:rPr>
      </w:pPr>
      <w:bookmarkStart w:id="1019" w:name="_Toc339853218"/>
      <w:bookmarkStart w:id="1020" w:name="_Toc340231988"/>
      <w:r w:rsidRPr="00010F4A">
        <w:rPr>
          <w:rFonts w:ascii="Arial" w:hAnsi="Arial" w:cs="Arial"/>
        </w:rPr>
        <w:t xml:space="preserve">Por medio de la prueba de la razón de verosimilitud se demostró que los factores área de residencia y trabajo no son significativas para el modelo, por tanto procedemos a construir un nuevo modelo en el cual no se incluirán esas dos variables a este modelo le denominaremos modelo reducido. En la </w:t>
      </w:r>
      <w:r w:rsidRPr="00010F4A">
        <w:rPr>
          <w:rFonts w:ascii="Arial" w:hAnsi="Arial" w:cs="Arial"/>
          <w:i/>
        </w:rPr>
        <w:t>Tabla 6.6</w:t>
      </w:r>
      <w:r w:rsidRPr="00010F4A">
        <w:rPr>
          <w:rFonts w:ascii="Arial" w:hAnsi="Arial" w:cs="Arial"/>
        </w:rPr>
        <w:t>, se muestran los resultados de los estimadores de beta, el análisis de los signos y el valor p, teniéndose que todas las variables son significativas pues el valor p es mucho menor que 0.05. Analizando el signo de los estimadores de beta, se tiene que la probabilidad de ser inmigrante disminuye para los menores de 30 años; ser hombre, en cambio, disminuye la probabilidad de residir en calidad de inmigrante en Guayaquil</w:t>
      </w:r>
      <w:bookmarkEnd w:id="1019"/>
      <w:bookmarkEnd w:id="1020"/>
      <w:r w:rsidR="00A23484">
        <w:rPr>
          <w:rFonts w:ascii="Arial" w:hAnsi="Arial" w:cs="Arial"/>
        </w:rPr>
        <w:t xml:space="preserve">. </w:t>
      </w:r>
    </w:p>
    <w:tbl>
      <w:tblPr>
        <w:tblStyle w:val="Tablaconcuadrcula"/>
        <w:tblW w:w="7459" w:type="dxa"/>
        <w:jc w:val="right"/>
        <w:tblInd w:w="1083"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59"/>
      </w:tblGrid>
      <w:tr w:rsidR="005C75BB" w:rsidRPr="003559D6" w:rsidTr="00A23484">
        <w:trPr>
          <w:trHeight w:val="4989"/>
          <w:jc w:val="right"/>
        </w:trPr>
        <w:tc>
          <w:tcPr>
            <w:tcW w:w="7459" w:type="dxa"/>
          </w:tcPr>
          <w:p w:rsidR="005C75BB" w:rsidRPr="00434327" w:rsidRDefault="005C75BB" w:rsidP="005C75BB">
            <w:pPr>
              <w:rPr>
                <w:rFonts w:ascii="Arial" w:hAnsi="Arial" w:cs="Arial"/>
                <w:sz w:val="16"/>
                <w:szCs w:val="16"/>
              </w:rPr>
            </w:pPr>
          </w:p>
          <w:p w:rsidR="00654171" w:rsidRPr="00654171" w:rsidRDefault="00654171" w:rsidP="00654171">
            <w:pPr>
              <w:pStyle w:val="Epgrafe"/>
              <w:rPr>
                <w:rFonts w:ascii="Arial" w:hAnsi="Arial" w:cs="Arial"/>
                <w:bCs w:val="0"/>
                <w:color w:val="auto"/>
                <w:sz w:val="16"/>
                <w:szCs w:val="16"/>
              </w:rPr>
            </w:pPr>
            <w:bookmarkStart w:id="1021" w:name="_Toc341042352"/>
            <w:r>
              <w:rPr>
                <w:rFonts w:ascii="Arial" w:hAnsi="Arial" w:cs="Arial"/>
                <w:bCs w:val="0"/>
                <w:color w:val="auto"/>
                <w:sz w:val="16"/>
                <w:szCs w:val="16"/>
              </w:rPr>
              <w:t>Tabla 6.</w:t>
            </w:r>
            <w:r w:rsidR="00990535" w:rsidRPr="00654171">
              <w:rPr>
                <w:rFonts w:ascii="Arial" w:hAnsi="Arial" w:cs="Arial"/>
                <w:bCs w:val="0"/>
                <w:color w:val="auto"/>
                <w:sz w:val="16"/>
                <w:szCs w:val="16"/>
              </w:rPr>
              <w:fldChar w:fldCharType="begin"/>
            </w:r>
            <w:r w:rsidRPr="00654171">
              <w:rPr>
                <w:rFonts w:ascii="Arial" w:hAnsi="Arial" w:cs="Arial"/>
                <w:bCs w:val="0"/>
                <w:color w:val="auto"/>
                <w:sz w:val="16"/>
                <w:szCs w:val="16"/>
              </w:rPr>
              <w:instrText xml:space="preserve"> SEQ Tabla_6. \* ARABIC </w:instrText>
            </w:r>
            <w:r w:rsidR="00990535" w:rsidRPr="00654171">
              <w:rPr>
                <w:rFonts w:ascii="Arial" w:hAnsi="Arial" w:cs="Arial"/>
                <w:bCs w:val="0"/>
                <w:color w:val="auto"/>
                <w:sz w:val="16"/>
                <w:szCs w:val="16"/>
              </w:rPr>
              <w:fldChar w:fldCharType="separate"/>
            </w:r>
            <w:r w:rsidR="00A242E0">
              <w:rPr>
                <w:rFonts w:ascii="Arial" w:hAnsi="Arial" w:cs="Arial"/>
                <w:bCs w:val="0"/>
                <w:noProof/>
                <w:color w:val="auto"/>
                <w:sz w:val="16"/>
                <w:szCs w:val="16"/>
              </w:rPr>
              <w:t>6</w:t>
            </w:r>
            <w:bookmarkEnd w:id="1021"/>
            <w:r w:rsidR="00990535" w:rsidRPr="00654171">
              <w:rPr>
                <w:rFonts w:ascii="Arial" w:hAnsi="Arial" w:cs="Arial"/>
                <w:bCs w:val="0"/>
                <w:color w:val="auto"/>
                <w:sz w:val="16"/>
                <w:szCs w:val="16"/>
              </w:rPr>
              <w:fldChar w:fldCharType="end"/>
            </w:r>
          </w:p>
          <w:p w:rsidR="00742BBC" w:rsidRDefault="00742BBC" w:rsidP="00742BBC">
            <w:pPr>
              <w:rPr>
                <w:rFonts w:ascii="Arial" w:hAnsi="Arial" w:cs="Arial"/>
                <w:i/>
                <w:sz w:val="16"/>
                <w:szCs w:val="16"/>
              </w:rPr>
            </w:pPr>
            <w:r>
              <w:rPr>
                <w:rFonts w:ascii="Arial" w:hAnsi="Arial" w:cs="Arial"/>
                <w:b/>
                <w:i/>
                <w:sz w:val="16"/>
                <w:szCs w:val="16"/>
              </w:rPr>
              <w:t xml:space="preserve">Guayaquil 2010: </w:t>
            </w:r>
            <w:r>
              <w:rPr>
                <w:rFonts w:ascii="Arial" w:hAnsi="Arial" w:cs="Arial"/>
                <w:i/>
                <w:sz w:val="16"/>
                <w:szCs w:val="16"/>
              </w:rPr>
              <w:t>Estimadores de los parámetros del modelo reducido de la migración hacia Guayaquil (y = 1 = Inmigrante; y =  0 = Nativo)</w:t>
            </w:r>
          </w:p>
          <w:p w:rsidR="005C75BB" w:rsidRPr="003D21E9" w:rsidRDefault="005C75BB" w:rsidP="005C75BB">
            <w:pPr>
              <w:rPr>
                <w:rFonts w:ascii="Arial" w:hAnsi="Arial" w:cs="Arial"/>
                <w:i/>
                <w:sz w:val="10"/>
                <w:szCs w:val="10"/>
              </w:rPr>
            </w:pPr>
          </w:p>
          <w:tbl>
            <w:tblPr>
              <w:tblW w:w="7202" w:type="dxa"/>
              <w:jc w:val="center"/>
              <w:tblCellMar>
                <w:left w:w="70" w:type="dxa"/>
                <w:right w:w="70" w:type="dxa"/>
              </w:tblCellMar>
              <w:tblLook w:val="04A0" w:firstRow="1" w:lastRow="0" w:firstColumn="1" w:lastColumn="0" w:noHBand="0" w:noVBand="1"/>
            </w:tblPr>
            <w:tblGrid>
              <w:gridCol w:w="1020"/>
              <w:gridCol w:w="1307"/>
              <w:gridCol w:w="859"/>
              <w:gridCol w:w="727"/>
              <w:gridCol w:w="1726"/>
              <w:gridCol w:w="525"/>
              <w:gridCol w:w="1038"/>
            </w:tblGrid>
            <w:tr w:rsidR="005C75BB" w:rsidRPr="009044E0" w:rsidTr="00A23484">
              <w:trPr>
                <w:trHeight w:val="20"/>
                <w:jc w:val="center"/>
              </w:trPr>
              <w:tc>
                <w:tcPr>
                  <w:tcW w:w="1020" w:type="dxa"/>
                  <w:tcBorders>
                    <w:top w:val="single" w:sz="4" w:space="0" w:color="auto"/>
                    <w:left w:val="nil"/>
                    <w:bottom w:val="single" w:sz="4" w:space="0" w:color="auto"/>
                    <w:right w:val="nil"/>
                  </w:tcBorders>
                  <w:shd w:val="clear" w:color="auto" w:fill="auto"/>
                  <w:noWrap/>
                  <w:vAlign w:val="center"/>
                  <w:hideMark/>
                </w:tcPr>
                <w:p w:rsidR="005C75BB" w:rsidRPr="009044E0" w:rsidRDefault="005C75BB" w:rsidP="005C75BB">
                  <w:pPr>
                    <w:rPr>
                      <w:rFonts w:ascii="Arial" w:eastAsia="Times New Roman" w:hAnsi="Arial" w:cs="Arial"/>
                      <w:b/>
                      <w:bCs/>
                      <w:color w:val="000000"/>
                      <w:sz w:val="14"/>
                      <w:szCs w:val="14"/>
                      <w:lang w:eastAsia="es-EC"/>
                    </w:rPr>
                  </w:pPr>
                  <w:r w:rsidRPr="009044E0">
                    <w:rPr>
                      <w:rFonts w:ascii="Arial" w:eastAsia="Times New Roman" w:hAnsi="Arial" w:cs="Arial"/>
                      <w:b/>
                      <w:bCs/>
                      <w:color w:val="000000"/>
                      <w:sz w:val="14"/>
                      <w:szCs w:val="14"/>
                      <w:lang w:eastAsia="es-EC"/>
                    </w:rPr>
                    <w:t>Variable</w:t>
                  </w:r>
                </w:p>
              </w:tc>
              <w:tc>
                <w:tcPr>
                  <w:tcW w:w="1307" w:type="dxa"/>
                  <w:tcBorders>
                    <w:top w:val="single" w:sz="4" w:space="0" w:color="auto"/>
                    <w:left w:val="nil"/>
                    <w:bottom w:val="single" w:sz="4" w:space="0" w:color="auto"/>
                    <w:right w:val="nil"/>
                  </w:tcBorders>
                  <w:vAlign w:val="center"/>
                </w:tcPr>
                <w:p w:rsidR="005C75BB" w:rsidRPr="009044E0" w:rsidRDefault="005C75BB" w:rsidP="005C75BB">
                  <w:pPr>
                    <w:rPr>
                      <w:rFonts w:ascii="Arial" w:eastAsia="Times New Roman" w:hAnsi="Arial" w:cs="Arial"/>
                      <w:b/>
                      <w:bCs/>
                      <w:color w:val="000000"/>
                      <w:sz w:val="14"/>
                      <w:szCs w:val="14"/>
                      <w:lang w:eastAsia="es-EC"/>
                    </w:rPr>
                  </w:pPr>
                  <w:r w:rsidRPr="009044E0">
                    <w:rPr>
                      <w:rFonts w:ascii="Arial" w:eastAsia="Times New Roman" w:hAnsi="Arial" w:cs="Arial"/>
                      <w:b/>
                      <w:bCs/>
                      <w:color w:val="000000"/>
                      <w:sz w:val="14"/>
                      <w:szCs w:val="14"/>
                      <w:lang w:eastAsia="es-EC"/>
                    </w:rPr>
                    <w:t>Codificación</w:t>
                  </w:r>
                </w:p>
              </w:tc>
              <w:tc>
                <w:tcPr>
                  <w:tcW w:w="859" w:type="dxa"/>
                  <w:tcBorders>
                    <w:top w:val="single" w:sz="4" w:space="0" w:color="auto"/>
                    <w:left w:val="nil"/>
                    <w:bottom w:val="single" w:sz="4" w:space="0" w:color="auto"/>
                    <w:right w:val="nil"/>
                  </w:tcBorders>
                  <w:shd w:val="clear" w:color="auto" w:fill="auto"/>
                  <w:vAlign w:val="center"/>
                  <w:hideMark/>
                </w:tcPr>
                <w:p w:rsidR="005C75BB" w:rsidRPr="009044E0" w:rsidRDefault="005C75BB" w:rsidP="005C75BB">
                  <w:pPr>
                    <w:rPr>
                      <w:rFonts w:ascii="Arial" w:eastAsia="Times New Roman" w:hAnsi="Arial" w:cs="Arial"/>
                      <w:b/>
                      <w:bCs/>
                      <w:color w:val="000000"/>
                      <w:sz w:val="14"/>
                      <w:szCs w:val="14"/>
                      <w:lang w:eastAsia="es-EC"/>
                    </w:rPr>
                  </w:pPr>
                  <w:r w:rsidRPr="009044E0">
                    <w:rPr>
                      <w:rFonts w:ascii="Arial" w:eastAsia="Times New Roman" w:hAnsi="Arial" w:cs="Arial"/>
                      <w:b/>
                      <w:bCs/>
                      <w:color w:val="000000"/>
                      <w:sz w:val="14"/>
                      <w:szCs w:val="14"/>
                      <w:lang w:eastAsia="es-EC"/>
                    </w:rPr>
                    <w:t>Estimador</w:t>
                  </w:r>
                </w:p>
              </w:tc>
              <w:tc>
                <w:tcPr>
                  <w:tcW w:w="727" w:type="dxa"/>
                  <w:tcBorders>
                    <w:top w:val="single" w:sz="4" w:space="0" w:color="auto"/>
                    <w:left w:val="nil"/>
                    <w:bottom w:val="single" w:sz="4" w:space="0" w:color="auto"/>
                    <w:right w:val="nil"/>
                  </w:tcBorders>
                  <w:shd w:val="clear" w:color="auto" w:fill="auto"/>
                  <w:vAlign w:val="center"/>
                  <w:hideMark/>
                </w:tcPr>
                <w:p w:rsidR="005C75BB" w:rsidRPr="009044E0" w:rsidRDefault="005C75BB" w:rsidP="005C75BB">
                  <w:pPr>
                    <w:rPr>
                      <w:rFonts w:ascii="Arial" w:eastAsia="Times New Roman" w:hAnsi="Arial" w:cs="Arial"/>
                      <w:b/>
                      <w:bCs/>
                      <w:color w:val="000000"/>
                      <w:sz w:val="14"/>
                      <w:szCs w:val="14"/>
                      <w:lang w:eastAsia="es-EC"/>
                    </w:rPr>
                  </w:pPr>
                  <w:r w:rsidRPr="009044E0">
                    <w:rPr>
                      <w:rFonts w:ascii="Arial" w:eastAsia="Times New Roman" w:hAnsi="Arial" w:cs="Arial"/>
                      <w:b/>
                      <w:bCs/>
                      <w:color w:val="000000"/>
                      <w:sz w:val="14"/>
                      <w:szCs w:val="14"/>
                      <w:lang w:eastAsia="es-EC"/>
                    </w:rPr>
                    <w:t>Signo</w:t>
                  </w:r>
                </w:p>
              </w:tc>
              <w:tc>
                <w:tcPr>
                  <w:tcW w:w="1726" w:type="dxa"/>
                  <w:tcBorders>
                    <w:top w:val="single" w:sz="4" w:space="0" w:color="auto"/>
                    <w:left w:val="nil"/>
                    <w:bottom w:val="single" w:sz="4" w:space="0" w:color="auto"/>
                    <w:right w:val="nil"/>
                  </w:tcBorders>
                  <w:shd w:val="clear" w:color="auto" w:fill="auto"/>
                  <w:vAlign w:val="center"/>
                  <w:hideMark/>
                </w:tcPr>
                <w:p w:rsidR="005C75BB" w:rsidRPr="009044E0" w:rsidRDefault="005C75BB" w:rsidP="005C75BB">
                  <w:pPr>
                    <w:rPr>
                      <w:rFonts w:ascii="Arial" w:eastAsia="Times New Roman" w:hAnsi="Arial" w:cs="Arial"/>
                      <w:b/>
                      <w:bCs/>
                      <w:color w:val="000000"/>
                      <w:sz w:val="14"/>
                      <w:szCs w:val="14"/>
                      <w:lang w:eastAsia="es-EC"/>
                    </w:rPr>
                  </w:pPr>
                  <w:r w:rsidRPr="009044E0">
                    <w:rPr>
                      <w:rFonts w:ascii="Arial" w:eastAsia="Times New Roman" w:hAnsi="Arial" w:cs="Arial"/>
                      <w:b/>
                      <w:bCs/>
                      <w:color w:val="000000"/>
                      <w:sz w:val="14"/>
                      <w:szCs w:val="14"/>
                      <w:lang w:eastAsia="es-EC"/>
                    </w:rPr>
                    <w:t>Explicación</w:t>
                  </w:r>
                </w:p>
              </w:tc>
              <w:tc>
                <w:tcPr>
                  <w:tcW w:w="525" w:type="dxa"/>
                  <w:tcBorders>
                    <w:top w:val="single" w:sz="4" w:space="0" w:color="auto"/>
                    <w:left w:val="nil"/>
                    <w:bottom w:val="single" w:sz="4" w:space="0" w:color="auto"/>
                    <w:right w:val="nil"/>
                  </w:tcBorders>
                  <w:shd w:val="clear" w:color="auto" w:fill="auto"/>
                  <w:vAlign w:val="center"/>
                  <w:hideMark/>
                </w:tcPr>
                <w:p w:rsidR="005C75BB" w:rsidRPr="009044E0" w:rsidRDefault="005C75BB" w:rsidP="005C75BB">
                  <w:pPr>
                    <w:rPr>
                      <w:rFonts w:ascii="Arial" w:eastAsia="Times New Roman" w:hAnsi="Arial" w:cs="Arial"/>
                      <w:b/>
                      <w:bCs/>
                      <w:color w:val="000000"/>
                      <w:sz w:val="14"/>
                      <w:szCs w:val="14"/>
                      <w:lang w:eastAsia="es-EC"/>
                    </w:rPr>
                  </w:pPr>
                  <w:r w:rsidRPr="009044E0">
                    <w:rPr>
                      <w:rFonts w:ascii="Arial" w:eastAsia="Times New Roman" w:hAnsi="Arial" w:cs="Arial"/>
                      <w:b/>
                      <w:bCs/>
                      <w:color w:val="000000"/>
                      <w:sz w:val="14"/>
                      <w:szCs w:val="14"/>
                      <w:lang w:eastAsia="es-EC"/>
                    </w:rPr>
                    <w:t>Valor p</w:t>
                  </w:r>
                </w:p>
              </w:tc>
              <w:tc>
                <w:tcPr>
                  <w:tcW w:w="1038" w:type="dxa"/>
                  <w:tcBorders>
                    <w:top w:val="single" w:sz="4" w:space="0" w:color="auto"/>
                    <w:left w:val="nil"/>
                    <w:bottom w:val="single" w:sz="4" w:space="0" w:color="auto"/>
                    <w:right w:val="nil"/>
                  </w:tcBorders>
                  <w:shd w:val="clear" w:color="auto" w:fill="auto"/>
                  <w:vAlign w:val="center"/>
                  <w:hideMark/>
                </w:tcPr>
                <w:p w:rsidR="005C75BB" w:rsidRPr="009044E0" w:rsidRDefault="005C75BB" w:rsidP="005C75BB">
                  <w:pPr>
                    <w:rPr>
                      <w:rFonts w:ascii="Arial" w:eastAsia="Times New Roman" w:hAnsi="Arial" w:cs="Arial"/>
                      <w:b/>
                      <w:bCs/>
                      <w:color w:val="000000"/>
                      <w:sz w:val="14"/>
                      <w:szCs w:val="14"/>
                      <w:lang w:eastAsia="es-EC"/>
                    </w:rPr>
                  </w:pPr>
                  <w:r w:rsidRPr="009044E0">
                    <w:rPr>
                      <w:rFonts w:ascii="Arial" w:eastAsia="Times New Roman" w:hAnsi="Arial" w:cs="Arial"/>
                      <w:b/>
                      <w:bCs/>
                      <w:color w:val="000000"/>
                      <w:sz w:val="14"/>
                      <w:szCs w:val="14"/>
                      <w:lang w:eastAsia="es-EC"/>
                    </w:rPr>
                    <w:t>Significancia</w:t>
                  </w:r>
                </w:p>
              </w:tc>
            </w:tr>
            <w:tr w:rsidR="00A23484" w:rsidRPr="009044E0" w:rsidTr="00A23484">
              <w:trPr>
                <w:trHeight w:val="737"/>
                <w:jc w:val="center"/>
              </w:trPr>
              <w:tc>
                <w:tcPr>
                  <w:tcW w:w="1020" w:type="dxa"/>
                  <w:tcBorders>
                    <w:top w:val="nil"/>
                    <w:left w:val="nil"/>
                    <w:bottom w:val="nil"/>
                    <w:right w:val="nil"/>
                  </w:tcBorders>
                  <w:shd w:val="clear" w:color="auto" w:fill="auto"/>
                  <w:noWrap/>
                  <w:vAlign w:val="center"/>
                </w:tcPr>
                <w:p w:rsidR="00A23484" w:rsidRPr="009044E0" w:rsidRDefault="00A23484" w:rsidP="00654171">
                  <w:pPr>
                    <w:jc w:val="left"/>
                    <w:rPr>
                      <w:rFonts w:ascii="Arial" w:hAnsi="Arial" w:cs="Arial"/>
                      <w:color w:val="000000"/>
                      <w:sz w:val="14"/>
                      <w:szCs w:val="14"/>
                    </w:rPr>
                  </w:pPr>
                  <w:r w:rsidRPr="009044E0">
                    <w:rPr>
                      <w:rFonts w:ascii="Arial" w:hAnsi="Arial" w:cs="Arial"/>
                      <w:color w:val="000000"/>
                      <w:sz w:val="14"/>
                      <w:szCs w:val="14"/>
                    </w:rPr>
                    <w:t>Edad (X</w:t>
                  </w:r>
                  <w:r w:rsidRPr="00A23484">
                    <w:rPr>
                      <w:rFonts w:ascii="Arial" w:hAnsi="Arial" w:cs="Arial"/>
                      <w:color w:val="000000"/>
                      <w:sz w:val="14"/>
                      <w:szCs w:val="14"/>
                      <w:vertAlign w:val="subscript"/>
                    </w:rPr>
                    <w:t>1</w:t>
                  </w:r>
                  <w:r w:rsidRPr="009044E0">
                    <w:rPr>
                      <w:rFonts w:ascii="Arial" w:hAnsi="Arial" w:cs="Arial"/>
                      <w:color w:val="000000"/>
                      <w:sz w:val="14"/>
                      <w:szCs w:val="14"/>
                    </w:rPr>
                    <w:t>)</w:t>
                  </w:r>
                </w:p>
              </w:tc>
              <w:tc>
                <w:tcPr>
                  <w:tcW w:w="1307" w:type="dxa"/>
                  <w:tcBorders>
                    <w:top w:val="nil"/>
                    <w:left w:val="nil"/>
                    <w:bottom w:val="nil"/>
                    <w:right w:val="nil"/>
                  </w:tcBorders>
                  <w:vAlign w:val="center"/>
                </w:tcPr>
                <w:p w:rsidR="00A23484" w:rsidRDefault="00A23484" w:rsidP="00654171">
                  <w:pPr>
                    <w:jc w:val="left"/>
                    <w:rPr>
                      <w:rFonts w:ascii="Arial" w:hAnsi="Arial" w:cs="Arial"/>
                      <w:color w:val="000000"/>
                      <w:sz w:val="14"/>
                      <w:szCs w:val="14"/>
                    </w:rPr>
                  </w:pPr>
                  <w:r>
                    <w:rPr>
                      <w:rFonts w:ascii="Arial" w:hAnsi="Arial" w:cs="Arial"/>
                      <w:color w:val="000000"/>
                      <w:sz w:val="14"/>
                      <w:szCs w:val="14"/>
                    </w:rPr>
                    <w:t>1: Menor de 30 años</w:t>
                  </w:r>
                </w:p>
                <w:p w:rsidR="00A23484" w:rsidRPr="009044E0" w:rsidRDefault="00A23484" w:rsidP="00654171">
                  <w:pPr>
                    <w:jc w:val="left"/>
                    <w:rPr>
                      <w:rFonts w:ascii="Arial" w:hAnsi="Arial" w:cs="Arial"/>
                      <w:color w:val="000000"/>
                      <w:sz w:val="14"/>
                      <w:szCs w:val="14"/>
                    </w:rPr>
                  </w:pPr>
                  <w:r>
                    <w:rPr>
                      <w:rFonts w:ascii="Arial" w:hAnsi="Arial" w:cs="Arial"/>
                      <w:color w:val="000000"/>
                      <w:sz w:val="14"/>
                      <w:szCs w:val="14"/>
                    </w:rPr>
                    <w:t>0: 30 años o más</w:t>
                  </w:r>
                </w:p>
              </w:tc>
              <w:tc>
                <w:tcPr>
                  <w:tcW w:w="859" w:type="dxa"/>
                  <w:tcBorders>
                    <w:top w:val="nil"/>
                    <w:left w:val="nil"/>
                    <w:bottom w:val="nil"/>
                    <w:right w:val="nil"/>
                  </w:tcBorders>
                  <w:shd w:val="clear" w:color="auto" w:fill="auto"/>
                  <w:noWrap/>
                  <w:vAlign w:val="center"/>
                </w:tcPr>
                <w:p w:rsidR="00A23484" w:rsidRPr="00A23484" w:rsidRDefault="00A23484">
                  <w:pPr>
                    <w:rPr>
                      <w:rFonts w:ascii="Arial" w:hAnsi="Arial" w:cs="Arial"/>
                      <w:color w:val="000000"/>
                      <w:sz w:val="14"/>
                      <w:szCs w:val="14"/>
                    </w:rPr>
                  </w:pPr>
                  <w:r w:rsidRPr="00A23484">
                    <w:rPr>
                      <w:rFonts w:ascii="Arial" w:hAnsi="Arial" w:cs="Arial"/>
                      <w:color w:val="000000"/>
                      <w:sz w:val="14"/>
                      <w:szCs w:val="14"/>
                    </w:rPr>
                    <w:t>-0.885</w:t>
                  </w:r>
                </w:p>
              </w:tc>
              <w:tc>
                <w:tcPr>
                  <w:tcW w:w="727" w:type="dxa"/>
                  <w:tcBorders>
                    <w:top w:val="nil"/>
                    <w:left w:val="nil"/>
                    <w:bottom w:val="nil"/>
                    <w:right w:val="nil"/>
                  </w:tcBorders>
                  <w:shd w:val="clear" w:color="auto" w:fill="auto"/>
                  <w:noWrap/>
                  <w:vAlign w:val="center"/>
                </w:tcPr>
                <w:p w:rsidR="00A23484" w:rsidRPr="009044E0" w:rsidRDefault="00A23484" w:rsidP="005C75BB">
                  <w:pPr>
                    <w:rPr>
                      <w:rFonts w:ascii="Arial" w:hAnsi="Arial" w:cs="Arial"/>
                      <w:color w:val="000000"/>
                      <w:sz w:val="14"/>
                      <w:szCs w:val="14"/>
                    </w:rPr>
                  </w:pPr>
                  <w:r w:rsidRPr="009044E0">
                    <w:rPr>
                      <w:rFonts w:ascii="Arial" w:hAnsi="Arial" w:cs="Arial"/>
                      <w:color w:val="000000"/>
                      <w:sz w:val="14"/>
                      <w:szCs w:val="14"/>
                    </w:rPr>
                    <w:t>Negativo</w:t>
                  </w:r>
                </w:p>
              </w:tc>
              <w:tc>
                <w:tcPr>
                  <w:tcW w:w="1726" w:type="dxa"/>
                  <w:tcBorders>
                    <w:top w:val="nil"/>
                    <w:left w:val="nil"/>
                    <w:bottom w:val="nil"/>
                    <w:right w:val="nil"/>
                  </w:tcBorders>
                  <w:shd w:val="clear" w:color="auto" w:fill="auto"/>
                  <w:vAlign w:val="center"/>
                </w:tcPr>
                <w:p w:rsidR="00A23484" w:rsidRPr="009044E0" w:rsidRDefault="00A23484" w:rsidP="00654171">
                  <w:pPr>
                    <w:jc w:val="left"/>
                    <w:rPr>
                      <w:rFonts w:ascii="Arial" w:hAnsi="Arial" w:cs="Arial"/>
                      <w:color w:val="000000"/>
                      <w:sz w:val="14"/>
                      <w:szCs w:val="14"/>
                    </w:rPr>
                  </w:pPr>
                  <w:r w:rsidRPr="009044E0">
                    <w:rPr>
                      <w:rFonts w:ascii="Arial" w:hAnsi="Arial" w:cs="Arial"/>
                      <w:color w:val="000000"/>
                      <w:sz w:val="14"/>
                      <w:szCs w:val="14"/>
                    </w:rPr>
                    <w:t>Personas menores de 30 años disminuye la probabilidad ser inmigrante</w:t>
                  </w:r>
                </w:p>
              </w:tc>
              <w:tc>
                <w:tcPr>
                  <w:tcW w:w="525" w:type="dxa"/>
                  <w:tcBorders>
                    <w:top w:val="nil"/>
                    <w:left w:val="nil"/>
                    <w:bottom w:val="nil"/>
                    <w:right w:val="nil"/>
                  </w:tcBorders>
                  <w:shd w:val="clear" w:color="auto" w:fill="auto"/>
                  <w:noWrap/>
                  <w:vAlign w:val="center"/>
                </w:tcPr>
                <w:p w:rsidR="00A23484" w:rsidRPr="00A23484" w:rsidRDefault="00A23484">
                  <w:pPr>
                    <w:rPr>
                      <w:rFonts w:ascii="Arial" w:hAnsi="Arial" w:cs="Arial"/>
                      <w:color w:val="000000"/>
                      <w:sz w:val="14"/>
                      <w:szCs w:val="14"/>
                    </w:rPr>
                  </w:pPr>
                  <w:r w:rsidRPr="00A23484">
                    <w:rPr>
                      <w:rFonts w:ascii="Arial" w:hAnsi="Arial" w:cs="Arial"/>
                      <w:color w:val="000000"/>
                      <w:sz w:val="14"/>
                      <w:szCs w:val="14"/>
                    </w:rPr>
                    <w:t>0.000</w:t>
                  </w:r>
                </w:p>
              </w:tc>
              <w:tc>
                <w:tcPr>
                  <w:tcW w:w="1038" w:type="dxa"/>
                  <w:tcBorders>
                    <w:top w:val="nil"/>
                    <w:left w:val="nil"/>
                    <w:bottom w:val="nil"/>
                    <w:right w:val="nil"/>
                  </w:tcBorders>
                  <w:shd w:val="clear" w:color="auto" w:fill="auto"/>
                  <w:noWrap/>
                  <w:vAlign w:val="center"/>
                </w:tcPr>
                <w:p w:rsidR="00A23484" w:rsidRPr="009044E0" w:rsidRDefault="00A23484" w:rsidP="005C75BB">
                  <w:pPr>
                    <w:rPr>
                      <w:rFonts w:ascii="Arial" w:hAnsi="Arial" w:cs="Arial"/>
                      <w:color w:val="000000"/>
                      <w:sz w:val="14"/>
                      <w:szCs w:val="14"/>
                    </w:rPr>
                  </w:pPr>
                  <w:r w:rsidRPr="009044E0">
                    <w:rPr>
                      <w:rFonts w:ascii="Arial" w:hAnsi="Arial" w:cs="Arial"/>
                      <w:color w:val="000000"/>
                      <w:sz w:val="14"/>
                      <w:szCs w:val="14"/>
                    </w:rPr>
                    <w:t>Sí</w:t>
                  </w:r>
                </w:p>
              </w:tc>
            </w:tr>
            <w:tr w:rsidR="00A23484" w:rsidRPr="009044E0" w:rsidTr="00A23484">
              <w:trPr>
                <w:trHeight w:val="567"/>
                <w:jc w:val="center"/>
              </w:trPr>
              <w:tc>
                <w:tcPr>
                  <w:tcW w:w="1020" w:type="dxa"/>
                  <w:tcBorders>
                    <w:top w:val="nil"/>
                    <w:left w:val="nil"/>
                    <w:bottom w:val="nil"/>
                    <w:right w:val="nil"/>
                  </w:tcBorders>
                  <w:shd w:val="clear" w:color="auto" w:fill="auto"/>
                  <w:noWrap/>
                  <w:vAlign w:val="center"/>
                </w:tcPr>
                <w:p w:rsidR="00A23484" w:rsidRPr="009044E0" w:rsidRDefault="00A23484" w:rsidP="00654171">
                  <w:pPr>
                    <w:jc w:val="left"/>
                    <w:rPr>
                      <w:rFonts w:ascii="Arial" w:hAnsi="Arial" w:cs="Arial"/>
                      <w:color w:val="000000"/>
                      <w:sz w:val="14"/>
                      <w:szCs w:val="14"/>
                    </w:rPr>
                  </w:pPr>
                  <w:r w:rsidRPr="009044E0">
                    <w:rPr>
                      <w:rFonts w:ascii="Arial" w:hAnsi="Arial" w:cs="Arial"/>
                      <w:color w:val="000000"/>
                      <w:sz w:val="14"/>
                      <w:szCs w:val="14"/>
                    </w:rPr>
                    <w:t>Género (X</w:t>
                  </w:r>
                  <w:r w:rsidRPr="00A23484">
                    <w:rPr>
                      <w:rFonts w:ascii="Arial" w:hAnsi="Arial" w:cs="Arial"/>
                      <w:color w:val="000000"/>
                      <w:sz w:val="14"/>
                      <w:szCs w:val="14"/>
                      <w:vertAlign w:val="subscript"/>
                    </w:rPr>
                    <w:t>2</w:t>
                  </w:r>
                  <w:r w:rsidRPr="009044E0">
                    <w:rPr>
                      <w:rFonts w:ascii="Arial" w:hAnsi="Arial" w:cs="Arial"/>
                      <w:color w:val="000000"/>
                      <w:sz w:val="14"/>
                      <w:szCs w:val="14"/>
                    </w:rPr>
                    <w:t>)</w:t>
                  </w:r>
                </w:p>
              </w:tc>
              <w:tc>
                <w:tcPr>
                  <w:tcW w:w="1307" w:type="dxa"/>
                  <w:tcBorders>
                    <w:top w:val="nil"/>
                    <w:left w:val="nil"/>
                    <w:bottom w:val="nil"/>
                    <w:right w:val="nil"/>
                  </w:tcBorders>
                  <w:vAlign w:val="center"/>
                </w:tcPr>
                <w:p w:rsidR="00A23484" w:rsidRDefault="00A23484" w:rsidP="00654171">
                  <w:pPr>
                    <w:jc w:val="left"/>
                    <w:rPr>
                      <w:rFonts w:ascii="Arial" w:hAnsi="Arial" w:cs="Arial"/>
                      <w:color w:val="000000"/>
                      <w:sz w:val="14"/>
                      <w:szCs w:val="14"/>
                    </w:rPr>
                  </w:pPr>
                  <w:r>
                    <w:rPr>
                      <w:rFonts w:ascii="Arial" w:hAnsi="Arial" w:cs="Arial"/>
                      <w:color w:val="000000"/>
                      <w:sz w:val="14"/>
                      <w:szCs w:val="14"/>
                    </w:rPr>
                    <w:t>1: Hombre</w:t>
                  </w:r>
                </w:p>
                <w:p w:rsidR="00A23484" w:rsidRPr="009044E0" w:rsidRDefault="00A23484" w:rsidP="00654171">
                  <w:pPr>
                    <w:jc w:val="left"/>
                    <w:rPr>
                      <w:rFonts w:ascii="Arial" w:hAnsi="Arial" w:cs="Arial"/>
                      <w:color w:val="000000"/>
                      <w:sz w:val="14"/>
                      <w:szCs w:val="14"/>
                    </w:rPr>
                  </w:pPr>
                  <w:r>
                    <w:rPr>
                      <w:rFonts w:ascii="Arial" w:hAnsi="Arial" w:cs="Arial"/>
                      <w:color w:val="000000"/>
                      <w:sz w:val="14"/>
                      <w:szCs w:val="14"/>
                    </w:rPr>
                    <w:t>0: Mujer</w:t>
                  </w:r>
                </w:p>
              </w:tc>
              <w:tc>
                <w:tcPr>
                  <w:tcW w:w="859" w:type="dxa"/>
                  <w:tcBorders>
                    <w:top w:val="nil"/>
                    <w:left w:val="nil"/>
                    <w:bottom w:val="nil"/>
                    <w:right w:val="nil"/>
                  </w:tcBorders>
                  <w:shd w:val="clear" w:color="auto" w:fill="auto"/>
                  <w:noWrap/>
                  <w:vAlign w:val="center"/>
                </w:tcPr>
                <w:p w:rsidR="00A23484" w:rsidRPr="00A23484" w:rsidRDefault="00A23484">
                  <w:pPr>
                    <w:rPr>
                      <w:rFonts w:ascii="Arial" w:hAnsi="Arial" w:cs="Arial"/>
                      <w:color w:val="000000"/>
                      <w:sz w:val="14"/>
                      <w:szCs w:val="14"/>
                    </w:rPr>
                  </w:pPr>
                  <w:r w:rsidRPr="00A23484">
                    <w:rPr>
                      <w:rFonts w:ascii="Arial" w:hAnsi="Arial" w:cs="Arial"/>
                      <w:color w:val="000000"/>
                      <w:sz w:val="14"/>
                      <w:szCs w:val="14"/>
                    </w:rPr>
                    <w:t>-0.103</w:t>
                  </w:r>
                </w:p>
              </w:tc>
              <w:tc>
                <w:tcPr>
                  <w:tcW w:w="727" w:type="dxa"/>
                  <w:tcBorders>
                    <w:top w:val="nil"/>
                    <w:left w:val="nil"/>
                    <w:bottom w:val="nil"/>
                    <w:right w:val="nil"/>
                  </w:tcBorders>
                  <w:shd w:val="clear" w:color="auto" w:fill="auto"/>
                  <w:noWrap/>
                  <w:vAlign w:val="center"/>
                </w:tcPr>
                <w:p w:rsidR="00A23484" w:rsidRPr="009044E0" w:rsidRDefault="00A23484" w:rsidP="005C75BB">
                  <w:pPr>
                    <w:rPr>
                      <w:rFonts w:ascii="Arial" w:hAnsi="Arial" w:cs="Arial"/>
                      <w:color w:val="000000"/>
                      <w:sz w:val="14"/>
                      <w:szCs w:val="14"/>
                    </w:rPr>
                  </w:pPr>
                  <w:r w:rsidRPr="009044E0">
                    <w:rPr>
                      <w:rFonts w:ascii="Arial" w:hAnsi="Arial" w:cs="Arial"/>
                      <w:color w:val="000000"/>
                      <w:sz w:val="14"/>
                      <w:szCs w:val="14"/>
                    </w:rPr>
                    <w:t>Negativo</w:t>
                  </w:r>
                </w:p>
              </w:tc>
              <w:tc>
                <w:tcPr>
                  <w:tcW w:w="1726" w:type="dxa"/>
                  <w:tcBorders>
                    <w:top w:val="nil"/>
                    <w:left w:val="nil"/>
                    <w:bottom w:val="nil"/>
                    <w:right w:val="nil"/>
                  </w:tcBorders>
                  <w:shd w:val="clear" w:color="auto" w:fill="auto"/>
                  <w:vAlign w:val="center"/>
                </w:tcPr>
                <w:p w:rsidR="00A23484" w:rsidRPr="009044E0" w:rsidRDefault="00A23484" w:rsidP="00654171">
                  <w:pPr>
                    <w:jc w:val="left"/>
                    <w:rPr>
                      <w:rFonts w:ascii="Arial" w:hAnsi="Arial" w:cs="Arial"/>
                      <w:color w:val="000000"/>
                      <w:sz w:val="14"/>
                      <w:szCs w:val="14"/>
                    </w:rPr>
                  </w:pPr>
                  <w:r w:rsidRPr="009044E0">
                    <w:rPr>
                      <w:rFonts w:ascii="Arial" w:hAnsi="Arial" w:cs="Arial"/>
                      <w:color w:val="000000"/>
                      <w:sz w:val="14"/>
                      <w:szCs w:val="14"/>
                    </w:rPr>
                    <w:t>Ser hombre disminuye la probabilidad de ser inmigrante</w:t>
                  </w:r>
                </w:p>
              </w:tc>
              <w:tc>
                <w:tcPr>
                  <w:tcW w:w="525" w:type="dxa"/>
                  <w:tcBorders>
                    <w:top w:val="nil"/>
                    <w:left w:val="nil"/>
                    <w:bottom w:val="nil"/>
                    <w:right w:val="nil"/>
                  </w:tcBorders>
                  <w:shd w:val="clear" w:color="auto" w:fill="auto"/>
                  <w:noWrap/>
                  <w:vAlign w:val="center"/>
                </w:tcPr>
                <w:p w:rsidR="00A23484" w:rsidRPr="00A23484" w:rsidRDefault="00A23484">
                  <w:pPr>
                    <w:rPr>
                      <w:rFonts w:ascii="Arial" w:hAnsi="Arial" w:cs="Arial"/>
                      <w:color w:val="000000"/>
                      <w:sz w:val="14"/>
                      <w:szCs w:val="14"/>
                    </w:rPr>
                  </w:pPr>
                  <w:r w:rsidRPr="00A23484">
                    <w:rPr>
                      <w:rFonts w:ascii="Arial" w:hAnsi="Arial" w:cs="Arial"/>
                      <w:color w:val="000000"/>
                      <w:sz w:val="14"/>
                      <w:szCs w:val="14"/>
                    </w:rPr>
                    <w:t>0.001</w:t>
                  </w:r>
                </w:p>
              </w:tc>
              <w:tc>
                <w:tcPr>
                  <w:tcW w:w="1038" w:type="dxa"/>
                  <w:tcBorders>
                    <w:top w:val="nil"/>
                    <w:left w:val="nil"/>
                    <w:bottom w:val="nil"/>
                    <w:right w:val="nil"/>
                  </w:tcBorders>
                  <w:shd w:val="clear" w:color="auto" w:fill="auto"/>
                  <w:noWrap/>
                  <w:vAlign w:val="center"/>
                </w:tcPr>
                <w:p w:rsidR="00A23484" w:rsidRPr="009044E0" w:rsidRDefault="00A23484" w:rsidP="005C75BB">
                  <w:pPr>
                    <w:rPr>
                      <w:rFonts w:ascii="Arial" w:hAnsi="Arial" w:cs="Arial"/>
                      <w:color w:val="000000"/>
                      <w:sz w:val="14"/>
                      <w:szCs w:val="14"/>
                    </w:rPr>
                  </w:pPr>
                  <w:r w:rsidRPr="009044E0">
                    <w:rPr>
                      <w:rFonts w:ascii="Arial" w:hAnsi="Arial" w:cs="Arial"/>
                      <w:color w:val="000000"/>
                      <w:sz w:val="14"/>
                      <w:szCs w:val="14"/>
                    </w:rPr>
                    <w:t>Sí</w:t>
                  </w:r>
                </w:p>
              </w:tc>
            </w:tr>
            <w:tr w:rsidR="00A23484" w:rsidRPr="009044E0" w:rsidTr="00A23484">
              <w:trPr>
                <w:trHeight w:val="567"/>
                <w:jc w:val="center"/>
              </w:trPr>
              <w:tc>
                <w:tcPr>
                  <w:tcW w:w="1020" w:type="dxa"/>
                  <w:tcBorders>
                    <w:top w:val="nil"/>
                    <w:left w:val="nil"/>
                    <w:bottom w:val="nil"/>
                    <w:right w:val="nil"/>
                  </w:tcBorders>
                  <w:shd w:val="clear" w:color="auto" w:fill="auto"/>
                  <w:noWrap/>
                  <w:vAlign w:val="center"/>
                </w:tcPr>
                <w:p w:rsidR="00A23484" w:rsidRPr="009044E0" w:rsidRDefault="00A23484" w:rsidP="00772CA9">
                  <w:pPr>
                    <w:jc w:val="left"/>
                    <w:rPr>
                      <w:rFonts w:ascii="Arial" w:hAnsi="Arial" w:cs="Arial"/>
                      <w:color w:val="000000"/>
                      <w:sz w:val="14"/>
                      <w:szCs w:val="14"/>
                    </w:rPr>
                  </w:pPr>
                  <w:r w:rsidRPr="009044E0">
                    <w:rPr>
                      <w:rFonts w:ascii="Arial" w:hAnsi="Arial" w:cs="Arial"/>
                      <w:color w:val="000000"/>
                      <w:sz w:val="14"/>
                      <w:szCs w:val="14"/>
                    </w:rPr>
                    <w:t>Estado conyugal (X</w:t>
                  </w:r>
                  <w:r w:rsidRPr="00A23484">
                    <w:rPr>
                      <w:rFonts w:ascii="Arial" w:hAnsi="Arial" w:cs="Arial"/>
                      <w:color w:val="000000"/>
                      <w:sz w:val="14"/>
                      <w:szCs w:val="14"/>
                      <w:vertAlign w:val="subscript"/>
                    </w:rPr>
                    <w:t>3</w:t>
                  </w:r>
                  <w:r w:rsidRPr="009044E0">
                    <w:rPr>
                      <w:rFonts w:ascii="Arial" w:hAnsi="Arial" w:cs="Arial"/>
                      <w:color w:val="000000"/>
                      <w:sz w:val="14"/>
                      <w:szCs w:val="14"/>
                    </w:rPr>
                    <w:t>)</w:t>
                  </w:r>
                </w:p>
              </w:tc>
              <w:tc>
                <w:tcPr>
                  <w:tcW w:w="1307" w:type="dxa"/>
                  <w:tcBorders>
                    <w:top w:val="nil"/>
                    <w:left w:val="nil"/>
                    <w:bottom w:val="nil"/>
                    <w:right w:val="nil"/>
                  </w:tcBorders>
                  <w:vAlign w:val="center"/>
                </w:tcPr>
                <w:p w:rsidR="00A23484" w:rsidRDefault="00A23484" w:rsidP="00654171">
                  <w:pPr>
                    <w:jc w:val="left"/>
                    <w:rPr>
                      <w:rFonts w:ascii="Arial" w:hAnsi="Arial" w:cs="Arial"/>
                      <w:color w:val="000000"/>
                      <w:sz w:val="14"/>
                      <w:szCs w:val="14"/>
                    </w:rPr>
                  </w:pPr>
                  <w:r>
                    <w:rPr>
                      <w:rFonts w:ascii="Arial" w:hAnsi="Arial" w:cs="Arial"/>
                      <w:color w:val="000000"/>
                      <w:sz w:val="14"/>
                      <w:szCs w:val="14"/>
                    </w:rPr>
                    <w:t>1: Casado</w:t>
                  </w:r>
                </w:p>
                <w:p w:rsidR="00A23484" w:rsidRPr="009044E0" w:rsidRDefault="00A23484" w:rsidP="00654171">
                  <w:pPr>
                    <w:jc w:val="left"/>
                    <w:rPr>
                      <w:rFonts w:ascii="Arial" w:hAnsi="Arial" w:cs="Arial"/>
                      <w:color w:val="000000"/>
                      <w:sz w:val="14"/>
                      <w:szCs w:val="14"/>
                    </w:rPr>
                  </w:pPr>
                  <w:r>
                    <w:rPr>
                      <w:rFonts w:ascii="Arial" w:hAnsi="Arial" w:cs="Arial"/>
                      <w:color w:val="000000"/>
                      <w:sz w:val="14"/>
                      <w:szCs w:val="14"/>
                    </w:rPr>
                    <w:t>0: No casado</w:t>
                  </w:r>
                </w:p>
              </w:tc>
              <w:tc>
                <w:tcPr>
                  <w:tcW w:w="859" w:type="dxa"/>
                  <w:tcBorders>
                    <w:top w:val="nil"/>
                    <w:left w:val="nil"/>
                    <w:bottom w:val="nil"/>
                    <w:right w:val="nil"/>
                  </w:tcBorders>
                  <w:shd w:val="clear" w:color="auto" w:fill="auto"/>
                  <w:noWrap/>
                  <w:vAlign w:val="center"/>
                </w:tcPr>
                <w:p w:rsidR="00A23484" w:rsidRPr="00A23484" w:rsidRDefault="00A23484">
                  <w:pPr>
                    <w:rPr>
                      <w:rFonts w:ascii="Arial" w:hAnsi="Arial" w:cs="Arial"/>
                      <w:color w:val="000000"/>
                      <w:sz w:val="14"/>
                      <w:szCs w:val="14"/>
                    </w:rPr>
                  </w:pPr>
                  <w:r w:rsidRPr="00A23484">
                    <w:rPr>
                      <w:rFonts w:ascii="Arial" w:hAnsi="Arial" w:cs="Arial"/>
                      <w:color w:val="000000"/>
                      <w:sz w:val="14"/>
                      <w:szCs w:val="14"/>
                    </w:rPr>
                    <w:t>0.364</w:t>
                  </w:r>
                </w:p>
              </w:tc>
              <w:tc>
                <w:tcPr>
                  <w:tcW w:w="727" w:type="dxa"/>
                  <w:tcBorders>
                    <w:top w:val="nil"/>
                    <w:left w:val="nil"/>
                    <w:bottom w:val="nil"/>
                    <w:right w:val="nil"/>
                  </w:tcBorders>
                  <w:shd w:val="clear" w:color="auto" w:fill="auto"/>
                  <w:noWrap/>
                  <w:vAlign w:val="center"/>
                </w:tcPr>
                <w:p w:rsidR="00A23484" w:rsidRPr="009044E0" w:rsidRDefault="00A23484" w:rsidP="005C75BB">
                  <w:pPr>
                    <w:rPr>
                      <w:rFonts w:ascii="Arial" w:hAnsi="Arial" w:cs="Arial"/>
                      <w:color w:val="000000"/>
                      <w:sz w:val="14"/>
                      <w:szCs w:val="14"/>
                    </w:rPr>
                  </w:pPr>
                  <w:r w:rsidRPr="009044E0">
                    <w:rPr>
                      <w:rFonts w:ascii="Arial" w:hAnsi="Arial" w:cs="Arial"/>
                      <w:color w:val="000000"/>
                      <w:sz w:val="14"/>
                      <w:szCs w:val="14"/>
                    </w:rPr>
                    <w:t>Positivo</w:t>
                  </w:r>
                </w:p>
              </w:tc>
              <w:tc>
                <w:tcPr>
                  <w:tcW w:w="1726" w:type="dxa"/>
                  <w:tcBorders>
                    <w:top w:val="nil"/>
                    <w:left w:val="nil"/>
                    <w:bottom w:val="nil"/>
                    <w:right w:val="nil"/>
                  </w:tcBorders>
                  <w:shd w:val="clear" w:color="auto" w:fill="auto"/>
                  <w:vAlign w:val="center"/>
                </w:tcPr>
                <w:p w:rsidR="00A23484" w:rsidRPr="009044E0" w:rsidRDefault="00A23484" w:rsidP="00654171">
                  <w:pPr>
                    <w:jc w:val="left"/>
                    <w:rPr>
                      <w:rFonts w:ascii="Arial" w:hAnsi="Arial" w:cs="Arial"/>
                      <w:color w:val="000000"/>
                      <w:sz w:val="14"/>
                      <w:szCs w:val="14"/>
                    </w:rPr>
                  </w:pPr>
                  <w:r w:rsidRPr="009044E0">
                    <w:rPr>
                      <w:rFonts w:ascii="Arial" w:hAnsi="Arial" w:cs="Arial"/>
                      <w:color w:val="000000"/>
                      <w:sz w:val="14"/>
                      <w:szCs w:val="14"/>
                    </w:rPr>
                    <w:t>Ser casado aumenta la probabilidad de ser inmigrante</w:t>
                  </w:r>
                </w:p>
              </w:tc>
              <w:tc>
                <w:tcPr>
                  <w:tcW w:w="525" w:type="dxa"/>
                  <w:tcBorders>
                    <w:top w:val="nil"/>
                    <w:left w:val="nil"/>
                    <w:bottom w:val="nil"/>
                    <w:right w:val="nil"/>
                  </w:tcBorders>
                  <w:shd w:val="clear" w:color="auto" w:fill="auto"/>
                  <w:noWrap/>
                  <w:vAlign w:val="center"/>
                </w:tcPr>
                <w:p w:rsidR="00A23484" w:rsidRPr="00A23484" w:rsidRDefault="00A23484">
                  <w:pPr>
                    <w:rPr>
                      <w:rFonts w:ascii="Arial" w:hAnsi="Arial" w:cs="Arial"/>
                      <w:color w:val="000000"/>
                      <w:sz w:val="14"/>
                      <w:szCs w:val="14"/>
                    </w:rPr>
                  </w:pPr>
                  <w:r w:rsidRPr="00A23484">
                    <w:rPr>
                      <w:rFonts w:ascii="Arial" w:hAnsi="Arial" w:cs="Arial"/>
                      <w:color w:val="000000"/>
                      <w:sz w:val="14"/>
                      <w:szCs w:val="14"/>
                    </w:rPr>
                    <w:t>0.000</w:t>
                  </w:r>
                </w:p>
              </w:tc>
              <w:tc>
                <w:tcPr>
                  <w:tcW w:w="1038" w:type="dxa"/>
                  <w:tcBorders>
                    <w:top w:val="nil"/>
                    <w:left w:val="nil"/>
                    <w:bottom w:val="nil"/>
                    <w:right w:val="nil"/>
                  </w:tcBorders>
                  <w:shd w:val="clear" w:color="auto" w:fill="auto"/>
                  <w:noWrap/>
                  <w:vAlign w:val="center"/>
                </w:tcPr>
                <w:p w:rsidR="00A23484" w:rsidRPr="009044E0" w:rsidRDefault="00A23484" w:rsidP="005C75BB">
                  <w:pPr>
                    <w:rPr>
                      <w:rFonts w:ascii="Arial" w:hAnsi="Arial" w:cs="Arial"/>
                      <w:color w:val="000000"/>
                      <w:sz w:val="14"/>
                      <w:szCs w:val="14"/>
                    </w:rPr>
                  </w:pPr>
                  <w:r w:rsidRPr="009044E0">
                    <w:rPr>
                      <w:rFonts w:ascii="Arial" w:hAnsi="Arial" w:cs="Arial"/>
                      <w:color w:val="000000"/>
                      <w:sz w:val="14"/>
                      <w:szCs w:val="14"/>
                    </w:rPr>
                    <w:t>Sí</w:t>
                  </w:r>
                </w:p>
              </w:tc>
            </w:tr>
            <w:tr w:rsidR="00A23484" w:rsidRPr="009044E0" w:rsidTr="00A23484">
              <w:trPr>
                <w:trHeight w:val="737"/>
                <w:jc w:val="center"/>
              </w:trPr>
              <w:tc>
                <w:tcPr>
                  <w:tcW w:w="1020" w:type="dxa"/>
                  <w:tcBorders>
                    <w:top w:val="nil"/>
                    <w:left w:val="nil"/>
                    <w:bottom w:val="nil"/>
                    <w:right w:val="nil"/>
                  </w:tcBorders>
                  <w:shd w:val="clear" w:color="auto" w:fill="auto"/>
                  <w:noWrap/>
                  <w:vAlign w:val="center"/>
                </w:tcPr>
                <w:p w:rsidR="00A23484" w:rsidRPr="009044E0" w:rsidRDefault="00A23484" w:rsidP="00772CA9">
                  <w:pPr>
                    <w:jc w:val="left"/>
                    <w:rPr>
                      <w:rFonts w:ascii="Arial" w:hAnsi="Arial" w:cs="Arial"/>
                      <w:color w:val="000000"/>
                      <w:sz w:val="14"/>
                      <w:szCs w:val="14"/>
                    </w:rPr>
                  </w:pPr>
                  <w:r w:rsidRPr="009044E0">
                    <w:rPr>
                      <w:rFonts w:ascii="Arial" w:hAnsi="Arial" w:cs="Arial"/>
                      <w:color w:val="000000"/>
                      <w:sz w:val="14"/>
                      <w:szCs w:val="14"/>
                    </w:rPr>
                    <w:t>Instrucción (X</w:t>
                  </w:r>
                  <w:r w:rsidRPr="00A23484">
                    <w:rPr>
                      <w:rFonts w:ascii="Arial" w:hAnsi="Arial" w:cs="Arial"/>
                      <w:color w:val="000000"/>
                      <w:sz w:val="14"/>
                      <w:szCs w:val="14"/>
                      <w:vertAlign w:val="subscript"/>
                    </w:rPr>
                    <w:t>4</w:t>
                  </w:r>
                  <w:r w:rsidRPr="009044E0">
                    <w:rPr>
                      <w:rFonts w:ascii="Arial" w:hAnsi="Arial" w:cs="Arial"/>
                      <w:color w:val="000000"/>
                      <w:sz w:val="14"/>
                      <w:szCs w:val="14"/>
                    </w:rPr>
                    <w:t>)</w:t>
                  </w:r>
                </w:p>
              </w:tc>
              <w:tc>
                <w:tcPr>
                  <w:tcW w:w="1307" w:type="dxa"/>
                  <w:tcBorders>
                    <w:top w:val="nil"/>
                    <w:left w:val="nil"/>
                    <w:bottom w:val="nil"/>
                    <w:right w:val="nil"/>
                  </w:tcBorders>
                  <w:vAlign w:val="center"/>
                </w:tcPr>
                <w:p w:rsidR="00A23484" w:rsidRDefault="00A23484" w:rsidP="00654171">
                  <w:pPr>
                    <w:jc w:val="left"/>
                    <w:rPr>
                      <w:rFonts w:ascii="Arial" w:hAnsi="Arial" w:cs="Arial"/>
                      <w:color w:val="000000"/>
                      <w:sz w:val="14"/>
                      <w:szCs w:val="14"/>
                    </w:rPr>
                  </w:pPr>
                  <w:r>
                    <w:rPr>
                      <w:rFonts w:ascii="Arial" w:hAnsi="Arial" w:cs="Arial"/>
                      <w:color w:val="000000"/>
                      <w:sz w:val="14"/>
                      <w:szCs w:val="14"/>
                    </w:rPr>
                    <w:t>1: Otro</w:t>
                  </w:r>
                </w:p>
                <w:p w:rsidR="00A23484" w:rsidRPr="009044E0" w:rsidRDefault="00A23484" w:rsidP="00654171">
                  <w:pPr>
                    <w:jc w:val="left"/>
                    <w:rPr>
                      <w:rFonts w:ascii="Arial" w:hAnsi="Arial" w:cs="Arial"/>
                      <w:color w:val="000000"/>
                      <w:sz w:val="14"/>
                      <w:szCs w:val="14"/>
                    </w:rPr>
                  </w:pPr>
                  <w:r>
                    <w:rPr>
                      <w:rFonts w:ascii="Arial" w:hAnsi="Arial" w:cs="Arial"/>
                      <w:color w:val="000000"/>
                      <w:sz w:val="14"/>
                      <w:szCs w:val="14"/>
                    </w:rPr>
                    <w:t>0: Primaria  o más</w:t>
                  </w:r>
                </w:p>
              </w:tc>
              <w:tc>
                <w:tcPr>
                  <w:tcW w:w="859" w:type="dxa"/>
                  <w:tcBorders>
                    <w:top w:val="nil"/>
                    <w:left w:val="nil"/>
                    <w:bottom w:val="nil"/>
                    <w:right w:val="nil"/>
                  </w:tcBorders>
                  <w:shd w:val="clear" w:color="auto" w:fill="auto"/>
                  <w:noWrap/>
                  <w:vAlign w:val="center"/>
                </w:tcPr>
                <w:p w:rsidR="00A23484" w:rsidRPr="00A23484" w:rsidRDefault="00A23484">
                  <w:pPr>
                    <w:rPr>
                      <w:rFonts w:ascii="Arial" w:hAnsi="Arial" w:cs="Arial"/>
                      <w:color w:val="000000"/>
                      <w:sz w:val="14"/>
                      <w:szCs w:val="14"/>
                    </w:rPr>
                  </w:pPr>
                  <w:r w:rsidRPr="00A23484">
                    <w:rPr>
                      <w:rFonts w:ascii="Arial" w:hAnsi="Arial" w:cs="Arial"/>
                      <w:color w:val="000000"/>
                      <w:sz w:val="14"/>
                      <w:szCs w:val="14"/>
                    </w:rPr>
                    <w:t>-0.199</w:t>
                  </w:r>
                </w:p>
              </w:tc>
              <w:tc>
                <w:tcPr>
                  <w:tcW w:w="727" w:type="dxa"/>
                  <w:tcBorders>
                    <w:top w:val="nil"/>
                    <w:left w:val="nil"/>
                    <w:bottom w:val="nil"/>
                    <w:right w:val="nil"/>
                  </w:tcBorders>
                  <w:shd w:val="clear" w:color="auto" w:fill="auto"/>
                  <w:noWrap/>
                  <w:vAlign w:val="center"/>
                </w:tcPr>
                <w:p w:rsidR="00A23484" w:rsidRPr="009044E0" w:rsidRDefault="00A23484" w:rsidP="005C75BB">
                  <w:pPr>
                    <w:rPr>
                      <w:rFonts w:ascii="Arial" w:hAnsi="Arial" w:cs="Arial"/>
                      <w:color w:val="000000"/>
                      <w:sz w:val="14"/>
                      <w:szCs w:val="14"/>
                    </w:rPr>
                  </w:pPr>
                  <w:r w:rsidRPr="009044E0">
                    <w:rPr>
                      <w:rFonts w:ascii="Arial" w:hAnsi="Arial" w:cs="Arial"/>
                      <w:color w:val="000000"/>
                      <w:sz w:val="14"/>
                      <w:szCs w:val="14"/>
                    </w:rPr>
                    <w:t>Negativo</w:t>
                  </w:r>
                </w:p>
              </w:tc>
              <w:tc>
                <w:tcPr>
                  <w:tcW w:w="1726" w:type="dxa"/>
                  <w:tcBorders>
                    <w:top w:val="nil"/>
                    <w:left w:val="nil"/>
                    <w:bottom w:val="nil"/>
                    <w:right w:val="nil"/>
                  </w:tcBorders>
                  <w:shd w:val="clear" w:color="auto" w:fill="auto"/>
                  <w:vAlign w:val="center"/>
                </w:tcPr>
                <w:p w:rsidR="00A23484" w:rsidRPr="009044E0" w:rsidRDefault="00A23484" w:rsidP="00654171">
                  <w:pPr>
                    <w:jc w:val="left"/>
                    <w:rPr>
                      <w:rFonts w:ascii="Arial" w:hAnsi="Arial" w:cs="Arial"/>
                      <w:color w:val="000000"/>
                      <w:sz w:val="14"/>
                      <w:szCs w:val="14"/>
                    </w:rPr>
                  </w:pPr>
                  <w:r w:rsidRPr="009044E0">
                    <w:rPr>
                      <w:rFonts w:ascii="Arial" w:hAnsi="Arial" w:cs="Arial"/>
                      <w:color w:val="000000"/>
                      <w:sz w:val="14"/>
                      <w:szCs w:val="14"/>
                    </w:rPr>
                    <w:t>Tener instrucción inferior a la primaria disminuye la probabilidad de ser inmigrante</w:t>
                  </w:r>
                </w:p>
              </w:tc>
              <w:tc>
                <w:tcPr>
                  <w:tcW w:w="525" w:type="dxa"/>
                  <w:tcBorders>
                    <w:top w:val="nil"/>
                    <w:left w:val="nil"/>
                    <w:bottom w:val="nil"/>
                    <w:right w:val="nil"/>
                  </w:tcBorders>
                  <w:shd w:val="clear" w:color="auto" w:fill="auto"/>
                  <w:noWrap/>
                  <w:vAlign w:val="center"/>
                </w:tcPr>
                <w:p w:rsidR="00A23484" w:rsidRPr="00A23484" w:rsidRDefault="00A23484">
                  <w:pPr>
                    <w:rPr>
                      <w:rFonts w:ascii="Arial" w:hAnsi="Arial" w:cs="Arial"/>
                      <w:color w:val="000000"/>
                      <w:sz w:val="14"/>
                      <w:szCs w:val="14"/>
                    </w:rPr>
                  </w:pPr>
                  <w:r w:rsidRPr="00A23484">
                    <w:rPr>
                      <w:rFonts w:ascii="Arial" w:hAnsi="Arial" w:cs="Arial"/>
                      <w:color w:val="000000"/>
                      <w:sz w:val="14"/>
                      <w:szCs w:val="14"/>
                    </w:rPr>
                    <w:t>0.001</w:t>
                  </w:r>
                </w:p>
              </w:tc>
              <w:tc>
                <w:tcPr>
                  <w:tcW w:w="1038" w:type="dxa"/>
                  <w:tcBorders>
                    <w:top w:val="nil"/>
                    <w:left w:val="nil"/>
                    <w:bottom w:val="nil"/>
                    <w:right w:val="nil"/>
                  </w:tcBorders>
                  <w:shd w:val="clear" w:color="auto" w:fill="auto"/>
                  <w:noWrap/>
                  <w:vAlign w:val="center"/>
                </w:tcPr>
                <w:p w:rsidR="00A23484" w:rsidRPr="009044E0" w:rsidRDefault="00A23484" w:rsidP="005C75BB">
                  <w:pPr>
                    <w:rPr>
                      <w:rFonts w:ascii="Arial" w:hAnsi="Arial" w:cs="Arial"/>
                      <w:color w:val="000000"/>
                      <w:sz w:val="14"/>
                      <w:szCs w:val="14"/>
                    </w:rPr>
                  </w:pPr>
                  <w:r w:rsidRPr="009044E0">
                    <w:rPr>
                      <w:rFonts w:ascii="Arial" w:hAnsi="Arial" w:cs="Arial"/>
                      <w:color w:val="000000"/>
                      <w:sz w:val="14"/>
                      <w:szCs w:val="14"/>
                    </w:rPr>
                    <w:t>Sí</w:t>
                  </w:r>
                </w:p>
              </w:tc>
            </w:tr>
            <w:tr w:rsidR="00A23484" w:rsidRPr="009044E0" w:rsidTr="00A23484">
              <w:trPr>
                <w:trHeight w:val="680"/>
                <w:jc w:val="center"/>
              </w:trPr>
              <w:tc>
                <w:tcPr>
                  <w:tcW w:w="1020" w:type="dxa"/>
                  <w:tcBorders>
                    <w:top w:val="nil"/>
                    <w:left w:val="nil"/>
                    <w:bottom w:val="nil"/>
                    <w:right w:val="nil"/>
                  </w:tcBorders>
                  <w:shd w:val="clear" w:color="auto" w:fill="auto"/>
                  <w:noWrap/>
                  <w:vAlign w:val="center"/>
                </w:tcPr>
                <w:p w:rsidR="00A23484" w:rsidRPr="009044E0" w:rsidRDefault="00A23484" w:rsidP="00772CA9">
                  <w:pPr>
                    <w:jc w:val="left"/>
                    <w:rPr>
                      <w:rFonts w:ascii="Arial" w:hAnsi="Arial" w:cs="Arial"/>
                      <w:color w:val="000000"/>
                      <w:sz w:val="14"/>
                      <w:szCs w:val="14"/>
                    </w:rPr>
                  </w:pPr>
                  <w:r w:rsidRPr="009044E0">
                    <w:rPr>
                      <w:rFonts w:ascii="Arial" w:hAnsi="Arial" w:cs="Arial"/>
                      <w:color w:val="000000"/>
                      <w:sz w:val="14"/>
                      <w:szCs w:val="14"/>
                    </w:rPr>
                    <w:t>Tipo de vivienda (X</w:t>
                  </w:r>
                  <w:r w:rsidRPr="00A23484">
                    <w:rPr>
                      <w:rFonts w:ascii="Arial" w:hAnsi="Arial" w:cs="Arial"/>
                      <w:color w:val="000000"/>
                      <w:sz w:val="14"/>
                      <w:szCs w:val="14"/>
                      <w:vertAlign w:val="subscript"/>
                    </w:rPr>
                    <w:t>5</w:t>
                  </w:r>
                  <w:r w:rsidRPr="009044E0">
                    <w:rPr>
                      <w:rFonts w:ascii="Arial" w:hAnsi="Arial" w:cs="Arial"/>
                      <w:color w:val="000000"/>
                      <w:sz w:val="14"/>
                      <w:szCs w:val="14"/>
                    </w:rPr>
                    <w:t>)</w:t>
                  </w:r>
                </w:p>
              </w:tc>
              <w:tc>
                <w:tcPr>
                  <w:tcW w:w="1307" w:type="dxa"/>
                  <w:tcBorders>
                    <w:top w:val="nil"/>
                    <w:left w:val="nil"/>
                    <w:bottom w:val="nil"/>
                    <w:right w:val="nil"/>
                  </w:tcBorders>
                  <w:vAlign w:val="center"/>
                </w:tcPr>
                <w:p w:rsidR="00A23484" w:rsidRDefault="00A23484" w:rsidP="00654171">
                  <w:pPr>
                    <w:jc w:val="left"/>
                    <w:rPr>
                      <w:rFonts w:ascii="Arial" w:hAnsi="Arial" w:cs="Arial"/>
                      <w:color w:val="000000"/>
                      <w:sz w:val="14"/>
                      <w:szCs w:val="14"/>
                    </w:rPr>
                  </w:pPr>
                  <w:r>
                    <w:rPr>
                      <w:rFonts w:ascii="Arial" w:hAnsi="Arial" w:cs="Arial"/>
                      <w:color w:val="000000"/>
                      <w:sz w:val="14"/>
                      <w:szCs w:val="14"/>
                    </w:rPr>
                    <w:t>1: No precaria</w:t>
                  </w:r>
                </w:p>
                <w:p w:rsidR="00A23484" w:rsidRPr="009044E0" w:rsidRDefault="00A23484" w:rsidP="00654171">
                  <w:pPr>
                    <w:jc w:val="left"/>
                    <w:rPr>
                      <w:rFonts w:ascii="Arial" w:hAnsi="Arial" w:cs="Arial"/>
                      <w:color w:val="000000"/>
                      <w:sz w:val="14"/>
                      <w:szCs w:val="14"/>
                    </w:rPr>
                  </w:pPr>
                  <w:r>
                    <w:rPr>
                      <w:rFonts w:ascii="Arial" w:hAnsi="Arial" w:cs="Arial"/>
                      <w:color w:val="000000"/>
                      <w:sz w:val="14"/>
                      <w:szCs w:val="14"/>
                    </w:rPr>
                    <w:t>0: Precaria</w:t>
                  </w:r>
                </w:p>
              </w:tc>
              <w:tc>
                <w:tcPr>
                  <w:tcW w:w="859" w:type="dxa"/>
                  <w:tcBorders>
                    <w:top w:val="nil"/>
                    <w:left w:val="nil"/>
                    <w:bottom w:val="nil"/>
                    <w:right w:val="nil"/>
                  </w:tcBorders>
                  <w:shd w:val="clear" w:color="auto" w:fill="auto"/>
                  <w:noWrap/>
                  <w:vAlign w:val="center"/>
                </w:tcPr>
                <w:p w:rsidR="00A23484" w:rsidRPr="00A23484" w:rsidRDefault="00A23484">
                  <w:pPr>
                    <w:rPr>
                      <w:rFonts w:ascii="Arial" w:hAnsi="Arial" w:cs="Arial"/>
                      <w:color w:val="000000"/>
                      <w:sz w:val="14"/>
                      <w:szCs w:val="14"/>
                    </w:rPr>
                  </w:pPr>
                  <w:r w:rsidRPr="00A23484">
                    <w:rPr>
                      <w:rFonts w:ascii="Arial" w:hAnsi="Arial" w:cs="Arial"/>
                      <w:color w:val="000000"/>
                      <w:sz w:val="14"/>
                      <w:szCs w:val="14"/>
                    </w:rPr>
                    <w:t>-0.491</w:t>
                  </w:r>
                </w:p>
              </w:tc>
              <w:tc>
                <w:tcPr>
                  <w:tcW w:w="727" w:type="dxa"/>
                  <w:tcBorders>
                    <w:top w:val="nil"/>
                    <w:left w:val="nil"/>
                    <w:bottom w:val="nil"/>
                    <w:right w:val="nil"/>
                  </w:tcBorders>
                  <w:shd w:val="clear" w:color="auto" w:fill="auto"/>
                  <w:noWrap/>
                  <w:vAlign w:val="center"/>
                </w:tcPr>
                <w:p w:rsidR="00A23484" w:rsidRPr="009044E0" w:rsidRDefault="00A23484" w:rsidP="005C75BB">
                  <w:pPr>
                    <w:rPr>
                      <w:rFonts w:ascii="Arial" w:hAnsi="Arial" w:cs="Arial"/>
                      <w:color w:val="000000"/>
                      <w:sz w:val="14"/>
                      <w:szCs w:val="14"/>
                    </w:rPr>
                  </w:pPr>
                  <w:r w:rsidRPr="009044E0">
                    <w:rPr>
                      <w:rFonts w:ascii="Arial" w:hAnsi="Arial" w:cs="Arial"/>
                      <w:color w:val="000000"/>
                      <w:sz w:val="14"/>
                      <w:szCs w:val="14"/>
                    </w:rPr>
                    <w:t>Negativo</w:t>
                  </w:r>
                </w:p>
              </w:tc>
              <w:tc>
                <w:tcPr>
                  <w:tcW w:w="1726" w:type="dxa"/>
                  <w:tcBorders>
                    <w:top w:val="nil"/>
                    <w:left w:val="nil"/>
                    <w:bottom w:val="nil"/>
                    <w:right w:val="nil"/>
                  </w:tcBorders>
                  <w:shd w:val="clear" w:color="auto" w:fill="auto"/>
                  <w:vAlign w:val="center"/>
                </w:tcPr>
                <w:p w:rsidR="00A23484" w:rsidRPr="009044E0" w:rsidRDefault="00A23484" w:rsidP="00654171">
                  <w:pPr>
                    <w:jc w:val="left"/>
                    <w:rPr>
                      <w:rFonts w:ascii="Arial" w:hAnsi="Arial" w:cs="Arial"/>
                      <w:color w:val="000000"/>
                      <w:sz w:val="14"/>
                      <w:szCs w:val="14"/>
                    </w:rPr>
                  </w:pPr>
                  <w:r w:rsidRPr="009044E0">
                    <w:rPr>
                      <w:rFonts w:ascii="Arial" w:hAnsi="Arial" w:cs="Arial"/>
                      <w:color w:val="000000"/>
                      <w:sz w:val="14"/>
                      <w:szCs w:val="14"/>
                    </w:rPr>
                    <w:t>Vivir en una vivienda no precaria disminuye la probabilidad de ser inmigrante</w:t>
                  </w:r>
                </w:p>
              </w:tc>
              <w:tc>
                <w:tcPr>
                  <w:tcW w:w="525" w:type="dxa"/>
                  <w:tcBorders>
                    <w:top w:val="nil"/>
                    <w:left w:val="nil"/>
                    <w:bottom w:val="nil"/>
                    <w:right w:val="nil"/>
                  </w:tcBorders>
                  <w:shd w:val="clear" w:color="auto" w:fill="auto"/>
                  <w:noWrap/>
                  <w:vAlign w:val="center"/>
                </w:tcPr>
                <w:p w:rsidR="00A23484" w:rsidRPr="00A23484" w:rsidRDefault="00A23484">
                  <w:pPr>
                    <w:rPr>
                      <w:rFonts w:ascii="Arial" w:hAnsi="Arial" w:cs="Arial"/>
                      <w:color w:val="000000"/>
                      <w:sz w:val="14"/>
                      <w:szCs w:val="14"/>
                    </w:rPr>
                  </w:pPr>
                  <w:r w:rsidRPr="00A23484">
                    <w:rPr>
                      <w:rFonts w:ascii="Arial" w:hAnsi="Arial" w:cs="Arial"/>
                      <w:color w:val="000000"/>
                      <w:sz w:val="14"/>
                      <w:szCs w:val="14"/>
                    </w:rPr>
                    <w:t>0.000</w:t>
                  </w:r>
                </w:p>
              </w:tc>
              <w:tc>
                <w:tcPr>
                  <w:tcW w:w="1038" w:type="dxa"/>
                  <w:tcBorders>
                    <w:top w:val="nil"/>
                    <w:left w:val="nil"/>
                    <w:bottom w:val="nil"/>
                    <w:right w:val="nil"/>
                  </w:tcBorders>
                  <w:shd w:val="clear" w:color="auto" w:fill="auto"/>
                  <w:noWrap/>
                  <w:vAlign w:val="center"/>
                </w:tcPr>
                <w:p w:rsidR="00A23484" w:rsidRPr="009044E0" w:rsidRDefault="00A23484" w:rsidP="005C75BB">
                  <w:pPr>
                    <w:rPr>
                      <w:rFonts w:ascii="Arial" w:hAnsi="Arial" w:cs="Arial"/>
                      <w:color w:val="000000"/>
                      <w:sz w:val="14"/>
                      <w:szCs w:val="14"/>
                    </w:rPr>
                  </w:pPr>
                  <w:r w:rsidRPr="009044E0">
                    <w:rPr>
                      <w:rFonts w:ascii="Arial" w:hAnsi="Arial" w:cs="Arial"/>
                      <w:color w:val="000000"/>
                      <w:sz w:val="14"/>
                      <w:szCs w:val="14"/>
                    </w:rPr>
                    <w:t>Sí</w:t>
                  </w:r>
                </w:p>
              </w:tc>
            </w:tr>
            <w:tr w:rsidR="00A23484" w:rsidRPr="009044E0" w:rsidTr="00A23484">
              <w:trPr>
                <w:trHeight w:val="283"/>
                <w:jc w:val="center"/>
              </w:trPr>
              <w:tc>
                <w:tcPr>
                  <w:tcW w:w="1020" w:type="dxa"/>
                  <w:tcBorders>
                    <w:top w:val="nil"/>
                    <w:left w:val="nil"/>
                    <w:bottom w:val="single" w:sz="4" w:space="0" w:color="auto"/>
                    <w:right w:val="nil"/>
                  </w:tcBorders>
                  <w:shd w:val="clear" w:color="auto" w:fill="auto"/>
                  <w:noWrap/>
                  <w:vAlign w:val="center"/>
                </w:tcPr>
                <w:p w:rsidR="00A23484" w:rsidRPr="009044E0" w:rsidRDefault="00A23484" w:rsidP="00654171">
                  <w:pPr>
                    <w:jc w:val="left"/>
                    <w:rPr>
                      <w:rFonts w:ascii="Arial" w:hAnsi="Arial" w:cs="Arial"/>
                      <w:color w:val="000000"/>
                      <w:sz w:val="14"/>
                      <w:szCs w:val="14"/>
                    </w:rPr>
                  </w:pPr>
                  <w:r w:rsidRPr="009044E0">
                    <w:rPr>
                      <w:rFonts w:ascii="Arial" w:hAnsi="Arial" w:cs="Arial"/>
                      <w:color w:val="000000"/>
                      <w:sz w:val="14"/>
                      <w:szCs w:val="14"/>
                    </w:rPr>
                    <w:t>Constante</w:t>
                  </w:r>
                </w:p>
              </w:tc>
              <w:tc>
                <w:tcPr>
                  <w:tcW w:w="1307" w:type="dxa"/>
                  <w:tcBorders>
                    <w:top w:val="nil"/>
                    <w:left w:val="nil"/>
                    <w:bottom w:val="single" w:sz="4" w:space="0" w:color="auto"/>
                    <w:right w:val="nil"/>
                  </w:tcBorders>
                </w:tcPr>
                <w:p w:rsidR="00A23484" w:rsidRPr="009044E0" w:rsidRDefault="00A23484" w:rsidP="00654171">
                  <w:pPr>
                    <w:jc w:val="left"/>
                    <w:rPr>
                      <w:rFonts w:ascii="Arial" w:hAnsi="Arial" w:cs="Arial"/>
                      <w:color w:val="000000"/>
                      <w:sz w:val="14"/>
                      <w:szCs w:val="14"/>
                    </w:rPr>
                  </w:pPr>
                </w:p>
              </w:tc>
              <w:tc>
                <w:tcPr>
                  <w:tcW w:w="859" w:type="dxa"/>
                  <w:tcBorders>
                    <w:top w:val="nil"/>
                    <w:left w:val="nil"/>
                    <w:bottom w:val="single" w:sz="4" w:space="0" w:color="auto"/>
                    <w:right w:val="nil"/>
                  </w:tcBorders>
                  <w:shd w:val="clear" w:color="auto" w:fill="auto"/>
                  <w:noWrap/>
                  <w:vAlign w:val="center"/>
                </w:tcPr>
                <w:p w:rsidR="00A23484" w:rsidRPr="00A23484" w:rsidRDefault="00A23484">
                  <w:pPr>
                    <w:rPr>
                      <w:rFonts w:ascii="Arial" w:hAnsi="Arial" w:cs="Arial"/>
                      <w:color w:val="000000"/>
                      <w:sz w:val="14"/>
                      <w:szCs w:val="14"/>
                    </w:rPr>
                  </w:pPr>
                  <w:r w:rsidRPr="00A23484">
                    <w:rPr>
                      <w:rFonts w:ascii="Arial" w:hAnsi="Arial" w:cs="Arial"/>
                      <w:color w:val="000000"/>
                      <w:sz w:val="14"/>
                      <w:szCs w:val="14"/>
                    </w:rPr>
                    <w:t>-0.046</w:t>
                  </w:r>
                </w:p>
              </w:tc>
              <w:tc>
                <w:tcPr>
                  <w:tcW w:w="727" w:type="dxa"/>
                  <w:tcBorders>
                    <w:top w:val="nil"/>
                    <w:left w:val="nil"/>
                    <w:bottom w:val="single" w:sz="4" w:space="0" w:color="auto"/>
                    <w:right w:val="nil"/>
                  </w:tcBorders>
                  <w:shd w:val="clear" w:color="auto" w:fill="auto"/>
                  <w:noWrap/>
                  <w:vAlign w:val="center"/>
                </w:tcPr>
                <w:p w:rsidR="00A23484" w:rsidRPr="009044E0" w:rsidRDefault="00A23484" w:rsidP="005C75BB">
                  <w:pPr>
                    <w:rPr>
                      <w:rFonts w:ascii="Arial" w:hAnsi="Arial" w:cs="Arial"/>
                      <w:color w:val="000000"/>
                      <w:sz w:val="14"/>
                      <w:szCs w:val="14"/>
                    </w:rPr>
                  </w:pPr>
                  <w:r w:rsidRPr="009044E0">
                    <w:rPr>
                      <w:rFonts w:ascii="Arial" w:hAnsi="Arial" w:cs="Arial"/>
                      <w:color w:val="000000"/>
                      <w:sz w:val="14"/>
                      <w:szCs w:val="14"/>
                    </w:rPr>
                    <w:t> </w:t>
                  </w:r>
                </w:p>
              </w:tc>
              <w:tc>
                <w:tcPr>
                  <w:tcW w:w="1726" w:type="dxa"/>
                  <w:tcBorders>
                    <w:top w:val="nil"/>
                    <w:left w:val="nil"/>
                    <w:bottom w:val="single" w:sz="4" w:space="0" w:color="auto"/>
                    <w:right w:val="nil"/>
                  </w:tcBorders>
                  <w:shd w:val="clear" w:color="auto" w:fill="auto"/>
                  <w:vAlign w:val="center"/>
                </w:tcPr>
                <w:p w:rsidR="00A23484" w:rsidRPr="009044E0" w:rsidRDefault="00A23484" w:rsidP="005C75BB">
                  <w:pPr>
                    <w:rPr>
                      <w:rFonts w:ascii="Arial" w:hAnsi="Arial" w:cs="Arial"/>
                      <w:color w:val="000000"/>
                      <w:sz w:val="14"/>
                      <w:szCs w:val="14"/>
                    </w:rPr>
                  </w:pPr>
                  <w:r w:rsidRPr="009044E0">
                    <w:rPr>
                      <w:rFonts w:ascii="Arial" w:hAnsi="Arial" w:cs="Arial"/>
                      <w:color w:val="000000"/>
                      <w:sz w:val="14"/>
                      <w:szCs w:val="14"/>
                    </w:rPr>
                    <w:t> </w:t>
                  </w:r>
                </w:p>
              </w:tc>
              <w:tc>
                <w:tcPr>
                  <w:tcW w:w="525" w:type="dxa"/>
                  <w:tcBorders>
                    <w:top w:val="nil"/>
                    <w:left w:val="nil"/>
                    <w:bottom w:val="single" w:sz="4" w:space="0" w:color="auto"/>
                    <w:right w:val="nil"/>
                  </w:tcBorders>
                  <w:shd w:val="clear" w:color="auto" w:fill="auto"/>
                  <w:noWrap/>
                  <w:vAlign w:val="center"/>
                </w:tcPr>
                <w:p w:rsidR="00A23484" w:rsidRPr="00A23484" w:rsidRDefault="00A23484">
                  <w:pPr>
                    <w:rPr>
                      <w:rFonts w:ascii="Arial" w:hAnsi="Arial" w:cs="Arial"/>
                      <w:color w:val="000000"/>
                      <w:sz w:val="14"/>
                      <w:szCs w:val="14"/>
                    </w:rPr>
                  </w:pPr>
                  <w:r w:rsidRPr="00A23484">
                    <w:rPr>
                      <w:rFonts w:ascii="Arial" w:hAnsi="Arial" w:cs="Arial"/>
                      <w:color w:val="000000"/>
                      <w:sz w:val="14"/>
                      <w:szCs w:val="14"/>
                    </w:rPr>
                    <w:t>0.446</w:t>
                  </w:r>
                </w:p>
              </w:tc>
              <w:tc>
                <w:tcPr>
                  <w:tcW w:w="1038" w:type="dxa"/>
                  <w:tcBorders>
                    <w:top w:val="nil"/>
                    <w:left w:val="nil"/>
                    <w:bottom w:val="single" w:sz="4" w:space="0" w:color="auto"/>
                    <w:right w:val="nil"/>
                  </w:tcBorders>
                  <w:shd w:val="clear" w:color="auto" w:fill="auto"/>
                  <w:noWrap/>
                  <w:vAlign w:val="center"/>
                </w:tcPr>
                <w:p w:rsidR="00A23484" w:rsidRPr="009044E0" w:rsidRDefault="00742BBC" w:rsidP="005C75BB">
                  <w:pPr>
                    <w:rPr>
                      <w:rFonts w:ascii="Arial" w:hAnsi="Arial" w:cs="Arial"/>
                      <w:color w:val="000000"/>
                      <w:sz w:val="14"/>
                      <w:szCs w:val="14"/>
                    </w:rPr>
                  </w:pPr>
                  <w:r>
                    <w:rPr>
                      <w:rFonts w:ascii="Arial" w:hAnsi="Arial" w:cs="Arial"/>
                      <w:color w:val="000000"/>
                      <w:sz w:val="14"/>
                      <w:szCs w:val="14"/>
                    </w:rPr>
                    <w:t>No</w:t>
                  </w:r>
                </w:p>
              </w:tc>
            </w:tr>
          </w:tbl>
          <w:p w:rsidR="005C75BB" w:rsidRPr="00607324" w:rsidRDefault="005C75BB" w:rsidP="005C75BB">
            <w:pPr>
              <w:rPr>
                <w:rFonts w:ascii="Arial" w:hAnsi="Arial" w:cs="Arial"/>
                <w:sz w:val="24"/>
                <w:szCs w:val="24"/>
              </w:rPr>
            </w:pPr>
          </w:p>
        </w:tc>
      </w:tr>
    </w:tbl>
    <w:p w:rsidR="005C75BB" w:rsidRPr="00A23484" w:rsidRDefault="005C75BB" w:rsidP="00A23484">
      <w:pPr>
        <w:pStyle w:val="Prrafodelista"/>
        <w:spacing w:line="276" w:lineRule="auto"/>
        <w:ind w:left="851"/>
        <w:jc w:val="both"/>
        <w:rPr>
          <w:rFonts w:ascii="Arial" w:hAnsi="Arial" w:cs="Arial"/>
          <w:sz w:val="17"/>
          <w:szCs w:val="17"/>
        </w:rPr>
      </w:pPr>
    </w:p>
    <w:p w:rsidR="005C75BB" w:rsidRPr="00A23484" w:rsidRDefault="005C75BB" w:rsidP="00A23484">
      <w:pPr>
        <w:pStyle w:val="Prrafodelista"/>
        <w:spacing w:line="276" w:lineRule="auto"/>
        <w:ind w:left="851"/>
        <w:jc w:val="both"/>
        <w:rPr>
          <w:rFonts w:ascii="Arial" w:hAnsi="Arial" w:cs="Arial"/>
          <w:sz w:val="17"/>
          <w:szCs w:val="17"/>
        </w:rPr>
      </w:pPr>
      <w:r w:rsidRPr="00A23484">
        <w:rPr>
          <w:rFonts w:ascii="Arial" w:hAnsi="Arial" w:cs="Arial"/>
          <w:b/>
          <w:i/>
          <w:sz w:val="17"/>
          <w:szCs w:val="17"/>
        </w:rPr>
        <w:t>Fuente:</w:t>
      </w:r>
      <w:r w:rsidRPr="00A23484">
        <w:rPr>
          <w:rFonts w:ascii="Arial" w:hAnsi="Arial" w:cs="Arial"/>
          <w:sz w:val="17"/>
          <w:szCs w:val="17"/>
        </w:rPr>
        <w:t xml:space="preserve"> </w:t>
      </w:r>
      <w:r w:rsidRPr="00A23484">
        <w:rPr>
          <w:rFonts w:ascii="Arial" w:hAnsi="Arial" w:cs="Arial"/>
          <w:b/>
          <w:sz w:val="17"/>
          <w:szCs w:val="17"/>
        </w:rPr>
        <w:t xml:space="preserve">INEC </w:t>
      </w:r>
      <w:r w:rsidRPr="00A23484">
        <w:rPr>
          <w:rFonts w:ascii="Arial" w:hAnsi="Arial" w:cs="Arial"/>
          <w:sz w:val="17"/>
          <w:szCs w:val="17"/>
        </w:rPr>
        <w:t>(2010), Base de Datos del VII Censo de Población y VI de Vivienda.</w:t>
      </w:r>
    </w:p>
    <w:p w:rsidR="005C75BB" w:rsidRDefault="005C75BB" w:rsidP="00A23484">
      <w:pPr>
        <w:pStyle w:val="Prrafodelista"/>
        <w:tabs>
          <w:tab w:val="left" w:pos="4935"/>
        </w:tabs>
        <w:spacing w:line="276" w:lineRule="auto"/>
        <w:ind w:left="851"/>
        <w:jc w:val="both"/>
        <w:rPr>
          <w:rFonts w:ascii="Arial" w:hAnsi="Arial" w:cs="Arial"/>
          <w:sz w:val="18"/>
          <w:szCs w:val="18"/>
        </w:rPr>
      </w:pPr>
      <w:r w:rsidRPr="00A23484">
        <w:rPr>
          <w:rFonts w:ascii="Arial" w:hAnsi="Arial" w:cs="Arial"/>
          <w:b/>
          <w:i/>
          <w:sz w:val="17"/>
          <w:szCs w:val="17"/>
        </w:rPr>
        <w:t>Elaborado por:</w:t>
      </w:r>
      <w:r w:rsidRPr="00A23484">
        <w:rPr>
          <w:rFonts w:ascii="Arial" w:hAnsi="Arial" w:cs="Arial"/>
          <w:sz w:val="17"/>
          <w:szCs w:val="17"/>
        </w:rPr>
        <w:t xml:space="preserve"> Katherine Loor Valeriano</w:t>
      </w:r>
      <w:r>
        <w:rPr>
          <w:rFonts w:ascii="Arial" w:hAnsi="Arial" w:cs="Arial"/>
          <w:sz w:val="18"/>
          <w:szCs w:val="18"/>
        </w:rPr>
        <w:tab/>
      </w:r>
    </w:p>
    <w:p w:rsidR="005C75BB" w:rsidRDefault="005C75BB" w:rsidP="005C75BB">
      <w:pPr>
        <w:pStyle w:val="TesisTitulo10"/>
        <w:numPr>
          <w:ilvl w:val="0"/>
          <w:numId w:val="0"/>
        </w:numPr>
        <w:ind w:left="567"/>
        <w:rPr>
          <w:b w:val="0"/>
          <w:sz w:val="22"/>
          <w:szCs w:val="22"/>
        </w:rPr>
      </w:pPr>
    </w:p>
    <w:p w:rsidR="005C75BB" w:rsidRPr="00A23484" w:rsidRDefault="00A23484" w:rsidP="00A23484">
      <w:pPr>
        <w:spacing w:line="480" w:lineRule="auto"/>
        <w:ind w:left="851"/>
        <w:jc w:val="both"/>
        <w:rPr>
          <w:rFonts w:ascii="Arial" w:hAnsi="Arial" w:cs="Arial"/>
        </w:rPr>
      </w:pPr>
      <w:r>
        <w:rPr>
          <w:rFonts w:ascii="Arial" w:hAnsi="Arial" w:cs="Arial"/>
        </w:rPr>
        <w:t>Además</w:t>
      </w:r>
      <w:r w:rsidRPr="00A23484">
        <w:rPr>
          <w:rFonts w:ascii="Arial" w:hAnsi="Arial" w:cs="Arial"/>
        </w:rPr>
        <w:t>, ser casado hace que la probabilidad de ser inmigrante se incremente; tener instrucción inferior a la primaria disminuye la probabilidad de ser inmigrante; y, vivir en una casa/villa, departamento en edificios o cuarto en casa de inquilinato también disminuye dicha probabilidad de ser inmigrante.</w:t>
      </w:r>
      <w:r>
        <w:rPr>
          <w:rFonts w:ascii="Arial" w:hAnsi="Arial" w:cs="Arial"/>
        </w:rPr>
        <w:t xml:space="preserve"> </w:t>
      </w:r>
      <w:r>
        <w:rPr>
          <w:rFonts w:ascii="Arial" w:hAnsi="Arial" w:cs="Arial"/>
          <w:i/>
        </w:rPr>
        <w:t xml:space="preserve">Véase </w:t>
      </w:r>
      <w:r>
        <w:rPr>
          <w:rFonts w:ascii="Arial" w:hAnsi="Arial" w:cs="Arial"/>
        </w:rPr>
        <w:t xml:space="preserve">también </w:t>
      </w:r>
      <w:r w:rsidR="00742BBC">
        <w:rPr>
          <w:rFonts w:ascii="Arial" w:hAnsi="Arial" w:cs="Arial"/>
          <w:i/>
        </w:rPr>
        <w:t>Tabla 6.6</w:t>
      </w:r>
      <w:r w:rsidR="00742BBC" w:rsidRPr="00742BBC">
        <w:rPr>
          <w:rFonts w:ascii="Arial" w:hAnsi="Arial" w:cs="Arial"/>
        </w:rPr>
        <w:t xml:space="preserve">; y, </w:t>
      </w:r>
      <w:bookmarkStart w:id="1022" w:name="_Toc339853219"/>
      <w:bookmarkStart w:id="1023" w:name="_Toc340231989"/>
      <w:r w:rsidR="00742BBC" w:rsidRPr="00742BBC">
        <w:rPr>
          <w:rFonts w:ascii="Arial" w:hAnsi="Arial" w:cs="Arial"/>
        </w:rPr>
        <w:t>e</w:t>
      </w:r>
      <w:r w:rsidR="005C75BB" w:rsidRPr="00A23484">
        <w:rPr>
          <w:rFonts w:ascii="Arial" w:hAnsi="Arial" w:cs="Arial"/>
        </w:rPr>
        <w:t xml:space="preserve">n la </w:t>
      </w:r>
      <w:r w:rsidR="005C75BB" w:rsidRPr="00A23484">
        <w:rPr>
          <w:rFonts w:ascii="Arial" w:hAnsi="Arial" w:cs="Arial"/>
          <w:i/>
        </w:rPr>
        <w:t>Tabla 6.7</w:t>
      </w:r>
      <w:r w:rsidR="005C75BB" w:rsidRPr="00A23484">
        <w:rPr>
          <w:rFonts w:ascii="Arial" w:hAnsi="Arial" w:cs="Arial"/>
        </w:rPr>
        <w:t xml:space="preserve">, se presenta la tabla de clasificación, en la cual tenemos que el </w:t>
      </w:r>
      <w:r w:rsidR="00742BBC">
        <w:rPr>
          <w:rFonts w:ascii="Arial" w:hAnsi="Arial" w:cs="Arial"/>
        </w:rPr>
        <w:t>4.01</w:t>
      </w:r>
      <w:r w:rsidR="005C75BB" w:rsidRPr="00A23484">
        <w:rPr>
          <w:rFonts w:ascii="Arial" w:hAnsi="Arial" w:cs="Arial"/>
        </w:rPr>
        <w:t xml:space="preserve">% de los inmigrantes fueron clasificados correctamente usando el modelo reducido; el </w:t>
      </w:r>
      <w:r w:rsidR="00742BBC">
        <w:rPr>
          <w:rFonts w:ascii="Arial" w:hAnsi="Arial" w:cs="Arial"/>
        </w:rPr>
        <w:t>97.88</w:t>
      </w:r>
      <w:r w:rsidR="005C75BB" w:rsidRPr="00A23484">
        <w:rPr>
          <w:rFonts w:ascii="Arial" w:hAnsi="Arial" w:cs="Arial"/>
        </w:rPr>
        <w:t xml:space="preserve">% de los nativos fueron clasificados correctamente usando el mismo modelo; y, de la predicción realizada tanto para inmigrantes como nativos el </w:t>
      </w:r>
      <w:r w:rsidR="00742BBC">
        <w:rPr>
          <w:rFonts w:ascii="Arial" w:hAnsi="Arial" w:cs="Arial"/>
        </w:rPr>
        <w:t>65.75</w:t>
      </w:r>
      <w:r w:rsidR="005C75BB" w:rsidRPr="00A23484">
        <w:rPr>
          <w:rFonts w:ascii="Arial" w:hAnsi="Arial" w:cs="Arial"/>
        </w:rPr>
        <w:t>% de ellos fueron clasificados correctamente.</w:t>
      </w:r>
      <w:bookmarkEnd w:id="1022"/>
      <w:bookmarkEnd w:id="1023"/>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5C75BB" w:rsidRPr="003559D6" w:rsidTr="00742BBC">
        <w:trPr>
          <w:trHeight w:val="2494"/>
          <w:jc w:val="right"/>
        </w:trPr>
        <w:tc>
          <w:tcPr>
            <w:tcW w:w="7497" w:type="dxa"/>
          </w:tcPr>
          <w:p w:rsidR="005C75BB" w:rsidRPr="00434327" w:rsidRDefault="005C75BB" w:rsidP="005C75BB">
            <w:pPr>
              <w:rPr>
                <w:rFonts w:ascii="Arial" w:hAnsi="Arial" w:cs="Arial"/>
                <w:sz w:val="16"/>
                <w:szCs w:val="16"/>
              </w:rPr>
            </w:pPr>
          </w:p>
          <w:p w:rsidR="00654171" w:rsidRPr="00654171" w:rsidRDefault="00654171" w:rsidP="00654171">
            <w:pPr>
              <w:pStyle w:val="Epgrafe"/>
              <w:rPr>
                <w:rFonts w:ascii="Arial" w:hAnsi="Arial" w:cs="Arial"/>
                <w:bCs w:val="0"/>
                <w:color w:val="auto"/>
                <w:sz w:val="16"/>
                <w:szCs w:val="16"/>
              </w:rPr>
            </w:pPr>
            <w:bookmarkStart w:id="1024" w:name="_Toc341042353"/>
            <w:r>
              <w:rPr>
                <w:rFonts w:ascii="Arial" w:hAnsi="Arial" w:cs="Arial"/>
                <w:bCs w:val="0"/>
                <w:color w:val="auto"/>
                <w:sz w:val="16"/>
                <w:szCs w:val="16"/>
              </w:rPr>
              <w:t>Tabla 6.</w:t>
            </w:r>
            <w:r w:rsidR="00990535" w:rsidRPr="00654171">
              <w:rPr>
                <w:rFonts w:ascii="Arial" w:hAnsi="Arial" w:cs="Arial"/>
                <w:bCs w:val="0"/>
                <w:color w:val="auto"/>
                <w:sz w:val="16"/>
                <w:szCs w:val="16"/>
              </w:rPr>
              <w:fldChar w:fldCharType="begin"/>
            </w:r>
            <w:r w:rsidRPr="00654171">
              <w:rPr>
                <w:rFonts w:ascii="Arial" w:hAnsi="Arial" w:cs="Arial"/>
                <w:bCs w:val="0"/>
                <w:color w:val="auto"/>
                <w:sz w:val="16"/>
                <w:szCs w:val="16"/>
              </w:rPr>
              <w:instrText xml:space="preserve"> SEQ Tabla_6. \* ARABIC </w:instrText>
            </w:r>
            <w:r w:rsidR="00990535" w:rsidRPr="00654171">
              <w:rPr>
                <w:rFonts w:ascii="Arial" w:hAnsi="Arial" w:cs="Arial"/>
                <w:bCs w:val="0"/>
                <w:color w:val="auto"/>
                <w:sz w:val="16"/>
                <w:szCs w:val="16"/>
              </w:rPr>
              <w:fldChar w:fldCharType="separate"/>
            </w:r>
            <w:r w:rsidR="00A242E0">
              <w:rPr>
                <w:rFonts w:ascii="Arial" w:hAnsi="Arial" w:cs="Arial"/>
                <w:bCs w:val="0"/>
                <w:noProof/>
                <w:color w:val="auto"/>
                <w:sz w:val="16"/>
                <w:szCs w:val="16"/>
              </w:rPr>
              <w:t>7</w:t>
            </w:r>
            <w:bookmarkEnd w:id="1024"/>
            <w:r w:rsidR="00990535" w:rsidRPr="00654171">
              <w:rPr>
                <w:rFonts w:ascii="Arial" w:hAnsi="Arial" w:cs="Arial"/>
                <w:bCs w:val="0"/>
                <w:color w:val="auto"/>
                <w:sz w:val="16"/>
                <w:szCs w:val="16"/>
              </w:rPr>
              <w:fldChar w:fldCharType="end"/>
            </w:r>
          </w:p>
          <w:p w:rsidR="00742BBC" w:rsidRDefault="00742BBC" w:rsidP="00742BBC">
            <w:pPr>
              <w:rPr>
                <w:rFonts w:ascii="Arial" w:hAnsi="Arial" w:cs="Arial"/>
                <w:i/>
                <w:sz w:val="16"/>
                <w:szCs w:val="16"/>
              </w:rPr>
            </w:pPr>
            <w:r>
              <w:rPr>
                <w:rFonts w:ascii="Arial" w:hAnsi="Arial" w:cs="Arial"/>
                <w:b/>
                <w:i/>
                <w:sz w:val="16"/>
                <w:szCs w:val="16"/>
              </w:rPr>
              <w:t xml:space="preserve">Guayaquil 2010: </w:t>
            </w:r>
            <w:r>
              <w:rPr>
                <w:rFonts w:ascii="Arial" w:hAnsi="Arial" w:cs="Arial"/>
                <w:i/>
                <w:sz w:val="16"/>
                <w:szCs w:val="16"/>
              </w:rPr>
              <w:t xml:space="preserve">Tabla de Clasificación de los inmigrantes y nativos residentes en Guayaquil </w:t>
            </w:r>
          </w:p>
          <w:p w:rsidR="00742BBC" w:rsidRDefault="00742BBC" w:rsidP="00742BBC">
            <w:pPr>
              <w:rPr>
                <w:rFonts w:ascii="Arial" w:hAnsi="Arial" w:cs="Arial"/>
                <w:i/>
                <w:sz w:val="16"/>
                <w:szCs w:val="16"/>
              </w:rPr>
            </w:pPr>
            <w:r>
              <w:rPr>
                <w:rFonts w:ascii="Arial" w:hAnsi="Arial" w:cs="Arial"/>
                <w:i/>
                <w:sz w:val="16"/>
                <w:szCs w:val="16"/>
              </w:rPr>
              <w:t>(y = 1 = Inmigrante; y =  0 = Nativo)</w:t>
            </w:r>
          </w:p>
          <w:p w:rsidR="005C75BB" w:rsidRPr="003D21E9" w:rsidRDefault="005C75BB" w:rsidP="005C75BB">
            <w:pPr>
              <w:rPr>
                <w:rFonts w:ascii="Arial" w:hAnsi="Arial" w:cs="Arial"/>
                <w:i/>
                <w:sz w:val="10"/>
                <w:szCs w:val="10"/>
              </w:rPr>
            </w:pPr>
          </w:p>
          <w:tbl>
            <w:tblPr>
              <w:tblW w:w="7037" w:type="dxa"/>
              <w:jc w:val="center"/>
              <w:tblCellMar>
                <w:left w:w="70" w:type="dxa"/>
                <w:right w:w="70" w:type="dxa"/>
              </w:tblCellMar>
              <w:tblLook w:val="04A0" w:firstRow="1" w:lastRow="0" w:firstColumn="1" w:lastColumn="0" w:noHBand="0" w:noVBand="1"/>
            </w:tblPr>
            <w:tblGrid>
              <w:gridCol w:w="1200"/>
              <w:gridCol w:w="1077"/>
              <w:gridCol w:w="1860"/>
              <w:gridCol w:w="1700"/>
              <w:gridCol w:w="1200"/>
            </w:tblGrid>
            <w:tr w:rsidR="005C75BB" w:rsidRPr="003041FD" w:rsidTr="005C75BB">
              <w:trPr>
                <w:trHeight w:val="227"/>
                <w:jc w:val="center"/>
              </w:trPr>
              <w:tc>
                <w:tcPr>
                  <w:tcW w:w="2277" w:type="dxa"/>
                  <w:gridSpan w:val="2"/>
                  <w:vMerge w:val="restart"/>
                  <w:tcBorders>
                    <w:top w:val="single" w:sz="4" w:space="0" w:color="auto"/>
                    <w:left w:val="nil"/>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Observado</w:t>
                  </w:r>
                </w:p>
              </w:tc>
              <w:tc>
                <w:tcPr>
                  <w:tcW w:w="3560" w:type="dxa"/>
                  <w:gridSpan w:val="2"/>
                  <w:tcBorders>
                    <w:top w:val="single" w:sz="4" w:space="0" w:color="auto"/>
                    <w:left w:val="nil"/>
                    <w:bottom w:val="nil"/>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Predicción</w:t>
                  </w:r>
                </w:p>
              </w:tc>
              <w:tc>
                <w:tcPr>
                  <w:tcW w:w="1200" w:type="dxa"/>
                  <w:vMerge w:val="restart"/>
                  <w:tcBorders>
                    <w:top w:val="single" w:sz="4" w:space="0" w:color="auto"/>
                    <w:left w:val="nil"/>
                    <w:bottom w:val="single" w:sz="4" w:space="0" w:color="000000"/>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Porcentaje correcto</w:t>
                  </w:r>
                </w:p>
              </w:tc>
            </w:tr>
            <w:tr w:rsidR="005C75BB" w:rsidRPr="003041FD" w:rsidTr="005C75BB">
              <w:trPr>
                <w:trHeight w:val="227"/>
                <w:jc w:val="center"/>
              </w:trPr>
              <w:tc>
                <w:tcPr>
                  <w:tcW w:w="2277" w:type="dxa"/>
                  <w:gridSpan w:val="2"/>
                  <w:vMerge/>
                  <w:tcBorders>
                    <w:left w:val="nil"/>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c>
                <w:tcPr>
                  <w:tcW w:w="3560" w:type="dxa"/>
                  <w:gridSpan w:val="2"/>
                  <w:tcBorders>
                    <w:top w:val="single" w:sz="4" w:space="0" w:color="auto"/>
                    <w:left w:val="nil"/>
                    <w:bottom w:val="single" w:sz="4" w:space="0" w:color="auto"/>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Inmigración</w:t>
                  </w:r>
                </w:p>
              </w:tc>
              <w:tc>
                <w:tcPr>
                  <w:tcW w:w="1200" w:type="dxa"/>
                  <w:vMerge/>
                  <w:tcBorders>
                    <w:top w:val="single" w:sz="4" w:space="0" w:color="auto"/>
                    <w:left w:val="nil"/>
                    <w:bottom w:val="single" w:sz="4" w:space="0" w:color="000000"/>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r>
            <w:tr w:rsidR="005C75BB" w:rsidRPr="003041FD" w:rsidTr="005C75BB">
              <w:trPr>
                <w:trHeight w:val="227"/>
                <w:jc w:val="center"/>
              </w:trPr>
              <w:tc>
                <w:tcPr>
                  <w:tcW w:w="2277" w:type="dxa"/>
                  <w:gridSpan w:val="2"/>
                  <w:vMerge/>
                  <w:tcBorders>
                    <w:left w:val="nil"/>
                    <w:bottom w:val="single" w:sz="4" w:space="0" w:color="000000"/>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c>
                <w:tcPr>
                  <w:tcW w:w="1860" w:type="dxa"/>
                  <w:tcBorders>
                    <w:top w:val="nil"/>
                    <w:left w:val="nil"/>
                    <w:bottom w:val="single" w:sz="4" w:space="0" w:color="auto"/>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Inmigrante</w:t>
                  </w:r>
                </w:p>
              </w:tc>
              <w:tc>
                <w:tcPr>
                  <w:tcW w:w="1700" w:type="dxa"/>
                  <w:tcBorders>
                    <w:top w:val="nil"/>
                    <w:left w:val="nil"/>
                    <w:bottom w:val="single" w:sz="4" w:space="0" w:color="auto"/>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Nativo</w:t>
                  </w:r>
                </w:p>
              </w:tc>
              <w:tc>
                <w:tcPr>
                  <w:tcW w:w="1200" w:type="dxa"/>
                  <w:vMerge/>
                  <w:tcBorders>
                    <w:top w:val="single" w:sz="4" w:space="0" w:color="auto"/>
                    <w:left w:val="nil"/>
                    <w:bottom w:val="single" w:sz="4" w:space="0" w:color="000000"/>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r>
            <w:tr w:rsidR="00742BBC" w:rsidRPr="003041FD" w:rsidTr="005C75BB">
              <w:trPr>
                <w:trHeight w:val="227"/>
                <w:jc w:val="center"/>
              </w:trPr>
              <w:tc>
                <w:tcPr>
                  <w:tcW w:w="1200" w:type="dxa"/>
                  <w:vMerge w:val="restart"/>
                  <w:tcBorders>
                    <w:top w:val="nil"/>
                    <w:left w:val="nil"/>
                    <w:bottom w:val="nil"/>
                    <w:right w:val="nil"/>
                  </w:tcBorders>
                  <w:shd w:val="clear" w:color="auto" w:fill="auto"/>
                  <w:vAlign w:val="center"/>
                  <w:hideMark/>
                </w:tcPr>
                <w:p w:rsidR="00742BBC" w:rsidRPr="003041FD" w:rsidRDefault="00742BBC" w:rsidP="00654171">
                  <w:pPr>
                    <w:jc w:val="left"/>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Inmigración</w:t>
                  </w:r>
                </w:p>
              </w:tc>
              <w:tc>
                <w:tcPr>
                  <w:tcW w:w="1077" w:type="dxa"/>
                  <w:tcBorders>
                    <w:top w:val="nil"/>
                    <w:left w:val="nil"/>
                    <w:bottom w:val="nil"/>
                    <w:right w:val="nil"/>
                  </w:tcBorders>
                  <w:shd w:val="clear" w:color="auto" w:fill="auto"/>
                  <w:vAlign w:val="center"/>
                  <w:hideMark/>
                </w:tcPr>
                <w:p w:rsidR="00742BBC" w:rsidRPr="003041FD" w:rsidRDefault="00742BBC" w:rsidP="00654171">
                  <w:pPr>
                    <w:jc w:val="left"/>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Inmigrante</w:t>
                  </w:r>
                </w:p>
              </w:tc>
              <w:tc>
                <w:tcPr>
                  <w:tcW w:w="1860" w:type="dxa"/>
                  <w:tcBorders>
                    <w:top w:val="nil"/>
                    <w:left w:val="nil"/>
                    <w:bottom w:val="nil"/>
                    <w:right w:val="nil"/>
                  </w:tcBorders>
                  <w:shd w:val="clear" w:color="auto" w:fill="auto"/>
                  <w:vAlign w:val="center"/>
                </w:tcPr>
                <w:p w:rsidR="00742BBC" w:rsidRDefault="00742BBC">
                  <w:pPr>
                    <w:rPr>
                      <w:rFonts w:ascii="Arial" w:hAnsi="Arial" w:cs="Arial"/>
                      <w:color w:val="000000"/>
                      <w:sz w:val="16"/>
                      <w:szCs w:val="16"/>
                    </w:rPr>
                  </w:pPr>
                  <w:r>
                    <w:rPr>
                      <w:rFonts w:ascii="Arial" w:hAnsi="Arial" w:cs="Arial"/>
                      <w:color w:val="000000"/>
                      <w:sz w:val="16"/>
                      <w:szCs w:val="16"/>
                    </w:rPr>
                    <w:t>267</w:t>
                  </w:r>
                </w:p>
              </w:tc>
              <w:tc>
                <w:tcPr>
                  <w:tcW w:w="1700" w:type="dxa"/>
                  <w:tcBorders>
                    <w:top w:val="nil"/>
                    <w:left w:val="nil"/>
                    <w:bottom w:val="nil"/>
                    <w:right w:val="nil"/>
                  </w:tcBorders>
                  <w:shd w:val="clear" w:color="auto" w:fill="auto"/>
                  <w:vAlign w:val="center"/>
                </w:tcPr>
                <w:p w:rsidR="00742BBC" w:rsidRDefault="00742BBC">
                  <w:pPr>
                    <w:rPr>
                      <w:rFonts w:ascii="Arial" w:hAnsi="Arial" w:cs="Arial"/>
                      <w:color w:val="000000"/>
                      <w:sz w:val="16"/>
                      <w:szCs w:val="16"/>
                    </w:rPr>
                  </w:pPr>
                  <w:r>
                    <w:rPr>
                      <w:rFonts w:ascii="Arial" w:hAnsi="Arial" w:cs="Arial"/>
                      <w:color w:val="000000"/>
                      <w:sz w:val="16"/>
                      <w:szCs w:val="16"/>
                    </w:rPr>
                    <w:t>6397</w:t>
                  </w:r>
                </w:p>
              </w:tc>
              <w:tc>
                <w:tcPr>
                  <w:tcW w:w="1200" w:type="dxa"/>
                  <w:tcBorders>
                    <w:top w:val="nil"/>
                    <w:left w:val="nil"/>
                    <w:bottom w:val="nil"/>
                    <w:right w:val="nil"/>
                  </w:tcBorders>
                  <w:shd w:val="clear" w:color="auto" w:fill="auto"/>
                  <w:vAlign w:val="center"/>
                </w:tcPr>
                <w:p w:rsidR="00742BBC" w:rsidRDefault="00742BBC">
                  <w:pPr>
                    <w:rPr>
                      <w:rFonts w:ascii="Arial" w:hAnsi="Arial" w:cs="Arial"/>
                      <w:color w:val="000000"/>
                      <w:sz w:val="16"/>
                      <w:szCs w:val="16"/>
                    </w:rPr>
                  </w:pPr>
                  <w:r>
                    <w:rPr>
                      <w:rFonts w:ascii="Arial" w:hAnsi="Arial" w:cs="Arial"/>
                      <w:color w:val="000000"/>
                      <w:sz w:val="16"/>
                      <w:szCs w:val="16"/>
                    </w:rPr>
                    <w:t>4.01%</w:t>
                  </w:r>
                </w:p>
              </w:tc>
            </w:tr>
            <w:tr w:rsidR="00742BBC" w:rsidRPr="003041FD" w:rsidTr="005C75BB">
              <w:trPr>
                <w:trHeight w:val="227"/>
                <w:jc w:val="center"/>
              </w:trPr>
              <w:tc>
                <w:tcPr>
                  <w:tcW w:w="1200" w:type="dxa"/>
                  <w:vMerge/>
                  <w:tcBorders>
                    <w:top w:val="nil"/>
                    <w:left w:val="nil"/>
                    <w:bottom w:val="nil"/>
                    <w:right w:val="nil"/>
                  </w:tcBorders>
                  <w:vAlign w:val="center"/>
                  <w:hideMark/>
                </w:tcPr>
                <w:p w:rsidR="00742BBC" w:rsidRPr="003041FD" w:rsidRDefault="00742BBC" w:rsidP="00654171">
                  <w:pPr>
                    <w:jc w:val="left"/>
                    <w:rPr>
                      <w:rFonts w:ascii="Arial" w:eastAsia="Times New Roman" w:hAnsi="Arial" w:cs="Arial"/>
                      <w:b/>
                      <w:bCs/>
                      <w:color w:val="000000"/>
                      <w:sz w:val="16"/>
                      <w:szCs w:val="16"/>
                      <w:lang w:eastAsia="es-EC"/>
                    </w:rPr>
                  </w:pPr>
                </w:p>
              </w:tc>
              <w:tc>
                <w:tcPr>
                  <w:tcW w:w="1077" w:type="dxa"/>
                  <w:tcBorders>
                    <w:top w:val="nil"/>
                    <w:left w:val="nil"/>
                    <w:bottom w:val="nil"/>
                    <w:right w:val="nil"/>
                  </w:tcBorders>
                  <w:shd w:val="clear" w:color="auto" w:fill="auto"/>
                  <w:vAlign w:val="center"/>
                  <w:hideMark/>
                </w:tcPr>
                <w:p w:rsidR="00742BBC" w:rsidRPr="003041FD" w:rsidRDefault="00742BBC" w:rsidP="00654171">
                  <w:pPr>
                    <w:jc w:val="left"/>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Nativo</w:t>
                  </w:r>
                </w:p>
              </w:tc>
              <w:tc>
                <w:tcPr>
                  <w:tcW w:w="1860" w:type="dxa"/>
                  <w:tcBorders>
                    <w:top w:val="nil"/>
                    <w:left w:val="nil"/>
                    <w:bottom w:val="nil"/>
                    <w:right w:val="nil"/>
                  </w:tcBorders>
                  <w:shd w:val="clear" w:color="auto" w:fill="auto"/>
                  <w:vAlign w:val="center"/>
                </w:tcPr>
                <w:p w:rsidR="00742BBC" w:rsidRDefault="00742BBC">
                  <w:pPr>
                    <w:rPr>
                      <w:rFonts w:ascii="Arial" w:hAnsi="Arial" w:cs="Arial"/>
                      <w:color w:val="000000"/>
                      <w:sz w:val="16"/>
                      <w:szCs w:val="16"/>
                    </w:rPr>
                  </w:pPr>
                  <w:r>
                    <w:rPr>
                      <w:rFonts w:ascii="Arial" w:hAnsi="Arial" w:cs="Arial"/>
                      <w:color w:val="000000"/>
                      <w:sz w:val="16"/>
                      <w:szCs w:val="16"/>
                    </w:rPr>
                    <w:t>271</w:t>
                  </w:r>
                </w:p>
              </w:tc>
              <w:tc>
                <w:tcPr>
                  <w:tcW w:w="1700" w:type="dxa"/>
                  <w:tcBorders>
                    <w:top w:val="nil"/>
                    <w:left w:val="nil"/>
                    <w:bottom w:val="nil"/>
                    <w:right w:val="nil"/>
                  </w:tcBorders>
                  <w:shd w:val="clear" w:color="auto" w:fill="auto"/>
                  <w:vAlign w:val="center"/>
                </w:tcPr>
                <w:p w:rsidR="00742BBC" w:rsidRDefault="00742BBC">
                  <w:pPr>
                    <w:rPr>
                      <w:rFonts w:ascii="Arial" w:hAnsi="Arial" w:cs="Arial"/>
                      <w:color w:val="000000"/>
                      <w:sz w:val="16"/>
                      <w:szCs w:val="16"/>
                    </w:rPr>
                  </w:pPr>
                  <w:r>
                    <w:rPr>
                      <w:rFonts w:ascii="Arial" w:hAnsi="Arial" w:cs="Arial"/>
                      <w:color w:val="000000"/>
                      <w:sz w:val="16"/>
                      <w:szCs w:val="16"/>
                    </w:rPr>
                    <w:t>12533</w:t>
                  </w:r>
                </w:p>
              </w:tc>
              <w:tc>
                <w:tcPr>
                  <w:tcW w:w="1200" w:type="dxa"/>
                  <w:tcBorders>
                    <w:top w:val="nil"/>
                    <w:left w:val="nil"/>
                    <w:bottom w:val="nil"/>
                    <w:right w:val="nil"/>
                  </w:tcBorders>
                  <w:shd w:val="clear" w:color="auto" w:fill="auto"/>
                  <w:vAlign w:val="center"/>
                </w:tcPr>
                <w:p w:rsidR="00742BBC" w:rsidRDefault="00742BBC">
                  <w:pPr>
                    <w:rPr>
                      <w:rFonts w:ascii="Arial" w:hAnsi="Arial" w:cs="Arial"/>
                      <w:color w:val="000000"/>
                      <w:sz w:val="16"/>
                      <w:szCs w:val="16"/>
                    </w:rPr>
                  </w:pPr>
                  <w:r>
                    <w:rPr>
                      <w:rFonts w:ascii="Arial" w:hAnsi="Arial" w:cs="Arial"/>
                      <w:color w:val="000000"/>
                      <w:sz w:val="16"/>
                      <w:szCs w:val="16"/>
                    </w:rPr>
                    <w:t>97.88%</w:t>
                  </w:r>
                </w:p>
              </w:tc>
            </w:tr>
            <w:tr w:rsidR="005C75BB" w:rsidRPr="003041FD" w:rsidTr="005C75BB">
              <w:trPr>
                <w:trHeight w:val="227"/>
                <w:jc w:val="center"/>
              </w:trPr>
              <w:tc>
                <w:tcPr>
                  <w:tcW w:w="2277" w:type="dxa"/>
                  <w:gridSpan w:val="2"/>
                  <w:tcBorders>
                    <w:top w:val="nil"/>
                    <w:left w:val="nil"/>
                    <w:bottom w:val="single" w:sz="4" w:space="0" w:color="auto"/>
                    <w:right w:val="nil"/>
                  </w:tcBorders>
                  <w:shd w:val="clear" w:color="auto" w:fill="auto"/>
                  <w:vAlign w:val="center"/>
                  <w:hideMark/>
                </w:tcPr>
                <w:p w:rsidR="005C75BB" w:rsidRPr="003041FD" w:rsidRDefault="005C75BB" w:rsidP="00654171">
                  <w:pPr>
                    <w:jc w:val="left"/>
                    <w:rPr>
                      <w:rFonts w:ascii="Arial" w:eastAsia="Times New Roman" w:hAnsi="Arial" w:cs="Arial"/>
                      <w:b/>
                      <w:bCs/>
                      <w:i/>
                      <w:iCs/>
                      <w:color w:val="000000"/>
                      <w:sz w:val="16"/>
                      <w:szCs w:val="16"/>
                      <w:lang w:eastAsia="es-EC"/>
                    </w:rPr>
                  </w:pPr>
                  <w:r w:rsidRPr="003041FD">
                    <w:rPr>
                      <w:rFonts w:ascii="Arial" w:eastAsia="Times New Roman" w:hAnsi="Arial" w:cs="Arial"/>
                      <w:b/>
                      <w:bCs/>
                      <w:i/>
                      <w:iCs/>
                      <w:color w:val="000000"/>
                      <w:sz w:val="16"/>
                      <w:szCs w:val="16"/>
                      <w:lang w:eastAsia="es-EC"/>
                    </w:rPr>
                    <w:t>Porcentaje Total</w:t>
                  </w:r>
                </w:p>
              </w:tc>
              <w:tc>
                <w:tcPr>
                  <w:tcW w:w="1860" w:type="dxa"/>
                  <w:tcBorders>
                    <w:top w:val="nil"/>
                    <w:left w:val="nil"/>
                    <w:bottom w:val="single" w:sz="4" w:space="0" w:color="auto"/>
                    <w:right w:val="nil"/>
                  </w:tcBorders>
                  <w:shd w:val="clear" w:color="auto" w:fill="auto"/>
                  <w:vAlign w:val="center"/>
                </w:tcPr>
                <w:p w:rsidR="005C75BB" w:rsidRPr="003041FD" w:rsidRDefault="005C75BB" w:rsidP="005C75BB">
                  <w:pPr>
                    <w:rPr>
                      <w:rFonts w:ascii="Arial" w:eastAsia="Times New Roman" w:hAnsi="Arial" w:cs="Arial"/>
                      <w:color w:val="000000"/>
                      <w:sz w:val="16"/>
                      <w:szCs w:val="16"/>
                      <w:lang w:eastAsia="es-EC"/>
                    </w:rPr>
                  </w:pPr>
                </w:p>
              </w:tc>
              <w:tc>
                <w:tcPr>
                  <w:tcW w:w="1700" w:type="dxa"/>
                  <w:tcBorders>
                    <w:top w:val="nil"/>
                    <w:left w:val="nil"/>
                    <w:bottom w:val="single" w:sz="4" w:space="0" w:color="auto"/>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 </w:t>
                  </w:r>
                </w:p>
              </w:tc>
              <w:tc>
                <w:tcPr>
                  <w:tcW w:w="1200" w:type="dxa"/>
                  <w:tcBorders>
                    <w:top w:val="nil"/>
                    <w:left w:val="nil"/>
                    <w:bottom w:val="single" w:sz="4" w:space="0" w:color="auto"/>
                    <w:right w:val="nil"/>
                  </w:tcBorders>
                  <w:shd w:val="clear" w:color="auto" w:fill="auto"/>
                  <w:vAlign w:val="center"/>
                </w:tcPr>
                <w:p w:rsidR="005C75BB" w:rsidRPr="00742BBC" w:rsidRDefault="00742BBC" w:rsidP="00742BBC">
                  <w:pPr>
                    <w:rPr>
                      <w:rFonts w:ascii="Arial" w:hAnsi="Arial" w:cs="Arial"/>
                      <w:b/>
                      <w:bCs/>
                      <w:i/>
                      <w:iCs/>
                      <w:color w:val="000000"/>
                      <w:sz w:val="16"/>
                      <w:szCs w:val="16"/>
                    </w:rPr>
                  </w:pPr>
                  <w:r>
                    <w:rPr>
                      <w:rFonts w:ascii="Arial" w:hAnsi="Arial" w:cs="Arial"/>
                      <w:b/>
                      <w:bCs/>
                      <w:i/>
                      <w:iCs/>
                      <w:color w:val="000000"/>
                      <w:sz w:val="16"/>
                      <w:szCs w:val="16"/>
                    </w:rPr>
                    <w:t>65.75%</w:t>
                  </w:r>
                </w:p>
              </w:tc>
            </w:tr>
          </w:tbl>
          <w:p w:rsidR="005C75BB" w:rsidRPr="00607324" w:rsidRDefault="005C75BB" w:rsidP="005C75BB">
            <w:pPr>
              <w:rPr>
                <w:rFonts w:ascii="Arial" w:hAnsi="Arial" w:cs="Arial"/>
                <w:sz w:val="24"/>
                <w:szCs w:val="24"/>
              </w:rPr>
            </w:pPr>
          </w:p>
        </w:tc>
      </w:tr>
    </w:tbl>
    <w:p w:rsidR="005C75BB" w:rsidRPr="00742BBC" w:rsidRDefault="005C75BB" w:rsidP="00742BBC">
      <w:pPr>
        <w:pStyle w:val="Prrafodelista"/>
        <w:spacing w:line="276" w:lineRule="auto"/>
        <w:ind w:left="851"/>
        <w:jc w:val="both"/>
        <w:rPr>
          <w:rFonts w:ascii="Arial" w:hAnsi="Arial" w:cs="Arial"/>
          <w:sz w:val="17"/>
          <w:szCs w:val="17"/>
        </w:rPr>
      </w:pPr>
    </w:p>
    <w:p w:rsidR="005C75BB" w:rsidRPr="00742BBC" w:rsidRDefault="005C75BB" w:rsidP="00742BBC">
      <w:pPr>
        <w:pStyle w:val="Prrafodelista"/>
        <w:spacing w:line="276" w:lineRule="auto"/>
        <w:ind w:left="851"/>
        <w:jc w:val="both"/>
        <w:rPr>
          <w:rFonts w:ascii="Arial" w:hAnsi="Arial" w:cs="Arial"/>
          <w:sz w:val="17"/>
          <w:szCs w:val="17"/>
        </w:rPr>
      </w:pPr>
      <w:r w:rsidRPr="00742BBC">
        <w:rPr>
          <w:rFonts w:ascii="Arial" w:hAnsi="Arial" w:cs="Arial"/>
          <w:b/>
          <w:i/>
          <w:sz w:val="17"/>
          <w:szCs w:val="17"/>
        </w:rPr>
        <w:t>Fuente:</w:t>
      </w:r>
      <w:r w:rsidRPr="00742BBC">
        <w:rPr>
          <w:rFonts w:ascii="Arial" w:hAnsi="Arial" w:cs="Arial"/>
          <w:sz w:val="17"/>
          <w:szCs w:val="17"/>
        </w:rPr>
        <w:t xml:space="preserve"> </w:t>
      </w:r>
      <w:r w:rsidRPr="00742BBC">
        <w:rPr>
          <w:rFonts w:ascii="Arial" w:hAnsi="Arial" w:cs="Arial"/>
          <w:b/>
          <w:sz w:val="17"/>
          <w:szCs w:val="17"/>
        </w:rPr>
        <w:t xml:space="preserve">INEC </w:t>
      </w:r>
      <w:r w:rsidRPr="00742BBC">
        <w:rPr>
          <w:rFonts w:ascii="Arial" w:hAnsi="Arial" w:cs="Arial"/>
          <w:sz w:val="17"/>
          <w:szCs w:val="17"/>
        </w:rPr>
        <w:t>(2010), Base de Datos del VII Censo de Población y VI de Vivienda.</w:t>
      </w:r>
    </w:p>
    <w:p w:rsidR="005C75BB" w:rsidRDefault="005C75BB" w:rsidP="00742BBC">
      <w:pPr>
        <w:pStyle w:val="Prrafodelista"/>
        <w:spacing w:line="276" w:lineRule="auto"/>
        <w:ind w:left="851"/>
        <w:jc w:val="both"/>
        <w:rPr>
          <w:rFonts w:ascii="Arial" w:hAnsi="Arial" w:cs="Arial"/>
          <w:sz w:val="18"/>
          <w:szCs w:val="18"/>
        </w:rPr>
      </w:pPr>
      <w:r w:rsidRPr="00742BBC">
        <w:rPr>
          <w:rFonts w:ascii="Arial" w:hAnsi="Arial" w:cs="Arial"/>
          <w:b/>
          <w:i/>
          <w:sz w:val="17"/>
          <w:szCs w:val="17"/>
        </w:rPr>
        <w:t>Elaborado por:</w:t>
      </w:r>
      <w:r w:rsidRPr="00742BBC">
        <w:rPr>
          <w:rFonts w:ascii="Arial" w:hAnsi="Arial" w:cs="Arial"/>
          <w:sz w:val="17"/>
          <w:szCs w:val="17"/>
        </w:rPr>
        <w:t xml:space="preserve"> Katherine Loor Valeriano</w:t>
      </w:r>
    </w:p>
    <w:p w:rsidR="005C75BB" w:rsidRPr="008366A7" w:rsidRDefault="005C75BB" w:rsidP="005C75BB">
      <w:pPr>
        <w:pStyle w:val="Prrafodelista"/>
        <w:spacing w:line="480" w:lineRule="auto"/>
        <w:ind w:left="567"/>
        <w:jc w:val="both"/>
        <w:rPr>
          <w:rFonts w:ascii="Arial" w:hAnsi="Arial" w:cs="Arial"/>
        </w:rPr>
      </w:pPr>
    </w:p>
    <w:p w:rsidR="005C75BB" w:rsidRDefault="005C75BB" w:rsidP="00742BBC">
      <w:pPr>
        <w:pStyle w:val="61"/>
        <w:ind w:left="851"/>
      </w:pPr>
      <w:bookmarkStart w:id="1025" w:name="_Toc339275964"/>
      <w:bookmarkStart w:id="1026" w:name="_Toc341040758"/>
      <w:r>
        <w:t>Factores que influyen en el Nivel de Instrucción Superior de los estadounidenses mayores de 17 años que residen en Ecuador</w:t>
      </w:r>
      <w:bookmarkEnd w:id="1025"/>
      <w:bookmarkEnd w:id="1026"/>
    </w:p>
    <w:p w:rsidR="005C75BB" w:rsidRPr="00742BBC" w:rsidRDefault="005C75BB" w:rsidP="00742BBC">
      <w:pPr>
        <w:spacing w:line="480" w:lineRule="auto"/>
        <w:ind w:left="851"/>
        <w:jc w:val="both"/>
        <w:rPr>
          <w:rFonts w:ascii="Arial" w:hAnsi="Arial" w:cs="Arial"/>
        </w:rPr>
      </w:pPr>
      <w:bookmarkStart w:id="1027" w:name="_Toc338773487"/>
      <w:bookmarkStart w:id="1028" w:name="_Toc338773625"/>
      <w:bookmarkStart w:id="1029" w:name="_Toc338938941"/>
      <w:bookmarkStart w:id="1030" w:name="_Toc338947243"/>
      <w:bookmarkStart w:id="1031" w:name="_Toc339275965"/>
      <w:bookmarkStart w:id="1032" w:name="_Toc339853221"/>
      <w:bookmarkStart w:id="1033" w:name="_Toc340231991"/>
      <w:r w:rsidRPr="00742BBC">
        <w:rPr>
          <w:rFonts w:ascii="Arial" w:hAnsi="Arial" w:cs="Arial"/>
        </w:rPr>
        <w:t>En capítulos previos se mencionó que un poco menos del 35% de los estadounidenses mayores de 5 años tienen hasta nivel de instrucción superior, sea a nivel de pregrado y de postgrado; en esta sección vamos a conocer cuales son los factores que influyen en el nivel de instrucción superior en esta población de extranjeros residentes en el país. Cabe resaltar que la población sujeto de estudio son los estadounidenses mayores de 17 años, los cuales hasta noviembre de 2010 eran 6066.</w:t>
      </w:r>
      <w:bookmarkEnd w:id="1027"/>
      <w:bookmarkEnd w:id="1028"/>
      <w:bookmarkEnd w:id="1029"/>
      <w:bookmarkEnd w:id="1030"/>
      <w:bookmarkEnd w:id="1031"/>
      <w:bookmarkEnd w:id="1032"/>
      <w:bookmarkEnd w:id="1033"/>
    </w:p>
    <w:p w:rsidR="005C75BB" w:rsidRPr="00742BBC" w:rsidRDefault="005C75BB" w:rsidP="00742BBC">
      <w:pPr>
        <w:spacing w:line="480" w:lineRule="auto"/>
        <w:ind w:left="851"/>
        <w:jc w:val="both"/>
        <w:rPr>
          <w:rFonts w:ascii="Arial" w:hAnsi="Arial" w:cs="Arial"/>
        </w:rPr>
      </w:pPr>
    </w:p>
    <w:p w:rsidR="005C75BB" w:rsidRDefault="005C75BB" w:rsidP="00742BBC">
      <w:pPr>
        <w:pStyle w:val="62"/>
        <w:ind w:left="1560"/>
      </w:pPr>
      <w:bookmarkStart w:id="1034" w:name="_Toc339275966"/>
      <w:bookmarkStart w:id="1035" w:name="_Toc341040759"/>
      <w:r>
        <w:t>Descripción de las variables</w:t>
      </w:r>
      <w:bookmarkEnd w:id="1034"/>
      <w:bookmarkEnd w:id="1035"/>
    </w:p>
    <w:p w:rsidR="005C75BB" w:rsidRPr="00742BBC" w:rsidRDefault="005C75BB" w:rsidP="00742BBC">
      <w:pPr>
        <w:spacing w:line="480" w:lineRule="auto"/>
        <w:ind w:left="851"/>
        <w:jc w:val="both"/>
        <w:rPr>
          <w:rFonts w:ascii="Arial" w:hAnsi="Arial" w:cs="Arial"/>
        </w:rPr>
      </w:pPr>
      <w:bookmarkStart w:id="1036" w:name="_Toc338773488"/>
      <w:bookmarkStart w:id="1037" w:name="_Toc338773626"/>
      <w:bookmarkStart w:id="1038" w:name="_Toc338938942"/>
      <w:bookmarkStart w:id="1039" w:name="_Toc338947245"/>
      <w:bookmarkStart w:id="1040" w:name="_Toc339275967"/>
      <w:bookmarkStart w:id="1041" w:name="_Toc339853223"/>
      <w:bookmarkStart w:id="1042" w:name="_Toc340231993"/>
      <w:r w:rsidRPr="00742BBC">
        <w:rPr>
          <w:rFonts w:ascii="Arial" w:hAnsi="Arial" w:cs="Arial"/>
        </w:rPr>
        <w:t>Por tanto, se define como variable de respuesta y, como el nivel más alto de instrucción alcanzado por el inmigrante; la cual tiene dos categorías “1” que significa que el extranjero tiene hasta instrucción superior y “0” que tiene otro nivel de instrucción (incluye además los “se ignora” y “ninguna instrucción”). Se define, además, z como la combinación lineal entre los betas y las variables zona de residencia, género, edad, estado conyugal, discapacidad permanente y trabaja; obteniéndose el siguiente modelo:</w:t>
      </w:r>
      <w:bookmarkEnd w:id="1036"/>
      <w:bookmarkEnd w:id="1037"/>
      <w:bookmarkEnd w:id="1038"/>
      <w:bookmarkEnd w:id="1039"/>
      <w:bookmarkEnd w:id="1040"/>
      <w:bookmarkEnd w:id="1041"/>
      <w:bookmarkEnd w:id="1042"/>
    </w:p>
    <w:p w:rsidR="005C75BB" w:rsidRPr="00742BBC" w:rsidRDefault="005C75BB" w:rsidP="00742BBC">
      <w:pPr>
        <w:spacing w:line="480" w:lineRule="auto"/>
        <w:ind w:left="851"/>
        <w:jc w:val="both"/>
        <w:rPr>
          <w:rFonts w:ascii="Arial" w:hAnsi="Arial" w:cs="Arial"/>
          <w:sz w:val="10"/>
          <w:szCs w:val="10"/>
        </w:rPr>
      </w:pPr>
    </w:p>
    <w:p w:rsidR="005C75BB" w:rsidRPr="00742BBC" w:rsidRDefault="005C75BB" w:rsidP="00742BBC">
      <w:pPr>
        <w:spacing w:line="480" w:lineRule="auto"/>
        <w:ind w:left="851"/>
        <w:rPr>
          <w:rFonts w:ascii="Arial" w:hAnsi="Arial" w:cs="Arial"/>
        </w:rPr>
      </w:pPr>
      <w:bookmarkStart w:id="1043" w:name="_Toc338773489"/>
      <w:bookmarkStart w:id="1044" w:name="_Toc338773627"/>
      <w:bookmarkStart w:id="1045" w:name="_Toc338938943"/>
      <w:bookmarkStart w:id="1046" w:name="_Toc338947246"/>
      <w:bookmarkStart w:id="1047" w:name="_Toc339275968"/>
      <w:bookmarkStart w:id="1048" w:name="_Toc339853224"/>
      <w:bookmarkStart w:id="1049" w:name="_Toc340231994"/>
      <w:r w:rsidRPr="00742BBC">
        <w:rPr>
          <w:rFonts w:ascii="Arial" w:hAnsi="Arial" w:cs="Arial"/>
        </w:rPr>
        <w:t xml:space="preserve">z = </w:t>
      </w:r>
      <w:r w:rsidRPr="00742BBC">
        <w:rPr>
          <w:rFonts w:ascii="Arial" w:hAnsi="Arial" w:cs="Arial"/>
        </w:rPr>
        <w:sym w:font="Symbol" w:char="F062"/>
      </w:r>
      <w:r w:rsidRPr="00742BBC">
        <w:rPr>
          <w:rFonts w:ascii="Arial" w:hAnsi="Arial" w:cs="Arial"/>
          <w:vertAlign w:val="subscript"/>
        </w:rPr>
        <w:t>0</w:t>
      </w:r>
      <w:r w:rsidRPr="00742BBC">
        <w:rPr>
          <w:rFonts w:ascii="Arial" w:hAnsi="Arial" w:cs="Arial"/>
        </w:rPr>
        <w:t xml:space="preserve"> + </w:t>
      </w:r>
      <w:r w:rsidRPr="00742BBC">
        <w:rPr>
          <w:rFonts w:ascii="Arial" w:hAnsi="Arial" w:cs="Arial"/>
        </w:rPr>
        <w:sym w:font="Symbol" w:char="F062"/>
      </w:r>
      <w:r w:rsidRPr="00742BBC">
        <w:rPr>
          <w:rFonts w:ascii="Arial" w:hAnsi="Arial" w:cs="Arial"/>
          <w:vertAlign w:val="subscript"/>
        </w:rPr>
        <w:t>1</w:t>
      </w:r>
      <w:r w:rsidRPr="00742BBC">
        <w:rPr>
          <w:rFonts w:ascii="Arial" w:hAnsi="Arial" w:cs="Arial"/>
        </w:rPr>
        <w:t xml:space="preserve"> Zona de  Residencia + </w:t>
      </w:r>
      <w:r w:rsidRPr="00742BBC">
        <w:rPr>
          <w:rFonts w:ascii="Arial" w:hAnsi="Arial" w:cs="Arial"/>
        </w:rPr>
        <w:sym w:font="Symbol" w:char="F062"/>
      </w:r>
      <w:r w:rsidRPr="00742BBC">
        <w:rPr>
          <w:rFonts w:ascii="Arial" w:hAnsi="Arial" w:cs="Arial"/>
          <w:vertAlign w:val="subscript"/>
        </w:rPr>
        <w:t>2</w:t>
      </w:r>
      <w:r w:rsidRPr="00742BBC">
        <w:rPr>
          <w:rFonts w:ascii="Arial" w:hAnsi="Arial" w:cs="Arial"/>
        </w:rPr>
        <w:t xml:space="preserve"> Género + </w:t>
      </w:r>
      <w:r w:rsidRPr="00742BBC">
        <w:rPr>
          <w:rFonts w:ascii="Arial" w:hAnsi="Arial" w:cs="Arial"/>
        </w:rPr>
        <w:sym w:font="Symbol" w:char="F062"/>
      </w:r>
      <w:r w:rsidRPr="00742BBC">
        <w:rPr>
          <w:rFonts w:ascii="Arial" w:hAnsi="Arial" w:cs="Arial"/>
          <w:vertAlign w:val="subscript"/>
        </w:rPr>
        <w:t>3</w:t>
      </w:r>
      <w:r w:rsidRPr="00742BBC">
        <w:rPr>
          <w:rFonts w:ascii="Arial" w:hAnsi="Arial" w:cs="Arial"/>
        </w:rPr>
        <w:t xml:space="preserve"> Edad + </w:t>
      </w:r>
      <w:r w:rsidRPr="00742BBC">
        <w:rPr>
          <w:rFonts w:ascii="Arial" w:hAnsi="Arial" w:cs="Arial"/>
        </w:rPr>
        <w:sym w:font="Symbol" w:char="F062"/>
      </w:r>
      <w:r w:rsidRPr="00742BBC">
        <w:rPr>
          <w:rFonts w:ascii="Arial" w:hAnsi="Arial" w:cs="Arial"/>
          <w:vertAlign w:val="subscript"/>
        </w:rPr>
        <w:t>4</w:t>
      </w:r>
      <w:r w:rsidRPr="00742BBC">
        <w:rPr>
          <w:rFonts w:ascii="Arial" w:hAnsi="Arial" w:cs="Arial"/>
        </w:rPr>
        <w:t xml:space="preserve"> Estado Conyugal</w:t>
      </w:r>
      <w:bookmarkEnd w:id="1043"/>
      <w:bookmarkEnd w:id="1044"/>
      <w:bookmarkEnd w:id="1045"/>
      <w:r w:rsidRPr="00742BBC">
        <w:rPr>
          <w:rFonts w:ascii="Arial" w:hAnsi="Arial" w:cs="Arial"/>
        </w:rPr>
        <w:t xml:space="preserve"> + </w:t>
      </w:r>
      <w:r w:rsidRPr="00742BBC">
        <w:rPr>
          <w:rFonts w:ascii="Arial" w:hAnsi="Arial" w:cs="Arial"/>
        </w:rPr>
        <w:sym w:font="Symbol" w:char="F062"/>
      </w:r>
      <w:r w:rsidRPr="00742BBC">
        <w:rPr>
          <w:rFonts w:ascii="Arial" w:hAnsi="Arial" w:cs="Arial"/>
          <w:vertAlign w:val="subscript"/>
        </w:rPr>
        <w:t>5</w:t>
      </w:r>
      <w:r w:rsidRPr="00742BBC">
        <w:rPr>
          <w:rFonts w:ascii="Arial" w:hAnsi="Arial" w:cs="Arial"/>
        </w:rPr>
        <w:t xml:space="preserve"> Discapacidad permanente + </w:t>
      </w:r>
      <w:r w:rsidRPr="00742BBC">
        <w:rPr>
          <w:rFonts w:ascii="Arial" w:hAnsi="Arial" w:cs="Arial"/>
        </w:rPr>
        <w:sym w:font="Symbol" w:char="F062"/>
      </w:r>
      <w:r w:rsidRPr="00742BBC">
        <w:rPr>
          <w:rFonts w:ascii="Arial" w:hAnsi="Arial" w:cs="Arial"/>
          <w:vertAlign w:val="subscript"/>
        </w:rPr>
        <w:t>6</w:t>
      </w:r>
      <w:r w:rsidRPr="00742BBC">
        <w:rPr>
          <w:rFonts w:ascii="Arial" w:hAnsi="Arial" w:cs="Arial"/>
        </w:rPr>
        <w:t xml:space="preserve"> Trabaja</w:t>
      </w:r>
      <w:bookmarkEnd w:id="1046"/>
      <w:bookmarkEnd w:id="1047"/>
      <w:bookmarkEnd w:id="1048"/>
      <w:bookmarkEnd w:id="1049"/>
    </w:p>
    <w:p w:rsidR="005C75BB" w:rsidRPr="00742BBC" w:rsidRDefault="005C75BB" w:rsidP="00742BBC">
      <w:pPr>
        <w:spacing w:line="480" w:lineRule="auto"/>
        <w:ind w:left="851"/>
        <w:jc w:val="both"/>
        <w:rPr>
          <w:rFonts w:ascii="Arial" w:hAnsi="Arial" w:cs="Arial"/>
          <w:sz w:val="10"/>
          <w:szCs w:val="10"/>
        </w:rPr>
      </w:pPr>
    </w:p>
    <w:p w:rsidR="005C75BB" w:rsidRPr="00742BBC" w:rsidRDefault="005C75BB" w:rsidP="00742BBC">
      <w:pPr>
        <w:spacing w:line="480" w:lineRule="auto"/>
        <w:ind w:left="851"/>
        <w:jc w:val="both"/>
        <w:rPr>
          <w:rFonts w:ascii="Arial" w:hAnsi="Arial" w:cs="Arial"/>
          <w:highlight w:val="yellow"/>
        </w:rPr>
      </w:pPr>
      <w:bookmarkStart w:id="1050" w:name="_Toc338773490"/>
      <w:bookmarkStart w:id="1051" w:name="_Toc338773628"/>
      <w:bookmarkStart w:id="1052" w:name="_Toc338938944"/>
      <w:bookmarkStart w:id="1053" w:name="_Toc338947247"/>
      <w:bookmarkStart w:id="1054" w:name="_Toc339275969"/>
      <w:bookmarkStart w:id="1055" w:name="_Toc339853225"/>
      <w:bookmarkStart w:id="1056" w:name="_Toc340231995"/>
      <w:r w:rsidRPr="00742BBC">
        <w:rPr>
          <w:rFonts w:ascii="Arial" w:hAnsi="Arial" w:cs="Arial"/>
        </w:rPr>
        <w:t>Donde la zona de residencia toma los valores de “1” para área urbana y “0” para área rural; el género tiene las categorías de masculino y femenino que están etiquetados como 1 y 0 respectivamente; la edad se la clasificó como “1” menores de 25 años y “0” usamericanos con 25 años o más; y, el estado conyugal fue agrupado en dos grupos “1” que representa a los estadounidenses que están casados o unidos y “0” para no casados; discapacidad permanente “1” sí y “0” es no; y, en lo que respecta a que hizo la semana pasada “1” trabajó y “0” no trabajó.</w:t>
      </w:r>
      <w:bookmarkEnd w:id="1050"/>
      <w:bookmarkEnd w:id="1051"/>
      <w:bookmarkEnd w:id="1052"/>
      <w:bookmarkEnd w:id="1053"/>
      <w:bookmarkEnd w:id="1054"/>
      <w:bookmarkEnd w:id="1055"/>
      <w:bookmarkEnd w:id="1056"/>
    </w:p>
    <w:p w:rsidR="005C75BB" w:rsidRDefault="005C75BB" w:rsidP="00742BBC">
      <w:pPr>
        <w:pStyle w:val="62"/>
        <w:ind w:left="1560"/>
      </w:pPr>
      <w:bookmarkStart w:id="1057" w:name="_Toc339275970"/>
      <w:bookmarkStart w:id="1058" w:name="_Toc341040760"/>
      <w:r>
        <w:t>Resultados del modelo completo</w:t>
      </w:r>
      <w:bookmarkEnd w:id="1057"/>
      <w:bookmarkEnd w:id="1058"/>
    </w:p>
    <w:p w:rsidR="005C75BB" w:rsidRDefault="005C75BB" w:rsidP="00742BBC">
      <w:pPr>
        <w:spacing w:line="480" w:lineRule="auto"/>
        <w:ind w:left="851"/>
        <w:jc w:val="both"/>
        <w:rPr>
          <w:rFonts w:ascii="Arial" w:hAnsi="Arial" w:cs="Arial"/>
        </w:rPr>
      </w:pPr>
      <w:bookmarkStart w:id="1059" w:name="_Toc338773491"/>
      <w:bookmarkStart w:id="1060" w:name="_Toc338773629"/>
      <w:bookmarkStart w:id="1061" w:name="_Toc338938945"/>
      <w:bookmarkStart w:id="1062" w:name="_Toc338947249"/>
      <w:bookmarkStart w:id="1063" w:name="_Toc339275971"/>
      <w:bookmarkStart w:id="1064" w:name="_Toc339853227"/>
      <w:bookmarkStart w:id="1065" w:name="_Toc340231997"/>
      <w:r w:rsidRPr="00742BBC">
        <w:rPr>
          <w:rFonts w:ascii="Arial" w:hAnsi="Arial" w:cs="Arial"/>
        </w:rPr>
        <w:t xml:space="preserve">Con las variables descritas en líneas previas y para la población ya mencionada se desarrolló la Regresión Logística, obteniéndose los resultados mostrados en la </w:t>
      </w:r>
      <w:r w:rsidRPr="00742BBC">
        <w:rPr>
          <w:rFonts w:ascii="Arial" w:hAnsi="Arial" w:cs="Arial"/>
          <w:i/>
        </w:rPr>
        <w:t>Tabla 6.8</w:t>
      </w:r>
      <w:r w:rsidRPr="00742BBC">
        <w:rPr>
          <w:rFonts w:ascii="Arial" w:hAnsi="Arial" w:cs="Arial"/>
        </w:rPr>
        <w:t>, en donde tenemos que el modelo es:</w:t>
      </w:r>
      <w:bookmarkEnd w:id="1059"/>
      <w:bookmarkEnd w:id="1060"/>
      <w:bookmarkEnd w:id="1061"/>
      <w:bookmarkEnd w:id="1062"/>
      <w:bookmarkEnd w:id="1063"/>
      <w:bookmarkEnd w:id="1064"/>
      <w:bookmarkEnd w:id="1065"/>
    </w:p>
    <w:p w:rsidR="00742BBC" w:rsidRPr="00742BBC" w:rsidRDefault="00742BBC" w:rsidP="00742BBC">
      <w:pPr>
        <w:spacing w:line="480" w:lineRule="auto"/>
        <w:ind w:left="851"/>
        <w:jc w:val="both"/>
        <w:rPr>
          <w:rFonts w:ascii="Arial" w:hAnsi="Arial" w:cs="Arial"/>
          <w:sz w:val="10"/>
          <w:szCs w:val="10"/>
        </w:rPr>
      </w:pPr>
    </w:p>
    <w:p w:rsidR="005C75BB" w:rsidRPr="00742BBC" w:rsidRDefault="005C75BB" w:rsidP="00742BBC">
      <w:pPr>
        <w:spacing w:line="480" w:lineRule="auto"/>
        <w:ind w:left="851"/>
        <w:rPr>
          <w:rFonts w:ascii="Arial" w:hAnsi="Arial" w:cs="Arial"/>
        </w:rPr>
      </w:pPr>
      <w:bookmarkStart w:id="1066" w:name="_Toc338947250"/>
      <w:bookmarkStart w:id="1067" w:name="_Toc339275972"/>
      <w:bookmarkStart w:id="1068" w:name="_Toc339853228"/>
      <w:bookmarkStart w:id="1069" w:name="_Toc340231998"/>
      <w:bookmarkStart w:id="1070" w:name="_Toc338773492"/>
      <w:bookmarkStart w:id="1071" w:name="_Toc338773630"/>
      <w:bookmarkStart w:id="1072" w:name="_Toc338938946"/>
      <w:r w:rsidRPr="00742BBC">
        <w:rPr>
          <w:rFonts w:ascii="Arial" w:hAnsi="Arial" w:cs="Arial"/>
        </w:rPr>
        <w:t xml:space="preserve">logit(P)  = </w:t>
      </w:r>
      <w:r w:rsidRPr="00742BBC">
        <w:rPr>
          <w:rFonts w:ascii="Arial" w:hAnsi="Arial" w:cs="Arial"/>
          <w:position w:val="-30"/>
        </w:rPr>
        <w:object w:dxaOrig="1100" w:dyaOrig="700">
          <v:shape id="_x0000_i1079" type="#_x0000_t75" style="width:54.75pt;height:35.25pt" o:ole="">
            <v:imagedata r:id="rId297" o:title=""/>
          </v:shape>
          <o:OLEObject Type="Embed" ProgID="Equation.3" ShapeID="_x0000_i1079" DrawAspect="Content" ObjectID="_1415677168" r:id="rId298"/>
        </w:object>
      </w:r>
      <w:r w:rsidRPr="00742BBC">
        <w:rPr>
          <w:rFonts w:ascii="Arial" w:hAnsi="Arial" w:cs="Arial"/>
        </w:rPr>
        <w:t xml:space="preserve"> = 0.778 + 0.040 Zona de residencia – 0.065 Género</w:t>
      </w:r>
      <w:bookmarkEnd w:id="1066"/>
      <w:bookmarkEnd w:id="1067"/>
      <w:bookmarkEnd w:id="1068"/>
      <w:bookmarkEnd w:id="1069"/>
    </w:p>
    <w:p w:rsidR="00742BBC" w:rsidRDefault="005C75BB" w:rsidP="00742BBC">
      <w:pPr>
        <w:spacing w:line="480" w:lineRule="auto"/>
        <w:ind w:left="851"/>
        <w:rPr>
          <w:rFonts w:ascii="Arial" w:hAnsi="Arial" w:cs="Arial"/>
        </w:rPr>
      </w:pPr>
      <w:bookmarkStart w:id="1073" w:name="_Toc338947251"/>
      <w:bookmarkStart w:id="1074" w:name="_Toc339275973"/>
      <w:bookmarkStart w:id="1075" w:name="_Toc339853229"/>
      <w:bookmarkStart w:id="1076" w:name="_Toc340231999"/>
      <w:r w:rsidRPr="00742BBC">
        <w:rPr>
          <w:rFonts w:ascii="Arial" w:hAnsi="Arial" w:cs="Arial"/>
        </w:rPr>
        <w:t>– 0.546 Edad – 0.069 Estado Conyugal</w:t>
      </w:r>
      <w:bookmarkEnd w:id="1070"/>
      <w:bookmarkEnd w:id="1071"/>
      <w:bookmarkEnd w:id="1072"/>
      <w:r w:rsidRPr="00742BBC">
        <w:rPr>
          <w:rFonts w:ascii="Arial" w:hAnsi="Arial" w:cs="Arial"/>
        </w:rPr>
        <w:t xml:space="preserve"> - 0.478 Discapacidad </w:t>
      </w:r>
    </w:p>
    <w:p w:rsidR="005C75BB" w:rsidRPr="00742BBC" w:rsidRDefault="005C75BB" w:rsidP="00742BBC">
      <w:pPr>
        <w:spacing w:line="480" w:lineRule="auto"/>
        <w:ind w:left="851"/>
        <w:rPr>
          <w:rFonts w:ascii="Arial" w:hAnsi="Arial" w:cs="Arial"/>
        </w:rPr>
      </w:pPr>
      <w:r w:rsidRPr="00742BBC">
        <w:rPr>
          <w:rFonts w:ascii="Arial" w:hAnsi="Arial" w:cs="Arial"/>
        </w:rPr>
        <w:t>+ 0.760 Trabaja</w:t>
      </w:r>
      <w:bookmarkEnd w:id="1073"/>
      <w:bookmarkEnd w:id="1074"/>
      <w:bookmarkEnd w:id="1075"/>
      <w:bookmarkEnd w:id="1076"/>
    </w:p>
    <w:p w:rsidR="005C75BB" w:rsidRPr="00742BBC" w:rsidRDefault="005C75BB" w:rsidP="00742BBC">
      <w:pPr>
        <w:spacing w:line="480" w:lineRule="auto"/>
        <w:ind w:left="851"/>
        <w:jc w:val="both"/>
        <w:rPr>
          <w:rFonts w:ascii="Arial" w:hAnsi="Arial" w:cs="Arial"/>
          <w:sz w:val="10"/>
          <w:szCs w:val="10"/>
          <w:highlight w:val="yellow"/>
        </w:rPr>
      </w:pPr>
    </w:p>
    <w:p w:rsidR="005C75BB" w:rsidRPr="00742BBC" w:rsidRDefault="005C75BB" w:rsidP="00742BBC">
      <w:pPr>
        <w:spacing w:line="480" w:lineRule="auto"/>
        <w:ind w:left="851"/>
        <w:jc w:val="both"/>
        <w:rPr>
          <w:rFonts w:ascii="Arial" w:hAnsi="Arial" w:cs="Arial"/>
        </w:rPr>
      </w:pPr>
      <w:bookmarkStart w:id="1077" w:name="_Toc338773493"/>
      <w:bookmarkStart w:id="1078" w:name="_Toc338773631"/>
      <w:bookmarkStart w:id="1079" w:name="_Toc338938947"/>
      <w:bookmarkStart w:id="1080" w:name="_Toc338947252"/>
      <w:bookmarkStart w:id="1081" w:name="_Toc339275974"/>
      <w:bookmarkStart w:id="1082" w:name="_Toc339853230"/>
      <w:bookmarkStart w:id="1083" w:name="_Toc340232000"/>
      <w:r w:rsidRPr="00742BBC">
        <w:rPr>
          <w:rFonts w:ascii="Arial" w:hAnsi="Arial" w:cs="Arial"/>
        </w:rPr>
        <w:t>Además, analizando el signo de cada uno de los estimadores betas se puede decir que:</w:t>
      </w:r>
      <w:bookmarkEnd w:id="1077"/>
      <w:bookmarkEnd w:id="1078"/>
      <w:bookmarkEnd w:id="1079"/>
      <w:bookmarkEnd w:id="1080"/>
      <w:bookmarkEnd w:id="1081"/>
      <w:bookmarkEnd w:id="1082"/>
      <w:bookmarkEnd w:id="1083"/>
    </w:p>
    <w:p w:rsidR="005C75BB" w:rsidRPr="00742BBC" w:rsidRDefault="005C75BB" w:rsidP="00742BBC">
      <w:pPr>
        <w:pStyle w:val="Prrafodelista"/>
        <w:numPr>
          <w:ilvl w:val="0"/>
          <w:numId w:val="24"/>
        </w:numPr>
        <w:spacing w:line="480" w:lineRule="auto"/>
        <w:ind w:left="1134" w:hanging="283"/>
        <w:jc w:val="both"/>
        <w:rPr>
          <w:rFonts w:ascii="Arial" w:hAnsi="Arial" w:cs="Arial"/>
        </w:rPr>
      </w:pPr>
      <w:bookmarkStart w:id="1084" w:name="_Toc338773494"/>
      <w:bookmarkStart w:id="1085" w:name="_Toc338773632"/>
      <w:bookmarkStart w:id="1086" w:name="_Toc338938948"/>
      <w:bookmarkStart w:id="1087" w:name="_Toc338947253"/>
      <w:bookmarkStart w:id="1088" w:name="_Toc339275975"/>
      <w:bookmarkStart w:id="1089" w:name="_Toc339853231"/>
      <w:bookmarkStart w:id="1090" w:name="_Toc340232001"/>
      <w:r w:rsidRPr="00742BBC">
        <w:rPr>
          <w:rFonts w:ascii="Arial" w:hAnsi="Arial" w:cs="Arial"/>
        </w:rPr>
        <w:t>Para la Zona de residencia, el signo del estimador es positivo lo cual indica que la probabilidad de tener nivel de instrucción superior aumenta para quienes viven en el área urbana.</w:t>
      </w:r>
      <w:bookmarkEnd w:id="1084"/>
      <w:bookmarkEnd w:id="1085"/>
      <w:bookmarkEnd w:id="1086"/>
      <w:bookmarkEnd w:id="1087"/>
      <w:bookmarkEnd w:id="1088"/>
      <w:bookmarkEnd w:id="1089"/>
      <w:bookmarkEnd w:id="1090"/>
    </w:p>
    <w:p w:rsidR="005C75BB" w:rsidRPr="00742BBC" w:rsidRDefault="005C75BB" w:rsidP="00742BBC">
      <w:pPr>
        <w:pStyle w:val="Prrafodelista"/>
        <w:numPr>
          <w:ilvl w:val="0"/>
          <w:numId w:val="24"/>
        </w:numPr>
        <w:spacing w:line="480" w:lineRule="auto"/>
        <w:ind w:left="1134" w:hanging="283"/>
        <w:jc w:val="both"/>
        <w:rPr>
          <w:rFonts w:ascii="Arial" w:hAnsi="Arial" w:cs="Arial"/>
        </w:rPr>
      </w:pPr>
      <w:bookmarkStart w:id="1091" w:name="_Toc338773495"/>
      <w:bookmarkStart w:id="1092" w:name="_Toc338773633"/>
      <w:bookmarkStart w:id="1093" w:name="_Toc338938949"/>
      <w:bookmarkStart w:id="1094" w:name="_Toc338947254"/>
      <w:bookmarkStart w:id="1095" w:name="_Toc339275976"/>
      <w:bookmarkStart w:id="1096" w:name="_Toc339853232"/>
      <w:bookmarkStart w:id="1097" w:name="_Toc340232002"/>
      <w:r w:rsidRPr="00742BBC">
        <w:rPr>
          <w:rFonts w:ascii="Arial" w:hAnsi="Arial" w:cs="Arial"/>
        </w:rPr>
        <w:t>En lo que respecta al Género, la probabilidad de tener instrucción superior disminuye para los hombres, pues el signo del estimador es negativo.</w:t>
      </w:r>
      <w:bookmarkEnd w:id="1091"/>
      <w:bookmarkEnd w:id="1092"/>
      <w:bookmarkEnd w:id="1093"/>
      <w:bookmarkEnd w:id="1094"/>
      <w:bookmarkEnd w:id="1095"/>
      <w:bookmarkEnd w:id="1096"/>
      <w:bookmarkEnd w:id="1097"/>
    </w:p>
    <w:p w:rsidR="005C75BB" w:rsidRPr="00742BBC" w:rsidRDefault="005C75BB" w:rsidP="00742BBC">
      <w:pPr>
        <w:pStyle w:val="Prrafodelista"/>
        <w:numPr>
          <w:ilvl w:val="0"/>
          <w:numId w:val="24"/>
        </w:numPr>
        <w:spacing w:line="480" w:lineRule="auto"/>
        <w:ind w:left="1134" w:hanging="283"/>
        <w:jc w:val="both"/>
        <w:rPr>
          <w:rFonts w:ascii="Arial" w:hAnsi="Arial" w:cs="Arial"/>
        </w:rPr>
      </w:pPr>
      <w:bookmarkStart w:id="1098" w:name="_Toc338773496"/>
      <w:bookmarkStart w:id="1099" w:name="_Toc338773634"/>
      <w:bookmarkStart w:id="1100" w:name="_Toc338938950"/>
      <w:bookmarkStart w:id="1101" w:name="_Toc338947255"/>
      <w:bookmarkStart w:id="1102" w:name="_Toc339275977"/>
      <w:bookmarkStart w:id="1103" w:name="_Toc339853233"/>
      <w:bookmarkStart w:id="1104" w:name="_Toc340232003"/>
      <w:r w:rsidRPr="00742BBC">
        <w:rPr>
          <w:rFonts w:ascii="Arial" w:hAnsi="Arial" w:cs="Arial"/>
        </w:rPr>
        <w:t xml:space="preserve">La probabilidad de tener instrucción superior </w:t>
      </w:r>
      <w:bookmarkEnd w:id="1098"/>
      <w:bookmarkEnd w:id="1099"/>
      <w:bookmarkEnd w:id="1100"/>
      <w:r w:rsidRPr="00742BBC">
        <w:rPr>
          <w:rFonts w:ascii="Arial" w:hAnsi="Arial" w:cs="Arial"/>
        </w:rPr>
        <w:t>disminuye para las edades inferiores a 25 años.</w:t>
      </w:r>
      <w:bookmarkEnd w:id="1101"/>
      <w:bookmarkEnd w:id="1102"/>
      <w:bookmarkEnd w:id="1103"/>
      <w:bookmarkEnd w:id="1104"/>
    </w:p>
    <w:p w:rsidR="005C75BB" w:rsidRPr="00742BBC" w:rsidRDefault="005C75BB" w:rsidP="00742BBC">
      <w:pPr>
        <w:pStyle w:val="Prrafodelista"/>
        <w:numPr>
          <w:ilvl w:val="0"/>
          <w:numId w:val="24"/>
        </w:numPr>
        <w:spacing w:line="480" w:lineRule="auto"/>
        <w:ind w:left="1134" w:hanging="283"/>
        <w:jc w:val="both"/>
        <w:rPr>
          <w:rFonts w:ascii="Arial" w:hAnsi="Arial" w:cs="Arial"/>
        </w:rPr>
      </w:pPr>
      <w:bookmarkStart w:id="1105" w:name="_Toc338773497"/>
      <w:bookmarkStart w:id="1106" w:name="_Toc338773635"/>
      <w:bookmarkStart w:id="1107" w:name="_Toc338938951"/>
      <w:bookmarkStart w:id="1108" w:name="_Toc338947256"/>
      <w:bookmarkStart w:id="1109" w:name="_Toc339275978"/>
      <w:bookmarkStart w:id="1110" w:name="_Toc339853234"/>
      <w:bookmarkStart w:id="1111" w:name="_Toc340232004"/>
      <w:r w:rsidRPr="00742BBC">
        <w:rPr>
          <w:rFonts w:ascii="Arial" w:hAnsi="Arial" w:cs="Arial"/>
        </w:rPr>
        <w:t>En lo referente al estado conyugal, la probabilidad de tener hasta instrucción superior decrece para los casados, debido a que el signo del estimador de beta es negativo.</w:t>
      </w:r>
      <w:bookmarkEnd w:id="1105"/>
      <w:bookmarkEnd w:id="1106"/>
      <w:bookmarkEnd w:id="1107"/>
      <w:bookmarkEnd w:id="1108"/>
      <w:bookmarkEnd w:id="1109"/>
      <w:bookmarkEnd w:id="1110"/>
      <w:bookmarkEnd w:id="1111"/>
    </w:p>
    <w:p w:rsidR="005C75BB" w:rsidRPr="00742BBC" w:rsidRDefault="005C75BB" w:rsidP="00742BBC">
      <w:pPr>
        <w:pStyle w:val="Prrafodelista"/>
        <w:numPr>
          <w:ilvl w:val="0"/>
          <w:numId w:val="24"/>
        </w:numPr>
        <w:spacing w:line="480" w:lineRule="auto"/>
        <w:ind w:left="1134" w:hanging="283"/>
        <w:jc w:val="both"/>
        <w:rPr>
          <w:rFonts w:ascii="Arial" w:hAnsi="Arial" w:cs="Arial"/>
        </w:rPr>
      </w:pPr>
      <w:bookmarkStart w:id="1112" w:name="_Toc338947257"/>
      <w:bookmarkStart w:id="1113" w:name="_Toc339275979"/>
      <w:bookmarkStart w:id="1114" w:name="_Toc339853235"/>
      <w:bookmarkStart w:id="1115" w:name="_Toc340232005"/>
      <w:r w:rsidRPr="00742BBC">
        <w:rPr>
          <w:rFonts w:ascii="Arial" w:hAnsi="Arial" w:cs="Arial"/>
        </w:rPr>
        <w:t>Ser discapacitado disminuye la probabilidad de que los estadounidenses tengan hasta instrucción superior.</w:t>
      </w:r>
      <w:bookmarkEnd w:id="1112"/>
      <w:bookmarkEnd w:id="1113"/>
      <w:bookmarkEnd w:id="1114"/>
      <w:bookmarkEnd w:id="1115"/>
    </w:p>
    <w:p w:rsidR="005C75BB" w:rsidRPr="00742BBC" w:rsidRDefault="005C75BB" w:rsidP="00742BBC">
      <w:pPr>
        <w:pStyle w:val="Prrafodelista"/>
        <w:numPr>
          <w:ilvl w:val="0"/>
          <w:numId w:val="24"/>
        </w:numPr>
        <w:spacing w:line="480" w:lineRule="auto"/>
        <w:ind w:left="1134" w:hanging="283"/>
        <w:jc w:val="both"/>
        <w:rPr>
          <w:rFonts w:ascii="Arial" w:hAnsi="Arial" w:cs="Arial"/>
        </w:rPr>
      </w:pPr>
      <w:bookmarkStart w:id="1116" w:name="_Toc338947258"/>
      <w:bookmarkStart w:id="1117" w:name="_Toc339275980"/>
      <w:bookmarkStart w:id="1118" w:name="_Toc339853236"/>
      <w:bookmarkStart w:id="1119" w:name="_Toc340232006"/>
      <w:r w:rsidRPr="00742BBC">
        <w:rPr>
          <w:rFonts w:ascii="Arial" w:hAnsi="Arial" w:cs="Arial"/>
        </w:rPr>
        <w:t>Trabajar aumenta la probabilidad de que los usamericanos tengan instrucción superior.</w:t>
      </w:r>
      <w:bookmarkEnd w:id="1116"/>
      <w:bookmarkEnd w:id="1117"/>
      <w:bookmarkEnd w:id="1118"/>
      <w:bookmarkEnd w:id="1119"/>
    </w:p>
    <w:p w:rsidR="005C75BB" w:rsidRPr="00742BBC" w:rsidRDefault="005C75BB" w:rsidP="00742BBC">
      <w:pPr>
        <w:spacing w:line="480" w:lineRule="auto"/>
        <w:ind w:left="851"/>
        <w:jc w:val="both"/>
        <w:rPr>
          <w:rFonts w:ascii="Arial" w:hAnsi="Arial" w:cs="Arial"/>
          <w:highlight w:val="yellow"/>
        </w:rPr>
      </w:pPr>
    </w:p>
    <w:p w:rsidR="005C75BB" w:rsidRPr="00742BBC" w:rsidRDefault="005C75BB" w:rsidP="00742BBC">
      <w:pPr>
        <w:spacing w:line="480" w:lineRule="auto"/>
        <w:ind w:left="851"/>
        <w:jc w:val="both"/>
        <w:rPr>
          <w:rFonts w:ascii="Arial" w:hAnsi="Arial" w:cs="Arial"/>
          <w:i/>
        </w:rPr>
      </w:pPr>
      <w:bookmarkStart w:id="1120" w:name="_Toc338773498"/>
      <w:bookmarkStart w:id="1121" w:name="_Toc338773636"/>
      <w:bookmarkStart w:id="1122" w:name="_Toc338938952"/>
      <w:bookmarkStart w:id="1123" w:name="_Toc338947259"/>
      <w:bookmarkStart w:id="1124" w:name="_Toc339275981"/>
      <w:bookmarkStart w:id="1125" w:name="_Toc339853237"/>
      <w:bookmarkStart w:id="1126" w:name="_Toc340232007"/>
      <w:r w:rsidRPr="00742BBC">
        <w:rPr>
          <w:rFonts w:ascii="Arial" w:hAnsi="Arial" w:cs="Arial"/>
        </w:rPr>
        <w:t>Analizando el valor p, vamos a determinar cuales son los factores que realmente influyen en el nivel de instrucción superior de los estadounidenses mayores de 17 años; donde el contraste de hipótesis planteado es H</w:t>
      </w:r>
      <w:r w:rsidRPr="00742BBC">
        <w:rPr>
          <w:rFonts w:ascii="Arial" w:hAnsi="Arial" w:cs="Arial"/>
          <w:vertAlign w:val="subscript"/>
        </w:rPr>
        <w:t>0</w:t>
      </w:r>
      <w:r w:rsidRPr="00742BBC">
        <w:rPr>
          <w:rFonts w:ascii="Arial" w:hAnsi="Arial" w:cs="Arial"/>
        </w:rPr>
        <w:t xml:space="preserve">: </w:t>
      </w:r>
      <w:r w:rsidRPr="00742BBC">
        <w:rPr>
          <w:rFonts w:ascii="Arial" w:hAnsi="Arial" w:cs="Arial"/>
          <w:position w:val="-10"/>
        </w:rPr>
        <w:object w:dxaOrig="240" w:dyaOrig="320">
          <v:shape id="_x0000_i1080" type="#_x0000_t75" style="width:12pt;height:15.75pt" o:ole="">
            <v:imagedata r:id="rId299" o:title=""/>
          </v:shape>
          <o:OLEObject Type="Embed" ProgID="Equation.3" ShapeID="_x0000_i1080" DrawAspect="Content" ObjectID="_1415677169" r:id="rId300"/>
        </w:object>
      </w:r>
      <w:r w:rsidRPr="00742BBC">
        <w:rPr>
          <w:rFonts w:ascii="Arial" w:hAnsi="Arial" w:cs="Arial"/>
        </w:rPr>
        <w:t>= 0 vs. H</w:t>
      </w:r>
      <w:r w:rsidRPr="00742BBC">
        <w:rPr>
          <w:rFonts w:ascii="Arial" w:hAnsi="Arial" w:cs="Arial"/>
          <w:vertAlign w:val="subscript"/>
        </w:rPr>
        <w:t>1</w:t>
      </w:r>
      <w:r w:rsidRPr="00742BBC">
        <w:rPr>
          <w:rFonts w:ascii="Arial" w:hAnsi="Arial" w:cs="Arial"/>
        </w:rPr>
        <w:t xml:space="preserve">: </w:t>
      </w:r>
      <w:r w:rsidRPr="00742BBC">
        <w:rPr>
          <w:rFonts w:ascii="Arial" w:hAnsi="Arial" w:cs="Arial"/>
        </w:rPr>
        <w:sym w:font="Symbol" w:char="F0D8"/>
      </w:r>
      <w:r w:rsidRPr="00742BBC">
        <w:rPr>
          <w:rFonts w:ascii="Arial" w:hAnsi="Arial" w:cs="Arial"/>
        </w:rPr>
        <w:t>H</w:t>
      </w:r>
      <w:r w:rsidRPr="00742BBC">
        <w:rPr>
          <w:rFonts w:ascii="Arial" w:hAnsi="Arial" w:cs="Arial"/>
          <w:vertAlign w:val="subscript"/>
        </w:rPr>
        <w:t>0</w:t>
      </w:r>
      <w:r w:rsidRPr="00742BBC">
        <w:rPr>
          <w:rFonts w:ascii="Arial" w:hAnsi="Arial" w:cs="Arial"/>
        </w:rPr>
        <w:t>; pues para los casos en los cuales el valor p es mayor que 0.10 no se rechazará la hipótesis nula, por tanto dicha variable no será significativa para el modelo. Por tanto, para las variables zona de residencia, género y estado conyugal tenemos valor p superior a 0.20 el cual es mucho mayor que 0.10, pudiendo concluir entonces que estas variables no son significativas para el modelo.</w:t>
      </w:r>
      <w:bookmarkEnd w:id="1120"/>
      <w:bookmarkEnd w:id="1121"/>
      <w:bookmarkEnd w:id="1122"/>
      <w:r w:rsidRPr="00742BBC">
        <w:rPr>
          <w:rFonts w:ascii="Arial" w:hAnsi="Arial" w:cs="Arial"/>
        </w:rPr>
        <w:t xml:space="preserve"> </w:t>
      </w:r>
      <w:r w:rsidRPr="00742BBC">
        <w:rPr>
          <w:rFonts w:ascii="Arial" w:hAnsi="Arial" w:cs="Arial"/>
          <w:i/>
        </w:rPr>
        <w:t>Véase Tabla 6.8.</w:t>
      </w:r>
      <w:bookmarkEnd w:id="1123"/>
      <w:bookmarkEnd w:id="1124"/>
      <w:bookmarkEnd w:id="1125"/>
      <w:bookmarkEnd w:id="1126"/>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5C75BB" w:rsidRPr="003559D6" w:rsidTr="00742BBC">
        <w:trPr>
          <w:trHeight w:val="5272"/>
          <w:jc w:val="right"/>
        </w:trPr>
        <w:tc>
          <w:tcPr>
            <w:tcW w:w="7497" w:type="dxa"/>
          </w:tcPr>
          <w:p w:rsidR="005C75BB" w:rsidRPr="00434327" w:rsidRDefault="005C75BB" w:rsidP="005C75BB">
            <w:pPr>
              <w:rPr>
                <w:rFonts w:ascii="Arial" w:hAnsi="Arial" w:cs="Arial"/>
                <w:sz w:val="16"/>
                <w:szCs w:val="16"/>
              </w:rPr>
            </w:pPr>
          </w:p>
          <w:p w:rsidR="00654171" w:rsidRDefault="00654171" w:rsidP="00654171">
            <w:pPr>
              <w:pStyle w:val="Epgrafe"/>
              <w:rPr>
                <w:rFonts w:ascii="Arial" w:hAnsi="Arial" w:cs="Arial"/>
                <w:bCs w:val="0"/>
                <w:color w:val="auto"/>
                <w:sz w:val="16"/>
                <w:szCs w:val="16"/>
              </w:rPr>
            </w:pPr>
            <w:bookmarkStart w:id="1127" w:name="_Toc341042354"/>
            <w:r>
              <w:rPr>
                <w:rFonts w:ascii="Arial" w:hAnsi="Arial" w:cs="Arial"/>
                <w:bCs w:val="0"/>
                <w:color w:val="auto"/>
                <w:sz w:val="16"/>
                <w:szCs w:val="16"/>
              </w:rPr>
              <w:t>Tabla 6.</w:t>
            </w:r>
            <w:r w:rsidR="00990535" w:rsidRPr="00654171">
              <w:rPr>
                <w:rFonts w:ascii="Arial" w:hAnsi="Arial" w:cs="Arial"/>
                <w:bCs w:val="0"/>
                <w:color w:val="auto"/>
                <w:sz w:val="16"/>
                <w:szCs w:val="16"/>
              </w:rPr>
              <w:fldChar w:fldCharType="begin"/>
            </w:r>
            <w:r w:rsidRPr="00654171">
              <w:rPr>
                <w:rFonts w:ascii="Arial" w:hAnsi="Arial" w:cs="Arial"/>
                <w:bCs w:val="0"/>
                <w:color w:val="auto"/>
                <w:sz w:val="16"/>
                <w:szCs w:val="16"/>
              </w:rPr>
              <w:instrText xml:space="preserve"> SEQ Tabla_6. \* ARABIC </w:instrText>
            </w:r>
            <w:r w:rsidR="00990535" w:rsidRPr="00654171">
              <w:rPr>
                <w:rFonts w:ascii="Arial" w:hAnsi="Arial" w:cs="Arial"/>
                <w:bCs w:val="0"/>
                <w:color w:val="auto"/>
                <w:sz w:val="16"/>
                <w:szCs w:val="16"/>
              </w:rPr>
              <w:fldChar w:fldCharType="separate"/>
            </w:r>
            <w:r w:rsidR="00A242E0">
              <w:rPr>
                <w:rFonts w:ascii="Arial" w:hAnsi="Arial" w:cs="Arial"/>
                <w:bCs w:val="0"/>
                <w:noProof/>
                <w:color w:val="auto"/>
                <w:sz w:val="16"/>
                <w:szCs w:val="16"/>
              </w:rPr>
              <w:t>8</w:t>
            </w:r>
            <w:bookmarkEnd w:id="1127"/>
            <w:r w:rsidR="00990535" w:rsidRPr="00654171">
              <w:rPr>
                <w:rFonts w:ascii="Arial" w:hAnsi="Arial" w:cs="Arial"/>
                <w:bCs w:val="0"/>
                <w:color w:val="auto"/>
                <w:sz w:val="16"/>
                <w:szCs w:val="16"/>
              </w:rPr>
              <w:fldChar w:fldCharType="end"/>
            </w:r>
          </w:p>
          <w:p w:rsidR="005C75BB" w:rsidRDefault="00742BBC" w:rsidP="005C75BB">
            <w:pPr>
              <w:rPr>
                <w:rFonts w:ascii="Arial" w:hAnsi="Arial" w:cs="Arial"/>
                <w:i/>
                <w:sz w:val="16"/>
                <w:szCs w:val="16"/>
              </w:rPr>
            </w:pPr>
            <w:r>
              <w:rPr>
                <w:rFonts w:ascii="Arial" w:hAnsi="Arial" w:cs="Arial"/>
                <w:b/>
                <w:i/>
                <w:sz w:val="16"/>
                <w:szCs w:val="16"/>
              </w:rPr>
              <w:t xml:space="preserve">Ecuador 2010: </w:t>
            </w:r>
            <w:r w:rsidR="005C75BB">
              <w:rPr>
                <w:rFonts w:ascii="Arial" w:hAnsi="Arial" w:cs="Arial"/>
                <w:i/>
                <w:sz w:val="16"/>
                <w:szCs w:val="16"/>
              </w:rPr>
              <w:t>Estimadores de los parámetros del modelo</w:t>
            </w:r>
            <w:r w:rsidR="0070524B">
              <w:rPr>
                <w:rFonts w:ascii="Arial" w:hAnsi="Arial" w:cs="Arial"/>
                <w:i/>
                <w:sz w:val="16"/>
                <w:szCs w:val="16"/>
              </w:rPr>
              <w:t xml:space="preserve"> completo</w:t>
            </w:r>
            <w:r>
              <w:rPr>
                <w:rFonts w:ascii="Arial" w:hAnsi="Arial" w:cs="Arial"/>
                <w:i/>
                <w:sz w:val="16"/>
                <w:szCs w:val="16"/>
              </w:rPr>
              <w:t xml:space="preserve"> del Nivel de instrucción de los estadounidenses (</w:t>
            </w:r>
            <w:r w:rsidR="005C75BB">
              <w:rPr>
                <w:rFonts w:ascii="Arial" w:hAnsi="Arial" w:cs="Arial"/>
                <w:i/>
                <w:sz w:val="16"/>
                <w:szCs w:val="16"/>
              </w:rPr>
              <w:t>y = 1 = Universitario; y =  0 = No Universitario</w:t>
            </w:r>
            <w:r>
              <w:rPr>
                <w:rFonts w:ascii="Arial" w:hAnsi="Arial" w:cs="Arial"/>
                <w:i/>
                <w:sz w:val="16"/>
                <w:szCs w:val="16"/>
              </w:rPr>
              <w:t>)</w:t>
            </w:r>
          </w:p>
          <w:p w:rsidR="005C75BB" w:rsidRPr="003D21E9" w:rsidRDefault="005C75BB" w:rsidP="005C75BB">
            <w:pPr>
              <w:rPr>
                <w:rFonts w:ascii="Arial" w:hAnsi="Arial" w:cs="Arial"/>
                <w:i/>
                <w:sz w:val="10"/>
                <w:szCs w:val="10"/>
              </w:rPr>
            </w:pPr>
          </w:p>
          <w:tbl>
            <w:tblPr>
              <w:tblW w:w="7134" w:type="dxa"/>
              <w:jc w:val="center"/>
              <w:tblCellMar>
                <w:left w:w="70" w:type="dxa"/>
                <w:right w:w="70" w:type="dxa"/>
              </w:tblCellMar>
              <w:tblLook w:val="04A0" w:firstRow="1" w:lastRow="0" w:firstColumn="1" w:lastColumn="0" w:noHBand="0" w:noVBand="1"/>
            </w:tblPr>
            <w:tblGrid>
              <w:gridCol w:w="1020"/>
              <w:gridCol w:w="1094"/>
              <w:gridCol w:w="859"/>
              <w:gridCol w:w="727"/>
              <w:gridCol w:w="1829"/>
              <w:gridCol w:w="567"/>
              <w:gridCol w:w="1038"/>
            </w:tblGrid>
            <w:tr w:rsidR="005C75BB" w:rsidRPr="00CB5B06" w:rsidTr="00742BBC">
              <w:trPr>
                <w:trHeight w:val="20"/>
                <w:jc w:val="center"/>
              </w:trPr>
              <w:tc>
                <w:tcPr>
                  <w:tcW w:w="1020" w:type="dxa"/>
                  <w:tcBorders>
                    <w:top w:val="single" w:sz="4" w:space="0" w:color="auto"/>
                    <w:left w:val="nil"/>
                    <w:bottom w:val="single" w:sz="4" w:space="0" w:color="auto"/>
                    <w:right w:val="nil"/>
                  </w:tcBorders>
                  <w:shd w:val="clear" w:color="auto" w:fill="auto"/>
                  <w:noWrap/>
                  <w:vAlign w:val="center"/>
                  <w:hideMark/>
                </w:tcPr>
                <w:p w:rsidR="005C75BB" w:rsidRPr="00CB5B06" w:rsidRDefault="005C75BB" w:rsidP="005C75BB">
                  <w:pPr>
                    <w:rPr>
                      <w:rFonts w:ascii="Arial" w:eastAsia="Times New Roman" w:hAnsi="Arial" w:cs="Arial"/>
                      <w:b/>
                      <w:bCs/>
                      <w:color w:val="000000"/>
                      <w:sz w:val="14"/>
                      <w:szCs w:val="14"/>
                      <w:lang w:eastAsia="es-EC"/>
                    </w:rPr>
                  </w:pPr>
                  <w:r w:rsidRPr="00CB5B06">
                    <w:rPr>
                      <w:rFonts w:ascii="Arial" w:eastAsia="Times New Roman" w:hAnsi="Arial" w:cs="Arial"/>
                      <w:b/>
                      <w:bCs/>
                      <w:color w:val="000000"/>
                      <w:sz w:val="14"/>
                      <w:szCs w:val="14"/>
                      <w:lang w:eastAsia="es-EC"/>
                    </w:rPr>
                    <w:t>Variable</w:t>
                  </w:r>
                </w:p>
              </w:tc>
              <w:tc>
                <w:tcPr>
                  <w:tcW w:w="1099" w:type="dxa"/>
                  <w:tcBorders>
                    <w:top w:val="single" w:sz="4" w:space="0" w:color="auto"/>
                    <w:left w:val="nil"/>
                    <w:bottom w:val="single" w:sz="4" w:space="0" w:color="auto"/>
                    <w:right w:val="nil"/>
                  </w:tcBorders>
                </w:tcPr>
                <w:p w:rsidR="005C75BB" w:rsidRPr="00CB5B06" w:rsidRDefault="005C75BB" w:rsidP="005C75BB">
                  <w:pPr>
                    <w:rPr>
                      <w:rFonts w:ascii="Arial" w:eastAsia="Times New Roman" w:hAnsi="Arial" w:cs="Arial"/>
                      <w:b/>
                      <w:bCs/>
                      <w:color w:val="000000"/>
                      <w:sz w:val="14"/>
                      <w:szCs w:val="14"/>
                      <w:lang w:eastAsia="es-EC"/>
                    </w:rPr>
                  </w:pPr>
                  <w:r>
                    <w:rPr>
                      <w:rFonts w:ascii="Arial" w:eastAsia="Times New Roman" w:hAnsi="Arial" w:cs="Arial"/>
                      <w:b/>
                      <w:bCs/>
                      <w:color w:val="000000"/>
                      <w:sz w:val="14"/>
                      <w:szCs w:val="14"/>
                      <w:lang w:eastAsia="es-EC"/>
                    </w:rPr>
                    <w:t>Codificación</w:t>
                  </w:r>
                </w:p>
              </w:tc>
              <w:tc>
                <w:tcPr>
                  <w:tcW w:w="859" w:type="dxa"/>
                  <w:tcBorders>
                    <w:top w:val="single" w:sz="4" w:space="0" w:color="auto"/>
                    <w:left w:val="nil"/>
                    <w:bottom w:val="single" w:sz="4" w:space="0" w:color="auto"/>
                    <w:right w:val="nil"/>
                  </w:tcBorders>
                  <w:shd w:val="clear" w:color="auto" w:fill="auto"/>
                  <w:vAlign w:val="center"/>
                  <w:hideMark/>
                </w:tcPr>
                <w:p w:rsidR="005C75BB" w:rsidRPr="00CB5B06" w:rsidRDefault="005C75BB" w:rsidP="005C75BB">
                  <w:pPr>
                    <w:rPr>
                      <w:rFonts w:ascii="Arial" w:eastAsia="Times New Roman" w:hAnsi="Arial" w:cs="Arial"/>
                      <w:b/>
                      <w:bCs/>
                      <w:color w:val="000000"/>
                      <w:sz w:val="14"/>
                      <w:szCs w:val="14"/>
                      <w:lang w:eastAsia="es-EC"/>
                    </w:rPr>
                  </w:pPr>
                  <w:r w:rsidRPr="00CB5B06">
                    <w:rPr>
                      <w:rFonts w:ascii="Arial" w:eastAsia="Times New Roman" w:hAnsi="Arial" w:cs="Arial"/>
                      <w:b/>
                      <w:bCs/>
                      <w:color w:val="000000"/>
                      <w:sz w:val="14"/>
                      <w:szCs w:val="14"/>
                      <w:lang w:eastAsia="es-EC"/>
                    </w:rPr>
                    <w:t>Estimador</w:t>
                  </w:r>
                </w:p>
              </w:tc>
              <w:tc>
                <w:tcPr>
                  <w:tcW w:w="680" w:type="dxa"/>
                  <w:tcBorders>
                    <w:top w:val="single" w:sz="4" w:space="0" w:color="auto"/>
                    <w:left w:val="nil"/>
                    <w:bottom w:val="single" w:sz="4" w:space="0" w:color="auto"/>
                    <w:right w:val="nil"/>
                  </w:tcBorders>
                  <w:shd w:val="clear" w:color="auto" w:fill="auto"/>
                  <w:vAlign w:val="center"/>
                  <w:hideMark/>
                </w:tcPr>
                <w:p w:rsidR="005C75BB" w:rsidRPr="00CB5B06" w:rsidRDefault="005C75BB" w:rsidP="005C75BB">
                  <w:pPr>
                    <w:rPr>
                      <w:rFonts w:ascii="Arial" w:eastAsia="Times New Roman" w:hAnsi="Arial" w:cs="Arial"/>
                      <w:b/>
                      <w:bCs/>
                      <w:color w:val="000000"/>
                      <w:sz w:val="14"/>
                      <w:szCs w:val="14"/>
                      <w:lang w:eastAsia="es-EC"/>
                    </w:rPr>
                  </w:pPr>
                  <w:r w:rsidRPr="00CB5B06">
                    <w:rPr>
                      <w:rFonts w:ascii="Arial" w:eastAsia="Times New Roman" w:hAnsi="Arial" w:cs="Arial"/>
                      <w:b/>
                      <w:bCs/>
                      <w:color w:val="000000"/>
                      <w:sz w:val="14"/>
                      <w:szCs w:val="14"/>
                      <w:lang w:eastAsia="es-EC"/>
                    </w:rPr>
                    <w:t>Signo</w:t>
                  </w:r>
                </w:p>
              </w:tc>
              <w:tc>
                <w:tcPr>
                  <w:tcW w:w="1871" w:type="dxa"/>
                  <w:tcBorders>
                    <w:top w:val="single" w:sz="4" w:space="0" w:color="auto"/>
                    <w:left w:val="nil"/>
                    <w:bottom w:val="single" w:sz="4" w:space="0" w:color="auto"/>
                    <w:right w:val="nil"/>
                  </w:tcBorders>
                  <w:shd w:val="clear" w:color="auto" w:fill="auto"/>
                  <w:vAlign w:val="center"/>
                  <w:hideMark/>
                </w:tcPr>
                <w:p w:rsidR="005C75BB" w:rsidRPr="00CB5B06" w:rsidRDefault="005C75BB" w:rsidP="005C75BB">
                  <w:pPr>
                    <w:rPr>
                      <w:rFonts w:ascii="Arial" w:eastAsia="Times New Roman" w:hAnsi="Arial" w:cs="Arial"/>
                      <w:b/>
                      <w:bCs/>
                      <w:color w:val="000000"/>
                      <w:sz w:val="14"/>
                      <w:szCs w:val="14"/>
                      <w:lang w:eastAsia="es-EC"/>
                    </w:rPr>
                  </w:pPr>
                  <w:r w:rsidRPr="00CB5B06">
                    <w:rPr>
                      <w:rFonts w:ascii="Arial" w:eastAsia="Times New Roman" w:hAnsi="Arial" w:cs="Arial"/>
                      <w:b/>
                      <w:bCs/>
                      <w:color w:val="000000"/>
                      <w:sz w:val="14"/>
                      <w:szCs w:val="14"/>
                      <w:lang w:eastAsia="es-EC"/>
                    </w:rPr>
                    <w:t>Explicación</w:t>
                  </w:r>
                </w:p>
              </w:tc>
              <w:tc>
                <w:tcPr>
                  <w:tcW w:w="567" w:type="dxa"/>
                  <w:tcBorders>
                    <w:top w:val="single" w:sz="4" w:space="0" w:color="auto"/>
                    <w:left w:val="nil"/>
                    <w:bottom w:val="single" w:sz="4" w:space="0" w:color="auto"/>
                    <w:right w:val="nil"/>
                  </w:tcBorders>
                  <w:shd w:val="clear" w:color="auto" w:fill="auto"/>
                  <w:vAlign w:val="center"/>
                  <w:hideMark/>
                </w:tcPr>
                <w:p w:rsidR="005C75BB" w:rsidRPr="00CB5B06" w:rsidRDefault="005C75BB" w:rsidP="005C75BB">
                  <w:pPr>
                    <w:rPr>
                      <w:rFonts w:ascii="Arial" w:eastAsia="Times New Roman" w:hAnsi="Arial" w:cs="Arial"/>
                      <w:b/>
                      <w:bCs/>
                      <w:color w:val="000000"/>
                      <w:sz w:val="14"/>
                      <w:szCs w:val="14"/>
                      <w:lang w:eastAsia="es-EC"/>
                    </w:rPr>
                  </w:pPr>
                  <w:r w:rsidRPr="00CB5B06">
                    <w:rPr>
                      <w:rFonts w:ascii="Arial" w:eastAsia="Times New Roman" w:hAnsi="Arial" w:cs="Arial"/>
                      <w:b/>
                      <w:bCs/>
                      <w:color w:val="000000"/>
                      <w:sz w:val="14"/>
                      <w:szCs w:val="14"/>
                      <w:lang w:eastAsia="es-EC"/>
                    </w:rPr>
                    <w:t>Valor p</w:t>
                  </w:r>
                </w:p>
              </w:tc>
              <w:tc>
                <w:tcPr>
                  <w:tcW w:w="1038" w:type="dxa"/>
                  <w:tcBorders>
                    <w:top w:val="single" w:sz="4" w:space="0" w:color="auto"/>
                    <w:left w:val="nil"/>
                    <w:bottom w:val="single" w:sz="4" w:space="0" w:color="auto"/>
                    <w:right w:val="nil"/>
                  </w:tcBorders>
                  <w:shd w:val="clear" w:color="auto" w:fill="auto"/>
                  <w:vAlign w:val="center"/>
                  <w:hideMark/>
                </w:tcPr>
                <w:p w:rsidR="005C75BB" w:rsidRPr="00CB5B06" w:rsidRDefault="005C75BB" w:rsidP="005C75BB">
                  <w:pPr>
                    <w:rPr>
                      <w:rFonts w:ascii="Arial" w:eastAsia="Times New Roman" w:hAnsi="Arial" w:cs="Arial"/>
                      <w:b/>
                      <w:bCs/>
                      <w:color w:val="000000"/>
                      <w:sz w:val="14"/>
                      <w:szCs w:val="14"/>
                      <w:lang w:eastAsia="es-EC"/>
                    </w:rPr>
                  </w:pPr>
                  <w:r w:rsidRPr="00CB5B06">
                    <w:rPr>
                      <w:rFonts w:ascii="Arial" w:eastAsia="Times New Roman" w:hAnsi="Arial" w:cs="Arial"/>
                      <w:b/>
                      <w:bCs/>
                      <w:color w:val="000000"/>
                      <w:sz w:val="14"/>
                      <w:szCs w:val="14"/>
                      <w:lang w:eastAsia="es-EC"/>
                    </w:rPr>
                    <w:t>Significancia</w:t>
                  </w:r>
                </w:p>
              </w:tc>
            </w:tr>
            <w:tr w:rsidR="005C75BB" w:rsidRPr="00CB5B06" w:rsidTr="00742BBC">
              <w:trPr>
                <w:trHeight w:val="510"/>
                <w:jc w:val="center"/>
              </w:trPr>
              <w:tc>
                <w:tcPr>
                  <w:tcW w:w="1020" w:type="dxa"/>
                  <w:tcBorders>
                    <w:top w:val="nil"/>
                    <w:left w:val="nil"/>
                    <w:bottom w:val="nil"/>
                    <w:right w:val="nil"/>
                  </w:tcBorders>
                  <w:shd w:val="clear" w:color="auto" w:fill="auto"/>
                  <w:noWrap/>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Área de residencia (X</w:t>
                  </w:r>
                  <w:r w:rsidRPr="00CB5B06">
                    <w:rPr>
                      <w:rFonts w:ascii="Arial" w:hAnsi="Arial" w:cs="Arial"/>
                      <w:color w:val="000000"/>
                      <w:sz w:val="14"/>
                      <w:szCs w:val="14"/>
                      <w:vertAlign w:val="subscript"/>
                    </w:rPr>
                    <w:t>1</w:t>
                  </w:r>
                  <w:r w:rsidRPr="00CB5B06">
                    <w:rPr>
                      <w:rFonts w:ascii="Arial" w:hAnsi="Arial" w:cs="Arial"/>
                      <w:color w:val="000000"/>
                      <w:sz w:val="14"/>
                      <w:szCs w:val="14"/>
                    </w:rPr>
                    <w:t>)</w:t>
                  </w:r>
                </w:p>
              </w:tc>
              <w:tc>
                <w:tcPr>
                  <w:tcW w:w="1099" w:type="dxa"/>
                  <w:tcBorders>
                    <w:top w:val="nil"/>
                    <w:left w:val="nil"/>
                    <w:bottom w:val="nil"/>
                    <w:right w:val="nil"/>
                  </w:tcBorders>
                  <w:vAlign w:val="center"/>
                </w:tcPr>
                <w:p w:rsidR="005C75BB" w:rsidRDefault="005C75BB" w:rsidP="00654171">
                  <w:pPr>
                    <w:jc w:val="left"/>
                    <w:rPr>
                      <w:rFonts w:ascii="Arial" w:hAnsi="Arial" w:cs="Arial"/>
                      <w:color w:val="000000"/>
                      <w:sz w:val="14"/>
                      <w:szCs w:val="14"/>
                    </w:rPr>
                  </w:pPr>
                  <w:r>
                    <w:rPr>
                      <w:rFonts w:ascii="Arial" w:hAnsi="Arial" w:cs="Arial"/>
                      <w:color w:val="000000"/>
                      <w:sz w:val="14"/>
                      <w:szCs w:val="14"/>
                    </w:rPr>
                    <w:t>1: Urbana</w:t>
                  </w:r>
                </w:p>
                <w:p w:rsidR="005C75BB" w:rsidRPr="00CB5B06" w:rsidRDefault="005C75BB" w:rsidP="00654171">
                  <w:pPr>
                    <w:jc w:val="left"/>
                    <w:rPr>
                      <w:rFonts w:ascii="Arial" w:hAnsi="Arial" w:cs="Arial"/>
                      <w:color w:val="000000"/>
                      <w:sz w:val="14"/>
                      <w:szCs w:val="14"/>
                    </w:rPr>
                  </w:pPr>
                  <w:r>
                    <w:rPr>
                      <w:rFonts w:ascii="Arial" w:hAnsi="Arial" w:cs="Arial"/>
                      <w:color w:val="000000"/>
                      <w:sz w:val="14"/>
                      <w:szCs w:val="14"/>
                    </w:rPr>
                    <w:t>0: Rural</w:t>
                  </w:r>
                </w:p>
              </w:tc>
              <w:tc>
                <w:tcPr>
                  <w:tcW w:w="859"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0.040</w:t>
                  </w:r>
                </w:p>
              </w:tc>
              <w:tc>
                <w:tcPr>
                  <w:tcW w:w="680"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Positivo</w:t>
                  </w:r>
                </w:p>
              </w:tc>
              <w:tc>
                <w:tcPr>
                  <w:tcW w:w="1871" w:type="dxa"/>
                  <w:tcBorders>
                    <w:top w:val="nil"/>
                    <w:left w:val="nil"/>
                    <w:bottom w:val="nil"/>
                    <w:right w:val="nil"/>
                  </w:tcBorders>
                  <w:shd w:val="clear" w:color="auto" w:fill="auto"/>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Vivir en el área urbana aumenta la  probabilidad de tener instrucción superior</w:t>
                  </w:r>
                </w:p>
              </w:tc>
              <w:tc>
                <w:tcPr>
                  <w:tcW w:w="567"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0.591</w:t>
                  </w:r>
                </w:p>
              </w:tc>
              <w:tc>
                <w:tcPr>
                  <w:tcW w:w="1038"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No</w:t>
                  </w:r>
                </w:p>
              </w:tc>
            </w:tr>
            <w:tr w:rsidR="005C75BB" w:rsidRPr="00CB5B06" w:rsidTr="00742BBC">
              <w:trPr>
                <w:trHeight w:val="510"/>
                <w:jc w:val="center"/>
              </w:trPr>
              <w:tc>
                <w:tcPr>
                  <w:tcW w:w="1020" w:type="dxa"/>
                  <w:tcBorders>
                    <w:top w:val="nil"/>
                    <w:left w:val="nil"/>
                    <w:bottom w:val="nil"/>
                    <w:right w:val="nil"/>
                  </w:tcBorders>
                  <w:shd w:val="clear" w:color="auto" w:fill="auto"/>
                  <w:noWrap/>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Género (X</w:t>
                  </w:r>
                  <w:r w:rsidRPr="00CB5B06">
                    <w:rPr>
                      <w:rFonts w:ascii="Arial" w:hAnsi="Arial" w:cs="Arial"/>
                      <w:color w:val="000000"/>
                      <w:sz w:val="14"/>
                      <w:szCs w:val="14"/>
                      <w:vertAlign w:val="subscript"/>
                    </w:rPr>
                    <w:t>2</w:t>
                  </w:r>
                  <w:r w:rsidRPr="00CB5B06">
                    <w:rPr>
                      <w:rFonts w:ascii="Arial" w:hAnsi="Arial" w:cs="Arial"/>
                      <w:color w:val="000000"/>
                      <w:sz w:val="14"/>
                      <w:szCs w:val="14"/>
                    </w:rPr>
                    <w:t>)</w:t>
                  </w:r>
                </w:p>
              </w:tc>
              <w:tc>
                <w:tcPr>
                  <w:tcW w:w="1099" w:type="dxa"/>
                  <w:tcBorders>
                    <w:top w:val="nil"/>
                    <w:left w:val="nil"/>
                    <w:bottom w:val="nil"/>
                    <w:right w:val="nil"/>
                  </w:tcBorders>
                  <w:vAlign w:val="center"/>
                </w:tcPr>
                <w:p w:rsidR="005C75BB" w:rsidRDefault="005C75BB" w:rsidP="00654171">
                  <w:pPr>
                    <w:jc w:val="left"/>
                    <w:rPr>
                      <w:rFonts w:ascii="Arial" w:hAnsi="Arial" w:cs="Arial"/>
                      <w:color w:val="000000"/>
                      <w:sz w:val="14"/>
                      <w:szCs w:val="14"/>
                    </w:rPr>
                  </w:pPr>
                  <w:r>
                    <w:rPr>
                      <w:rFonts w:ascii="Arial" w:hAnsi="Arial" w:cs="Arial"/>
                      <w:color w:val="000000"/>
                      <w:sz w:val="14"/>
                      <w:szCs w:val="14"/>
                    </w:rPr>
                    <w:t>1: Hombre</w:t>
                  </w:r>
                </w:p>
                <w:p w:rsidR="005C75BB" w:rsidRPr="00CB5B06" w:rsidRDefault="005C75BB" w:rsidP="00654171">
                  <w:pPr>
                    <w:jc w:val="left"/>
                    <w:rPr>
                      <w:rFonts w:ascii="Arial" w:hAnsi="Arial" w:cs="Arial"/>
                      <w:color w:val="000000"/>
                      <w:sz w:val="14"/>
                      <w:szCs w:val="14"/>
                    </w:rPr>
                  </w:pPr>
                  <w:r>
                    <w:rPr>
                      <w:rFonts w:ascii="Arial" w:hAnsi="Arial" w:cs="Arial"/>
                      <w:color w:val="000000"/>
                      <w:sz w:val="14"/>
                      <w:szCs w:val="14"/>
                    </w:rPr>
                    <w:t>0: Mujer</w:t>
                  </w:r>
                </w:p>
              </w:tc>
              <w:tc>
                <w:tcPr>
                  <w:tcW w:w="859"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-0.065</w:t>
                  </w:r>
                </w:p>
              </w:tc>
              <w:tc>
                <w:tcPr>
                  <w:tcW w:w="680"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Negativo</w:t>
                  </w:r>
                </w:p>
              </w:tc>
              <w:tc>
                <w:tcPr>
                  <w:tcW w:w="1871" w:type="dxa"/>
                  <w:tcBorders>
                    <w:top w:val="nil"/>
                    <w:left w:val="nil"/>
                    <w:bottom w:val="nil"/>
                    <w:right w:val="nil"/>
                  </w:tcBorders>
                  <w:shd w:val="clear" w:color="auto" w:fill="auto"/>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Ser hombre disminuye la probabilidad de tener instrucción superior</w:t>
                  </w:r>
                </w:p>
              </w:tc>
              <w:tc>
                <w:tcPr>
                  <w:tcW w:w="567"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0.265</w:t>
                  </w:r>
                </w:p>
              </w:tc>
              <w:tc>
                <w:tcPr>
                  <w:tcW w:w="1038"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No</w:t>
                  </w:r>
                </w:p>
              </w:tc>
            </w:tr>
            <w:tr w:rsidR="005C75BB" w:rsidRPr="00CB5B06" w:rsidTr="00742BBC">
              <w:trPr>
                <w:trHeight w:val="680"/>
                <w:jc w:val="center"/>
              </w:trPr>
              <w:tc>
                <w:tcPr>
                  <w:tcW w:w="1020" w:type="dxa"/>
                  <w:tcBorders>
                    <w:top w:val="nil"/>
                    <w:left w:val="nil"/>
                    <w:bottom w:val="nil"/>
                    <w:right w:val="nil"/>
                  </w:tcBorders>
                  <w:shd w:val="clear" w:color="auto" w:fill="auto"/>
                  <w:noWrap/>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Edad (X</w:t>
                  </w:r>
                  <w:r w:rsidRPr="00CB5B06">
                    <w:rPr>
                      <w:rFonts w:ascii="Arial" w:hAnsi="Arial" w:cs="Arial"/>
                      <w:color w:val="000000"/>
                      <w:sz w:val="14"/>
                      <w:szCs w:val="14"/>
                      <w:vertAlign w:val="subscript"/>
                    </w:rPr>
                    <w:t>3</w:t>
                  </w:r>
                  <w:r w:rsidRPr="00CB5B06">
                    <w:rPr>
                      <w:rFonts w:ascii="Arial" w:hAnsi="Arial" w:cs="Arial"/>
                      <w:color w:val="000000"/>
                      <w:sz w:val="14"/>
                      <w:szCs w:val="14"/>
                    </w:rPr>
                    <w:t>)</w:t>
                  </w:r>
                </w:p>
              </w:tc>
              <w:tc>
                <w:tcPr>
                  <w:tcW w:w="1099" w:type="dxa"/>
                  <w:tcBorders>
                    <w:top w:val="nil"/>
                    <w:left w:val="nil"/>
                    <w:bottom w:val="nil"/>
                    <w:right w:val="nil"/>
                  </w:tcBorders>
                  <w:vAlign w:val="center"/>
                </w:tcPr>
                <w:p w:rsidR="005C75BB" w:rsidRDefault="005C75BB" w:rsidP="00654171">
                  <w:pPr>
                    <w:jc w:val="left"/>
                    <w:rPr>
                      <w:rFonts w:ascii="Arial" w:hAnsi="Arial" w:cs="Arial"/>
                      <w:color w:val="000000"/>
                      <w:sz w:val="14"/>
                      <w:szCs w:val="14"/>
                    </w:rPr>
                  </w:pPr>
                  <w:r>
                    <w:rPr>
                      <w:rFonts w:ascii="Arial" w:hAnsi="Arial" w:cs="Arial"/>
                      <w:color w:val="000000"/>
                      <w:sz w:val="14"/>
                      <w:szCs w:val="14"/>
                    </w:rPr>
                    <w:t>1: Menor de 25</w:t>
                  </w:r>
                </w:p>
                <w:p w:rsidR="005C75BB" w:rsidRPr="00CB5B06" w:rsidRDefault="005C75BB" w:rsidP="00654171">
                  <w:pPr>
                    <w:jc w:val="left"/>
                    <w:rPr>
                      <w:rFonts w:ascii="Arial" w:hAnsi="Arial" w:cs="Arial"/>
                      <w:color w:val="000000"/>
                      <w:sz w:val="14"/>
                      <w:szCs w:val="14"/>
                    </w:rPr>
                  </w:pPr>
                  <w:r>
                    <w:rPr>
                      <w:rFonts w:ascii="Arial" w:hAnsi="Arial" w:cs="Arial"/>
                      <w:color w:val="000000"/>
                      <w:sz w:val="14"/>
                      <w:szCs w:val="14"/>
                    </w:rPr>
                    <w:t>0: 25 años o más</w:t>
                  </w:r>
                </w:p>
              </w:tc>
              <w:tc>
                <w:tcPr>
                  <w:tcW w:w="859"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-0.546</w:t>
                  </w:r>
                </w:p>
              </w:tc>
              <w:tc>
                <w:tcPr>
                  <w:tcW w:w="680"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Negativo</w:t>
                  </w:r>
                </w:p>
              </w:tc>
              <w:tc>
                <w:tcPr>
                  <w:tcW w:w="1871" w:type="dxa"/>
                  <w:tcBorders>
                    <w:top w:val="nil"/>
                    <w:left w:val="nil"/>
                    <w:bottom w:val="nil"/>
                    <w:right w:val="nil"/>
                  </w:tcBorders>
                  <w:shd w:val="clear" w:color="auto" w:fill="auto"/>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Tener menos de 25 años disminuye la probabilidad de tener hasta instrucción superior</w:t>
                  </w:r>
                </w:p>
              </w:tc>
              <w:tc>
                <w:tcPr>
                  <w:tcW w:w="567"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0.000</w:t>
                  </w:r>
                </w:p>
              </w:tc>
              <w:tc>
                <w:tcPr>
                  <w:tcW w:w="1038"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Sí</w:t>
                  </w:r>
                </w:p>
              </w:tc>
            </w:tr>
            <w:tr w:rsidR="005C75BB" w:rsidRPr="00CB5B06" w:rsidTr="00742BBC">
              <w:trPr>
                <w:trHeight w:val="510"/>
                <w:jc w:val="center"/>
              </w:trPr>
              <w:tc>
                <w:tcPr>
                  <w:tcW w:w="1020" w:type="dxa"/>
                  <w:tcBorders>
                    <w:top w:val="nil"/>
                    <w:left w:val="nil"/>
                    <w:bottom w:val="nil"/>
                    <w:right w:val="nil"/>
                  </w:tcBorders>
                  <w:shd w:val="clear" w:color="auto" w:fill="auto"/>
                  <w:noWrap/>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Estado Conyugal (X</w:t>
                  </w:r>
                  <w:r w:rsidRPr="00CB5B06">
                    <w:rPr>
                      <w:rFonts w:ascii="Arial" w:hAnsi="Arial" w:cs="Arial"/>
                      <w:color w:val="000000"/>
                      <w:sz w:val="14"/>
                      <w:szCs w:val="14"/>
                      <w:vertAlign w:val="subscript"/>
                    </w:rPr>
                    <w:t>4</w:t>
                  </w:r>
                  <w:r w:rsidRPr="00CB5B06">
                    <w:rPr>
                      <w:rFonts w:ascii="Arial" w:hAnsi="Arial" w:cs="Arial"/>
                      <w:color w:val="000000"/>
                      <w:sz w:val="14"/>
                      <w:szCs w:val="14"/>
                    </w:rPr>
                    <w:t>)</w:t>
                  </w:r>
                </w:p>
              </w:tc>
              <w:tc>
                <w:tcPr>
                  <w:tcW w:w="1099" w:type="dxa"/>
                  <w:tcBorders>
                    <w:top w:val="nil"/>
                    <w:left w:val="nil"/>
                    <w:bottom w:val="nil"/>
                    <w:right w:val="nil"/>
                  </w:tcBorders>
                  <w:vAlign w:val="center"/>
                </w:tcPr>
                <w:p w:rsidR="005C75BB" w:rsidRDefault="005C75BB" w:rsidP="00654171">
                  <w:pPr>
                    <w:jc w:val="left"/>
                    <w:rPr>
                      <w:rFonts w:ascii="Arial" w:hAnsi="Arial" w:cs="Arial"/>
                      <w:color w:val="000000"/>
                      <w:sz w:val="14"/>
                      <w:szCs w:val="14"/>
                    </w:rPr>
                  </w:pPr>
                  <w:r>
                    <w:rPr>
                      <w:rFonts w:ascii="Arial" w:hAnsi="Arial" w:cs="Arial"/>
                      <w:color w:val="000000"/>
                      <w:sz w:val="14"/>
                      <w:szCs w:val="14"/>
                    </w:rPr>
                    <w:t xml:space="preserve">1: Casado </w:t>
                  </w:r>
                </w:p>
                <w:p w:rsidR="005C75BB" w:rsidRPr="00CB5B06" w:rsidRDefault="005C75BB" w:rsidP="00654171">
                  <w:pPr>
                    <w:jc w:val="left"/>
                    <w:rPr>
                      <w:rFonts w:ascii="Arial" w:hAnsi="Arial" w:cs="Arial"/>
                      <w:color w:val="000000"/>
                      <w:sz w:val="14"/>
                      <w:szCs w:val="14"/>
                    </w:rPr>
                  </w:pPr>
                  <w:r>
                    <w:rPr>
                      <w:rFonts w:ascii="Arial" w:hAnsi="Arial" w:cs="Arial"/>
                      <w:color w:val="000000"/>
                      <w:sz w:val="14"/>
                      <w:szCs w:val="14"/>
                    </w:rPr>
                    <w:t>0: No casado</w:t>
                  </w:r>
                </w:p>
              </w:tc>
              <w:tc>
                <w:tcPr>
                  <w:tcW w:w="859"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-0.069</w:t>
                  </w:r>
                </w:p>
              </w:tc>
              <w:tc>
                <w:tcPr>
                  <w:tcW w:w="680"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Negativo</w:t>
                  </w:r>
                </w:p>
              </w:tc>
              <w:tc>
                <w:tcPr>
                  <w:tcW w:w="1871" w:type="dxa"/>
                  <w:tcBorders>
                    <w:top w:val="nil"/>
                    <w:left w:val="nil"/>
                    <w:bottom w:val="nil"/>
                    <w:right w:val="nil"/>
                  </w:tcBorders>
                  <w:shd w:val="clear" w:color="auto" w:fill="auto"/>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Ser casado disminuye la probabilidad de tener instrucción superior</w:t>
                  </w:r>
                </w:p>
              </w:tc>
              <w:tc>
                <w:tcPr>
                  <w:tcW w:w="567"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0.328</w:t>
                  </w:r>
                </w:p>
              </w:tc>
              <w:tc>
                <w:tcPr>
                  <w:tcW w:w="1038"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No</w:t>
                  </w:r>
                </w:p>
              </w:tc>
            </w:tr>
            <w:tr w:rsidR="005C75BB" w:rsidRPr="00CB5B06" w:rsidTr="00742BBC">
              <w:trPr>
                <w:trHeight w:val="737"/>
                <w:jc w:val="center"/>
              </w:trPr>
              <w:tc>
                <w:tcPr>
                  <w:tcW w:w="1020" w:type="dxa"/>
                  <w:tcBorders>
                    <w:top w:val="nil"/>
                    <w:left w:val="nil"/>
                    <w:bottom w:val="nil"/>
                    <w:right w:val="nil"/>
                  </w:tcBorders>
                  <w:shd w:val="clear" w:color="auto" w:fill="auto"/>
                  <w:noWrap/>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Discapacidad (X</w:t>
                  </w:r>
                  <w:r w:rsidRPr="00CB5B06">
                    <w:rPr>
                      <w:rFonts w:ascii="Arial" w:hAnsi="Arial" w:cs="Arial"/>
                      <w:color w:val="000000"/>
                      <w:sz w:val="14"/>
                      <w:szCs w:val="14"/>
                      <w:vertAlign w:val="subscript"/>
                    </w:rPr>
                    <w:t>5</w:t>
                  </w:r>
                  <w:r w:rsidRPr="00CB5B06">
                    <w:rPr>
                      <w:rFonts w:ascii="Arial" w:hAnsi="Arial" w:cs="Arial"/>
                      <w:color w:val="000000"/>
                      <w:sz w:val="14"/>
                      <w:szCs w:val="14"/>
                    </w:rPr>
                    <w:t>)</w:t>
                  </w:r>
                </w:p>
              </w:tc>
              <w:tc>
                <w:tcPr>
                  <w:tcW w:w="1099" w:type="dxa"/>
                  <w:tcBorders>
                    <w:top w:val="nil"/>
                    <w:left w:val="nil"/>
                    <w:bottom w:val="nil"/>
                    <w:right w:val="nil"/>
                  </w:tcBorders>
                  <w:vAlign w:val="center"/>
                </w:tcPr>
                <w:p w:rsidR="005C75BB" w:rsidRDefault="005C75BB" w:rsidP="00654171">
                  <w:pPr>
                    <w:jc w:val="left"/>
                    <w:rPr>
                      <w:rFonts w:ascii="Arial" w:hAnsi="Arial" w:cs="Arial"/>
                      <w:color w:val="000000"/>
                      <w:sz w:val="14"/>
                      <w:szCs w:val="14"/>
                    </w:rPr>
                  </w:pPr>
                  <w:r>
                    <w:rPr>
                      <w:rFonts w:ascii="Arial" w:hAnsi="Arial" w:cs="Arial"/>
                      <w:color w:val="000000"/>
                      <w:sz w:val="14"/>
                      <w:szCs w:val="14"/>
                    </w:rPr>
                    <w:t>1: Sí</w:t>
                  </w:r>
                </w:p>
                <w:p w:rsidR="005C75BB" w:rsidRPr="00CB5B06" w:rsidRDefault="005C75BB" w:rsidP="00654171">
                  <w:pPr>
                    <w:jc w:val="left"/>
                    <w:rPr>
                      <w:rFonts w:ascii="Arial" w:hAnsi="Arial" w:cs="Arial"/>
                      <w:color w:val="000000"/>
                      <w:sz w:val="14"/>
                      <w:szCs w:val="14"/>
                    </w:rPr>
                  </w:pPr>
                  <w:r>
                    <w:rPr>
                      <w:rFonts w:ascii="Arial" w:hAnsi="Arial" w:cs="Arial"/>
                      <w:color w:val="000000"/>
                      <w:sz w:val="14"/>
                      <w:szCs w:val="14"/>
                    </w:rPr>
                    <w:t>0: No</w:t>
                  </w:r>
                </w:p>
              </w:tc>
              <w:tc>
                <w:tcPr>
                  <w:tcW w:w="859"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-0.478</w:t>
                  </w:r>
                </w:p>
              </w:tc>
              <w:tc>
                <w:tcPr>
                  <w:tcW w:w="680"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Negativo</w:t>
                  </w:r>
                </w:p>
              </w:tc>
              <w:tc>
                <w:tcPr>
                  <w:tcW w:w="1871" w:type="dxa"/>
                  <w:tcBorders>
                    <w:top w:val="nil"/>
                    <w:left w:val="nil"/>
                    <w:bottom w:val="nil"/>
                    <w:right w:val="nil"/>
                  </w:tcBorders>
                  <w:shd w:val="clear" w:color="auto" w:fill="auto"/>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Ser discapacitado disminuye la probabilidad de que los estadounidenses tengan hasta instrucción superior</w:t>
                  </w:r>
                </w:p>
              </w:tc>
              <w:tc>
                <w:tcPr>
                  <w:tcW w:w="567"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0.002</w:t>
                  </w:r>
                </w:p>
              </w:tc>
              <w:tc>
                <w:tcPr>
                  <w:tcW w:w="1038" w:type="dxa"/>
                  <w:tcBorders>
                    <w:top w:val="nil"/>
                    <w:left w:val="nil"/>
                    <w:bottom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Sí</w:t>
                  </w:r>
                </w:p>
              </w:tc>
            </w:tr>
            <w:tr w:rsidR="005C75BB" w:rsidRPr="00CB5B06" w:rsidTr="00742BBC">
              <w:trPr>
                <w:trHeight w:val="510"/>
                <w:jc w:val="center"/>
              </w:trPr>
              <w:tc>
                <w:tcPr>
                  <w:tcW w:w="1020" w:type="dxa"/>
                  <w:tcBorders>
                    <w:top w:val="nil"/>
                    <w:left w:val="nil"/>
                    <w:right w:val="nil"/>
                  </w:tcBorders>
                  <w:shd w:val="clear" w:color="auto" w:fill="auto"/>
                  <w:noWrap/>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Trabaja (X</w:t>
                  </w:r>
                  <w:r w:rsidRPr="00CB5B06">
                    <w:rPr>
                      <w:rFonts w:ascii="Arial" w:hAnsi="Arial" w:cs="Arial"/>
                      <w:color w:val="000000"/>
                      <w:sz w:val="14"/>
                      <w:szCs w:val="14"/>
                      <w:vertAlign w:val="subscript"/>
                    </w:rPr>
                    <w:t>6</w:t>
                  </w:r>
                  <w:r w:rsidRPr="00CB5B06">
                    <w:rPr>
                      <w:rFonts w:ascii="Arial" w:hAnsi="Arial" w:cs="Arial"/>
                      <w:color w:val="000000"/>
                      <w:sz w:val="14"/>
                      <w:szCs w:val="14"/>
                    </w:rPr>
                    <w:t>)</w:t>
                  </w:r>
                </w:p>
              </w:tc>
              <w:tc>
                <w:tcPr>
                  <w:tcW w:w="1099" w:type="dxa"/>
                  <w:tcBorders>
                    <w:top w:val="nil"/>
                    <w:left w:val="nil"/>
                    <w:right w:val="nil"/>
                  </w:tcBorders>
                  <w:vAlign w:val="center"/>
                </w:tcPr>
                <w:p w:rsidR="005C75BB" w:rsidRDefault="005C75BB" w:rsidP="00654171">
                  <w:pPr>
                    <w:jc w:val="left"/>
                    <w:rPr>
                      <w:rFonts w:ascii="Arial" w:hAnsi="Arial" w:cs="Arial"/>
                      <w:color w:val="000000"/>
                      <w:sz w:val="14"/>
                      <w:szCs w:val="14"/>
                    </w:rPr>
                  </w:pPr>
                  <w:r>
                    <w:rPr>
                      <w:rFonts w:ascii="Arial" w:hAnsi="Arial" w:cs="Arial"/>
                      <w:color w:val="000000"/>
                      <w:sz w:val="14"/>
                      <w:szCs w:val="14"/>
                    </w:rPr>
                    <w:t>1: Trabaja</w:t>
                  </w:r>
                </w:p>
                <w:p w:rsidR="005C75BB" w:rsidRPr="00CB5B06" w:rsidRDefault="005C75BB" w:rsidP="00654171">
                  <w:pPr>
                    <w:jc w:val="left"/>
                    <w:rPr>
                      <w:rFonts w:ascii="Arial" w:hAnsi="Arial" w:cs="Arial"/>
                      <w:color w:val="000000"/>
                      <w:sz w:val="14"/>
                      <w:szCs w:val="14"/>
                    </w:rPr>
                  </w:pPr>
                  <w:r>
                    <w:rPr>
                      <w:rFonts w:ascii="Arial" w:hAnsi="Arial" w:cs="Arial"/>
                      <w:color w:val="000000"/>
                      <w:sz w:val="14"/>
                      <w:szCs w:val="14"/>
                    </w:rPr>
                    <w:t>0: No trabaja</w:t>
                  </w:r>
                </w:p>
              </w:tc>
              <w:tc>
                <w:tcPr>
                  <w:tcW w:w="859" w:type="dxa"/>
                  <w:tcBorders>
                    <w:top w:val="nil"/>
                    <w:left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0.760</w:t>
                  </w:r>
                </w:p>
              </w:tc>
              <w:tc>
                <w:tcPr>
                  <w:tcW w:w="680" w:type="dxa"/>
                  <w:tcBorders>
                    <w:top w:val="nil"/>
                    <w:left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Positivo</w:t>
                  </w:r>
                </w:p>
              </w:tc>
              <w:tc>
                <w:tcPr>
                  <w:tcW w:w="1871" w:type="dxa"/>
                  <w:tcBorders>
                    <w:top w:val="nil"/>
                    <w:left w:val="nil"/>
                    <w:right w:val="nil"/>
                  </w:tcBorders>
                  <w:shd w:val="clear" w:color="auto" w:fill="auto"/>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Trabajar aumenta la probabilidad de tener instrucción superior</w:t>
                  </w:r>
                </w:p>
              </w:tc>
              <w:tc>
                <w:tcPr>
                  <w:tcW w:w="567" w:type="dxa"/>
                  <w:tcBorders>
                    <w:top w:val="nil"/>
                    <w:left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0.000</w:t>
                  </w:r>
                </w:p>
              </w:tc>
              <w:tc>
                <w:tcPr>
                  <w:tcW w:w="1038" w:type="dxa"/>
                  <w:tcBorders>
                    <w:top w:val="nil"/>
                    <w:left w:val="nil"/>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Sí</w:t>
                  </w:r>
                </w:p>
              </w:tc>
            </w:tr>
            <w:tr w:rsidR="005C75BB" w:rsidRPr="00CB5B06" w:rsidTr="00742BBC">
              <w:trPr>
                <w:trHeight w:val="227"/>
                <w:jc w:val="center"/>
              </w:trPr>
              <w:tc>
                <w:tcPr>
                  <w:tcW w:w="1020" w:type="dxa"/>
                  <w:tcBorders>
                    <w:top w:val="nil"/>
                    <w:left w:val="nil"/>
                    <w:bottom w:val="single" w:sz="4" w:space="0" w:color="auto"/>
                    <w:right w:val="nil"/>
                  </w:tcBorders>
                  <w:shd w:val="clear" w:color="auto" w:fill="auto"/>
                  <w:noWrap/>
                  <w:vAlign w:val="center"/>
                </w:tcPr>
                <w:p w:rsidR="005C75BB" w:rsidRPr="00CB5B06" w:rsidRDefault="005C75BB" w:rsidP="00654171">
                  <w:pPr>
                    <w:jc w:val="left"/>
                    <w:rPr>
                      <w:rFonts w:ascii="Arial" w:hAnsi="Arial" w:cs="Arial"/>
                      <w:color w:val="000000"/>
                      <w:sz w:val="14"/>
                      <w:szCs w:val="14"/>
                    </w:rPr>
                  </w:pPr>
                  <w:r w:rsidRPr="00CB5B06">
                    <w:rPr>
                      <w:rFonts w:ascii="Arial" w:hAnsi="Arial" w:cs="Arial"/>
                      <w:color w:val="000000"/>
                      <w:sz w:val="14"/>
                      <w:szCs w:val="14"/>
                    </w:rPr>
                    <w:t>Constante</w:t>
                  </w:r>
                </w:p>
              </w:tc>
              <w:tc>
                <w:tcPr>
                  <w:tcW w:w="1099" w:type="dxa"/>
                  <w:tcBorders>
                    <w:top w:val="nil"/>
                    <w:left w:val="nil"/>
                    <w:bottom w:val="single" w:sz="4" w:space="0" w:color="auto"/>
                    <w:right w:val="nil"/>
                  </w:tcBorders>
                  <w:vAlign w:val="center"/>
                </w:tcPr>
                <w:p w:rsidR="005C75BB" w:rsidRPr="00CB5B06" w:rsidRDefault="005C75BB" w:rsidP="00654171">
                  <w:pPr>
                    <w:jc w:val="left"/>
                    <w:rPr>
                      <w:rFonts w:ascii="Arial" w:hAnsi="Arial" w:cs="Arial"/>
                      <w:color w:val="000000"/>
                      <w:sz w:val="14"/>
                      <w:szCs w:val="14"/>
                    </w:rPr>
                  </w:pPr>
                </w:p>
              </w:tc>
              <w:tc>
                <w:tcPr>
                  <w:tcW w:w="859" w:type="dxa"/>
                  <w:tcBorders>
                    <w:top w:val="nil"/>
                    <w:left w:val="nil"/>
                    <w:bottom w:val="single" w:sz="4" w:space="0" w:color="auto"/>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0.778</w:t>
                  </w:r>
                </w:p>
              </w:tc>
              <w:tc>
                <w:tcPr>
                  <w:tcW w:w="680" w:type="dxa"/>
                  <w:tcBorders>
                    <w:top w:val="nil"/>
                    <w:left w:val="nil"/>
                    <w:bottom w:val="single" w:sz="4" w:space="0" w:color="auto"/>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Positivo</w:t>
                  </w:r>
                </w:p>
              </w:tc>
              <w:tc>
                <w:tcPr>
                  <w:tcW w:w="1871" w:type="dxa"/>
                  <w:tcBorders>
                    <w:top w:val="nil"/>
                    <w:left w:val="nil"/>
                    <w:bottom w:val="single" w:sz="4" w:space="0" w:color="auto"/>
                    <w:right w:val="nil"/>
                  </w:tcBorders>
                  <w:shd w:val="clear" w:color="auto" w:fill="auto"/>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 </w:t>
                  </w:r>
                </w:p>
              </w:tc>
              <w:tc>
                <w:tcPr>
                  <w:tcW w:w="567" w:type="dxa"/>
                  <w:tcBorders>
                    <w:top w:val="nil"/>
                    <w:left w:val="nil"/>
                    <w:bottom w:val="single" w:sz="4" w:space="0" w:color="auto"/>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0.000</w:t>
                  </w:r>
                </w:p>
              </w:tc>
              <w:tc>
                <w:tcPr>
                  <w:tcW w:w="1038" w:type="dxa"/>
                  <w:tcBorders>
                    <w:top w:val="nil"/>
                    <w:left w:val="nil"/>
                    <w:bottom w:val="single" w:sz="4" w:space="0" w:color="auto"/>
                    <w:right w:val="nil"/>
                  </w:tcBorders>
                  <w:shd w:val="clear" w:color="auto" w:fill="auto"/>
                  <w:noWrap/>
                  <w:vAlign w:val="center"/>
                </w:tcPr>
                <w:p w:rsidR="005C75BB" w:rsidRPr="00CB5B06" w:rsidRDefault="005C75BB" w:rsidP="005C75BB">
                  <w:pPr>
                    <w:rPr>
                      <w:rFonts w:ascii="Arial" w:hAnsi="Arial" w:cs="Arial"/>
                      <w:color w:val="000000"/>
                      <w:sz w:val="14"/>
                      <w:szCs w:val="14"/>
                    </w:rPr>
                  </w:pPr>
                  <w:r w:rsidRPr="00CB5B06">
                    <w:rPr>
                      <w:rFonts w:ascii="Arial" w:hAnsi="Arial" w:cs="Arial"/>
                      <w:color w:val="000000"/>
                      <w:sz w:val="14"/>
                      <w:szCs w:val="14"/>
                    </w:rPr>
                    <w:t>Sí</w:t>
                  </w:r>
                </w:p>
              </w:tc>
            </w:tr>
          </w:tbl>
          <w:p w:rsidR="005C75BB" w:rsidRPr="00607324" w:rsidRDefault="005C75BB" w:rsidP="005C75BB">
            <w:pPr>
              <w:rPr>
                <w:rFonts w:ascii="Arial" w:hAnsi="Arial" w:cs="Arial"/>
                <w:sz w:val="24"/>
                <w:szCs w:val="24"/>
              </w:rPr>
            </w:pPr>
          </w:p>
        </w:tc>
      </w:tr>
    </w:tbl>
    <w:p w:rsidR="005C75BB" w:rsidRPr="00742BBC" w:rsidRDefault="005C75BB" w:rsidP="00742BBC">
      <w:pPr>
        <w:pStyle w:val="Prrafodelista"/>
        <w:spacing w:line="276" w:lineRule="auto"/>
        <w:ind w:left="851"/>
        <w:jc w:val="both"/>
        <w:rPr>
          <w:rFonts w:ascii="Arial" w:hAnsi="Arial" w:cs="Arial"/>
          <w:sz w:val="17"/>
          <w:szCs w:val="17"/>
        </w:rPr>
      </w:pPr>
    </w:p>
    <w:p w:rsidR="005C75BB" w:rsidRPr="00742BBC" w:rsidRDefault="005C75BB" w:rsidP="00742BBC">
      <w:pPr>
        <w:pStyle w:val="Prrafodelista"/>
        <w:spacing w:line="276" w:lineRule="auto"/>
        <w:ind w:left="851"/>
        <w:jc w:val="both"/>
        <w:rPr>
          <w:rFonts w:ascii="Arial" w:hAnsi="Arial" w:cs="Arial"/>
          <w:sz w:val="17"/>
          <w:szCs w:val="17"/>
        </w:rPr>
      </w:pPr>
      <w:r w:rsidRPr="00742BBC">
        <w:rPr>
          <w:rFonts w:ascii="Arial" w:hAnsi="Arial" w:cs="Arial"/>
          <w:b/>
          <w:i/>
          <w:sz w:val="17"/>
          <w:szCs w:val="17"/>
        </w:rPr>
        <w:t>Fuente:</w:t>
      </w:r>
      <w:r w:rsidRPr="00742BBC">
        <w:rPr>
          <w:rFonts w:ascii="Arial" w:hAnsi="Arial" w:cs="Arial"/>
          <w:sz w:val="17"/>
          <w:szCs w:val="17"/>
        </w:rPr>
        <w:t xml:space="preserve"> </w:t>
      </w:r>
      <w:r w:rsidRPr="00742BBC">
        <w:rPr>
          <w:rFonts w:ascii="Arial" w:hAnsi="Arial" w:cs="Arial"/>
          <w:b/>
          <w:sz w:val="17"/>
          <w:szCs w:val="17"/>
        </w:rPr>
        <w:t xml:space="preserve">INEC </w:t>
      </w:r>
      <w:r w:rsidRPr="00742BBC">
        <w:rPr>
          <w:rFonts w:ascii="Arial" w:hAnsi="Arial" w:cs="Arial"/>
          <w:sz w:val="17"/>
          <w:szCs w:val="17"/>
        </w:rPr>
        <w:t>(2010), Base de Datos del VII Censo de Población y VI de Vivienda.</w:t>
      </w:r>
    </w:p>
    <w:p w:rsidR="005C75BB" w:rsidRPr="00742BBC" w:rsidRDefault="005C75BB" w:rsidP="00742BBC">
      <w:pPr>
        <w:pStyle w:val="Prrafodelista"/>
        <w:spacing w:line="276" w:lineRule="auto"/>
        <w:ind w:left="851"/>
        <w:jc w:val="both"/>
        <w:rPr>
          <w:rFonts w:ascii="Arial" w:hAnsi="Arial" w:cs="Arial"/>
          <w:sz w:val="17"/>
          <w:szCs w:val="17"/>
        </w:rPr>
      </w:pPr>
      <w:r w:rsidRPr="00742BBC">
        <w:rPr>
          <w:rFonts w:ascii="Arial" w:hAnsi="Arial" w:cs="Arial"/>
          <w:b/>
          <w:i/>
          <w:sz w:val="17"/>
          <w:szCs w:val="17"/>
        </w:rPr>
        <w:t>Elaborado por:</w:t>
      </w:r>
      <w:r w:rsidRPr="00742BBC">
        <w:rPr>
          <w:rFonts w:ascii="Arial" w:hAnsi="Arial" w:cs="Arial"/>
          <w:sz w:val="17"/>
          <w:szCs w:val="17"/>
        </w:rPr>
        <w:t xml:space="preserve"> Katherine Loor Valeriano</w:t>
      </w:r>
    </w:p>
    <w:p w:rsidR="00742BBC" w:rsidRPr="00DE4CCB" w:rsidRDefault="00742BBC" w:rsidP="00DE4CCB">
      <w:pPr>
        <w:spacing w:line="480" w:lineRule="auto"/>
        <w:ind w:left="851"/>
        <w:jc w:val="both"/>
        <w:rPr>
          <w:rFonts w:ascii="Arial" w:hAnsi="Arial" w:cs="Arial"/>
          <w:sz w:val="20"/>
          <w:szCs w:val="20"/>
          <w:highlight w:val="yellow"/>
        </w:rPr>
      </w:pPr>
      <w:bookmarkStart w:id="1128" w:name="_Toc338773499"/>
      <w:bookmarkStart w:id="1129" w:name="_Toc338773637"/>
      <w:bookmarkStart w:id="1130" w:name="_Toc338938953"/>
      <w:bookmarkStart w:id="1131" w:name="_Toc338947260"/>
      <w:bookmarkStart w:id="1132" w:name="_Toc339275982"/>
      <w:bookmarkStart w:id="1133" w:name="_Toc339853238"/>
      <w:bookmarkStart w:id="1134" w:name="_Toc340232008"/>
      <w:r w:rsidRPr="00DE4CCB">
        <w:rPr>
          <w:rFonts w:ascii="Arial" w:hAnsi="Arial" w:cs="Arial"/>
        </w:rPr>
        <w:t xml:space="preserve">En la </w:t>
      </w:r>
      <w:r w:rsidRPr="00DE4CCB">
        <w:rPr>
          <w:rFonts w:ascii="Arial" w:hAnsi="Arial" w:cs="Arial"/>
          <w:i/>
        </w:rPr>
        <w:t>Tabla 6.9</w:t>
      </w:r>
      <w:r w:rsidRPr="00DE4CCB">
        <w:rPr>
          <w:rFonts w:ascii="Arial" w:hAnsi="Arial" w:cs="Arial"/>
        </w:rPr>
        <w:t>, se muestra la tabla de clasificación de los individuos a partir del modelo, en donde el punto de corte que se ha utilizado es 0.50, por tanto al evaluar las características de los individuos y obtenerse para logit(P) un valor inferior a 0.50 el individuo es clasificado dentro de los que no tienen hasta instrucción superior y para valores superiores a 0.50 se clasifica como un individuo que tiene hasta instrucción superior. Donde se obtuvo los siguientes resultados, que el 99.72% de los que tienen hasta instrucción superior fueron predichos correctamente; mientras que, quienes no tenían hasta este nivel de instrucción el 0.92% fueron predichos correctamente.</w:t>
      </w:r>
      <w:bookmarkEnd w:id="1128"/>
      <w:bookmarkEnd w:id="1129"/>
      <w:bookmarkEnd w:id="1130"/>
      <w:bookmarkEnd w:id="1131"/>
      <w:bookmarkEnd w:id="1132"/>
      <w:bookmarkEnd w:id="1133"/>
      <w:bookmarkEnd w:id="1134"/>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5C75BB" w:rsidRPr="003559D6" w:rsidTr="007E5BEA">
        <w:trPr>
          <w:trHeight w:val="2438"/>
          <w:jc w:val="right"/>
        </w:trPr>
        <w:tc>
          <w:tcPr>
            <w:tcW w:w="7497" w:type="dxa"/>
          </w:tcPr>
          <w:p w:rsidR="005C75BB" w:rsidRPr="00434327" w:rsidRDefault="005C75BB" w:rsidP="005C75BB">
            <w:pPr>
              <w:rPr>
                <w:rFonts w:ascii="Arial" w:hAnsi="Arial" w:cs="Arial"/>
                <w:sz w:val="16"/>
                <w:szCs w:val="16"/>
              </w:rPr>
            </w:pPr>
          </w:p>
          <w:p w:rsidR="00654171" w:rsidRPr="00654171" w:rsidRDefault="00654171" w:rsidP="00654171">
            <w:pPr>
              <w:pStyle w:val="Epgrafe"/>
              <w:rPr>
                <w:rFonts w:ascii="Arial" w:hAnsi="Arial" w:cs="Arial"/>
                <w:bCs w:val="0"/>
                <w:color w:val="auto"/>
                <w:sz w:val="16"/>
                <w:szCs w:val="16"/>
              </w:rPr>
            </w:pPr>
            <w:bookmarkStart w:id="1135" w:name="_Toc341042355"/>
            <w:r>
              <w:rPr>
                <w:rFonts w:ascii="Arial" w:hAnsi="Arial" w:cs="Arial"/>
                <w:bCs w:val="0"/>
                <w:color w:val="auto"/>
                <w:sz w:val="16"/>
                <w:szCs w:val="16"/>
              </w:rPr>
              <w:t>Tabla 6.</w:t>
            </w:r>
            <w:r w:rsidR="00990535" w:rsidRPr="00654171">
              <w:rPr>
                <w:rFonts w:ascii="Arial" w:hAnsi="Arial" w:cs="Arial"/>
                <w:bCs w:val="0"/>
                <w:color w:val="auto"/>
                <w:sz w:val="16"/>
                <w:szCs w:val="16"/>
              </w:rPr>
              <w:fldChar w:fldCharType="begin"/>
            </w:r>
            <w:r w:rsidRPr="00654171">
              <w:rPr>
                <w:rFonts w:ascii="Arial" w:hAnsi="Arial" w:cs="Arial"/>
                <w:bCs w:val="0"/>
                <w:color w:val="auto"/>
                <w:sz w:val="16"/>
                <w:szCs w:val="16"/>
              </w:rPr>
              <w:instrText xml:space="preserve"> SEQ Tabla_6. \* ARABIC </w:instrText>
            </w:r>
            <w:r w:rsidR="00990535" w:rsidRPr="00654171">
              <w:rPr>
                <w:rFonts w:ascii="Arial" w:hAnsi="Arial" w:cs="Arial"/>
                <w:bCs w:val="0"/>
                <w:color w:val="auto"/>
                <w:sz w:val="16"/>
                <w:szCs w:val="16"/>
              </w:rPr>
              <w:fldChar w:fldCharType="separate"/>
            </w:r>
            <w:r w:rsidR="00A242E0">
              <w:rPr>
                <w:rFonts w:ascii="Arial" w:hAnsi="Arial" w:cs="Arial"/>
                <w:bCs w:val="0"/>
                <w:noProof/>
                <w:color w:val="auto"/>
                <w:sz w:val="16"/>
                <w:szCs w:val="16"/>
              </w:rPr>
              <w:t>9</w:t>
            </w:r>
            <w:bookmarkEnd w:id="1135"/>
            <w:r w:rsidR="00990535" w:rsidRPr="00654171">
              <w:rPr>
                <w:rFonts w:ascii="Arial" w:hAnsi="Arial" w:cs="Arial"/>
                <w:bCs w:val="0"/>
                <w:color w:val="auto"/>
                <w:sz w:val="16"/>
                <w:szCs w:val="16"/>
              </w:rPr>
              <w:fldChar w:fldCharType="end"/>
            </w:r>
          </w:p>
          <w:p w:rsidR="005C75BB" w:rsidRDefault="007E5BEA" w:rsidP="005C75BB">
            <w:pPr>
              <w:rPr>
                <w:rFonts w:ascii="Arial" w:hAnsi="Arial" w:cs="Arial"/>
                <w:i/>
                <w:sz w:val="16"/>
                <w:szCs w:val="16"/>
              </w:rPr>
            </w:pPr>
            <w:r>
              <w:rPr>
                <w:rFonts w:ascii="Arial" w:hAnsi="Arial" w:cs="Arial"/>
                <w:b/>
                <w:i/>
                <w:sz w:val="16"/>
                <w:szCs w:val="16"/>
              </w:rPr>
              <w:t xml:space="preserve">Ecuador 2010: </w:t>
            </w:r>
            <w:r w:rsidR="005C75BB">
              <w:rPr>
                <w:rFonts w:ascii="Arial" w:hAnsi="Arial" w:cs="Arial"/>
                <w:i/>
                <w:sz w:val="16"/>
                <w:szCs w:val="16"/>
              </w:rPr>
              <w:t>Tabla de Clasificación</w:t>
            </w:r>
            <w:r>
              <w:rPr>
                <w:rFonts w:ascii="Arial" w:hAnsi="Arial" w:cs="Arial"/>
                <w:i/>
                <w:sz w:val="16"/>
                <w:szCs w:val="16"/>
              </w:rPr>
              <w:t xml:space="preserve"> del Nivel de instrucción de los estadounidenses </w:t>
            </w:r>
          </w:p>
          <w:p w:rsidR="005C75BB" w:rsidRDefault="007E5BEA" w:rsidP="005C75BB">
            <w:pPr>
              <w:rPr>
                <w:rFonts w:ascii="Arial" w:hAnsi="Arial" w:cs="Arial"/>
                <w:i/>
                <w:sz w:val="16"/>
                <w:szCs w:val="16"/>
              </w:rPr>
            </w:pPr>
            <w:r>
              <w:rPr>
                <w:rFonts w:ascii="Arial" w:hAnsi="Arial" w:cs="Arial"/>
                <w:i/>
                <w:sz w:val="16"/>
                <w:szCs w:val="16"/>
              </w:rPr>
              <w:t>(</w:t>
            </w:r>
            <w:r w:rsidR="005C75BB">
              <w:rPr>
                <w:rFonts w:ascii="Arial" w:hAnsi="Arial" w:cs="Arial"/>
                <w:i/>
                <w:sz w:val="16"/>
                <w:szCs w:val="16"/>
              </w:rPr>
              <w:t>y = 1 = Universitario; y =  0 = No Universitario</w:t>
            </w:r>
            <w:r>
              <w:rPr>
                <w:rFonts w:ascii="Arial" w:hAnsi="Arial" w:cs="Arial"/>
                <w:i/>
                <w:sz w:val="16"/>
                <w:szCs w:val="16"/>
              </w:rPr>
              <w:t>)</w:t>
            </w:r>
          </w:p>
          <w:p w:rsidR="005C75BB" w:rsidRPr="003D21E9" w:rsidRDefault="005C75BB" w:rsidP="005C75BB">
            <w:pPr>
              <w:rPr>
                <w:rFonts w:ascii="Arial" w:hAnsi="Arial" w:cs="Arial"/>
                <w:i/>
                <w:sz w:val="10"/>
                <w:szCs w:val="10"/>
              </w:rPr>
            </w:pPr>
          </w:p>
          <w:tbl>
            <w:tblPr>
              <w:tblW w:w="7037" w:type="dxa"/>
              <w:jc w:val="center"/>
              <w:tblCellMar>
                <w:left w:w="70" w:type="dxa"/>
                <w:right w:w="70" w:type="dxa"/>
              </w:tblCellMar>
              <w:tblLook w:val="04A0" w:firstRow="1" w:lastRow="0" w:firstColumn="1" w:lastColumn="0" w:noHBand="0" w:noVBand="1"/>
            </w:tblPr>
            <w:tblGrid>
              <w:gridCol w:w="1192"/>
              <w:gridCol w:w="1242"/>
              <w:gridCol w:w="1785"/>
              <w:gridCol w:w="1642"/>
              <w:gridCol w:w="1176"/>
            </w:tblGrid>
            <w:tr w:rsidR="005C75BB" w:rsidRPr="003041FD" w:rsidTr="005C75BB">
              <w:trPr>
                <w:trHeight w:val="198"/>
                <w:jc w:val="center"/>
              </w:trPr>
              <w:tc>
                <w:tcPr>
                  <w:tcW w:w="2401" w:type="dxa"/>
                  <w:gridSpan w:val="2"/>
                  <w:vMerge w:val="restart"/>
                  <w:tcBorders>
                    <w:top w:val="single" w:sz="4" w:space="0" w:color="auto"/>
                    <w:left w:val="nil"/>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Observado</w:t>
                  </w:r>
                </w:p>
              </w:tc>
              <w:tc>
                <w:tcPr>
                  <w:tcW w:w="3455" w:type="dxa"/>
                  <w:gridSpan w:val="2"/>
                  <w:tcBorders>
                    <w:top w:val="single" w:sz="4" w:space="0" w:color="auto"/>
                    <w:left w:val="nil"/>
                    <w:bottom w:val="nil"/>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Predicción</w:t>
                  </w:r>
                </w:p>
              </w:tc>
              <w:tc>
                <w:tcPr>
                  <w:tcW w:w="1181" w:type="dxa"/>
                  <w:vMerge w:val="restart"/>
                  <w:tcBorders>
                    <w:top w:val="single" w:sz="4" w:space="0" w:color="auto"/>
                    <w:left w:val="nil"/>
                    <w:bottom w:val="single" w:sz="4" w:space="0" w:color="000000"/>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Porcentaje correcto</w:t>
                  </w:r>
                </w:p>
              </w:tc>
            </w:tr>
            <w:tr w:rsidR="005C75BB" w:rsidRPr="003041FD" w:rsidTr="005C75BB">
              <w:trPr>
                <w:trHeight w:val="198"/>
                <w:jc w:val="center"/>
              </w:trPr>
              <w:tc>
                <w:tcPr>
                  <w:tcW w:w="2401" w:type="dxa"/>
                  <w:gridSpan w:val="2"/>
                  <w:vMerge/>
                  <w:tcBorders>
                    <w:left w:val="nil"/>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c>
                <w:tcPr>
                  <w:tcW w:w="3455" w:type="dxa"/>
                  <w:gridSpan w:val="2"/>
                  <w:tcBorders>
                    <w:top w:val="single" w:sz="4" w:space="0" w:color="auto"/>
                    <w:left w:val="nil"/>
                    <w:bottom w:val="single" w:sz="4" w:space="0" w:color="auto"/>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Universitario</w:t>
                  </w:r>
                </w:p>
              </w:tc>
              <w:tc>
                <w:tcPr>
                  <w:tcW w:w="1181" w:type="dxa"/>
                  <w:vMerge/>
                  <w:tcBorders>
                    <w:top w:val="single" w:sz="4" w:space="0" w:color="auto"/>
                    <w:left w:val="nil"/>
                    <w:bottom w:val="single" w:sz="4" w:space="0" w:color="000000"/>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r>
            <w:tr w:rsidR="005C75BB" w:rsidRPr="003041FD" w:rsidTr="005C75BB">
              <w:trPr>
                <w:trHeight w:val="198"/>
                <w:jc w:val="center"/>
              </w:trPr>
              <w:tc>
                <w:tcPr>
                  <w:tcW w:w="2401" w:type="dxa"/>
                  <w:gridSpan w:val="2"/>
                  <w:vMerge/>
                  <w:tcBorders>
                    <w:left w:val="nil"/>
                    <w:bottom w:val="single" w:sz="4" w:space="0" w:color="000000"/>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c>
                <w:tcPr>
                  <w:tcW w:w="1801" w:type="dxa"/>
                  <w:tcBorders>
                    <w:top w:val="nil"/>
                    <w:left w:val="nil"/>
                    <w:bottom w:val="single" w:sz="4" w:space="0" w:color="auto"/>
                    <w:right w:val="nil"/>
                  </w:tcBorders>
                  <w:shd w:val="clear" w:color="auto" w:fill="auto"/>
                  <w:vAlign w:val="center"/>
                </w:tcPr>
                <w:p w:rsidR="005C75BB" w:rsidRPr="003041FD" w:rsidRDefault="005C75BB" w:rsidP="005C75BB">
                  <w:pP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Universitario</w:t>
                  </w:r>
                </w:p>
              </w:tc>
              <w:tc>
                <w:tcPr>
                  <w:tcW w:w="1654" w:type="dxa"/>
                  <w:tcBorders>
                    <w:top w:val="nil"/>
                    <w:left w:val="nil"/>
                    <w:bottom w:val="single" w:sz="4" w:space="0" w:color="auto"/>
                    <w:right w:val="nil"/>
                  </w:tcBorders>
                  <w:shd w:val="clear" w:color="auto" w:fill="auto"/>
                  <w:vAlign w:val="center"/>
                </w:tcPr>
                <w:p w:rsidR="005C75BB" w:rsidRPr="003041FD" w:rsidRDefault="005C75BB" w:rsidP="005C75BB">
                  <w:pP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No Universitario</w:t>
                  </w:r>
                </w:p>
              </w:tc>
              <w:tc>
                <w:tcPr>
                  <w:tcW w:w="1181" w:type="dxa"/>
                  <w:vMerge/>
                  <w:tcBorders>
                    <w:top w:val="single" w:sz="4" w:space="0" w:color="auto"/>
                    <w:left w:val="nil"/>
                    <w:bottom w:val="single" w:sz="4" w:space="0" w:color="000000"/>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r>
            <w:tr w:rsidR="005C75BB" w:rsidRPr="003041FD" w:rsidTr="005C75BB">
              <w:trPr>
                <w:trHeight w:val="198"/>
                <w:jc w:val="center"/>
              </w:trPr>
              <w:tc>
                <w:tcPr>
                  <w:tcW w:w="1193" w:type="dxa"/>
                  <w:vMerge w:val="restart"/>
                  <w:tcBorders>
                    <w:top w:val="nil"/>
                    <w:left w:val="nil"/>
                    <w:bottom w:val="nil"/>
                    <w:right w:val="nil"/>
                  </w:tcBorders>
                  <w:shd w:val="clear" w:color="auto" w:fill="auto"/>
                  <w:vAlign w:val="center"/>
                  <w:hideMark/>
                </w:tcPr>
                <w:p w:rsidR="005C75BB" w:rsidRPr="003041FD" w:rsidRDefault="005C75BB" w:rsidP="00654171">
                  <w:pPr>
                    <w:jc w:val="left"/>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Universitario</w:t>
                  </w:r>
                </w:p>
              </w:tc>
              <w:tc>
                <w:tcPr>
                  <w:tcW w:w="1208" w:type="dxa"/>
                  <w:tcBorders>
                    <w:top w:val="nil"/>
                    <w:left w:val="nil"/>
                    <w:bottom w:val="nil"/>
                    <w:right w:val="nil"/>
                  </w:tcBorders>
                  <w:shd w:val="clear" w:color="auto" w:fill="auto"/>
                  <w:vAlign w:val="center"/>
                  <w:hideMark/>
                </w:tcPr>
                <w:p w:rsidR="005C75BB" w:rsidRPr="003041FD" w:rsidRDefault="005C75BB" w:rsidP="00654171">
                  <w:pPr>
                    <w:jc w:val="left"/>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Universitario</w:t>
                  </w:r>
                </w:p>
              </w:tc>
              <w:tc>
                <w:tcPr>
                  <w:tcW w:w="1801" w:type="dxa"/>
                  <w:tcBorders>
                    <w:top w:val="nil"/>
                    <w:left w:val="nil"/>
                    <w:bottom w:val="nil"/>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4318</w:t>
                  </w:r>
                </w:p>
              </w:tc>
              <w:tc>
                <w:tcPr>
                  <w:tcW w:w="1654" w:type="dxa"/>
                  <w:tcBorders>
                    <w:top w:val="nil"/>
                    <w:left w:val="nil"/>
                    <w:bottom w:val="nil"/>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12</w:t>
                  </w:r>
                </w:p>
              </w:tc>
              <w:tc>
                <w:tcPr>
                  <w:tcW w:w="1181" w:type="dxa"/>
                  <w:tcBorders>
                    <w:top w:val="nil"/>
                    <w:left w:val="nil"/>
                    <w:bottom w:val="nil"/>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99.72%</w:t>
                  </w:r>
                </w:p>
              </w:tc>
            </w:tr>
            <w:tr w:rsidR="005C75BB" w:rsidRPr="003041FD" w:rsidTr="005C75BB">
              <w:trPr>
                <w:trHeight w:val="277"/>
                <w:jc w:val="center"/>
              </w:trPr>
              <w:tc>
                <w:tcPr>
                  <w:tcW w:w="1193" w:type="dxa"/>
                  <w:vMerge/>
                  <w:tcBorders>
                    <w:top w:val="nil"/>
                    <w:left w:val="nil"/>
                    <w:bottom w:val="nil"/>
                    <w:right w:val="nil"/>
                  </w:tcBorders>
                  <w:vAlign w:val="center"/>
                  <w:hideMark/>
                </w:tcPr>
                <w:p w:rsidR="005C75BB" w:rsidRPr="003041FD" w:rsidRDefault="005C75BB" w:rsidP="00654171">
                  <w:pPr>
                    <w:jc w:val="left"/>
                    <w:rPr>
                      <w:rFonts w:ascii="Arial" w:eastAsia="Times New Roman" w:hAnsi="Arial" w:cs="Arial"/>
                      <w:b/>
                      <w:bCs/>
                      <w:color w:val="000000"/>
                      <w:sz w:val="16"/>
                      <w:szCs w:val="16"/>
                      <w:lang w:eastAsia="es-EC"/>
                    </w:rPr>
                  </w:pPr>
                </w:p>
              </w:tc>
              <w:tc>
                <w:tcPr>
                  <w:tcW w:w="1208" w:type="dxa"/>
                  <w:tcBorders>
                    <w:top w:val="nil"/>
                    <w:left w:val="nil"/>
                    <w:bottom w:val="nil"/>
                    <w:right w:val="nil"/>
                  </w:tcBorders>
                  <w:shd w:val="clear" w:color="auto" w:fill="auto"/>
                  <w:vAlign w:val="center"/>
                  <w:hideMark/>
                </w:tcPr>
                <w:p w:rsidR="005C75BB" w:rsidRPr="003041FD" w:rsidRDefault="005C75BB" w:rsidP="00654171">
                  <w:pPr>
                    <w:jc w:val="left"/>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No Universitarios</w:t>
                  </w:r>
                </w:p>
              </w:tc>
              <w:tc>
                <w:tcPr>
                  <w:tcW w:w="1801" w:type="dxa"/>
                  <w:tcBorders>
                    <w:top w:val="nil"/>
                    <w:left w:val="nil"/>
                    <w:bottom w:val="nil"/>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1720</w:t>
                  </w:r>
                </w:p>
              </w:tc>
              <w:tc>
                <w:tcPr>
                  <w:tcW w:w="1654" w:type="dxa"/>
                  <w:tcBorders>
                    <w:top w:val="nil"/>
                    <w:left w:val="nil"/>
                    <w:bottom w:val="nil"/>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16</w:t>
                  </w:r>
                </w:p>
              </w:tc>
              <w:tc>
                <w:tcPr>
                  <w:tcW w:w="1181" w:type="dxa"/>
                  <w:tcBorders>
                    <w:top w:val="nil"/>
                    <w:left w:val="nil"/>
                    <w:bottom w:val="nil"/>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0.92%</w:t>
                  </w:r>
                </w:p>
              </w:tc>
            </w:tr>
            <w:tr w:rsidR="005C75BB" w:rsidRPr="003041FD" w:rsidTr="005C75BB">
              <w:trPr>
                <w:trHeight w:val="198"/>
                <w:jc w:val="center"/>
              </w:trPr>
              <w:tc>
                <w:tcPr>
                  <w:tcW w:w="2401" w:type="dxa"/>
                  <w:gridSpan w:val="2"/>
                  <w:tcBorders>
                    <w:top w:val="nil"/>
                    <w:left w:val="nil"/>
                    <w:bottom w:val="single" w:sz="4" w:space="0" w:color="auto"/>
                    <w:right w:val="nil"/>
                  </w:tcBorders>
                  <w:shd w:val="clear" w:color="auto" w:fill="auto"/>
                  <w:vAlign w:val="center"/>
                  <w:hideMark/>
                </w:tcPr>
                <w:p w:rsidR="005C75BB" w:rsidRPr="003041FD" w:rsidRDefault="005C75BB" w:rsidP="00654171">
                  <w:pPr>
                    <w:jc w:val="left"/>
                    <w:rPr>
                      <w:rFonts w:ascii="Arial" w:eastAsia="Times New Roman" w:hAnsi="Arial" w:cs="Arial"/>
                      <w:b/>
                      <w:bCs/>
                      <w:i/>
                      <w:iCs/>
                      <w:color w:val="000000"/>
                      <w:sz w:val="16"/>
                      <w:szCs w:val="16"/>
                      <w:lang w:eastAsia="es-EC"/>
                    </w:rPr>
                  </w:pPr>
                  <w:r w:rsidRPr="003041FD">
                    <w:rPr>
                      <w:rFonts w:ascii="Arial" w:eastAsia="Times New Roman" w:hAnsi="Arial" w:cs="Arial"/>
                      <w:b/>
                      <w:bCs/>
                      <w:i/>
                      <w:iCs/>
                      <w:color w:val="000000"/>
                      <w:sz w:val="16"/>
                      <w:szCs w:val="16"/>
                      <w:lang w:eastAsia="es-EC"/>
                    </w:rPr>
                    <w:t>Porcentaje Total</w:t>
                  </w:r>
                </w:p>
              </w:tc>
              <w:tc>
                <w:tcPr>
                  <w:tcW w:w="1801" w:type="dxa"/>
                  <w:tcBorders>
                    <w:top w:val="nil"/>
                    <w:left w:val="nil"/>
                    <w:bottom w:val="single" w:sz="4" w:space="0" w:color="auto"/>
                    <w:right w:val="nil"/>
                  </w:tcBorders>
                  <w:shd w:val="clear" w:color="auto" w:fill="auto"/>
                  <w:vAlign w:val="center"/>
                </w:tcPr>
                <w:p w:rsidR="005C75BB" w:rsidRPr="003041FD" w:rsidRDefault="005C75BB" w:rsidP="005C75BB">
                  <w:pPr>
                    <w:rPr>
                      <w:rFonts w:ascii="Arial" w:eastAsia="Times New Roman" w:hAnsi="Arial" w:cs="Arial"/>
                      <w:color w:val="000000"/>
                      <w:sz w:val="16"/>
                      <w:szCs w:val="16"/>
                      <w:lang w:eastAsia="es-EC"/>
                    </w:rPr>
                  </w:pPr>
                </w:p>
              </w:tc>
              <w:tc>
                <w:tcPr>
                  <w:tcW w:w="1654" w:type="dxa"/>
                  <w:tcBorders>
                    <w:top w:val="nil"/>
                    <w:left w:val="nil"/>
                    <w:bottom w:val="single" w:sz="4" w:space="0" w:color="auto"/>
                    <w:right w:val="nil"/>
                  </w:tcBorders>
                  <w:shd w:val="clear" w:color="auto" w:fill="auto"/>
                  <w:vAlign w:val="center"/>
                </w:tcPr>
                <w:p w:rsidR="005C75BB" w:rsidRDefault="005C75BB" w:rsidP="005C75BB">
                  <w:pPr>
                    <w:rPr>
                      <w:rFonts w:ascii="Arial" w:hAnsi="Arial" w:cs="Arial"/>
                      <w:color w:val="000000"/>
                      <w:sz w:val="16"/>
                      <w:szCs w:val="16"/>
                    </w:rPr>
                  </w:pPr>
                </w:p>
              </w:tc>
              <w:tc>
                <w:tcPr>
                  <w:tcW w:w="1181" w:type="dxa"/>
                  <w:tcBorders>
                    <w:top w:val="nil"/>
                    <w:left w:val="nil"/>
                    <w:bottom w:val="single" w:sz="4" w:space="0" w:color="auto"/>
                    <w:right w:val="nil"/>
                  </w:tcBorders>
                  <w:shd w:val="clear" w:color="auto" w:fill="auto"/>
                  <w:vAlign w:val="center"/>
                </w:tcPr>
                <w:p w:rsidR="005C75BB" w:rsidRPr="009522F6" w:rsidRDefault="005C75BB" w:rsidP="005C75BB">
                  <w:pPr>
                    <w:rPr>
                      <w:rFonts w:ascii="Arial" w:hAnsi="Arial" w:cs="Arial"/>
                      <w:b/>
                      <w:i/>
                      <w:color w:val="000000"/>
                      <w:sz w:val="16"/>
                      <w:szCs w:val="16"/>
                    </w:rPr>
                  </w:pPr>
                  <w:r>
                    <w:rPr>
                      <w:rFonts w:ascii="Arial" w:hAnsi="Arial" w:cs="Arial"/>
                      <w:b/>
                      <w:i/>
                      <w:color w:val="000000"/>
                      <w:sz w:val="16"/>
                      <w:szCs w:val="16"/>
                    </w:rPr>
                    <w:t>71.45%</w:t>
                  </w:r>
                </w:p>
              </w:tc>
            </w:tr>
          </w:tbl>
          <w:p w:rsidR="005C75BB" w:rsidRPr="00607324" w:rsidRDefault="005C75BB" w:rsidP="005C75BB">
            <w:pPr>
              <w:rPr>
                <w:rFonts w:ascii="Arial" w:hAnsi="Arial" w:cs="Arial"/>
                <w:sz w:val="24"/>
                <w:szCs w:val="24"/>
              </w:rPr>
            </w:pPr>
          </w:p>
        </w:tc>
      </w:tr>
    </w:tbl>
    <w:p w:rsidR="005C75BB" w:rsidRPr="007E5BEA" w:rsidRDefault="005C75BB" w:rsidP="007E5BEA">
      <w:pPr>
        <w:pStyle w:val="Prrafodelista"/>
        <w:spacing w:line="276" w:lineRule="auto"/>
        <w:ind w:left="851"/>
        <w:jc w:val="both"/>
        <w:rPr>
          <w:rFonts w:ascii="Arial" w:hAnsi="Arial" w:cs="Arial"/>
          <w:sz w:val="17"/>
          <w:szCs w:val="17"/>
        </w:rPr>
      </w:pPr>
    </w:p>
    <w:p w:rsidR="005C75BB" w:rsidRPr="007E5BEA" w:rsidRDefault="005C75BB" w:rsidP="007E5BEA">
      <w:pPr>
        <w:pStyle w:val="Prrafodelista"/>
        <w:spacing w:line="276" w:lineRule="auto"/>
        <w:ind w:left="851"/>
        <w:jc w:val="both"/>
        <w:rPr>
          <w:rFonts w:ascii="Arial" w:hAnsi="Arial" w:cs="Arial"/>
          <w:sz w:val="17"/>
          <w:szCs w:val="17"/>
        </w:rPr>
      </w:pPr>
      <w:r w:rsidRPr="007E5BEA">
        <w:rPr>
          <w:rFonts w:ascii="Arial" w:hAnsi="Arial" w:cs="Arial"/>
          <w:b/>
          <w:i/>
          <w:sz w:val="17"/>
          <w:szCs w:val="17"/>
        </w:rPr>
        <w:t>Fuente:</w:t>
      </w:r>
      <w:r w:rsidRPr="007E5BEA">
        <w:rPr>
          <w:rFonts w:ascii="Arial" w:hAnsi="Arial" w:cs="Arial"/>
          <w:sz w:val="17"/>
          <w:szCs w:val="17"/>
        </w:rPr>
        <w:t xml:space="preserve"> </w:t>
      </w:r>
      <w:r w:rsidRPr="007E5BEA">
        <w:rPr>
          <w:rFonts w:ascii="Arial" w:hAnsi="Arial" w:cs="Arial"/>
          <w:b/>
          <w:sz w:val="17"/>
          <w:szCs w:val="17"/>
        </w:rPr>
        <w:t xml:space="preserve">INEC </w:t>
      </w:r>
      <w:r w:rsidRPr="007E5BEA">
        <w:rPr>
          <w:rFonts w:ascii="Arial" w:hAnsi="Arial" w:cs="Arial"/>
          <w:sz w:val="17"/>
          <w:szCs w:val="17"/>
        </w:rPr>
        <w:t>(2010), Base de Datos del VII Censo de Población y VI de Vivienda.</w:t>
      </w:r>
    </w:p>
    <w:p w:rsidR="005C75BB" w:rsidRPr="007E5BEA" w:rsidRDefault="005C75BB" w:rsidP="007E5BEA">
      <w:pPr>
        <w:pStyle w:val="Prrafodelista"/>
        <w:spacing w:line="276" w:lineRule="auto"/>
        <w:ind w:left="851"/>
        <w:jc w:val="both"/>
        <w:rPr>
          <w:rFonts w:ascii="Arial" w:hAnsi="Arial" w:cs="Arial"/>
          <w:sz w:val="17"/>
          <w:szCs w:val="17"/>
        </w:rPr>
      </w:pPr>
      <w:r w:rsidRPr="007E5BEA">
        <w:rPr>
          <w:rFonts w:ascii="Arial" w:hAnsi="Arial" w:cs="Arial"/>
          <w:b/>
          <w:i/>
          <w:sz w:val="17"/>
          <w:szCs w:val="17"/>
        </w:rPr>
        <w:t>Elaborado por:</w:t>
      </w:r>
      <w:r w:rsidRPr="007E5BEA">
        <w:rPr>
          <w:rFonts w:ascii="Arial" w:hAnsi="Arial" w:cs="Arial"/>
          <w:sz w:val="17"/>
          <w:szCs w:val="17"/>
        </w:rPr>
        <w:t xml:space="preserve"> Katherine Loor Valeriano</w:t>
      </w:r>
    </w:p>
    <w:p w:rsidR="007E5BEA" w:rsidRPr="007E5BEA" w:rsidRDefault="007E5BEA" w:rsidP="007E5BEA">
      <w:pPr>
        <w:pStyle w:val="Prrafodelista"/>
        <w:spacing w:line="480" w:lineRule="auto"/>
        <w:ind w:left="567"/>
        <w:jc w:val="both"/>
        <w:rPr>
          <w:rFonts w:ascii="Arial" w:hAnsi="Arial" w:cs="Arial"/>
        </w:rPr>
      </w:pPr>
    </w:p>
    <w:p w:rsidR="005C75BB" w:rsidRDefault="005C75BB" w:rsidP="007E5BEA">
      <w:pPr>
        <w:pStyle w:val="62"/>
        <w:ind w:left="1560"/>
      </w:pPr>
      <w:bookmarkStart w:id="1136" w:name="_Toc339275983"/>
      <w:bookmarkStart w:id="1137" w:name="_Toc341040761"/>
      <w:r>
        <w:t>Prueba de la razón de verosimilitud</w:t>
      </w:r>
      <w:bookmarkEnd w:id="1136"/>
      <w:bookmarkEnd w:id="1137"/>
    </w:p>
    <w:p w:rsidR="005C75BB" w:rsidRPr="007E5BEA" w:rsidRDefault="005C75BB" w:rsidP="007E5BEA">
      <w:pPr>
        <w:spacing w:line="480" w:lineRule="auto"/>
        <w:ind w:left="851"/>
        <w:jc w:val="both"/>
        <w:rPr>
          <w:rFonts w:ascii="Arial" w:hAnsi="Arial" w:cs="Arial"/>
        </w:rPr>
      </w:pPr>
      <w:bookmarkStart w:id="1138" w:name="_Toc339853240"/>
      <w:bookmarkStart w:id="1139" w:name="_Toc340232010"/>
      <w:r w:rsidRPr="007E5BEA">
        <w:rPr>
          <w:rFonts w:ascii="Arial" w:hAnsi="Arial" w:cs="Arial"/>
        </w:rPr>
        <w:t xml:space="preserve">Puesto que en el caso anterior se demostró que las variables género, zona de residencia y estado conyugal no influían significativamente en la variable de respuesta. Para ellos vamos a construir seis modelos distintos en los cuales se eliminará una de las variables; y, por medio del método de la razón de verosimilitud vamos a probar la hipótesis </w:t>
      </w:r>
      <w:r w:rsidRPr="007E5BEA">
        <w:rPr>
          <w:rFonts w:ascii="Arial" w:hAnsi="Arial" w:cs="Arial"/>
          <w:b/>
        </w:rPr>
        <w:t>H</w:t>
      </w:r>
      <w:r w:rsidRPr="007E5BEA">
        <w:rPr>
          <w:rFonts w:ascii="Arial" w:hAnsi="Arial" w:cs="Arial"/>
          <w:b/>
          <w:vertAlign w:val="subscript"/>
        </w:rPr>
        <w:t>0</w:t>
      </w:r>
      <w:r w:rsidRPr="007E5BEA">
        <w:rPr>
          <w:rFonts w:ascii="Arial" w:hAnsi="Arial" w:cs="Arial"/>
        </w:rPr>
        <w:t xml:space="preserve">: </w:t>
      </w:r>
      <w:r w:rsidRPr="007E5BEA">
        <w:rPr>
          <w:rFonts w:ascii="Arial" w:hAnsi="Arial" w:cs="Arial"/>
        </w:rPr>
        <w:sym w:font="Symbol" w:char="F062"/>
      </w:r>
      <w:r w:rsidRPr="007E5BEA">
        <w:rPr>
          <w:rFonts w:ascii="Arial" w:hAnsi="Arial" w:cs="Arial"/>
          <w:vertAlign w:val="subscript"/>
        </w:rPr>
        <w:t>i</w:t>
      </w:r>
      <w:r w:rsidRPr="007E5BEA">
        <w:rPr>
          <w:rFonts w:ascii="Arial" w:hAnsi="Arial" w:cs="Arial"/>
        </w:rPr>
        <w:t xml:space="preserve"> = 0 vs. </w:t>
      </w:r>
      <w:r w:rsidRPr="007E5BEA">
        <w:rPr>
          <w:rFonts w:ascii="Arial" w:hAnsi="Arial" w:cs="Arial"/>
          <w:b/>
        </w:rPr>
        <w:t>H</w:t>
      </w:r>
      <w:r w:rsidRPr="007E5BEA">
        <w:rPr>
          <w:rFonts w:ascii="Arial" w:hAnsi="Arial" w:cs="Arial"/>
          <w:b/>
          <w:vertAlign w:val="subscript"/>
        </w:rPr>
        <w:t>1</w:t>
      </w:r>
      <w:r w:rsidRPr="007E5BEA">
        <w:rPr>
          <w:rFonts w:ascii="Arial" w:hAnsi="Arial" w:cs="Arial"/>
        </w:rPr>
        <w:t xml:space="preserve">: </w:t>
      </w:r>
      <w:r w:rsidRPr="007E5BEA">
        <w:rPr>
          <w:rFonts w:ascii="Arial" w:hAnsi="Arial" w:cs="Arial"/>
        </w:rPr>
        <w:sym w:font="Symbol" w:char="F0D8"/>
      </w:r>
      <w:r w:rsidRPr="007E5BEA">
        <w:rPr>
          <w:rFonts w:ascii="Arial" w:hAnsi="Arial" w:cs="Arial"/>
        </w:rPr>
        <w:t>H</w:t>
      </w:r>
      <w:r w:rsidRPr="007E5BEA">
        <w:rPr>
          <w:rFonts w:ascii="Arial" w:hAnsi="Arial" w:cs="Arial"/>
          <w:vertAlign w:val="subscript"/>
        </w:rPr>
        <w:t>0</w:t>
      </w:r>
      <w:r w:rsidRPr="007E5BEA">
        <w:rPr>
          <w:rFonts w:ascii="Arial" w:hAnsi="Arial" w:cs="Arial"/>
        </w:rPr>
        <w:t>; siendo el estadístico de prueba igual a:</w:t>
      </w:r>
      <w:bookmarkEnd w:id="1138"/>
      <w:bookmarkEnd w:id="1139"/>
    </w:p>
    <w:p w:rsidR="005C75BB" w:rsidRPr="007E5BEA" w:rsidRDefault="005C75BB" w:rsidP="007E5BEA">
      <w:pPr>
        <w:spacing w:line="480" w:lineRule="auto"/>
        <w:ind w:left="851"/>
        <w:rPr>
          <w:rFonts w:ascii="Arial" w:hAnsi="Arial" w:cs="Arial"/>
          <w:highlight w:val="yellow"/>
        </w:rPr>
      </w:pPr>
      <w:bookmarkStart w:id="1140" w:name="_Toc339853241"/>
      <w:bookmarkStart w:id="1141" w:name="_Toc340232011"/>
      <w:r w:rsidRPr="007E5BEA">
        <w:rPr>
          <w:rFonts w:ascii="Arial" w:hAnsi="Arial" w:cs="Arial"/>
        </w:rPr>
        <w:t>G = -2 [log</w:t>
      </w:r>
      <w:r w:rsidRPr="007E5BEA">
        <w:rPr>
          <w:rFonts w:ascii="Arial" w:hAnsi="Arial" w:cs="Arial"/>
          <w:vertAlign w:val="subscript"/>
        </w:rPr>
        <w:t>e</w:t>
      </w:r>
      <w:r w:rsidRPr="007E5BEA">
        <w:rPr>
          <w:rFonts w:ascii="Arial" w:hAnsi="Arial" w:cs="Arial"/>
        </w:rPr>
        <w:t xml:space="preserve">(Verosimitud </w:t>
      </w:r>
      <w:r w:rsidRPr="007E5BEA">
        <w:rPr>
          <w:rFonts w:ascii="Arial" w:hAnsi="Arial" w:cs="Arial"/>
          <w:vertAlign w:val="subscript"/>
        </w:rPr>
        <w:t>modelo reducido</w:t>
      </w:r>
      <w:r w:rsidRPr="007E5BEA">
        <w:rPr>
          <w:rFonts w:ascii="Arial" w:hAnsi="Arial" w:cs="Arial"/>
        </w:rPr>
        <w:t>) - log</w:t>
      </w:r>
      <w:r w:rsidRPr="007E5BEA">
        <w:rPr>
          <w:rFonts w:ascii="Arial" w:hAnsi="Arial" w:cs="Arial"/>
          <w:vertAlign w:val="subscript"/>
        </w:rPr>
        <w:t>e</w:t>
      </w:r>
      <w:r w:rsidRPr="007E5BEA">
        <w:rPr>
          <w:rFonts w:ascii="Arial" w:hAnsi="Arial" w:cs="Arial"/>
        </w:rPr>
        <w:t xml:space="preserve">(Verosimilitud </w:t>
      </w:r>
      <w:r w:rsidRPr="007E5BEA">
        <w:rPr>
          <w:rFonts w:ascii="Arial" w:hAnsi="Arial" w:cs="Arial"/>
          <w:vertAlign w:val="subscript"/>
        </w:rPr>
        <w:t>modelo completo</w:t>
      </w:r>
      <w:r w:rsidRPr="007E5BEA">
        <w:rPr>
          <w:rFonts w:ascii="Arial" w:hAnsi="Arial" w:cs="Arial"/>
        </w:rPr>
        <w:t>)]</w:t>
      </w:r>
      <w:bookmarkEnd w:id="1140"/>
      <w:bookmarkEnd w:id="1141"/>
    </w:p>
    <w:p w:rsidR="005C75BB" w:rsidRPr="007E5BEA" w:rsidRDefault="005C75BB" w:rsidP="007E5BEA">
      <w:pPr>
        <w:spacing w:line="480" w:lineRule="auto"/>
        <w:ind w:left="851"/>
        <w:jc w:val="both"/>
        <w:rPr>
          <w:rFonts w:ascii="Arial" w:hAnsi="Arial" w:cs="Arial"/>
          <w:sz w:val="10"/>
          <w:szCs w:val="10"/>
          <w:highlight w:val="yellow"/>
        </w:rPr>
      </w:pPr>
    </w:p>
    <w:p w:rsidR="00497E32" w:rsidRPr="007E5BEA" w:rsidRDefault="005C75BB" w:rsidP="007E5BEA">
      <w:pPr>
        <w:spacing w:line="480" w:lineRule="auto"/>
        <w:ind w:left="851"/>
        <w:jc w:val="both"/>
        <w:rPr>
          <w:rFonts w:ascii="Arial" w:hAnsi="Arial" w:cs="Arial"/>
        </w:rPr>
      </w:pPr>
      <w:bookmarkStart w:id="1142" w:name="_Toc339853242"/>
      <w:bookmarkStart w:id="1143" w:name="_Toc340232012"/>
      <w:r w:rsidRPr="007E5BEA">
        <w:rPr>
          <w:rFonts w:ascii="Arial" w:hAnsi="Arial" w:cs="Arial"/>
        </w:rPr>
        <w:t>Donde G sigue una distribución Ji-Cuadrado con un grados de libertad, siendo los grados de libertad igual al número de variables eliminadas del modelo; por tanto, el valor p será igual a la P(</w:t>
      </w:r>
      <w:r w:rsidRPr="007E5BEA">
        <w:rPr>
          <w:rFonts w:ascii="Arial" w:hAnsi="Arial" w:cs="Arial"/>
        </w:rPr>
        <w:sym w:font="Symbol" w:char="F063"/>
      </w:r>
      <w:r w:rsidRPr="007E5BEA">
        <w:rPr>
          <w:rFonts w:ascii="Arial" w:hAnsi="Arial" w:cs="Arial"/>
          <w:vertAlign w:val="superscript"/>
        </w:rPr>
        <w:t>2</w:t>
      </w:r>
      <w:r w:rsidRPr="007E5BEA">
        <w:rPr>
          <w:rFonts w:ascii="Arial" w:hAnsi="Arial" w:cs="Arial"/>
        </w:rPr>
        <w:t>(1) &gt; G).</w:t>
      </w:r>
      <w:bookmarkEnd w:id="1142"/>
      <w:bookmarkEnd w:id="1143"/>
      <w:r w:rsidRPr="007E5BEA">
        <w:rPr>
          <w:rFonts w:ascii="Arial" w:hAnsi="Arial" w:cs="Arial"/>
        </w:rPr>
        <w:t xml:space="preserve"> </w:t>
      </w:r>
    </w:p>
    <w:p w:rsidR="00497E32" w:rsidRPr="007E5BEA" w:rsidRDefault="00497E32" w:rsidP="007E5BEA">
      <w:pPr>
        <w:spacing w:line="480" w:lineRule="auto"/>
        <w:ind w:left="851"/>
        <w:jc w:val="both"/>
        <w:rPr>
          <w:rFonts w:ascii="Arial" w:hAnsi="Arial" w:cs="Arial"/>
        </w:rPr>
      </w:pPr>
    </w:p>
    <w:p w:rsidR="005C75BB" w:rsidRPr="007E5BEA" w:rsidRDefault="005C75BB" w:rsidP="007E5BEA">
      <w:pPr>
        <w:spacing w:line="480" w:lineRule="auto"/>
        <w:ind w:left="851"/>
        <w:jc w:val="both"/>
        <w:rPr>
          <w:rFonts w:ascii="Arial" w:hAnsi="Arial" w:cs="Arial"/>
        </w:rPr>
      </w:pPr>
      <w:bookmarkStart w:id="1144" w:name="_Toc339853243"/>
      <w:bookmarkStart w:id="1145" w:name="_Toc340232013"/>
      <w:r w:rsidRPr="007E5BEA">
        <w:rPr>
          <w:rFonts w:ascii="Arial" w:hAnsi="Arial" w:cs="Arial"/>
        </w:rPr>
        <w:t xml:space="preserve">En la </w:t>
      </w:r>
      <w:r w:rsidRPr="007E5BEA">
        <w:rPr>
          <w:rFonts w:ascii="Arial" w:hAnsi="Arial" w:cs="Arial"/>
          <w:i/>
        </w:rPr>
        <w:t>Tabla 6.10</w:t>
      </w:r>
      <w:r w:rsidRPr="007E5BEA">
        <w:rPr>
          <w:rFonts w:ascii="Arial" w:hAnsi="Arial" w:cs="Arial"/>
        </w:rPr>
        <w:t>, se muestran los resultados, en donde tenemos que para los modelos en los cuales no se incluía el área de residencia, el género o el estado conyugal el valor p resultante es mayor que 0.10, por tanto existe evidencia estadística para no rechazar la hipótesis nula de que beta es igual a cero concluyendo finalmente que estos factores no son significativos en el modelo</w:t>
      </w:r>
      <w:r w:rsidR="00506BFD">
        <w:rPr>
          <w:rFonts w:ascii="Arial" w:hAnsi="Arial" w:cs="Arial"/>
        </w:rPr>
        <w:t>;</w:t>
      </w:r>
      <w:r w:rsidRPr="007E5BEA">
        <w:rPr>
          <w:rFonts w:ascii="Arial" w:hAnsi="Arial" w:cs="Arial"/>
        </w:rPr>
        <w:t xml:space="preserve"> </w:t>
      </w:r>
      <w:r w:rsidR="00506BFD">
        <w:rPr>
          <w:rFonts w:ascii="Arial" w:hAnsi="Arial" w:cs="Arial"/>
        </w:rPr>
        <w:t>m</w:t>
      </w:r>
      <w:r w:rsidRPr="007E5BEA">
        <w:rPr>
          <w:rFonts w:ascii="Arial" w:hAnsi="Arial" w:cs="Arial"/>
        </w:rPr>
        <w:t>ientras que, para el resto de variables el valor p resultante es mucho menor que 0.05, por tanto existe evidencia estadística para rechazar la hipótesis nula de que beta es igual a cero.</w:t>
      </w:r>
      <w:bookmarkEnd w:id="1144"/>
      <w:bookmarkEnd w:id="1145"/>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5C75BB" w:rsidRPr="003559D6" w:rsidTr="007E5BEA">
        <w:trPr>
          <w:trHeight w:val="2835"/>
          <w:jc w:val="right"/>
        </w:trPr>
        <w:tc>
          <w:tcPr>
            <w:tcW w:w="7497" w:type="dxa"/>
          </w:tcPr>
          <w:p w:rsidR="005C75BB" w:rsidRPr="00434327" w:rsidRDefault="005C75BB" w:rsidP="005C75BB">
            <w:pPr>
              <w:rPr>
                <w:rFonts w:ascii="Arial" w:hAnsi="Arial" w:cs="Arial"/>
                <w:sz w:val="16"/>
                <w:szCs w:val="16"/>
              </w:rPr>
            </w:pPr>
          </w:p>
          <w:p w:rsidR="00497E32" w:rsidRPr="00497E32" w:rsidRDefault="00497E32" w:rsidP="00497E32">
            <w:pPr>
              <w:pStyle w:val="Epgrafe"/>
              <w:rPr>
                <w:rFonts w:ascii="Arial" w:hAnsi="Arial" w:cs="Arial"/>
                <w:bCs w:val="0"/>
                <w:color w:val="auto"/>
                <w:sz w:val="16"/>
                <w:szCs w:val="16"/>
              </w:rPr>
            </w:pPr>
            <w:bookmarkStart w:id="1146" w:name="_Toc341042356"/>
            <w:r>
              <w:rPr>
                <w:rFonts w:ascii="Arial" w:hAnsi="Arial" w:cs="Arial"/>
                <w:bCs w:val="0"/>
                <w:color w:val="auto"/>
                <w:sz w:val="16"/>
                <w:szCs w:val="16"/>
              </w:rPr>
              <w:t>Tabla 6.</w:t>
            </w:r>
            <w:r w:rsidR="00990535" w:rsidRPr="00497E32">
              <w:rPr>
                <w:rFonts w:ascii="Arial" w:hAnsi="Arial" w:cs="Arial"/>
                <w:bCs w:val="0"/>
                <w:color w:val="auto"/>
                <w:sz w:val="16"/>
                <w:szCs w:val="16"/>
              </w:rPr>
              <w:fldChar w:fldCharType="begin"/>
            </w:r>
            <w:r w:rsidRPr="00497E32">
              <w:rPr>
                <w:rFonts w:ascii="Arial" w:hAnsi="Arial" w:cs="Arial"/>
                <w:bCs w:val="0"/>
                <w:color w:val="auto"/>
                <w:sz w:val="16"/>
                <w:szCs w:val="16"/>
              </w:rPr>
              <w:instrText xml:space="preserve"> SEQ Tabla_6. \* ARABIC </w:instrText>
            </w:r>
            <w:r w:rsidR="00990535" w:rsidRPr="00497E32">
              <w:rPr>
                <w:rFonts w:ascii="Arial" w:hAnsi="Arial" w:cs="Arial"/>
                <w:bCs w:val="0"/>
                <w:color w:val="auto"/>
                <w:sz w:val="16"/>
                <w:szCs w:val="16"/>
              </w:rPr>
              <w:fldChar w:fldCharType="separate"/>
            </w:r>
            <w:r w:rsidR="00A242E0">
              <w:rPr>
                <w:rFonts w:ascii="Arial" w:hAnsi="Arial" w:cs="Arial"/>
                <w:bCs w:val="0"/>
                <w:noProof/>
                <w:color w:val="auto"/>
                <w:sz w:val="16"/>
                <w:szCs w:val="16"/>
              </w:rPr>
              <w:t>10</w:t>
            </w:r>
            <w:bookmarkEnd w:id="1146"/>
            <w:r w:rsidR="00990535" w:rsidRPr="00497E32">
              <w:rPr>
                <w:rFonts w:ascii="Arial" w:hAnsi="Arial" w:cs="Arial"/>
                <w:bCs w:val="0"/>
                <w:color w:val="auto"/>
                <w:sz w:val="16"/>
                <w:szCs w:val="16"/>
              </w:rPr>
              <w:fldChar w:fldCharType="end"/>
            </w:r>
          </w:p>
          <w:p w:rsidR="005C75BB" w:rsidRDefault="007E5BEA" w:rsidP="005C75BB">
            <w:pPr>
              <w:rPr>
                <w:rFonts w:ascii="Arial" w:hAnsi="Arial" w:cs="Arial"/>
                <w:i/>
                <w:sz w:val="16"/>
                <w:szCs w:val="16"/>
              </w:rPr>
            </w:pPr>
            <w:r>
              <w:rPr>
                <w:rFonts w:ascii="Arial" w:hAnsi="Arial" w:cs="Arial"/>
                <w:b/>
                <w:i/>
                <w:sz w:val="16"/>
                <w:szCs w:val="16"/>
              </w:rPr>
              <w:t xml:space="preserve">Ecuador 2010: </w:t>
            </w:r>
            <w:r w:rsidR="005C75BB">
              <w:rPr>
                <w:rFonts w:ascii="Arial" w:hAnsi="Arial" w:cs="Arial"/>
                <w:i/>
                <w:sz w:val="16"/>
                <w:szCs w:val="16"/>
              </w:rPr>
              <w:t>Prueba de la razón de la verosimilitud</w:t>
            </w:r>
            <w:r>
              <w:rPr>
                <w:rFonts w:ascii="Arial" w:hAnsi="Arial" w:cs="Arial"/>
                <w:i/>
                <w:sz w:val="16"/>
                <w:szCs w:val="16"/>
              </w:rPr>
              <w:t xml:space="preserve"> (desvianza)</w:t>
            </w:r>
          </w:p>
          <w:p w:rsidR="005C75BB" w:rsidRPr="003D21E9" w:rsidRDefault="005C75BB" w:rsidP="005C75BB">
            <w:pPr>
              <w:rPr>
                <w:rFonts w:ascii="Arial" w:hAnsi="Arial" w:cs="Arial"/>
                <w:i/>
                <w:sz w:val="10"/>
                <w:szCs w:val="10"/>
              </w:rPr>
            </w:pPr>
          </w:p>
          <w:tbl>
            <w:tblPr>
              <w:tblW w:w="6628" w:type="dxa"/>
              <w:jc w:val="center"/>
              <w:tblCellMar>
                <w:left w:w="70" w:type="dxa"/>
                <w:right w:w="70" w:type="dxa"/>
              </w:tblCellMar>
              <w:tblLook w:val="04A0" w:firstRow="1" w:lastRow="0" w:firstColumn="1" w:lastColumn="0" w:noHBand="0" w:noVBand="1"/>
            </w:tblPr>
            <w:tblGrid>
              <w:gridCol w:w="2268"/>
              <w:gridCol w:w="1960"/>
              <w:gridCol w:w="1200"/>
              <w:gridCol w:w="1200"/>
            </w:tblGrid>
            <w:tr w:rsidR="005C75BB" w:rsidRPr="00BA37CC" w:rsidTr="005C75BB">
              <w:trPr>
                <w:trHeight w:val="227"/>
                <w:jc w:val="center"/>
              </w:trPr>
              <w:tc>
                <w:tcPr>
                  <w:tcW w:w="2268" w:type="dxa"/>
                  <w:tcBorders>
                    <w:top w:val="single" w:sz="4" w:space="0" w:color="auto"/>
                    <w:left w:val="nil"/>
                    <w:bottom w:val="single" w:sz="4" w:space="0" w:color="auto"/>
                    <w:right w:val="nil"/>
                  </w:tcBorders>
                  <w:shd w:val="clear" w:color="auto" w:fill="auto"/>
                  <w:noWrap/>
                  <w:vAlign w:val="center"/>
                  <w:hideMark/>
                </w:tcPr>
                <w:p w:rsidR="005C75BB" w:rsidRPr="00BA37CC" w:rsidRDefault="005C75BB" w:rsidP="005C75BB">
                  <w:pPr>
                    <w:rPr>
                      <w:rFonts w:ascii="Arial" w:eastAsia="Times New Roman" w:hAnsi="Arial" w:cs="Arial"/>
                      <w:b/>
                      <w:bCs/>
                      <w:color w:val="000000"/>
                      <w:sz w:val="16"/>
                      <w:szCs w:val="16"/>
                      <w:lang w:eastAsia="es-EC"/>
                    </w:rPr>
                  </w:pPr>
                  <w:r w:rsidRPr="00BA37CC">
                    <w:rPr>
                      <w:rFonts w:ascii="Arial" w:eastAsia="Times New Roman" w:hAnsi="Arial" w:cs="Arial"/>
                      <w:b/>
                      <w:bCs/>
                      <w:color w:val="000000"/>
                      <w:sz w:val="16"/>
                      <w:szCs w:val="16"/>
                      <w:lang w:eastAsia="es-EC"/>
                    </w:rPr>
                    <w:t>Modelo</w:t>
                  </w:r>
                </w:p>
              </w:tc>
              <w:tc>
                <w:tcPr>
                  <w:tcW w:w="1960" w:type="dxa"/>
                  <w:tcBorders>
                    <w:top w:val="single" w:sz="4" w:space="0" w:color="auto"/>
                    <w:left w:val="nil"/>
                    <w:bottom w:val="single" w:sz="4" w:space="0" w:color="auto"/>
                    <w:right w:val="nil"/>
                  </w:tcBorders>
                  <w:shd w:val="clear" w:color="auto" w:fill="auto"/>
                  <w:noWrap/>
                  <w:vAlign w:val="center"/>
                  <w:hideMark/>
                </w:tcPr>
                <w:p w:rsidR="005C75BB" w:rsidRPr="00BA37CC" w:rsidRDefault="005C75BB" w:rsidP="005C75BB">
                  <w:pP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w:t>
                  </w:r>
                  <w:r w:rsidRPr="00BA37CC">
                    <w:rPr>
                      <w:rFonts w:ascii="Arial" w:eastAsia="Times New Roman" w:hAnsi="Arial" w:cs="Arial"/>
                      <w:b/>
                      <w:bCs/>
                      <w:color w:val="000000"/>
                      <w:sz w:val="16"/>
                      <w:szCs w:val="16"/>
                      <w:lang w:eastAsia="es-EC"/>
                    </w:rPr>
                    <w:t>2LogVerosimilitud</w:t>
                  </w:r>
                </w:p>
              </w:tc>
              <w:tc>
                <w:tcPr>
                  <w:tcW w:w="1200" w:type="dxa"/>
                  <w:tcBorders>
                    <w:top w:val="single" w:sz="4" w:space="0" w:color="auto"/>
                    <w:left w:val="nil"/>
                    <w:bottom w:val="single" w:sz="4" w:space="0" w:color="auto"/>
                    <w:right w:val="nil"/>
                  </w:tcBorders>
                  <w:shd w:val="clear" w:color="auto" w:fill="auto"/>
                  <w:noWrap/>
                  <w:vAlign w:val="center"/>
                  <w:hideMark/>
                </w:tcPr>
                <w:p w:rsidR="005C75BB" w:rsidRPr="00BA37CC" w:rsidRDefault="005C75BB" w:rsidP="005C75BB">
                  <w:pPr>
                    <w:rPr>
                      <w:rFonts w:ascii="Arial" w:eastAsia="Times New Roman" w:hAnsi="Arial" w:cs="Arial"/>
                      <w:b/>
                      <w:bCs/>
                      <w:color w:val="000000"/>
                      <w:sz w:val="16"/>
                      <w:szCs w:val="16"/>
                      <w:lang w:eastAsia="es-EC"/>
                    </w:rPr>
                  </w:pPr>
                  <w:r w:rsidRPr="00BA37CC">
                    <w:rPr>
                      <w:rFonts w:ascii="Arial" w:eastAsia="Times New Roman" w:hAnsi="Arial" w:cs="Arial"/>
                      <w:b/>
                      <w:bCs/>
                      <w:color w:val="000000"/>
                      <w:sz w:val="16"/>
                      <w:szCs w:val="16"/>
                      <w:lang w:eastAsia="es-EC"/>
                    </w:rPr>
                    <w:t>G</w:t>
                  </w:r>
                </w:p>
              </w:tc>
              <w:tc>
                <w:tcPr>
                  <w:tcW w:w="1200" w:type="dxa"/>
                  <w:tcBorders>
                    <w:top w:val="single" w:sz="4" w:space="0" w:color="auto"/>
                    <w:left w:val="nil"/>
                    <w:bottom w:val="single" w:sz="4" w:space="0" w:color="auto"/>
                    <w:right w:val="nil"/>
                  </w:tcBorders>
                  <w:shd w:val="clear" w:color="auto" w:fill="auto"/>
                  <w:noWrap/>
                  <w:vAlign w:val="center"/>
                  <w:hideMark/>
                </w:tcPr>
                <w:p w:rsidR="005C75BB" w:rsidRPr="00BA37CC" w:rsidRDefault="005C75BB" w:rsidP="005C75BB">
                  <w:pPr>
                    <w:rPr>
                      <w:rFonts w:ascii="Arial" w:eastAsia="Times New Roman" w:hAnsi="Arial" w:cs="Arial"/>
                      <w:b/>
                      <w:bCs/>
                      <w:color w:val="000000"/>
                      <w:sz w:val="16"/>
                      <w:szCs w:val="16"/>
                      <w:lang w:eastAsia="es-EC"/>
                    </w:rPr>
                  </w:pPr>
                  <w:r w:rsidRPr="00BA37CC">
                    <w:rPr>
                      <w:rFonts w:ascii="Arial" w:eastAsia="Times New Roman" w:hAnsi="Arial" w:cs="Arial"/>
                      <w:b/>
                      <w:bCs/>
                      <w:color w:val="000000"/>
                      <w:sz w:val="16"/>
                      <w:szCs w:val="16"/>
                      <w:lang w:eastAsia="es-EC"/>
                    </w:rPr>
                    <w:t>Valor p</w:t>
                  </w:r>
                </w:p>
              </w:tc>
            </w:tr>
            <w:tr w:rsidR="005C75BB" w:rsidRPr="00BA37CC" w:rsidTr="005C75BB">
              <w:trPr>
                <w:trHeight w:val="227"/>
                <w:jc w:val="center"/>
              </w:trPr>
              <w:tc>
                <w:tcPr>
                  <w:tcW w:w="2268" w:type="dxa"/>
                  <w:tcBorders>
                    <w:top w:val="nil"/>
                    <w:left w:val="nil"/>
                    <w:bottom w:val="nil"/>
                    <w:right w:val="nil"/>
                  </w:tcBorders>
                  <w:shd w:val="clear" w:color="auto" w:fill="auto"/>
                  <w:noWrap/>
                  <w:vAlign w:val="center"/>
                </w:tcPr>
                <w:p w:rsidR="005C75BB" w:rsidRDefault="005C75BB" w:rsidP="00497E32">
                  <w:pPr>
                    <w:jc w:val="left"/>
                    <w:rPr>
                      <w:rFonts w:ascii="Arial" w:hAnsi="Arial" w:cs="Arial"/>
                      <w:color w:val="000000"/>
                      <w:sz w:val="16"/>
                      <w:szCs w:val="16"/>
                    </w:rPr>
                  </w:pPr>
                  <w:r>
                    <w:rPr>
                      <w:rFonts w:ascii="Arial" w:hAnsi="Arial" w:cs="Arial"/>
                      <w:color w:val="000000"/>
                      <w:sz w:val="16"/>
                      <w:szCs w:val="16"/>
                    </w:rPr>
                    <w:t>Modelo completo</w:t>
                  </w:r>
                </w:p>
              </w:tc>
              <w:tc>
                <w:tcPr>
                  <w:tcW w:w="1960" w:type="dxa"/>
                  <w:tcBorders>
                    <w:top w:val="nil"/>
                    <w:left w:val="nil"/>
                    <w:bottom w:val="nil"/>
                    <w:right w:val="nil"/>
                  </w:tcBorders>
                  <w:shd w:val="clear" w:color="auto" w:fill="auto"/>
                  <w:noWrap/>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6947.901</w:t>
                  </w:r>
                </w:p>
              </w:tc>
              <w:tc>
                <w:tcPr>
                  <w:tcW w:w="1200" w:type="dxa"/>
                  <w:tcBorders>
                    <w:top w:val="nil"/>
                    <w:left w:val="nil"/>
                    <w:bottom w:val="nil"/>
                    <w:right w:val="nil"/>
                  </w:tcBorders>
                  <w:shd w:val="clear" w:color="auto" w:fill="auto"/>
                  <w:noWrap/>
                  <w:vAlign w:val="center"/>
                </w:tcPr>
                <w:p w:rsidR="005C75BB" w:rsidRDefault="005C75BB" w:rsidP="005C75BB">
                  <w:pPr>
                    <w:rPr>
                      <w:rFonts w:ascii="Arial" w:hAnsi="Arial" w:cs="Arial"/>
                      <w:color w:val="000000"/>
                      <w:sz w:val="16"/>
                      <w:szCs w:val="16"/>
                    </w:rPr>
                  </w:pPr>
                </w:p>
              </w:tc>
              <w:tc>
                <w:tcPr>
                  <w:tcW w:w="1200" w:type="dxa"/>
                  <w:tcBorders>
                    <w:top w:val="nil"/>
                    <w:left w:val="nil"/>
                    <w:bottom w:val="nil"/>
                    <w:right w:val="nil"/>
                  </w:tcBorders>
                  <w:shd w:val="clear" w:color="auto" w:fill="auto"/>
                  <w:noWrap/>
                  <w:vAlign w:val="center"/>
                </w:tcPr>
                <w:p w:rsidR="005C75BB" w:rsidRDefault="005C75BB" w:rsidP="005C75BB">
                  <w:pPr>
                    <w:rPr>
                      <w:rFonts w:ascii="Arial" w:hAnsi="Arial" w:cs="Arial"/>
                      <w:color w:val="000000"/>
                      <w:sz w:val="16"/>
                      <w:szCs w:val="16"/>
                    </w:rPr>
                  </w:pPr>
                </w:p>
              </w:tc>
            </w:tr>
            <w:tr w:rsidR="005C75BB" w:rsidRPr="00BA37CC" w:rsidTr="005C75BB">
              <w:trPr>
                <w:trHeight w:val="227"/>
                <w:jc w:val="center"/>
              </w:trPr>
              <w:tc>
                <w:tcPr>
                  <w:tcW w:w="2268" w:type="dxa"/>
                  <w:tcBorders>
                    <w:top w:val="nil"/>
                    <w:left w:val="nil"/>
                    <w:bottom w:val="nil"/>
                    <w:right w:val="nil"/>
                  </w:tcBorders>
                  <w:shd w:val="clear" w:color="auto" w:fill="auto"/>
                  <w:noWrap/>
                  <w:vAlign w:val="center"/>
                </w:tcPr>
                <w:p w:rsidR="005C75BB" w:rsidRDefault="005C75BB" w:rsidP="00497E32">
                  <w:pPr>
                    <w:jc w:val="left"/>
                    <w:rPr>
                      <w:rFonts w:ascii="Arial" w:hAnsi="Arial" w:cs="Arial"/>
                      <w:color w:val="FF0000"/>
                      <w:sz w:val="16"/>
                      <w:szCs w:val="16"/>
                    </w:rPr>
                  </w:pPr>
                  <w:r>
                    <w:rPr>
                      <w:rFonts w:ascii="Arial" w:hAnsi="Arial" w:cs="Arial"/>
                      <w:color w:val="FF0000"/>
                      <w:sz w:val="16"/>
                      <w:szCs w:val="16"/>
                    </w:rPr>
                    <w:t>Modelo sin área de residencia</w:t>
                  </w:r>
                </w:p>
              </w:tc>
              <w:tc>
                <w:tcPr>
                  <w:tcW w:w="1960" w:type="dxa"/>
                  <w:tcBorders>
                    <w:top w:val="nil"/>
                    <w:left w:val="nil"/>
                    <w:bottom w:val="nil"/>
                    <w:right w:val="nil"/>
                  </w:tcBorders>
                  <w:shd w:val="clear" w:color="auto" w:fill="auto"/>
                  <w:noWrap/>
                  <w:vAlign w:val="center"/>
                </w:tcPr>
                <w:p w:rsidR="005C75BB" w:rsidRDefault="005C75BB" w:rsidP="005C75BB">
                  <w:pPr>
                    <w:rPr>
                      <w:rFonts w:ascii="Arial" w:hAnsi="Arial" w:cs="Arial"/>
                      <w:color w:val="FF0000"/>
                      <w:sz w:val="16"/>
                      <w:szCs w:val="16"/>
                    </w:rPr>
                  </w:pPr>
                  <w:r>
                    <w:rPr>
                      <w:rFonts w:ascii="Arial" w:hAnsi="Arial" w:cs="Arial"/>
                      <w:color w:val="FF0000"/>
                      <w:sz w:val="16"/>
                      <w:szCs w:val="16"/>
                    </w:rPr>
                    <w:t>6948.188</w:t>
                  </w:r>
                </w:p>
              </w:tc>
              <w:tc>
                <w:tcPr>
                  <w:tcW w:w="1200" w:type="dxa"/>
                  <w:tcBorders>
                    <w:top w:val="nil"/>
                    <w:left w:val="nil"/>
                    <w:bottom w:val="nil"/>
                    <w:right w:val="nil"/>
                  </w:tcBorders>
                  <w:shd w:val="clear" w:color="auto" w:fill="auto"/>
                  <w:noWrap/>
                  <w:vAlign w:val="center"/>
                </w:tcPr>
                <w:p w:rsidR="005C75BB" w:rsidRDefault="005C75BB" w:rsidP="005C75BB">
                  <w:pPr>
                    <w:rPr>
                      <w:rFonts w:ascii="Arial" w:hAnsi="Arial" w:cs="Arial"/>
                      <w:color w:val="FF0000"/>
                      <w:sz w:val="16"/>
                      <w:szCs w:val="16"/>
                    </w:rPr>
                  </w:pPr>
                  <w:r>
                    <w:rPr>
                      <w:rFonts w:ascii="Arial" w:hAnsi="Arial" w:cs="Arial"/>
                      <w:color w:val="FF0000"/>
                      <w:sz w:val="16"/>
                      <w:szCs w:val="16"/>
                    </w:rPr>
                    <w:t>0.287</w:t>
                  </w:r>
                </w:p>
              </w:tc>
              <w:tc>
                <w:tcPr>
                  <w:tcW w:w="1200" w:type="dxa"/>
                  <w:tcBorders>
                    <w:top w:val="nil"/>
                    <w:left w:val="nil"/>
                    <w:bottom w:val="nil"/>
                    <w:right w:val="nil"/>
                  </w:tcBorders>
                  <w:shd w:val="clear" w:color="auto" w:fill="auto"/>
                  <w:noWrap/>
                  <w:vAlign w:val="center"/>
                </w:tcPr>
                <w:p w:rsidR="005C75BB" w:rsidRDefault="005C75BB" w:rsidP="005C75BB">
                  <w:pPr>
                    <w:rPr>
                      <w:rFonts w:ascii="Arial" w:hAnsi="Arial" w:cs="Arial"/>
                      <w:color w:val="FF0000"/>
                      <w:sz w:val="16"/>
                      <w:szCs w:val="16"/>
                    </w:rPr>
                  </w:pPr>
                  <w:r>
                    <w:rPr>
                      <w:rFonts w:ascii="Arial" w:hAnsi="Arial" w:cs="Arial"/>
                      <w:color w:val="FF0000"/>
                      <w:sz w:val="16"/>
                      <w:szCs w:val="16"/>
                    </w:rPr>
                    <w:t>0.592</w:t>
                  </w:r>
                </w:p>
              </w:tc>
            </w:tr>
            <w:tr w:rsidR="005C75BB" w:rsidRPr="00BA37CC" w:rsidTr="005C75BB">
              <w:trPr>
                <w:trHeight w:val="227"/>
                <w:jc w:val="center"/>
              </w:trPr>
              <w:tc>
                <w:tcPr>
                  <w:tcW w:w="2268" w:type="dxa"/>
                  <w:tcBorders>
                    <w:top w:val="nil"/>
                    <w:left w:val="nil"/>
                    <w:bottom w:val="nil"/>
                    <w:right w:val="nil"/>
                  </w:tcBorders>
                  <w:shd w:val="clear" w:color="auto" w:fill="auto"/>
                  <w:noWrap/>
                  <w:vAlign w:val="center"/>
                </w:tcPr>
                <w:p w:rsidR="005C75BB" w:rsidRDefault="005C75BB" w:rsidP="00497E32">
                  <w:pPr>
                    <w:jc w:val="left"/>
                    <w:rPr>
                      <w:rFonts w:ascii="Arial" w:hAnsi="Arial" w:cs="Arial"/>
                      <w:color w:val="FF0000"/>
                      <w:sz w:val="16"/>
                      <w:szCs w:val="16"/>
                    </w:rPr>
                  </w:pPr>
                  <w:r>
                    <w:rPr>
                      <w:rFonts w:ascii="Arial" w:hAnsi="Arial" w:cs="Arial"/>
                      <w:color w:val="FF0000"/>
                      <w:sz w:val="16"/>
                      <w:szCs w:val="16"/>
                    </w:rPr>
                    <w:t>Modelo sin género</w:t>
                  </w:r>
                </w:p>
              </w:tc>
              <w:tc>
                <w:tcPr>
                  <w:tcW w:w="1960" w:type="dxa"/>
                  <w:tcBorders>
                    <w:top w:val="nil"/>
                    <w:left w:val="nil"/>
                    <w:bottom w:val="nil"/>
                    <w:right w:val="nil"/>
                  </w:tcBorders>
                  <w:shd w:val="clear" w:color="auto" w:fill="auto"/>
                  <w:noWrap/>
                  <w:vAlign w:val="center"/>
                </w:tcPr>
                <w:p w:rsidR="005C75BB" w:rsidRDefault="005C75BB" w:rsidP="005C75BB">
                  <w:pPr>
                    <w:rPr>
                      <w:rFonts w:ascii="Arial" w:hAnsi="Arial" w:cs="Arial"/>
                      <w:color w:val="FF0000"/>
                      <w:sz w:val="16"/>
                      <w:szCs w:val="16"/>
                    </w:rPr>
                  </w:pPr>
                  <w:r>
                    <w:rPr>
                      <w:rFonts w:ascii="Arial" w:hAnsi="Arial" w:cs="Arial"/>
                      <w:color w:val="FF0000"/>
                      <w:sz w:val="16"/>
                      <w:szCs w:val="16"/>
                    </w:rPr>
                    <w:t>6949.142</w:t>
                  </w:r>
                </w:p>
              </w:tc>
              <w:tc>
                <w:tcPr>
                  <w:tcW w:w="1200" w:type="dxa"/>
                  <w:tcBorders>
                    <w:top w:val="nil"/>
                    <w:left w:val="nil"/>
                    <w:bottom w:val="nil"/>
                    <w:right w:val="nil"/>
                  </w:tcBorders>
                  <w:shd w:val="clear" w:color="auto" w:fill="auto"/>
                  <w:noWrap/>
                  <w:vAlign w:val="center"/>
                </w:tcPr>
                <w:p w:rsidR="005C75BB" w:rsidRDefault="005C75BB" w:rsidP="005C75BB">
                  <w:pPr>
                    <w:rPr>
                      <w:rFonts w:ascii="Arial" w:hAnsi="Arial" w:cs="Arial"/>
                      <w:color w:val="FF0000"/>
                      <w:sz w:val="16"/>
                      <w:szCs w:val="16"/>
                    </w:rPr>
                  </w:pPr>
                  <w:r>
                    <w:rPr>
                      <w:rFonts w:ascii="Arial" w:hAnsi="Arial" w:cs="Arial"/>
                      <w:color w:val="FF0000"/>
                      <w:sz w:val="16"/>
                      <w:szCs w:val="16"/>
                    </w:rPr>
                    <w:t>1.241</w:t>
                  </w:r>
                </w:p>
              </w:tc>
              <w:tc>
                <w:tcPr>
                  <w:tcW w:w="1200" w:type="dxa"/>
                  <w:tcBorders>
                    <w:top w:val="nil"/>
                    <w:left w:val="nil"/>
                    <w:bottom w:val="nil"/>
                    <w:right w:val="nil"/>
                  </w:tcBorders>
                  <w:shd w:val="clear" w:color="auto" w:fill="auto"/>
                  <w:noWrap/>
                  <w:vAlign w:val="center"/>
                </w:tcPr>
                <w:p w:rsidR="005C75BB" w:rsidRDefault="005C75BB" w:rsidP="005C75BB">
                  <w:pPr>
                    <w:rPr>
                      <w:rFonts w:ascii="Arial" w:hAnsi="Arial" w:cs="Arial"/>
                      <w:color w:val="FF0000"/>
                      <w:sz w:val="16"/>
                      <w:szCs w:val="16"/>
                    </w:rPr>
                  </w:pPr>
                  <w:r>
                    <w:rPr>
                      <w:rFonts w:ascii="Arial" w:hAnsi="Arial" w:cs="Arial"/>
                      <w:color w:val="FF0000"/>
                      <w:sz w:val="16"/>
                      <w:szCs w:val="16"/>
                    </w:rPr>
                    <w:t>0.265</w:t>
                  </w:r>
                </w:p>
              </w:tc>
            </w:tr>
            <w:tr w:rsidR="005C75BB" w:rsidRPr="00BA37CC" w:rsidTr="005C75BB">
              <w:trPr>
                <w:trHeight w:val="227"/>
                <w:jc w:val="center"/>
              </w:trPr>
              <w:tc>
                <w:tcPr>
                  <w:tcW w:w="2268" w:type="dxa"/>
                  <w:tcBorders>
                    <w:top w:val="nil"/>
                    <w:left w:val="nil"/>
                    <w:bottom w:val="nil"/>
                    <w:right w:val="nil"/>
                  </w:tcBorders>
                  <w:shd w:val="clear" w:color="auto" w:fill="auto"/>
                  <w:noWrap/>
                  <w:vAlign w:val="center"/>
                </w:tcPr>
                <w:p w:rsidR="005C75BB" w:rsidRDefault="005C75BB" w:rsidP="00497E32">
                  <w:pPr>
                    <w:jc w:val="left"/>
                    <w:rPr>
                      <w:rFonts w:ascii="Arial" w:hAnsi="Arial" w:cs="Arial"/>
                      <w:sz w:val="16"/>
                      <w:szCs w:val="16"/>
                    </w:rPr>
                  </w:pPr>
                  <w:r>
                    <w:rPr>
                      <w:rFonts w:ascii="Arial" w:hAnsi="Arial" w:cs="Arial"/>
                      <w:sz w:val="16"/>
                      <w:szCs w:val="16"/>
                    </w:rPr>
                    <w:t>Modelo sin edad</w:t>
                  </w:r>
                </w:p>
              </w:tc>
              <w:tc>
                <w:tcPr>
                  <w:tcW w:w="1960" w:type="dxa"/>
                  <w:tcBorders>
                    <w:top w:val="nil"/>
                    <w:left w:val="nil"/>
                    <w:bottom w:val="nil"/>
                    <w:right w:val="nil"/>
                  </w:tcBorders>
                  <w:shd w:val="clear" w:color="auto" w:fill="auto"/>
                  <w:noWrap/>
                  <w:vAlign w:val="center"/>
                </w:tcPr>
                <w:p w:rsidR="005C75BB" w:rsidRDefault="005C75BB" w:rsidP="005C75BB">
                  <w:pPr>
                    <w:rPr>
                      <w:rFonts w:ascii="Arial" w:hAnsi="Arial" w:cs="Arial"/>
                      <w:sz w:val="16"/>
                      <w:szCs w:val="16"/>
                    </w:rPr>
                  </w:pPr>
                  <w:r>
                    <w:rPr>
                      <w:rFonts w:ascii="Arial" w:hAnsi="Arial" w:cs="Arial"/>
                      <w:sz w:val="16"/>
                      <w:szCs w:val="16"/>
                    </w:rPr>
                    <w:t>7000.98</w:t>
                  </w:r>
                </w:p>
              </w:tc>
              <w:tc>
                <w:tcPr>
                  <w:tcW w:w="1200" w:type="dxa"/>
                  <w:tcBorders>
                    <w:top w:val="nil"/>
                    <w:left w:val="nil"/>
                    <w:bottom w:val="nil"/>
                    <w:right w:val="nil"/>
                  </w:tcBorders>
                  <w:shd w:val="clear" w:color="auto" w:fill="auto"/>
                  <w:noWrap/>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53.079</w:t>
                  </w:r>
                </w:p>
              </w:tc>
              <w:tc>
                <w:tcPr>
                  <w:tcW w:w="1200" w:type="dxa"/>
                  <w:tcBorders>
                    <w:top w:val="nil"/>
                    <w:left w:val="nil"/>
                    <w:bottom w:val="nil"/>
                    <w:right w:val="nil"/>
                  </w:tcBorders>
                  <w:shd w:val="clear" w:color="auto" w:fill="auto"/>
                  <w:noWrap/>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0.000</w:t>
                  </w:r>
                </w:p>
              </w:tc>
            </w:tr>
            <w:tr w:rsidR="005C75BB" w:rsidRPr="00BA37CC" w:rsidTr="005C75BB">
              <w:trPr>
                <w:trHeight w:val="227"/>
                <w:jc w:val="center"/>
              </w:trPr>
              <w:tc>
                <w:tcPr>
                  <w:tcW w:w="2268" w:type="dxa"/>
                  <w:tcBorders>
                    <w:top w:val="nil"/>
                    <w:left w:val="nil"/>
                    <w:bottom w:val="nil"/>
                    <w:right w:val="nil"/>
                  </w:tcBorders>
                  <w:shd w:val="clear" w:color="auto" w:fill="auto"/>
                  <w:noWrap/>
                  <w:vAlign w:val="center"/>
                </w:tcPr>
                <w:p w:rsidR="005C75BB" w:rsidRDefault="005C75BB" w:rsidP="00497E32">
                  <w:pPr>
                    <w:jc w:val="left"/>
                    <w:rPr>
                      <w:rFonts w:ascii="Arial" w:hAnsi="Arial" w:cs="Arial"/>
                      <w:color w:val="FF0000"/>
                      <w:sz w:val="16"/>
                      <w:szCs w:val="16"/>
                    </w:rPr>
                  </w:pPr>
                  <w:r>
                    <w:rPr>
                      <w:rFonts w:ascii="Arial" w:hAnsi="Arial" w:cs="Arial"/>
                      <w:color w:val="FF0000"/>
                      <w:sz w:val="16"/>
                      <w:szCs w:val="16"/>
                    </w:rPr>
                    <w:t>Modelos sin estado conyugal</w:t>
                  </w:r>
                </w:p>
              </w:tc>
              <w:tc>
                <w:tcPr>
                  <w:tcW w:w="1960" w:type="dxa"/>
                  <w:tcBorders>
                    <w:top w:val="nil"/>
                    <w:left w:val="nil"/>
                    <w:bottom w:val="nil"/>
                    <w:right w:val="nil"/>
                  </w:tcBorders>
                  <w:shd w:val="clear" w:color="auto" w:fill="auto"/>
                  <w:noWrap/>
                  <w:vAlign w:val="center"/>
                </w:tcPr>
                <w:p w:rsidR="005C75BB" w:rsidRDefault="005C75BB" w:rsidP="005C75BB">
                  <w:pPr>
                    <w:rPr>
                      <w:rFonts w:ascii="Arial" w:hAnsi="Arial" w:cs="Arial"/>
                      <w:color w:val="FF0000"/>
                      <w:sz w:val="16"/>
                      <w:szCs w:val="16"/>
                    </w:rPr>
                  </w:pPr>
                  <w:r>
                    <w:rPr>
                      <w:rFonts w:ascii="Arial" w:hAnsi="Arial" w:cs="Arial"/>
                      <w:color w:val="FF0000"/>
                      <w:sz w:val="16"/>
                      <w:szCs w:val="16"/>
                    </w:rPr>
                    <w:t>6948.861</w:t>
                  </w:r>
                </w:p>
              </w:tc>
              <w:tc>
                <w:tcPr>
                  <w:tcW w:w="1200" w:type="dxa"/>
                  <w:tcBorders>
                    <w:top w:val="nil"/>
                    <w:left w:val="nil"/>
                    <w:bottom w:val="nil"/>
                    <w:right w:val="nil"/>
                  </w:tcBorders>
                  <w:shd w:val="clear" w:color="auto" w:fill="auto"/>
                  <w:noWrap/>
                  <w:vAlign w:val="center"/>
                </w:tcPr>
                <w:p w:rsidR="005C75BB" w:rsidRDefault="005C75BB" w:rsidP="005C75BB">
                  <w:pPr>
                    <w:rPr>
                      <w:rFonts w:ascii="Arial" w:hAnsi="Arial" w:cs="Arial"/>
                      <w:color w:val="FF0000"/>
                      <w:sz w:val="16"/>
                      <w:szCs w:val="16"/>
                    </w:rPr>
                  </w:pPr>
                  <w:r>
                    <w:rPr>
                      <w:rFonts w:ascii="Arial" w:hAnsi="Arial" w:cs="Arial"/>
                      <w:color w:val="FF0000"/>
                      <w:sz w:val="16"/>
                      <w:szCs w:val="16"/>
                    </w:rPr>
                    <w:t>0.96</w:t>
                  </w:r>
                </w:p>
              </w:tc>
              <w:tc>
                <w:tcPr>
                  <w:tcW w:w="1200" w:type="dxa"/>
                  <w:tcBorders>
                    <w:top w:val="nil"/>
                    <w:left w:val="nil"/>
                    <w:bottom w:val="nil"/>
                    <w:right w:val="nil"/>
                  </w:tcBorders>
                  <w:shd w:val="clear" w:color="auto" w:fill="auto"/>
                  <w:noWrap/>
                  <w:vAlign w:val="center"/>
                </w:tcPr>
                <w:p w:rsidR="005C75BB" w:rsidRDefault="005C75BB" w:rsidP="005C75BB">
                  <w:pPr>
                    <w:rPr>
                      <w:rFonts w:ascii="Arial" w:hAnsi="Arial" w:cs="Arial"/>
                      <w:color w:val="FF0000"/>
                      <w:sz w:val="16"/>
                      <w:szCs w:val="16"/>
                    </w:rPr>
                  </w:pPr>
                  <w:r>
                    <w:rPr>
                      <w:rFonts w:ascii="Arial" w:hAnsi="Arial" w:cs="Arial"/>
                      <w:color w:val="FF0000"/>
                      <w:sz w:val="16"/>
                      <w:szCs w:val="16"/>
                    </w:rPr>
                    <w:t>0.327</w:t>
                  </w:r>
                </w:p>
              </w:tc>
            </w:tr>
            <w:tr w:rsidR="005C75BB" w:rsidRPr="00BA37CC" w:rsidTr="005C75BB">
              <w:trPr>
                <w:trHeight w:val="227"/>
                <w:jc w:val="center"/>
              </w:trPr>
              <w:tc>
                <w:tcPr>
                  <w:tcW w:w="2268" w:type="dxa"/>
                  <w:tcBorders>
                    <w:top w:val="nil"/>
                    <w:left w:val="nil"/>
                    <w:right w:val="nil"/>
                  </w:tcBorders>
                  <w:shd w:val="clear" w:color="auto" w:fill="auto"/>
                  <w:noWrap/>
                  <w:vAlign w:val="center"/>
                </w:tcPr>
                <w:p w:rsidR="005C75BB" w:rsidRDefault="005C75BB" w:rsidP="00497E32">
                  <w:pPr>
                    <w:jc w:val="left"/>
                    <w:rPr>
                      <w:rFonts w:ascii="Arial" w:hAnsi="Arial" w:cs="Arial"/>
                      <w:color w:val="000000"/>
                      <w:sz w:val="16"/>
                      <w:szCs w:val="16"/>
                    </w:rPr>
                  </w:pPr>
                  <w:r>
                    <w:rPr>
                      <w:rFonts w:ascii="Arial" w:hAnsi="Arial" w:cs="Arial"/>
                      <w:color w:val="000000"/>
                      <w:sz w:val="16"/>
                      <w:szCs w:val="16"/>
                    </w:rPr>
                    <w:t>Modelo sin discapacidad</w:t>
                  </w:r>
                </w:p>
              </w:tc>
              <w:tc>
                <w:tcPr>
                  <w:tcW w:w="1960" w:type="dxa"/>
                  <w:tcBorders>
                    <w:top w:val="nil"/>
                    <w:left w:val="nil"/>
                    <w:right w:val="nil"/>
                  </w:tcBorders>
                  <w:shd w:val="clear" w:color="auto" w:fill="auto"/>
                  <w:noWrap/>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6956.808</w:t>
                  </w:r>
                </w:p>
              </w:tc>
              <w:tc>
                <w:tcPr>
                  <w:tcW w:w="1200" w:type="dxa"/>
                  <w:tcBorders>
                    <w:top w:val="nil"/>
                    <w:left w:val="nil"/>
                    <w:right w:val="nil"/>
                  </w:tcBorders>
                  <w:shd w:val="clear" w:color="auto" w:fill="auto"/>
                  <w:noWrap/>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8.907</w:t>
                  </w:r>
                </w:p>
              </w:tc>
              <w:tc>
                <w:tcPr>
                  <w:tcW w:w="1200" w:type="dxa"/>
                  <w:tcBorders>
                    <w:top w:val="nil"/>
                    <w:left w:val="nil"/>
                    <w:right w:val="nil"/>
                  </w:tcBorders>
                  <w:shd w:val="clear" w:color="auto" w:fill="auto"/>
                  <w:noWrap/>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0.003</w:t>
                  </w:r>
                </w:p>
              </w:tc>
            </w:tr>
            <w:tr w:rsidR="005C75BB" w:rsidRPr="00BA37CC" w:rsidTr="005C75BB">
              <w:trPr>
                <w:trHeight w:val="227"/>
                <w:jc w:val="center"/>
              </w:trPr>
              <w:tc>
                <w:tcPr>
                  <w:tcW w:w="2268" w:type="dxa"/>
                  <w:tcBorders>
                    <w:top w:val="nil"/>
                    <w:left w:val="nil"/>
                    <w:bottom w:val="single" w:sz="4" w:space="0" w:color="auto"/>
                    <w:right w:val="nil"/>
                  </w:tcBorders>
                  <w:shd w:val="clear" w:color="auto" w:fill="auto"/>
                  <w:noWrap/>
                  <w:vAlign w:val="center"/>
                </w:tcPr>
                <w:p w:rsidR="005C75BB" w:rsidRDefault="005C75BB" w:rsidP="00497E32">
                  <w:pPr>
                    <w:jc w:val="left"/>
                    <w:rPr>
                      <w:rFonts w:ascii="Arial" w:hAnsi="Arial" w:cs="Arial"/>
                      <w:color w:val="000000"/>
                      <w:sz w:val="16"/>
                      <w:szCs w:val="16"/>
                    </w:rPr>
                  </w:pPr>
                  <w:r>
                    <w:rPr>
                      <w:rFonts w:ascii="Arial" w:hAnsi="Arial" w:cs="Arial"/>
                      <w:color w:val="000000"/>
                      <w:sz w:val="16"/>
                      <w:szCs w:val="16"/>
                    </w:rPr>
                    <w:t>Modelo sin trabaja</w:t>
                  </w:r>
                </w:p>
              </w:tc>
              <w:tc>
                <w:tcPr>
                  <w:tcW w:w="1960" w:type="dxa"/>
                  <w:tcBorders>
                    <w:top w:val="nil"/>
                    <w:left w:val="nil"/>
                    <w:bottom w:val="single" w:sz="4" w:space="0" w:color="auto"/>
                    <w:right w:val="nil"/>
                  </w:tcBorders>
                  <w:shd w:val="clear" w:color="auto" w:fill="auto"/>
                  <w:noWrap/>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7103.403</w:t>
                  </w:r>
                </w:p>
              </w:tc>
              <w:tc>
                <w:tcPr>
                  <w:tcW w:w="1200" w:type="dxa"/>
                  <w:tcBorders>
                    <w:top w:val="nil"/>
                    <w:left w:val="nil"/>
                    <w:bottom w:val="single" w:sz="4" w:space="0" w:color="auto"/>
                    <w:right w:val="nil"/>
                  </w:tcBorders>
                  <w:shd w:val="clear" w:color="auto" w:fill="auto"/>
                  <w:noWrap/>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155.502</w:t>
                  </w:r>
                </w:p>
              </w:tc>
              <w:tc>
                <w:tcPr>
                  <w:tcW w:w="1200" w:type="dxa"/>
                  <w:tcBorders>
                    <w:top w:val="nil"/>
                    <w:left w:val="nil"/>
                    <w:bottom w:val="single" w:sz="4" w:space="0" w:color="auto"/>
                    <w:right w:val="nil"/>
                  </w:tcBorders>
                  <w:shd w:val="clear" w:color="auto" w:fill="auto"/>
                  <w:noWrap/>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0.000</w:t>
                  </w:r>
                </w:p>
              </w:tc>
            </w:tr>
          </w:tbl>
          <w:p w:rsidR="005C75BB" w:rsidRPr="00607324" w:rsidRDefault="005C75BB" w:rsidP="005C75BB">
            <w:pPr>
              <w:rPr>
                <w:rFonts w:ascii="Arial" w:hAnsi="Arial" w:cs="Arial"/>
                <w:sz w:val="24"/>
                <w:szCs w:val="24"/>
              </w:rPr>
            </w:pPr>
          </w:p>
        </w:tc>
      </w:tr>
    </w:tbl>
    <w:p w:rsidR="005C75BB" w:rsidRPr="007E5BEA" w:rsidRDefault="005C75BB" w:rsidP="007E5BEA">
      <w:pPr>
        <w:pStyle w:val="Prrafodelista"/>
        <w:spacing w:line="276" w:lineRule="auto"/>
        <w:ind w:left="851"/>
        <w:jc w:val="both"/>
        <w:rPr>
          <w:rFonts w:ascii="Arial" w:hAnsi="Arial" w:cs="Arial"/>
          <w:sz w:val="17"/>
          <w:szCs w:val="17"/>
        </w:rPr>
      </w:pPr>
    </w:p>
    <w:p w:rsidR="005C75BB" w:rsidRPr="007E5BEA" w:rsidRDefault="005C75BB" w:rsidP="007E5BEA">
      <w:pPr>
        <w:pStyle w:val="Prrafodelista"/>
        <w:spacing w:line="276" w:lineRule="auto"/>
        <w:ind w:left="851"/>
        <w:jc w:val="both"/>
        <w:rPr>
          <w:rFonts w:ascii="Arial" w:hAnsi="Arial" w:cs="Arial"/>
          <w:sz w:val="17"/>
          <w:szCs w:val="17"/>
        </w:rPr>
      </w:pPr>
      <w:r w:rsidRPr="007E5BEA">
        <w:rPr>
          <w:rFonts w:ascii="Arial" w:hAnsi="Arial" w:cs="Arial"/>
          <w:b/>
          <w:i/>
          <w:sz w:val="17"/>
          <w:szCs w:val="17"/>
        </w:rPr>
        <w:t>Fuente:</w:t>
      </w:r>
      <w:r w:rsidRPr="007E5BEA">
        <w:rPr>
          <w:rFonts w:ascii="Arial" w:hAnsi="Arial" w:cs="Arial"/>
          <w:sz w:val="17"/>
          <w:szCs w:val="17"/>
        </w:rPr>
        <w:t xml:space="preserve"> </w:t>
      </w:r>
      <w:r w:rsidRPr="007E5BEA">
        <w:rPr>
          <w:rFonts w:ascii="Arial" w:hAnsi="Arial" w:cs="Arial"/>
          <w:b/>
          <w:sz w:val="17"/>
          <w:szCs w:val="17"/>
        </w:rPr>
        <w:t xml:space="preserve">INEC </w:t>
      </w:r>
      <w:r w:rsidRPr="007E5BEA">
        <w:rPr>
          <w:rFonts w:ascii="Arial" w:hAnsi="Arial" w:cs="Arial"/>
          <w:sz w:val="17"/>
          <w:szCs w:val="17"/>
        </w:rPr>
        <w:t>(2010), Base de Datos del VII Censo de Población y VI de Vivienda.</w:t>
      </w:r>
    </w:p>
    <w:p w:rsidR="005C75BB" w:rsidRPr="007E5BEA" w:rsidRDefault="005C75BB" w:rsidP="007E5BEA">
      <w:pPr>
        <w:pStyle w:val="Prrafodelista"/>
        <w:spacing w:line="276" w:lineRule="auto"/>
        <w:ind w:left="851"/>
        <w:jc w:val="both"/>
        <w:rPr>
          <w:rFonts w:ascii="Arial" w:hAnsi="Arial" w:cs="Arial"/>
          <w:sz w:val="17"/>
          <w:szCs w:val="17"/>
        </w:rPr>
      </w:pPr>
      <w:r w:rsidRPr="007E5BEA">
        <w:rPr>
          <w:rFonts w:ascii="Arial" w:hAnsi="Arial" w:cs="Arial"/>
          <w:b/>
          <w:i/>
          <w:sz w:val="17"/>
          <w:szCs w:val="17"/>
        </w:rPr>
        <w:t>Elaborado por:</w:t>
      </w:r>
      <w:r w:rsidRPr="007E5BEA">
        <w:rPr>
          <w:rFonts w:ascii="Arial" w:hAnsi="Arial" w:cs="Arial"/>
          <w:sz w:val="17"/>
          <w:szCs w:val="17"/>
        </w:rPr>
        <w:t xml:space="preserve"> Katherine Loor Valeriano</w:t>
      </w:r>
    </w:p>
    <w:p w:rsidR="005C75BB" w:rsidRDefault="005C75BB" w:rsidP="005C75BB">
      <w:pPr>
        <w:pStyle w:val="TesisTitulo10"/>
        <w:numPr>
          <w:ilvl w:val="0"/>
          <w:numId w:val="0"/>
        </w:numPr>
        <w:ind w:left="567"/>
        <w:rPr>
          <w:b w:val="0"/>
          <w:sz w:val="22"/>
          <w:szCs w:val="22"/>
        </w:rPr>
      </w:pPr>
    </w:p>
    <w:p w:rsidR="005C75BB" w:rsidRDefault="005C75BB" w:rsidP="007E5BEA">
      <w:pPr>
        <w:pStyle w:val="62"/>
        <w:ind w:left="1560"/>
      </w:pPr>
      <w:bookmarkStart w:id="1147" w:name="_Toc339275984"/>
      <w:bookmarkStart w:id="1148" w:name="_Toc341040762"/>
      <w:r>
        <w:t>Resultados del Modelo reducido</w:t>
      </w:r>
      <w:bookmarkEnd w:id="1147"/>
      <w:bookmarkEnd w:id="1148"/>
    </w:p>
    <w:p w:rsidR="005C75BB" w:rsidRDefault="005C75BB" w:rsidP="007E5BEA">
      <w:pPr>
        <w:spacing w:line="480" w:lineRule="auto"/>
        <w:ind w:left="851"/>
        <w:jc w:val="both"/>
        <w:rPr>
          <w:rFonts w:ascii="Arial" w:hAnsi="Arial" w:cs="Arial"/>
        </w:rPr>
      </w:pPr>
      <w:bookmarkStart w:id="1149" w:name="_Toc339853245"/>
      <w:bookmarkStart w:id="1150" w:name="_Toc340232015"/>
      <w:r w:rsidRPr="007E5BEA">
        <w:rPr>
          <w:rFonts w:ascii="Arial" w:hAnsi="Arial" w:cs="Arial"/>
        </w:rPr>
        <w:t>En la subsección previa demostramos que tres de las variables que estaban incluidas en el modelo completo no son significativas en la predicción de la variable de respuesta, por tanto vamos a proceder a construir un último modelo en el cual no se incluirán dichas variables, que son área de residencia, género y estado conyugal. Obteniéndose finalmente como modelo reducido lo siguiente:</w:t>
      </w:r>
      <w:bookmarkEnd w:id="1149"/>
      <w:bookmarkEnd w:id="1150"/>
    </w:p>
    <w:p w:rsidR="007E5BEA" w:rsidRPr="007E5BEA" w:rsidRDefault="007E5BEA" w:rsidP="007E5BEA">
      <w:pPr>
        <w:spacing w:line="480" w:lineRule="auto"/>
        <w:ind w:left="851"/>
        <w:jc w:val="both"/>
        <w:rPr>
          <w:rFonts w:ascii="Arial" w:hAnsi="Arial" w:cs="Arial"/>
          <w:sz w:val="10"/>
          <w:szCs w:val="10"/>
        </w:rPr>
      </w:pPr>
    </w:p>
    <w:p w:rsidR="005C75BB" w:rsidRPr="007E5BEA" w:rsidRDefault="005C75BB" w:rsidP="007E5BEA">
      <w:pPr>
        <w:spacing w:line="480" w:lineRule="auto"/>
        <w:ind w:left="851"/>
        <w:rPr>
          <w:rFonts w:ascii="Arial" w:hAnsi="Arial" w:cs="Arial"/>
        </w:rPr>
      </w:pPr>
      <w:bookmarkStart w:id="1151" w:name="_Toc338773500"/>
      <w:bookmarkStart w:id="1152" w:name="_Toc338773638"/>
      <w:bookmarkStart w:id="1153" w:name="_Toc338938954"/>
      <w:bookmarkStart w:id="1154" w:name="_Toc338947263"/>
      <w:bookmarkStart w:id="1155" w:name="_Toc339275985"/>
      <w:bookmarkStart w:id="1156" w:name="_Toc339853246"/>
      <w:bookmarkStart w:id="1157" w:name="_Toc340232016"/>
      <w:r w:rsidRPr="007E5BEA">
        <w:rPr>
          <w:rFonts w:ascii="Arial" w:hAnsi="Arial" w:cs="Arial"/>
        </w:rPr>
        <w:t xml:space="preserve">logit(P) = z = 0.731 – 0.501 Edad – 0.476 </w:t>
      </w:r>
      <w:bookmarkEnd w:id="1151"/>
      <w:bookmarkEnd w:id="1152"/>
      <w:bookmarkEnd w:id="1153"/>
      <w:r w:rsidRPr="007E5BEA">
        <w:rPr>
          <w:rFonts w:ascii="Arial" w:hAnsi="Arial" w:cs="Arial"/>
        </w:rPr>
        <w:t>Discapacidad +0.754 Trabaja</w:t>
      </w:r>
      <w:bookmarkEnd w:id="1154"/>
      <w:bookmarkEnd w:id="1155"/>
      <w:bookmarkEnd w:id="1156"/>
      <w:bookmarkEnd w:id="1157"/>
    </w:p>
    <w:p w:rsidR="005C75BB" w:rsidRPr="007E5BEA" w:rsidRDefault="005C75BB" w:rsidP="007E5BEA">
      <w:pPr>
        <w:spacing w:line="480" w:lineRule="auto"/>
        <w:ind w:left="851"/>
        <w:jc w:val="both"/>
        <w:rPr>
          <w:rFonts w:ascii="Arial" w:hAnsi="Arial" w:cs="Arial"/>
          <w:sz w:val="10"/>
          <w:szCs w:val="10"/>
        </w:rPr>
      </w:pPr>
    </w:p>
    <w:p w:rsidR="005C75BB" w:rsidRPr="007E5BEA" w:rsidRDefault="005C75BB" w:rsidP="007E5BEA">
      <w:pPr>
        <w:spacing w:line="480" w:lineRule="auto"/>
        <w:ind w:left="851"/>
        <w:jc w:val="both"/>
        <w:rPr>
          <w:rFonts w:ascii="Arial" w:hAnsi="Arial" w:cs="Arial"/>
          <w:i/>
          <w:highlight w:val="yellow"/>
        </w:rPr>
      </w:pPr>
      <w:bookmarkStart w:id="1158" w:name="_Toc339853247"/>
      <w:bookmarkStart w:id="1159" w:name="_Toc340232017"/>
      <w:r w:rsidRPr="007E5BEA">
        <w:rPr>
          <w:rFonts w:ascii="Arial" w:hAnsi="Arial" w:cs="Arial"/>
        </w:rPr>
        <w:t xml:space="preserve">Por tanto, el nivel de instrucción superior de los estadounidenses mayores de 17 años residentes en el país puede ser explicado mediante la edad, si tiene discapacidad permanente y si el usamericano trabaja, cabe resaltar que eso se concluye solamente en base a las variables utilizadas en el modelo completo, pues pueden existir otras variables que no se hayan considerado y que influyan sobre este modelo. Donde tenemos que, tener menos de 25 años disminuye la probabilidad de tener instrucción superior, ser discapacitado también disminuye dicha probabilidad; y, trabajar en cambio aumenta la probabilidad de que un estadounidense tenga hasta instrucción superior. Para más detalles </w:t>
      </w:r>
      <w:r w:rsidRPr="007E5BEA">
        <w:rPr>
          <w:rFonts w:ascii="Arial" w:hAnsi="Arial" w:cs="Arial"/>
          <w:i/>
        </w:rPr>
        <w:t>véase Tabla 6.11.</w:t>
      </w:r>
      <w:bookmarkEnd w:id="1158"/>
      <w:bookmarkEnd w:id="1159"/>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5C75BB" w:rsidRPr="003559D6" w:rsidTr="007E5BEA">
        <w:trPr>
          <w:trHeight w:val="3515"/>
          <w:jc w:val="right"/>
        </w:trPr>
        <w:tc>
          <w:tcPr>
            <w:tcW w:w="7497" w:type="dxa"/>
          </w:tcPr>
          <w:p w:rsidR="005C75BB" w:rsidRPr="00434327" w:rsidRDefault="005C75BB" w:rsidP="005C75BB">
            <w:pPr>
              <w:rPr>
                <w:rFonts w:ascii="Arial" w:hAnsi="Arial" w:cs="Arial"/>
                <w:sz w:val="16"/>
                <w:szCs w:val="16"/>
              </w:rPr>
            </w:pPr>
          </w:p>
          <w:p w:rsidR="00497E32" w:rsidRPr="00497E32" w:rsidRDefault="00497E32" w:rsidP="00497E32">
            <w:pPr>
              <w:pStyle w:val="Epgrafe"/>
              <w:rPr>
                <w:rFonts w:ascii="Arial" w:hAnsi="Arial" w:cs="Arial"/>
                <w:bCs w:val="0"/>
                <w:color w:val="auto"/>
                <w:sz w:val="16"/>
                <w:szCs w:val="16"/>
              </w:rPr>
            </w:pPr>
            <w:bookmarkStart w:id="1160" w:name="_Toc341042357"/>
            <w:r>
              <w:rPr>
                <w:rFonts w:ascii="Arial" w:hAnsi="Arial" w:cs="Arial"/>
                <w:bCs w:val="0"/>
                <w:color w:val="auto"/>
                <w:sz w:val="16"/>
                <w:szCs w:val="16"/>
              </w:rPr>
              <w:t>Tabla 6.</w:t>
            </w:r>
            <w:r w:rsidR="00990535" w:rsidRPr="00497E32">
              <w:rPr>
                <w:rFonts w:ascii="Arial" w:hAnsi="Arial" w:cs="Arial"/>
                <w:bCs w:val="0"/>
                <w:color w:val="auto"/>
                <w:sz w:val="16"/>
                <w:szCs w:val="16"/>
              </w:rPr>
              <w:fldChar w:fldCharType="begin"/>
            </w:r>
            <w:r w:rsidRPr="00497E32">
              <w:rPr>
                <w:rFonts w:ascii="Arial" w:hAnsi="Arial" w:cs="Arial"/>
                <w:bCs w:val="0"/>
                <w:color w:val="auto"/>
                <w:sz w:val="16"/>
                <w:szCs w:val="16"/>
              </w:rPr>
              <w:instrText xml:space="preserve"> SEQ Tabla_6. \* ARABIC </w:instrText>
            </w:r>
            <w:r w:rsidR="00990535" w:rsidRPr="00497E32">
              <w:rPr>
                <w:rFonts w:ascii="Arial" w:hAnsi="Arial" w:cs="Arial"/>
                <w:bCs w:val="0"/>
                <w:color w:val="auto"/>
                <w:sz w:val="16"/>
                <w:szCs w:val="16"/>
              </w:rPr>
              <w:fldChar w:fldCharType="separate"/>
            </w:r>
            <w:r w:rsidR="00A242E0">
              <w:rPr>
                <w:rFonts w:ascii="Arial" w:hAnsi="Arial" w:cs="Arial"/>
                <w:bCs w:val="0"/>
                <w:noProof/>
                <w:color w:val="auto"/>
                <w:sz w:val="16"/>
                <w:szCs w:val="16"/>
              </w:rPr>
              <w:t>11</w:t>
            </w:r>
            <w:bookmarkEnd w:id="1160"/>
            <w:r w:rsidR="00990535" w:rsidRPr="00497E32">
              <w:rPr>
                <w:rFonts w:ascii="Arial" w:hAnsi="Arial" w:cs="Arial"/>
                <w:bCs w:val="0"/>
                <w:color w:val="auto"/>
                <w:sz w:val="16"/>
                <w:szCs w:val="16"/>
              </w:rPr>
              <w:fldChar w:fldCharType="end"/>
            </w:r>
          </w:p>
          <w:p w:rsidR="007E5BEA" w:rsidRDefault="007E5BEA" w:rsidP="007E5BEA">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Estimadores de los parámetros del modelo reducido del Nivel de instrucción de los estadounidenses (y = 1 = Universitario; y =  0 = No Universitario)</w:t>
            </w:r>
          </w:p>
          <w:p w:rsidR="005C75BB" w:rsidRPr="003D21E9" w:rsidRDefault="005C75BB" w:rsidP="005C75BB">
            <w:pPr>
              <w:rPr>
                <w:rFonts w:ascii="Arial" w:hAnsi="Arial" w:cs="Arial"/>
                <w:i/>
                <w:sz w:val="10"/>
                <w:szCs w:val="10"/>
              </w:rPr>
            </w:pPr>
          </w:p>
          <w:tbl>
            <w:tblPr>
              <w:tblW w:w="7048" w:type="dxa"/>
              <w:jc w:val="center"/>
              <w:tblCellMar>
                <w:left w:w="70" w:type="dxa"/>
                <w:right w:w="70" w:type="dxa"/>
              </w:tblCellMar>
              <w:tblLook w:val="04A0" w:firstRow="1" w:lastRow="0" w:firstColumn="1" w:lastColumn="0" w:noHBand="0" w:noVBand="1"/>
            </w:tblPr>
            <w:tblGrid>
              <w:gridCol w:w="1015"/>
              <w:gridCol w:w="1062"/>
              <w:gridCol w:w="859"/>
              <w:gridCol w:w="727"/>
              <w:gridCol w:w="1822"/>
              <w:gridCol w:w="525"/>
              <w:gridCol w:w="1038"/>
            </w:tblGrid>
            <w:tr w:rsidR="005C75BB" w:rsidRPr="008B51F1" w:rsidTr="007E5BEA">
              <w:trPr>
                <w:trHeight w:val="20"/>
                <w:jc w:val="center"/>
              </w:trPr>
              <w:tc>
                <w:tcPr>
                  <w:tcW w:w="1015" w:type="dxa"/>
                  <w:tcBorders>
                    <w:top w:val="single" w:sz="4" w:space="0" w:color="auto"/>
                    <w:left w:val="nil"/>
                    <w:bottom w:val="single" w:sz="4" w:space="0" w:color="auto"/>
                    <w:right w:val="nil"/>
                  </w:tcBorders>
                  <w:shd w:val="clear" w:color="auto" w:fill="auto"/>
                  <w:noWrap/>
                  <w:vAlign w:val="center"/>
                  <w:hideMark/>
                </w:tcPr>
                <w:p w:rsidR="005C75BB" w:rsidRPr="008B51F1" w:rsidRDefault="005C75BB" w:rsidP="005C75BB">
                  <w:pPr>
                    <w:rPr>
                      <w:rFonts w:ascii="Arial" w:eastAsia="Times New Roman" w:hAnsi="Arial" w:cs="Arial"/>
                      <w:b/>
                      <w:bCs/>
                      <w:color w:val="000000"/>
                      <w:sz w:val="14"/>
                      <w:szCs w:val="14"/>
                      <w:lang w:eastAsia="es-EC"/>
                    </w:rPr>
                  </w:pPr>
                  <w:r w:rsidRPr="008B51F1">
                    <w:rPr>
                      <w:rFonts w:ascii="Arial" w:eastAsia="Times New Roman" w:hAnsi="Arial" w:cs="Arial"/>
                      <w:b/>
                      <w:bCs/>
                      <w:color w:val="000000"/>
                      <w:sz w:val="14"/>
                      <w:szCs w:val="14"/>
                      <w:lang w:eastAsia="es-EC"/>
                    </w:rPr>
                    <w:t>Variable</w:t>
                  </w:r>
                </w:p>
              </w:tc>
              <w:tc>
                <w:tcPr>
                  <w:tcW w:w="1063" w:type="dxa"/>
                  <w:tcBorders>
                    <w:top w:val="single" w:sz="4" w:space="0" w:color="auto"/>
                    <w:left w:val="nil"/>
                    <w:bottom w:val="single" w:sz="4" w:space="0" w:color="auto"/>
                    <w:right w:val="nil"/>
                  </w:tcBorders>
                  <w:vAlign w:val="center"/>
                </w:tcPr>
                <w:p w:rsidR="005C75BB" w:rsidRPr="008B51F1" w:rsidRDefault="005C75BB" w:rsidP="007E5BEA">
                  <w:pPr>
                    <w:rPr>
                      <w:rFonts w:ascii="Arial" w:eastAsia="Times New Roman" w:hAnsi="Arial" w:cs="Arial"/>
                      <w:b/>
                      <w:bCs/>
                      <w:color w:val="000000"/>
                      <w:sz w:val="14"/>
                      <w:szCs w:val="14"/>
                      <w:lang w:eastAsia="es-EC"/>
                    </w:rPr>
                  </w:pPr>
                  <w:r>
                    <w:rPr>
                      <w:rFonts w:ascii="Arial" w:eastAsia="Times New Roman" w:hAnsi="Arial" w:cs="Arial"/>
                      <w:b/>
                      <w:bCs/>
                      <w:color w:val="000000"/>
                      <w:sz w:val="14"/>
                      <w:szCs w:val="14"/>
                      <w:lang w:eastAsia="es-EC"/>
                    </w:rPr>
                    <w:t>Codificación</w:t>
                  </w:r>
                </w:p>
              </w:tc>
              <w:tc>
                <w:tcPr>
                  <w:tcW w:w="859" w:type="dxa"/>
                  <w:tcBorders>
                    <w:top w:val="single" w:sz="4" w:space="0" w:color="auto"/>
                    <w:left w:val="nil"/>
                    <w:bottom w:val="single" w:sz="4" w:space="0" w:color="auto"/>
                    <w:right w:val="nil"/>
                  </w:tcBorders>
                  <w:shd w:val="clear" w:color="auto" w:fill="auto"/>
                  <w:vAlign w:val="center"/>
                  <w:hideMark/>
                </w:tcPr>
                <w:p w:rsidR="005C75BB" w:rsidRPr="008B51F1" w:rsidRDefault="005C75BB" w:rsidP="005C75BB">
                  <w:pPr>
                    <w:rPr>
                      <w:rFonts w:ascii="Arial" w:eastAsia="Times New Roman" w:hAnsi="Arial" w:cs="Arial"/>
                      <w:b/>
                      <w:bCs/>
                      <w:color w:val="000000"/>
                      <w:sz w:val="14"/>
                      <w:szCs w:val="14"/>
                      <w:lang w:eastAsia="es-EC"/>
                    </w:rPr>
                  </w:pPr>
                  <w:r w:rsidRPr="008B51F1">
                    <w:rPr>
                      <w:rFonts w:ascii="Arial" w:eastAsia="Times New Roman" w:hAnsi="Arial" w:cs="Arial"/>
                      <w:b/>
                      <w:bCs/>
                      <w:color w:val="000000"/>
                      <w:sz w:val="14"/>
                      <w:szCs w:val="14"/>
                      <w:lang w:eastAsia="es-EC"/>
                    </w:rPr>
                    <w:t>Estimador</w:t>
                  </w:r>
                </w:p>
              </w:tc>
              <w:tc>
                <w:tcPr>
                  <w:tcW w:w="727" w:type="dxa"/>
                  <w:tcBorders>
                    <w:top w:val="single" w:sz="4" w:space="0" w:color="auto"/>
                    <w:left w:val="nil"/>
                    <w:bottom w:val="single" w:sz="4" w:space="0" w:color="auto"/>
                    <w:right w:val="nil"/>
                  </w:tcBorders>
                  <w:shd w:val="clear" w:color="auto" w:fill="auto"/>
                  <w:vAlign w:val="center"/>
                  <w:hideMark/>
                </w:tcPr>
                <w:p w:rsidR="005C75BB" w:rsidRPr="008B51F1" w:rsidRDefault="005C75BB" w:rsidP="005C75BB">
                  <w:pPr>
                    <w:rPr>
                      <w:rFonts w:ascii="Arial" w:eastAsia="Times New Roman" w:hAnsi="Arial" w:cs="Arial"/>
                      <w:b/>
                      <w:bCs/>
                      <w:color w:val="000000"/>
                      <w:sz w:val="14"/>
                      <w:szCs w:val="14"/>
                      <w:lang w:eastAsia="es-EC"/>
                    </w:rPr>
                  </w:pPr>
                  <w:r w:rsidRPr="008B51F1">
                    <w:rPr>
                      <w:rFonts w:ascii="Arial" w:eastAsia="Times New Roman" w:hAnsi="Arial" w:cs="Arial"/>
                      <w:b/>
                      <w:bCs/>
                      <w:color w:val="000000"/>
                      <w:sz w:val="14"/>
                      <w:szCs w:val="14"/>
                      <w:lang w:eastAsia="es-EC"/>
                    </w:rPr>
                    <w:t>Signo</w:t>
                  </w:r>
                </w:p>
              </w:tc>
              <w:tc>
                <w:tcPr>
                  <w:tcW w:w="1836" w:type="dxa"/>
                  <w:tcBorders>
                    <w:top w:val="single" w:sz="4" w:space="0" w:color="auto"/>
                    <w:left w:val="nil"/>
                    <w:bottom w:val="single" w:sz="4" w:space="0" w:color="auto"/>
                    <w:right w:val="nil"/>
                  </w:tcBorders>
                  <w:shd w:val="clear" w:color="auto" w:fill="auto"/>
                  <w:vAlign w:val="center"/>
                  <w:hideMark/>
                </w:tcPr>
                <w:p w:rsidR="005C75BB" w:rsidRPr="008B51F1" w:rsidRDefault="005C75BB" w:rsidP="005C75BB">
                  <w:pPr>
                    <w:rPr>
                      <w:rFonts w:ascii="Arial" w:eastAsia="Times New Roman" w:hAnsi="Arial" w:cs="Arial"/>
                      <w:b/>
                      <w:bCs/>
                      <w:color w:val="000000"/>
                      <w:sz w:val="14"/>
                      <w:szCs w:val="14"/>
                      <w:lang w:eastAsia="es-EC"/>
                    </w:rPr>
                  </w:pPr>
                  <w:r w:rsidRPr="008B51F1">
                    <w:rPr>
                      <w:rFonts w:ascii="Arial" w:eastAsia="Times New Roman" w:hAnsi="Arial" w:cs="Arial"/>
                      <w:b/>
                      <w:bCs/>
                      <w:color w:val="000000"/>
                      <w:sz w:val="14"/>
                      <w:szCs w:val="14"/>
                      <w:lang w:eastAsia="es-EC"/>
                    </w:rPr>
                    <w:t>Explicación</w:t>
                  </w:r>
                </w:p>
              </w:tc>
              <w:tc>
                <w:tcPr>
                  <w:tcW w:w="510" w:type="dxa"/>
                  <w:tcBorders>
                    <w:top w:val="single" w:sz="4" w:space="0" w:color="auto"/>
                    <w:left w:val="nil"/>
                    <w:bottom w:val="single" w:sz="4" w:space="0" w:color="auto"/>
                    <w:right w:val="nil"/>
                  </w:tcBorders>
                  <w:shd w:val="clear" w:color="auto" w:fill="auto"/>
                  <w:vAlign w:val="center"/>
                  <w:hideMark/>
                </w:tcPr>
                <w:p w:rsidR="005C75BB" w:rsidRPr="008B51F1" w:rsidRDefault="005C75BB" w:rsidP="005C75BB">
                  <w:pPr>
                    <w:rPr>
                      <w:rFonts w:ascii="Arial" w:eastAsia="Times New Roman" w:hAnsi="Arial" w:cs="Arial"/>
                      <w:b/>
                      <w:bCs/>
                      <w:color w:val="000000"/>
                      <w:sz w:val="14"/>
                      <w:szCs w:val="14"/>
                      <w:lang w:eastAsia="es-EC"/>
                    </w:rPr>
                  </w:pPr>
                  <w:r w:rsidRPr="008B51F1">
                    <w:rPr>
                      <w:rFonts w:ascii="Arial" w:eastAsia="Times New Roman" w:hAnsi="Arial" w:cs="Arial"/>
                      <w:b/>
                      <w:bCs/>
                      <w:color w:val="000000"/>
                      <w:sz w:val="14"/>
                      <w:szCs w:val="14"/>
                      <w:lang w:eastAsia="es-EC"/>
                    </w:rPr>
                    <w:t>Valor p</w:t>
                  </w:r>
                </w:p>
              </w:tc>
              <w:tc>
                <w:tcPr>
                  <w:tcW w:w="1038" w:type="dxa"/>
                  <w:tcBorders>
                    <w:top w:val="single" w:sz="4" w:space="0" w:color="auto"/>
                    <w:left w:val="nil"/>
                    <w:bottom w:val="single" w:sz="4" w:space="0" w:color="auto"/>
                    <w:right w:val="nil"/>
                  </w:tcBorders>
                  <w:shd w:val="clear" w:color="auto" w:fill="auto"/>
                  <w:vAlign w:val="center"/>
                  <w:hideMark/>
                </w:tcPr>
                <w:p w:rsidR="005C75BB" w:rsidRPr="008B51F1" w:rsidRDefault="005C75BB" w:rsidP="005C75BB">
                  <w:pPr>
                    <w:rPr>
                      <w:rFonts w:ascii="Arial" w:eastAsia="Times New Roman" w:hAnsi="Arial" w:cs="Arial"/>
                      <w:b/>
                      <w:bCs/>
                      <w:color w:val="000000"/>
                      <w:sz w:val="14"/>
                      <w:szCs w:val="14"/>
                      <w:lang w:eastAsia="es-EC"/>
                    </w:rPr>
                  </w:pPr>
                  <w:r w:rsidRPr="008B51F1">
                    <w:rPr>
                      <w:rFonts w:ascii="Arial" w:eastAsia="Times New Roman" w:hAnsi="Arial" w:cs="Arial"/>
                      <w:b/>
                      <w:bCs/>
                      <w:color w:val="000000"/>
                      <w:sz w:val="14"/>
                      <w:szCs w:val="14"/>
                      <w:lang w:eastAsia="es-EC"/>
                    </w:rPr>
                    <w:t>Significancia</w:t>
                  </w:r>
                </w:p>
              </w:tc>
            </w:tr>
            <w:tr w:rsidR="005C75BB" w:rsidRPr="008B51F1" w:rsidTr="007E5BEA">
              <w:trPr>
                <w:trHeight w:val="567"/>
                <w:jc w:val="center"/>
              </w:trPr>
              <w:tc>
                <w:tcPr>
                  <w:tcW w:w="1015" w:type="dxa"/>
                  <w:tcBorders>
                    <w:top w:val="nil"/>
                    <w:left w:val="nil"/>
                    <w:bottom w:val="nil"/>
                    <w:right w:val="nil"/>
                  </w:tcBorders>
                  <w:shd w:val="clear" w:color="auto" w:fill="auto"/>
                  <w:noWrap/>
                  <w:vAlign w:val="center"/>
                </w:tcPr>
                <w:p w:rsidR="005C75BB" w:rsidRPr="008B51F1" w:rsidRDefault="005C75BB" w:rsidP="00497E32">
                  <w:pPr>
                    <w:jc w:val="left"/>
                    <w:rPr>
                      <w:rFonts w:ascii="Arial" w:hAnsi="Arial" w:cs="Arial"/>
                      <w:color w:val="000000"/>
                      <w:sz w:val="14"/>
                      <w:szCs w:val="14"/>
                    </w:rPr>
                  </w:pPr>
                  <w:r w:rsidRPr="008B51F1">
                    <w:rPr>
                      <w:rFonts w:ascii="Arial" w:hAnsi="Arial" w:cs="Arial"/>
                      <w:color w:val="000000"/>
                      <w:sz w:val="14"/>
                      <w:szCs w:val="14"/>
                    </w:rPr>
                    <w:t>Edad (X</w:t>
                  </w:r>
                  <w:r w:rsidRPr="008B51F1">
                    <w:rPr>
                      <w:rFonts w:ascii="Arial" w:hAnsi="Arial" w:cs="Arial"/>
                      <w:color w:val="000000"/>
                      <w:sz w:val="14"/>
                      <w:szCs w:val="14"/>
                      <w:vertAlign w:val="subscript"/>
                    </w:rPr>
                    <w:t>1</w:t>
                  </w:r>
                  <w:r w:rsidRPr="008B51F1">
                    <w:rPr>
                      <w:rFonts w:ascii="Arial" w:hAnsi="Arial" w:cs="Arial"/>
                      <w:color w:val="000000"/>
                      <w:sz w:val="14"/>
                      <w:szCs w:val="14"/>
                    </w:rPr>
                    <w:t>)</w:t>
                  </w:r>
                </w:p>
              </w:tc>
              <w:tc>
                <w:tcPr>
                  <w:tcW w:w="1063" w:type="dxa"/>
                  <w:tcBorders>
                    <w:top w:val="nil"/>
                    <w:left w:val="nil"/>
                    <w:bottom w:val="nil"/>
                    <w:right w:val="nil"/>
                  </w:tcBorders>
                  <w:vAlign w:val="center"/>
                </w:tcPr>
                <w:p w:rsidR="005C75BB" w:rsidRDefault="005C75BB" w:rsidP="00497E32">
                  <w:pPr>
                    <w:jc w:val="left"/>
                    <w:rPr>
                      <w:rFonts w:ascii="Arial" w:hAnsi="Arial" w:cs="Arial"/>
                      <w:color w:val="000000"/>
                      <w:sz w:val="14"/>
                      <w:szCs w:val="14"/>
                    </w:rPr>
                  </w:pPr>
                  <w:r>
                    <w:rPr>
                      <w:rFonts w:ascii="Arial" w:hAnsi="Arial" w:cs="Arial"/>
                      <w:color w:val="000000"/>
                      <w:sz w:val="14"/>
                      <w:szCs w:val="14"/>
                    </w:rPr>
                    <w:t>1: Menor de 25</w:t>
                  </w:r>
                </w:p>
                <w:p w:rsidR="005C75BB" w:rsidRPr="008B51F1" w:rsidRDefault="005C75BB" w:rsidP="00497E32">
                  <w:pPr>
                    <w:jc w:val="left"/>
                    <w:rPr>
                      <w:rFonts w:ascii="Arial" w:hAnsi="Arial" w:cs="Arial"/>
                      <w:color w:val="000000"/>
                      <w:sz w:val="14"/>
                      <w:szCs w:val="14"/>
                    </w:rPr>
                  </w:pPr>
                  <w:r>
                    <w:rPr>
                      <w:rFonts w:ascii="Arial" w:hAnsi="Arial" w:cs="Arial"/>
                      <w:color w:val="000000"/>
                      <w:sz w:val="14"/>
                      <w:szCs w:val="14"/>
                    </w:rPr>
                    <w:t>0: 25 años o más</w:t>
                  </w:r>
                </w:p>
              </w:tc>
              <w:tc>
                <w:tcPr>
                  <w:tcW w:w="859" w:type="dxa"/>
                  <w:tcBorders>
                    <w:top w:val="nil"/>
                    <w:left w:val="nil"/>
                    <w:bottom w:val="nil"/>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-0.501</w:t>
                  </w:r>
                </w:p>
              </w:tc>
              <w:tc>
                <w:tcPr>
                  <w:tcW w:w="727" w:type="dxa"/>
                  <w:tcBorders>
                    <w:top w:val="nil"/>
                    <w:left w:val="nil"/>
                    <w:bottom w:val="nil"/>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Negativo</w:t>
                  </w:r>
                </w:p>
              </w:tc>
              <w:tc>
                <w:tcPr>
                  <w:tcW w:w="1836" w:type="dxa"/>
                  <w:tcBorders>
                    <w:top w:val="nil"/>
                    <w:left w:val="nil"/>
                    <w:bottom w:val="nil"/>
                    <w:right w:val="nil"/>
                  </w:tcBorders>
                  <w:shd w:val="clear" w:color="auto" w:fill="auto"/>
                  <w:vAlign w:val="center"/>
                </w:tcPr>
                <w:p w:rsidR="005C75BB" w:rsidRPr="008B51F1" w:rsidRDefault="005C75BB" w:rsidP="00497E32">
                  <w:pPr>
                    <w:jc w:val="left"/>
                    <w:rPr>
                      <w:rFonts w:ascii="Arial" w:hAnsi="Arial" w:cs="Arial"/>
                      <w:color w:val="000000"/>
                      <w:sz w:val="14"/>
                      <w:szCs w:val="14"/>
                    </w:rPr>
                  </w:pPr>
                  <w:r w:rsidRPr="008B51F1">
                    <w:rPr>
                      <w:rFonts w:ascii="Arial" w:hAnsi="Arial" w:cs="Arial"/>
                      <w:color w:val="000000"/>
                      <w:sz w:val="14"/>
                      <w:szCs w:val="14"/>
                    </w:rPr>
                    <w:t>Tener menos de 25 años disminuye la probabilidad de tener hasta instrucción superior</w:t>
                  </w:r>
                </w:p>
              </w:tc>
              <w:tc>
                <w:tcPr>
                  <w:tcW w:w="510" w:type="dxa"/>
                  <w:tcBorders>
                    <w:top w:val="nil"/>
                    <w:left w:val="nil"/>
                    <w:bottom w:val="nil"/>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0.000</w:t>
                  </w:r>
                </w:p>
              </w:tc>
              <w:tc>
                <w:tcPr>
                  <w:tcW w:w="1038" w:type="dxa"/>
                  <w:tcBorders>
                    <w:top w:val="nil"/>
                    <w:left w:val="nil"/>
                    <w:bottom w:val="nil"/>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Sí</w:t>
                  </w:r>
                </w:p>
              </w:tc>
            </w:tr>
            <w:tr w:rsidR="005C75BB" w:rsidRPr="008B51F1" w:rsidTr="007E5BEA">
              <w:trPr>
                <w:trHeight w:val="794"/>
                <w:jc w:val="center"/>
              </w:trPr>
              <w:tc>
                <w:tcPr>
                  <w:tcW w:w="1015" w:type="dxa"/>
                  <w:tcBorders>
                    <w:top w:val="nil"/>
                    <w:left w:val="nil"/>
                    <w:bottom w:val="nil"/>
                    <w:right w:val="nil"/>
                  </w:tcBorders>
                  <w:shd w:val="clear" w:color="auto" w:fill="auto"/>
                  <w:noWrap/>
                  <w:vAlign w:val="center"/>
                </w:tcPr>
                <w:p w:rsidR="005C75BB" w:rsidRPr="008B51F1" w:rsidRDefault="005C75BB" w:rsidP="00497E32">
                  <w:pPr>
                    <w:jc w:val="left"/>
                    <w:rPr>
                      <w:rFonts w:ascii="Arial" w:hAnsi="Arial" w:cs="Arial"/>
                      <w:color w:val="000000"/>
                      <w:sz w:val="14"/>
                      <w:szCs w:val="14"/>
                    </w:rPr>
                  </w:pPr>
                  <w:r w:rsidRPr="008B51F1">
                    <w:rPr>
                      <w:rFonts w:ascii="Arial" w:hAnsi="Arial" w:cs="Arial"/>
                      <w:color w:val="000000"/>
                      <w:sz w:val="14"/>
                      <w:szCs w:val="14"/>
                    </w:rPr>
                    <w:t>Discapacidad (X</w:t>
                  </w:r>
                  <w:r w:rsidRPr="008B51F1">
                    <w:rPr>
                      <w:rFonts w:ascii="Arial" w:hAnsi="Arial" w:cs="Arial"/>
                      <w:color w:val="000000"/>
                      <w:sz w:val="14"/>
                      <w:szCs w:val="14"/>
                      <w:vertAlign w:val="subscript"/>
                    </w:rPr>
                    <w:t>2</w:t>
                  </w:r>
                  <w:r w:rsidRPr="008B51F1">
                    <w:rPr>
                      <w:rFonts w:ascii="Arial" w:hAnsi="Arial" w:cs="Arial"/>
                      <w:color w:val="000000"/>
                      <w:sz w:val="14"/>
                      <w:szCs w:val="14"/>
                    </w:rPr>
                    <w:t>)</w:t>
                  </w:r>
                </w:p>
              </w:tc>
              <w:tc>
                <w:tcPr>
                  <w:tcW w:w="1063" w:type="dxa"/>
                  <w:tcBorders>
                    <w:top w:val="nil"/>
                    <w:left w:val="nil"/>
                    <w:bottom w:val="nil"/>
                    <w:right w:val="nil"/>
                  </w:tcBorders>
                  <w:vAlign w:val="center"/>
                </w:tcPr>
                <w:p w:rsidR="005C75BB" w:rsidRDefault="005C75BB" w:rsidP="00497E32">
                  <w:pPr>
                    <w:jc w:val="left"/>
                    <w:rPr>
                      <w:rFonts w:ascii="Arial" w:hAnsi="Arial" w:cs="Arial"/>
                      <w:color w:val="000000"/>
                      <w:sz w:val="14"/>
                      <w:szCs w:val="14"/>
                    </w:rPr>
                  </w:pPr>
                  <w:r>
                    <w:rPr>
                      <w:rFonts w:ascii="Arial" w:hAnsi="Arial" w:cs="Arial"/>
                      <w:color w:val="000000"/>
                      <w:sz w:val="14"/>
                      <w:szCs w:val="14"/>
                    </w:rPr>
                    <w:t>1: Sí</w:t>
                  </w:r>
                </w:p>
                <w:p w:rsidR="005C75BB" w:rsidRPr="008B51F1" w:rsidRDefault="005C75BB" w:rsidP="00497E32">
                  <w:pPr>
                    <w:jc w:val="left"/>
                    <w:rPr>
                      <w:rFonts w:ascii="Arial" w:hAnsi="Arial" w:cs="Arial"/>
                      <w:color w:val="000000"/>
                      <w:sz w:val="14"/>
                      <w:szCs w:val="14"/>
                    </w:rPr>
                  </w:pPr>
                  <w:r>
                    <w:rPr>
                      <w:rFonts w:ascii="Arial" w:hAnsi="Arial" w:cs="Arial"/>
                      <w:color w:val="000000"/>
                      <w:sz w:val="14"/>
                      <w:szCs w:val="14"/>
                    </w:rPr>
                    <w:t>0: No</w:t>
                  </w:r>
                </w:p>
              </w:tc>
              <w:tc>
                <w:tcPr>
                  <w:tcW w:w="859" w:type="dxa"/>
                  <w:tcBorders>
                    <w:top w:val="nil"/>
                    <w:left w:val="nil"/>
                    <w:bottom w:val="nil"/>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-0.476</w:t>
                  </w:r>
                </w:p>
              </w:tc>
              <w:tc>
                <w:tcPr>
                  <w:tcW w:w="727" w:type="dxa"/>
                  <w:tcBorders>
                    <w:top w:val="nil"/>
                    <w:left w:val="nil"/>
                    <w:bottom w:val="nil"/>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Negativo</w:t>
                  </w:r>
                </w:p>
              </w:tc>
              <w:tc>
                <w:tcPr>
                  <w:tcW w:w="1836" w:type="dxa"/>
                  <w:tcBorders>
                    <w:top w:val="nil"/>
                    <w:left w:val="nil"/>
                    <w:bottom w:val="nil"/>
                    <w:right w:val="nil"/>
                  </w:tcBorders>
                  <w:shd w:val="clear" w:color="auto" w:fill="auto"/>
                  <w:vAlign w:val="center"/>
                </w:tcPr>
                <w:p w:rsidR="005C75BB" w:rsidRPr="008B51F1" w:rsidRDefault="005C75BB" w:rsidP="00497E32">
                  <w:pPr>
                    <w:jc w:val="left"/>
                    <w:rPr>
                      <w:rFonts w:ascii="Arial" w:hAnsi="Arial" w:cs="Arial"/>
                      <w:color w:val="000000"/>
                      <w:sz w:val="14"/>
                      <w:szCs w:val="14"/>
                    </w:rPr>
                  </w:pPr>
                  <w:r w:rsidRPr="008B51F1">
                    <w:rPr>
                      <w:rFonts w:ascii="Arial" w:hAnsi="Arial" w:cs="Arial"/>
                      <w:color w:val="000000"/>
                      <w:sz w:val="14"/>
                      <w:szCs w:val="14"/>
                    </w:rPr>
                    <w:t>Ser discapacitado disminuye la probabilidad de que los estadounidenses tengan hasta instrucción superior</w:t>
                  </w:r>
                </w:p>
              </w:tc>
              <w:tc>
                <w:tcPr>
                  <w:tcW w:w="510" w:type="dxa"/>
                  <w:tcBorders>
                    <w:top w:val="nil"/>
                    <w:left w:val="nil"/>
                    <w:bottom w:val="nil"/>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0.002</w:t>
                  </w:r>
                </w:p>
              </w:tc>
              <w:tc>
                <w:tcPr>
                  <w:tcW w:w="1038" w:type="dxa"/>
                  <w:tcBorders>
                    <w:top w:val="nil"/>
                    <w:left w:val="nil"/>
                    <w:bottom w:val="nil"/>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Sí</w:t>
                  </w:r>
                </w:p>
              </w:tc>
            </w:tr>
            <w:tr w:rsidR="005C75BB" w:rsidRPr="008B51F1" w:rsidTr="007E5BEA">
              <w:trPr>
                <w:trHeight w:val="510"/>
                <w:jc w:val="center"/>
              </w:trPr>
              <w:tc>
                <w:tcPr>
                  <w:tcW w:w="1015" w:type="dxa"/>
                  <w:tcBorders>
                    <w:top w:val="nil"/>
                    <w:left w:val="nil"/>
                    <w:right w:val="nil"/>
                  </w:tcBorders>
                  <w:shd w:val="clear" w:color="auto" w:fill="auto"/>
                  <w:noWrap/>
                  <w:vAlign w:val="center"/>
                </w:tcPr>
                <w:p w:rsidR="005C75BB" w:rsidRPr="008B51F1" w:rsidRDefault="005C75BB" w:rsidP="00497E32">
                  <w:pPr>
                    <w:jc w:val="left"/>
                    <w:rPr>
                      <w:rFonts w:ascii="Arial" w:hAnsi="Arial" w:cs="Arial"/>
                      <w:color w:val="000000"/>
                      <w:sz w:val="14"/>
                      <w:szCs w:val="14"/>
                    </w:rPr>
                  </w:pPr>
                  <w:r w:rsidRPr="008B51F1">
                    <w:rPr>
                      <w:rFonts w:ascii="Arial" w:hAnsi="Arial" w:cs="Arial"/>
                      <w:color w:val="000000"/>
                      <w:sz w:val="14"/>
                      <w:szCs w:val="14"/>
                    </w:rPr>
                    <w:t>Trabaja (X</w:t>
                  </w:r>
                  <w:r w:rsidRPr="008B51F1">
                    <w:rPr>
                      <w:rFonts w:ascii="Arial" w:hAnsi="Arial" w:cs="Arial"/>
                      <w:color w:val="000000"/>
                      <w:sz w:val="14"/>
                      <w:szCs w:val="14"/>
                      <w:vertAlign w:val="subscript"/>
                    </w:rPr>
                    <w:t>3</w:t>
                  </w:r>
                  <w:r w:rsidRPr="008B51F1">
                    <w:rPr>
                      <w:rFonts w:ascii="Arial" w:hAnsi="Arial" w:cs="Arial"/>
                      <w:color w:val="000000"/>
                      <w:sz w:val="14"/>
                      <w:szCs w:val="14"/>
                    </w:rPr>
                    <w:t>)</w:t>
                  </w:r>
                </w:p>
              </w:tc>
              <w:tc>
                <w:tcPr>
                  <w:tcW w:w="1063" w:type="dxa"/>
                  <w:tcBorders>
                    <w:top w:val="nil"/>
                    <w:left w:val="nil"/>
                    <w:right w:val="nil"/>
                  </w:tcBorders>
                  <w:vAlign w:val="center"/>
                </w:tcPr>
                <w:p w:rsidR="005C75BB" w:rsidRDefault="005C75BB" w:rsidP="00497E32">
                  <w:pPr>
                    <w:jc w:val="left"/>
                    <w:rPr>
                      <w:rFonts w:ascii="Arial" w:hAnsi="Arial" w:cs="Arial"/>
                      <w:color w:val="000000"/>
                      <w:sz w:val="14"/>
                      <w:szCs w:val="14"/>
                    </w:rPr>
                  </w:pPr>
                  <w:r>
                    <w:rPr>
                      <w:rFonts w:ascii="Arial" w:hAnsi="Arial" w:cs="Arial"/>
                      <w:color w:val="000000"/>
                      <w:sz w:val="14"/>
                      <w:szCs w:val="14"/>
                    </w:rPr>
                    <w:t>1: Trabaja</w:t>
                  </w:r>
                </w:p>
                <w:p w:rsidR="005C75BB" w:rsidRPr="008B51F1" w:rsidRDefault="005C75BB" w:rsidP="00497E32">
                  <w:pPr>
                    <w:jc w:val="left"/>
                    <w:rPr>
                      <w:rFonts w:ascii="Arial" w:hAnsi="Arial" w:cs="Arial"/>
                      <w:color w:val="000000"/>
                      <w:sz w:val="14"/>
                      <w:szCs w:val="14"/>
                    </w:rPr>
                  </w:pPr>
                  <w:r>
                    <w:rPr>
                      <w:rFonts w:ascii="Arial" w:hAnsi="Arial" w:cs="Arial"/>
                      <w:color w:val="000000"/>
                      <w:sz w:val="14"/>
                      <w:szCs w:val="14"/>
                    </w:rPr>
                    <w:t>0: No trabaja</w:t>
                  </w:r>
                </w:p>
              </w:tc>
              <w:tc>
                <w:tcPr>
                  <w:tcW w:w="859" w:type="dxa"/>
                  <w:tcBorders>
                    <w:top w:val="nil"/>
                    <w:left w:val="nil"/>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0.754</w:t>
                  </w:r>
                </w:p>
              </w:tc>
              <w:tc>
                <w:tcPr>
                  <w:tcW w:w="727" w:type="dxa"/>
                  <w:tcBorders>
                    <w:top w:val="nil"/>
                    <w:left w:val="nil"/>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Positivo</w:t>
                  </w:r>
                </w:p>
              </w:tc>
              <w:tc>
                <w:tcPr>
                  <w:tcW w:w="1836" w:type="dxa"/>
                  <w:tcBorders>
                    <w:top w:val="nil"/>
                    <w:left w:val="nil"/>
                    <w:right w:val="nil"/>
                  </w:tcBorders>
                  <w:shd w:val="clear" w:color="auto" w:fill="auto"/>
                  <w:vAlign w:val="center"/>
                </w:tcPr>
                <w:p w:rsidR="005C75BB" w:rsidRPr="008B51F1" w:rsidRDefault="005C75BB" w:rsidP="00497E32">
                  <w:pPr>
                    <w:jc w:val="left"/>
                    <w:rPr>
                      <w:rFonts w:ascii="Arial" w:hAnsi="Arial" w:cs="Arial"/>
                      <w:color w:val="000000"/>
                      <w:sz w:val="14"/>
                      <w:szCs w:val="14"/>
                    </w:rPr>
                  </w:pPr>
                  <w:r w:rsidRPr="008B51F1">
                    <w:rPr>
                      <w:rFonts w:ascii="Arial" w:hAnsi="Arial" w:cs="Arial"/>
                      <w:color w:val="000000"/>
                      <w:sz w:val="14"/>
                      <w:szCs w:val="14"/>
                    </w:rPr>
                    <w:t>Trabajar aumenta la probabilidad de tener instrucción superior</w:t>
                  </w:r>
                </w:p>
              </w:tc>
              <w:tc>
                <w:tcPr>
                  <w:tcW w:w="510" w:type="dxa"/>
                  <w:tcBorders>
                    <w:top w:val="nil"/>
                    <w:left w:val="nil"/>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0.000</w:t>
                  </w:r>
                </w:p>
              </w:tc>
              <w:tc>
                <w:tcPr>
                  <w:tcW w:w="1038" w:type="dxa"/>
                  <w:tcBorders>
                    <w:top w:val="nil"/>
                    <w:left w:val="nil"/>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Sí</w:t>
                  </w:r>
                </w:p>
              </w:tc>
            </w:tr>
            <w:tr w:rsidR="005C75BB" w:rsidRPr="008B51F1" w:rsidTr="007E5BEA">
              <w:trPr>
                <w:trHeight w:val="227"/>
                <w:jc w:val="center"/>
              </w:trPr>
              <w:tc>
                <w:tcPr>
                  <w:tcW w:w="1015" w:type="dxa"/>
                  <w:tcBorders>
                    <w:top w:val="nil"/>
                    <w:left w:val="nil"/>
                    <w:bottom w:val="single" w:sz="4" w:space="0" w:color="auto"/>
                    <w:right w:val="nil"/>
                  </w:tcBorders>
                  <w:shd w:val="clear" w:color="auto" w:fill="auto"/>
                  <w:noWrap/>
                  <w:vAlign w:val="center"/>
                </w:tcPr>
                <w:p w:rsidR="005C75BB" w:rsidRPr="008B51F1" w:rsidRDefault="005C75BB" w:rsidP="00497E32">
                  <w:pPr>
                    <w:jc w:val="left"/>
                    <w:rPr>
                      <w:rFonts w:ascii="Arial" w:hAnsi="Arial" w:cs="Arial"/>
                      <w:color w:val="000000"/>
                      <w:sz w:val="14"/>
                      <w:szCs w:val="14"/>
                    </w:rPr>
                  </w:pPr>
                  <w:r w:rsidRPr="008B51F1">
                    <w:rPr>
                      <w:rFonts w:ascii="Arial" w:hAnsi="Arial" w:cs="Arial"/>
                      <w:color w:val="000000"/>
                      <w:sz w:val="14"/>
                      <w:szCs w:val="14"/>
                    </w:rPr>
                    <w:t>Constante</w:t>
                  </w:r>
                </w:p>
              </w:tc>
              <w:tc>
                <w:tcPr>
                  <w:tcW w:w="1063" w:type="dxa"/>
                  <w:tcBorders>
                    <w:top w:val="nil"/>
                    <w:left w:val="nil"/>
                    <w:bottom w:val="single" w:sz="4" w:space="0" w:color="auto"/>
                    <w:right w:val="nil"/>
                  </w:tcBorders>
                  <w:vAlign w:val="center"/>
                </w:tcPr>
                <w:p w:rsidR="005C75BB" w:rsidRPr="008B51F1" w:rsidRDefault="005C75BB" w:rsidP="00497E32">
                  <w:pPr>
                    <w:jc w:val="left"/>
                    <w:rPr>
                      <w:rFonts w:ascii="Arial" w:hAnsi="Arial" w:cs="Arial"/>
                      <w:color w:val="000000"/>
                      <w:sz w:val="14"/>
                      <w:szCs w:val="14"/>
                    </w:rPr>
                  </w:pPr>
                </w:p>
              </w:tc>
              <w:tc>
                <w:tcPr>
                  <w:tcW w:w="859" w:type="dxa"/>
                  <w:tcBorders>
                    <w:top w:val="nil"/>
                    <w:left w:val="nil"/>
                    <w:bottom w:val="single" w:sz="4" w:space="0" w:color="auto"/>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0.731</w:t>
                  </w:r>
                </w:p>
              </w:tc>
              <w:tc>
                <w:tcPr>
                  <w:tcW w:w="727" w:type="dxa"/>
                  <w:tcBorders>
                    <w:top w:val="nil"/>
                    <w:left w:val="nil"/>
                    <w:bottom w:val="single" w:sz="4" w:space="0" w:color="auto"/>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Positivo</w:t>
                  </w:r>
                </w:p>
              </w:tc>
              <w:tc>
                <w:tcPr>
                  <w:tcW w:w="1836" w:type="dxa"/>
                  <w:tcBorders>
                    <w:top w:val="nil"/>
                    <w:left w:val="nil"/>
                    <w:bottom w:val="single" w:sz="4" w:space="0" w:color="auto"/>
                    <w:right w:val="nil"/>
                  </w:tcBorders>
                  <w:shd w:val="clear" w:color="auto" w:fill="auto"/>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 </w:t>
                  </w:r>
                </w:p>
              </w:tc>
              <w:tc>
                <w:tcPr>
                  <w:tcW w:w="510" w:type="dxa"/>
                  <w:tcBorders>
                    <w:top w:val="nil"/>
                    <w:left w:val="nil"/>
                    <w:bottom w:val="single" w:sz="4" w:space="0" w:color="auto"/>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0.000</w:t>
                  </w:r>
                </w:p>
              </w:tc>
              <w:tc>
                <w:tcPr>
                  <w:tcW w:w="1038" w:type="dxa"/>
                  <w:tcBorders>
                    <w:top w:val="nil"/>
                    <w:left w:val="nil"/>
                    <w:bottom w:val="single" w:sz="4" w:space="0" w:color="auto"/>
                    <w:right w:val="nil"/>
                  </w:tcBorders>
                  <w:shd w:val="clear" w:color="auto" w:fill="auto"/>
                  <w:noWrap/>
                  <w:vAlign w:val="center"/>
                </w:tcPr>
                <w:p w:rsidR="005C75BB" w:rsidRPr="008B51F1" w:rsidRDefault="005C75BB" w:rsidP="005C75BB">
                  <w:pPr>
                    <w:rPr>
                      <w:rFonts w:ascii="Arial" w:hAnsi="Arial" w:cs="Arial"/>
                      <w:color w:val="000000"/>
                      <w:sz w:val="14"/>
                      <w:szCs w:val="14"/>
                    </w:rPr>
                  </w:pPr>
                  <w:r w:rsidRPr="008B51F1">
                    <w:rPr>
                      <w:rFonts w:ascii="Arial" w:hAnsi="Arial" w:cs="Arial"/>
                      <w:color w:val="000000"/>
                      <w:sz w:val="14"/>
                      <w:szCs w:val="14"/>
                    </w:rPr>
                    <w:t>Sí</w:t>
                  </w:r>
                </w:p>
              </w:tc>
            </w:tr>
          </w:tbl>
          <w:p w:rsidR="005C75BB" w:rsidRPr="009E7D5B" w:rsidRDefault="005C75BB" w:rsidP="005C75BB">
            <w:pPr>
              <w:rPr>
                <w:rFonts w:ascii="Arial" w:hAnsi="Arial" w:cs="Arial"/>
                <w:sz w:val="20"/>
                <w:szCs w:val="20"/>
              </w:rPr>
            </w:pPr>
          </w:p>
        </w:tc>
      </w:tr>
    </w:tbl>
    <w:p w:rsidR="005C75BB" w:rsidRPr="007E5BEA" w:rsidRDefault="005C75BB" w:rsidP="007E5BEA">
      <w:pPr>
        <w:pStyle w:val="Prrafodelista"/>
        <w:spacing w:line="276" w:lineRule="auto"/>
        <w:ind w:left="851"/>
        <w:jc w:val="both"/>
        <w:rPr>
          <w:rFonts w:ascii="Arial" w:hAnsi="Arial" w:cs="Arial"/>
          <w:sz w:val="17"/>
          <w:szCs w:val="17"/>
        </w:rPr>
      </w:pPr>
    </w:p>
    <w:p w:rsidR="005C75BB" w:rsidRPr="007E5BEA" w:rsidRDefault="005C75BB" w:rsidP="007E5BEA">
      <w:pPr>
        <w:pStyle w:val="Prrafodelista"/>
        <w:spacing w:line="276" w:lineRule="auto"/>
        <w:ind w:left="851"/>
        <w:jc w:val="both"/>
        <w:rPr>
          <w:rFonts w:ascii="Arial" w:hAnsi="Arial" w:cs="Arial"/>
          <w:sz w:val="17"/>
          <w:szCs w:val="17"/>
        </w:rPr>
      </w:pPr>
      <w:r w:rsidRPr="007E5BEA">
        <w:rPr>
          <w:rFonts w:ascii="Arial" w:hAnsi="Arial" w:cs="Arial"/>
          <w:b/>
          <w:i/>
          <w:sz w:val="17"/>
          <w:szCs w:val="17"/>
        </w:rPr>
        <w:t>Fuente:</w:t>
      </w:r>
      <w:r w:rsidRPr="007E5BEA">
        <w:rPr>
          <w:rFonts w:ascii="Arial" w:hAnsi="Arial" w:cs="Arial"/>
          <w:sz w:val="17"/>
          <w:szCs w:val="17"/>
        </w:rPr>
        <w:t xml:space="preserve"> </w:t>
      </w:r>
      <w:r w:rsidRPr="007E5BEA">
        <w:rPr>
          <w:rFonts w:ascii="Arial" w:hAnsi="Arial" w:cs="Arial"/>
          <w:b/>
          <w:sz w:val="17"/>
          <w:szCs w:val="17"/>
        </w:rPr>
        <w:t xml:space="preserve">INEC </w:t>
      </w:r>
      <w:r w:rsidRPr="007E5BEA">
        <w:rPr>
          <w:rFonts w:ascii="Arial" w:hAnsi="Arial" w:cs="Arial"/>
          <w:sz w:val="17"/>
          <w:szCs w:val="17"/>
        </w:rPr>
        <w:t>(2010), Base de Datos del VII Censo de Población y VI de Vivienda.</w:t>
      </w:r>
    </w:p>
    <w:p w:rsidR="005C75BB" w:rsidRDefault="005C75BB" w:rsidP="007E5BEA">
      <w:pPr>
        <w:pStyle w:val="Prrafodelista"/>
        <w:spacing w:line="276" w:lineRule="auto"/>
        <w:ind w:left="851"/>
        <w:jc w:val="both"/>
        <w:rPr>
          <w:rFonts w:ascii="Arial" w:hAnsi="Arial" w:cs="Arial"/>
          <w:sz w:val="18"/>
          <w:szCs w:val="18"/>
        </w:rPr>
      </w:pPr>
      <w:r w:rsidRPr="007E5BEA">
        <w:rPr>
          <w:rFonts w:ascii="Arial" w:hAnsi="Arial" w:cs="Arial"/>
          <w:b/>
          <w:i/>
          <w:sz w:val="17"/>
          <w:szCs w:val="17"/>
        </w:rPr>
        <w:t>Elaborado por:</w:t>
      </w:r>
      <w:r w:rsidRPr="007E5BEA">
        <w:rPr>
          <w:rFonts w:ascii="Arial" w:hAnsi="Arial" w:cs="Arial"/>
          <w:sz w:val="17"/>
          <w:szCs w:val="17"/>
        </w:rPr>
        <w:t xml:space="preserve"> Katherine Loor Valeriano</w:t>
      </w:r>
    </w:p>
    <w:p w:rsidR="005C75BB" w:rsidRPr="007E5BEA" w:rsidRDefault="005C75BB" w:rsidP="007E5BEA">
      <w:pPr>
        <w:spacing w:line="480" w:lineRule="auto"/>
        <w:ind w:left="851"/>
        <w:jc w:val="both"/>
        <w:rPr>
          <w:rFonts w:ascii="Arial" w:hAnsi="Arial" w:cs="Arial"/>
        </w:rPr>
      </w:pPr>
      <w:bookmarkStart w:id="1161" w:name="_Toc339853248"/>
      <w:bookmarkStart w:id="1162" w:name="_Toc340232018"/>
      <w:r w:rsidRPr="007E5BEA">
        <w:rPr>
          <w:rFonts w:ascii="Arial" w:hAnsi="Arial" w:cs="Arial"/>
        </w:rPr>
        <w:t>Bajo este nuevo modelo, el 99.72% de los estadounidenses que tienen hasta instrucción superior fueron clasificados correctamente.; y, el 0.92% de los estadounidenses mayores de 17 años que residen en el país y que no tienen instrucción superior fueron clasificados correctamente. V</w:t>
      </w:r>
      <w:r w:rsidRPr="007E5BEA">
        <w:rPr>
          <w:rFonts w:ascii="Arial" w:hAnsi="Arial" w:cs="Arial"/>
          <w:i/>
        </w:rPr>
        <w:t>éase Tabla 6.12.</w:t>
      </w:r>
      <w:bookmarkEnd w:id="1161"/>
      <w:bookmarkEnd w:id="1162"/>
    </w:p>
    <w:tbl>
      <w:tblPr>
        <w:tblStyle w:val="Tablaconcuadrcula"/>
        <w:tblW w:w="7497" w:type="dxa"/>
        <w:jc w:val="right"/>
        <w:tblInd w:w="959"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7497"/>
      </w:tblGrid>
      <w:tr w:rsidR="005C75BB" w:rsidRPr="003559D6" w:rsidTr="007E5BEA">
        <w:trPr>
          <w:trHeight w:val="2438"/>
          <w:jc w:val="right"/>
        </w:trPr>
        <w:tc>
          <w:tcPr>
            <w:tcW w:w="7497" w:type="dxa"/>
          </w:tcPr>
          <w:p w:rsidR="005C75BB" w:rsidRPr="00434327" w:rsidRDefault="005C75BB" w:rsidP="005C75BB">
            <w:pPr>
              <w:rPr>
                <w:rFonts w:ascii="Arial" w:hAnsi="Arial" w:cs="Arial"/>
                <w:sz w:val="16"/>
                <w:szCs w:val="16"/>
              </w:rPr>
            </w:pPr>
          </w:p>
          <w:p w:rsidR="00497E32" w:rsidRPr="00497E32" w:rsidRDefault="00497E32" w:rsidP="00497E32">
            <w:pPr>
              <w:pStyle w:val="Epgrafe"/>
              <w:rPr>
                <w:rFonts w:ascii="Arial" w:hAnsi="Arial" w:cs="Arial"/>
                <w:bCs w:val="0"/>
                <w:color w:val="auto"/>
                <w:sz w:val="16"/>
                <w:szCs w:val="16"/>
              </w:rPr>
            </w:pPr>
            <w:bookmarkStart w:id="1163" w:name="_Toc341042358"/>
            <w:r>
              <w:rPr>
                <w:rFonts w:ascii="Arial" w:hAnsi="Arial" w:cs="Arial"/>
                <w:bCs w:val="0"/>
                <w:color w:val="auto"/>
                <w:sz w:val="16"/>
                <w:szCs w:val="16"/>
              </w:rPr>
              <w:t>Tabla 6.</w:t>
            </w:r>
            <w:r w:rsidR="00990535" w:rsidRPr="00497E32">
              <w:rPr>
                <w:rFonts w:ascii="Arial" w:hAnsi="Arial" w:cs="Arial"/>
                <w:bCs w:val="0"/>
                <w:color w:val="auto"/>
                <w:sz w:val="16"/>
                <w:szCs w:val="16"/>
              </w:rPr>
              <w:fldChar w:fldCharType="begin"/>
            </w:r>
            <w:r w:rsidRPr="00497E32">
              <w:rPr>
                <w:rFonts w:ascii="Arial" w:hAnsi="Arial" w:cs="Arial"/>
                <w:bCs w:val="0"/>
                <w:color w:val="auto"/>
                <w:sz w:val="16"/>
                <w:szCs w:val="16"/>
              </w:rPr>
              <w:instrText xml:space="preserve"> SEQ Tabla_6. \* ARABIC </w:instrText>
            </w:r>
            <w:r w:rsidR="00990535" w:rsidRPr="00497E32">
              <w:rPr>
                <w:rFonts w:ascii="Arial" w:hAnsi="Arial" w:cs="Arial"/>
                <w:bCs w:val="0"/>
                <w:color w:val="auto"/>
                <w:sz w:val="16"/>
                <w:szCs w:val="16"/>
              </w:rPr>
              <w:fldChar w:fldCharType="separate"/>
            </w:r>
            <w:r w:rsidR="00A242E0">
              <w:rPr>
                <w:rFonts w:ascii="Arial" w:hAnsi="Arial" w:cs="Arial"/>
                <w:bCs w:val="0"/>
                <w:noProof/>
                <w:color w:val="auto"/>
                <w:sz w:val="16"/>
                <w:szCs w:val="16"/>
              </w:rPr>
              <w:t>12</w:t>
            </w:r>
            <w:bookmarkEnd w:id="1163"/>
            <w:r w:rsidR="00990535" w:rsidRPr="00497E32">
              <w:rPr>
                <w:rFonts w:ascii="Arial" w:hAnsi="Arial" w:cs="Arial"/>
                <w:bCs w:val="0"/>
                <w:color w:val="auto"/>
                <w:sz w:val="16"/>
                <w:szCs w:val="16"/>
              </w:rPr>
              <w:fldChar w:fldCharType="end"/>
            </w:r>
          </w:p>
          <w:p w:rsidR="007E5BEA" w:rsidRDefault="007E5BEA" w:rsidP="007E5BEA">
            <w:pPr>
              <w:rPr>
                <w:rFonts w:ascii="Arial" w:hAnsi="Arial" w:cs="Arial"/>
                <w:i/>
                <w:sz w:val="16"/>
                <w:szCs w:val="16"/>
              </w:rPr>
            </w:pPr>
            <w:r>
              <w:rPr>
                <w:rFonts w:ascii="Arial" w:hAnsi="Arial" w:cs="Arial"/>
                <w:b/>
                <w:i/>
                <w:sz w:val="16"/>
                <w:szCs w:val="16"/>
              </w:rPr>
              <w:t xml:space="preserve">Ecuador 2010: </w:t>
            </w:r>
            <w:r>
              <w:rPr>
                <w:rFonts w:ascii="Arial" w:hAnsi="Arial" w:cs="Arial"/>
                <w:i/>
                <w:sz w:val="16"/>
                <w:szCs w:val="16"/>
              </w:rPr>
              <w:t xml:space="preserve">Tabla de Clasificación del Nivel de instrucción de los estadounidenses </w:t>
            </w:r>
          </w:p>
          <w:p w:rsidR="007E5BEA" w:rsidRDefault="007E5BEA" w:rsidP="007E5BEA">
            <w:pPr>
              <w:rPr>
                <w:rFonts w:ascii="Arial" w:hAnsi="Arial" w:cs="Arial"/>
                <w:i/>
                <w:sz w:val="16"/>
                <w:szCs w:val="16"/>
              </w:rPr>
            </w:pPr>
            <w:r>
              <w:rPr>
                <w:rFonts w:ascii="Arial" w:hAnsi="Arial" w:cs="Arial"/>
                <w:i/>
                <w:sz w:val="16"/>
                <w:szCs w:val="16"/>
              </w:rPr>
              <w:t>(y = 1 = Universitario; y =  0 = No Universitario)</w:t>
            </w:r>
          </w:p>
          <w:p w:rsidR="005C75BB" w:rsidRPr="003D21E9" w:rsidRDefault="005C75BB" w:rsidP="005C75BB">
            <w:pPr>
              <w:rPr>
                <w:rFonts w:ascii="Arial" w:hAnsi="Arial" w:cs="Arial"/>
                <w:i/>
                <w:sz w:val="10"/>
                <w:szCs w:val="10"/>
              </w:rPr>
            </w:pPr>
          </w:p>
          <w:tbl>
            <w:tblPr>
              <w:tblW w:w="7037" w:type="dxa"/>
              <w:jc w:val="center"/>
              <w:tblCellMar>
                <w:left w:w="70" w:type="dxa"/>
                <w:right w:w="70" w:type="dxa"/>
              </w:tblCellMar>
              <w:tblLook w:val="04A0" w:firstRow="1" w:lastRow="0" w:firstColumn="1" w:lastColumn="0" w:noHBand="0" w:noVBand="1"/>
            </w:tblPr>
            <w:tblGrid>
              <w:gridCol w:w="1192"/>
              <w:gridCol w:w="1242"/>
              <w:gridCol w:w="1785"/>
              <w:gridCol w:w="1642"/>
              <w:gridCol w:w="1176"/>
            </w:tblGrid>
            <w:tr w:rsidR="005C75BB" w:rsidRPr="003041FD" w:rsidTr="005C75BB">
              <w:trPr>
                <w:trHeight w:val="20"/>
                <w:jc w:val="center"/>
              </w:trPr>
              <w:tc>
                <w:tcPr>
                  <w:tcW w:w="2401" w:type="dxa"/>
                  <w:gridSpan w:val="2"/>
                  <w:vMerge w:val="restart"/>
                  <w:tcBorders>
                    <w:top w:val="single" w:sz="4" w:space="0" w:color="auto"/>
                    <w:left w:val="nil"/>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Observado</w:t>
                  </w:r>
                </w:p>
              </w:tc>
              <w:tc>
                <w:tcPr>
                  <w:tcW w:w="3455" w:type="dxa"/>
                  <w:gridSpan w:val="2"/>
                  <w:tcBorders>
                    <w:top w:val="single" w:sz="4" w:space="0" w:color="auto"/>
                    <w:left w:val="nil"/>
                    <w:bottom w:val="nil"/>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Predicción</w:t>
                  </w:r>
                </w:p>
              </w:tc>
              <w:tc>
                <w:tcPr>
                  <w:tcW w:w="1181" w:type="dxa"/>
                  <w:vMerge w:val="restart"/>
                  <w:tcBorders>
                    <w:top w:val="single" w:sz="4" w:space="0" w:color="auto"/>
                    <w:left w:val="nil"/>
                    <w:bottom w:val="single" w:sz="4" w:space="0" w:color="000000"/>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sidRPr="003041FD">
                    <w:rPr>
                      <w:rFonts w:ascii="Arial" w:eastAsia="Times New Roman" w:hAnsi="Arial" w:cs="Arial"/>
                      <w:b/>
                      <w:bCs/>
                      <w:color w:val="000000"/>
                      <w:sz w:val="16"/>
                      <w:szCs w:val="16"/>
                      <w:lang w:eastAsia="es-EC"/>
                    </w:rPr>
                    <w:t>Porcentaje correcto</w:t>
                  </w:r>
                </w:p>
              </w:tc>
            </w:tr>
            <w:tr w:rsidR="005C75BB" w:rsidRPr="003041FD" w:rsidTr="005C75BB">
              <w:trPr>
                <w:trHeight w:val="20"/>
                <w:jc w:val="center"/>
              </w:trPr>
              <w:tc>
                <w:tcPr>
                  <w:tcW w:w="2401" w:type="dxa"/>
                  <w:gridSpan w:val="2"/>
                  <w:vMerge/>
                  <w:tcBorders>
                    <w:left w:val="nil"/>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c>
                <w:tcPr>
                  <w:tcW w:w="3455" w:type="dxa"/>
                  <w:gridSpan w:val="2"/>
                  <w:tcBorders>
                    <w:top w:val="single" w:sz="4" w:space="0" w:color="auto"/>
                    <w:left w:val="nil"/>
                    <w:bottom w:val="single" w:sz="4" w:space="0" w:color="auto"/>
                    <w:right w:val="nil"/>
                  </w:tcBorders>
                  <w:shd w:val="clear" w:color="auto" w:fill="auto"/>
                  <w:vAlign w:val="center"/>
                  <w:hideMark/>
                </w:tcPr>
                <w:p w:rsidR="005C75BB" w:rsidRPr="003041FD" w:rsidRDefault="005C75BB" w:rsidP="005C75BB">
                  <w:pP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Universitario</w:t>
                  </w:r>
                </w:p>
              </w:tc>
              <w:tc>
                <w:tcPr>
                  <w:tcW w:w="1181" w:type="dxa"/>
                  <w:vMerge/>
                  <w:tcBorders>
                    <w:top w:val="single" w:sz="4" w:space="0" w:color="auto"/>
                    <w:left w:val="nil"/>
                    <w:bottom w:val="single" w:sz="4" w:space="0" w:color="000000"/>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r>
            <w:tr w:rsidR="005C75BB" w:rsidRPr="003041FD" w:rsidTr="005C75BB">
              <w:trPr>
                <w:trHeight w:val="20"/>
                <w:jc w:val="center"/>
              </w:trPr>
              <w:tc>
                <w:tcPr>
                  <w:tcW w:w="2401" w:type="dxa"/>
                  <w:gridSpan w:val="2"/>
                  <w:vMerge/>
                  <w:tcBorders>
                    <w:left w:val="nil"/>
                    <w:bottom w:val="single" w:sz="4" w:space="0" w:color="000000"/>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c>
                <w:tcPr>
                  <w:tcW w:w="1801" w:type="dxa"/>
                  <w:tcBorders>
                    <w:top w:val="nil"/>
                    <w:left w:val="nil"/>
                    <w:bottom w:val="single" w:sz="4" w:space="0" w:color="auto"/>
                    <w:right w:val="nil"/>
                  </w:tcBorders>
                  <w:shd w:val="clear" w:color="auto" w:fill="auto"/>
                  <w:vAlign w:val="center"/>
                </w:tcPr>
                <w:p w:rsidR="005C75BB" w:rsidRPr="003041FD" w:rsidRDefault="005C75BB" w:rsidP="005C75BB">
                  <w:pP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Universitario</w:t>
                  </w:r>
                </w:p>
              </w:tc>
              <w:tc>
                <w:tcPr>
                  <w:tcW w:w="1654" w:type="dxa"/>
                  <w:tcBorders>
                    <w:top w:val="nil"/>
                    <w:left w:val="nil"/>
                    <w:bottom w:val="single" w:sz="4" w:space="0" w:color="auto"/>
                    <w:right w:val="nil"/>
                  </w:tcBorders>
                  <w:shd w:val="clear" w:color="auto" w:fill="auto"/>
                  <w:vAlign w:val="center"/>
                </w:tcPr>
                <w:p w:rsidR="005C75BB" w:rsidRPr="003041FD" w:rsidRDefault="005C75BB" w:rsidP="005C75BB">
                  <w:pP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No Universitario</w:t>
                  </w:r>
                </w:p>
              </w:tc>
              <w:tc>
                <w:tcPr>
                  <w:tcW w:w="1181" w:type="dxa"/>
                  <w:vMerge/>
                  <w:tcBorders>
                    <w:top w:val="single" w:sz="4" w:space="0" w:color="auto"/>
                    <w:left w:val="nil"/>
                    <w:bottom w:val="single" w:sz="4" w:space="0" w:color="000000"/>
                    <w:right w:val="nil"/>
                  </w:tcBorders>
                  <w:vAlign w:val="center"/>
                  <w:hideMark/>
                </w:tcPr>
                <w:p w:rsidR="005C75BB" w:rsidRPr="003041FD" w:rsidRDefault="005C75BB" w:rsidP="005C75BB">
                  <w:pPr>
                    <w:rPr>
                      <w:rFonts w:ascii="Arial" w:eastAsia="Times New Roman" w:hAnsi="Arial" w:cs="Arial"/>
                      <w:b/>
                      <w:bCs/>
                      <w:color w:val="000000"/>
                      <w:sz w:val="16"/>
                      <w:szCs w:val="16"/>
                      <w:lang w:eastAsia="es-EC"/>
                    </w:rPr>
                  </w:pPr>
                </w:p>
              </w:tc>
            </w:tr>
            <w:tr w:rsidR="005C75BB" w:rsidRPr="003041FD" w:rsidTr="005C75BB">
              <w:trPr>
                <w:trHeight w:val="20"/>
                <w:jc w:val="center"/>
              </w:trPr>
              <w:tc>
                <w:tcPr>
                  <w:tcW w:w="1193" w:type="dxa"/>
                  <w:vMerge w:val="restart"/>
                  <w:tcBorders>
                    <w:top w:val="nil"/>
                    <w:left w:val="nil"/>
                    <w:bottom w:val="nil"/>
                    <w:right w:val="nil"/>
                  </w:tcBorders>
                  <w:shd w:val="clear" w:color="auto" w:fill="auto"/>
                  <w:vAlign w:val="center"/>
                  <w:hideMark/>
                </w:tcPr>
                <w:p w:rsidR="005C75BB" w:rsidRPr="003041FD" w:rsidRDefault="005C75BB" w:rsidP="00497E32">
                  <w:pPr>
                    <w:jc w:val="left"/>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Universitario</w:t>
                  </w:r>
                </w:p>
              </w:tc>
              <w:tc>
                <w:tcPr>
                  <w:tcW w:w="1208" w:type="dxa"/>
                  <w:tcBorders>
                    <w:top w:val="nil"/>
                    <w:left w:val="nil"/>
                    <w:bottom w:val="nil"/>
                    <w:right w:val="nil"/>
                  </w:tcBorders>
                  <w:shd w:val="clear" w:color="auto" w:fill="auto"/>
                  <w:vAlign w:val="center"/>
                  <w:hideMark/>
                </w:tcPr>
                <w:p w:rsidR="005C75BB" w:rsidRPr="003041FD" w:rsidRDefault="005C75BB" w:rsidP="00497E32">
                  <w:pPr>
                    <w:jc w:val="left"/>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Universitario</w:t>
                  </w:r>
                </w:p>
              </w:tc>
              <w:tc>
                <w:tcPr>
                  <w:tcW w:w="1801" w:type="dxa"/>
                  <w:tcBorders>
                    <w:top w:val="nil"/>
                    <w:left w:val="nil"/>
                    <w:bottom w:val="nil"/>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4318</w:t>
                  </w:r>
                </w:p>
              </w:tc>
              <w:tc>
                <w:tcPr>
                  <w:tcW w:w="1654" w:type="dxa"/>
                  <w:tcBorders>
                    <w:top w:val="nil"/>
                    <w:left w:val="nil"/>
                    <w:bottom w:val="nil"/>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12</w:t>
                  </w:r>
                </w:p>
              </w:tc>
              <w:tc>
                <w:tcPr>
                  <w:tcW w:w="1181" w:type="dxa"/>
                  <w:tcBorders>
                    <w:top w:val="nil"/>
                    <w:left w:val="nil"/>
                    <w:bottom w:val="nil"/>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99.72%</w:t>
                  </w:r>
                </w:p>
              </w:tc>
            </w:tr>
            <w:tr w:rsidR="005C75BB" w:rsidRPr="003041FD" w:rsidTr="005C75BB">
              <w:trPr>
                <w:trHeight w:val="20"/>
                <w:jc w:val="center"/>
              </w:trPr>
              <w:tc>
                <w:tcPr>
                  <w:tcW w:w="1193" w:type="dxa"/>
                  <w:vMerge/>
                  <w:tcBorders>
                    <w:top w:val="nil"/>
                    <w:left w:val="nil"/>
                    <w:bottom w:val="nil"/>
                    <w:right w:val="nil"/>
                  </w:tcBorders>
                  <w:vAlign w:val="center"/>
                  <w:hideMark/>
                </w:tcPr>
                <w:p w:rsidR="005C75BB" w:rsidRPr="003041FD" w:rsidRDefault="005C75BB" w:rsidP="00497E32">
                  <w:pPr>
                    <w:jc w:val="left"/>
                    <w:rPr>
                      <w:rFonts w:ascii="Arial" w:eastAsia="Times New Roman" w:hAnsi="Arial" w:cs="Arial"/>
                      <w:b/>
                      <w:bCs/>
                      <w:color w:val="000000"/>
                      <w:sz w:val="16"/>
                      <w:szCs w:val="16"/>
                      <w:lang w:eastAsia="es-EC"/>
                    </w:rPr>
                  </w:pPr>
                </w:p>
              </w:tc>
              <w:tc>
                <w:tcPr>
                  <w:tcW w:w="1208" w:type="dxa"/>
                  <w:tcBorders>
                    <w:top w:val="nil"/>
                    <w:left w:val="nil"/>
                    <w:bottom w:val="nil"/>
                    <w:right w:val="nil"/>
                  </w:tcBorders>
                  <w:shd w:val="clear" w:color="auto" w:fill="auto"/>
                  <w:vAlign w:val="center"/>
                  <w:hideMark/>
                </w:tcPr>
                <w:p w:rsidR="005C75BB" w:rsidRPr="003041FD" w:rsidRDefault="005C75BB" w:rsidP="00497E32">
                  <w:pPr>
                    <w:jc w:val="left"/>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No Universitarios</w:t>
                  </w:r>
                </w:p>
              </w:tc>
              <w:tc>
                <w:tcPr>
                  <w:tcW w:w="1801" w:type="dxa"/>
                  <w:tcBorders>
                    <w:top w:val="nil"/>
                    <w:left w:val="nil"/>
                    <w:bottom w:val="nil"/>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1720</w:t>
                  </w:r>
                </w:p>
              </w:tc>
              <w:tc>
                <w:tcPr>
                  <w:tcW w:w="1654" w:type="dxa"/>
                  <w:tcBorders>
                    <w:top w:val="nil"/>
                    <w:left w:val="nil"/>
                    <w:bottom w:val="nil"/>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16</w:t>
                  </w:r>
                </w:p>
              </w:tc>
              <w:tc>
                <w:tcPr>
                  <w:tcW w:w="1181" w:type="dxa"/>
                  <w:tcBorders>
                    <w:top w:val="nil"/>
                    <w:left w:val="nil"/>
                    <w:bottom w:val="nil"/>
                    <w:right w:val="nil"/>
                  </w:tcBorders>
                  <w:shd w:val="clear" w:color="auto" w:fill="auto"/>
                  <w:vAlign w:val="center"/>
                </w:tcPr>
                <w:p w:rsidR="005C75BB" w:rsidRDefault="005C75BB" w:rsidP="005C75BB">
                  <w:pPr>
                    <w:rPr>
                      <w:rFonts w:ascii="Arial" w:hAnsi="Arial" w:cs="Arial"/>
                      <w:color w:val="000000"/>
                      <w:sz w:val="16"/>
                      <w:szCs w:val="16"/>
                    </w:rPr>
                  </w:pPr>
                  <w:r>
                    <w:rPr>
                      <w:rFonts w:ascii="Arial" w:hAnsi="Arial" w:cs="Arial"/>
                      <w:color w:val="000000"/>
                      <w:sz w:val="16"/>
                      <w:szCs w:val="16"/>
                    </w:rPr>
                    <w:t>0.92%</w:t>
                  </w:r>
                </w:p>
              </w:tc>
            </w:tr>
            <w:tr w:rsidR="005C75BB" w:rsidRPr="003041FD" w:rsidTr="005C75BB">
              <w:trPr>
                <w:trHeight w:val="20"/>
                <w:jc w:val="center"/>
              </w:trPr>
              <w:tc>
                <w:tcPr>
                  <w:tcW w:w="2401" w:type="dxa"/>
                  <w:gridSpan w:val="2"/>
                  <w:tcBorders>
                    <w:top w:val="nil"/>
                    <w:left w:val="nil"/>
                    <w:bottom w:val="single" w:sz="4" w:space="0" w:color="auto"/>
                    <w:right w:val="nil"/>
                  </w:tcBorders>
                  <w:shd w:val="clear" w:color="auto" w:fill="auto"/>
                  <w:vAlign w:val="center"/>
                  <w:hideMark/>
                </w:tcPr>
                <w:p w:rsidR="005C75BB" w:rsidRPr="003041FD" w:rsidRDefault="005C75BB" w:rsidP="00497E32">
                  <w:pPr>
                    <w:jc w:val="left"/>
                    <w:rPr>
                      <w:rFonts w:ascii="Arial" w:eastAsia="Times New Roman" w:hAnsi="Arial" w:cs="Arial"/>
                      <w:b/>
                      <w:bCs/>
                      <w:i/>
                      <w:iCs/>
                      <w:color w:val="000000"/>
                      <w:sz w:val="16"/>
                      <w:szCs w:val="16"/>
                      <w:lang w:eastAsia="es-EC"/>
                    </w:rPr>
                  </w:pPr>
                  <w:r w:rsidRPr="003041FD">
                    <w:rPr>
                      <w:rFonts w:ascii="Arial" w:eastAsia="Times New Roman" w:hAnsi="Arial" w:cs="Arial"/>
                      <w:b/>
                      <w:bCs/>
                      <w:i/>
                      <w:iCs/>
                      <w:color w:val="000000"/>
                      <w:sz w:val="16"/>
                      <w:szCs w:val="16"/>
                      <w:lang w:eastAsia="es-EC"/>
                    </w:rPr>
                    <w:t>Porcentaje Total</w:t>
                  </w:r>
                </w:p>
              </w:tc>
              <w:tc>
                <w:tcPr>
                  <w:tcW w:w="1801" w:type="dxa"/>
                  <w:tcBorders>
                    <w:top w:val="nil"/>
                    <w:left w:val="nil"/>
                    <w:bottom w:val="single" w:sz="4" w:space="0" w:color="auto"/>
                    <w:right w:val="nil"/>
                  </w:tcBorders>
                  <w:shd w:val="clear" w:color="auto" w:fill="auto"/>
                  <w:vAlign w:val="center"/>
                </w:tcPr>
                <w:p w:rsidR="005C75BB" w:rsidRPr="003041FD" w:rsidRDefault="005C75BB" w:rsidP="005C75BB">
                  <w:pPr>
                    <w:rPr>
                      <w:rFonts w:ascii="Arial" w:eastAsia="Times New Roman" w:hAnsi="Arial" w:cs="Arial"/>
                      <w:color w:val="000000"/>
                      <w:sz w:val="16"/>
                      <w:szCs w:val="16"/>
                      <w:lang w:eastAsia="es-EC"/>
                    </w:rPr>
                  </w:pPr>
                </w:p>
              </w:tc>
              <w:tc>
                <w:tcPr>
                  <w:tcW w:w="1654" w:type="dxa"/>
                  <w:tcBorders>
                    <w:top w:val="nil"/>
                    <w:left w:val="nil"/>
                    <w:bottom w:val="single" w:sz="4" w:space="0" w:color="auto"/>
                    <w:right w:val="nil"/>
                  </w:tcBorders>
                  <w:shd w:val="clear" w:color="auto" w:fill="auto"/>
                  <w:vAlign w:val="center"/>
                </w:tcPr>
                <w:p w:rsidR="005C75BB" w:rsidRDefault="005C75BB" w:rsidP="005C75BB">
                  <w:pPr>
                    <w:rPr>
                      <w:rFonts w:ascii="Arial" w:hAnsi="Arial" w:cs="Arial"/>
                      <w:color w:val="000000"/>
                      <w:sz w:val="16"/>
                      <w:szCs w:val="16"/>
                    </w:rPr>
                  </w:pPr>
                </w:p>
              </w:tc>
              <w:tc>
                <w:tcPr>
                  <w:tcW w:w="1181" w:type="dxa"/>
                  <w:tcBorders>
                    <w:top w:val="nil"/>
                    <w:left w:val="nil"/>
                    <w:bottom w:val="single" w:sz="4" w:space="0" w:color="auto"/>
                    <w:right w:val="nil"/>
                  </w:tcBorders>
                  <w:shd w:val="clear" w:color="auto" w:fill="auto"/>
                  <w:vAlign w:val="center"/>
                </w:tcPr>
                <w:p w:rsidR="005C75BB" w:rsidRPr="009522F6" w:rsidRDefault="005C75BB" w:rsidP="005C75BB">
                  <w:pPr>
                    <w:rPr>
                      <w:rFonts w:ascii="Arial" w:hAnsi="Arial" w:cs="Arial"/>
                      <w:b/>
                      <w:i/>
                      <w:color w:val="000000"/>
                      <w:sz w:val="16"/>
                      <w:szCs w:val="16"/>
                    </w:rPr>
                  </w:pPr>
                  <w:r>
                    <w:rPr>
                      <w:rFonts w:ascii="Arial" w:hAnsi="Arial" w:cs="Arial"/>
                      <w:b/>
                      <w:i/>
                      <w:color w:val="000000"/>
                      <w:sz w:val="16"/>
                      <w:szCs w:val="16"/>
                    </w:rPr>
                    <w:t>71.45%</w:t>
                  </w:r>
                </w:p>
              </w:tc>
            </w:tr>
          </w:tbl>
          <w:p w:rsidR="005C75BB" w:rsidRPr="00607324" w:rsidRDefault="005C75BB" w:rsidP="005C75BB">
            <w:pPr>
              <w:rPr>
                <w:rFonts w:ascii="Arial" w:hAnsi="Arial" w:cs="Arial"/>
                <w:sz w:val="24"/>
                <w:szCs w:val="24"/>
              </w:rPr>
            </w:pPr>
          </w:p>
        </w:tc>
      </w:tr>
    </w:tbl>
    <w:p w:rsidR="005C75BB" w:rsidRPr="007E5BEA" w:rsidRDefault="005C75BB" w:rsidP="007E5BEA">
      <w:pPr>
        <w:pStyle w:val="Prrafodelista"/>
        <w:spacing w:line="276" w:lineRule="auto"/>
        <w:ind w:left="851"/>
        <w:jc w:val="both"/>
        <w:rPr>
          <w:rFonts w:ascii="Arial" w:hAnsi="Arial" w:cs="Arial"/>
          <w:sz w:val="17"/>
          <w:szCs w:val="17"/>
        </w:rPr>
      </w:pPr>
    </w:p>
    <w:p w:rsidR="005C75BB" w:rsidRPr="007E5BEA" w:rsidRDefault="005C75BB" w:rsidP="007E5BEA">
      <w:pPr>
        <w:pStyle w:val="Prrafodelista"/>
        <w:spacing w:line="276" w:lineRule="auto"/>
        <w:ind w:left="851"/>
        <w:jc w:val="both"/>
        <w:rPr>
          <w:rFonts w:ascii="Arial" w:hAnsi="Arial" w:cs="Arial"/>
          <w:sz w:val="17"/>
          <w:szCs w:val="17"/>
        </w:rPr>
      </w:pPr>
      <w:r w:rsidRPr="007E5BEA">
        <w:rPr>
          <w:rFonts w:ascii="Arial" w:hAnsi="Arial" w:cs="Arial"/>
          <w:b/>
          <w:i/>
          <w:sz w:val="17"/>
          <w:szCs w:val="17"/>
        </w:rPr>
        <w:t>Fuente:</w:t>
      </w:r>
      <w:r w:rsidRPr="007E5BEA">
        <w:rPr>
          <w:rFonts w:ascii="Arial" w:hAnsi="Arial" w:cs="Arial"/>
          <w:sz w:val="17"/>
          <w:szCs w:val="17"/>
        </w:rPr>
        <w:t xml:space="preserve"> </w:t>
      </w:r>
      <w:r w:rsidRPr="007E5BEA">
        <w:rPr>
          <w:rFonts w:ascii="Arial" w:hAnsi="Arial" w:cs="Arial"/>
          <w:b/>
          <w:sz w:val="17"/>
          <w:szCs w:val="17"/>
        </w:rPr>
        <w:t xml:space="preserve">INEC </w:t>
      </w:r>
      <w:r w:rsidRPr="007E5BEA">
        <w:rPr>
          <w:rFonts w:ascii="Arial" w:hAnsi="Arial" w:cs="Arial"/>
          <w:sz w:val="17"/>
          <w:szCs w:val="17"/>
        </w:rPr>
        <w:t>(2010), Base de Datos del VII Censo de Población y VI de Vivienda.</w:t>
      </w:r>
    </w:p>
    <w:p w:rsidR="005C75BB" w:rsidRDefault="005C75BB" w:rsidP="007E5BEA">
      <w:pPr>
        <w:pStyle w:val="Prrafodelista"/>
        <w:spacing w:line="276" w:lineRule="auto"/>
        <w:ind w:left="851"/>
        <w:jc w:val="both"/>
        <w:rPr>
          <w:rFonts w:ascii="Arial" w:hAnsi="Arial" w:cs="Arial"/>
          <w:sz w:val="17"/>
          <w:szCs w:val="17"/>
        </w:rPr>
      </w:pPr>
      <w:r w:rsidRPr="007E5BEA">
        <w:rPr>
          <w:rFonts w:ascii="Arial" w:hAnsi="Arial" w:cs="Arial"/>
          <w:b/>
          <w:i/>
          <w:sz w:val="17"/>
          <w:szCs w:val="17"/>
        </w:rPr>
        <w:t>Elaborado por:</w:t>
      </w:r>
      <w:r w:rsidRPr="007E5BEA">
        <w:rPr>
          <w:rFonts w:ascii="Arial" w:hAnsi="Arial" w:cs="Arial"/>
          <w:sz w:val="17"/>
          <w:szCs w:val="17"/>
        </w:rPr>
        <w:t xml:space="preserve"> Katherine Loor Valeriano</w:t>
      </w:r>
    </w:p>
    <w:p w:rsidR="003856B3" w:rsidRDefault="003856B3" w:rsidP="005C75BB">
      <w:pPr>
        <w:pStyle w:val="51"/>
        <w:numPr>
          <w:ilvl w:val="0"/>
          <w:numId w:val="0"/>
        </w:numPr>
        <w:jc w:val="center"/>
        <w:rPr>
          <w:sz w:val="18"/>
          <w:szCs w:val="18"/>
        </w:rPr>
        <w:sectPr w:rsidR="003856B3" w:rsidSect="00455F4F">
          <w:pgSz w:w="11907" w:h="16839" w:code="9"/>
          <w:pgMar w:top="2268" w:right="1361" w:bottom="2268" w:left="2268" w:header="708" w:footer="708" w:gutter="0"/>
          <w:cols w:space="708"/>
          <w:titlePg/>
          <w:docGrid w:linePitch="360"/>
        </w:sectPr>
      </w:pPr>
    </w:p>
    <w:p w:rsidR="003856B3" w:rsidRPr="00AB7FBA" w:rsidRDefault="003856B3" w:rsidP="003856B3">
      <w:pPr>
        <w:spacing w:line="480" w:lineRule="auto"/>
        <w:rPr>
          <w:rFonts w:ascii="Arial" w:hAnsi="Arial" w:cs="Arial"/>
        </w:rPr>
      </w:pPr>
    </w:p>
    <w:p w:rsidR="003856B3" w:rsidRPr="00AB7FBA" w:rsidRDefault="003856B3" w:rsidP="003856B3">
      <w:pPr>
        <w:spacing w:line="480" w:lineRule="auto"/>
        <w:rPr>
          <w:rFonts w:ascii="Arial" w:hAnsi="Arial" w:cs="Arial"/>
        </w:rPr>
      </w:pPr>
    </w:p>
    <w:p w:rsidR="003856B3" w:rsidRPr="00AB7FBA" w:rsidRDefault="003856B3" w:rsidP="003856B3">
      <w:pPr>
        <w:spacing w:line="480" w:lineRule="auto"/>
        <w:rPr>
          <w:rFonts w:ascii="Arial" w:hAnsi="Arial" w:cs="Arial"/>
        </w:rPr>
      </w:pPr>
    </w:p>
    <w:p w:rsidR="003856B3" w:rsidRPr="00AB7FBA" w:rsidRDefault="003856B3" w:rsidP="003856B3">
      <w:pPr>
        <w:spacing w:line="480" w:lineRule="auto"/>
        <w:rPr>
          <w:rFonts w:ascii="Arial" w:hAnsi="Arial" w:cs="Arial"/>
        </w:rPr>
      </w:pPr>
    </w:p>
    <w:p w:rsidR="003856B3" w:rsidRPr="00AB7FBA" w:rsidRDefault="003856B3" w:rsidP="003856B3">
      <w:pPr>
        <w:spacing w:line="480" w:lineRule="auto"/>
        <w:rPr>
          <w:rFonts w:ascii="Arial" w:hAnsi="Arial" w:cs="Arial"/>
        </w:rPr>
      </w:pPr>
    </w:p>
    <w:p w:rsidR="005C75BB" w:rsidRPr="00FA0FC7" w:rsidRDefault="003856B3" w:rsidP="003856B3">
      <w:pPr>
        <w:pStyle w:val="51"/>
        <w:numPr>
          <w:ilvl w:val="0"/>
          <w:numId w:val="0"/>
        </w:numPr>
        <w:jc w:val="center"/>
        <w:rPr>
          <w:sz w:val="32"/>
          <w:szCs w:val="32"/>
        </w:rPr>
      </w:pPr>
      <w:bookmarkStart w:id="1164" w:name="_Toc339853263"/>
      <w:bookmarkStart w:id="1165" w:name="_Toc341040763"/>
      <w:r w:rsidRPr="00FA0FC7">
        <w:rPr>
          <w:sz w:val="32"/>
          <w:szCs w:val="32"/>
        </w:rPr>
        <w:t>CONCLUSIONES Y RECOMENDACIONES</w:t>
      </w:r>
      <w:bookmarkEnd w:id="1164"/>
      <w:bookmarkEnd w:id="1165"/>
    </w:p>
    <w:p w:rsidR="003856B3" w:rsidRDefault="003856B3" w:rsidP="00263FAE">
      <w:pPr>
        <w:pStyle w:val="51"/>
        <w:numPr>
          <w:ilvl w:val="0"/>
          <w:numId w:val="19"/>
        </w:numPr>
        <w:ind w:left="284" w:hanging="284"/>
      </w:pPr>
      <w:bookmarkStart w:id="1166" w:name="_Toc341040764"/>
      <w:r>
        <w:t>Conclusiones</w:t>
      </w:r>
      <w:bookmarkEnd w:id="1166"/>
      <w:r>
        <w:t xml:space="preserve"> </w:t>
      </w:r>
    </w:p>
    <w:p w:rsidR="00E8563B" w:rsidRDefault="00E8563B" w:rsidP="00263FAE">
      <w:pPr>
        <w:spacing w:line="480" w:lineRule="auto"/>
        <w:ind w:left="284"/>
        <w:jc w:val="both"/>
        <w:rPr>
          <w:rFonts w:ascii="Arial" w:hAnsi="Arial" w:cs="Arial"/>
        </w:rPr>
      </w:pPr>
      <w:r>
        <w:rPr>
          <w:rFonts w:ascii="Arial" w:hAnsi="Arial" w:cs="Arial"/>
        </w:rPr>
        <w:t>Esta investigación tiene como principal objetivo determinar la distribución espacial y las características sociodemográficas de tres subpoblaciones de interés, los migrantes internos de “toda la vida”</w:t>
      </w:r>
      <w:r w:rsidR="00A9287E">
        <w:rPr>
          <w:rFonts w:ascii="Arial" w:hAnsi="Arial" w:cs="Arial"/>
        </w:rPr>
        <w:t xml:space="preserve"> que son las </w:t>
      </w:r>
      <w:r w:rsidR="00A9287E" w:rsidRPr="00A9287E">
        <w:rPr>
          <w:rFonts w:ascii="Arial" w:hAnsi="Arial" w:cs="Arial"/>
        </w:rPr>
        <w:t>personas que al momento del censo residían en un área geográfica distinta</w:t>
      </w:r>
      <w:r w:rsidR="00A9287E">
        <w:rPr>
          <w:rFonts w:ascii="Arial" w:hAnsi="Arial" w:cs="Arial"/>
        </w:rPr>
        <w:t xml:space="preserve"> a la de su lugar de nacimiento</w:t>
      </w:r>
      <w:r>
        <w:rPr>
          <w:rFonts w:ascii="Arial" w:hAnsi="Arial" w:cs="Arial"/>
        </w:rPr>
        <w:t>, los inmigrantes extranjeros residentes en el país; y, los emigrantes que salieron del país entre noviembre de 2001 y el mismo mes de 2010, basados en los datos del Censo 2010 llevado a cabo por el INEC; por tanto, después de haber mostrado los resultados obtenidos respecto a estas subpoblaciones en los cinco capítulos previos, se ha llegado a las siguientes conclusiones:</w:t>
      </w:r>
    </w:p>
    <w:p w:rsidR="00E8563B" w:rsidRDefault="00E8563B" w:rsidP="00263FAE">
      <w:pPr>
        <w:spacing w:line="480" w:lineRule="auto"/>
        <w:ind w:left="284"/>
        <w:jc w:val="both"/>
        <w:rPr>
          <w:rFonts w:ascii="Arial" w:hAnsi="Arial" w:cs="Arial"/>
        </w:rPr>
      </w:pPr>
    </w:p>
    <w:p w:rsidR="00062E28" w:rsidRDefault="008721FF" w:rsidP="00263FAE">
      <w:pPr>
        <w:spacing w:line="480" w:lineRule="auto"/>
        <w:ind w:left="567" w:hanging="283"/>
        <w:jc w:val="both"/>
        <w:rPr>
          <w:rFonts w:ascii="Arial" w:hAnsi="Arial" w:cs="Arial"/>
        </w:rPr>
      </w:pPr>
      <w:r w:rsidRPr="006774DC">
        <w:rPr>
          <w:rFonts w:ascii="Arial" w:hAnsi="Arial" w:cs="Arial"/>
        </w:rPr>
        <w:t>1.</w:t>
      </w:r>
      <w:r w:rsidR="008C100C" w:rsidRPr="006774DC">
        <w:rPr>
          <w:rFonts w:ascii="Arial" w:hAnsi="Arial" w:cs="Arial"/>
        </w:rPr>
        <w:t xml:space="preserve"> Pichincha es la provincia que mayor cantidad de inmigrantes interno</w:t>
      </w:r>
      <w:r w:rsidR="00062E28">
        <w:rPr>
          <w:rFonts w:ascii="Arial" w:hAnsi="Arial" w:cs="Arial"/>
        </w:rPr>
        <w:t>s</w:t>
      </w:r>
      <w:r w:rsidR="008C100C" w:rsidRPr="006774DC">
        <w:rPr>
          <w:rFonts w:ascii="Arial" w:hAnsi="Arial" w:cs="Arial"/>
        </w:rPr>
        <w:t xml:space="preserve"> recibe</w:t>
      </w:r>
      <w:r w:rsidR="0094292C" w:rsidRPr="006774DC">
        <w:rPr>
          <w:rFonts w:ascii="Arial" w:hAnsi="Arial" w:cs="Arial"/>
        </w:rPr>
        <w:t>, pues hasta noviembre de 2010 se registraron 786693 ecuatorianos nacidos en otras provincias que residen habitualmente en dicho lugar</w:t>
      </w:r>
      <w:r w:rsidR="008C100C" w:rsidRPr="006774DC">
        <w:rPr>
          <w:rFonts w:ascii="Arial" w:hAnsi="Arial" w:cs="Arial"/>
        </w:rPr>
        <w:t>; y, Guayas es la pr</w:t>
      </w:r>
      <w:r w:rsidR="00E71256" w:rsidRPr="006774DC">
        <w:rPr>
          <w:rFonts w:ascii="Arial" w:hAnsi="Arial" w:cs="Arial"/>
        </w:rPr>
        <w:t>ovincia que recibe al</w:t>
      </w:r>
      <w:r w:rsidR="008C100C" w:rsidRPr="006774DC">
        <w:rPr>
          <w:rFonts w:ascii="Arial" w:hAnsi="Arial" w:cs="Arial"/>
        </w:rPr>
        <w:t xml:space="preserve"> segundo grupo más numeroso de inmigrantes internos de toda la vida</w:t>
      </w:r>
      <w:r w:rsidR="0094292C" w:rsidRPr="006774DC">
        <w:rPr>
          <w:rFonts w:ascii="Arial" w:hAnsi="Arial" w:cs="Arial"/>
        </w:rPr>
        <w:t xml:space="preserve"> (722962 inmigrantes internos)</w:t>
      </w:r>
      <w:r w:rsidR="008C100C" w:rsidRPr="006774DC">
        <w:rPr>
          <w:rFonts w:ascii="Arial" w:hAnsi="Arial" w:cs="Arial"/>
        </w:rPr>
        <w:t xml:space="preserve">, esto se debe a que estas dos provincias han sido consideradas por </w:t>
      </w:r>
      <w:r w:rsidR="0094292C" w:rsidRPr="006774DC">
        <w:rPr>
          <w:rFonts w:ascii="Arial" w:hAnsi="Arial" w:cs="Arial"/>
        </w:rPr>
        <w:t xml:space="preserve">muchos </w:t>
      </w:r>
      <w:r w:rsidR="008C100C" w:rsidRPr="006774DC">
        <w:rPr>
          <w:rFonts w:ascii="Arial" w:hAnsi="Arial" w:cs="Arial"/>
        </w:rPr>
        <w:t xml:space="preserve">años </w:t>
      </w:r>
      <w:r w:rsidR="0094292C" w:rsidRPr="006774DC">
        <w:rPr>
          <w:rFonts w:ascii="Arial" w:hAnsi="Arial" w:cs="Arial"/>
        </w:rPr>
        <w:t>como</w:t>
      </w:r>
      <w:r w:rsidR="008C100C" w:rsidRPr="006774DC">
        <w:rPr>
          <w:rFonts w:ascii="Arial" w:hAnsi="Arial" w:cs="Arial"/>
        </w:rPr>
        <w:t xml:space="preserve"> los centros económicos del país</w:t>
      </w:r>
      <w:r w:rsidR="00172EC5">
        <w:rPr>
          <w:rFonts w:ascii="Arial" w:hAnsi="Arial" w:cs="Arial"/>
        </w:rPr>
        <w:t>,</w:t>
      </w:r>
      <w:r w:rsidR="008C100C" w:rsidRPr="006774DC">
        <w:rPr>
          <w:rFonts w:ascii="Arial" w:hAnsi="Arial" w:cs="Arial"/>
        </w:rPr>
        <w:t xml:space="preserve"> </w:t>
      </w:r>
      <w:r w:rsidR="00394828" w:rsidRPr="006774DC">
        <w:rPr>
          <w:rFonts w:ascii="Arial" w:hAnsi="Arial" w:cs="Arial"/>
        </w:rPr>
        <w:t xml:space="preserve">la primera por ser la capital del Ecuador y la segunda por tener el principal puerto marítimo del país, </w:t>
      </w:r>
      <w:r w:rsidR="008C100C" w:rsidRPr="006774DC">
        <w:rPr>
          <w:rFonts w:ascii="Arial" w:hAnsi="Arial" w:cs="Arial"/>
        </w:rPr>
        <w:t xml:space="preserve">por tal motivo son </w:t>
      </w:r>
      <w:r w:rsidR="0094292C" w:rsidRPr="006774DC">
        <w:rPr>
          <w:rFonts w:ascii="Arial" w:hAnsi="Arial" w:cs="Arial"/>
        </w:rPr>
        <w:t>un</w:t>
      </w:r>
      <w:r w:rsidR="008C100C" w:rsidRPr="006774DC">
        <w:rPr>
          <w:rFonts w:ascii="Arial" w:hAnsi="Arial" w:cs="Arial"/>
        </w:rPr>
        <w:t xml:space="preserve"> gra</w:t>
      </w:r>
      <w:r w:rsidR="00E71256" w:rsidRPr="006774DC">
        <w:rPr>
          <w:rFonts w:ascii="Arial" w:hAnsi="Arial" w:cs="Arial"/>
        </w:rPr>
        <w:t xml:space="preserve">n atractivo para los emigrantes. </w:t>
      </w:r>
    </w:p>
    <w:p w:rsidR="00062E28" w:rsidRDefault="00062E28" w:rsidP="0034622A">
      <w:pPr>
        <w:spacing w:line="480" w:lineRule="auto"/>
        <w:ind w:left="567"/>
        <w:jc w:val="both"/>
        <w:rPr>
          <w:rFonts w:ascii="Arial" w:hAnsi="Arial" w:cs="Arial"/>
        </w:rPr>
      </w:pPr>
    </w:p>
    <w:p w:rsidR="003856B3" w:rsidRPr="006774DC" w:rsidRDefault="00062E28" w:rsidP="00263FAE">
      <w:pPr>
        <w:spacing w:line="480" w:lineRule="auto"/>
        <w:ind w:left="567" w:hanging="283"/>
        <w:jc w:val="both"/>
        <w:rPr>
          <w:rFonts w:ascii="Arial" w:hAnsi="Arial" w:cs="Arial"/>
        </w:rPr>
      </w:pPr>
      <w:r>
        <w:rPr>
          <w:rFonts w:ascii="Arial" w:hAnsi="Arial" w:cs="Arial"/>
        </w:rPr>
        <w:t xml:space="preserve">2. </w:t>
      </w:r>
      <w:r w:rsidR="00172EC5">
        <w:rPr>
          <w:rFonts w:ascii="Arial" w:hAnsi="Arial" w:cs="Arial"/>
        </w:rPr>
        <w:t>Entre l</w:t>
      </w:r>
      <w:r w:rsidR="00394828" w:rsidRPr="006774DC">
        <w:rPr>
          <w:rFonts w:ascii="Arial" w:hAnsi="Arial" w:cs="Arial"/>
        </w:rPr>
        <w:t xml:space="preserve">os inmigrantes residentes en Guayas, la mayor ponderación proviene de Manabí, pues en esta provincia por cada 1000 residentes 74 son manabitas, esto quizás se deba no solo a la cercanía geográfica entre estas dos provincias, sino también a la migración que ha existido en los últimos años desde las áreas rurales hacia las zonas urbanas así como también por la búsqueda constate de empleo y mejor calidad de vida; en cambio, Pichincha recibe en mayor proporción población proveniente de Cotopaxi, pues por cada 1000 residentes 43 son nativos de Cotopaxi esto quizás se deba </w:t>
      </w:r>
      <w:r>
        <w:rPr>
          <w:rFonts w:ascii="Arial" w:hAnsi="Arial" w:cs="Arial"/>
        </w:rPr>
        <w:t xml:space="preserve">también </w:t>
      </w:r>
      <w:r w:rsidR="00394828" w:rsidRPr="006774DC">
        <w:rPr>
          <w:rFonts w:ascii="Arial" w:hAnsi="Arial" w:cs="Arial"/>
        </w:rPr>
        <w:t>a la cercanía geográfica que existe entre estas dos provincias.</w:t>
      </w:r>
    </w:p>
    <w:p w:rsidR="00394828" w:rsidRPr="006774DC" w:rsidRDefault="00394828" w:rsidP="0034622A">
      <w:pPr>
        <w:spacing w:line="480" w:lineRule="auto"/>
        <w:ind w:left="567"/>
        <w:jc w:val="both"/>
        <w:rPr>
          <w:rFonts w:ascii="Arial" w:hAnsi="Arial" w:cs="Arial"/>
        </w:rPr>
      </w:pPr>
    </w:p>
    <w:p w:rsidR="003856B3" w:rsidRPr="006774DC" w:rsidRDefault="00062E28" w:rsidP="00263FAE">
      <w:pPr>
        <w:spacing w:line="480" w:lineRule="auto"/>
        <w:ind w:left="567" w:hanging="283"/>
        <w:jc w:val="both"/>
        <w:rPr>
          <w:rFonts w:ascii="Arial" w:hAnsi="Arial" w:cs="Arial"/>
        </w:rPr>
      </w:pPr>
      <w:r>
        <w:rPr>
          <w:rFonts w:ascii="Arial" w:hAnsi="Arial" w:cs="Arial"/>
        </w:rPr>
        <w:t>3</w:t>
      </w:r>
      <w:r w:rsidR="008721FF" w:rsidRPr="006774DC">
        <w:rPr>
          <w:rFonts w:ascii="Arial" w:hAnsi="Arial" w:cs="Arial"/>
        </w:rPr>
        <w:t xml:space="preserve">. </w:t>
      </w:r>
      <w:r w:rsidR="00813155" w:rsidRPr="006774DC">
        <w:rPr>
          <w:rFonts w:ascii="Arial" w:hAnsi="Arial" w:cs="Arial"/>
        </w:rPr>
        <w:t xml:space="preserve">Considerando los resultados obtenidos a partir de las tasas de inmigración interna a nivel provincial, se obtuvo que las tasas más altas de inmigración corresponden a Galápagos, Santo Domingo, Sucumbíos y Orellana; en el caso de Galápagos se encontró que por cada 1000 </w:t>
      </w:r>
      <w:r w:rsidR="00172EC5">
        <w:rPr>
          <w:rFonts w:ascii="Arial" w:hAnsi="Arial" w:cs="Arial"/>
        </w:rPr>
        <w:t xml:space="preserve">ecuatorianos </w:t>
      </w:r>
      <w:r w:rsidR="00813155" w:rsidRPr="006774DC">
        <w:rPr>
          <w:rFonts w:ascii="Arial" w:hAnsi="Arial" w:cs="Arial"/>
        </w:rPr>
        <w:t>residentes de esta provincia 626 son inmigrantes nacidos en otras provincias del país esto probablemente se deba al turismo de admiración a lo natural que hay en las islas, lo cual a mas de atraer turistas, genera plazas de empleo siendo de tal manera</w:t>
      </w:r>
      <w:r w:rsidR="00C74807" w:rsidRPr="006774DC">
        <w:rPr>
          <w:rFonts w:ascii="Arial" w:hAnsi="Arial" w:cs="Arial"/>
        </w:rPr>
        <w:t xml:space="preserve"> atractivo para los inmigrantes, pues consideremos además que el 72.19% de los residentes en esta provincia están inmersos en las actividades económicas, es decir trabajan o están buscando empleo, de los cuales el 54.44% son inmigrantes internos y el 17.75% son nativos</w:t>
      </w:r>
      <w:r w:rsidR="00506BFD">
        <w:rPr>
          <w:rFonts w:ascii="Arial" w:hAnsi="Arial" w:cs="Arial"/>
        </w:rPr>
        <w:t>;</w:t>
      </w:r>
      <w:r w:rsidR="00C74807" w:rsidRPr="006774DC">
        <w:rPr>
          <w:rFonts w:ascii="Arial" w:hAnsi="Arial" w:cs="Arial"/>
        </w:rPr>
        <w:t xml:space="preserve"> </w:t>
      </w:r>
      <w:r w:rsidR="00506BFD">
        <w:rPr>
          <w:rFonts w:ascii="Arial" w:hAnsi="Arial" w:cs="Arial"/>
        </w:rPr>
        <w:t>m</w:t>
      </w:r>
      <w:r w:rsidR="00C74807" w:rsidRPr="006774DC">
        <w:rPr>
          <w:rFonts w:ascii="Arial" w:hAnsi="Arial" w:cs="Arial"/>
        </w:rPr>
        <w:t>ientras que, los inmigrantes que residen en Sucumbíos u Orellana, posiblemente emigran hacia estas provincias atraídas por la explotación petrolera.</w:t>
      </w:r>
    </w:p>
    <w:p w:rsidR="00813155" w:rsidRDefault="00813155" w:rsidP="0034622A">
      <w:pPr>
        <w:spacing w:line="480" w:lineRule="auto"/>
        <w:ind w:left="567"/>
        <w:jc w:val="both"/>
        <w:rPr>
          <w:rFonts w:ascii="Arial" w:hAnsi="Arial" w:cs="Arial"/>
        </w:rPr>
      </w:pPr>
    </w:p>
    <w:p w:rsidR="00A16FDB" w:rsidRDefault="00A16FDB" w:rsidP="00263FAE">
      <w:pPr>
        <w:spacing w:line="480" w:lineRule="auto"/>
        <w:ind w:left="567" w:hanging="283"/>
        <w:jc w:val="both"/>
        <w:rPr>
          <w:rFonts w:ascii="Arial" w:hAnsi="Arial" w:cs="Arial"/>
        </w:rPr>
      </w:pPr>
      <w:r>
        <w:rPr>
          <w:rFonts w:ascii="Arial" w:hAnsi="Arial" w:cs="Arial"/>
        </w:rPr>
        <w:t xml:space="preserve">4. </w:t>
      </w:r>
      <w:r w:rsidRPr="00A16FDB">
        <w:rPr>
          <w:rFonts w:ascii="Arial" w:hAnsi="Arial" w:cs="Arial"/>
        </w:rPr>
        <w:t xml:space="preserve">El movimiento migratorio </w:t>
      </w:r>
      <w:r w:rsidR="005C20B7">
        <w:rPr>
          <w:rFonts w:ascii="Arial" w:hAnsi="Arial" w:cs="Arial"/>
        </w:rPr>
        <w:t xml:space="preserve">interno </w:t>
      </w:r>
      <w:r w:rsidRPr="00A16FDB">
        <w:rPr>
          <w:rFonts w:ascii="Arial" w:hAnsi="Arial" w:cs="Arial"/>
        </w:rPr>
        <w:t>en  la  mayoría  de  las  provincias  lo generan mujeres, más que hombres; sin embargo es de anotar que en Pichincha emigran 88.27 mujeres por cada 100 hombres, lo cual no es la regla sino la excepción. La razón de este fenómeno podría ser la creciente cantidad de trabajadoras que se incorporan en ciertos trabajos predominados por los hombres e incluso para ciertos tipos de actividad</w:t>
      </w:r>
      <w:r>
        <w:rPr>
          <w:rFonts w:ascii="Arial" w:hAnsi="Arial" w:cs="Arial"/>
        </w:rPr>
        <w:t>es</w:t>
      </w:r>
      <w:r w:rsidRPr="00A16FDB">
        <w:rPr>
          <w:rFonts w:ascii="Arial" w:hAnsi="Arial" w:cs="Arial"/>
        </w:rPr>
        <w:t xml:space="preserve"> se prefiere contratar mujeres como es el caso de los trabajos de supervis</w:t>
      </w:r>
      <w:r>
        <w:rPr>
          <w:rFonts w:ascii="Arial" w:hAnsi="Arial" w:cs="Arial"/>
        </w:rPr>
        <w:t xml:space="preserve">ión, gestión o los </w:t>
      </w:r>
      <w:r w:rsidRPr="00A16FDB">
        <w:rPr>
          <w:rFonts w:ascii="Arial" w:hAnsi="Arial" w:cs="Arial"/>
        </w:rPr>
        <w:t>empleos domésticos.</w:t>
      </w:r>
    </w:p>
    <w:p w:rsidR="00A16FDB" w:rsidRDefault="00A16FDB" w:rsidP="0034622A">
      <w:pPr>
        <w:spacing w:line="480" w:lineRule="auto"/>
        <w:ind w:left="567"/>
        <w:jc w:val="both"/>
        <w:rPr>
          <w:rFonts w:ascii="Arial" w:hAnsi="Arial" w:cs="Arial"/>
        </w:rPr>
      </w:pPr>
    </w:p>
    <w:p w:rsidR="00A16FDB" w:rsidRDefault="00A16FDB" w:rsidP="00263FAE">
      <w:pPr>
        <w:spacing w:line="480" w:lineRule="auto"/>
        <w:ind w:left="567" w:hanging="283"/>
        <w:jc w:val="both"/>
        <w:rPr>
          <w:rFonts w:ascii="Arial" w:hAnsi="Arial" w:cs="Arial"/>
        </w:rPr>
      </w:pPr>
      <w:r>
        <w:rPr>
          <w:rFonts w:ascii="Arial" w:hAnsi="Arial" w:cs="Arial"/>
        </w:rPr>
        <w:t xml:space="preserve">5. Se encontró que la población emigrante interna </w:t>
      </w:r>
      <w:r w:rsidR="00B17158">
        <w:rPr>
          <w:rFonts w:ascii="Arial" w:hAnsi="Arial" w:cs="Arial"/>
        </w:rPr>
        <w:t xml:space="preserve">de “toda la vida” </w:t>
      </w:r>
      <w:r>
        <w:rPr>
          <w:rFonts w:ascii="Arial" w:hAnsi="Arial" w:cs="Arial"/>
        </w:rPr>
        <w:t>esta conformada mayoritariamente por personas con edades entre 15 y 65 años y de hecho en la mayoría de las provincias alrededor del 75% de la población emigrante tiene edades comprendidas en ese intervalo; a excepción de provincias como Sucumbíos, Orellana, Pichincha, Santo Domingo, Gal</w:t>
      </w:r>
      <w:r w:rsidR="00B17158">
        <w:rPr>
          <w:rFonts w:ascii="Arial" w:hAnsi="Arial" w:cs="Arial"/>
        </w:rPr>
        <w:t xml:space="preserve">ápagos o Guayas que expulsan </w:t>
      </w:r>
      <w:r>
        <w:rPr>
          <w:rFonts w:ascii="Arial" w:hAnsi="Arial" w:cs="Arial"/>
        </w:rPr>
        <w:t xml:space="preserve">una alta ponderación de </w:t>
      </w:r>
      <w:r w:rsidR="00B17158">
        <w:rPr>
          <w:rFonts w:ascii="Arial" w:hAnsi="Arial" w:cs="Arial"/>
        </w:rPr>
        <w:t>población menor</w:t>
      </w:r>
      <w:r>
        <w:rPr>
          <w:rFonts w:ascii="Arial" w:hAnsi="Arial" w:cs="Arial"/>
        </w:rPr>
        <w:t xml:space="preserve"> de 15 años quizás esto se deba a que emigra la familia</w:t>
      </w:r>
      <w:r w:rsidR="00B17158">
        <w:rPr>
          <w:rFonts w:ascii="Arial" w:hAnsi="Arial" w:cs="Arial"/>
        </w:rPr>
        <w:t xml:space="preserve"> completa.</w:t>
      </w:r>
    </w:p>
    <w:p w:rsidR="00B17158" w:rsidRDefault="00B17158" w:rsidP="0034622A">
      <w:pPr>
        <w:spacing w:line="480" w:lineRule="auto"/>
        <w:ind w:left="567"/>
        <w:jc w:val="both"/>
        <w:rPr>
          <w:rFonts w:ascii="Arial" w:hAnsi="Arial" w:cs="Arial"/>
        </w:rPr>
      </w:pPr>
    </w:p>
    <w:p w:rsidR="00B17158" w:rsidRDefault="00B17158" w:rsidP="00263FAE">
      <w:pPr>
        <w:spacing w:line="480" w:lineRule="auto"/>
        <w:ind w:left="567" w:hanging="283"/>
        <w:jc w:val="both"/>
        <w:rPr>
          <w:rFonts w:ascii="Arial" w:hAnsi="Arial" w:cs="Arial"/>
        </w:rPr>
      </w:pPr>
      <w:r>
        <w:rPr>
          <w:rFonts w:ascii="Arial" w:hAnsi="Arial" w:cs="Arial"/>
        </w:rPr>
        <w:t>6</w:t>
      </w:r>
      <w:r w:rsidR="00276738" w:rsidRPr="006774DC">
        <w:rPr>
          <w:rFonts w:ascii="Arial" w:hAnsi="Arial" w:cs="Arial"/>
        </w:rPr>
        <w:t xml:space="preserve">. En lo referente a emigración interna, Manabí es la provincia que mayor cantidad de población </w:t>
      </w:r>
      <w:r w:rsidR="00B319CE" w:rsidRPr="006774DC">
        <w:rPr>
          <w:rFonts w:ascii="Arial" w:hAnsi="Arial" w:cs="Arial"/>
        </w:rPr>
        <w:t>en términos absolutos expulsa, teniéndose que desde esta provincia han emigrado 585085</w:t>
      </w:r>
      <w:r w:rsidR="000C04B1" w:rsidRPr="006774DC">
        <w:rPr>
          <w:rFonts w:ascii="Arial" w:hAnsi="Arial" w:cs="Arial"/>
        </w:rPr>
        <w:t xml:space="preserve"> personas</w:t>
      </w:r>
      <w:r>
        <w:rPr>
          <w:rFonts w:ascii="Arial" w:hAnsi="Arial" w:cs="Arial"/>
        </w:rPr>
        <w:t xml:space="preserve"> en el período intercensal 2001 - 2010</w:t>
      </w:r>
      <w:r w:rsidR="000C04B1" w:rsidRPr="006774DC">
        <w:rPr>
          <w:rFonts w:ascii="Arial" w:hAnsi="Arial" w:cs="Arial"/>
        </w:rPr>
        <w:t>, siendo los dos lugares más atractivo</w:t>
      </w:r>
      <w:r w:rsidR="0036328A" w:rsidRPr="006774DC">
        <w:rPr>
          <w:rFonts w:ascii="Arial" w:hAnsi="Arial" w:cs="Arial"/>
        </w:rPr>
        <w:t>s</w:t>
      </w:r>
      <w:r w:rsidR="000C04B1" w:rsidRPr="006774DC">
        <w:rPr>
          <w:rFonts w:ascii="Arial" w:hAnsi="Arial" w:cs="Arial"/>
        </w:rPr>
        <w:t xml:space="preserve"> </w:t>
      </w:r>
      <w:r>
        <w:rPr>
          <w:rFonts w:ascii="Arial" w:hAnsi="Arial" w:cs="Arial"/>
        </w:rPr>
        <w:t>para los manabitas</w:t>
      </w:r>
      <w:r w:rsidR="005B7483">
        <w:rPr>
          <w:rFonts w:ascii="Arial" w:hAnsi="Arial" w:cs="Arial"/>
        </w:rPr>
        <w:t>,</w:t>
      </w:r>
      <w:r w:rsidR="000C04B1" w:rsidRPr="006774DC">
        <w:rPr>
          <w:rFonts w:ascii="Arial" w:hAnsi="Arial" w:cs="Arial"/>
        </w:rPr>
        <w:t xml:space="preserve"> Guayas y Pichincha; se encontró además que por cada 1000 personas nacidas en </w:t>
      </w:r>
      <w:r w:rsidR="00DF4F07" w:rsidRPr="006774DC">
        <w:rPr>
          <w:rFonts w:ascii="Arial" w:hAnsi="Arial" w:cs="Arial"/>
        </w:rPr>
        <w:t>Manabí</w:t>
      </w:r>
      <w:r w:rsidR="000C04B1" w:rsidRPr="006774DC">
        <w:rPr>
          <w:rFonts w:ascii="Arial" w:hAnsi="Arial" w:cs="Arial"/>
        </w:rPr>
        <w:t xml:space="preserve"> 143 han emigrado hacia Guayas, 43 hacia Pichincha; y, 686 se han quedado </w:t>
      </w:r>
      <w:r w:rsidR="00DF4F07" w:rsidRPr="006774DC">
        <w:rPr>
          <w:rFonts w:ascii="Arial" w:hAnsi="Arial" w:cs="Arial"/>
        </w:rPr>
        <w:t>a vivir</w:t>
      </w:r>
      <w:r w:rsidR="000C04B1" w:rsidRPr="006774DC">
        <w:rPr>
          <w:rFonts w:ascii="Arial" w:hAnsi="Arial" w:cs="Arial"/>
        </w:rPr>
        <w:t xml:space="preserve"> en la misma provincia</w:t>
      </w:r>
      <w:r w:rsidR="00DF4F07" w:rsidRPr="006774DC">
        <w:rPr>
          <w:rFonts w:ascii="Arial" w:hAnsi="Arial" w:cs="Arial"/>
        </w:rPr>
        <w:t xml:space="preserve">, cabe </w:t>
      </w:r>
      <w:r w:rsidR="00CC7894" w:rsidRPr="006774DC">
        <w:rPr>
          <w:rFonts w:ascii="Arial" w:hAnsi="Arial" w:cs="Arial"/>
        </w:rPr>
        <w:t>resaltar</w:t>
      </w:r>
      <w:r w:rsidR="00DF4F07" w:rsidRPr="006774DC">
        <w:rPr>
          <w:rFonts w:ascii="Arial" w:hAnsi="Arial" w:cs="Arial"/>
        </w:rPr>
        <w:t xml:space="preserve"> que a pesar de la antigüedad que tienen las </w:t>
      </w:r>
      <w:r w:rsidR="005B7483">
        <w:rPr>
          <w:rFonts w:ascii="Arial" w:hAnsi="Arial" w:cs="Arial"/>
        </w:rPr>
        <w:t>“</w:t>
      </w:r>
      <w:r w:rsidR="00DF4F07" w:rsidRPr="006774DC">
        <w:rPr>
          <w:rFonts w:ascii="Arial" w:hAnsi="Arial" w:cs="Arial"/>
        </w:rPr>
        <w:t>leyes de Ravenstein</w:t>
      </w:r>
      <w:r w:rsidR="005B7483">
        <w:rPr>
          <w:rFonts w:ascii="Arial" w:hAnsi="Arial" w:cs="Arial"/>
        </w:rPr>
        <w:t>”</w:t>
      </w:r>
      <w:r w:rsidR="00DF4F07" w:rsidRPr="006774DC">
        <w:rPr>
          <w:rFonts w:ascii="Arial" w:hAnsi="Arial" w:cs="Arial"/>
        </w:rPr>
        <w:t xml:space="preserve"> la población migrante se continua comportando </w:t>
      </w:r>
      <w:r w:rsidR="005B7483">
        <w:rPr>
          <w:rFonts w:ascii="Arial" w:hAnsi="Arial" w:cs="Arial"/>
        </w:rPr>
        <w:t>como éstas lo pronostican;</w:t>
      </w:r>
      <w:r w:rsidR="00DF4F07" w:rsidRPr="006774DC">
        <w:rPr>
          <w:rFonts w:ascii="Arial" w:hAnsi="Arial" w:cs="Arial"/>
        </w:rPr>
        <w:t xml:space="preserve"> </w:t>
      </w:r>
      <w:r w:rsidR="005B7483">
        <w:rPr>
          <w:rFonts w:ascii="Arial" w:hAnsi="Arial" w:cs="Arial"/>
        </w:rPr>
        <w:t>estos es,</w:t>
      </w:r>
      <w:r w:rsidR="00DF4F07" w:rsidRPr="006774DC">
        <w:rPr>
          <w:rFonts w:ascii="Arial" w:hAnsi="Arial" w:cs="Arial"/>
        </w:rPr>
        <w:t xml:space="preserve"> buscan los grandes centros económicos</w:t>
      </w:r>
      <w:r w:rsidR="005B7483">
        <w:rPr>
          <w:rFonts w:ascii="Arial" w:hAnsi="Arial" w:cs="Arial"/>
        </w:rPr>
        <w:t>, o</w:t>
      </w:r>
      <w:r w:rsidR="00DF4F07" w:rsidRPr="006774DC">
        <w:rPr>
          <w:rFonts w:ascii="Arial" w:hAnsi="Arial" w:cs="Arial"/>
        </w:rPr>
        <w:t xml:space="preserve"> además la migraci</w:t>
      </w:r>
      <w:r w:rsidR="00013889" w:rsidRPr="006774DC">
        <w:rPr>
          <w:rFonts w:ascii="Arial" w:hAnsi="Arial" w:cs="Arial"/>
        </w:rPr>
        <w:t xml:space="preserve">ón es de corta distancia. </w:t>
      </w:r>
    </w:p>
    <w:p w:rsidR="00B17158" w:rsidRDefault="00B17158" w:rsidP="0034622A">
      <w:pPr>
        <w:spacing w:line="480" w:lineRule="auto"/>
        <w:ind w:left="567"/>
        <w:jc w:val="both"/>
        <w:rPr>
          <w:rFonts w:ascii="Arial" w:hAnsi="Arial" w:cs="Arial"/>
        </w:rPr>
      </w:pPr>
    </w:p>
    <w:p w:rsidR="003856B3" w:rsidRDefault="005C20B7" w:rsidP="00263FAE">
      <w:pPr>
        <w:spacing w:line="480" w:lineRule="auto"/>
        <w:ind w:left="567" w:hanging="283"/>
        <w:jc w:val="both"/>
        <w:rPr>
          <w:rFonts w:ascii="Arial" w:hAnsi="Arial" w:cs="Arial"/>
        </w:rPr>
      </w:pPr>
      <w:r>
        <w:rPr>
          <w:rFonts w:ascii="Arial" w:hAnsi="Arial" w:cs="Arial"/>
        </w:rPr>
        <w:t xml:space="preserve">7. </w:t>
      </w:r>
      <w:r w:rsidR="00B17158">
        <w:rPr>
          <w:rFonts w:ascii="Arial" w:hAnsi="Arial" w:cs="Arial"/>
        </w:rPr>
        <w:t>P</w:t>
      </w:r>
      <w:r w:rsidR="00D3392D" w:rsidRPr="006774DC">
        <w:rPr>
          <w:rFonts w:ascii="Arial" w:hAnsi="Arial" w:cs="Arial"/>
        </w:rPr>
        <w:t xml:space="preserve">ara el caso de Guayas se </w:t>
      </w:r>
      <w:r w:rsidR="00AE13C0">
        <w:rPr>
          <w:rFonts w:ascii="Arial" w:hAnsi="Arial" w:cs="Arial"/>
        </w:rPr>
        <w:t>encontró</w:t>
      </w:r>
      <w:r w:rsidR="00D3392D" w:rsidRPr="006774DC">
        <w:rPr>
          <w:rFonts w:ascii="Arial" w:hAnsi="Arial" w:cs="Arial"/>
        </w:rPr>
        <w:t xml:space="preserve"> que por cada 1000 nacidos en esta provincia 86 han emigrado hacia otras provincias del Ecuador, esto se debe a que la provincia es considerada uno de los grandes centros económicos del país, por tanto es capaz de generar empleo</w:t>
      </w:r>
      <w:r w:rsidR="00572640" w:rsidRPr="006774DC">
        <w:rPr>
          <w:rFonts w:ascii="Arial" w:hAnsi="Arial" w:cs="Arial"/>
        </w:rPr>
        <w:t xml:space="preserve"> y proporcionar bienestar y mejora en la calidad de vida de su población, cabe resaltar que esta provincia y Pichincha son las que presentan las mayores tasas de retención de población nativa.</w:t>
      </w:r>
    </w:p>
    <w:p w:rsidR="005C20B7" w:rsidRDefault="005C20B7" w:rsidP="00263FAE">
      <w:pPr>
        <w:spacing w:line="480" w:lineRule="auto"/>
        <w:ind w:left="567" w:hanging="283"/>
        <w:jc w:val="both"/>
        <w:rPr>
          <w:rFonts w:ascii="Arial" w:hAnsi="Arial" w:cs="Arial"/>
        </w:rPr>
      </w:pPr>
    </w:p>
    <w:p w:rsidR="008721FF" w:rsidRPr="006774DC" w:rsidRDefault="005C20B7" w:rsidP="00263FAE">
      <w:pPr>
        <w:spacing w:line="480" w:lineRule="auto"/>
        <w:ind w:left="567" w:hanging="283"/>
        <w:jc w:val="both"/>
        <w:rPr>
          <w:rFonts w:ascii="Arial" w:hAnsi="Arial" w:cs="Arial"/>
        </w:rPr>
      </w:pPr>
      <w:r>
        <w:rPr>
          <w:rFonts w:ascii="Arial" w:hAnsi="Arial" w:cs="Arial"/>
        </w:rPr>
        <w:t>8</w:t>
      </w:r>
      <w:r w:rsidR="00487EF0" w:rsidRPr="006774DC">
        <w:rPr>
          <w:rFonts w:ascii="Arial" w:hAnsi="Arial" w:cs="Arial"/>
        </w:rPr>
        <w:t>. Durante años la población extranjera en nuestro país había estado constituida mayoritariamente por peruanos y colombianos, llegando incluso a existir un boom migratorio de peruanos en el año 2007; según los resultados obtenidos a partir del Censo 2010</w:t>
      </w:r>
      <w:r w:rsidR="00614697">
        <w:rPr>
          <w:rFonts w:ascii="Arial" w:hAnsi="Arial" w:cs="Arial"/>
        </w:rPr>
        <w:t xml:space="preserve"> el 1.26% de la población total del Ecuador son inmigrantes extranjeros que residen habitualmente en el país</w:t>
      </w:r>
      <w:r w:rsidR="00487EF0" w:rsidRPr="006774DC">
        <w:rPr>
          <w:rFonts w:ascii="Arial" w:hAnsi="Arial" w:cs="Arial"/>
        </w:rPr>
        <w:t xml:space="preserve">, </w:t>
      </w:r>
      <w:r w:rsidR="00614697">
        <w:rPr>
          <w:rFonts w:ascii="Arial" w:hAnsi="Arial" w:cs="Arial"/>
        </w:rPr>
        <w:t xml:space="preserve">de los cuales </w:t>
      </w:r>
      <w:r w:rsidR="00487EF0" w:rsidRPr="006774DC">
        <w:rPr>
          <w:rFonts w:ascii="Arial" w:hAnsi="Arial" w:cs="Arial"/>
        </w:rPr>
        <w:t xml:space="preserve">poco menos del 50% son colombianos, la segunda ponderación más grande </w:t>
      </w:r>
      <w:r w:rsidR="00DD249A" w:rsidRPr="006774DC">
        <w:rPr>
          <w:rFonts w:ascii="Arial" w:hAnsi="Arial" w:cs="Arial"/>
        </w:rPr>
        <w:t xml:space="preserve">de </w:t>
      </w:r>
      <w:r w:rsidR="00487EF0" w:rsidRPr="006774DC">
        <w:rPr>
          <w:rFonts w:ascii="Arial" w:hAnsi="Arial" w:cs="Arial"/>
        </w:rPr>
        <w:t xml:space="preserve">extranjeros son peruanos manteniéndose la constitución histórica de </w:t>
      </w:r>
      <w:r w:rsidR="00DD249A" w:rsidRPr="006774DC">
        <w:rPr>
          <w:rFonts w:ascii="Arial" w:hAnsi="Arial" w:cs="Arial"/>
        </w:rPr>
        <w:t>inmigrantes internacionales</w:t>
      </w:r>
      <w:r w:rsidR="00487EF0" w:rsidRPr="006774DC">
        <w:rPr>
          <w:rFonts w:ascii="Arial" w:hAnsi="Arial" w:cs="Arial"/>
        </w:rPr>
        <w:t xml:space="preserve">; y, alrededor del 8.30% son estadounidense siendo esta la tercera comunidad de extranjeros más </w:t>
      </w:r>
      <w:r w:rsidR="00DD249A" w:rsidRPr="006774DC">
        <w:rPr>
          <w:rFonts w:ascii="Arial" w:hAnsi="Arial" w:cs="Arial"/>
        </w:rPr>
        <w:t>numerosa</w:t>
      </w:r>
      <w:r w:rsidR="00487EF0" w:rsidRPr="006774DC">
        <w:rPr>
          <w:rFonts w:ascii="Arial" w:hAnsi="Arial" w:cs="Arial"/>
        </w:rPr>
        <w:t>.</w:t>
      </w:r>
      <w:r w:rsidR="00DD249A" w:rsidRPr="006774DC">
        <w:rPr>
          <w:rFonts w:ascii="Arial" w:hAnsi="Arial" w:cs="Arial"/>
        </w:rPr>
        <w:t xml:space="preserve"> En cuanto al área de residencia, la mayor proporción residen en áreas urbanas, pero los inmigrantes extranjeros que viven en Carchi, Sucumbíos o en las Zonas no Delimitadas es mayor la cantidad de los que están en las áreas rurales, para el último caso esa era la situación a esperarse ya que estas zonas están conformadas </w:t>
      </w:r>
      <w:r w:rsidR="009F1C82">
        <w:rPr>
          <w:rFonts w:ascii="Arial" w:hAnsi="Arial" w:cs="Arial"/>
        </w:rPr>
        <w:t>completamente</w:t>
      </w:r>
      <w:r w:rsidR="00DD249A" w:rsidRPr="006774DC">
        <w:rPr>
          <w:rFonts w:ascii="Arial" w:hAnsi="Arial" w:cs="Arial"/>
        </w:rPr>
        <w:t xml:space="preserve"> por áreas rurales.</w:t>
      </w:r>
    </w:p>
    <w:p w:rsidR="00DD249A" w:rsidRPr="006774DC" w:rsidRDefault="00DD249A" w:rsidP="0034622A">
      <w:pPr>
        <w:spacing w:line="480" w:lineRule="auto"/>
        <w:ind w:left="567"/>
        <w:jc w:val="both"/>
        <w:rPr>
          <w:rFonts w:ascii="Arial" w:hAnsi="Arial" w:cs="Arial"/>
        </w:rPr>
      </w:pPr>
    </w:p>
    <w:p w:rsidR="00DD249A" w:rsidRDefault="005C20B7" w:rsidP="00263FAE">
      <w:pPr>
        <w:spacing w:line="480" w:lineRule="auto"/>
        <w:ind w:left="567" w:hanging="283"/>
        <w:jc w:val="both"/>
        <w:rPr>
          <w:rFonts w:ascii="Arial" w:hAnsi="Arial" w:cs="Arial"/>
        </w:rPr>
      </w:pPr>
      <w:r>
        <w:rPr>
          <w:rFonts w:ascii="Arial" w:hAnsi="Arial" w:cs="Arial"/>
        </w:rPr>
        <w:t>9</w:t>
      </w:r>
      <w:r w:rsidR="00DD249A" w:rsidRPr="006774DC">
        <w:rPr>
          <w:rFonts w:ascii="Arial" w:hAnsi="Arial" w:cs="Arial"/>
        </w:rPr>
        <w:t xml:space="preserve">. </w:t>
      </w:r>
      <w:r w:rsidR="009D4C3E" w:rsidRPr="006774DC">
        <w:rPr>
          <w:rFonts w:ascii="Arial" w:hAnsi="Arial" w:cs="Arial"/>
        </w:rPr>
        <w:t>Un poco más del 30% de los colombianos que viven en el país residen en Quito, el 13% en Carchi, el 11.40% en Guayas, el 11.50% en Sucumbíos y el 7.90% en Esmeraldas</w:t>
      </w:r>
      <w:r w:rsidR="007C5471">
        <w:rPr>
          <w:rFonts w:ascii="Arial" w:hAnsi="Arial" w:cs="Arial"/>
        </w:rPr>
        <w:t>;</w:t>
      </w:r>
      <w:r w:rsidR="009D4C3E" w:rsidRPr="006774DC">
        <w:rPr>
          <w:rFonts w:ascii="Arial" w:hAnsi="Arial" w:cs="Arial"/>
        </w:rPr>
        <w:t xml:space="preserve"> teniéndose que los inmigrantes provenientes de este país a mas de establecerse en los dos centros económicos</w:t>
      </w:r>
      <w:r w:rsidR="007C5471">
        <w:rPr>
          <w:rFonts w:ascii="Arial" w:hAnsi="Arial" w:cs="Arial"/>
        </w:rPr>
        <w:t xml:space="preserve"> principales</w:t>
      </w:r>
      <w:r w:rsidR="009D4C3E" w:rsidRPr="006774DC">
        <w:rPr>
          <w:rFonts w:ascii="Arial" w:hAnsi="Arial" w:cs="Arial"/>
        </w:rPr>
        <w:t>, también se dirigen en numerosas cantidades hacia las provincias con las cuales limitan como son Esmeraldas, Carchi y Sucumbíos</w:t>
      </w:r>
      <w:r w:rsidR="007C5471">
        <w:rPr>
          <w:rFonts w:ascii="Arial" w:hAnsi="Arial" w:cs="Arial"/>
        </w:rPr>
        <w:t>;</w:t>
      </w:r>
      <w:r w:rsidR="009D4C3E" w:rsidRPr="006774DC">
        <w:rPr>
          <w:rFonts w:ascii="Arial" w:hAnsi="Arial" w:cs="Arial"/>
        </w:rPr>
        <w:t xml:space="preserve"> </w:t>
      </w:r>
      <w:r w:rsidR="007C5471">
        <w:rPr>
          <w:rFonts w:ascii="Arial" w:hAnsi="Arial" w:cs="Arial"/>
        </w:rPr>
        <w:t>m</w:t>
      </w:r>
      <w:r w:rsidR="009D4C3E" w:rsidRPr="006774DC">
        <w:rPr>
          <w:rFonts w:ascii="Arial" w:hAnsi="Arial" w:cs="Arial"/>
        </w:rPr>
        <w:t xml:space="preserve">ientras que del total de peruanos residentes en el país (15676), el 22.90% están en Azuay, el 19.30% en Guayas, el 15.40% en Pichincha, el 15.10% en El Oro y el 10.70% en Loja, teniéndose al igual que en el caso anterior que a mas de emigrar hacia los tres grandes centros económicos del país, también se dirigen en altas proporciones hacia Loja una de las provincias con las cuales limitan; </w:t>
      </w:r>
      <w:r w:rsidR="00460363">
        <w:rPr>
          <w:rFonts w:ascii="Arial" w:hAnsi="Arial" w:cs="Arial"/>
        </w:rPr>
        <w:t xml:space="preserve">y, </w:t>
      </w:r>
      <w:r w:rsidR="009D4C3E" w:rsidRPr="006774DC">
        <w:rPr>
          <w:rFonts w:ascii="Arial" w:hAnsi="Arial" w:cs="Arial"/>
        </w:rPr>
        <w:t xml:space="preserve">del total de </w:t>
      </w:r>
      <w:r w:rsidR="007C5471">
        <w:rPr>
          <w:rFonts w:ascii="Arial" w:hAnsi="Arial" w:cs="Arial"/>
        </w:rPr>
        <w:t>estadounidenses</w:t>
      </w:r>
      <w:r w:rsidR="009D4C3E" w:rsidRPr="006774DC">
        <w:rPr>
          <w:rFonts w:ascii="Arial" w:hAnsi="Arial" w:cs="Arial"/>
        </w:rPr>
        <w:t xml:space="preserve"> residentes en el Ecuador (15017) el 28.60% viven en Pichincha, el 21.80% en Azuay y el 21.60% en Guayas</w:t>
      </w:r>
      <w:r w:rsidR="00F92B19" w:rsidRPr="006774DC">
        <w:rPr>
          <w:rFonts w:ascii="Arial" w:hAnsi="Arial" w:cs="Arial"/>
        </w:rPr>
        <w:t xml:space="preserve"> siendo estas las tres provincias que mayores cantidades de estadounidenses reciben, esto se puede explicar mediante la calidad y el confort de vida que estas provincias pueden proveer respecto a las demás del país ya que estos emigrantes provienen de un país d</w:t>
      </w:r>
      <w:r w:rsidR="00460363">
        <w:rPr>
          <w:rFonts w:ascii="Arial" w:hAnsi="Arial" w:cs="Arial"/>
        </w:rPr>
        <w:t>esarrollado</w:t>
      </w:r>
      <w:r w:rsidR="00F92B19" w:rsidRPr="006774DC">
        <w:rPr>
          <w:rFonts w:ascii="Arial" w:hAnsi="Arial" w:cs="Arial"/>
        </w:rPr>
        <w:t>.</w:t>
      </w:r>
      <w:r w:rsidR="006774DC">
        <w:rPr>
          <w:rFonts w:ascii="Arial" w:hAnsi="Arial" w:cs="Arial"/>
        </w:rPr>
        <w:t xml:space="preserve"> Llegando a concluir finalmente que la mayoría de los extranjeros residentes en el país se </w:t>
      </w:r>
      <w:r w:rsidR="007C5471">
        <w:rPr>
          <w:rFonts w:ascii="Arial" w:hAnsi="Arial" w:cs="Arial"/>
        </w:rPr>
        <w:t>concentran</w:t>
      </w:r>
      <w:r w:rsidR="006774DC">
        <w:rPr>
          <w:rFonts w:ascii="Arial" w:hAnsi="Arial" w:cs="Arial"/>
        </w:rPr>
        <w:t xml:space="preserve"> entre las tres provincias que </w:t>
      </w:r>
      <w:r w:rsidR="007C5471">
        <w:rPr>
          <w:rFonts w:ascii="Arial" w:hAnsi="Arial" w:cs="Arial"/>
        </w:rPr>
        <w:t>tradicionalmente</w:t>
      </w:r>
      <w:r w:rsidR="006774DC">
        <w:rPr>
          <w:rFonts w:ascii="Arial" w:hAnsi="Arial" w:cs="Arial"/>
        </w:rPr>
        <w:t xml:space="preserve"> han sido consideradas como los centros económicos del país como son Pichincha, Guayas y Azuay.</w:t>
      </w:r>
    </w:p>
    <w:p w:rsidR="0034622A" w:rsidRPr="006774DC" w:rsidRDefault="0034622A" w:rsidP="0034622A">
      <w:pPr>
        <w:spacing w:line="480" w:lineRule="auto"/>
        <w:ind w:left="567"/>
        <w:jc w:val="both"/>
        <w:rPr>
          <w:rFonts w:ascii="Arial" w:hAnsi="Arial" w:cs="Arial"/>
        </w:rPr>
      </w:pPr>
    </w:p>
    <w:p w:rsidR="000B05D6" w:rsidRDefault="00460363" w:rsidP="00263FAE">
      <w:pPr>
        <w:spacing w:line="480" w:lineRule="auto"/>
        <w:ind w:left="567" w:hanging="283"/>
        <w:jc w:val="both"/>
        <w:rPr>
          <w:rFonts w:ascii="Arial" w:hAnsi="Arial" w:cs="Arial"/>
        </w:rPr>
      </w:pPr>
      <w:r>
        <w:rPr>
          <w:rFonts w:ascii="Arial" w:hAnsi="Arial" w:cs="Arial"/>
        </w:rPr>
        <w:t>1</w:t>
      </w:r>
      <w:r w:rsidR="005C20B7">
        <w:rPr>
          <w:rFonts w:ascii="Arial" w:hAnsi="Arial" w:cs="Arial"/>
        </w:rPr>
        <w:t>0</w:t>
      </w:r>
      <w:r w:rsidR="006774DC" w:rsidRPr="006774DC">
        <w:rPr>
          <w:rFonts w:ascii="Arial" w:hAnsi="Arial" w:cs="Arial"/>
        </w:rPr>
        <w:t>. Del total de colombianos residentes en el país mayores de 15 años el 6.61% son analfabetos, es decir no saben leer ni escribir y en cuanto al nivel más alto de instrucción de la población mayor de 5 años se tiene que el 40.96% tiene hasta instrucción primaria, el 35.57% hasta secundaria, el 15.69%</w:t>
      </w:r>
      <w:r w:rsidR="006774DC">
        <w:rPr>
          <w:rFonts w:ascii="Arial" w:hAnsi="Arial" w:cs="Arial"/>
        </w:rPr>
        <w:t xml:space="preserve"> superior, pudiendo concluir que esta no es una población que tenga altos estándares de educación probablemente porque no son los m</w:t>
      </w:r>
      <w:r w:rsidR="00253FC2">
        <w:rPr>
          <w:rFonts w:ascii="Arial" w:hAnsi="Arial" w:cs="Arial"/>
        </w:rPr>
        <w:t>á</w:t>
      </w:r>
      <w:r w:rsidR="006774DC">
        <w:rPr>
          <w:rFonts w:ascii="Arial" w:hAnsi="Arial" w:cs="Arial"/>
        </w:rPr>
        <w:t>s letrados de Colombia los que emigren hacia Ecuador</w:t>
      </w:r>
      <w:r w:rsidR="00253FC2">
        <w:rPr>
          <w:rFonts w:ascii="Arial" w:hAnsi="Arial" w:cs="Arial"/>
        </w:rPr>
        <w:t xml:space="preserve"> o posiblemente sean personas provenientes de la frontera que huyen por los conflictos que </w:t>
      </w:r>
      <w:r w:rsidR="008350DD">
        <w:rPr>
          <w:rFonts w:ascii="Arial" w:hAnsi="Arial" w:cs="Arial"/>
        </w:rPr>
        <w:t>existen</w:t>
      </w:r>
      <w:r w:rsidR="00253FC2">
        <w:rPr>
          <w:rFonts w:ascii="Arial" w:hAnsi="Arial" w:cs="Arial"/>
        </w:rPr>
        <w:t xml:space="preserve"> en esa zona del país y que por ser pueblos alejados y en </w:t>
      </w:r>
      <w:r w:rsidR="007957AE">
        <w:rPr>
          <w:rFonts w:ascii="Arial" w:hAnsi="Arial" w:cs="Arial"/>
        </w:rPr>
        <w:t>conflicto</w:t>
      </w:r>
      <w:r w:rsidR="00253FC2">
        <w:rPr>
          <w:rFonts w:ascii="Arial" w:hAnsi="Arial" w:cs="Arial"/>
        </w:rPr>
        <w:t xml:space="preserve"> su nivel educativo no sea </w:t>
      </w:r>
      <w:r w:rsidR="00A146FA">
        <w:rPr>
          <w:rFonts w:ascii="Arial" w:hAnsi="Arial" w:cs="Arial"/>
        </w:rPr>
        <w:t>comparable con el del resto de habitantes</w:t>
      </w:r>
      <w:r w:rsidR="00253FC2">
        <w:rPr>
          <w:rFonts w:ascii="Arial" w:hAnsi="Arial" w:cs="Arial"/>
        </w:rPr>
        <w:t xml:space="preserve"> de Colombia</w:t>
      </w:r>
      <w:r w:rsidR="000B05D6">
        <w:rPr>
          <w:rFonts w:ascii="Arial" w:hAnsi="Arial" w:cs="Arial"/>
        </w:rPr>
        <w:t>.</w:t>
      </w:r>
    </w:p>
    <w:p w:rsidR="000B05D6" w:rsidRDefault="000B05D6" w:rsidP="0034622A">
      <w:pPr>
        <w:spacing w:line="480" w:lineRule="auto"/>
        <w:ind w:left="567"/>
        <w:jc w:val="both"/>
        <w:rPr>
          <w:rFonts w:ascii="Arial" w:hAnsi="Arial" w:cs="Arial"/>
        </w:rPr>
      </w:pPr>
    </w:p>
    <w:p w:rsidR="006774DC" w:rsidRPr="006774DC" w:rsidRDefault="000B05D6" w:rsidP="00263FAE">
      <w:pPr>
        <w:spacing w:line="480" w:lineRule="auto"/>
        <w:ind w:left="567" w:hanging="283"/>
        <w:jc w:val="both"/>
        <w:rPr>
          <w:rFonts w:ascii="Arial" w:hAnsi="Arial" w:cs="Arial"/>
        </w:rPr>
      </w:pPr>
      <w:r>
        <w:rPr>
          <w:rFonts w:ascii="Arial" w:hAnsi="Arial" w:cs="Arial"/>
        </w:rPr>
        <w:t>1</w:t>
      </w:r>
      <w:r w:rsidR="005C20B7">
        <w:rPr>
          <w:rFonts w:ascii="Arial" w:hAnsi="Arial" w:cs="Arial"/>
        </w:rPr>
        <w:t>1</w:t>
      </w:r>
      <w:r>
        <w:rPr>
          <w:rFonts w:ascii="Arial" w:hAnsi="Arial" w:cs="Arial"/>
        </w:rPr>
        <w:t>. D</w:t>
      </w:r>
      <w:r w:rsidR="006774DC">
        <w:rPr>
          <w:rFonts w:ascii="Arial" w:hAnsi="Arial" w:cs="Arial"/>
        </w:rPr>
        <w:t xml:space="preserve">e los peruanos mayores de 15 años el 2.08% son analfabetos y en cuanto a su nivel más alto de instrucción de esta población se tiene que </w:t>
      </w:r>
      <w:r w:rsidR="006774DC" w:rsidRPr="006774DC">
        <w:rPr>
          <w:rFonts w:ascii="Arial" w:hAnsi="Arial" w:cs="Arial"/>
        </w:rPr>
        <w:t>el 25.12% tienen instrucción primaria, el 47.90% secundaria, el 22.80% superior</w:t>
      </w:r>
      <w:r w:rsidR="006774DC">
        <w:rPr>
          <w:rFonts w:ascii="Arial" w:hAnsi="Arial" w:cs="Arial"/>
        </w:rPr>
        <w:t xml:space="preserve">; y, respecto a la población usamericana mayor de 15 años tan solo el 0.28% de ellos son analfabetos y </w:t>
      </w:r>
      <w:r>
        <w:rPr>
          <w:rFonts w:ascii="Arial" w:hAnsi="Arial" w:cs="Arial"/>
        </w:rPr>
        <w:t>en lo referente</w:t>
      </w:r>
      <w:r w:rsidR="006774DC">
        <w:rPr>
          <w:rFonts w:ascii="Arial" w:hAnsi="Arial" w:cs="Arial"/>
        </w:rPr>
        <w:t xml:space="preserve"> al nivel más alto de instrucción se </w:t>
      </w:r>
      <w:r w:rsidR="00506BFD">
        <w:rPr>
          <w:rFonts w:ascii="Arial" w:hAnsi="Arial" w:cs="Arial"/>
        </w:rPr>
        <w:t>obtuvo</w:t>
      </w:r>
      <w:r w:rsidR="006774DC">
        <w:rPr>
          <w:rFonts w:ascii="Arial" w:hAnsi="Arial" w:cs="Arial"/>
        </w:rPr>
        <w:t xml:space="preserve"> que el </w:t>
      </w:r>
      <w:r w:rsidR="006774DC" w:rsidRPr="006774DC">
        <w:rPr>
          <w:rFonts w:ascii="Arial" w:hAnsi="Arial" w:cs="Arial"/>
        </w:rPr>
        <w:t>39.06% tienen instrucción</w:t>
      </w:r>
      <w:r w:rsidR="006774DC">
        <w:rPr>
          <w:rFonts w:ascii="Arial" w:hAnsi="Arial" w:cs="Arial"/>
        </w:rPr>
        <w:t xml:space="preserve"> primaria, el 24.54% secundaria y</w:t>
      </w:r>
      <w:r w:rsidR="006774DC" w:rsidRPr="006774DC">
        <w:rPr>
          <w:rFonts w:ascii="Arial" w:hAnsi="Arial" w:cs="Arial"/>
        </w:rPr>
        <w:t xml:space="preserve"> </w:t>
      </w:r>
      <w:r w:rsidR="006774DC">
        <w:rPr>
          <w:rFonts w:ascii="Arial" w:hAnsi="Arial" w:cs="Arial"/>
        </w:rPr>
        <w:t xml:space="preserve">el </w:t>
      </w:r>
      <w:r w:rsidR="006774DC" w:rsidRPr="006774DC">
        <w:rPr>
          <w:rFonts w:ascii="Arial" w:hAnsi="Arial" w:cs="Arial"/>
        </w:rPr>
        <w:t>34.88% superior</w:t>
      </w:r>
      <w:r>
        <w:rPr>
          <w:rFonts w:ascii="Arial" w:hAnsi="Arial" w:cs="Arial"/>
        </w:rPr>
        <w:t>.</w:t>
      </w:r>
      <w:r w:rsidR="00623238">
        <w:rPr>
          <w:rFonts w:ascii="Arial" w:hAnsi="Arial" w:cs="Arial"/>
        </w:rPr>
        <w:t xml:space="preserve"> </w:t>
      </w:r>
      <w:r>
        <w:rPr>
          <w:rFonts w:ascii="Arial" w:hAnsi="Arial" w:cs="Arial"/>
        </w:rPr>
        <w:t>Q</w:t>
      </w:r>
      <w:r w:rsidR="006774DC">
        <w:rPr>
          <w:rFonts w:ascii="Arial" w:hAnsi="Arial" w:cs="Arial"/>
        </w:rPr>
        <w:t>ue la mayor ponderación de estadounidenses tenga</w:t>
      </w:r>
      <w:r w:rsidR="00623238">
        <w:rPr>
          <w:rFonts w:ascii="Arial" w:hAnsi="Arial" w:cs="Arial"/>
        </w:rPr>
        <w:t>n</w:t>
      </w:r>
      <w:r w:rsidR="006774DC">
        <w:rPr>
          <w:rFonts w:ascii="Arial" w:hAnsi="Arial" w:cs="Arial"/>
        </w:rPr>
        <w:t xml:space="preserve"> hasta instrucción superior se debe probablemente a las exigencias educativas que </w:t>
      </w:r>
      <w:r w:rsidR="00AE13C0">
        <w:rPr>
          <w:rFonts w:ascii="Arial" w:hAnsi="Arial" w:cs="Arial"/>
        </w:rPr>
        <w:t>hay</w:t>
      </w:r>
      <w:r w:rsidR="006774DC">
        <w:rPr>
          <w:rFonts w:ascii="Arial" w:hAnsi="Arial" w:cs="Arial"/>
        </w:rPr>
        <w:t xml:space="preserve"> en un país desarrollado como lo es Estados Unidos. Entre estas tres poblaciones de extranjeros tenemos que los </w:t>
      </w:r>
      <w:r w:rsidR="00623238">
        <w:rPr>
          <w:rFonts w:ascii="Arial" w:hAnsi="Arial" w:cs="Arial"/>
        </w:rPr>
        <w:t>estadounidenses</w:t>
      </w:r>
      <w:r w:rsidR="006774DC">
        <w:rPr>
          <w:rFonts w:ascii="Arial" w:hAnsi="Arial" w:cs="Arial"/>
        </w:rPr>
        <w:t xml:space="preserve"> </w:t>
      </w:r>
      <w:r w:rsidR="00623238">
        <w:rPr>
          <w:rFonts w:ascii="Arial" w:hAnsi="Arial" w:cs="Arial"/>
        </w:rPr>
        <w:t xml:space="preserve">residentes </w:t>
      </w:r>
      <w:r w:rsidR="006774DC">
        <w:rPr>
          <w:rFonts w:ascii="Arial" w:hAnsi="Arial" w:cs="Arial"/>
        </w:rPr>
        <w:t>en Ecuador tienen un alto nivel educativo, mientras que los peruanos en su mayor proporción tienen hasta instrucción secundaria, pero los colombianos son quienes presentan un menor nivel de instrucción.</w:t>
      </w:r>
    </w:p>
    <w:p w:rsidR="006774DC" w:rsidRDefault="006774DC" w:rsidP="0034622A">
      <w:pPr>
        <w:spacing w:line="480" w:lineRule="auto"/>
        <w:ind w:left="567"/>
        <w:jc w:val="both"/>
        <w:rPr>
          <w:rFonts w:ascii="Arial" w:hAnsi="Arial" w:cs="Arial"/>
        </w:rPr>
      </w:pPr>
    </w:p>
    <w:p w:rsidR="00A43BDE" w:rsidRDefault="00460363" w:rsidP="00263FAE">
      <w:pPr>
        <w:spacing w:line="480" w:lineRule="auto"/>
        <w:ind w:left="567" w:hanging="283"/>
        <w:jc w:val="both"/>
        <w:rPr>
          <w:rFonts w:ascii="Arial" w:hAnsi="Arial" w:cs="Arial"/>
        </w:rPr>
      </w:pPr>
      <w:r>
        <w:rPr>
          <w:rFonts w:ascii="Arial" w:hAnsi="Arial" w:cs="Arial"/>
        </w:rPr>
        <w:t>1</w:t>
      </w:r>
      <w:r w:rsidR="005C20B7">
        <w:rPr>
          <w:rFonts w:ascii="Arial" w:hAnsi="Arial" w:cs="Arial"/>
        </w:rPr>
        <w:t>2</w:t>
      </w:r>
      <w:r w:rsidR="006774DC">
        <w:rPr>
          <w:rFonts w:ascii="Arial" w:hAnsi="Arial" w:cs="Arial"/>
        </w:rPr>
        <w:t xml:space="preserve">. </w:t>
      </w:r>
      <w:r w:rsidR="008F7A7F">
        <w:rPr>
          <w:rFonts w:ascii="Arial" w:hAnsi="Arial" w:cs="Arial"/>
        </w:rPr>
        <w:t>En cuanto a la ocupación que tienen los extranjeros residentes en el país, se tiene que del total de colombianos mayores de 12 años el 23.40% se desempeñan como trabajadores de los servicios y vendedores</w:t>
      </w:r>
      <w:r w:rsidR="00A43BDE">
        <w:rPr>
          <w:rFonts w:ascii="Arial" w:hAnsi="Arial" w:cs="Arial"/>
        </w:rPr>
        <w:t>,</w:t>
      </w:r>
      <w:r w:rsidR="008F7A7F">
        <w:rPr>
          <w:rFonts w:ascii="Arial" w:hAnsi="Arial" w:cs="Arial"/>
        </w:rPr>
        <w:t xml:space="preserve"> el 23.10% tienen ocupaciones elementales</w:t>
      </w:r>
      <w:r w:rsidR="00A43BDE">
        <w:rPr>
          <w:rFonts w:ascii="Arial" w:hAnsi="Arial" w:cs="Arial"/>
        </w:rPr>
        <w:t xml:space="preserve"> y el 5.30% son profesionales científicos e intelectuales</w:t>
      </w:r>
      <w:r w:rsidR="008F7A7F">
        <w:rPr>
          <w:rFonts w:ascii="Arial" w:hAnsi="Arial" w:cs="Arial"/>
        </w:rPr>
        <w:t xml:space="preserve">, probablemente debido a la ocupación que desempeñan los colombianos es que no se hace obligatorio </w:t>
      </w:r>
      <w:r w:rsidR="00A43BDE">
        <w:rPr>
          <w:rFonts w:ascii="Arial" w:hAnsi="Arial" w:cs="Arial"/>
        </w:rPr>
        <w:t>que la mayor parte de esta población tenga</w:t>
      </w:r>
      <w:r w:rsidR="008F7A7F">
        <w:rPr>
          <w:rFonts w:ascii="Arial" w:hAnsi="Arial" w:cs="Arial"/>
        </w:rPr>
        <w:t xml:space="preserve"> un alto nivel de instrucción; mientras que, del total de peruanos el </w:t>
      </w:r>
      <w:r w:rsidR="00A43BDE">
        <w:rPr>
          <w:rFonts w:ascii="Arial" w:hAnsi="Arial" w:cs="Arial"/>
        </w:rPr>
        <w:t>25.40% tienen ocupaciones elementales, el 24.40% son trabajadores de los servicios y vendedores y el 5.40% son profesionales científicos e intelectuales, teniendo los peruanos una distribución ocupacional similar a la de los colombianos; y, finalmente del total de estadounidenses el 37.10% son profesionales científicos e intelectuales, el 14.40% son directores o gerentes y el 11.30% se desempeñan como trabajadores de los servicios y vendedores</w:t>
      </w:r>
      <w:r w:rsidR="009B3358">
        <w:rPr>
          <w:rFonts w:ascii="Arial" w:hAnsi="Arial" w:cs="Arial"/>
        </w:rPr>
        <w:t>;</w:t>
      </w:r>
      <w:r w:rsidR="00A43BDE">
        <w:rPr>
          <w:rFonts w:ascii="Arial" w:hAnsi="Arial" w:cs="Arial"/>
        </w:rPr>
        <w:t xml:space="preserve"> notándose que para esta </w:t>
      </w:r>
      <w:r w:rsidR="009B3358">
        <w:rPr>
          <w:rFonts w:ascii="Arial" w:hAnsi="Arial" w:cs="Arial"/>
        </w:rPr>
        <w:t>ú</w:t>
      </w:r>
      <w:r w:rsidR="00A43BDE">
        <w:rPr>
          <w:rFonts w:ascii="Arial" w:hAnsi="Arial" w:cs="Arial"/>
        </w:rPr>
        <w:t xml:space="preserve">ltima población es de vital importancia tener un alto nivel educativo debido al cargo que ellos </w:t>
      </w:r>
      <w:r w:rsidR="009B3358">
        <w:rPr>
          <w:rFonts w:ascii="Arial" w:hAnsi="Arial" w:cs="Arial"/>
        </w:rPr>
        <w:t xml:space="preserve">mayoritariamente </w:t>
      </w:r>
      <w:r w:rsidR="00A43BDE">
        <w:rPr>
          <w:rFonts w:ascii="Arial" w:hAnsi="Arial" w:cs="Arial"/>
        </w:rPr>
        <w:t>ocupan</w:t>
      </w:r>
      <w:r w:rsidR="009B3358">
        <w:rPr>
          <w:rFonts w:ascii="Arial" w:hAnsi="Arial" w:cs="Arial"/>
        </w:rPr>
        <w:t xml:space="preserve"> (profesionales científicos e intelectuales)</w:t>
      </w:r>
      <w:r w:rsidR="00A43BDE">
        <w:rPr>
          <w:rFonts w:ascii="Arial" w:hAnsi="Arial" w:cs="Arial"/>
        </w:rPr>
        <w:t>.</w:t>
      </w:r>
    </w:p>
    <w:p w:rsidR="00A43BDE" w:rsidRDefault="00A43BDE" w:rsidP="0034622A">
      <w:pPr>
        <w:spacing w:line="480" w:lineRule="auto"/>
        <w:ind w:left="567"/>
        <w:jc w:val="both"/>
        <w:rPr>
          <w:rFonts w:ascii="Arial" w:hAnsi="Arial" w:cs="Arial"/>
        </w:rPr>
      </w:pPr>
    </w:p>
    <w:p w:rsidR="00A76157" w:rsidRDefault="00A43BDE" w:rsidP="00263FAE">
      <w:pPr>
        <w:spacing w:line="480" w:lineRule="auto"/>
        <w:ind w:left="567" w:hanging="283"/>
        <w:jc w:val="both"/>
        <w:rPr>
          <w:rFonts w:ascii="Arial" w:hAnsi="Arial" w:cs="Arial"/>
        </w:rPr>
      </w:pPr>
      <w:r>
        <w:rPr>
          <w:rFonts w:ascii="Arial" w:hAnsi="Arial" w:cs="Arial"/>
        </w:rPr>
        <w:t>1</w:t>
      </w:r>
      <w:r w:rsidR="005C20B7">
        <w:rPr>
          <w:rFonts w:ascii="Arial" w:hAnsi="Arial" w:cs="Arial"/>
        </w:rPr>
        <w:t>3</w:t>
      </w:r>
      <w:r>
        <w:rPr>
          <w:rFonts w:ascii="Arial" w:hAnsi="Arial" w:cs="Arial"/>
        </w:rPr>
        <w:t xml:space="preserve">. </w:t>
      </w:r>
      <w:r w:rsidR="00A76157">
        <w:rPr>
          <w:rFonts w:ascii="Arial" w:hAnsi="Arial" w:cs="Arial"/>
        </w:rPr>
        <w:t xml:space="preserve">El </w:t>
      </w:r>
      <w:r w:rsidR="00A76157" w:rsidRPr="00A76157">
        <w:rPr>
          <w:rFonts w:ascii="Arial" w:hAnsi="Arial" w:cs="Arial"/>
        </w:rPr>
        <w:t>91.47% de los colombianos están en edad de trabajar</w:t>
      </w:r>
      <w:r w:rsidR="00A76157">
        <w:rPr>
          <w:rFonts w:ascii="Arial" w:hAnsi="Arial" w:cs="Arial"/>
        </w:rPr>
        <w:t xml:space="preserve"> (tienen 10 años o más)</w:t>
      </w:r>
      <w:r w:rsidR="00A76157" w:rsidRPr="00A76157">
        <w:rPr>
          <w:rFonts w:ascii="Arial" w:hAnsi="Arial" w:cs="Arial"/>
        </w:rPr>
        <w:t>, de estos últimos el 63.56% forman parte de la población económicamente activ</w:t>
      </w:r>
      <w:r w:rsidR="00A76157">
        <w:rPr>
          <w:rFonts w:ascii="Arial" w:hAnsi="Arial" w:cs="Arial"/>
        </w:rPr>
        <w:t>a</w:t>
      </w:r>
      <w:r w:rsidR="00460363">
        <w:rPr>
          <w:rFonts w:ascii="Arial" w:hAnsi="Arial" w:cs="Arial"/>
        </w:rPr>
        <w:t xml:space="preserve"> del Ecuador</w:t>
      </w:r>
      <w:r w:rsidR="00A76157">
        <w:rPr>
          <w:rFonts w:ascii="Arial" w:hAnsi="Arial" w:cs="Arial"/>
        </w:rPr>
        <w:t xml:space="preserve">, es decir trabajan o están activamente buscando empleo, siendo además mayor la cantidad de hombres que trabajan respecto a las mujeres; mientras que, del total de peruanos </w:t>
      </w:r>
      <w:r w:rsidR="00A76157" w:rsidRPr="00A76157">
        <w:rPr>
          <w:rFonts w:ascii="Arial" w:hAnsi="Arial" w:cs="Arial"/>
        </w:rPr>
        <w:t xml:space="preserve">el 92.52% </w:t>
      </w:r>
      <w:r w:rsidR="00A76157">
        <w:rPr>
          <w:rFonts w:ascii="Arial" w:hAnsi="Arial" w:cs="Arial"/>
        </w:rPr>
        <w:t xml:space="preserve">tienen 10 años </w:t>
      </w:r>
      <w:r w:rsidR="00DC4D1C">
        <w:rPr>
          <w:rFonts w:ascii="Arial" w:hAnsi="Arial" w:cs="Arial"/>
        </w:rPr>
        <w:t>o</w:t>
      </w:r>
      <w:r w:rsidR="00A76157">
        <w:rPr>
          <w:rFonts w:ascii="Arial" w:hAnsi="Arial" w:cs="Arial"/>
        </w:rPr>
        <w:t xml:space="preserve"> más,</w:t>
      </w:r>
      <w:r w:rsidR="00A76157" w:rsidRPr="00A76157">
        <w:rPr>
          <w:rFonts w:ascii="Arial" w:hAnsi="Arial" w:cs="Arial"/>
        </w:rPr>
        <w:t xml:space="preserve"> de éstos últimos el 72.55% son parte de la población económicamente activa</w:t>
      </w:r>
      <w:r w:rsidR="00DC4D1C">
        <w:rPr>
          <w:rFonts w:ascii="Arial" w:hAnsi="Arial" w:cs="Arial"/>
        </w:rPr>
        <w:t xml:space="preserve"> y es mucho mayor la cantidad de hombres que trabajan frente a la de mujeres; y, finalmente de los estadounidenses se tiene que</w:t>
      </w:r>
      <w:r w:rsidR="00DC4D1C" w:rsidRPr="00DC4D1C">
        <w:rPr>
          <w:rFonts w:ascii="Arial" w:hAnsi="Arial" w:cs="Arial"/>
        </w:rPr>
        <w:t xml:space="preserve"> el 58.23% son personas en edad de trabajar, de éstos últimos el 39.14% forman parte de la población económicamente activa</w:t>
      </w:r>
      <w:r w:rsidR="00DC4D1C">
        <w:rPr>
          <w:rFonts w:ascii="Arial" w:hAnsi="Arial" w:cs="Arial"/>
        </w:rPr>
        <w:t>, teniéndose casi igual cantidad de hombres que de mujeres inmersos en el mercado laboral. Con estos datos podemos concluir que probablemente los inmigrantes provenientes de Colombia o Perú vienen al país mayoritariamente sin sus familiares y en busca de empleo; mientras que, los estadounidenses llegan al país posiblemente con la finalidad de que sean pocas las personas del hogar las que trabajen y que además quieren mantener la unión familiar y por ello es que poco menos del 50% de los usamericanos son menores de 10 años.</w:t>
      </w:r>
    </w:p>
    <w:p w:rsidR="005C20B7" w:rsidRDefault="005C20B7" w:rsidP="00263FAE">
      <w:pPr>
        <w:spacing w:line="480" w:lineRule="auto"/>
        <w:ind w:left="567" w:hanging="283"/>
        <w:jc w:val="both"/>
        <w:rPr>
          <w:rFonts w:ascii="Arial" w:hAnsi="Arial" w:cs="Arial"/>
        </w:rPr>
      </w:pPr>
    </w:p>
    <w:p w:rsidR="00DC4D1C" w:rsidRDefault="007957AE" w:rsidP="00263FAE">
      <w:pPr>
        <w:spacing w:line="480" w:lineRule="auto"/>
        <w:ind w:left="567" w:hanging="283"/>
        <w:jc w:val="both"/>
        <w:rPr>
          <w:rFonts w:ascii="Arial" w:hAnsi="Arial" w:cs="Arial"/>
        </w:rPr>
      </w:pPr>
      <w:r>
        <w:rPr>
          <w:rFonts w:ascii="Arial" w:hAnsi="Arial" w:cs="Arial"/>
        </w:rPr>
        <w:t>1</w:t>
      </w:r>
      <w:r w:rsidR="005C20B7">
        <w:rPr>
          <w:rFonts w:ascii="Arial" w:hAnsi="Arial" w:cs="Arial"/>
        </w:rPr>
        <w:t>4</w:t>
      </w:r>
      <w:r>
        <w:rPr>
          <w:rFonts w:ascii="Arial" w:hAnsi="Arial" w:cs="Arial"/>
        </w:rPr>
        <w:t>. Para los ecuatorianos por muchos años el principal atractivo para emigrar fue</w:t>
      </w:r>
      <w:r w:rsidR="009D5B4E">
        <w:rPr>
          <w:rFonts w:ascii="Arial" w:hAnsi="Arial" w:cs="Arial"/>
        </w:rPr>
        <w:t xml:space="preserve"> hacerlo hacia</w:t>
      </w:r>
      <w:r>
        <w:rPr>
          <w:rFonts w:ascii="Arial" w:hAnsi="Arial" w:cs="Arial"/>
        </w:rPr>
        <w:t xml:space="preserve"> Estados Unidos, pero a partir de la crisis económica que vivió Ecuador </w:t>
      </w:r>
      <w:r w:rsidR="00460363">
        <w:rPr>
          <w:rFonts w:ascii="Arial" w:hAnsi="Arial" w:cs="Arial"/>
        </w:rPr>
        <w:t>a fines del siglo XX y comienzos del siglo XXI,</w:t>
      </w:r>
      <w:r>
        <w:rPr>
          <w:rFonts w:ascii="Arial" w:hAnsi="Arial" w:cs="Arial"/>
        </w:rPr>
        <w:t xml:space="preserve"> los ecuatorianos empezaron a visualizar a España e Italia como dos lugares de destino en el cual encontrar un empleo que les permita a ellos y sus familiares salir de </w:t>
      </w:r>
      <w:r w:rsidR="009D5B4E">
        <w:rPr>
          <w:rFonts w:ascii="Arial" w:hAnsi="Arial" w:cs="Arial"/>
        </w:rPr>
        <w:t>dicha</w:t>
      </w:r>
      <w:r>
        <w:rPr>
          <w:rFonts w:ascii="Arial" w:hAnsi="Arial" w:cs="Arial"/>
        </w:rPr>
        <w:t xml:space="preserve"> crisis; para el año 2010 se encontró que el 45% de las personas que habían salido del Ecuador entre noviembre de 2001 y el mismo mes de 201</w:t>
      </w:r>
      <w:r w:rsidR="00565C3D">
        <w:rPr>
          <w:rFonts w:ascii="Arial" w:hAnsi="Arial" w:cs="Arial"/>
        </w:rPr>
        <w:t>0</w:t>
      </w:r>
      <w:r>
        <w:rPr>
          <w:rFonts w:ascii="Arial" w:hAnsi="Arial" w:cs="Arial"/>
        </w:rPr>
        <w:t xml:space="preserve"> se dirigieron hacia España, el 28.60% hacia Estados Unidos y el 7.90% hacia Italia</w:t>
      </w:r>
      <w:r w:rsidR="00F26BE7">
        <w:rPr>
          <w:rFonts w:ascii="Arial" w:hAnsi="Arial" w:cs="Arial"/>
        </w:rPr>
        <w:t>, siendo su principal motivo de viaje la búsqueda de empleo en el exterior</w:t>
      </w:r>
      <w:r w:rsidR="00565C3D">
        <w:rPr>
          <w:rFonts w:ascii="Arial" w:hAnsi="Arial" w:cs="Arial"/>
        </w:rPr>
        <w:t>; además, el año en el cual la mayoría salió del país es el 2002 y otro numeroso grupo emigró en el 2001, los cuales son los dos años pos</w:t>
      </w:r>
      <w:r w:rsidR="009D5B4E">
        <w:rPr>
          <w:rFonts w:ascii="Arial" w:hAnsi="Arial" w:cs="Arial"/>
        </w:rPr>
        <w:t xml:space="preserve">teriores a la crisis económica que vivió </w:t>
      </w:r>
      <w:r w:rsidR="00565C3D">
        <w:rPr>
          <w:rFonts w:ascii="Arial" w:hAnsi="Arial" w:cs="Arial"/>
        </w:rPr>
        <w:t>el país</w:t>
      </w:r>
      <w:r w:rsidR="00F26BE7">
        <w:rPr>
          <w:rFonts w:ascii="Arial" w:hAnsi="Arial" w:cs="Arial"/>
        </w:rPr>
        <w:t>.</w:t>
      </w:r>
    </w:p>
    <w:p w:rsidR="00565C3D" w:rsidRDefault="00565C3D" w:rsidP="0034622A">
      <w:pPr>
        <w:spacing w:line="480" w:lineRule="auto"/>
        <w:ind w:left="567"/>
        <w:jc w:val="both"/>
        <w:rPr>
          <w:rFonts w:ascii="Arial" w:hAnsi="Arial" w:cs="Arial"/>
        </w:rPr>
      </w:pPr>
    </w:p>
    <w:p w:rsidR="00805947" w:rsidRDefault="00565C3D" w:rsidP="00263FAE">
      <w:pPr>
        <w:spacing w:line="480" w:lineRule="auto"/>
        <w:ind w:left="567" w:hanging="283"/>
        <w:jc w:val="both"/>
        <w:rPr>
          <w:rFonts w:ascii="Arial" w:hAnsi="Arial" w:cs="Arial"/>
        </w:rPr>
      </w:pPr>
      <w:r>
        <w:rPr>
          <w:rFonts w:ascii="Arial" w:hAnsi="Arial" w:cs="Arial"/>
        </w:rPr>
        <w:t>1</w:t>
      </w:r>
      <w:r w:rsidR="005C20B7">
        <w:rPr>
          <w:rFonts w:ascii="Arial" w:hAnsi="Arial" w:cs="Arial"/>
        </w:rPr>
        <w:t>5</w:t>
      </w:r>
      <w:r>
        <w:rPr>
          <w:rFonts w:ascii="Arial" w:hAnsi="Arial" w:cs="Arial"/>
        </w:rPr>
        <w:t xml:space="preserve">. </w:t>
      </w:r>
      <w:r w:rsidR="00931416">
        <w:rPr>
          <w:rFonts w:ascii="Arial" w:hAnsi="Arial" w:cs="Arial"/>
        </w:rPr>
        <w:t xml:space="preserve">Del total de personas que </w:t>
      </w:r>
      <w:r w:rsidR="00FE5044">
        <w:rPr>
          <w:rFonts w:ascii="Arial" w:hAnsi="Arial" w:cs="Arial"/>
        </w:rPr>
        <w:t xml:space="preserve">el censo detectó que </w:t>
      </w:r>
      <w:r w:rsidR="00931416">
        <w:rPr>
          <w:rFonts w:ascii="Arial" w:hAnsi="Arial" w:cs="Arial"/>
        </w:rPr>
        <w:t xml:space="preserve">emigraron hacia el exterior, </w:t>
      </w:r>
      <w:r w:rsidR="00DC5CE0" w:rsidRPr="00DC5CE0">
        <w:rPr>
          <w:rFonts w:ascii="Arial" w:hAnsi="Arial" w:cs="Arial"/>
        </w:rPr>
        <w:t xml:space="preserve">181545 </w:t>
      </w:r>
      <w:r w:rsidR="00931416">
        <w:rPr>
          <w:rFonts w:ascii="Arial" w:hAnsi="Arial" w:cs="Arial"/>
        </w:rPr>
        <w:t>lo hi</w:t>
      </w:r>
      <w:r w:rsidR="00DC5CE0">
        <w:rPr>
          <w:rFonts w:ascii="Arial" w:hAnsi="Arial" w:cs="Arial"/>
        </w:rPr>
        <w:t>cieron</w:t>
      </w:r>
      <w:r w:rsidR="00931416">
        <w:rPr>
          <w:rFonts w:ascii="Arial" w:hAnsi="Arial" w:cs="Arial"/>
        </w:rPr>
        <w:t xml:space="preserve"> </w:t>
      </w:r>
      <w:r w:rsidR="00DC5CE0">
        <w:rPr>
          <w:rFonts w:ascii="Arial" w:hAnsi="Arial" w:cs="Arial"/>
        </w:rPr>
        <w:t>por motivos de trabajo</w:t>
      </w:r>
      <w:r w:rsidR="00931416">
        <w:rPr>
          <w:rFonts w:ascii="Arial" w:hAnsi="Arial" w:cs="Arial"/>
        </w:rPr>
        <w:t xml:space="preserve"> de los cuales el 50% residen actualmente en España y el 29% en Estados Unidos, además se encontró que emigran </w:t>
      </w:r>
      <w:r w:rsidR="00931416" w:rsidRPr="00931416">
        <w:rPr>
          <w:rFonts w:ascii="Arial" w:hAnsi="Arial" w:cs="Arial"/>
        </w:rPr>
        <w:t>74.45 mujeres por cada 100 hombres</w:t>
      </w:r>
      <w:r w:rsidR="00931416">
        <w:rPr>
          <w:rFonts w:ascii="Arial" w:hAnsi="Arial" w:cs="Arial"/>
        </w:rPr>
        <w:t xml:space="preserve"> por motivos de trabajo y que la mayor parte de ellos salieron de</w:t>
      </w:r>
      <w:r w:rsidR="00805947">
        <w:rPr>
          <w:rFonts w:ascii="Arial" w:hAnsi="Arial" w:cs="Arial"/>
        </w:rPr>
        <w:t>l país entre el año 2001 y 2002</w:t>
      </w:r>
      <w:r w:rsidR="00931416">
        <w:rPr>
          <w:rFonts w:ascii="Arial" w:hAnsi="Arial" w:cs="Arial"/>
        </w:rPr>
        <w:t xml:space="preserve">; mientras que del total de personas que emigraron para unirse con sus familiares que residen en el exterior </w:t>
      </w:r>
      <w:r w:rsidR="00DC5CE0">
        <w:rPr>
          <w:rFonts w:ascii="Arial" w:hAnsi="Arial" w:cs="Arial"/>
        </w:rPr>
        <w:t>(</w:t>
      </w:r>
      <w:r w:rsidR="00DC5CE0" w:rsidRPr="00DC5CE0">
        <w:rPr>
          <w:rFonts w:ascii="Arial" w:hAnsi="Arial" w:cs="Arial"/>
        </w:rPr>
        <w:t>50597</w:t>
      </w:r>
      <w:r w:rsidR="00DC5CE0">
        <w:rPr>
          <w:rFonts w:ascii="Arial" w:hAnsi="Arial" w:cs="Arial"/>
        </w:rPr>
        <w:t xml:space="preserve">) el 44% están en España, el 25% en Estados Unidos y el 8.40% en Italia, además se tiene que por cada 100 hombres que emigran por este motivo hay </w:t>
      </w:r>
      <w:r w:rsidR="00DC5CE0" w:rsidRPr="00DC5CE0">
        <w:rPr>
          <w:rFonts w:ascii="Arial" w:hAnsi="Arial" w:cs="Arial"/>
        </w:rPr>
        <w:t>117.21</w:t>
      </w:r>
      <w:r w:rsidR="00DC5CE0">
        <w:rPr>
          <w:rFonts w:ascii="Arial" w:hAnsi="Arial" w:cs="Arial"/>
        </w:rPr>
        <w:t xml:space="preserve"> mujeres, en lo referente al año de salida del país se </w:t>
      </w:r>
      <w:r w:rsidR="00506BFD">
        <w:rPr>
          <w:rFonts w:ascii="Arial" w:hAnsi="Arial" w:cs="Arial"/>
        </w:rPr>
        <w:t>obtuvo</w:t>
      </w:r>
      <w:r w:rsidR="00DC5CE0">
        <w:rPr>
          <w:rFonts w:ascii="Arial" w:hAnsi="Arial" w:cs="Arial"/>
        </w:rPr>
        <w:t xml:space="preserve"> que cada año emigran alrededor de 4000 personas p</w:t>
      </w:r>
      <w:r w:rsidR="00805947">
        <w:rPr>
          <w:rFonts w:ascii="Arial" w:hAnsi="Arial" w:cs="Arial"/>
        </w:rPr>
        <w:t>ara reunirse con sus familiares.</w:t>
      </w:r>
      <w:r w:rsidR="00DC5CE0">
        <w:rPr>
          <w:rFonts w:ascii="Arial" w:hAnsi="Arial" w:cs="Arial"/>
        </w:rPr>
        <w:t xml:space="preserve"> </w:t>
      </w:r>
    </w:p>
    <w:p w:rsidR="005C20B7" w:rsidRDefault="005C20B7" w:rsidP="00263FAE">
      <w:pPr>
        <w:spacing w:line="480" w:lineRule="auto"/>
        <w:ind w:left="567" w:hanging="283"/>
        <w:jc w:val="both"/>
        <w:rPr>
          <w:rFonts w:ascii="Arial" w:hAnsi="Arial" w:cs="Arial"/>
        </w:rPr>
      </w:pPr>
    </w:p>
    <w:p w:rsidR="00DC5CE0" w:rsidRDefault="00805947" w:rsidP="00263FAE">
      <w:pPr>
        <w:spacing w:line="480" w:lineRule="auto"/>
        <w:ind w:left="567" w:hanging="283"/>
        <w:jc w:val="both"/>
        <w:rPr>
          <w:rFonts w:ascii="Arial" w:hAnsi="Arial" w:cs="Arial"/>
        </w:rPr>
      </w:pPr>
      <w:r>
        <w:rPr>
          <w:rFonts w:ascii="Arial" w:hAnsi="Arial" w:cs="Arial"/>
        </w:rPr>
        <w:t>1</w:t>
      </w:r>
      <w:r w:rsidR="005C20B7">
        <w:rPr>
          <w:rFonts w:ascii="Arial" w:hAnsi="Arial" w:cs="Arial"/>
        </w:rPr>
        <w:t>6</w:t>
      </w:r>
      <w:r>
        <w:rPr>
          <w:rFonts w:ascii="Arial" w:hAnsi="Arial" w:cs="Arial"/>
        </w:rPr>
        <w:t>. D</w:t>
      </w:r>
      <w:r w:rsidR="00DC5CE0">
        <w:rPr>
          <w:rFonts w:ascii="Arial" w:hAnsi="Arial" w:cs="Arial"/>
        </w:rPr>
        <w:t xml:space="preserve">e las </w:t>
      </w:r>
      <w:r w:rsidR="00DC5CE0" w:rsidRPr="00DC5CE0">
        <w:rPr>
          <w:rFonts w:ascii="Arial" w:hAnsi="Arial" w:cs="Arial"/>
        </w:rPr>
        <w:t>32701</w:t>
      </w:r>
      <w:r w:rsidR="00DC5CE0">
        <w:rPr>
          <w:rFonts w:ascii="Arial" w:hAnsi="Arial" w:cs="Arial"/>
        </w:rPr>
        <w:t xml:space="preserve"> personas que emigraron por estudios el 28.20% están en España, el 26.50% en Estados Unidos y el </w:t>
      </w:r>
      <w:r w:rsidR="0090211B">
        <w:rPr>
          <w:rFonts w:ascii="Arial" w:hAnsi="Arial" w:cs="Arial"/>
        </w:rPr>
        <w:t>6% en Argen</w:t>
      </w:r>
      <w:r>
        <w:rPr>
          <w:rFonts w:ascii="Arial" w:hAnsi="Arial" w:cs="Arial"/>
        </w:rPr>
        <w:t>tina, además se encontró que hay más</w:t>
      </w:r>
      <w:r w:rsidR="0090211B">
        <w:rPr>
          <w:rFonts w:ascii="Arial" w:hAnsi="Arial" w:cs="Arial"/>
        </w:rPr>
        <w:t xml:space="preserve"> hombres que emigran para estudiar que mujeres (</w:t>
      </w:r>
      <w:r w:rsidR="0090211B" w:rsidRPr="0090211B">
        <w:rPr>
          <w:rFonts w:ascii="Arial" w:hAnsi="Arial" w:cs="Arial"/>
        </w:rPr>
        <w:t>94.72 mujeres por cada 100 hombres</w:t>
      </w:r>
      <w:r w:rsidR="0090211B">
        <w:rPr>
          <w:rFonts w:ascii="Arial" w:hAnsi="Arial" w:cs="Arial"/>
        </w:rPr>
        <w:t xml:space="preserve">), la mayoría de las personas que emigraron salieron del país entre los años 2009 y 2010 posiblemente esto se deba a que en el 2010 se empezó una promoción masiva de becas para continuar estudios en el </w:t>
      </w:r>
      <w:r>
        <w:rPr>
          <w:rFonts w:ascii="Arial" w:hAnsi="Arial" w:cs="Arial"/>
        </w:rPr>
        <w:t>exterior por parte del Senescyt</w:t>
      </w:r>
      <w:r w:rsidR="0090211B">
        <w:rPr>
          <w:rFonts w:ascii="Arial" w:hAnsi="Arial" w:cs="Arial"/>
        </w:rPr>
        <w:t xml:space="preserve">. Concluyendo finalmente, que la población que emigra para trabajar tiene en promedio mayor edad que las que viajan por unión familiar o para estudiar y </w:t>
      </w:r>
      <w:r w:rsidR="00FE5044">
        <w:rPr>
          <w:rFonts w:ascii="Arial" w:hAnsi="Arial" w:cs="Arial"/>
        </w:rPr>
        <w:t>salieron</w:t>
      </w:r>
      <w:r w:rsidR="0090211B">
        <w:rPr>
          <w:rFonts w:ascii="Arial" w:hAnsi="Arial" w:cs="Arial"/>
        </w:rPr>
        <w:t xml:space="preserve"> de Ecuador en los dos años posteriores a la crisis económica; cabe resaltar que el idioma no ha sido una barrera para que las personas procedentes de un país donde el lenguaje oficial es el español emigren hacia países </w:t>
      </w:r>
      <w:r w:rsidR="00FE5044">
        <w:rPr>
          <w:rFonts w:ascii="Arial" w:hAnsi="Arial" w:cs="Arial"/>
        </w:rPr>
        <w:t xml:space="preserve">en </w:t>
      </w:r>
      <w:r w:rsidR="0090211B">
        <w:rPr>
          <w:rFonts w:ascii="Arial" w:hAnsi="Arial" w:cs="Arial"/>
        </w:rPr>
        <w:t>donde se habla un idioma distinto como el inglés.</w:t>
      </w:r>
    </w:p>
    <w:p w:rsidR="0090211B" w:rsidRDefault="0090211B" w:rsidP="0034622A">
      <w:pPr>
        <w:spacing w:line="480" w:lineRule="auto"/>
        <w:ind w:left="567"/>
        <w:jc w:val="both"/>
        <w:rPr>
          <w:rFonts w:ascii="Arial" w:hAnsi="Arial" w:cs="Arial"/>
        </w:rPr>
      </w:pPr>
    </w:p>
    <w:p w:rsidR="0090211B" w:rsidRPr="002E1EEC" w:rsidRDefault="003C1904" w:rsidP="00263FAE">
      <w:pPr>
        <w:spacing w:line="480" w:lineRule="auto"/>
        <w:ind w:left="567" w:hanging="283"/>
        <w:jc w:val="both"/>
        <w:rPr>
          <w:rFonts w:ascii="Arial" w:hAnsi="Arial" w:cs="Arial"/>
        </w:rPr>
      </w:pPr>
      <w:r w:rsidRPr="002E1EEC">
        <w:rPr>
          <w:rFonts w:ascii="Arial" w:hAnsi="Arial" w:cs="Arial"/>
        </w:rPr>
        <w:t>1</w:t>
      </w:r>
      <w:r w:rsidR="005C20B7">
        <w:rPr>
          <w:rFonts w:ascii="Arial" w:hAnsi="Arial" w:cs="Arial"/>
        </w:rPr>
        <w:t>7</w:t>
      </w:r>
      <w:r w:rsidRPr="002E1EEC">
        <w:rPr>
          <w:rFonts w:ascii="Arial" w:hAnsi="Arial" w:cs="Arial"/>
        </w:rPr>
        <w:t>. Utilizando Regresión Logística s</w:t>
      </w:r>
      <w:r w:rsidR="00BE4C4A" w:rsidRPr="002E1EEC">
        <w:rPr>
          <w:rFonts w:ascii="Arial" w:hAnsi="Arial" w:cs="Arial"/>
        </w:rPr>
        <w:t>e encontró que factores como la edad, género, estado conyugal, instrucción y tipo de vivienda</w:t>
      </w:r>
      <w:r w:rsidR="00FE5044" w:rsidRPr="002E1EEC">
        <w:rPr>
          <w:rFonts w:ascii="Arial" w:hAnsi="Arial" w:cs="Arial"/>
        </w:rPr>
        <w:t xml:space="preserve"> en que viven</w:t>
      </w:r>
      <w:r w:rsidR="00BE4C4A" w:rsidRPr="002E1EEC">
        <w:rPr>
          <w:rFonts w:ascii="Arial" w:hAnsi="Arial" w:cs="Arial"/>
        </w:rPr>
        <w:t xml:space="preserve"> influyen en los inmigrantes residentes en Guayaquil que son mayores de 15 años; teniéndose además que en personas menores de 30 años disminuye la probabilidad de ser inmigrante, ser hombre también disminuye dicha probabilidad, ser casado o unido la incrementa, tener instrucción inferior a la primaria disminuye la probabilidad y vivir en una vivienda no precaria disminuye también la probabilidad de ser inmigrante; además, se encontró que variables como el área de residencia o si la persona trabajo no son significativas para el modelo pues el valor p obtenido </w:t>
      </w:r>
      <w:r w:rsidR="0023194F" w:rsidRPr="002E1EEC">
        <w:rPr>
          <w:rFonts w:ascii="Arial" w:hAnsi="Arial" w:cs="Arial"/>
        </w:rPr>
        <w:t>con el</w:t>
      </w:r>
      <w:r w:rsidR="00BE4C4A" w:rsidRPr="002E1EEC">
        <w:rPr>
          <w:rFonts w:ascii="Arial" w:hAnsi="Arial" w:cs="Arial"/>
        </w:rPr>
        <w:t xml:space="preserve"> modelo completo es 0.</w:t>
      </w:r>
      <w:r w:rsidR="00805947">
        <w:rPr>
          <w:rFonts w:ascii="Arial" w:hAnsi="Arial" w:cs="Arial"/>
        </w:rPr>
        <w:t>994</w:t>
      </w:r>
      <w:r w:rsidR="00BE4C4A" w:rsidRPr="002E1EEC">
        <w:rPr>
          <w:rFonts w:ascii="Arial" w:hAnsi="Arial" w:cs="Arial"/>
        </w:rPr>
        <w:t xml:space="preserve"> y 0.</w:t>
      </w:r>
      <w:r w:rsidR="00805947">
        <w:rPr>
          <w:rFonts w:ascii="Arial" w:hAnsi="Arial" w:cs="Arial"/>
        </w:rPr>
        <w:t>196</w:t>
      </w:r>
      <w:r w:rsidR="00BE4C4A" w:rsidRPr="002E1EEC">
        <w:rPr>
          <w:rFonts w:ascii="Arial" w:hAnsi="Arial" w:cs="Arial"/>
        </w:rPr>
        <w:t xml:space="preserve"> respectivamente, que </w:t>
      </w:r>
      <w:r w:rsidR="0023194F" w:rsidRPr="002E1EEC">
        <w:rPr>
          <w:rFonts w:ascii="Arial" w:hAnsi="Arial" w:cs="Arial"/>
        </w:rPr>
        <w:t>al</w:t>
      </w:r>
      <w:r w:rsidR="00BE4C4A" w:rsidRPr="002E1EEC">
        <w:rPr>
          <w:rFonts w:ascii="Arial" w:hAnsi="Arial" w:cs="Arial"/>
        </w:rPr>
        <w:t xml:space="preserve"> ser mayor que 0.10 nos lleva a no rechazar la hipótesis nula de que los coeficientes asociados a cada factor son iguales a cero.</w:t>
      </w:r>
    </w:p>
    <w:p w:rsidR="00BE4C4A" w:rsidRDefault="00BE4C4A" w:rsidP="0034622A">
      <w:pPr>
        <w:spacing w:line="480" w:lineRule="auto"/>
        <w:ind w:left="567"/>
        <w:jc w:val="both"/>
        <w:rPr>
          <w:rFonts w:ascii="Arial" w:hAnsi="Arial" w:cs="Arial"/>
        </w:rPr>
      </w:pPr>
    </w:p>
    <w:p w:rsidR="00BE4C4A" w:rsidRDefault="00BE4C4A" w:rsidP="00263FAE">
      <w:pPr>
        <w:spacing w:line="480" w:lineRule="auto"/>
        <w:ind w:left="567" w:hanging="283"/>
        <w:jc w:val="both"/>
        <w:rPr>
          <w:rFonts w:ascii="Arial" w:hAnsi="Arial" w:cs="Arial"/>
        </w:rPr>
      </w:pPr>
      <w:r>
        <w:rPr>
          <w:rFonts w:ascii="Arial" w:hAnsi="Arial" w:cs="Arial"/>
        </w:rPr>
        <w:t>1</w:t>
      </w:r>
      <w:r w:rsidR="005C20B7">
        <w:rPr>
          <w:rFonts w:ascii="Arial" w:hAnsi="Arial" w:cs="Arial"/>
        </w:rPr>
        <w:t>8</w:t>
      </w:r>
      <w:r>
        <w:rPr>
          <w:rFonts w:ascii="Arial" w:hAnsi="Arial" w:cs="Arial"/>
        </w:rPr>
        <w:t xml:space="preserve">. </w:t>
      </w:r>
      <w:r w:rsidR="00772CA9">
        <w:rPr>
          <w:rFonts w:ascii="Arial" w:hAnsi="Arial" w:cs="Arial"/>
        </w:rPr>
        <w:t>Factores como la edad, si tiene discapacidad y si la persona trabaja influyen en el nivel de instrucción superior de los estadounidenses mayores de 17 años que residen habitualmente en el país, teniéndose que t</w:t>
      </w:r>
      <w:r w:rsidR="00772CA9" w:rsidRPr="00772CA9">
        <w:rPr>
          <w:rFonts w:ascii="Arial" w:hAnsi="Arial" w:cs="Arial"/>
        </w:rPr>
        <w:t xml:space="preserve">ener menos de 25 años disminuye la probabilidad de </w:t>
      </w:r>
      <w:r w:rsidR="00772CA9">
        <w:rPr>
          <w:rFonts w:ascii="Arial" w:hAnsi="Arial" w:cs="Arial"/>
        </w:rPr>
        <w:t>que los usamericanos tengan</w:t>
      </w:r>
      <w:r w:rsidR="00772CA9" w:rsidRPr="00772CA9">
        <w:rPr>
          <w:rFonts w:ascii="Arial" w:hAnsi="Arial" w:cs="Arial"/>
        </w:rPr>
        <w:t xml:space="preserve"> instrucción superior</w:t>
      </w:r>
      <w:r w:rsidR="00772CA9">
        <w:rPr>
          <w:rFonts w:ascii="Arial" w:hAnsi="Arial" w:cs="Arial"/>
        </w:rPr>
        <w:t>, ser discapacitado disminuye también dicha probabilidad y trabajar en cambio incrementa la probabilidad de que un estadounidense tenga instrucci</w:t>
      </w:r>
      <w:r w:rsidR="00D147FC">
        <w:rPr>
          <w:rFonts w:ascii="Arial" w:hAnsi="Arial" w:cs="Arial"/>
        </w:rPr>
        <w:t xml:space="preserve">ón superior; el modelo construido predijo correctamente al </w:t>
      </w:r>
      <w:r w:rsidR="00D147FC" w:rsidRPr="00D147FC">
        <w:rPr>
          <w:rFonts w:ascii="Arial" w:hAnsi="Arial" w:cs="Arial"/>
        </w:rPr>
        <w:t xml:space="preserve">99.72% </w:t>
      </w:r>
      <w:r w:rsidR="00D147FC">
        <w:rPr>
          <w:rFonts w:ascii="Arial" w:hAnsi="Arial" w:cs="Arial"/>
        </w:rPr>
        <w:t xml:space="preserve"> de los estadounidenses con instrucción superior.</w:t>
      </w:r>
    </w:p>
    <w:p w:rsidR="00DD249A" w:rsidRPr="002731B3" w:rsidRDefault="00F92B19" w:rsidP="006774DC">
      <w:pPr>
        <w:spacing w:line="480" w:lineRule="auto"/>
        <w:ind w:left="567"/>
        <w:jc w:val="both"/>
        <w:rPr>
          <w:rFonts w:ascii="Arial" w:hAnsi="Arial" w:cs="Arial"/>
        </w:rPr>
      </w:pPr>
      <w:r w:rsidRPr="002731B3">
        <w:rPr>
          <w:rFonts w:ascii="Arial" w:hAnsi="Arial" w:cs="Arial"/>
          <w:vanish/>
        </w:rPr>
        <w:t>8. se encuentran entre las provincias de Pichincha, Guayas, El Oro y LOja,s provincias pueden proveer respecto a las demmente en</w:t>
      </w:r>
    </w:p>
    <w:p w:rsidR="003856B3" w:rsidRPr="0034622A" w:rsidRDefault="003856B3" w:rsidP="00263FAE">
      <w:pPr>
        <w:pStyle w:val="51"/>
        <w:numPr>
          <w:ilvl w:val="0"/>
          <w:numId w:val="19"/>
        </w:numPr>
        <w:ind w:left="284" w:hanging="284"/>
      </w:pPr>
      <w:bookmarkStart w:id="1167" w:name="_Toc341040765"/>
      <w:r w:rsidRPr="0034622A">
        <w:t>Recomendaciones</w:t>
      </w:r>
      <w:bookmarkEnd w:id="1167"/>
    </w:p>
    <w:p w:rsidR="0023194F" w:rsidRPr="00805F80" w:rsidRDefault="00DE1823" w:rsidP="00263FAE">
      <w:pPr>
        <w:spacing w:line="480" w:lineRule="auto"/>
        <w:ind w:left="284"/>
        <w:jc w:val="both"/>
        <w:rPr>
          <w:rFonts w:ascii="Arial" w:hAnsi="Arial" w:cs="Arial"/>
        </w:rPr>
      </w:pPr>
      <w:bookmarkStart w:id="1168" w:name="_Toc339853266"/>
      <w:r>
        <w:rPr>
          <w:rFonts w:ascii="Arial" w:hAnsi="Arial" w:cs="Arial"/>
        </w:rPr>
        <w:t>Basados en los resultados de capítulos previos y en las conclusiones presentadas, se formula</w:t>
      </w:r>
      <w:r w:rsidR="0063542F">
        <w:rPr>
          <w:rFonts w:ascii="Arial" w:hAnsi="Arial" w:cs="Arial"/>
        </w:rPr>
        <w:t>n</w:t>
      </w:r>
      <w:r>
        <w:rPr>
          <w:rFonts w:ascii="Arial" w:hAnsi="Arial" w:cs="Arial"/>
        </w:rPr>
        <w:t xml:space="preserve"> a continuación un conjunto de recomendaciones:</w:t>
      </w:r>
    </w:p>
    <w:p w:rsidR="0023194F" w:rsidRDefault="0023194F" w:rsidP="00263FAE">
      <w:pPr>
        <w:spacing w:line="480" w:lineRule="auto"/>
        <w:ind w:left="284"/>
        <w:jc w:val="both"/>
        <w:rPr>
          <w:rFonts w:ascii="Arial" w:hAnsi="Arial" w:cs="Arial"/>
        </w:rPr>
      </w:pPr>
    </w:p>
    <w:p w:rsidR="00A837B3" w:rsidRDefault="00A837B3" w:rsidP="00263FAE">
      <w:pPr>
        <w:spacing w:line="480" w:lineRule="auto"/>
        <w:ind w:left="567" w:hanging="283"/>
        <w:jc w:val="both"/>
        <w:rPr>
          <w:rFonts w:ascii="Arial" w:hAnsi="Arial" w:cs="Arial"/>
        </w:rPr>
      </w:pPr>
      <w:r>
        <w:rPr>
          <w:rFonts w:ascii="Arial" w:hAnsi="Arial" w:cs="Arial"/>
        </w:rPr>
        <w:t>1. Una de las conclusiones a las cuales se llegó, es que el 62.60% de la población ecuatoriana residente en Galápagos es inmigrante interna</w:t>
      </w:r>
      <w:r w:rsidR="00263FAE">
        <w:rPr>
          <w:rFonts w:ascii="Arial" w:hAnsi="Arial" w:cs="Arial"/>
        </w:rPr>
        <w:t xml:space="preserve"> </w:t>
      </w:r>
      <w:r w:rsidR="00557434">
        <w:rPr>
          <w:rFonts w:ascii="Arial" w:hAnsi="Arial" w:cs="Arial"/>
        </w:rPr>
        <w:t>y que está inmersa de forma significativa en las actividades económicas de la provincia</w:t>
      </w:r>
      <w:r>
        <w:rPr>
          <w:rFonts w:ascii="Arial" w:hAnsi="Arial" w:cs="Arial"/>
        </w:rPr>
        <w:t xml:space="preserve">; por tanto, se recomienda a investigadores </w:t>
      </w:r>
      <w:r w:rsidR="00557434">
        <w:rPr>
          <w:rFonts w:ascii="Arial" w:hAnsi="Arial" w:cs="Arial"/>
        </w:rPr>
        <w:t>o al Consejo de Gobierno del Régimen especial de Galápagos</w:t>
      </w:r>
      <w:r w:rsidR="00AB5DDE">
        <w:rPr>
          <w:rFonts w:ascii="Arial" w:hAnsi="Arial" w:cs="Arial"/>
        </w:rPr>
        <w:t xml:space="preserve"> realizar </w:t>
      </w:r>
      <w:r w:rsidR="00CC662E">
        <w:rPr>
          <w:rFonts w:ascii="Arial" w:hAnsi="Arial" w:cs="Arial"/>
        </w:rPr>
        <w:t xml:space="preserve">algún estudio referente a esta población que </w:t>
      </w:r>
      <w:r w:rsidR="009D5D99">
        <w:rPr>
          <w:rFonts w:ascii="Arial" w:hAnsi="Arial" w:cs="Arial"/>
        </w:rPr>
        <w:t>a mas de mostrar la provincia de procedencia se pueda evidenciar el año en el cual llegaron a Galápagos para de esta manera poder llegar a alguna conclusión referente a qué motivos específicamente los condujeron a emigrar hacia esta provincia</w:t>
      </w:r>
      <w:r w:rsidR="00942624">
        <w:rPr>
          <w:rFonts w:ascii="Arial" w:hAnsi="Arial" w:cs="Arial"/>
        </w:rPr>
        <w:t xml:space="preserve"> o que hechos hicieron de Galápagos un lugar atractivo para emigrar</w:t>
      </w:r>
      <w:r w:rsidR="009D5D99">
        <w:rPr>
          <w:rFonts w:ascii="Arial" w:hAnsi="Arial" w:cs="Arial"/>
        </w:rPr>
        <w:t>.</w:t>
      </w:r>
    </w:p>
    <w:p w:rsidR="00A837B3" w:rsidRPr="00805F80" w:rsidRDefault="00A837B3" w:rsidP="00263FAE">
      <w:pPr>
        <w:spacing w:line="480" w:lineRule="auto"/>
        <w:ind w:left="284"/>
        <w:jc w:val="both"/>
        <w:rPr>
          <w:rFonts w:ascii="Arial" w:hAnsi="Arial" w:cs="Arial"/>
        </w:rPr>
      </w:pPr>
    </w:p>
    <w:p w:rsidR="007406DF" w:rsidRPr="00805F80" w:rsidRDefault="006B31F1" w:rsidP="00263FAE">
      <w:pPr>
        <w:spacing w:line="480" w:lineRule="auto"/>
        <w:ind w:left="567" w:hanging="283"/>
        <w:jc w:val="both"/>
        <w:rPr>
          <w:rFonts w:ascii="Arial" w:hAnsi="Arial" w:cs="Arial"/>
        </w:rPr>
      </w:pPr>
      <w:r>
        <w:rPr>
          <w:rFonts w:ascii="Arial" w:hAnsi="Arial" w:cs="Arial"/>
        </w:rPr>
        <w:t>2</w:t>
      </w:r>
      <w:r w:rsidR="007406DF" w:rsidRPr="00805F80">
        <w:rPr>
          <w:rFonts w:ascii="Arial" w:hAnsi="Arial" w:cs="Arial"/>
        </w:rPr>
        <w:t xml:space="preserve">. </w:t>
      </w:r>
      <w:r w:rsidR="009C54A2" w:rsidRPr="00805F80">
        <w:rPr>
          <w:rFonts w:ascii="Arial" w:hAnsi="Arial" w:cs="Arial"/>
        </w:rPr>
        <w:t xml:space="preserve">En </w:t>
      </w:r>
      <w:r w:rsidR="00CB1A38">
        <w:rPr>
          <w:rFonts w:ascii="Arial" w:hAnsi="Arial" w:cs="Arial"/>
        </w:rPr>
        <w:t>la décim</w:t>
      </w:r>
      <w:r w:rsidR="00263FAE">
        <w:rPr>
          <w:rFonts w:ascii="Arial" w:hAnsi="Arial" w:cs="Arial"/>
        </w:rPr>
        <w:t>ocuarta</w:t>
      </w:r>
      <w:r w:rsidR="009C54A2" w:rsidRPr="00805F80">
        <w:rPr>
          <w:rFonts w:ascii="Arial" w:hAnsi="Arial" w:cs="Arial"/>
        </w:rPr>
        <w:t xml:space="preserve"> conclusi</w:t>
      </w:r>
      <w:r w:rsidR="00CB1A38">
        <w:rPr>
          <w:rFonts w:ascii="Arial" w:hAnsi="Arial" w:cs="Arial"/>
        </w:rPr>
        <w:t>ón</w:t>
      </w:r>
      <w:r w:rsidR="009C54A2" w:rsidRPr="00805F80">
        <w:rPr>
          <w:rFonts w:ascii="Arial" w:hAnsi="Arial" w:cs="Arial"/>
        </w:rPr>
        <w:t xml:space="preserve"> se mencionaba la posibilidad de que la población estadounidense residente en el país</w:t>
      </w:r>
      <w:r w:rsidR="00263FAE">
        <w:rPr>
          <w:rFonts w:ascii="Arial" w:hAnsi="Arial" w:cs="Arial"/>
        </w:rPr>
        <w:t>,</w:t>
      </w:r>
      <w:r w:rsidR="009C54A2" w:rsidRPr="00805F80">
        <w:rPr>
          <w:rFonts w:ascii="Arial" w:hAnsi="Arial" w:cs="Arial"/>
        </w:rPr>
        <w:t xml:space="preserve"> se trate de familias completas que vienen a Ecuador por algún motivo como trabajo</w:t>
      </w:r>
      <w:r w:rsidR="00263FAE">
        <w:rPr>
          <w:rFonts w:ascii="Arial" w:hAnsi="Arial" w:cs="Arial"/>
        </w:rPr>
        <w:t xml:space="preserve">; </w:t>
      </w:r>
      <w:r w:rsidR="009C54A2" w:rsidRPr="00805F80">
        <w:rPr>
          <w:rFonts w:ascii="Arial" w:hAnsi="Arial" w:cs="Arial"/>
        </w:rPr>
        <w:t>por tanto se recomienda</w:t>
      </w:r>
      <w:r w:rsidR="0063542F">
        <w:rPr>
          <w:rFonts w:ascii="Arial" w:hAnsi="Arial" w:cs="Arial"/>
        </w:rPr>
        <w:t xml:space="preserve"> a</w:t>
      </w:r>
      <w:r w:rsidR="00CB1A38">
        <w:rPr>
          <w:rFonts w:ascii="Arial" w:hAnsi="Arial" w:cs="Arial"/>
        </w:rPr>
        <w:t xml:space="preserve"> </w:t>
      </w:r>
      <w:r w:rsidR="00CD00CE">
        <w:rPr>
          <w:rFonts w:ascii="Arial" w:hAnsi="Arial" w:cs="Arial"/>
        </w:rPr>
        <w:t>investigadores cuy</w:t>
      </w:r>
      <w:r>
        <w:rPr>
          <w:rFonts w:ascii="Arial" w:hAnsi="Arial" w:cs="Arial"/>
        </w:rPr>
        <w:t>a</w:t>
      </w:r>
      <w:r w:rsidR="00CD00CE">
        <w:rPr>
          <w:rFonts w:ascii="Arial" w:hAnsi="Arial" w:cs="Arial"/>
        </w:rPr>
        <w:t xml:space="preserve"> área de interés</w:t>
      </w:r>
      <w:r w:rsidR="00A837B3">
        <w:rPr>
          <w:rFonts w:ascii="Arial" w:hAnsi="Arial" w:cs="Arial"/>
        </w:rPr>
        <w:t xml:space="preserve"> sea el estudio de las características sociodemográficas de los inmigrantes internacionales</w:t>
      </w:r>
      <w:r w:rsidR="00CB1A38">
        <w:rPr>
          <w:rFonts w:ascii="Arial" w:hAnsi="Arial" w:cs="Arial"/>
        </w:rPr>
        <w:t xml:space="preserve"> continuar con este estudio y ampliarlo hacia conocer la</w:t>
      </w:r>
      <w:r w:rsidR="009C54A2" w:rsidRPr="00805F80">
        <w:rPr>
          <w:rFonts w:ascii="Arial" w:hAnsi="Arial" w:cs="Arial"/>
        </w:rPr>
        <w:t xml:space="preserve"> composición de los hogares en donde vive algún </w:t>
      </w:r>
      <w:r w:rsidR="0063542F">
        <w:rPr>
          <w:rFonts w:ascii="Arial" w:hAnsi="Arial" w:cs="Arial"/>
        </w:rPr>
        <w:t>estadounidense</w:t>
      </w:r>
      <w:r w:rsidR="00CB1A38">
        <w:rPr>
          <w:rFonts w:ascii="Arial" w:hAnsi="Arial" w:cs="Arial"/>
        </w:rPr>
        <w:t xml:space="preserve">; en donde, se podría analizar con </w:t>
      </w:r>
      <w:r w:rsidR="00A837B3">
        <w:rPr>
          <w:rFonts w:ascii="Arial" w:hAnsi="Arial" w:cs="Arial"/>
        </w:rPr>
        <w:t xml:space="preserve">personas de qué nacionalidad están casados; y, en caso de estar casados analizar además si tienen hijos y cuál es </w:t>
      </w:r>
      <w:r w:rsidR="009C54A2" w:rsidRPr="00805F80">
        <w:rPr>
          <w:rFonts w:ascii="Arial" w:hAnsi="Arial" w:cs="Arial"/>
        </w:rPr>
        <w:t>la nacionalidad que dichos hijos respondieron</w:t>
      </w:r>
      <w:r w:rsidR="00263FAE">
        <w:rPr>
          <w:rFonts w:ascii="Arial" w:hAnsi="Arial" w:cs="Arial"/>
        </w:rPr>
        <w:t xml:space="preserve"> en el empadronamiento</w:t>
      </w:r>
      <w:r w:rsidR="009C54A2" w:rsidRPr="00805F80">
        <w:rPr>
          <w:rFonts w:ascii="Arial" w:hAnsi="Arial" w:cs="Arial"/>
        </w:rPr>
        <w:t>.</w:t>
      </w:r>
      <w:bookmarkEnd w:id="1168"/>
    </w:p>
    <w:p w:rsidR="007406DF" w:rsidRPr="00805F80" w:rsidRDefault="007406DF" w:rsidP="00263FAE">
      <w:pPr>
        <w:spacing w:line="480" w:lineRule="auto"/>
        <w:ind w:left="284"/>
        <w:jc w:val="both"/>
        <w:rPr>
          <w:rFonts w:ascii="Arial" w:hAnsi="Arial" w:cs="Arial"/>
        </w:rPr>
      </w:pPr>
    </w:p>
    <w:p w:rsidR="003856B3" w:rsidRDefault="00263FAE" w:rsidP="00263FAE">
      <w:pPr>
        <w:spacing w:line="480" w:lineRule="auto"/>
        <w:ind w:left="567" w:hanging="283"/>
        <w:jc w:val="both"/>
        <w:rPr>
          <w:rFonts w:ascii="Arial" w:hAnsi="Arial" w:cs="Arial"/>
        </w:rPr>
      </w:pPr>
      <w:bookmarkStart w:id="1169" w:name="_Toc339853268"/>
      <w:r>
        <w:rPr>
          <w:rFonts w:ascii="Arial" w:hAnsi="Arial" w:cs="Arial"/>
        </w:rPr>
        <w:t>3</w:t>
      </w:r>
      <w:r w:rsidR="008721FF" w:rsidRPr="00805F80">
        <w:rPr>
          <w:rFonts w:ascii="Arial" w:hAnsi="Arial" w:cs="Arial"/>
        </w:rPr>
        <w:t>.</w:t>
      </w:r>
      <w:r w:rsidR="003C1904" w:rsidRPr="00805F80">
        <w:rPr>
          <w:rFonts w:ascii="Arial" w:hAnsi="Arial" w:cs="Arial"/>
        </w:rPr>
        <w:t xml:space="preserve"> </w:t>
      </w:r>
      <w:r w:rsidR="007768BC">
        <w:rPr>
          <w:rFonts w:ascii="Arial" w:hAnsi="Arial" w:cs="Arial"/>
        </w:rPr>
        <w:t>Se recomienda al INEC, b</w:t>
      </w:r>
      <w:r w:rsidR="000562DD" w:rsidRPr="00805F80">
        <w:rPr>
          <w:rFonts w:ascii="Arial" w:hAnsi="Arial" w:cs="Arial"/>
        </w:rPr>
        <w:t xml:space="preserve">uscar un mecanismo diferente para capturar datos acerca de la población emigrante internacional, pues en el Censo se </w:t>
      </w:r>
      <w:r w:rsidR="007768BC">
        <w:rPr>
          <w:rFonts w:ascii="Arial" w:hAnsi="Arial" w:cs="Arial"/>
        </w:rPr>
        <w:t xml:space="preserve">lo </w:t>
      </w:r>
      <w:r w:rsidR="000562DD" w:rsidRPr="00805F80">
        <w:rPr>
          <w:rFonts w:ascii="Arial" w:hAnsi="Arial" w:cs="Arial"/>
        </w:rPr>
        <w:t>hace consultando algunos datos de ellos a sus familiares residentes en el país, pero de esta manera a mas de no ca</w:t>
      </w:r>
      <w:r w:rsidR="007768BC">
        <w:rPr>
          <w:rFonts w:ascii="Arial" w:hAnsi="Arial" w:cs="Arial"/>
        </w:rPr>
        <w:t>pturar datos de todos los e</w:t>
      </w:r>
      <w:r w:rsidR="000562DD" w:rsidRPr="00805F80">
        <w:rPr>
          <w:rFonts w:ascii="Arial" w:hAnsi="Arial" w:cs="Arial"/>
        </w:rPr>
        <w:t>migrantes ya sea porque al familiar se le olvidó, se puede suscitar el caso de que un individuo sea registrado dos veces o más por fami</w:t>
      </w:r>
      <w:r w:rsidR="00D808ED">
        <w:rPr>
          <w:rFonts w:ascii="Arial" w:hAnsi="Arial" w:cs="Arial"/>
        </w:rPr>
        <w:t xml:space="preserve">liares que residen en viviendas </w:t>
      </w:r>
      <w:r w:rsidR="000562DD" w:rsidRPr="00805F80">
        <w:rPr>
          <w:rFonts w:ascii="Arial" w:hAnsi="Arial" w:cs="Arial"/>
        </w:rPr>
        <w:t>distintas</w:t>
      </w:r>
      <w:bookmarkEnd w:id="1169"/>
      <w:r w:rsidR="00D808ED">
        <w:rPr>
          <w:rFonts w:ascii="Arial" w:hAnsi="Arial" w:cs="Arial"/>
        </w:rPr>
        <w:t>.</w:t>
      </w:r>
    </w:p>
    <w:p w:rsidR="00D808ED" w:rsidRDefault="00D808ED" w:rsidP="00D808ED">
      <w:pPr>
        <w:spacing w:line="480" w:lineRule="auto"/>
        <w:ind w:left="567"/>
        <w:jc w:val="both"/>
        <w:rPr>
          <w:rFonts w:ascii="Arial" w:hAnsi="Arial" w:cs="Arial"/>
        </w:rPr>
      </w:pPr>
    </w:p>
    <w:p w:rsidR="00D808ED" w:rsidRPr="00805F80" w:rsidRDefault="00D808ED" w:rsidP="00D808ED">
      <w:pPr>
        <w:spacing w:line="480" w:lineRule="auto"/>
        <w:ind w:left="567"/>
        <w:jc w:val="both"/>
        <w:rPr>
          <w:rFonts w:ascii="Arial" w:hAnsi="Arial" w:cs="Arial"/>
        </w:rPr>
        <w:sectPr w:rsidR="00D808ED" w:rsidRPr="00805F80" w:rsidSect="00D71955">
          <w:pgSz w:w="11907" w:h="16839" w:code="9"/>
          <w:pgMar w:top="2268" w:right="1361" w:bottom="2268" w:left="2268" w:header="708" w:footer="708" w:gutter="0"/>
          <w:cols w:space="708"/>
          <w:titlePg/>
          <w:docGrid w:linePitch="360"/>
        </w:sectPr>
      </w:pPr>
    </w:p>
    <w:p w:rsidR="00AB7FBA" w:rsidRPr="00782154" w:rsidRDefault="00AB7FBA" w:rsidP="00AB7FBA">
      <w:pPr>
        <w:pStyle w:val="TesisTitulo10"/>
        <w:numPr>
          <w:ilvl w:val="0"/>
          <w:numId w:val="0"/>
        </w:numPr>
        <w:ind w:left="720" w:hanging="720"/>
        <w:jc w:val="center"/>
        <w:rPr>
          <w:sz w:val="32"/>
          <w:szCs w:val="32"/>
        </w:rPr>
      </w:pPr>
      <w:bookmarkStart w:id="1170" w:name="_Toc332571357"/>
      <w:bookmarkStart w:id="1171" w:name="_Toc341040766"/>
      <w:r w:rsidRPr="00782154">
        <w:rPr>
          <w:sz w:val="32"/>
          <w:szCs w:val="32"/>
        </w:rPr>
        <w:t>REFERENCIAS BIBLIOGRÁFICAS</w:t>
      </w:r>
      <w:bookmarkEnd w:id="1170"/>
      <w:bookmarkEnd w:id="1171"/>
    </w:p>
    <w:p w:rsidR="00EC548F" w:rsidRPr="000D3E42" w:rsidRDefault="00EC548F" w:rsidP="00EC548F">
      <w:pPr>
        <w:pStyle w:val="Textonotapie"/>
        <w:spacing w:line="276" w:lineRule="auto"/>
        <w:jc w:val="both"/>
        <w:rPr>
          <w:rFonts w:ascii="Arial" w:hAnsi="Arial" w:cs="Arial"/>
          <w:color w:val="000000" w:themeColor="text1"/>
          <w:sz w:val="22"/>
          <w:szCs w:val="22"/>
        </w:rPr>
      </w:pPr>
    </w:p>
    <w:p w:rsidR="00EC548F"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1</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Garrocho</w:t>
      </w:r>
      <w:r w:rsidRPr="000D3E42">
        <w:rPr>
          <w:rFonts w:ascii="Arial" w:hAnsi="Arial" w:cs="Arial"/>
          <w:color w:val="000000" w:themeColor="text1"/>
          <w:sz w:val="22"/>
          <w:szCs w:val="22"/>
        </w:rPr>
        <w:t>,</w:t>
      </w:r>
      <w:r w:rsidRPr="000D3E42">
        <w:rPr>
          <w:rFonts w:ascii="Arial" w:hAnsi="Arial" w:cs="Arial"/>
          <w:b/>
          <w:color w:val="000000" w:themeColor="text1"/>
          <w:sz w:val="22"/>
          <w:szCs w:val="22"/>
        </w:rPr>
        <w:t xml:space="preserve"> C</w:t>
      </w:r>
      <w:r w:rsidRPr="000D3E42">
        <w:rPr>
          <w:rFonts w:ascii="Arial" w:hAnsi="Arial" w:cs="Arial"/>
          <w:color w:val="000000" w:themeColor="text1"/>
          <w:sz w:val="22"/>
          <w:szCs w:val="22"/>
        </w:rPr>
        <w:t>. (2011), “</w:t>
      </w:r>
      <w:r w:rsidRPr="000D3E42">
        <w:rPr>
          <w:rFonts w:ascii="Arial" w:hAnsi="Arial" w:cs="Arial"/>
          <w:i/>
          <w:color w:val="000000" w:themeColor="text1"/>
          <w:sz w:val="22"/>
          <w:szCs w:val="22"/>
        </w:rPr>
        <w:t>Población Flotante, Población en Movimiento: Conceptos Clave y Métodos de Análisis Exitosos</w:t>
      </w:r>
      <w:r w:rsidRPr="000D3E42">
        <w:rPr>
          <w:rFonts w:ascii="Arial" w:hAnsi="Arial" w:cs="Arial"/>
          <w:color w:val="000000" w:themeColor="text1"/>
          <w:sz w:val="22"/>
          <w:szCs w:val="22"/>
        </w:rPr>
        <w:t>”, México D.F., México.</w:t>
      </w:r>
    </w:p>
    <w:p w:rsidR="00EC548F" w:rsidRPr="00782154" w:rsidRDefault="00EC548F" w:rsidP="00EC548F">
      <w:pPr>
        <w:pStyle w:val="Textonotapie"/>
        <w:spacing w:line="276" w:lineRule="auto"/>
        <w:jc w:val="both"/>
        <w:rPr>
          <w:rFonts w:ascii="Arial" w:hAnsi="Arial" w:cs="Arial"/>
          <w:color w:val="000000" w:themeColor="text1"/>
        </w:rPr>
      </w:pPr>
    </w:p>
    <w:p w:rsidR="00EC548F"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2</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Ramos</w:t>
      </w:r>
      <w:r w:rsidRPr="000D3E42">
        <w:rPr>
          <w:rFonts w:ascii="Arial" w:hAnsi="Arial" w:cs="Arial"/>
          <w:color w:val="000000" w:themeColor="text1"/>
          <w:sz w:val="22"/>
          <w:szCs w:val="22"/>
        </w:rPr>
        <w:t>,</w:t>
      </w:r>
      <w:r w:rsidRPr="000D3E42">
        <w:rPr>
          <w:rFonts w:ascii="Arial" w:hAnsi="Arial" w:cs="Arial"/>
          <w:b/>
          <w:color w:val="000000" w:themeColor="text1"/>
          <w:sz w:val="22"/>
          <w:szCs w:val="22"/>
        </w:rPr>
        <w:t xml:space="preserve"> M. </w:t>
      </w:r>
      <w:r w:rsidRPr="000D3E42">
        <w:rPr>
          <w:rFonts w:ascii="Arial" w:hAnsi="Arial" w:cs="Arial"/>
          <w:color w:val="000000" w:themeColor="text1"/>
          <w:sz w:val="22"/>
          <w:szCs w:val="22"/>
        </w:rPr>
        <w:t xml:space="preserve">(2010), </w:t>
      </w:r>
      <w:r w:rsidRPr="000D3E42">
        <w:rPr>
          <w:rFonts w:ascii="Arial" w:hAnsi="Arial" w:cs="Arial"/>
          <w:i/>
          <w:color w:val="000000" w:themeColor="text1"/>
          <w:sz w:val="22"/>
          <w:szCs w:val="22"/>
        </w:rPr>
        <w:t>"</w:t>
      </w:r>
      <w:r w:rsidRPr="000D3E42">
        <w:rPr>
          <w:rFonts w:ascii="Arial" w:hAnsi="Arial" w:cs="Arial"/>
          <w:color w:val="000000" w:themeColor="text1"/>
          <w:sz w:val="22"/>
          <w:szCs w:val="22"/>
        </w:rPr>
        <w:t xml:space="preserve"> </w:t>
      </w:r>
      <w:r w:rsidRPr="000D3E42">
        <w:rPr>
          <w:rFonts w:ascii="Arial" w:hAnsi="Arial" w:cs="Arial"/>
          <w:i/>
          <w:color w:val="000000" w:themeColor="text1"/>
          <w:sz w:val="22"/>
          <w:szCs w:val="22"/>
        </w:rPr>
        <w:t>Migración peruana a Ecuador: ¿en espera de una regulación definitiva?"</w:t>
      </w:r>
      <w:r w:rsidRPr="000D3E42">
        <w:rPr>
          <w:rFonts w:ascii="Arial" w:hAnsi="Arial" w:cs="Arial"/>
          <w:color w:val="000000" w:themeColor="text1"/>
          <w:sz w:val="22"/>
          <w:szCs w:val="22"/>
        </w:rPr>
        <w:t>, Boletín de Coyuntura del Sistema de Información sobre Migraciones Andinas, FLACSO - Ecuador, Ecuador.</w:t>
      </w:r>
    </w:p>
    <w:p w:rsidR="00EC548F" w:rsidRPr="00782154" w:rsidRDefault="00EC548F" w:rsidP="00EC548F">
      <w:pPr>
        <w:pStyle w:val="Textonotapie"/>
        <w:spacing w:line="276" w:lineRule="auto"/>
        <w:jc w:val="both"/>
        <w:rPr>
          <w:rFonts w:ascii="Arial" w:hAnsi="Arial" w:cs="Arial"/>
          <w:color w:val="000000" w:themeColor="text1"/>
        </w:rPr>
      </w:pPr>
    </w:p>
    <w:p w:rsidR="00EC548F"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3</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 xml:space="preserve">INEC </w:t>
      </w:r>
      <w:r w:rsidRPr="000D3E42">
        <w:rPr>
          <w:rFonts w:ascii="Arial" w:hAnsi="Arial" w:cs="Arial"/>
          <w:color w:val="000000" w:themeColor="text1"/>
          <w:sz w:val="22"/>
          <w:szCs w:val="22"/>
        </w:rPr>
        <w:t>(2010), “Manejo de Datos: Datos de la vivienda”, INEC, Quito, Ecuador.</w:t>
      </w:r>
    </w:p>
    <w:p w:rsidR="00EC548F" w:rsidRPr="00782154" w:rsidRDefault="00EC548F" w:rsidP="00EC548F">
      <w:pPr>
        <w:pStyle w:val="Textonotapie"/>
        <w:spacing w:line="276" w:lineRule="auto"/>
        <w:jc w:val="both"/>
        <w:rPr>
          <w:rFonts w:ascii="Arial" w:hAnsi="Arial" w:cs="Arial"/>
          <w:color w:val="000000" w:themeColor="text1"/>
        </w:rPr>
      </w:pPr>
      <w:r w:rsidRPr="00782154">
        <w:rPr>
          <w:rFonts w:ascii="Arial" w:hAnsi="Arial" w:cs="Arial"/>
          <w:color w:val="000000" w:themeColor="text1"/>
        </w:rPr>
        <w:t xml:space="preserve"> </w:t>
      </w:r>
    </w:p>
    <w:p w:rsidR="00EC548F" w:rsidRPr="000D3E42" w:rsidRDefault="00EC548F" w:rsidP="00EC548F">
      <w:pPr>
        <w:pStyle w:val="Textonotapie"/>
        <w:spacing w:line="276" w:lineRule="auto"/>
        <w:jc w:val="both"/>
        <w:rPr>
          <w:rFonts w:ascii="Arial" w:hAnsi="Arial" w:cs="Arial"/>
          <w:color w:val="000000" w:themeColor="text1"/>
          <w:sz w:val="22"/>
          <w:szCs w:val="22"/>
        </w:rPr>
      </w:pPr>
      <w:r>
        <w:rPr>
          <w:rFonts w:ascii="Arial" w:hAnsi="Arial" w:cs="Arial"/>
          <w:color w:val="000000" w:themeColor="text1"/>
          <w:sz w:val="22"/>
          <w:szCs w:val="22"/>
        </w:rPr>
        <w:t>[</w:t>
      </w:r>
      <w:r w:rsidRPr="000D3E42">
        <w:rPr>
          <w:rFonts w:ascii="Arial" w:hAnsi="Arial" w:cs="Arial"/>
          <w:color w:val="000000" w:themeColor="text1"/>
          <w:sz w:val="22"/>
          <w:szCs w:val="22"/>
        </w:rPr>
        <w:t>4]</w:t>
      </w:r>
      <w:r w:rsidRPr="000D3E42">
        <w:rPr>
          <w:rFonts w:ascii="Arial" w:hAnsi="Arial" w:cs="Arial"/>
          <w:b/>
          <w:color w:val="000000" w:themeColor="text1"/>
          <w:sz w:val="22"/>
          <w:szCs w:val="22"/>
        </w:rPr>
        <w:t xml:space="preserve"> Ramírez</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C</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Zuluaga</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M</w:t>
      </w:r>
      <w:r w:rsidRPr="000D3E42">
        <w:rPr>
          <w:rFonts w:ascii="Arial" w:hAnsi="Arial" w:cs="Arial"/>
          <w:color w:val="000000" w:themeColor="text1"/>
          <w:sz w:val="22"/>
          <w:szCs w:val="22"/>
        </w:rPr>
        <w:t xml:space="preserve">. y </w:t>
      </w:r>
      <w:r w:rsidRPr="000D3E42">
        <w:rPr>
          <w:rFonts w:ascii="Arial" w:hAnsi="Arial" w:cs="Arial"/>
          <w:b/>
          <w:color w:val="000000" w:themeColor="text1"/>
          <w:sz w:val="22"/>
          <w:szCs w:val="22"/>
        </w:rPr>
        <w:t>Perilla</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C</w:t>
      </w:r>
      <w:r w:rsidRPr="000D3E42">
        <w:rPr>
          <w:rFonts w:ascii="Arial" w:hAnsi="Arial" w:cs="Arial"/>
          <w:color w:val="000000" w:themeColor="text1"/>
          <w:sz w:val="22"/>
          <w:szCs w:val="22"/>
        </w:rPr>
        <w:t xml:space="preserve">. (2010), </w:t>
      </w:r>
      <w:r w:rsidRPr="000D3E42">
        <w:rPr>
          <w:rFonts w:ascii="Arial" w:hAnsi="Arial" w:cs="Arial"/>
          <w:i/>
          <w:color w:val="000000" w:themeColor="text1"/>
          <w:sz w:val="22"/>
          <w:szCs w:val="22"/>
        </w:rPr>
        <w:t>"Perfil Migratorio de Colombia"</w:t>
      </w:r>
      <w:r w:rsidRPr="000D3E42">
        <w:rPr>
          <w:rFonts w:ascii="Arial" w:hAnsi="Arial" w:cs="Arial"/>
          <w:color w:val="000000" w:themeColor="text1"/>
          <w:sz w:val="22"/>
          <w:szCs w:val="22"/>
        </w:rPr>
        <w:t>, Organización Internacional para las Migraciones, Bogotá, Colombia.</w:t>
      </w:r>
    </w:p>
    <w:p w:rsidR="00EC548F" w:rsidRPr="00782154" w:rsidRDefault="00EC548F" w:rsidP="00EC548F">
      <w:pPr>
        <w:pStyle w:val="Textonotapie"/>
        <w:spacing w:line="276" w:lineRule="auto"/>
        <w:jc w:val="both"/>
        <w:rPr>
          <w:rFonts w:ascii="Arial" w:hAnsi="Arial" w:cs="Arial"/>
          <w:color w:val="000000" w:themeColor="text1"/>
        </w:rPr>
      </w:pPr>
    </w:p>
    <w:p w:rsidR="00EC548F" w:rsidRPr="000D3E42"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 xml:space="preserve">[5] </w:t>
      </w:r>
      <w:r w:rsidRPr="000D3E42">
        <w:rPr>
          <w:rFonts w:ascii="Arial" w:hAnsi="Arial" w:cs="Arial"/>
          <w:b/>
          <w:color w:val="000000" w:themeColor="text1"/>
          <w:sz w:val="22"/>
          <w:szCs w:val="22"/>
        </w:rPr>
        <w:t>Kleinbaum</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D</w:t>
      </w:r>
      <w:r w:rsidRPr="000D3E42">
        <w:rPr>
          <w:rFonts w:ascii="Arial" w:hAnsi="Arial" w:cs="Arial"/>
          <w:color w:val="000000" w:themeColor="text1"/>
          <w:sz w:val="22"/>
          <w:szCs w:val="22"/>
        </w:rPr>
        <w:t xml:space="preserve">. y </w:t>
      </w:r>
      <w:r w:rsidRPr="000D3E42">
        <w:rPr>
          <w:rFonts w:ascii="Arial" w:hAnsi="Arial" w:cs="Arial"/>
          <w:b/>
          <w:color w:val="000000" w:themeColor="text1"/>
          <w:sz w:val="22"/>
          <w:szCs w:val="22"/>
        </w:rPr>
        <w:t>Klein</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M</w:t>
      </w:r>
      <w:r w:rsidRPr="000D3E42">
        <w:rPr>
          <w:rFonts w:ascii="Arial" w:hAnsi="Arial" w:cs="Arial"/>
          <w:color w:val="000000" w:themeColor="text1"/>
          <w:sz w:val="22"/>
          <w:szCs w:val="22"/>
        </w:rPr>
        <w:t>. (2010), “</w:t>
      </w:r>
      <w:r w:rsidRPr="000D3E42">
        <w:rPr>
          <w:rFonts w:ascii="Arial" w:hAnsi="Arial" w:cs="Arial"/>
          <w:i/>
          <w:color w:val="000000" w:themeColor="text1"/>
          <w:sz w:val="22"/>
          <w:szCs w:val="22"/>
        </w:rPr>
        <w:t>Logistic Regression</w:t>
      </w:r>
      <w:r w:rsidRPr="000D3E42">
        <w:rPr>
          <w:rFonts w:ascii="Arial" w:hAnsi="Arial" w:cs="Arial"/>
          <w:color w:val="000000" w:themeColor="text1"/>
          <w:sz w:val="22"/>
          <w:szCs w:val="22"/>
        </w:rPr>
        <w:t>”, Tercera edición, Springer, Atlanta, Estados Unidos.</w:t>
      </w:r>
    </w:p>
    <w:p w:rsidR="00EC548F" w:rsidRPr="00782154" w:rsidRDefault="00EC548F" w:rsidP="00EC548F">
      <w:pPr>
        <w:pStyle w:val="Textonotapie"/>
        <w:spacing w:line="276" w:lineRule="auto"/>
        <w:jc w:val="both"/>
        <w:rPr>
          <w:rFonts w:ascii="Arial" w:hAnsi="Arial" w:cs="Arial"/>
          <w:color w:val="000000" w:themeColor="text1"/>
        </w:rPr>
      </w:pPr>
    </w:p>
    <w:p w:rsidR="00EC548F" w:rsidRPr="000D3E42"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6</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lang w:val="es-ES"/>
        </w:rPr>
        <w:t>Camacho</w:t>
      </w:r>
      <w:r w:rsidRPr="000D3E42">
        <w:rPr>
          <w:rFonts w:ascii="Arial" w:hAnsi="Arial" w:cs="Arial"/>
          <w:color w:val="000000" w:themeColor="text1"/>
          <w:sz w:val="22"/>
          <w:szCs w:val="22"/>
          <w:lang w:val="es-ES"/>
        </w:rPr>
        <w:t>,</w:t>
      </w:r>
      <w:r w:rsidRPr="000D3E42">
        <w:rPr>
          <w:rFonts w:ascii="Arial" w:hAnsi="Arial" w:cs="Arial"/>
          <w:b/>
          <w:color w:val="000000" w:themeColor="text1"/>
          <w:sz w:val="22"/>
          <w:szCs w:val="22"/>
          <w:lang w:val="es-ES"/>
        </w:rPr>
        <w:t xml:space="preserve"> G. </w:t>
      </w:r>
      <w:r w:rsidRPr="000D3E42">
        <w:rPr>
          <w:rFonts w:ascii="Arial" w:hAnsi="Arial" w:cs="Arial"/>
          <w:color w:val="000000" w:themeColor="text1"/>
          <w:sz w:val="22"/>
          <w:szCs w:val="22"/>
          <w:lang w:val="es-ES"/>
        </w:rPr>
        <w:t>y</w:t>
      </w:r>
      <w:r w:rsidRPr="000D3E42">
        <w:rPr>
          <w:rFonts w:ascii="Arial" w:hAnsi="Arial" w:cs="Arial"/>
          <w:b/>
          <w:color w:val="000000" w:themeColor="text1"/>
          <w:sz w:val="22"/>
          <w:szCs w:val="22"/>
          <w:lang w:val="es-ES"/>
        </w:rPr>
        <w:t xml:space="preserve"> Hernández</w:t>
      </w:r>
      <w:r w:rsidRPr="000D3E42">
        <w:rPr>
          <w:rFonts w:ascii="Arial" w:hAnsi="Arial" w:cs="Arial"/>
          <w:color w:val="000000" w:themeColor="text1"/>
          <w:sz w:val="22"/>
          <w:szCs w:val="22"/>
          <w:lang w:val="es-ES"/>
        </w:rPr>
        <w:t>,</w:t>
      </w:r>
      <w:r w:rsidRPr="000D3E42">
        <w:rPr>
          <w:rFonts w:ascii="Arial" w:hAnsi="Arial" w:cs="Arial"/>
          <w:b/>
          <w:color w:val="000000" w:themeColor="text1"/>
          <w:sz w:val="22"/>
          <w:szCs w:val="22"/>
          <w:lang w:val="es-ES"/>
        </w:rPr>
        <w:t xml:space="preserve"> K. </w:t>
      </w:r>
      <w:r w:rsidRPr="000D3E42">
        <w:rPr>
          <w:rFonts w:ascii="Arial" w:hAnsi="Arial" w:cs="Arial"/>
          <w:color w:val="000000" w:themeColor="text1"/>
          <w:sz w:val="22"/>
          <w:szCs w:val="22"/>
          <w:lang w:val="es-ES"/>
        </w:rPr>
        <w:t xml:space="preserve">(2009), </w:t>
      </w:r>
      <w:r w:rsidRPr="000D3E42">
        <w:rPr>
          <w:rFonts w:ascii="Arial" w:hAnsi="Arial" w:cs="Arial"/>
          <w:i/>
          <w:color w:val="000000" w:themeColor="text1"/>
          <w:sz w:val="22"/>
          <w:szCs w:val="22"/>
          <w:lang w:val="es-ES"/>
        </w:rPr>
        <w:t>"Miradas transnacionales. Visiones de la migración ecuatoriana desde España y Ecuador"</w:t>
      </w:r>
      <w:r w:rsidRPr="000D3E42">
        <w:rPr>
          <w:rFonts w:ascii="Arial" w:hAnsi="Arial" w:cs="Arial"/>
          <w:color w:val="000000" w:themeColor="text1"/>
          <w:sz w:val="22"/>
          <w:szCs w:val="22"/>
          <w:lang w:val="es-ES"/>
        </w:rPr>
        <w:t>, Centro de Planificación y Estudios Sociales CEPLADES, Quito, Ecuador.</w:t>
      </w:r>
    </w:p>
    <w:p w:rsidR="00EC548F" w:rsidRPr="00782154" w:rsidRDefault="00EC548F" w:rsidP="00EC548F">
      <w:pPr>
        <w:pStyle w:val="Textonotapie"/>
        <w:spacing w:line="276" w:lineRule="auto"/>
        <w:jc w:val="both"/>
        <w:rPr>
          <w:rFonts w:ascii="Arial" w:hAnsi="Arial" w:cs="Arial"/>
          <w:color w:val="000000" w:themeColor="text1"/>
        </w:rPr>
      </w:pPr>
    </w:p>
    <w:p w:rsidR="00EC548F"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7</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Gamero</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J</w:t>
      </w:r>
      <w:r w:rsidRPr="000D3E42">
        <w:rPr>
          <w:rFonts w:ascii="Arial" w:hAnsi="Arial" w:cs="Arial"/>
          <w:color w:val="000000" w:themeColor="text1"/>
          <w:sz w:val="22"/>
          <w:szCs w:val="22"/>
        </w:rPr>
        <w:t>. (2009), “</w:t>
      </w:r>
      <w:r w:rsidRPr="000D3E42">
        <w:rPr>
          <w:rFonts w:ascii="Arial" w:hAnsi="Arial" w:cs="Arial"/>
          <w:i/>
          <w:color w:val="000000" w:themeColor="text1"/>
          <w:sz w:val="22"/>
          <w:szCs w:val="22"/>
        </w:rPr>
        <w:t>Migrantes y Migraciones en la Región Andina</w:t>
      </w:r>
      <w:r w:rsidRPr="000D3E42">
        <w:rPr>
          <w:rFonts w:ascii="Arial" w:hAnsi="Arial" w:cs="Arial"/>
          <w:color w:val="000000" w:themeColor="text1"/>
          <w:sz w:val="22"/>
          <w:szCs w:val="22"/>
        </w:rPr>
        <w:t>”, Primera Edición.</w:t>
      </w:r>
    </w:p>
    <w:p w:rsidR="00EC548F" w:rsidRPr="00782154" w:rsidRDefault="00EC548F" w:rsidP="00EC548F">
      <w:pPr>
        <w:pStyle w:val="Textonotapie"/>
        <w:spacing w:line="276" w:lineRule="auto"/>
        <w:jc w:val="both"/>
        <w:rPr>
          <w:rFonts w:ascii="Arial" w:hAnsi="Arial" w:cs="Arial"/>
          <w:color w:val="000000" w:themeColor="text1"/>
        </w:rPr>
      </w:pPr>
    </w:p>
    <w:p w:rsidR="00EC548F" w:rsidRPr="000D3E42"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8</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Carrillo</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B</w:t>
      </w:r>
      <w:r w:rsidRPr="000D3E42">
        <w:rPr>
          <w:rFonts w:ascii="Arial" w:hAnsi="Arial" w:cs="Arial"/>
          <w:color w:val="000000" w:themeColor="text1"/>
          <w:sz w:val="22"/>
          <w:szCs w:val="22"/>
        </w:rPr>
        <w:t>. (2009), “</w:t>
      </w:r>
      <w:r w:rsidRPr="000D3E42">
        <w:rPr>
          <w:rFonts w:ascii="Arial" w:hAnsi="Arial" w:cs="Arial"/>
          <w:i/>
          <w:color w:val="000000" w:themeColor="text1"/>
          <w:sz w:val="22"/>
          <w:szCs w:val="22"/>
        </w:rPr>
        <w:t>Importancia de las Tecnologías de la Información y la Comunicación (TIC) en el proceso educativo</w:t>
      </w:r>
      <w:r w:rsidRPr="000D3E42">
        <w:rPr>
          <w:rFonts w:ascii="Arial" w:hAnsi="Arial" w:cs="Arial"/>
          <w:color w:val="000000" w:themeColor="text1"/>
          <w:sz w:val="22"/>
          <w:szCs w:val="22"/>
        </w:rPr>
        <w:t>”, Revista Digital Innovación y Experiencia Educativa, Granada, España.</w:t>
      </w:r>
    </w:p>
    <w:p w:rsidR="00EC548F" w:rsidRPr="00782154" w:rsidRDefault="00EC548F" w:rsidP="00EC548F">
      <w:pPr>
        <w:spacing w:line="276" w:lineRule="auto"/>
        <w:rPr>
          <w:rFonts w:ascii="Arial" w:hAnsi="Arial" w:cs="Arial"/>
          <w:color w:val="000000" w:themeColor="text1"/>
          <w:sz w:val="20"/>
          <w:szCs w:val="20"/>
        </w:rPr>
      </w:pPr>
    </w:p>
    <w:p w:rsidR="00EC548F" w:rsidRPr="000D3E42"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9</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Szalachman</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R</w:t>
      </w:r>
      <w:r w:rsidRPr="000D3E42">
        <w:rPr>
          <w:rFonts w:ascii="Arial" w:hAnsi="Arial" w:cs="Arial"/>
          <w:color w:val="000000" w:themeColor="text1"/>
          <w:sz w:val="22"/>
          <w:szCs w:val="22"/>
        </w:rPr>
        <w:t xml:space="preserve">. (2008), </w:t>
      </w:r>
      <w:r w:rsidRPr="000D3E42">
        <w:rPr>
          <w:rFonts w:ascii="Arial" w:hAnsi="Arial" w:cs="Arial"/>
          <w:i/>
          <w:color w:val="000000" w:themeColor="text1"/>
          <w:sz w:val="22"/>
          <w:szCs w:val="22"/>
        </w:rPr>
        <w:t>“La evolución del déficit de vivienda en Costa Rica y sus consecuencias para la política habitacional”</w:t>
      </w:r>
      <w:r w:rsidRPr="000D3E42">
        <w:rPr>
          <w:rFonts w:ascii="Arial" w:hAnsi="Arial" w:cs="Arial"/>
          <w:color w:val="000000" w:themeColor="text1"/>
          <w:sz w:val="22"/>
          <w:szCs w:val="22"/>
        </w:rPr>
        <w:t>, Publicado por las Naciones Unidades, Santiago de Chile, Chile.</w:t>
      </w:r>
    </w:p>
    <w:p w:rsidR="00EC548F" w:rsidRPr="00782154" w:rsidRDefault="000D3E42" w:rsidP="000D3E42">
      <w:pPr>
        <w:pStyle w:val="Textonotapie"/>
        <w:spacing w:line="276" w:lineRule="auto"/>
        <w:jc w:val="both"/>
        <w:rPr>
          <w:rFonts w:ascii="Arial" w:hAnsi="Arial" w:cs="Arial"/>
          <w:color w:val="000000" w:themeColor="text1"/>
        </w:rPr>
      </w:pPr>
      <w:r w:rsidRPr="000D3E42">
        <w:rPr>
          <w:rFonts w:ascii="Arial" w:hAnsi="Arial" w:cs="Arial"/>
          <w:color w:val="000000" w:themeColor="text1"/>
          <w:sz w:val="22"/>
          <w:szCs w:val="22"/>
        </w:rPr>
        <w:t xml:space="preserve"> </w:t>
      </w:r>
    </w:p>
    <w:p w:rsidR="00EC548F" w:rsidRPr="000D3E42"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10</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Guzmán</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F</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Rodríguez</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H</w:t>
      </w:r>
      <w:r w:rsidRPr="000D3E42">
        <w:rPr>
          <w:rFonts w:ascii="Arial" w:hAnsi="Arial" w:cs="Arial"/>
          <w:color w:val="000000" w:themeColor="text1"/>
          <w:sz w:val="22"/>
          <w:szCs w:val="22"/>
        </w:rPr>
        <w:t xml:space="preserve">. y </w:t>
      </w:r>
      <w:r w:rsidRPr="000D3E42">
        <w:rPr>
          <w:rFonts w:ascii="Arial" w:hAnsi="Arial" w:cs="Arial"/>
          <w:b/>
          <w:color w:val="000000" w:themeColor="text1"/>
          <w:sz w:val="22"/>
          <w:szCs w:val="22"/>
        </w:rPr>
        <w:t>González</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P</w:t>
      </w:r>
      <w:r w:rsidRPr="000D3E42">
        <w:rPr>
          <w:rFonts w:ascii="Arial" w:hAnsi="Arial" w:cs="Arial"/>
          <w:color w:val="000000" w:themeColor="text1"/>
          <w:sz w:val="22"/>
          <w:szCs w:val="22"/>
        </w:rPr>
        <w:t xml:space="preserve">. (2008), </w:t>
      </w:r>
      <w:r w:rsidRPr="000D3E42">
        <w:rPr>
          <w:rFonts w:ascii="Arial" w:hAnsi="Arial" w:cs="Arial"/>
          <w:i/>
          <w:color w:val="000000" w:themeColor="text1"/>
          <w:sz w:val="22"/>
          <w:szCs w:val="22"/>
        </w:rPr>
        <w:t xml:space="preserve">“Diagnóstico sobre las desigualdades de género en el Estado de Nayarit”, </w:t>
      </w:r>
      <w:r w:rsidRPr="000D3E42">
        <w:rPr>
          <w:rFonts w:ascii="Arial" w:hAnsi="Arial" w:cs="Arial"/>
          <w:color w:val="000000" w:themeColor="text1"/>
          <w:sz w:val="22"/>
          <w:szCs w:val="22"/>
        </w:rPr>
        <w:t>Instituto Nacional de las Mujeres, México.</w:t>
      </w:r>
    </w:p>
    <w:p w:rsidR="00EC548F" w:rsidRPr="00782154" w:rsidRDefault="00EC548F" w:rsidP="00EC548F">
      <w:pPr>
        <w:pStyle w:val="Textonotapie"/>
        <w:spacing w:line="276" w:lineRule="auto"/>
        <w:jc w:val="both"/>
        <w:rPr>
          <w:rFonts w:ascii="Arial" w:hAnsi="Arial" w:cs="Arial"/>
          <w:color w:val="000000" w:themeColor="text1"/>
        </w:rPr>
      </w:pPr>
    </w:p>
    <w:p w:rsidR="00EC548F" w:rsidRPr="000D3E42"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[1</w:t>
      </w:r>
      <w:r>
        <w:rPr>
          <w:rFonts w:ascii="Arial" w:hAnsi="Arial" w:cs="Arial"/>
          <w:color w:val="000000" w:themeColor="text1"/>
          <w:sz w:val="22"/>
          <w:szCs w:val="22"/>
        </w:rPr>
        <w:t>1</w:t>
      </w:r>
      <w:r w:rsidRPr="000D3E42">
        <w:rPr>
          <w:rFonts w:ascii="Arial" w:hAnsi="Arial" w:cs="Arial"/>
          <w:color w:val="000000" w:themeColor="text1"/>
          <w:sz w:val="22"/>
          <w:szCs w:val="22"/>
        </w:rPr>
        <w:t>]</w:t>
      </w:r>
      <w:r w:rsidRPr="000D3E42">
        <w:rPr>
          <w:rFonts w:ascii="Arial" w:hAnsi="Arial" w:cs="Arial"/>
          <w:b/>
          <w:color w:val="000000" w:themeColor="text1"/>
          <w:sz w:val="22"/>
          <w:szCs w:val="22"/>
        </w:rPr>
        <w:t xml:space="preserve"> Ayala</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E</w:t>
      </w:r>
      <w:r w:rsidRPr="000D3E42">
        <w:rPr>
          <w:rFonts w:ascii="Arial" w:hAnsi="Arial" w:cs="Arial"/>
          <w:color w:val="000000" w:themeColor="text1"/>
          <w:sz w:val="22"/>
          <w:szCs w:val="22"/>
        </w:rPr>
        <w:t>. (2008), “</w:t>
      </w:r>
      <w:r w:rsidRPr="000D3E42">
        <w:rPr>
          <w:rFonts w:ascii="Arial" w:hAnsi="Arial" w:cs="Arial"/>
          <w:i/>
          <w:color w:val="000000" w:themeColor="text1"/>
          <w:sz w:val="22"/>
          <w:szCs w:val="22"/>
        </w:rPr>
        <w:t>Resumen de la Historia del Ecuador</w:t>
      </w:r>
      <w:r w:rsidRPr="000D3E42">
        <w:rPr>
          <w:rFonts w:ascii="Arial" w:hAnsi="Arial" w:cs="Arial"/>
          <w:color w:val="000000" w:themeColor="text1"/>
          <w:sz w:val="22"/>
          <w:szCs w:val="22"/>
        </w:rPr>
        <w:t>”, Tercera Edición, Corporación Editorial Nacional, Quito, Ecuador.</w:t>
      </w:r>
    </w:p>
    <w:p w:rsidR="00EC548F" w:rsidRPr="00782154" w:rsidRDefault="00EC548F" w:rsidP="00EC548F">
      <w:pPr>
        <w:pStyle w:val="Textonotapie"/>
        <w:spacing w:line="276" w:lineRule="auto"/>
        <w:jc w:val="both"/>
        <w:rPr>
          <w:rFonts w:ascii="Arial" w:hAnsi="Arial" w:cs="Arial"/>
          <w:b/>
          <w:color w:val="000000" w:themeColor="text1"/>
        </w:rPr>
      </w:pPr>
    </w:p>
    <w:p w:rsidR="00EC548F"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12</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Serrano</w:t>
      </w:r>
      <w:r w:rsidRPr="000D3E42">
        <w:rPr>
          <w:rFonts w:ascii="Arial" w:hAnsi="Arial" w:cs="Arial"/>
          <w:color w:val="000000" w:themeColor="text1"/>
          <w:sz w:val="22"/>
          <w:szCs w:val="22"/>
        </w:rPr>
        <w:t>,</w:t>
      </w:r>
      <w:r w:rsidRPr="000D3E42">
        <w:rPr>
          <w:rFonts w:ascii="Arial" w:hAnsi="Arial" w:cs="Arial"/>
          <w:b/>
          <w:color w:val="000000" w:themeColor="text1"/>
          <w:sz w:val="22"/>
          <w:szCs w:val="22"/>
        </w:rPr>
        <w:t xml:space="preserve"> A. </w:t>
      </w:r>
      <w:r w:rsidRPr="000D3E42">
        <w:rPr>
          <w:rFonts w:ascii="Arial" w:hAnsi="Arial" w:cs="Arial"/>
          <w:color w:val="000000" w:themeColor="text1"/>
          <w:sz w:val="22"/>
          <w:szCs w:val="22"/>
        </w:rPr>
        <w:t xml:space="preserve">(2008), </w:t>
      </w:r>
      <w:r w:rsidRPr="000D3E42">
        <w:rPr>
          <w:rFonts w:ascii="Arial" w:hAnsi="Arial" w:cs="Arial"/>
          <w:i/>
          <w:color w:val="000000" w:themeColor="text1"/>
          <w:sz w:val="22"/>
          <w:szCs w:val="22"/>
        </w:rPr>
        <w:t>"Perfil Migratorio del Ecuador 2008"</w:t>
      </w:r>
      <w:r w:rsidRPr="000D3E42">
        <w:rPr>
          <w:rFonts w:ascii="Arial" w:hAnsi="Arial" w:cs="Arial"/>
          <w:color w:val="000000" w:themeColor="text1"/>
          <w:sz w:val="22"/>
          <w:szCs w:val="22"/>
        </w:rPr>
        <w:t>, Organización Internacional para las Migraciones, Quito, Ecuador.</w:t>
      </w:r>
    </w:p>
    <w:p w:rsidR="00EC548F"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13</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CEPAL</w:t>
      </w:r>
      <w:r w:rsidRPr="000D3E42">
        <w:rPr>
          <w:rFonts w:ascii="Arial" w:hAnsi="Arial" w:cs="Arial"/>
          <w:color w:val="000000" w:themeColor="text1"/>
          <w:sz w:val="22"/>
          <w:szCs w:val="22"/>
        </w:rPr>
        <w:t xml:space="preserve"> (2008), “</w:t>
      </w:r>
      <w:r w:rsidRPr="000D3E42">
        <w:rPr>
          <w:rFonts w:ascii="Arial" w:hAnsi="Arial" w:cs="Arial"/>
          <w:i/>
          <w:color w:val="000000" w:themeColor="text1"/>
          <w:sz w:val="22"/>
          <w:szCs w:val="22"/>
        </w:rPr>
        <w:t>Tendencias demográficas y protección social en América Latina y el Caribe</w:t>
      </w:r>
      <w:r w:rsidRPr="000D3E42">
        <w:rPr>
          <w:rFonts w:ascii="Arial" w:hAnsi="Arial" w:cs="Arial"/>
          <w:color w:val="000000" w:themeColor="text1"/>
          <w:sz w:val="22"/>
          <w:szCs w:val="22"/>
        </w:rPr>
        <w:t>”, Santiago de Chile, Chile.</w:t>
      </w:r>
    </w:p>
    <w:p w:rsidR="00EC548F" w:rsidRPr="00782154" w:rsidRDefault="00EC548F" w:rsidP="00EC548F">
      <w:pPr>
        <w:pStyle w:val="Textonotapie"/>
        <w:spacing w:line="276" w:lineRule="auto"/>
        <w:jc w:val="both"/>
        <w:rPr>
          <w:rFonts w:ascii="Arial" w:hAnsi="Arial" w:cs="Arial"/>
          <w:b/>
          <w:color w:val="000000" w:themeColor="text1"/>
        </w:rPr>
      </w:pPr>
    </w:p>
    <w:p w:rsidR="00EC548F" w:rsidRPr="000D3E42"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14</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Mori</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M</w:t>
      </w:r>
      <w:r w:rsidRPr="000D3E42">
        <w:rPr>
          <w:rFonts w:ascii="Arial" w:hAnsi="Arial" w:cs="Arial"/>
          <w:color w:val="000000" w:themeColor="text1"/>
          <w:sz w:val="22"/>
          <w:szCs w:val="22"/>
        </w:rPr>
        <w:t>. (2008), “</w:t>
      </w:r>
      <w:r w:rsidRPr="000D3E42">
        <w:rPr>
          <w:rFonts w:ascii="Arial" w:hAnsi="Arial" w:cs="Arial"/>
          <w:i/>
          <w:color w:val="000000" w:themeColor="text1"/>
          <w:sz w:val="22"/>
          <w:szCs w:val="22"/>
        </w:rPr>
        <w:t>Introducción a los Mapas Temáticos</w:t>
      </w:r>
      <w:r w:rsidRPr="000D3E42">
        <w:rPr>
          <w:rFonts w:ascii="Arial" w:hAnsi="Arial" w:cs="Arial"/>
          <w:color w:val="000000" w:themeColor="text1"/>
          <w:sz w:val="22"/>
          <w:szCs w:val="22"/>
        </w:rPr>
        <w:t>”, Programa Regional de Formación de Facilitadores.</w:t>
      </w:r>
    </w:p>
    <w:p w:rsidR="00EC548F" w:rsidRPr="00782154" w:rsidRDefault="00EC548F" w:rsidP="00EC548F">
      <w:pPr>
        <w:pStyle w:val="Textonotapie"/>
        <w:spacing w:line="276" w:lineRule="auto"/>
        <w:jc w:val="both"/>
        <w:rPr>
          <w:rFonts w:ascii="Arial" w:hAnsi="Arial" w:cs="Arial"/>
          <w:b/>
          <w:color w:val="000000" w:themeColor="text1"/>
        </w:rPr>
      </w:pPr>
    </w:p>
    <w:p w:rsidR="00EC548F" w:rsidRDefault="00EC548F" w:rsidP="00EC548F">
      <w:pPr>
        <w:pStyle w:val="Textonotapie"/>
        <w:spacing w:line="276" w:lineRule="auto"/>
        <w:jc w:val="both"/>
        <w:rPr>
          <w:rFonts w:ascii="Arial" w:hAnsi="Arial" w:cs="Arial"/>
          <w:color w:val="000000" w:themeColor="text1"/>
          <w:sz w:val="22"/>
          <w:szCs w:val="22"/>
        </w:rPr>
      </w:pPr>
      <w:r w:rsidRPr="00EC548F">
        <w:rPr>
          <w:rFonts w:ascii="Arial" w:hAnsi="Arial" w:cs="Arial"/>
          <w:color w:val="000000" w:themeColor="text1"/>
          <w:sz w:val="22"/>
          <w:szCs w:val="22"/>
        </w:rPr>
        <w:t xml:space="preserve">[15] </w:t>
      </w:r>
      <w:r w:rsidRPr="000D3E42">
        <w:rPr>
          <w:rFonts w:ascii="Arial" w:hAnsi="Arial" w:cs="Arial"/>
          <w:b/>
          <w:color w:val="000000" w:themeColor="text1"/>
          <w:sz w:val="22"/>
          <w:szCs w:val="22"/>
        </w:rPr>
        <w:t>Banco de la República de Colombia</w:t>
      </w:r>
      <w:r w:rsidRPr="000D3E42">
        <w:rPr>
          <w:rFonts w:ascii="Arial" w:hAnsi="Arial" w:cs="Arial"/>
          <w:i/>
          <w:color w:val="000000" w:themeColor="text1"/>
          <w:sz w:val="22"/>
          <w:szCs w:val="22"/>
        </w:rPr>
        <w:t xml:space="preserve"> </w:t>
      </w:r>
      <w:r w:rsidRPr="000D3E42">
        <w:rPr>
          <w:rFonts w:ascii="Arial" w:hAnsi="Arial" w:cs="Arial"/>
          <w:color w:val="000000" w:themeColor="text1"/>
          <w:sz w:val="22"/>
          <w:szCs w:val="22"/>
        </w:rPr>
        <w:t xml:space="preserve">(2008), </w:t>
      </w:r>
      <w:r w:rsidRPr="000D3E42">
        <w:rPr>
          <w:rFonts w:ascii="Arial" w:hAnsi="Arial" w:cs="Arial"/>
          <w:i/>
          <w:color w:val="000000" w:themeColor="text1"/>
          <w:sz w:val="22"/>
          <w:szCs w:val="22"/>
        </w:rPr>
        <w:t>"El efecto de la migración y la dinámica económica internacional en el Flujo de Remesas de trabajadores hacia Colombia"</w:t>
      </w:r>
      <w:r w:rsidRPr="000D3E42">
        <w:rPr>
          <w:rFonts w:ascii="Arial" w:hAnsi="Arial" w:cs="Arial"/>
          <w:color w:val="000000" w:themeColor="text1"/>
          <w:sz w:val="22"/>
          <w:szCs w:val="22"/>
        </w:rPr>
        <w:t>, IV Seminario Anual de Remesas, La Paz, Bolivia.</w:t>
      </w:r>
    </w:p>
    <w:p w:rsidR="00EC548F" w:rsidRPr="00782154" w:rsidRDefault="00EC548F" w:rsidP="00EC548F">
      <w:pPr>
        <w:pStyle w:val="Textonotapie"/>
        <w:spacing w:line="276" w:lineRule="auto"/>
        <w:jc w:val="both"/>
        <w:rPr>
          <w:rFonts w:ascii="Arial" w:hAnsi="Arial" w:cs="Arial"/>
          <w:color w:val="000000" w:themeColor="text1"/>
        </w:rPr>
      </w:pPr>
    </w:p>
    <w:p w:rsidR="00EC548F" w:rsidRPr="000D3E42"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16</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Rada</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G</w:t>
      </w:r>
      <w:r w:rsidRPr="000D3E42">
        <w:rPr>
          <w:rFonts w:ascii="Arial" w:hAnsi="Arial" w:cs="Arial"/>
          <w:color w:val="000000" w:themeColor="text1"/>
          <w:sz w:val="22"/>
          <w:szCs w:val="22"/>
        </w:rPr>
        <w:t>. (2007), “</w:t>
      </w:r>
      <w:r w:rsidRPr="000D3E42">
        <w:rPr>
          <w:rFonts w:ascii="Arial" w:hAnsi="Arial" w:cs="Arial"/>
          <w:i/>
          <w:color w:val="000000" w:themeColor="text1"/>
          <w:sz w:val="22"/>
          <w:szCs w:val="22"/>
        </w:rPr>
        <w:t>Indicadores de riesgo epidemiológico: Tasas</w:t>
      </w:r>
      <w:r w:rsidRPr="000D3E42">
        <w:rPr>
          <w:rFonts w:ascii="Arial" w:hAnsi="Arial" w:cs="Arial"/>
          <w:color w:val="000000" w:themeColor="text1"/>
          <w:sz w:val="22"/>
          <w:szCs w:val="22"/>
        </w:rPr>
        <w:t>”, Universidad Católica de Chile, Chile.</w:t>
      </w:r>
    </w:p>
    <w:p w:rsidR="00EC548F" w:rsidRPr="00782154" w:rsidRDefault="00EC548F" w:rsidP="00EC548F">
      <w:pPr>
        <w:pStyle w:val="Textonotapie"/>
        <w:spacing w:line="276" w:lineRule="auto"/>
        <w:jc w:val="both"/>
        <w:rPr>
          <w:rFonts w:ascii="Arial" w:hAnsi="Arial" w:cs="Arial"/>
          <w:color w:val="000000" w:themeColor="text1"/>
        </w:rPr>
      </w:pPr>
    </w:p>
    <w:p w:rsidR="00EC548F" w:rsidRPr="000D3E42"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[1</w:t>
      </w:r>
      <w:r>
        <w:rPr>
          <w:rFonts w:ascii="Arial" w:hAnsi="Arial" w:cs="Arial"/>
          <w:color w:val="000000" w:themeColor="text1"/>
          <w:sz w:val="22"/>
          <w:szCs w:val="22"/>
        </w:rPr>
        <w:t>7</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FLACSO</w:t>
      </w:r>
      <w:r w:rsidRPr="000D3E42">
        <w:rPr>
          <w:rFonts w:ascii="Arial" w:hAnsi="Arial" w:cs="Arial"/>
          <w:color w:val="000000" w:themeColor="text1"/>
          <w:sz w:val="22"/>
          <w:szCs w:val="22"/>
        </w:rPr>
        <w:t xml:space="preserve"> (2006), "</w:t>
      </w:r>
      <w:r w:rsidRPr="000D3E42">
        <w:rPr>
          <w:rFonts w:ascii="Arial" w:hAnsi="Arial" w:cs="Arial"/>
          <w:i/>
          <w:color w:val="000000" w:themeColor="text1"/>
          <w:sz w:val="22"/>
          <w:szCs w:val="22"/>
        </w:rPr>
        <w:t>Ecuador: Las cifras de la migración internacional</w:t>
      </w:r>
      <w:r w:rsidRPr="000D3E42">
        <w:rPr>
          <w:rFonts w:ascii="Arial" w:hAnsi="Arial" w:cs="Arial"/>
          <w:color w:val="000000" w:themeColor="text1"/>
          <w:sz w:val="22"/>
          <w:szCs w:val="22"/>
        </w:rPr>
        <w:t>", Quito, Ecuador.</w:t>
      </w:r>
    </w:p>
    <w:p w:rsidR="00EC548F" w:rsidRPr="00782154" w:rsidRDefault="00EC548F" w:rsidP="00EC548F">
      <w:pPr>
        <w:pStyle w:val="Textonotapie"/>
        <w:spacing w:line="276" w:lineRule="auto"/>
        <w:jc w:val="both"/>
        <w:rPr>
          <w:rFonts w:ascii="Arial" w:hAnsi="Arial" w:cs="Arial"/>
          <w:color w:val="000000" w:themeColor="text1"/>
        </w:rPr>
      </w:pPr>
    </w:p>
    <w:p w:rsidR="00EC548F" w:rsidRPr="000D3E42"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18</w:t>
      </w:r>
      <w:r w:rsidRPr="000D3E42">
        <w:rPr>
          <w:rFonts w:ascii="Arial" w:hAnsi="Arial" w:cs="Arial"/>
          <w:color w:val="000000" w:themeColor="text1"/>
          <w:sz w:val="22"/>
          <w:szCs w:val="22"/>
        </w:rPr>
        <w:t>]</w:t>
      </w:r>
      <w:r w:rsidRPr="000D3E42">
        <w:rPr>
          <w:rFonts w:ascii="Arial" w:hAnsi="Arial" w:cs="Arial"/>
          <w:b/>
          <w:color w:val="000000" w:themeColor="text1"/>
          <w:sz w:val="22"/>
          <w:szCs w:val="22"/>
        </w:rPr>
        <w:t xml:space="preserve"> Williamson</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J</w:t>
      </w:r>
      <w:r w:rsidRPr="000D3E42">
        <w:rPr>
          <w:rFonts w:ascii="Arial" w:hAnsi="Arial" w:cs="Arial"/>
          <w:color w:val="000000" w:themeColor="text1"/>
          <w:sz w:val="22"/>
          <w:szCs w:val="22"/>
        </w:rPr>
        <w:t xml:space="preserve">. (2006), </w:t>
      </w:r>
      <w:r w:rsidRPr="000D3E42">
        <w:rPr>
          <w:rFonts w:ascii="Arial" w:hAnsi="Arial" w:cs="Arial"/>
          <w:i/>
          <w:color w:val="000000" w:themeColor="text1"/>
          <w:sz w:val="22"/>
          <w:szCs w:val="22"/>
        </w:rPr>
        <w:t>“Migración Mundial”</w:t>
      </w:r>
      <w:r w:rsidRPr="000D3E42">
        <w:rPr>
          <w:rFonts w:ascii="Arial" w:hAnsi="Arial" w:cs="Arial"/>
          <w:color w:val="000000" w:themeColor="text1"/>
          <w:sz w:val="22"/>
          <w:szCs w:val="22"/>
        </w:rPr>
        <w:t>, Finanzas &amp; Desarrollo, tomado desde http://www.imf.org/external/pubs/ft/fandd/spa/2006/09/pdf/williamson.pdf</w:t>
      </w:r>
    </w:p>
    <w:p w:rsidR="00EC548F" w:rsidRPr="00782154" w:rsidRDefault="00EC548F" w:rsidP="00EC548F">
      <w:pPr>
        <w:pStyle w:val="Textonotapie"/>
        <w:spacing w:line="276" w:lineRule="auto"/>
        <w:jc w:val="both"/>
        <w:rPr>
          <w:rFonts w:ascii="Arial" w:hAnsi="Arial" w:cs="Arial"/>
          <w:color w:val="000000" w:themeColor="text1"/>
        </w:rPr>
      </w:pPr>
    </w:p>
    <w:p w:rsidR="00EC548F" w:rsidRDefault="00EC548F" w:rsidP="00EC548F">
      <w:pPr>
        <w:pStyle w:val="Textonotapie"/>
        <w:spacing w:line="276" w:lineRule="auto"/>
        <w:jc w:val="both"/>
        <w:rPr>
          <w:rFonts w:ascii="Arial" w:hAnsi="Arial" w:cs="Arial"/>
          <w:bCs/>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19</w:t>
      </w:r>
      <w:r w:rsidRPr="000D3E42">
        <w:rPr>
          <w:rFonts w:ascii="Arial" w:hAnsi="Arial" w:cs="Arial"/>
          <w:color w:val="000000" w:themeColor="text1"/>
          <w:sz w:val="22"/>
          <w:szCs w:val="22"/>
        </w:rPr>
        <w:t xml:space="preserve">] </w:t>
      </w:r>
      <w:r w:rsidRPr="000D3E42">
        <w:rPr>
          <w:rFonts w:ascii="Arial" w:eastAsia="Times New Roman" w:hAnsi="Arial" w:cs="Arial"/>
          <w:b/>
          <w:bCs/>
          <w:color w:val="000000" w:themeColor="text1"/>
          <w:kern w:val="36"/>
          <w:sz w:val="22"/>
          <w:szCs w:val="22"/>
          <w:lang w:eastAsia="es-EC"/>
        </w:rPr>
        <w:t>Guzmán</w:t>
      </w:r>
      <w:r w:rsidRPr="000D3E42">
        <w:rPr>
          <w:rFonts w:ascii="Arial" w:eastAsia="Times New Roman" w:hAnsi="Arial" w:cs="Arial"/>
          <w:bCs/>
          <w:color w:val="000000" w:themeColor="text1"/>
          <w:kern w:val="36"/>
          <w:sz w:val="22"/>
          <w:szCs w:val="22"/>
          <w:lang w:eastAsia="es-EC"/>
        </w:rPr>
        <w:t>,</w:t>
      </w:r>
      <w:r w:rsidRPr="000D3E42">
        <w:rPr>
          <w:rFonts w:ascii="Arial" w:eastAsia="Times New Roman" w:hAnsi="Arial" w:cs="Arial"/>
          <w:b/>
          <w:bCs/>
          <w:color w:val="000000" w:themeColor="text1"/>
          <w:kern w:val="36"/>
          <w:sz w:val="22"/>
          <w:szCs w:val="22"/>
          <w:lang w:eastAsia="es-EC"/>
        </w:rPr>
        <w:t xml:space="preserve"> E</w:t>
      </w:r>
      <w:r w:rsidRPr="000D3E42">
        <w:rPr>
          <w:rFonts w:ascii="Arial" w:eastAsia="Times New Roman" w:hAnsi="Arial" w:cs="Arial"/>
          <w:bCs/>
          <w:color w:val="000000" w:themeColor="text1"/>
          <w:kern w:val="36"/>
          <w:sz w:val="22"/>
          <w:szCs w:val="22"/>
          <w:lang w:eastAsia="es-EC"/>
        </w:rPr>
        <w:t>. (2005), “</w:t>
      </w:r>
      <w:r w:rsidRPr="000D3E42">
        <w:rPr>
          <w:rFonts w:ascii="Arial" w:eastAsia="Times New Roman" w:hAnsi="Arial" w:cs="Arial"/>
          <w:bCs/>
          <w:i/>
          <w:color w:val="000000" w:themeColor="text1"/>
          <w:kern w:val="36"/>
          <w:sz w:val="22"/>
          <w:szCs w:val="22"/>
          <w:lang w:eastAsia="es-EC"/>
        </w:rPr>
        <w:t>Logros y retos del Frente Indígena Oaxaqueño Binacional: una organización para el futuro de los migrantes indígenas</w:t>
      </w:r>
      <w:r w:rsidRPr="000D3E42">
        <w:rPr>
          <w:rFonts w:ascii="Arial" w:eastAsia="Times New Roman" w:hAnsi="Arial" w:cs="Arial"/>
          <w:bCs/>
          <w:color w:val="000000" w:themeColor="text1"/>
          <w:kern w:val="36"/>
          <w:sz w:val="22"/>
          <w:szCs w:val="22"/>
          <w:lang w:eastAsia="es-EC"/>
        </w:rPr>
        <w:t xml:space="preserve">”, </w:t>
      </w:r>
      <w:r w:rsidRPr="000D3E42">
        <w:rPr>
          <w:rFonts w:ascii="Arial" w:hAnsi="Arial" w:cs="Arial"/>
          <w:bCs/>
          <w:color w:val="000000" w:themeColor="text1"/>
          <w:sz w:val="22"/>
          <w:szCs w:val="22"/>
        </w:rPr>
        <w:t>Universidad de las Américas Puebla, México.</w:t>
      </w:r>
    </w:p>
    <w:p w:rsidR="00EC548F" w:rsidRPr="00782154" w:rsidRDefault="00EC548F" w:rsidP="00EC548F">
      <w:pPr>
        <w:pStyle w:val="Textonotapie"/>
        <w:spacing w:line="276" w:lineRule="auto"/>
        <w:jc w:val="both"/>
        <w:rPr>
          <w:rFonts w:ascii="Arial" w:hAnsi="Arial" w:cs="Arial"/>
          <w:color w:val="000000" w:themeColor="text1"/>
        </w:rPr>
      </w:pPr>
    </w:p>
    <w:p w:rsidR="00EC548F" w:rsidRPr="000D3E42"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20</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Pérez</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C</w:t>
      </w:r>
      <w:r w:rsidRPr="000D3E42">
        <w:rPr>
          <w:rFonts w:ascii="Arial" w:hAnsi="Arial" w:cs="Arial"/>
          <w:color w:val="000000" w:themeColor="text1"/>
          <w:sz w:val="22"/>
          <w:szCs w:val="22"/>
        </w:rPr>
        <w:t xml:space="preserve">. (2003), </w:t>
      </w:r>
      <w:r w:rsidRPr="000D3E42">
        <w:rPr>
          <w:rFonts w:ascii="Arial" w:hAnsi="Arial" w:cs="Arial"/>
          <w:i/>
          <w:color w:val="000000" w:themeColor="text1"/>
          <w:sz w:val="22"/>
          <w:szCs w:val="22"/>
        </w:rPr>
        <w:t>"La situación de refugio y desplazamiento forzado en Ecuador"</w:t>
      </w:r>
      <w:r w:rsidRPr="000D3E42">
        <w:rPr>
          <w:rFonts w:ascii="Arial" w:hAnsi="Arial" w:cs="Arial"/>
          <w:color w:val="000000" w:themeColor="text1"/>
          <w:sz w:val="22"/>
          <w:szCs w:val="22"/>
        </w:rPr>
        <w:t>, Revista Aportes Andinos Nº 7. Globalización, migración y derechos humanos, Ecuador.</w:t>
      </w:r>
    </w:p>
    <w:p w:rsidR="00EC548F" w:rsidRPr="00782154" w:rsidRDefault="00EC548F" w:rsidP="000D3E42">
      <w:pPr>
        <w:pStyle w:val="Textonotapie"/>
        <w:spacing w:line="276" w:lineRule="auto"/>
        <w:jc w:val="both"/>
        <w:rPr>
          <w:rFonts w:ascii="Arial" w:hAnsi="Arial" w:cs="Arial"/>
          <w:color w:val="000000" w:themeColor="text1"/>
        </w:rPr>
      </w:pPr>
    </w:p>
    <w:p w:rsidR="00EC548F" w:rsidRDefault="00EC548F" w:rsidP="000D3E42">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21</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Pardo</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A</w:t>
      </w:r>
      <w:r w:rsidRPr="000D3E42">
        <w:rPr>
          <w:rFonts w:ascii="Arial" w:hAnsi="Arial" w:cs="Arial"/>
          <w:color w:val="000000" w:themeColor="text1"/>
          <w:sz w:val="22"/>
          <w:szCs w:val="22"/>
        </w:rPr>
        <w:t xml:space="preserve">. y </w:t>
      </w:r>
      <w:r w:rsidRPr="000D3E42">
        <w:rPr>
          <w:rFonts w:ascii="Arial" w:hAnsi="Arial" w:cs="Arial"/>
          <w:b/>
          <w:color w:val="000000" w:themeColor="text1"/>
          <w:sz w:val="22"/>
          <w:szCs w:val="22"/>
        </w:rPr>
        <w:t>Ruiz</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M</w:t>
      </w:r>
      <w:r w:rsidRPr="000D3E42">
        <w:rPr>
          <w:rFonts w:ascii="Arial" w:hAnsi="Arial" w:cs="Arial"/>
          <w:color w:val="000000" w:themeColor="text1"/>
          <w:sz w:val="22"/>
          <w:szCs w:val="22"/>
        </w:rPr>
        <w:t>. (2002). “</w:t>
      </w:r>
      <w:r w:rsidRPr="000D3E42">
        <w:rPr>
          <w:rFonts w:ascii="Arial" w:hAnsi="Arial" w:cs="Arial"/>
          <w:i/>
          <w:color w:val="000000" w:themeColor="text1"/>
          <w:sz w:val="22"/>
          <w:szCs w:val="22"/>
        </w:rPr>
        <w:t>SPSS 11</w:t>
      </w:r>
      <w:r w:rsidRPr="000D3E42">
        <w:rPr>
          <w:rFonts w:ascii="Arial" w:hAnsi="Arial" w:cs="Arial"/>
          <w:color w:val="000000" w:themeColor="text1"/>
          <w:sz w:val="22"/>
          <w:szCs w:val="22"/>
        </w:rPr>
        <w:t>: Guía para el análisis de datos”, McGraw-Hill, Madrid, España.</w:t>
      </w:r>
    </w:p>
    <w:p w:rsidR="00EC548F" w:rsidRPr="00782154" w:rsidRDefault="00EC548F" w:rsidP="000D3E42">
      <w:pPr>
        <w:pStyle w:val="Textonotapie"/>
        <w:spacing w:line="276" w:lineRule="auto"/>
        <w:jc w:val="both"/>
        <w:rPr>
          <w:rFonts w:ascii="Arial" w:hAnsi="Arial" w:cs="Arial"/>
          <w:color w:val="000000" w:themeColor="text1"/>
        </w:rPr>
      </w:pPr>
    </w:p>
    <w:p w:rsidR="00EC548F" w:rsidRDefault="00EC548F" w:rsidP="000D3E42">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22</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Faura</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U.</w:t>
      </w:r>
      <w:r w:rsidRPr="000D3E42">
        <w:rPr>
          <w:rFonts w:ascii="Arial" w:hAnsi="Arial" w:cs="Arial"/>
          <w:color w:val="000000" w:themeColor="text1"/>
          <w:sz w:val="22"/>
          <w:szCs w:val="22"/>
        </w:rPr>
        <w:t xml:space="preserve"> y </w:t>
      </w:r>
      <w:r w:rsidRPr="000D3E42">
        <w:rPr>
          <w:rFonts w:ascii="Arial" w:hAnsi="Arial" w:cs="Arial"/>
          <w:b/>
          <w:color w:val="000000" w:themeColor="text1"/>
          <w:sz w:val="22"/>
          <w:szCs w:val="22"/>
        </w:rPr>
        <w:t>Gómez</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J</w:t>
      </w:r>
      <w:r w:rsidRPr="000D3E42">
        <w:rPr>
          <w:rFonts w:ascii="Arial" w:hAnsi="Arial" w:cs="Arial"/>
          <w:color w:val="000000" w:themeColor="text1"/>
          <w:sz w:val="22"/>
          <w:szCs w:val="22"/>
        </w:rPr>
        <w:t xml:space="preserve">. (2002), </w:t>
      </w:r>
      <w:r w:rsidRPr="000D3E42">
        <w:rPr>
          <w:rFonts w:ascii="Arial" w:hAnsi="Arial" w:cs="Arial"/>
          <w:i/>
          <w:color w:val="000000" w:themeColor="text1"/>
          <w:sz w:val="22"/>
          <w:szCs w:val="22"/>
        </w:rPr>
        <w:t>“¿Cómo medir los flujos migratorio?”</w:t>
      </w:r>
      <w:r w:rsidRPr="000D3E42">
        <w:rPr>
          <w:rFonts w:ascii="Arial" w:hAnsi="Arial" w:cs="Arial"/>
          <w:color w:val="000000" w:themeColor="text1"/>
          <w:sz w:val="22"/>
          <w:szCs w:val="22"/>
        </w:rPr>
        <w:t>, Universidad de Murcia. Departamento de Métodos Cuantitativos para la Economía y Empresa, Murcia, España.</w:t>
      </w:r>
    </w:p>
    <w:p w:rsidR="00EC548F" w:rsidRPr="00782154" w:rsidRDefault="00EC548F" w:rsidP="000D3E42">
      <w:pPr>
        <w:pStyle w:val="Textonotapie"/>
        <w:spacing w:line="276" w:lineRule="auto"/>
        <w:jc w:val="both"/>
        <w:rPr>
          <w:rFonts w:ascii="Arial" w:hAnsi="Arial" w:cs="Arial"/>
          <w:color w:val="000000" w:themeColor="text1"/>
        </w:rPr>
      </w:pPr>
    </w:p>
    <w:p w:rsidR="00EC548F"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23</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INEC</w:t>
      </w:r>
      <w:r w:rsidRPr="000D3E42">
        <w:rPr>
          <w:rFonts w:ascii="Arial" w:hAnsi="Arial" w:cs="Arial"/>
          <w:color w:val="000000" w:themeColor="text1"/>
          <w:sz w:val="22"/>
          <w:szCs w:val="22"/>
        </w:rPr>
        <w:t xml:space="preserve"> (2001), Base de datos del VI Censo de Población y V de Vivienda, Ecuador.</w:t>
      </w:r>
    </w:p>
    <w:p w:rsidR="00EC548F" w:rsidRPr="00782154" w:rsidRDefault="00EC548F" w:rsidP="000D3E42">
      <w:pPr>
        <w:pStyle w:val="Textonotapie"/>
        <w:spacing w:line="276" w:lineRule="auto"/>
        <w:jc w:val="both"/>
        <w:rPr>
          <w:rFonts w:ascii="Arial" w:hAnsi="Arial" w:cs="Arial"/>
          <w:color w:val="000000" w:themeColor="text1"/>
        </w:rPr>
      </w:pPr>
    </w:p>
    <w:p w:rsidR="000D3E42" w:rsidRDefault="000D3E42" w:rsidP="000D3E42">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sidR="00EC548F">
        <w:rPr>
          <w:rFonts w:ascii="Arial" w:hAnsi="Arial" w:cs="Arial"/>
          <w:color w:val="000000" w:themeColor="text1"/>
          <w:sz w:val="22"/>
          <w:szCs w:val="22"/>
        </w:rPr>
        <w:t>24</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Sutcliffe</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B</w:t>
      </w:r>
      <w:r w:rsidRPr="000D3E42">
        <w:rPr>
          <w:rFonts w:ascii="Arial" w:hAnsi="Arial" w:cs="Arial"/>
          <w:color w:val="000000" w:themeColor="text1"/>
          <w:sz w:val="22"/>
          <w:szCs w:val="22"/>
        </w:rPr>
        <w:t xml:space="preserve">. (1998), </w:t>
      </w:r>
      <w:r w:rsidRPr="000D3E42">
        <w:rPr>
          <w:rFonts w:ascii="Arial" w:hAnsi="Arial" w:cs="Arial"/>
          <w:i/>
          <w:color w:val="000000" w:themeColor="text1"/>
          <w:sz w:val="22"/>
          <w:szCs w:val="22"/>
        </w:rPr>
        <w:t>"Nacido en otra parte. Un ensayo sobre la migración internacional, el desarrollo y la equidad"</w:t>
      </w:r>
      <w:r w:rsidRPr="000D3E42">
        <w:rPr>
          <w:rFonts w:ascii="Arial" w:hAnsi="Arial" w:cs="Arial"/>
          <w:color w:val="000000" w:themeColor="text1"/>
          <w:sz w:val="22"/>
          <w:szCs w:val="22"/>
        </w:rPr>
        <w:t>, publicado por la Facultad de Ciencias Económicas de Hegoa, Bilbao, España.</w:t>
      </w:r>
    </w:p>
    <w:p w:rsidR="00782154" w:rsidRPr="00782154" w:rsidRDefault="00782154" w:rsidP="000D3E42">
      <w:pPr>
        <w:pStyle w:val="Textonotapie"/>
        <w:spacing w:line="276" w:lineRule="auto"/>
        <w:jc w:val="both"/>
        <w:rPr>
          <w:rFonts w:ascii="Arial" w:hAnsi="Arial" w:cs="Arial"/>
          <w:color w:val="000000" w:themeColor="text1"/>
        </w:rPr>
      </w:pPr>
    </w:p>
    <w:p w:rsidR="00EC548F" w:rsidRDefault="00EC548F" w:rsidP="000D3E42">
      <w:pPr>
        <w:pStyle w:val="Textonotapie"/>
        <w:spacing w:line="276" w:lineRule="auto"/>
        <w:rPr>
          <w:rFonts w:ascii="Arial" w:hAnsi="Arial" w:cs="Arial"/>
          <w:color w:val="000000" w:themeColor="text1"/>
          <w:sz w:val="22"/>
          <w:szCs w:val="22"/>
        </w:rPr>
      </w:pPr>
      <w:r w:rsidRPr="000D3E42">
        <w:rPr>
          <w:rFonts w:ascii="Arial" w:hAnsi="Arial" w:cs="Arial"/>
          <w:color w:val="000000" w:themeColor="text1"/>
          <w:sz w:val="22"/>
          <w:szCs w:val="22"/>
        </w:rPr>
        <w:t>[2</w:t>
      </w:r>
      <w:r>
        <w:rPr>
          <w:rFonts w:ascii="Arial" w:hAnsi="Arial" w:cs="Arial"/>
          <w:color w:val="000000" w:themeColor="text1"/>
          <w:sz w:val="22"/>
          <w:szCs w:val="22"/>
        </w:rPr>
        <w:t>5</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INEC</w:t>
      </w:r>
      <w:r w:rsidRPr="000D3E42">
        <w:rPr>
          <w:rFonts w:ascii="Arial" w:hAnsi="Arial" w:cs="Arial"/>
          <w:color w:val="000000" w:themeColor="text1"/>
          <w:sz w:val="22"/>
          <w:szCs w:val="22"/>
        </w:rPr>
        <w:t xml:space="preserve"> (1990), Bases de datos del V Censo de Población y IV Vivienda, Ecuador.</w:t>
      </w:r>
    </w:p>
    <w:p w:rsidR="00782154" w:rsidRPr="00782154" w:rsidRDefault="00782154" w:rsidP="000D3E42">
      <w:pPr>
        <w:pStyle w:val="Textonotapie"/>
        <w:spacing w:line="276" w:lineRule="auto"/>
        <w:rPr>
          <w:rFonts w:ascii="Arial" w:hAnsi="Arial" w:cs="Arial"/>
          <w:color w:val="000000" w:themeColor="text1"/>
        </w:rPr>
      </w:pPr>
    </w:p>
    <w:p w:rsidR="00EC548F"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Pr>
          <w:rFonts w:ascii="Arial" w:hAnsi="Arial" w:cs="Arial"/>
          <w:color w:val="000000" w:themeColor="text1"/>
          <w:sz w:val="22"/>
          <w:szCs w:val="22"/>
        </w:rPr>
        <w:t>26</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Arango</w:t>
      </w:r>
      <w:r w:rsidRPr="000D3E42">
        <w:rPr>
          <w:rFonts w:ascii="Arial" w:hAnsi="Arial" w:cs="Arial"/>
          <w:color w:val="000000" w:themeColor="text1"/>
          <w:sz w:val="22"/>
          <w:szCs w:val="22"/>
        </w:rPr>
        <w:t>,</w:t>
      </w:r>
      <w:r w:rsidRPr="000D3E42">
        <w:rPr>
          <w:rFonts w:ascii="Arial" w:hAnsi="Arial" w:cs="Arial"/>
          <w:b/>
          <w:color w:val="000000" w:themeColor="text1"/>
          <w:sz w:val="22"/>
          <w:szCs w:val="22"/>
        </w:rPr>
        <w:t xml:space="preserve"> J.</w:t>
      </w:r>
      <w:r w:rsidRPr="000D3E42">
        <w:rPr>
          <w:rFonts w:ascii="Arial" w:hAnsi="Arial" w:cs="Arial"/>
          <w:color w:val="000000" w:themeColor="text1"/>
          <w:sz w:val="22"/>
          <w:szCs w:val="22"/>
        </w:rPr>
        <w:t xml:space="preserve"> (1985), “</w:t>
      </w:r>
      <w:r w:rsidRPr="000D3E42">
        <w:rPr>
          <w:rFonts w:ascii="Arial" w:hAnsi="Arial" w:cs="Arial"/>
          <w:i/>
          <w:color w:val="000000" w:themeColor="text1"/>
          <w:sz w:val="22"/>
          <w:szCs w:val="22"/>
        </w:rPr>
        <w:t>Las Leyes de las Migraciones de E. G. Ravenstein, cien años después</w:t>
      </w:r>
      <w:r w:rsidRPr="000D3E42">
        <w:rPr>
          <w:rFonts w:ascii="Arial" w:hAnsi="Arial" w:cs="Arial"/>
          <w:color w:val="000000" w:themeColor="text1"/>
          <w:sz w:val="22"/>
          <w:szCs w:val="22"/>
        </w:rPr>
        <w:t>”, Revista española de investigaciones sociológicas, España.</w:t>
      </w:r>
    </w:p>
    <w:p w:rsidR="00EC548F" w:rsidRPr="00782154" w:rsidRDefault="00EC548F" w:rsidP="000D3E42">
      <w:pPr>
        <w:pStyle w:val="Textonotapie"/>
        <w:spacing w:line="276" w:lineRule="auto"/>
        <w:rPr>
          <w:rFonts w:ascii="Arial" w:hAnsi="Arial" w:cs="Arial"/>
          <w:color w:val="000000" w:themeColor="text1"/>
        </w:rPr>
      </w:pPr>
    </w:p>
    <w:p w:rsidR="000D3E42" w:rsidRPr="000D3E42" w:rsidRDefault="000D3E42" w:rsidP="000D3E42">
      <w:pPr>
        <w:pStyle w:val="Textonotapie"/>
        <w:spacing w:line="276" w:lineRule="auto"/>
        <w:jc w:val="left"/>
        <w:rPr>
          <w:rFonts w:ascii="Arial" w:hAnsi="Arial" w:cs="Arial"/>
          <w:color w:val="000000" w:themeColor="text1"/>
          <w:sz w:val="22"/>
          <w:szCs w:val="22"/>
        </w:rPr>
      </w:pPr>
      <w:r w:rsidRPr="000D3E42">
        <w:rPr>
          <w:rFonts w:ascii="Arial" w:hAnsi="Arial" w:cs="Arial"/>
          <w:color w:val="000000" w:themeColor="text1"/>
          <w:sz w:val="22"/>
          <w:szCs w:val="22"/>
        </w:rPr>
        <w:t>[</w:t>
      </w:r>
      <w:r w:rsidR="00EC548F">
        <w:rPr>
          <w:rFonts w:ascii="Arial" w:hAnsi="Arial" w:cs="Arial"/>
          <w:color w:val="000000" w:themeColor="text1"/>
          <w:sz w:val="22"/>
          <w:szCs w:val="22"/>
        </w:rPr>
        <w:t>27</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Santillo</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M</w:t>
      </w:r>
      <w:r w:rsidRPr="000D3E42">
        <w:rPr>
          <w:rFonts w:ascii="Arial" w:hAnsi="Arial" w:cs="Arial"/>
          <w:color w:val="000000" w:themeColor="text1"/>
          <w:sz w:val="22"/>
          <w:szCs w:val="22"/>
        </w:rPr>
        <w:t>., “</w:t>
      </w:r>
      <w:r w:rsidRPr="000D3E42">
        <w:rPr>
          <w:rFonts w:ascii="Arial" w:hAnsi="Arial" w:cs="Arial"/>
          <w:i/>
          <w:color w:val="000000" w:themeColor="text1"/>
          <w:sz w:val="22"/>
          <w:szCs w:val="22"/>
        </w:rPr>
        <w:t>Balance de las Migraciones Actuales en América Latina</w:t>
      </w:r>
      <w:r w:rsidRPr="000D3E42">
        <w:rPr>
          <w:rFonts w:ascii="Arial" w:hAnsi="Arial" w:cs="Arial"/>
          <w:color w:val="000000" w:themeColor="text1"/>
          <w:sz w:val="22"/>
          <w:szCs w:val="22"/>
        </w:rPr>
        <w:t>”, tomado desde w.scalabrini.org/Triuggio/Santillo_spagnolo.doc, Buenos Aires, Argentina.</w:t>
      </w:r>
    </w:p>
    <w:p w:rsidR="000D3E42" w:rsidRPr="00782154" w:rsidRDefault="000D3E42" w:rsidP="000D3E42">
      <w:pPr>
        <w:spacing w:line="276" w:lineRule="auto"/>
        <w:rPr>
          <w:rFonts w:ascii="Arial" w:hAnsi="Arial" w:cs="Arial"/>
          <w:color w:val="000000" w:themeColor="text1"/>
          <w:sz w:val="20"/>
          <w:szCs w:val="20"/>
        </w:rPr>
      </w:pPr>
    </w:p>
    <w:p w:rsidR="000D3E42" w:rsidRDefault="000D3E42" w:rsidP="000D3E42">
      <w:pPr>
        <w:pStyle w:val="Textonotapie"/>
        <w:spacing w:line="276" w:lineRule="auto"/>
        <w:jc w:val="both"/>
        <w:rPr>
          <w:rFonts w:ascii="Arial" w:hAnsi="Arial" w:cs="Arial"/>
          <w:i/>
          <w:color w:val="000000" w:themeColor="text1"/>
          <w:sz w:val="22"/>
          <w:szCs w:val="22"/>
        </w:rPr>
      </w:pPr>
      <w:r w:rsidRPr="000D3E42">
        <w:rPr>
          <w:rFonts w:ascii="Arial" w:hAnsi="Arial" w:cs="Arial"/>
          <w:color w:val="000000" w:themeColor="text1"/>
          <w:sz w:val="22"/>
          <w:szCs w:val="22"/>
        </w:rPr>
        <w:t>[2</w:t>
      </w:r>
      <w:r w:rsidR="00EC548F">
        <w:rPr>
          <w:rFonts w:ascii="Arial" w:hAnsi="Arial" w:cs="Arial"/>
          <w:color w:val="000000" w:themeColor="text1"/>
          <w:sz w:val="22"/>
          <w:szCs w:val="22"/>
        </w:rPr>
        <w:t>8</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OIM (Organización Internacional para las Migraciones)</w:t>
      </w:r>
      <w:r w:rsidRPr="000D3E42">
        <w:rPr>
          <w:rFonts w:ascii="Arial" w:hAnsi="Arial" w:cs="Arial"/>
          <w:color w:val="000000" w:themeColor="text1"/>
          <w:sz w:val="22"/>
          <w:szCs w:val="22"/>
        </w:rPr>
        <w:t xml:space="preserve">, </w:t>
      </w:r>
      <w:r w:rsidRPr="000D3E42">
        <w:rPr>
          <w:rFonts w:ascii="Arial" w:hAnsi="Arial" w:cs="Arial"/>
          <w:i/>
          <w:color w:val="000000" w:themeColor="text1"/>
          <w:sz w:val="22"/>
          <w:szCs w:val="22"/>
        </w:rPr>
        <w:t>“Identificación de Migrantes Internacionales”.</w:t>
      </w:r>
    </w:p>
    <w:p w:rsidR="00EC548F" w:rsidRPr="00782154" w:rsidRDefault="00EC548F" w:rsidP="000D3E42">
      <w:pPr>
        <w:pStyle w:val="Textonotapie"/>
        <w:spacing w:line="276" w:lineRule="auto"/>
        <w:jc w:val="both"/>
        <w:rPr>
          <w:rFonts w:ascii="Arial" w:hAnsi="Arial" w:cs="Arial"/>
          <w:i/>
          <w:color w:val="000000" w:themeColor="text1"/>
        </w:rPr>
      </w:pPr>
    </w:p>
    <w:p w:rsidR="000D3E42" w:rsidRPr="000D3E42" w:rsidRDefault="000D3E42" w:rsidP="000D3E42">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sidR="00EC548F">
        <w:rPr>
          <w:rFonts w:ascii="Arial" w:hAnsi="Arial" w:cs="Arial"/>
          <w:color w:val="000000" w:themeColor="text1"/>
          <w:sz w:val="22"/>
          <w:szCs w:val="22"/>
        </w:rPr>
        <w:t>29</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Centro Centroamericano de Población</w:t>
      </w:r>
      <w:r w:rsidRPr="000D3E42">
        <w:rPr>
          <w:rFonts w:ascii="Arial" w:hAnsi="Arial" w:cs="Arial"/>
          <w:color w:val="000000" w:themeColor="text1"/>
          <w:sz w:val="22"/>
          <w:szCs w:val="22"/>
        </w:rPr>
        <w:t>, “</w:t>
      </w:r>
      <w:r w:rsidRPr="000D3E42">
        <w:rPr>
          <w:rFonts w:ascii="Arial" w:hAnsi="Arial" w:cs="Arial"/>
          <w:i/>
          <w:color w:val="000000" w:themeColor="text1"/>
          <w:sz w:val="22"/>
          <w:szCs w:val="22"/>
        </w:rPr>
        <w:t>Sección 11: Migración</w:t>
      </w:r>
      <w:r w:rsidRPr="000D3E42">
        <w:rPr>
          <w:rFonts w:ascii="Arial" w:hAnsi="Arial" w:cs="Arial"/>
          <w:color w:val="000000" w:themeColor="text1"/>
          <w:sz w:val="22"/>
          <w:szCs w:val="22"/>
        </w:rPr>
        <w:t>”, Curso de Análisis Demográfico, Universidad de Costa Rica, Costa Rica.</w:t>
      </w:r>
    </w:p>
    <w:p w:rsidR="000D3E42" w:rsidRPr="00782154" w:rsidRDefault="000D3E42" w:rsidP="000D3E42">
      <w:pPr>
        <w:spacing w:line="276" w:lineRule="auto"/>
        <w:rPr>
          <w:rFonts w:ascii="Arial" w:hAnsi="Arial" w:cs="Arial"/>
          <w:color w:val="000000" w:themeColor="text1"/>
          <w:sz w:val="20"/>
          <w:szCs w:val="20"/>
        </w:rPr>
      </w:pPr>
    </w:p>
    <w:p w:rsidR="000D3E42" w:rsidRPr="000D3E42" w:rsidRDefault="000D3E42" w:rsidP="000D3E42">
      <w:pPr>
        <w:pStyle w:val="Textonotapie"/>
        <w:spacing w:line="276" w:lineRule="auto"/>
        <w:jc w:val="both"/>
        <w:rPr>
          <w:rFonts w:ascii="Arial" w:hAnsi="Arial" w:cs="Arial"/>
          <w:color w:val="000000" w:themeColor="text1"/>
          <w:sz w:val="22"/>
          <w:szCs w:val="22"/>
        </w:rPr>
      </w:pPr>
      <w:r w:rsidRPr="00EC548F">
        <w:rPr>
          <w:rFonts w:ascii="Arial" w:hAnsi="Arial" w:cs="Arial"/>
          <w:color w:val="000000" w:themeColor="text1"/>
          <w:sz w:val="22"/>
          <w:szCs w:val="22"/>
        </w:rPr>
        <w:t>[3</w:t>
      </w:r>
      <w:r w:rsidR="00EC548F">
        <w:rPr>
          <w:rFonts w:ascii="Arial" w:hAnsi="Arial" w:cs="Arial"/>
          <w:color w:val="000000" w:themeColor="text1"/>
          <w:sz w:val="22"/>
          <w:szCs w:val="22"/>
        </w:rPr>
        <w:t>0</w:t>
      </w:r>
      <w:r w:rsidRPr="00EC548F">
        <w:rPr>
          <w:rFonts w:ascii="Arial" w:hAnsi="Arial" w:cs="Arial"/>
          <w:color w:val="000000" w:themeColor="text1"/>
          <w:sz w:val="22"/>
          <w:szCs w:val="22"/>
        </w:rPr>
        <w:t xml:space="preserve">] </w:t>
      </w:r>
      <w:r w:rsidRPr="000D3E42">
        <w:rPr>
          <w:rFonts w:ascii="Arial" w:hAnsi="Arial" w:cs="Arial"/>
          <w:b/>
          <w:color w:val="000000" w:themeColor="text1"/>
          <w:sz w:val="22"/>
          <w:szCs w:val="22"/>
        </w:rPr>
        <w:t>INE (Instituto Nacional de Estadística)</w:t>
      </w:r>
      <w:r w:rsidRPr="000D3E42">
        <w:rPr>
          <w:rFonts w:ascii="Arial" w:hAnsi="Arial" w:cs="Arial"/>
          <w:color w:val="000000" w:themeColor="text1"/>
          <w:sz w:val="22"/>
          <w:szCs w:val="22"/>
        </w:rPr>
        <w:t xml:space="preserve">, </w:t>
      </w:r>
      <w:r w:rsidRPr="000D3E42">
        <w:rPr>
          <w:rFonts w:ascii="Arial" w:hAnsi="Arial" w:cs="Arial"/>
          <w:i/>
          <w:color w:val="000000" w:themeColor="text1"/>
          <w:sz w:val="22"/>
          <w:szCs w:val="22"/>
        </w:rPr>
        <w:t>“Definiciones”</w:t>
      </w:r>
      <w:r w:rsidRPr="000D3E42">
        <w:rPr>
          <w:rFonts w:ascii="Arial" w:hAnsi="Arial" w:cs="Arial"/>
          <w:color w:val="000000" w:themeColor="text1"/>
          <w:sz w:val="22"/>
          <w:szCs w:val="22"/>
        </w:rPr>
        <w:t>, España.</w:t>
      </w:r>
    </w:p>
    <w:p w:rsidR="000D3E42" w:rsidRPr="00782154" w:rsidRDefault="000D3E42" w:rsidP="000D3E42">
      <w:pPr>
        <w:pStyle w:val="Textonotapie"/>
        <w:spacing w:line="276" w:lineRule="auto"/>
        <w:jc w:val="both"/>
        <w:rPr>
          <w:rFonts w:ascii="Arial" w:hAnsi="Arial" w:cs="Arial"/>
          <w:color w:val="000000" w:themeColor="text1"/>
        </w:rPr>
      </w:pPr>
    </w:p>
    <w:p w:rsidR="000D3E42" w:rsidRPr="000D3E42" w:rsidRDefault="000D3E42" w:rsidP="000D3E42">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[3</w:t>
      </w:r>
      <w:r w:rsidR="00EC548F">
        <w:rPr>
          <w:rFonts w:ascii="Arial" w:hAnsi="Arial" w:cs="Arial"/>
          <w:color w:val="000000" w:themeColor="text1"/>
          <w:sz w:val="22"/>
          <w:szCs w:val="22"/>
        </w:rPr>
        <w:t>1</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CELADE (Comisión Económica para América Latina y el Caribe)</w:t>
      </w:r>
      <w:r w:rsidRPr="000D3E42">
        <w:rPr>
          <w:rFonts w:ascii="Arial" w:hAnsi="Arial" w:cs="Arial"/>
          <w:color w:val="000000" w:themeColor="text1"/>
          <w:sz w:val="22"/>
          <w:szCs w:val="22"/>
        </w:rPr>
        <w:t>, “</w:t>
      </w:r>
      <w:r w:rsidRPr="000D3E42">
        <w:rPr>
          <w:rFonts w:ascii="Arial" w:hAnsi="Arial" w:cs="Arial"/>
          <w:i/>
          <w:color w:val="000000" w:themeColor="text1"/>
          <w:sz w:val="22"/>
          <w:szCs w:val="22"/>
        </w:rPr>
        <w:t>Tasa de Participación Económica</w:t>
      </w:r>
      <w:r w:rsidRPr="000D3E42">
        <w:rPr>
          <w:rFonts w:ascii="Arial" w:hAnsi="Arial" w:cs="Arial"/>
          <w:color w:val="000000" w:themeColor="text1"/>
          <w:sz w:val="22"/>
          <w:szCs w:val="22"/>
        </w:rPr>
        <w:t>”, tomado desde http://celade.cepal.org, el 8 de julio de 2012.</w:t>
      </w:r>
    </w:p>
    <w:p w:rsidR="000D3E42" w:rsidRPr="00782154" w:rsidRDefault="000D3E42" w:rsidP="000D3E42">
      <w:pPr>
        <w:spacing w:line="276" w:lineRule="auto"/>
        <w:rPr>
          <w:rFonts w:ascii="Arial" w:hAnsi="Arial" w:cs="Arial"/>
          <w:color w:val="000000" w:themeColor="text1"/>
          <w:sz w:val="20"/>
          <w:szCs w:val="20"/>
        </w:rPr>
      </w:pPr>
    </w:p>
    <w:p w:rsidR="00EC548F" w:rsidRPr="000D3E42" w:rsidRDefault="00EC548F" w:rsidP="00EC548F">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[3</w:t>
      </w:r>
      <w:r>
        <w:rPr>
          <w:rFonts w:ascii="Arial" w:hAnsi="Arial" w:cs="Arial"/>
          <w:color w:val="000000" w:themeColor="text1"/>
          <w:sz w:val="22"/>
          <w:szCs w:val="22"/>
        </w:rPr>
        <w:t>2</w:t>
      </w:r>
      <w:r w:rsidRPr="000D3E42">
        <w:rPr>
          <w:rFonts w:ascii="Arial" w:hAnsi="Arial" w:cs="Arial"/>
          <w:color w:val="000000" w:themeColor="text1"/>
          <w:sz w:val="22"/>
          <w:szCs w:val="22"/>
        </w:rPr>
        <w:t>]</w:t>
      </w:r>
      <w:r w:rsidRPr="000D3E42">
        <w:rPr>
          <w:rFonts w:ascii="Arial" w:hAnsi="Arial" w:cs="Arial"/>
          <w:b/>
          <w:color w:val="000000" w:themeColor="text1"/>
          <w:sz w:val="22"/>
          <w:szCs w:val="22"/>
        </w:rPr>
        <w:t xml:space="preserve"> OIM (Organización Internacional para las Migraciones)</w:t>
      </w:r>
      <w:r w:rsidRPr="000D3E42">
        <w:rPr>
          <w:rFonts w:ascii="Arial" w:hAnsi="Arial" w:cs="Arial"/>
          <w:color w:val="000000" w:themeColor="text1"/>
          <w:sz w:val="22"/>
          <w:szCs w:val="22"/>
        </w:rPr>
        <w:t>,</w:t>
      </w:r>
      <w:r w:rsidRPr="000D3E42">
        <w:rPr>
          <w:rFonts w:ascii="Arial" w:hAnsi="Arial" w:cs="Arial"/>
          <w:i/>
          <w:color w:val="000000" w:themeColor="text1"/>
          <w:sz w:val="22"/>
          <w:szCs w:val="22"/>
        </w:rPr>
        <w:t xml:space="preserve"> "Migración en la Historia"</w:t>
      </w:r>
      <w:r w:rsidRPr="000D3E42">
        <w:rPr>
          <w:rFonts w:ascii="Arial" w:hAnsi="Arial" w:cs="Arial"/>
          <w:color w:val="000000" w:themeColor="text1"/>
          <w:sz w:val="22"/>
          <w:szCs w:val="22"/>
        </w:rPr>
        <w:t>, tomado desde http://www.iom.int/jahia/Jahia/about-migration/migration-management-foundations/migration-history/migration-in-history/lang/es, el 15 de junio de 2012.</w:t>
      </w:r>
    </w:p>
    <w:p w:rsidR="000D3E42" w:rsidRPr="00782154" w:rsidRDefault="000D3E42" w:rsidP="000D3E42">
      <w:pPr>
        <w:pStyle w:val="Textonotapie"/>
        <w:spacing w:line="276" w:lineRule="auto"/>
        <w:jc w:val="both"/>
        <w:rPr>
          <w:rFonts w:ascii="Arial" w:hAnsi="Arial" w:cs="Arial"/>
          <w:color w:val="000000" w:themeColor="text1"/>
        </w:rPr>
      </w:pPr>
    </w:p>
    <w:p w:rsidR="000D3E42" w:rsidRPr="000D3E42" w:rsidRDefault="000D3E42" w:rsidP="000D3E42">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[3</w:t>
      </w:r>
      <w:r w:rsidR="00EC548F">
        <w:rPr>
          <w:rFonts w:ascii="Arial" w:hAnsi="Arial" w:cs="Arial"/>
          <w:color w:val="000000" w:themeColor="text1"/>
          <w:sz w:val="22"/>
          <w:szCs w:val="22"/>
        </w:rPr>
        <w:t>3</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Hernández D</w:t>
      </w:r>
      <w:r w:rsidRPr="000D3E42">
        <w:rPr>
          <w:rFonts w:ascii="Arial" w:hAnsi="Arial" w:cs="Arial"/>
          <w:color w:val="000000" w:themeColor="text1"/>
          <w:sz w:val="22"/>
          <w:szCs w:val="22"/>
        </w:rPr>
        <w:t>., “</w:t>
      </w:r>
      <w:r w:rsidRPr="000D3E42">
        <w:rPr>
          <w:rFonts w:ascii="Arial" w:hAnsi="Arial" w:cs="Arial"/>
          <w:i/>
          <w:color w:val="000000" w:themeColor="text1"/>
          <w:sz w:val="22"/>
          <w:szCs w:val="22"/>
        </w:rPr>
        <w:t>¿Qué es una pirámide poblacional?</w:t>
      </w:r>
      <w:r w:rsidRPr="000D3E42">
        <w:rPr>
          <w:rFonts w:ascii="Arial" w:hAnsi="Arial" w:cs="Arial"/>
          <w:color w:val="000000" w:themeColor="text1"/>
          <w:sz w:val="22"/>
          <w:szCs w:val="22"/>
        </w:rPr>
        <w:t>”, tomado desde http://www.slideshare.net/guest31e845/pirmide-de-poblacin.</w:t>
      </w:r>
    </w:p>
    <w:p w:rsidR="000D3E42" w:rsidRPr="00782154" w:rsidRDefault="000D3E42" w:rsidP="000D3E42">
      <w:pPr>
        <w:pStyle w:val="Textonotapie"/>
        <w:spacing w:line="276" w:lineRule="auto"/>
        <w:jc w:val="both"/>
        <w:rPr>
          <w:rFonts w:ascii="Arial" w:hAnsi="Arial" w:cs="Arial"/>
          <w:color w:val="000000" w:themeColor="text1"/>
        </w:rPr>
      </w:pPr>
    </w:p>
    <w:p w:rsidR="000D3E42" w:rsidRPr="000D3E42" w:rsidRDefault="000D3E42" w:rsidP="000D3E42">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sidR="00EC548F">
        <w:rPr>
          <w:rFonts w:ascii="Arial" w:hAnsi="Arial" w:cs="Arial"/>
          <w:color w:val="000000" w:themeColor="text1"/>
          <w:sz w:val="22"/>
          <w:szCs w:val="22"/>
        </w:rPr>
        <w:t>34</w:t>
      </w:r>
      <w:r w:rsidRPr="000D3E42">
        <w:rPr>
          <w:rFonts w:ascii="Arial" w:hAnsi="Arial" w:cs="Arial"/>
          <w:color w:val="000000" w:themeColor="text1"/>
          <w:sz w:val="22"/>
          <w:szCs w:val="22"/>
        </w:rPr>
        <w:t>] “</w:t>
      </w:r>
      <w:r w:rsidRPr="000D3E42">
        <w:rPr>
          <w:rFonts w:ascii="Arial" w:hAnsi="Arial" w:cs="Arial"/>
          <w:i/>
          <w:color w:val="000000" w:themeColor="text1"/>
          <w:sz w:val="22"/>
          <w:szCs w:val="22"/>
        </w:rPr>
        <w:t>Microsoft Excel</w:t>
      </w:r>
      <w:r w:rsidRPr="000D3E42">
        <w:rPr>
          <w:rFonts w:ascii="Arial" w:hAnsi="Arial" w:cs="Arial"/>
          <w:color w:val="000000" w:themeColor="text1"/>
          <w:sz w:val="22"/>
          <w:szCs w:val="22"/>
        </w:rPr>
        <w:t>”, tomado desde la web URL: http://es.wikipedia.org/wiki/</w:t>
      </w:r>
      <w:r>
        <w:rPr>
          <w:rFonts w:ascii="Arial" w:hAnsi="Arial" w:cs="Arial"/>
          <w:color w:val="000000" w:themeColor="text1"/>
          <w:sz w:val="22"/>
          <w:szCs w:val="22"/>
        </w:rPr>
        <w:t xml:space="preserve"> </w:t>
      </w:r>
      <w:r w:rsidRPr="000D3E42">
        <w:rPr>
          <w:rFonts w:ascii="Arial" w:hAnsi="Arial" w:cs="Arial"/>
          <w:color w:val="000000" w:themeColor="text1"/>
          <w:sz w:val="22"/>
          <w:szCs w:val="22"/>
        </w:rPr>
        <w:t>Microsoft_Excel, fecha de última modificación de la página 23 de octubre de 2012.</w:t>
      </w:r>
    </w:p>
    <w:p w:rsidR="000D3E42" w:rsidRPr="00782154" w:rsidRDefault="000D3E42" w:rsidP="000D3E42">
      <w:pPr>
        <w:spacing w:line="276" w:lineRule="auto"/>
        <w:rPr>
          <w:rFonts w:ascii="Arial" w:hAnsi="Arial" w:cs="Arial"/>
          <w:color w:val="000000" w:themeColor="text1"/>
          <w:sz w:val="20"/>
          <w:szCs w:val="20"/>
        </w:rPr>
      </w:pPr>
    </w:p>
    <w:p w:rsidR="000D3E42" w:rsidRPr="000D3E42" w:rsidRDefault="000D3E42" w:rsidP="000D3E42">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sidR="00EC548F">
        <w:rPr>
          <w:rFonts w:ascii="Arial" w:hAnsi="Arial" w:cs="Arial"/>
          <w:color w:val="000000" w:themeColor="text1"/>
          <w:sz w:val="22"/>
          <w:szCs w:val="22"/>
        </w:rPr>
        <w:t>35</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Comisión Económica para América Latina y el Caribe</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CEPAL</w:t>
      </w:r>
      <w:r w:rsidRPr="000D3E42">
        <w:rPr>
          <w:rFonts w:ascii="Arial" w:hAnsi="Arial" w:cs="Arial"/>
          <w:color w:val="000000" w:themeColor="text1"/>
          <w:sz w:val="22"/>
          <w:szCs w:val="22"/>
        </w:rPr>
        <w:t>): División de Estadística y Proyecciones Económicas, “</w:t>
      </w:r>
      <w:r w:rsidRPr="000D3E42">
        <w:rPr>
          <w:rFonts w:ascii="Arial" w:hAnsi="Arial" w:cs="Arial"/>
          <w:i/>
          <w:color w:val="000000" w:themeColor="text1"/>
          <w:sz w:val="22"/>
          <w:szCs w:val="22"/>
        </w:rPr>
        <w:t>Indicadores Ecuador</w:t>
      </w:r>
      <w:r w:rsidRPr="000D3E42">
        <w:rPr>
          <w:rFonts w:ascii="Arial" w:hAnsi="Arial" w:cs="Arial"/>
          <w:color w:val="000000" w:themeColor="text1"/>
          <w:sz w:val="22"/>
          <w:szCs w:val="22"/>
        </w:rPr>
        <w:t>”, tomado desde http://www.cepal.org.</w:t>
      </w:r>
    </w:p>
    <w:p w:rsidR="00782154" w:rsidRPr="00782154" w:rsidRDefault="00782154" w:rsidP="000D3E42">
      <w:pPr>
        <w:pStyle w:val="Textonotapie"/>
        <w:spacing w:line="276" w:lineRule="auto"/>
        <w:jc w:val="both"/>
        <w:rPr>
          <w:rFonts w:ascii="Arial" w:hAnsi="Arial" w:cs="Arial"/>
          <w:color w:val="000000" w:themeColor="text1"/>
        </w:rPr>
      </w:pPr>
    </w:p>
    <w:p w:rsidR="000D3E42" w:rsidRPr="000D3E42" w:rsidRDefault="000D3E42" w:rsidP="000D3E42">
      <w:pPr>
        <w:pStyle w:val="Textonotapie"/>
        <w:spacing w:line="276" w:lineRule="auto"/>
        <w:jc w:val="both"/>
        <w:rPr>
          <w:rFonts w:ascii="Arial" w:hAnsi="Arial" w:cs="Arial"/>
          <w:color w:val="000000" w:themeColor="text1"/>
          <w:sz w:val="22"/>
          <w:szCs w:val="22"/>
        </w:rPr>
      </w:pPr>
      <w:r w:rsidRPr="000D3E42">
        <w:rPr>
          <w:rFonts w:ascii="Arial" w:hAnsi="Arial" w:cs="Arial"/>
          <w:color w:val="000000" w:themeColor="text1"/>
          <w:sz w:val="22"/>
          <w:szCs w:val="22"/>
        </w:rPr>
        <w:t>[</w:t>
      </w:r>
      <w:r w:rsidR="00EC548F">
        <w:rPr>
          <w:rFonts w:ascii="Arial" w:hAnsi="Arial" w:cs="Arial"/>
          <w:color w:val="000000" w:themeColor="text1"/>
          <w:sz w:val="22"/>
          <w:szCs w:val="22"/>
        </w:rPr>
        <w:t>36</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Jovel</w:t>
      </w:r>
      <w:r w:rsidRPr="000D3E42">
        <w:rPr>
          <w:rFonts w:ascii="Arial" w:hAnsi="Arial" w:cs="Arial"/>
          <w:color w:val="000000" w:themeColor="text1"/>
          <w:sz w:val="22"/>
          <w:szCs w:val="22"/>
        </w:rPr>
        <w:t xml:space="preserve">, </w:t>
      </w:r>
      <w:r w:rsidRPr="000D3E42">
        <w:rPr>
          <w:rFonts w:ascii="Arial" w:hAnsi="Arial" w:cs="Arial"/>
          <w:b/>
          <w:color w:val="000000" w:themeColor="text1"/>
          <w:sz w:val="22"/>
          <w:szCs w:val="22"/>
        </w:rPr>
        <w:t>A</w:t>
      </w:r>
      <w:r w:rsidRPr="000D3E42">
        <w:rPr>
          <w:rFonts w:ascii="Arial" w:hAnsi="Arial" w:cs="Arial"/>
          <w:color w:val="000000" w:themeColor="text1"/>
          <w:sz w:val="22"/>
          <w:szCs w:val="22"/>
        </w:rPr>
        <w:t>.,</w:t>
      </w:r>
      <w:r w:rsidRPr="000D3E42">
        <w:rPr>
          <w:rFonts w:ascii="Arial" w:hAnsi="Arial" w:cs="Arial"/>
          <w:i/>
          <w:color w:val="000000" w:themeColor="text1"/>
          <w:sz w:val="22"/>
          <w:szCs w:val="22"/>
        </w:rPr>
        <w:t>”Análisis de regresión logística”</w:t>
      </w:r>
      <w:r w:rsidRPr="000D3E42">
        <w:rPr>
          <w:rFonts w:ascii="Arial" w:hAnsi="Arial" w:cs="Arial"/>
          <w:color w:val="000000" w:themeColor="text1"/>
          <w:sz w:val="22"/>
          <w:szCs w:val="22"/>
        </w:rPr>
        <w:t>, Centro de Investigaciones Sociológicas, Madrid, España.</w:t>
      </w:r>
    </w:p>
    <w:p w:rsidR="000D3E42" w:rsidRPr="00782154" w:rsidRDefault="000D3E42" w:rsidP="000D3E42">
      <w:pPr>
        <w:pStyle w:val="Textonotapie"/>
        <w:spacing w:line="276" w:lineRule="auto"/>
        <w:jc w:val="both"/>
        <w:rPr>
          <w:rFonts w:ascii="Arial" w:hAnsi="Arial" w:cs="Arial"/>
          <w:color w:val="000000" w:themeColor="text1"/>
        </w:rPr>
      </w:pPr>
    </w:p>
    <w:p w:rsidR="00AB7FBA" w:rsidRPr="000D3E42" w:rsidRDefault="000D3E42" w:rsidP="000D3E42">
      <w:pPr>
        <w:pStyle w:val="Default"/>
        <w:spacing w:line="276" w:lineRule="auto"/>
        <w:jc w:val="both"/>
        <w:rPr>
          <w:b/>
          <w:sz w:val="22"/>
          <w:szCs w:val="22"/>
          <w:lang w:val="en-US"/>
        </w:rPr>
      </w:pPr>
      <w:r w:rsidRPr="000D3E42">
        <w:rPr>
          <w:rFonts w:ascii="Arial" w:hAnsi="Arial" w:cs="Arial"/>
          <w:color w:val="000000" w:themeColor="text1"/>
          <w:sz w:val="22"/>
          <w:szCs w:val="22"/>
          <w:lang w:val="en-US"/>
        </w:rPr>
        <w:t>[</w:t>
      </w:r>
      <w:r w:rsidR="00EC548F">
        <w:rPr>
          <w:rFonts w:ascii="Arial" w:hAnsi="Arial" w:cs="Arial"/>
          <w:color w:val="000000" w:themeColor="text1"/>
          <w:sz w:val="22"/>
          <w:szCs w:val="22"/>
          <w:lang w:val="en-US"/>
        </w:rPr>
        <w:t>37</w:t>
      </w:r>
      <w:r w:rsidRPr="000D3E42">
        <w:rPr>
          <w:rFonts w:ascii="Arial" w:hAnsi="Arial" w:cs="Arial"/>
          <w:color w:val="000000" w:themeColor="text1"/>
          <w:sz w:val="22"/>
          <w:szCs w:val="22"/>
          <w:lang w:val="en-US"/>
        </w:rPr>
        <w:t xml:space="preserve">] </w:t>
      </w:r>
      <w:r w:rsidRPr="000D3E42">
        <w:rPr>
          <w:rFonts w:ascii="Arial" w:hAnsi="Arial" w:cs="Arial"/>
          <w:b/>
          <w:bCs/>
          <w:color w:val="000000" w:themeColor="text1"/>
          <w:sz w:val="22"/>
          <w:szCs w:val="22"/>
          <w:lang w:val="en-US"/>
        </w:rPr>
        <w:t>Abdelrahman</w:t>
      </w:r>
      <w:r w:rsidRPr="000D3E42">
        <w:rPr>
          <w:rFonts w:ascii="Arial" w:hAnsi="Arial" w:cs="Arial"/>
          <w:bCs/>
          <w:color w:val="000000" w:themeColor="text1"/>
          <w:sz w:val="22"/>
          <w:szCs w:val="22"/>
          <w:lang w:val="en-US"/>
        </w:rPr>
        <w:t xml:space="preserve">, </w:t>
      </w:r>
      <w:r w:rsidRPr="000D3E42">
        <w:rPr>
          <w:rFonts w:ascii="Arial" w:hAnsi="Arial" w:cs="Arial"/>
          <w:b/>
          <w:bCs/>
          <w:color w:val="000000" w:themeColor="text1"/>
          <w:sz w:val="22"/>
          <w:szCs w:val="22"/>
          <w:lang w:val="en-US"/>
        </w:rPr>
        <w:t>A</w:t>
      </w:r>
      <w:r>
        <w:rPr>
          <w:rFonts w:ascii="Arial" w:hAnsi="Arial" w:cs="Arial"/>
          <w:bCs/>
          <w:color w:val="000000" w:themeColor="text1"/>
          <w:sz w:val="22"/>
          <w:szCs w:val="22"/>
          <w:lang w:val="en-US"/>
        </w:rPr>
        <w:t>.</w:t>
      </w:r>
      <w:r w:rsidRPr="000D3E42">
        <w:rPr>
          <w:rFonts w:ascii="Arial" w:hAnsi="Arial" w:cs="Arial"/>
          <w:bCs/>
          <w:color w:val="000000" w:themeColor="text1"/>
          <w:sz w:val="22"/>
          <w:szCs w:val="22"/>
          <w:lang w:val="en-US"/>
        </w:rPr>
        <w:t>, “</w:t>
      </w:r>
      <w:r w:rsidRPr="000D3E42">
        <w:rPr>
          <w:rFonts w:ascii="Arial" w:hAnsi="Arial" w:cs="Arial"/>
          <w:bCs/>
          <w:i/>
          <w:color w:val="000000" w:themeColor="text1"/>
          <w:sz w:val="22"/>
          <w:szCs w:val="22"/>
          <w:lang w:val="en-US"/>
        </w:rPr>
        <w:t>Applying Logistic Regression Model to The Second Primary Cancer Data</w:t>
      </w:r>
      <w:r w:rsidRPr="000D3E42">
        <w:rPr>
          <w:rFonts w:ascii="Arial" w:hAnsi="Arial" w:cs="Arial"/>
          <w:bCs/>
          <w:color w:val="000000" w:themeColor="text1"/>
          <w:sz w:val="22"/>
          <w:szCs w:val="22"/>
          <w:lang w:val="en-US"/>
        </w:rPr>
        <w:t>”, Department of Statistics, Mathematics, and Insurance. Faculty of Commerce, Ain Shams University, Egypt.</w:t>
      </w:r>
    </w:p>
    <w:p w:rsidR="00AB7FBA" w:rsidRPr="000D3E42" w:rsidRDefault="00AB7FBA" w:rsidP="00AB7FBA">
      <w:pPr>
        <w:pStyle w:val="TesisTitulo10"/>
        <w:numPr>
          <w:ilvl w:val="0"/>
          <w:numId w:val="0"/>
        </w:numPr>
        <w:jc w:val="center"/>
        <w:rPr>
          <w:lang w:val="en-US"/>
        </w:rPr>
        <w:sectPr w:rsidR="00AB7FBA" w:rsidRPr="000D3E42" w:rsidSect="00D94FF7">
          <w:pgSz w:w="11907" w:h="16839" w:code="9"/>
          <w:pgMar w:top="2268" w:right="1361" w:bottom="2268" w:left="2268" w:header="708" w:footer="708" w:gutter="0"/>
          <w:cols w:space="708"/>
          <w:titlePg/>
          <w:docGrid w:linePitch="360"/>
        </w:sectPr>
      </w:pPr>
    </w:p>
    <w:p w:rsidR="00AB7FBA" w:rsidRPr="000D3E42" w:rsidRDefault="00AB7FBA" w:rsidP="00AB7FBA">
      <w:pPr>
        <w:pStyle w:val="TesisTitulo10"/>
        <w:numPr>
          <w:ilvl w:val="0"/>
          <w:numId w:val="0"/>
        </w:numPr>
        <w:jc w:val="center"/>
        <w:rPr>
          <w:lang w:val="en-US"/>
        </w:rPr>
      </w:pPr>
    </w:p>
    <w:p w:rsidR="00AB7FBA" w:rsidRPr="000D3E42" w:rsidRDefault="00AB7FBA" w:rsidP="00AB7FBA">
      <w:pPr>
        <w:pStyle w:val="TesisTitulo10"/>
        <w:numPr>
          <w:ilvl w:val="0"/>
          <w:numId w:val="0"/>
        </w:numPr>
        <w:jc w:val="center"/>
        <w:rPr>
          <w:lang w:val="en-US"/>
        </w:rPr>
      </w:pPr>
    </w:p>
    <w:p w:rsidR="00AB7FBA" w:rsidRPr="000D3E42" w:rsidRDefault="00AB7FBA" w:rsidP="00AB7FBA">
      <w:pPr>
        <w:pStyle w:val="TesisTitulo10"/>
        <w:numPr>
          <w:ilvl w:val="0"/>
          <w:numId w:val="0"/>
        </w:numPr>
        <w:jc w:val="center"/>
        <w:rPr>
          <w:lang w:val="en-US"/>
        </w:rPr>
      </w:pPr>
    </w:p>
    <w:p w:rsidR="00AB7FBA" w:rsidRPr="000D3E42" w:rsidRDefault="00AB7FBA" w:rsidP="00AB7FBA">
      <w:pPr>
        <w:pStyle w:val="TesisTitulo10"/>
        <w:numPr>
          <w:ilvl w:val="0"/>
          <w:numId w:val="0"/>
        </w:numPr>
        <w:jc w:val="center"/>
        <w:rPr>
          <w:lang w:val="en-US"/>
        </w:rPr>
      </w:pPr>
    </w:p>
    <w:p w:rsidR="00AB7FBA" w:rsidRPr="000D3E42" w:rsidRDefault="00AB7FBA" w:rsidP="00AB7FBA">
      <w:pPr>
        <w:pStyle w:val="TesisTitulo10"/>
        <w:numPr>
          <w:ilvl w:val="0"/>
          <w:numId w:val="0"/>
        </w:numPr>
        <w:jc w:val="center"/>
        <w:rPr>
          <w:lang w:val="en-US"/>
        </w:rPr>
      </w:pPr>
    </w:p>
    <w:p w:rsidR="00AB7FBA" w:rsidRPr="000D3E42" w:rsidRDefault="00AB7FBA" w:rsidP="00AB7FBA">
      <w:pPr>
        <w:pStyle w:val="TesisTitulo10"/>
        <w:numPr>
          <w:ilvl w:val="0"/>
          <w:numId w:val="0"/>
        </w:numPr>
        <w:jc w:val="center"/>
        <w:rPr>
          <w:lang w:val="en-US"/>
        </w:rPr>
      </w:pPr>
    </w:p>
    <w:p w:rsidR="00AB7FBA" w:rsidRPr="000D3E42" w:rsidRDefault="00AB7FBA" w:rsidP="00AB7FBA">
      <w:pPr>
        <w:pStyle w:val="TesisTitulo10"/>
        <w:numPr>
          <w:ilvl w:val="0"/>
          <w:numId w:val="0"/>
        </w:numPr>
        <w:jc w:val="center"/>
        <w:rPr>
          <w:lang w:val="en-US"/>
        </w:rPr>
      </w:pPr>
    </w:p>
    <w:p w:rsidR="00214A2A" w:rsidRPr="005C20B7" w:rsidRDefault="00214A2A" w:rsidP="00AB7FBA">
      <w:pPr>
        <w:pStyle w:val="TesisTitulo10"/>
        <w:numPr>
          <w:ilvl w:val="0"/>
          <w:numId w:val="0"/>
        </w:numPr>
        <w:jc w:val="center"/>
        <w:rPr>
          <w:sz w:val="30"/>
          <w:szCs w:val="30"/>
          <w:lang w:val="en-US"/>
        </w:rPr>
      </w:pPr>
      <w:bookmarkStart w:id="1172" w:name="_Toc341040767"/>
    </w:p>
    <w:p w:rsidR="00AB7FBA" w:rsidRPr="005C20B7" w:rsidRDefault="00AB7FBA" w:rsidP="00AB7FBA">
      <w:pPr>
        <w:pStyle w:val="TesisTitulo10"/>
        <w:numPr>
          <w:ilvl w:val="0"/>
          <w:numId w:val="0"/>
        </w:numPr>
        <w:jc w:val="center"/>
        <w:rPr>
          <w:sz w:val="80"/>
          <w:szCs w:val="80"/>
          <w:lang w:val="en-US"/>
        </w:rPr>
        <w:sectPr w:rsidR="00AB7FBA" w:rsidRPr="005C20B7" w:rsidSect="00BA25B1">
          <w:pgSz w:w="11907" w:h="16839" w:code="9"/>
          <w:pgMar w:top="2268" w:right="1361" w:bottom="2268" w:left="2268" w:header="708" w:footer="708" w:gutter="0"/>
          <w:cols w:space="708"/>
          <w:titlePg/>
          <w:docGrid w:linePitch="360"/>
        </w:sectPr>
      </w:pPr>
      <w:r w:rsidRPr="005C20B7">
        <w:rPr>
          <w:sz w:val="80"/>
          <w:szCs w:val="80"/>
          <w:lang w:val="en-US"/>
        </w:rPr>
        <w:t>ANEXOS</w:t>
      </w:r>
      <w:bookmarkEnd w:id="1172"/>
    </w:p>
    <w:p w:rsidR="00BA25B1" w:rsidRPr="005C20B7" w:rsidRDefault="001E7422" w:rsidP="00BC2FDA">
      <w:pPr>
        <w:pStyle w:val="TesisTitulo10"/>
        <w:numPr>
          <w:ilvl w:val="0"/>
          <w:numId w:val="0"/>
        </w:numPr>
        <w:jc w:val="center"/>
        <w:rPr>
          <w:sz w:val="32"/>
          <w:szCs w:val="32"/>
          <w:lang w:val="en-US"/>
        </w:rPr>
      </w:pPr>
      <w:bookmarkStart w:id="1173" w:name="_Toc332571356"/>
      <w:bookmarkStart w:id="1174" w:name="_Toc339852906"/>
      <w:bookmarkStart w:id="1175" w:name="_Toc341040768"/>
      <w:r w:rsidRPr="005C20B7">
        <w:rPr>
          <w:sz w:val="32"/>
          <w:szCs w:val="32"/>
          <w:lang w:val="en-US"/>
        </w:rPr>
        <w:t>ANEXO A</w:t>
      </w:r>
      <w:bookmarkEnd w:id="1173"/>
      <w:r w:rsidR="00B1713E" w:rsidRPr="005C20B7">
        <w:rPr>
          <w:sz w:val="32"/>
          <w:szCs w:val="32"/>
          <w:lang w:val="en-US"/>
        </w:rPr>
        <w:t>.1</w:t>
      </w:r>
      <w:r w:rsidR="00BC2FDA" w:rsidRPr="005C20B7">
        <w:rPr>
          <w:sz w:val="32"/>
          <w:szCs w:val="32"/>
          <w:lang w:val="en-US"/>
        </w:rPr>
        <w:t>: B</w:t>
      </w:r>
      <w:r w:rsidR="00BA25B1" w:rsidRPr="005C20B7">
        <w:rPr>
          <w:sz w:val="32"/>
          <w:szCs w:val="32"/>
          <w:lang w:val="en-US"/>
        </w:rPr>
        <w:t>oleta Censal</w:t>
      </w:r>
      <w:bookmarkEnd w:id="1174"/>
      <w:bookmarkEnd w:id="117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8"/>
      </w:tblGrid>
      <w:tr w:rsidR="00D37BC1" w:rsidRPr="000D3E42" w:rsidTr="00D37BC1">
        <w:trPr>
          <w:trHeight w:val="12016"/>
        </w:trPr>
        <w:tc>
          <w:tcPr>
            <w:tcW w:w="8418" w:type="dxa"/>
          </w:tcPr>
          <w:p w:rsidR="00D37BC1" w:rsidRPr="000D3E42" w:rsidRDefault="00D37BC1" w:rsidP="0069422D">
            <w:pPr>
              <w:rPr>
                <w:b/>
                <w:lang w:val="en-US"/>
              </w:rPr>
            </w:pPr>
            <w:bookmarkStart w:id="1176" w:name="_Toc339852907"/>
            <w:bookmarkStart w:id="1177" w:name="_Toc339853272"/>
            <w:r>
              <w:rPr>
                <w:noProof/>
                <w:lang w:eastAsia="es-EC"/>
              </w:rPr>
              <w:drawing>
                <wp:inline distT="0" distB="0" distL="0" distR="0" wp14:anchorId="40F92B79" wp14:editId="3205A344">
                  <wp:extent cx="5220000" cy="2591489"/>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1" cstate="print"/>
                          <a:srcRect l="5768" t="11403" r="3847" b="8780"/>
                          <a:stretch/>
                        </pic:blipFill>
                        <pic:spPr bwMode="auto">
                          <a:xfrm>
                            <a:off x="0" y="0"/>
                            <a:ext cx="5220000" cy="2591489"/>
                          </a:xfrm>
                          <a:prstGeom prst="rect">
                            <a:avLst/>
                          </a:prstGeom>
                          <a:ln>
                            <a:noFill/>
                          </a:ln>
                          <a:extLst>
                            <a:ext uri="{53640926-AAD7-44D8-BBD7-CCE9431645EC}">
                              <a14:shadowObscured xmlns:a14="http://schemas.microsoft.com/office/drawing/2010/main"/>
                            </a:ext>
                          </a:extLst>
                        </pic:spPr>
                      </pic:pic>
                    </a:graphicData>
                  </a:graphic>
                </wp:inline>
              </w:drawing>
            </w:r>
            <w:bookmarkEnd w:id="1176"/>
            <w:bookmarkEnd w:id="1177"/>
          </w:p>
          <w:p w:rsidR="00D37BC1" w:rsidRPr="000D3E42" w:rsidRDefault="00D37BC1" w:rsidP="0069422D">
            <w:pPr>
              <w:rPr>
                <w:b/>
                <w:lang w:val="en-US"/>
              </w:rPr>
            </w:pPr>
            <w:bookmarkStart w:id="1178" w:name="_Toc339852908"/>
            <w:bookmarkStart w:id="1179" w:name="_Toc339853273"/>
            <w:r>
              <w:rPr>
                <w:noProof/>
                <w:lang w:eastAsia="es-EC"/>
              </w:rPr>
              <w:drawing>
                <wp:inline distT="0" distB="0" distL="0" distR="0" wp14:anchorId="1D55272B" wp14:editId="66CC70B0">
                  <wp:extent cx="5220000" cy="2559186"/>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2" cstate="print"/>
                          <a:srcRect l="5608" t="13968" r="3846" b="7070"/>
                          <a:stretch/>
                        </pic:blipFill>
                        <pic:spPr bwMode="auto">
                          <a:xfrm>
                            <a:off x="0" y="0"/>
                            <a:ext cx="5220000" cy="2559186"/>
                          </a:xfrm>
                          <a:prstGeom prst="rect">
                            <a:avLst/>
                          </a:prstGeom>
                          <a:ln>
                            <a:noFill/>
                          </a:ln>
                          <a:extLst>
                            <a:ext uri="{53640926-AAD7-44D8-BBD7-CCE9431645EC}">
                              <a14:shadowObscured xmlns:a14="http://schemas.microsoft.com/office/drawing/2010/main"/>
                            </a:ext>
                          </a:extLst>
                        </pic:spPr>
                      </pic:pic>
                    </a:graphicData>
                  </a:graphic>
                </wp:inline>
              </w:drawing>
            </w:r>
            <w:bookmarkEnd w:id="1178"/>
            <w:bookmarkEnd w:id="1179"/>
          </w:p>
          <w:p w:rsidR="00D37BC1" w:rsidRPr="000D3E42" w:rsidRDefault="00D37BC1" w:rsidP="0069422D">
            <w:pPr>
              <w:rPr>
                <w:b/>
                <w:lang w:val="en-US"/>
              </w:rPr>
            </w:pPr>
            <w:bookmarkStart w:id="1180" w:name="_Toc339852909"/>
            <w:bookmarkStart w:id="1181" w:name="_Toc339853274"/>
            <w:r>
              <w:rPr>
                <w:noProof/>
                <w:lang w:eastAsia="es-EC"/>
              </w:rPr>
              <w:drawing>
                <wp:inline distT="0" distB="0" distL="0" distR="0" wp14:anchorId="4C0C087F" wp14:editId="04AED3F2">
                  <wp:extent cx="5210175" cy="2493982"/>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3" cstate="print"/>
                          <a:srcRect l="5769" t="15116" r="3846" b="7926"/>
                          <a:stretch/>
                        </pic:blipFill>
                        <pic:spPr bwMode="auto">
                          <a:xfrm>
                            <a:off x="0" y="0"/>
                            <a:ext cx="5220000" cy="2498685"/>
                          </a:xfrm>
                          <a:prstGeom prst="rect">
                            <a:avLst/>
                          </a:prstGeom>
                          <a:ln>
                            <a:noFill/>
                          </a:ln>
                          <a:extLst>
                            <a:ext uri="{53640926-AAD7-44D8-BBD7-CCE9431645EC}">
                              <a14:shadowObscured xmlns:a14="http://schemas.microsoft.com/office/drawing/2010/main"/>
                            </a:ext>
                          </a:extLst>
                        </pic:spPr>
                      </pic:pic>
                    </a:graphicData>
                  </a:graphic>
                </wp:inline>
              </w:drawing>
            </w:r>
            <w:bookmarkEnd w:id="1180"/>
            <w:bookmarkEnd w:id="1181"/>
          </w:p>
        </w:tc>
      </w:tr>
    </w:tbl>
    <w:p w:rsidR="00D37BC1" w:rsidRPr="000D3E42" w:rsidRDefault="00D37BC1" w:rsidP="001E3F8C">
      <w:pPr>
        <w:pStyle w:val="TesisTitulo10"/>
        <w:numPr>
          <w:ilvl w:val="0"/>
          <w:numId w:val="0"/>
        </w:numPr>
        <w:jc w:val="center"/>
        <w:rPr>
          <w:b w:val="0"/>
          <w:sz w:val="22"/>
          <w:szCs w:val="22"/>
          <w:lang w:val="en-US"/>
        </w:rPr>
        <w:sectPr w:rsidR="00D37BC1" w:rsidRPr="000D3E42" w:rsidSect="00D37BC1">
          <w:pgSz w:w="11907" w:h="16839" w:code="9"/>
          <w:pgMar w:top="2268" w:right="1361" w:bottom="851" w:left="2268" w:header="708" w:footer="708" w:gutter="0"/>
          <w:cols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8"/>
      </w:tblGrid>
      <w:tr w:rsidR="00D37BC1" w:rsidRPr="000D3E42" w:rsidTr="00D43CBE">
        <w:trPr>
          <w:trHeight w:val="12016"/>
        </w:trPr>
        <w:tc>
          <w:tcPr>
            <w:tcW w:w="8418" w:type="dxa"/>
          </w:tcPr>
          <w:p w:rsidR="00D37BC1" w:rsidRPr="000D3E42" w:rsidRDefault="00D37BC1" w:rsidP="0069422D">
            <w:pPr>
              <w:rPr>
                <w:lang w:val="en-US"/>
              </w:rPr>
            </w:pPr>
            <w:bookmarkStart w:id="1182" w:name="_Toc339852910"/>
            <w:bookmarkStart w:id="1183" w:name="_Toc339853275"/>
            <w:r>
              <w:rPr>
                <w:noProof/>
                <w:lang w:eastAsia="es-EC"/>
              </w:rPr>
              <w:drawing>
                <wp:inline distT="0" distB="0" distL="0" distR="0" wp14:anchorId="42059C4B" wp14:editId="6C49B79E">
                  <wp:extent cx="5220000" cy="2512647"/>
                  <wp:effectExtent l="0" t="0" r="0" b="0"/>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4" cstate="print"/>
                          <a:srcRect l="5769" t="12257" r="4006" b="10491"/>
                          <a:stretch/>
                        </pic:blipFill>
                        <pic:spPr bwMode="auto">
                          <a:xfrm>
                            <a:off x="0" y="0"/>
                            <a:ext cx="5220000" cy="2512647"/>
                          </a:xfrm>
                          <a:prstGeom prst="rect">
                            <a:avLst/>
                          </a:prstGeom>
                          <a:ln>
                            <a:noFill/>
                          </a:ln>
                          <a:extLst>
                            <a:ext uri="{53640926-AAD7-44D8-BBD7-CCE9431645EC}">
                              <a14:shadowObscured xmlns:a14="http://schemas.microsoft.com/office/drawing/2010/main"/>
                            </a:ext>
                          </a:extLst>
                        </pic:spPr>
                      </pic:pic>
                    </a:graphicData>
                  </a:graphic>
                </wp:inline>
              </w:drawing>
            </w:r>
            <w:bookmarkEnd w:id="1182"/>
            <w:bookmarkEnd w:id="1183"/>
          </w:p>
          <w:p w:rsidR="00D37BC1" w:rsidRPr="000D3E42" w:rsidRDefault="00D37BC1" w:rsidP="0069422D">
            <w:pPr>
              <w:rPr>
                <w:lang w:val="en-US"/>
              </w:rPr>
            </w:pPr>
            <w:bookmarkStart w:id="1184" w:name="_Toc339852911"/>
            <w:bookmarkStart w:id="1185" w:name="_Toc339853276"/>
            <w:r>
              <w:rPr>
                <w:noProof/>
                <w:lang w:eastAsia="es-EC"/>
              </w:rPr>
              <w:drawing>
                <wp:inline distT="0" distB="0" distL="0" distR="0" wp14:anchorId="63162873" wp14:editId="641AADF3">
                  <wp:extent cx="5229225" cy="2607116"/>
                  <wp:effectExtent l="0" t="0" r="0" b="0"/>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5" cstate="print"/>
                          <a:srcRect l="5769" t="14910" r="4006" b="5075"/>
                          <a:stretch/>
                        </pic:blipFill>
                        <pic:spPr bwMode="auto">
                          <a:xfrm>
                            <a:off x="0" y="0"/>
                            <a:ext cx="5238000" cy="2611491"/>
                          </a:xfrm>
                          <a:prstGeom prst="rect">
                            <a:avLst/>
                          </a:prstGeom>
                          <a:ln>
                            <a:noFill/>
                          </a:ln>
                          <a:extLst>
                            <a:ext uri="{53640926-AAD7-44D8-BBD7-CCE9431645EC}">
                              <a14:shadowObscured xmlns:a14="http://schemas.microsoft.com/office/drawing/2010/main"/>
                            </a:ext>
                          </a:extLst>
                        </pic:spPr>
                      </pic:pic>
                    </a:graphicData>
                  </a:graphic>
                </wp:inline>
              </w:drawing>
            </w:r>
            <w:bookmarkEnd w:id="1184"/>
            <w:bookmarkEnd w:id="1185"/>
          </w:p>
          <w:p w:rsidR="00D37BC1" w:rsidRPr="000D3E42" w:rsidRDefault="00D43CBE" w:rsidP="0069422D">
            <w:pPr>
              <w:rPr>
                <w:lang w:val="en-US"/>
              </w:rPr>
            </w:pPr>
            <w:bookmarkStart w:id="1186" w:name="_Toc339852912"/>
            <w:bookmarkStart w:id="1187" w:name="_Toc339853277"/>
            <w:r>
              <w:rPr>
                <w:noProof/>
                <w:lang w:eastAsia="es-EC"/>
              </w:rPr>
              <w:drawing>
                <wp:inline distT="0" distB="0" distL="0" distR="0" wp14:anchorId="6E902BE0" wp14:editId="2BF02018">
                  <wp:extent cx="5256000" cy="2437296"/>
                  <wp:effectExtent l="0" t="0" r="0" b="0"/>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6" cstate="print"/>
                          <a:srcRect l="5608" t="14253" r="3846" b="11061"/>
                          <a:stretch/>
                        </pic:blipFill>
                        <pic:spPr bwMode="auto">
                          <a:xfrm>
                            <a:off x="0" y="0"/>
                            <a:ext cx="5256000" cy="2437296"/>
                          </a:xfrm>
                          <a:prstGeom prst="rect">
                            <a:avLst/>
                          </a:prstGeom>
                          <a:ln>
                            <a:noFill/>
                          </a:ln>
                          <a:extLst>
                            <a:ext uri="{53640926-AAD7-44D8-BBD7-CCE9431645EC}">
                              <a14:shadowObscured xmlns:a14="http://schemas.microsoft.com/office/drawing/2010/main"/>
                            </a:ext>
                          </a:extLst>
                        </pic:spPr>
                      </pic:pic>
                    </a:graphicData>
                  </a:graphic>
                </wp:inline>
              </w:drawing>
            </w:r>
            <w:bookmarkEnd w:id="1186"/>
            <w:bookmarkEnd w:id="1187"/>
          </w:p>
        </w:tc>
      </w:tr>
    </w:tbl>
    <w:p w:rsidR="00D37BC1" w:rsidRPr="000D3E42" w:rsidRDefault="00D37BC1" w:rsidP="00D37BC1">
      <w:pPr>
        <w:pStyle w:val="TesisTitulo10"/>
        <w:numPr>
          <w:ilvl w:val="0"/>
          <w:numId w:val="0"/>
        </w:numPr>
        <w:spacing w:line="240" w:lineRule="auto"/>
        <w:jc w:val="center"/>
        <w:rPr>
          <w:b w:val="0"/>
          <w:sz w:val="22"/>
          <w:szCs w:val="22"/>
          <w:lang w:val="en-US"/>
        </w:rPr>
      </w:pPr>
    </w:p>
    <w:p w:rsidR="00D43CBE" w:rsidRPr="000D3E42" w:rsidRDefault="00D43CBE" w:rsidP="00D37BC1">
      <w:pPr>
        <w:pStyle w:val="TesisTitulo10"/>
        <w:numPr>
          <w:ilvl w:val="0"/>
          <w:numId w:val="0"/>
        </w:numPr>
        <w:spacing w:line="240" w:lineRule="auto"/>
        <w:jc w:val="center"/>
        <w:rPr>
          <w:b w:val="0"/>
          <w:sz w:val="22"/>
          <w:szCs w:val="22"/>
          <w:lang w:val="en-US"/>
        </w:rPr>
        <w:sectPr w:rsidR="00D43CBE" w:rsidRPr="000D3E42" w:rsidSect="00D37BC1">
          <w:pgSz w:w="11907" w:h="16839" w:code="9"/>
          <w:pgMar w:top="2268" w:right="1361" w:bottom="851" w:left="2268" w:header="708" w:footer="708" w:gutter="0"/>
          <w:cols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8"/>
      </w:tblGrid>
      <w:tr w:rsidR="00D43CBE" w:rsidRPr="000D3E42" w:rsidTr="0098163F">
        <w:trPr>
          <w:trHeight w:val="12016"/>
        </w:trPr>
        <w:tc>
          <w:tcPr>
            <w:tcW w:w="8418" w:type="dxa"/>
          </w:tcPr>
          <w:p w:rsidR="00D43CBE" w:rsidRPr="000D3E42" w:rsidRDefault="0098163F" w:rsidP="0069422D">
            <w:pPr>
              <w:rPr>
                <w:lang w:val="en-US"/>
              </w:rPr>
            </w:pPr>
            <w:bookmarkStart w:id="1188" w:name="_Toc339852913"/>
            <w:bookmarkStart w:id="1189" w:name="_Toc339853278"/>
            <w:r>
              <w:rPr>
                <w:noProof/>
                <w:lang w:eastAsia="es-EC"/>
              </w:rPr>
              <w:drawing>
                <wp:inline distT="0" distB="0" distL="0" distR="0" wp14:anchorId="360C0BF7" wp14:editId="0733D501">
                  <wp:extent cx="5220000" cy="2753712"/>
                  <wp:effectExtent l="0" t="0" r="0" b="0"/>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7" cstate="print"/>
                          <a:srcRect l="5769" t="10832" r="4006" b="4504"/>
                          <a:stretch/>
                        </pic:blipFill>
                        <pic:spPr bwMode="auto">
                          <a:xfrm>
                            <a:off x="0" y="0"/>
                            <a:ext cx="5220000" cy="2753712"/>
                          </a:xfrm>
                          <a:prstGeom prst="rect">
                            <a:avLst/>
                          </a:prstGeom>
                          <a:ln>
                            <a:noFill/>
                          </a:ln>
                          <a:extLst>
                            <a:ext uri="{53640926-AAD7-44D8-BBD7-CCE9431645EC}">
                              <a14:shadowObscured xmlns:a14="http://schemas.microsoft.com/office/drawing/2010/main"/>
                            </a:ext>
                          </a:extLst>
                        </pic:spPr>
                      </pic:pic>
                    </a:graphicData>
                  </a:graphic>
                </wp:inline>
              </w:drawing>
            </w:r>
            <w:bookmarkEnd w:id="1188"/>
            <w:bookmarkEnd w:id="1189"/>
          </w:p>
          <w:p w:rsidR="00D43CBE" w:rsidRPr="000D3E42" w:rsidRDefault="0098163F" w:rsidP="0069422D">
            <w:pPr>
              <w:rPr>
                <w:lang w:val="en-US"/>
              </w:rPr>
            </w:pPr>
            <w:bookmarkStart w:id="1190" w:name="_Toc339852914"/>
            <w:bookmarkStart w:id="1191" w:name="_Toc339853279"/>
            <w:r>
              <w:rPr>
                <w:noProof/>
                <w:lang w:eastAsia="es-EC"/>
              </w:rPr>
              <w:drawing>
                <wp:inline distT="0" distB="0" distL="0" distR="0" wp14:anchorId="6A7F4BC5" wp14:editId="308ABE8D">
                  <wp:extent cx="5238000" cy="2702585"/>
                  <wp:effectExtent l="0" t="0" r="0" b="0"/>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8" cstate="print"/>
                          <a:srcRect l="5769" t="13113" r="3846" b="3934"/>
                          <a:stretch/>
                        </pic:blipFill>
                        <pic:spPr bwMode="auto">
                          <a:xfrm>
                            <a:off x="0" y="0"/>
                            <a:ext cx="5238000" cy="2702585"/>
                          </a:xfrm>
                          <a:prstGeom prst="rect">
                            <a:avLst/>
                          </a:prstGeom>
                          <a:ln>
                            <a:noFill/>
                          </a:ln>
                          <a:extLst>
                            <a:ext uri="{53640926-AAD7-44D8-BBD7-CCE9431645EC}">
                              <a14:shadowObscured xmlns:a14="http://schemas.microsoft.com/office/drawing/2010/main"/>
                            </a:ext>
                          </a:extLst>
                        </pic:spPr>
                      </pic:pic>
                    </a:graphicData>
                  </a:graphic>
                </wp:inline>
              </w:drawing>
            </w:r>
            <w:bookmarkEnd w:id="1190"/>
            <w:bookmarkEnd w:id="1191"/>
          </w:p>
          <w:p w:rsidR="00D43CBE" w:rsidRPr="000D3E42" w:rsidRDefault="0098163F" w:rsidP="0069422D">
            <w:pPr>
              <w:rPr>
                <w:lang w:val="en-US"/>
              </w:rPr>
            </w:pPr>
            <w:bookmarkStart w:id="1192" w:name="_Toc339852915"/>
            <w:bookmarkStart w:id="1193" w:name="_Toc339853280"/>
            <w:r>
              <w:rPr>
                <w:noProof/>
                <w:lang w:eastAsia="es-EC"/>
              </w:rPr>
              <w:drawing>
                <wp:inline distT="0" distB="0" distL="0" distR="0" wp14:anchorId="55BCF5F9" wp14:editId="4D3527A0">
                  <wp:extent cx="5241600" cy="2118945"/>
                  <wp:effectExtent l="0" t="0" r="0" b="0"/>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9" cstate="print"/>
                          <a:srcRect l="5608" t="16819" r="4007" b="18187"/>
                          <a:stretch/>
                        </pic:blipFill>
                        <pic:spPr bwMode="auto">
                          <a:xfrm>
                            <a:off x="0" y="0"/>
                            <a:ext cx="5241600" cy="2118945"/>
                          </a:xfrm>
                          <a:prstGeom prst="rect">
                            <a:avLst/>
                          </a:prstGeom>
                          <a:ln>
                            <a:noFill/>
                          </a:ln>
                          <a:extLst>
                            <a:ext uri="{53640926-AAD7-44D8-BBD7-CCE9431645EC}">
                              <a14:shadowObscured xmlns:a14="http://schemas.microsoft.com/office/drawing/2010/main"/>
                            </a:ext>
                          </a:extLst>
                        </pic:spPr>
                      </pic:pic>
                    </a:graphicData>
                  </a:graphic>
                </wp:inline>
              </w:drawing>
            </w:r>
            <w:bookmarkEnd w:id="1192"/>
            <w:bookmarkEnd w:id="1193"/>
          </w:p>
        </w:tc>
      </w:tr>
    </w:tbl>
    <w:p w:rsidR="0098163F" w:rsidRPr="000D3E42" w:rsidRDefault="0098163F" w:rsidP="00D37BC1">
      <w:pPr>
        <w:pStyle w:val="TesisTitulo10"/>
        <w:numPr>
          <w:ilvl w:val="0"/>
          <w:numId w:val="0"/>
        </w:numPr>
        <w:spacing w:line="240" w:lineRule="auto"/>
        <w:jc w:val="center"/>
        <w:rPr>
          <w:b w:val="0"/>
          <w:sz w:val="22"/>
          <w:szCs w:val="22"/>
          <w:lang w:val="en-US"/>
        </w:rPr>
        <w:sectPr w:rsidR="0098163F" w:rsidRPr="000D3E42" w:rsidSect="00D37BC1">
          <w:pgSz w:w="11907" w:h="16839" w:code="9"/>
          <w:pgMar w:top="2268" w:right="1361" w:bottom="851" w:left="2268" w:header="708" w:footer="708" w:gutter="0"/>
          <w:cols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8"/>
      </w:tblGrid>
      <w:tr w:rsidR="0098163F" w:rsidRPr="000D3E42" w:rsidTr="0027343A">
        <w:trPr>
          <w:trHeight w:val="12016"/>
        </w:trPr>
        <w:tc>
          <w:tcPr>
            <w:tcW w:w="8418" w:type="dxa"/>
          </w:tcPr>
          <w:p w:rsidR="0098163F" w:rsidRPr="000D3E42" w:rsidRDefault="0027343A" w:rsidP="0069422D">
            <w:pPr>
              <w:rPr>
                <w:lang w:val="en-US"/>
              </w:rPr>
            </w:pPr>
            <w:bookmarkStart w:id="1194" w:name="_Toc339852916"/>
            <w:bookmarkStart w:id="1195" w:name="_Toc339853281"/>
            <w:r>
              <w:rPr>
                <w:noProof/>
                <w:lang w:eastAsia="es-EC"/>
              </w:rPr>
              <w:drawing>
                <wp:inline distT="0" distB="0" distL="0" distR="0" wp14:anchorId="0B3DFA9F" wp14:editId="63C462E7">
                  <wp:extent cx="5220000" cy="2698082"/>
                  <wp:effectExtent l="0" t="0" r="0" b="0"/>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0" cstate="print"/>
                          <a:srcRect l="5769" t="11117" r="4006" b="5929"/>
                          <a:stretch/>
                        </pic:blipFill>
                        <pic:spPr bwMode="auto">
                          <a:xfrm>
                            <a:off x="0" y="0"/>
                            <a:ext cx="5220000" cy="2698082"/>
                          </a:xfrm>
                          <a:prstGeom prst="rect">
                            <a:avLst/>
                          </a:prstGeom>
                          <a:ln>
                            <a:noFill/>
                          </a:ln>
                          <a:extLst>
                            <a:ext uri="{53640926-AAD7-44D8-BBD7-CCE9431645EC}">
                              <a14:shadowObscured xmlns:a14="http://schemas.microsoft.com/office/drawing/2010/main"/>
                            </a:ext>
                          </a:extLst>
                        </pic:spPr>
                      </pic:pic>
                    </a:graphicData>
                  </a:graphic>
                </wp:inline>
              </w:drawing>
            </w:r>
            <w:bookmarkEnd w:id="1194"/>
            <w:bookmarkEnd w:id="1195"/>
          </w:p>
          <w:p w:rsidR="0098163F" w:rsidRPr="000D3E42" w:rsidRDefault="0027343A" w:rsidP="0069422D">
            <w:pPr>
              <w:rPr>
                <w:lang w:val="en-US"/>
              </w:rPr>
            </w:pPr>
            <w:bookmarkStart w:id="1196" w:name="_Toc339852917"/>
            <w:bookmarkStart w:id="1197" w:name="_Toc339853282"/>
            <w:r>
              <w:rPr>
                <w:noProof/>
                <w:lang w:eastAsia="es-EC"/>
              </w:rPr>
              <w:drawing>
                <wp:inline distT="0" distB="0" distL="0" distR="0" wp14:anchorId="00131A27" wp14:editId="77DF02A9">
                  <wp:extent cx="5220000" cy="2735169"/>
                  <wp:effectExtent l="0" t="0" r="0" b="0"/>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1" cstate="print"/>
                          <a:srcRect l="5769" t="11117" r="4006" b="4788"/>
                          <a:stretch/>
                        </pic:blipFill>
                        <pic:spPr bwMode="auto">
                          <a:xfrm>
                            <a:off x="0" y="0"/>
                            <a:ext cx="5220000" cy="2735169"/>
                          </a:xfrm>
                          <a:prstGeom prst="rect">
                            <a:avLst/>
                          </a:prstGeom>
                          <a:ln>
                            <a:noFill/>
                          </a:ln>
                          <a:extLst>
                            <a:ext uri="{53640926-AAD7-44D8-BBD7-CCE9431645EC}">
                              <a14:shadowObscured xmlns:a14="http://schemas.microsoft.com/office/drawing/2010/main"/>
                            </a:ext>
                          </a:extLst>
                        </pic:spPr>
                      </pic:pic>
                    </a:graphicData>
                  </a:graphic>
                </wp:inline>
              </w:drawing>
            </w:r>
            <w:bookmarkEnd w:id="1196"/>
            <w:bookmarkEnd w:id="1197"/>
          </w:p>
          <w:p w:rsidR="0098163F" w:rsidRPr="000D3E42" w:rsidRDefault="0027343A" w:rsidP="0069422D">
            <w:pPr>
              <w:rPr>
                <w:lang w:val="en-US"/>
              </w:rPr>
            </w:pPr>
            <w:bookmarkStart w:id="1198" w:name="_Toc339852918"/>
            <w:bookmarkStart w:id="1199" w:name="_Toc339853283"/>
            <w:r>
              <w:rPr>
                <w:noProof/>
                <w:lang w:eastAsia="es-EC"/>
              </w:rPr>
              <w:drawing>
                <wp:inline distT="0" distB="0" distL="0" distR="0" wp14:anchorId="41760BF3" wp14:editId="68B548CF">
                  <wp:extent cx="5184000" cy="2167687"/>
                  <wp:effectExtent l="0" t="0" r="0" b="0"/>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2" cstate="print"/>
                          <a:srcRect l="5769" t="18530" r="4167" b="14480"/>
                          <a:stretch/>
                        </pic:blipFill>
                        <pic:spPr bwMode="auto">
                          <a:xfrm>
                            <a:off x="0" y="0"/>
                            <a:ext cx="5184000" cy="2167687"/>
                          </a:xfrm>
                          <a:prstGeom prst="rect">
                            <a:avLst/>
                          </a:prstGeom>
                          <a:ln>
                            <a:noFill/>
                          </a:ln>
                          <a:extLst>
                            <a:ext uri="{53640926-AAD7-44D8-BBD7-CCE9431645EC}">
                              <a14:shadowObscured xmlns:a14="http://schemas.microsoft.com/office/drawing/2010/main"/>
                            </a:ext>
                          </a:extLst>
                        </pic:spPr>
                      </pic:pic>
                    </a:graphicData>
                  </a:graphic>
                </wp:inline>
              </w:drawing>
            </w:r>
            <w:bookmarkEnd w:id="1198"/>
            <w:bookmarkEnd w:id="1199"/>
          </w:p>
        </w:tc>
      </w:tr>
    </w:tbl>
    <w:p w:rsidR="0027343A" w:rsidRPr="000D3E42" w:rsidRDefault="0027343A" w:rsidP="00D37BC1">
      <w:pPr>
        <w:pStyle w:val="TesisTitulo10"/>
        <w:numPr>
          <w:ilvl w:val="0"/>
          <w:numId w:val="0"/>
        </w:numPr>
        <w:spacing w:line="240" w:lineRule="auto"/>
        <w:jc w:val="center"/>
        <w:rPr>
          <w:b w:val="0"/>
          <w:sz w:val="22"/>
          <w:szCs w:val="22"/>
          <w:lang w:val="en-US"/>
        </w:rPr>
        <w:sectPr w:rsidR="0027343A" w:rsidRPr="000D3E42" w:rsidSect="00D37BC1">
          <w:pgSz w:w="11907" w:h="16839" w:code="9"/>
          <w:pgMar w:top="2268" w:right="1361" w:bottom="851" w:left="2268" w:header="708" w:footer="708" w:gutter="0"/>
          <w:cols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8"/>
      </w:tblGrid>
      <w:tr w:rsidR="0027343A" w:rsidRPr="000D3E42" w:rsidTr="00F76260">
        <w:trPr>
          <w:trHeight w:val="12016"/>
        </w:trPr>
        <w:tc>
          <w:tcPr>
            <w:tcW w:w="8418" w:type="dxa"/>
          </w:tcPr>
          <w:p w:rsidR="0027343A" w:rsidRPr="000D3E42" w:rsidRDefault="00A32EF6" w:rsidP="0069422D">
            <w:pPr>
              <w:rPr>
                <w:lang w:val="en-US"/>
              </w:rPr>
            </w:pPr>
            <w:bookmarkStart w:id="1200" w:name="_Toc339852919"/>
            <w:bookmarkStart w:id="1201" w:name="_Toc339853284"/>
            <w:r>
              <w:rPr>
                <w:noProof/>
                <w:lang w:eastAsia="es-EC"/>
              </w:rPr>
              <w:drawing>
                <wp:inline distT="0" distB="0" distL="0" distR="0" wp14:anchorId="0DB71DBF" wp14:editId="44FCD51E">
                  <wp:extent cx="5220000" cy="2729894"/>
                  <wp:effectExtent l="0" t="0" r="0" b="0"/>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3" cstate="print"/>
                          <a:srcRect l="5609" t="11117" r="3686" b="4503"/>
                          <a:stretch/>
                        </pic:blipFill>
                        <pic:spPr bwMode="auto">
                          <a:xfrm>
                            <a:off x="0" y="0"/>
                            <a:ext cx="5220000" cy="2729894"/>
                          </a:xfrm>
                          <a:prstGeom prst="rect">
                            <a:avLst/>
                          </a:prstGeom>
                          <a:ln>
                            <a:noFill/>
                          </a:ln>
                          <a:extLst>
                            <a:ext uri="{53640926-AAD7-44D8-BBD7-CCE9431645EC}">
                              <a14:shadowObscured xmlns:a14="http://schemas.microsoft.com/office/drawing/2010/main"/>
                            </a:ext>
                          </a:extLst>
                        </pic:spPr>
                      </pic:pic>
                    </a:graphicData>
                  </a:graphic>
                </wp:inline>
              </w:drawing>
            </w:r>
            <w:bookmarkEnd w:id="1200"/>
            <w:bookmarkEnd w:id="1201"/>
          </w:p>
          <w:p w:rsidR="0027343A" w:rsidRPr="000D3E42" w:rsidRDefault="00A32EF6" w:rsidP="0069422D">
            <w:pPr>
              <w:rPr>
                <w:lang w:val="en-US"/>
              </w:rPr>
            </w:pPr>
            <w:bookmarkStart w:id="1202" w:name="_Toc339852920"/>
            <w:bookmarkStart w:id="1203" w:name="_Toc339853285"/>
            <w:r>
              <w:rPr>
                <w:noProof/>
                <w:lang w:eastAsia="es-EC"/>
              </w:rPr>
              <w:drawing>
                <wp:inline distT="0" distB="0" distL="0" distR="0" wp14:anchorId="3288CA99" wp14:editId="44D11C3C">
                  <wp:extent cx="5181600" cy="2200275"/>
                  <wp:effectExtent l="0" t="0" r="0" b="0"/>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4" cstate="print"/>
                          <a:srcRect l="5608" t="16818" r="4007" b="14910"/>
                          <a:stretch/>
                        </pic:blipFill>
                        <pic:spPr bwMode="auto">
                          <a:xfrm>
                            <a:off x="0" y="0"/>
                            <a:ext cx="5184000" cy="2201294"/>
                          </a:xfrm>
                          <a:prstGeom prst="rect">
                            <a:avLst/>
                          </a:prstGeom>
                          <a:ln>
                            <a:noFill/>
                          </a:ln>
                          <a:extLst>
                            <a:ext uri="{53640926-AAD7-44D8-BBD7-CCE9431645EC}">
                              <a14:shadowObscured xmlns:a14="http://schemas.microsoft.com/office/drawing/2010/main"/>
                            </a:ext>
                          </a:extLst>
                        </pic:spPr>
                      </pic:pic>
                    </a:graphicData>
                  </a:graphic>
                </wp:inline>
              </w:drawing>
            </w:r>
            <w:bookmarkEnd w:id="1202"/>
            <w:bookmarkEnd w:id="1203"/>
          </w:p>
          <w:p w:rsidR="0027343A" w:rsidRPr="000D3E42" w:rsidRDefault="00F76260" w:rsidP="0069422D">
            <w:pPr>
              <w:rPr>
                <w:lang w:val="en-US"/>
              </w:rPr>
            </w:pPr>
            <w:bookmarkStart w:id="1204" w:name="_Toc339852921"/>
            <w:bookmarkStart w:id="1205" w:name="_Toc339853286"/>
            <w:r>
              <w:rPr>
                <w:noProof/>
                <w:lang w:eastAsia="es-EC"/>
              </w:rPr>
              <w:drawing>
                <wp:inline distT="0" distB="0" distL="0" distR="0" wp14:anchorId="2534FCAB" wp14:editId="7CCE01E9">
                  <wp:extent cx="5200650" cy="2624619"/>
                  <wp:effectExtent l="0" t="0" r="0" b="0"/>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5" cstate="print"/>
                          <a:srcRect l="5608" t="13644" r="3846" b="5073"/>
                          <a:stretch/>
                        </pic:blipFill>
                        <pic:spPr bwMode="auto">
                          <a:xfrm>
                            <a:off x="0" y="0"/>
                            <a:ext cx="5202000" cy="2625300"/>
                          </a:xfrm>
                          <a:prstGeom prst="rect">
                            <a:avLst/>
                          </a:prstGeom>
                          <a:ln>
                            <a:noFill/>
                          </a:ln>
                          <a:extLst>
                            <a:ext uri="{53640926-AAD7-44D8-BBD7-CCE9431645EC}">
                              <a14:shadowObscured xmlns:a14="http://schemas.microsoft.com/office/drawing/2010/main"/>
                            </a:ext>
                          </a:extLst>
                        </pic:spPr>
                      </pic:pic>
                    </a:graphicData>
                  </a:graphic>
                </wp:inline>
              </w:drawing>
            </w:r>
            <w:bookmarkEnd w:id="1204"/>
            <w:bookmarkEnd w:id="1205"/>
          </w:p>
        </w:tc>
      </w:tr>
    </w:tbl>
    <w:p w:rsidR="00F76260" w:rsidRPr="000D3E42" w:rsidRDefault="00F76260" w:rsidP="00D37BC1">
      <w:pPr>
        <w:pStyle w:val="TesisTitulo10"/>
        <w:numPr>
          <w:ilvl w:val="0"/>
          <w:numId w:val="0"/>
        </w:numPr>
        <w:spacing w:line="240" w:lineRule="auto"/>
        <w:jc w:val="center"/>
        <w:rPr>
          <w:b w:val="0"/>
          <w:sz w:val="22"/>
          <w:szCs w:val="22"/>
          <w:lang w:val="en-US"/>
        </w:rPr>
        <w:sectPr w:rsidR="00F76260" w:rsidRPr="000D3E42" w:rsidSect="00D37BC1">
          <w:pgSz w:w="11907" w:h="16839" w:code="9"/>
          <w:pgMar w:top="2268" w:right="1361" w:bottom="851" w:left="2268" w:header="708" w:footer="708" w:gutter="0"/>
          <w:cols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8"/>
      </w:tblGrid>
      <w:tr w:rsidR="00F76260" w:rsidRPr="000D3E42" w:rsidTr="00BC2FDA">
        <w:trPr>
          <w:trHeight w:val="12016"/>
        </w:trPr>
        <w:tc>
          <w:tcPr>
            <w:tcW w:w="8418" w:type="dxa"/>
          </w:tcPr>
          <w:p w:rsidR="00F76260" w:rsidRPr="000D3E42" w:rsidRDefault="00BC2FDA" w:rsidP="0069422D">
            <w:pPr>
              <w:rPr>
                <w:lang w:val="en-US"/>
              </w:rPr>
            </w:pPr>
            <w:bookmarkStart w:id="1206" w:name="_Toc339852922"/>
            <w:bookmarkStart w:id="1207" w:name="_Toc339853287"/>
            <w:r>
              <w:rPr>
                <w:noProof/>
                <w:lang w:eastAsia="es-EC"/>
              </w:rPr>
              <w:drawing>
                <wp:inline distT="0" distB="0" distL="0" distR="0" wp14:anchorId="062C4707" wp14:editId="6BAD82ED">
                  <wp:extent cx="5219700" cy="2590800"/>
                  <wp:effectExtent l="0" t="0" r="0" b="0"/>
                  <wp:docPr id="435"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6" cstate="print"/>
                          <a:srcRect l="5609" t="12258" r="3686" b="7658"/>
                          <a:stretch/>
                        </pic:blipFill>
                        <pic:spPr bwMode="auto">
                          <a:xfrm>
                            <a:off x="0" y="0"/>
                            <a:ext cx="5220000" cy="2590949"/>
                          </a:xfrm>
                          <a:prstGeom prst="rect">
                            <a:avLst/>
                          </a:prstGeom>
                          <a:ln>
                            <a:noFill/>
                          </a:ln>
                          <a:extLst>
                            <a:ext uri="{53640926-AAD7-44D8-BBD7-CCE9431645EC}">
                              <a14:shadowObscured xmlns:a14="http://schemas.microsoft.com/office/drawing/2010/main"/>
                            </a:ext>
                          </a:extLst>
                        </pic:spPr>
                      </pic:pic>
                    </a:graphicData>
                  </a:graphic>
                </wp:inline>
              </w:drawing>
            </w:r>
            <w:bookmarkEnd w:id="1206"/>
            <w:bookmarkEnd w:id="1207"/>
          </w:p>
          <w:p w:rsidR="00F76260" w:rsidRPr="000D3E42" w:rsidRDefault="00BC2FDA" w:rsidP="0069422D">
            <w:pPr>
              <w:rPr>
                <w:lang w:val="en-US"/>
              </w:rPr>
            </w:pPr>
            <w:bookmarkStart w:id="1208" w:name="_Toc339852923"/>
            <w:bookmarkStart w:id="1209" w:name="_Toc339853288"/>
            <w:r>
              <w:rPr>
                <w:noProof/>
                <w:lang w:eastAsia="es-EC"/>
              </w:rPr>
              <w:drawing>
                <wp:inline distT="0" distB="0" distL="0" distR="0" wp14:anchorId="7A849E74" wp14:editId="4CBFB89C">
                  <wp:extent cx="5200650" cy="2643669"/>
                  <wp:effectExtent l="0" t="0" r="0" b="0"/>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7" cstate="print"/>
                          <a:srcRect l="5608" t="13624" r="3846" b="4504"/>
                          <a:stretch/>
                        </pic:blipFill>
                        <pic:spPr bwMode="auto">
                          <a:xfrm>
                            <a:off x="0" y="0"/>
                            <a:ext cx="5200650" cy="2643669"/>
                          </a:xfrm>
                          <a:prstGeom prst="rect">
                            <a:avLst/>
                          </a:prstGeom>
                          <a:ln>
                            <a:noFill/>
                          </a:ln>
                          <a:extLst>
                            <a:ext uri="{53640926-AAD7-44D8-BBD7-CCE9431645EC}">
                              <a14:shadowObscured xmlns:a14="http://schemas.microsoft.com/office/drawing/2010/main"/>
                            </a:ext>
                          </a:extLst>
                        </pic:spPr>
                      </pic:pic>
                    </a:graphicData>
                  </a:graphic>
                </wp:inline>
              </w:drawing>
            </w:r>
            <w:bookmarkEnd w:id="1208"/>
            <w:bookmarkEnd w:id="1209"/>
          </w:p>
          <w:p w:rsidR="00F76260" w:rsidRPr="000D3E42" w:rsidRDefault="00BC2FDA" w:rsidP="0069422D">
            <w:pPr>
              <w:rPr>
                <w:lang w:val="en-US"/>
              </w:rPr>
            </w:pPr>
            <w:bookmarkStart w:id="1210" w:name="_Toc339852924"/>
            <w:bookmarkStart w:id="1211" w:name="_Toc339853289"/>
            <w:r>
              <w:rPr>
                <w:noProof/>
                <w:lang w:eastAsia="es-EC"/>
              </w:rPr>
              <w:drawing>
                <wp:inline distT="0" distB="0" distL="0" distR="0" wp14:anchorId="721A04DF" wp14:editId="6B39D4CC">
                  <wp:extent cx="5202000" cy="2283356"/>
                  <wp:effectExtent l="0" t="0" r="0" b="0"/>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8" cstate="print"/>
                          <a:srcRect l="5608" t="21095" r="3846" b="8210"/>
                          <a:stretch/>
                        </pic:blipFill>
                        <pic:spPr bwMode="auto">
                          <a:xfrm>
                            <a:off x="0" y="0"/>
                            <a:ext cx="5202000" cy="2283356"/>
                          </a:xfrm>
                          <a:prstGeom prst="rect">
                            <a:avLst/>
                          </a:prstGeom>
                          <a:ln>
                            <a:noFill/>
                          </a:ln>
                          <a:extLst>
                            <a:ext uri="{53640926-AAD7-44D8-BBD7-CCE9431645EC}">
                              <a14:shadowObscured xmlns:a14="http://schemas.microsoft.com/office/drawing/2010/main"/>
                            </a:ext>
                          </a:extLst>
                        </pic:spPr>
                      </pic:pic>
                    </a:graphicData>
                  </a:graphic>
                </wp:inline>
              </w:drawing>
            </w:r>
            <w:bookmarkEnd w:id="1210"/>
            <w:bookmarkEnd w:id="1211"/>
          </w:p>
        </w:tc>
      </w:tr>
    </w:tbl>
    <w:p w:rsidR="00D37BC1" w:rsidRPr="000D3E42" w:rsidRDefault="00D37BC1" w:rsidP="00D37BC1">
      <w:pPr>
        <w:pStyle w:val="TesisTitulo10"/>
        <w:numPr>
          <w:ilvl w:val="0"/>
          <w:numId w:val="0"/>
        </w:numPr>
        <w:spacing w:line="240" w:lineRule="auto"/>
        <w:jc w:val="center"/>
        <w:rPr>
          <w:b w:val="0"/>
          <w:sz w:val="22"/>
          <w:szCs w:val="22"/>
          <w:lang w:val="en-US"/>
        </w:rPr>
      </w:pPr>
    </w:p>
    <w:p w:rsidR="00B1713E" w:rsidRDefault="00B1713E" w:rsidP="00B1713E">
      <w:pPr>
        <w:pStyle w:val="TesisTitulo10"/>
        <w:numPr>
          <w:ilvl w:val="0"/>
          <w:numId w:val="0"/>
        </w:numPr>
        <w:ind w:left="567"/>
      </w:pPr>
      <w:r>
        <w:br w:type="page"/>
      </w:r>
    </w:p>
    <w:p w:rsidR="00B1713E" w:rsidRPr="00471EC3" w:rsidRDefault="006933DF" w:rsidP="00B1713E">
      <w:pPr>
        <w:pStyle w:val="TesisTitulo10"/>
        <w:numPr>
          <w:ilvl w:val="0"/>
          <w:numId w:val="0"/>
        </w:numPr>
        <w:jc w:val="center"/>
      </w:pPr>
      <w:bookmarkStart w:id="1212" w:name="_Toc341040769"/>
      <w:r>
        <w:t>ANEXO</w:t>
      </w:r>
      <w:r w:rsidR="00B1713E">
        <w:t xml:space="preserve"> A.2: Definiciones</w:t>
      </w:r>
      <w:bookmarkEnd w:id="1212"/>
    </w:p>
    <w:p w:rsidR="00C80AB3" w:rsidRPr="00C80AB3" w:rsidRDefault="00C80AB3" w:rsidP="00C80AB3">
      <w:pPr>
        <w:pStyle w:val="Prrafodelista"/>
        <w:spacing w:line="480" w:lineRule="auto"/>
        <w:ind w:left="284"/>
        <w:jc w:val="both"/>
        <w:rPr>
          <w:rFonts w:ascii="Arial" w:hAnsi="Arial" w:cs="Arial"/>
        </w:rPr>
      </w:pPr>
    </w:p>
    <w:p w:rsidR="00B1713E" w:rsidRDefault="00B1713E" w:rsidP="0041640C">
      <w:pPr>
        <w:pStyle w:val="Prrafodelista"/>
        <w:numPr>
          <w:ilvl w:val="0"/>
          <w:numId w:val="6"/>
        </w:numPr>
        <w:spacing w:line="480" w:lineRule="auto"/>
        <w:ind w:left="284" w:hanging="284"/>
        <w:jc w:val="both"/>
        <w:rPr>
          <w:rFonts w:ascii="Arial" w:hAnsi="Arial" w:cs="Arial"/>
        </w:rPr>
      </w:pPr>
      <w:r w:rsidRPr="00505561">
        <w:rPr>
          <w:rFonts w:ascii="Arial" w:hAnsi="Arial" w:cs="Arial"/>
          <w:b/>
          <w:i/>
        </w:rPr>
        <w:t>Migración</w:t>
      </w:r>
      <w:r w:rsidRPr="00FE3FE2">
        <w:rPr>
          <w:rStyle w:val="Refdenotaalpie"/>
          <w:rFonts w:ascii="Arial" w:hAnsi="Arial" w:cs="Arial"/>
        </w:rPr>
        <w:footnoteReference w:id="43"/>
      </w:r>
      <w:r w:rsidRPr="00505561">
        <w:rPr>
          <w:rFonts w:ascii="Arial" w:hAnsi="Arial" w:cs="Arial"/>
        </w:rPr>
        <w:t>, es el movimiento de personas que deciden salir de su lugar de origen para residir en otro, ya sea una comunidad, estado o país por un tiempo considerado.</w:t>
      </w:r>
    </w:p>
    <w:p w:rsidR="00B1713E" w:rsidRDefault="00B1713E" w:rsidP="0041640C">
      <w:pPr>
        <w:pStyle w:val="Prrafodelista"/>
        <w:numPr>
          <w:ilvl w:val="0"/>
          <w:numId w:val="6"/>
        </w:numPr>
        <w:spacing w:line="480" w:lineRule="auto"/>
        <w:ind w:left="284" w:hanging="284"/>
        <w:jc w:val="both"/>
        <w:rPr>
          <w:rFonts w:ascii="Arial" w:hAnsi="Arial" w:cs="Arial"/>
        </w:rPr>
      </w:pPr>
      <w:r w:rsidRPr="00505561">
        <w:rPr>
          <w:rFonts w:ascii="Arial" w:hAnsi="Arial" w:cs="Arial"/>
          <w:b/>
          <w:i/>
        </w:rPr>
        <w:t>Migración interna</w:t>
      </w:r>
      <w:r w:rsidRPr="00FE3FE2">
        <w:rPr>
          <w:rStyle w:val="Refdenotaalpie"/>
          <w:rFonts w:ascii="Arial" w:hAnsi="Arial" w:cs="Arial"/>
        </w:rPr>
        <w:footnoteReference w:id="44"/>
      </w:r>
      <w:r w:rsidRPr="00505561">
        <w:rPr>
          <w:rFonts w:ascii="Arial" w:hAnsi="Arial" w:cs="Arial"/>
        </w:rPr>
        <w:t>, es el movimiento de personas dentro del mismo país de origen del migrante, es decir, el cambio de residencia se da de una provincia, ciudad o cantón a otra.</w:t>
      </w:r>
    </w:p>
    <w:p w:rsidR="00B1713E" w:rsidRDefault="00B1713E" w:rsidP="0041640C">
      <w:pPr>
        <w:pStyle w:val="Prrafodelista"/>
        <w:numPr>
          <w:ilvl w:val="0"/>
          <w:numId w:val="6"/>
        </w:numPr>
        <w:spacing w:line="480" w:lineRule="auto"/>
        <w:ind w:left="284" w:hanging="284"/>
        <w:jc w:val="both"/>
        <w:rPr>
          <w:rFonts w:ascii="Arial" w:hAnsi="Arial" w:cs="Arial"/>
        </w:rPr>
      </w:pPr>
      <w:r w:rsidRPr="00505561">
        <w:rPr>
          <w:rFonts w:ascii="Arial" w:hAnsi="Arial" w:cs="Arial"/>
          <w:b/>
          <w:i/>
        </w:rPr>
        <w:t>Migración internacional</w:t>
      </w:r>
      <w:r w:rsidRPr="00FE3FE2">
        <w:rPr>
          <w:rStyle w:val="Refdenotaalpie"/>
          <w:rFonts w:ascii="Arial" w:hAnsi="Arial" w:cs="Arial"/>
        </w:rPr>
        <w:footnoteReference w:id="45"/>
      </w:r>
      <w:r w:rsidRPr="00505561">
        <w:rPr>
          <w:rFonts w:ascii="Arial" w:hAnsi="Arial" w:cs="Arial"/>
        </w:rPr>
        <w:t>, es el movimiento de personas que cruzan fronteras internacionales con el fin de establecerse en otro país, incluso temporalmente.</w:t>
      </w:r>
    </w:p>
    <w:p w:rsidR="00B1713E" w:rsidRDefault="00B1713E" w:rsidP="0041640C">
      <w:pPr>
        <w:pStyle w:val="Prrafodelista"/>
        <w:numPr>
          <w:ilvl w:val="0"/>
          <w:numId w:val="6"/>
        </w:numPr>
        <w:spacing w:line="480" w:lineRule="auto"/>
        <w:ind w:left="284" w:hanging="284"/>
        <w:jc w:val="both"/>
        <w:rPr>
          <w:rFonts w:ascii="Arial" w:hAnsi="Arial" w:cs="Arial"/>
        </w:rPr>
      </w:pPr>
      <w:r w:rsidRPr="00505561">
        <w:rPr>
          <w:rFonts w:ascii="Arial" w:hAnsi="Arial" w:cs="Arial"/>
          <w:b/>
          <w:i/>
        </w:rPr>
        <w:t>Emigración</w:t>
      </w:r>
      <w:r w:rsidRPr="00505561">
        <w:rPr>
          <w:rFonts w:ascii="Arial" w:hAnsi="Arial" w:cs="Arial"/>
        </w:rPr>
        <w:t>, es el proceso de salir de un país, región o ciudad para residir en otro; y está relacionado con la zona de origen.</w:t>
      </w:r>
    </w:p>
    <w:p w:rsidR="00B1713E" w:rsidRDefault="00B1713E" w:rsidP="0041640C">
      <w:pPr>
        <w:pStyle w:val="Prrafodelista"/>
        <w:numPr>
          <w:ilvl w:val="0"/>
          <w:numId w:val="6"/>
        </w:numPr>
        <w:spacing w:line="480" w:lineRule="auto"/>
        <w:ind w:left="284" w:hanging="284"/>
        <w:jc w:val="both"/>
        <w:rPr>
          <w:rFonts w:ascii="Arial" w:hAnsi="Arial" w:cs="Arial"/>
        </w:rPr>
      </w:pPr>
      <w:r w:rsidRPr="00505561">
        <w:rPr>
          <w:rFonts w:ascii="Arial" w:hAnsi="Arial" w:cs="Arial"/>
          <w:b/>
          <w:i/>
        </w:rPr>
        <w:t>Inmigración</w:t>
      </w:r>
      <w:r w:rsidRPr="00505561">
        <w:rPr>
          <w:rFonts w:ascii="Arial" w:hAnsi="Arial" w:cs="Arial"/>
        </w:rPr>
        <w:t>, es todo traslado con respecto a la zona de destino.</w:t>
      </w:r>
    </w:p>
    <w:p w:rsidR="00B1713E" w:rsidRDefault="00B1713E" w:rsidP="0041640C">
      <w:pPr>
        <w:pStyle w:val="Prrafodelista"/>
        <w:numPr>
          <w:ilvl w:val="0"/>
          <w:numId w:val="6"/>
        </w:numPr>
        <w:spacing w:line="480" w:lineRule="auto"/>
        <w:ind w:left="284" w:hanging="284"/>
        <w:jc w:val="both"/>
        <w:rPr>
          <w:rFonts w:ascii="Arial" w:hAnsi="Arial" w:cs="Arial"/>
        </w:rPr>
      </w:pPr>
      <w:r w:rsidRPr="00505561">
        <w:rPr>
          <w:rFonts w:ascii="Arial" w:hAnsi="Arial" w:cs="Arial"/>
          <w:b/>
          <w:i/>
        </w:rPr>
        <w:t>Población pendular</w:t>
      </w:r>
      <w:r w:rsidRPr="00505561">
        <w:rPr>
          <w:rFonts w:ascii="Arial" w:hAnsi="Arial" w:cs="Arial"/>
        </w:rPr>
        <w:t>, es el grupo de personas que usualmente se traslada de su lugar de residencia habitual hacia otro cantón y/o provincia por motivos de trabajo, estudios, salud u otros.</w:t>
      </w:r>
    </w:p>
    <w:p w:rsidR="00B1713E" w:rsidRDefault="00B1713E" w:rsidP="0041640C">
      <w:pPr>
        <w:pStyle w:val="Prrafodelista"/>
        <w:numPr>
          <w:ilvl w:val="0"/>
          <w:numId w:val="6"/>
        </w:numPr>
        <w:spacing w:line="480" w:lineRule="auto"/>
        <w:ind w:left="284" w:hanging="284"/>
        <w:jc w:val="both"/>
        <w:rPr>
          <w:rFonts w:ascii="Arial" w:hAnsi="Arial" w:cs="Arial"/>
        </w:rPr>
      </w:pPr>
      <w:r w:rsidRPr="00505561">
        <w:rPr>
          <w:rFonts w:ascii="Arial" w:hAnsi="Arial" w:cs="Arial"/>
          <w:b/>
          <w:i/>
        </w:rPr>
        <w:t>Población flotante</w:t>
      </w:r>
      <w:r w:rsidRPr="00402486">
        <w:rPr>
          <w:rStyle w:val="Refdenotaalpie"/>
        </w:rPr>
        <w:footnoteReference w:id="46"/>
      </w:r>
      <w:r w:rsidRPr="00505561">
        <w:rPr>
          <w:rFonts w:ascii="Arial" w:hAnsi="Arial" w:cs="Arial"/>
        </w:rPr>
        <w:t>, es el grupo de personas que viajan de un lugar a otro y se encuentran en un momento dado en un lugar, independientemente del tiempo que tienen de vivir en el mismo, pero cuyo lugar de residencia habitual no es ese.</w:t>
      </w:r>
    </w:p>
    <w:p w:rsidR="00B1713E" w:rsidRDefault="00B1713E" w:rsidP="0041640C">
      <w:pPr>
        <w:pStyle w:val="Prrafodelista"/>
        <w:numPr>
          <w:ilvl w:val="0"/>
          <w:numId w:val="6"/>
        </w:numPr>
        <w:spacing w:line="480" w:lineRule="auto"/>
        <w:ind w:left="284" w:hanging="284"/>
        <w:jc w:val="both"/>
        <w:rPr>
          <w:rFonts w:ascii="Arial" w:hAnsi="Arial" w:cs="Arial"/>
        </w:rPr>
      </w:pPr>
      <w:r w:rsidRPr="00505561">
        <w:rPr>
          <w:rFonts w:ascii="Arial" w:hAnsi="Arial" w:cs="Arial"/>
          <w:b/>
          <w:i/>
        </w:rPr>
        <w:t>Migración Neta o Saldo Migratorio</w:t>
      </w:r>
      <w:r w:rsidRPr="00505561">
        <w:rPr>
          <w:rFonts w:ascii="Arial" w:hAnsi="Arial" w:cs="Arial"/>
        </w:rPr>
        <w:t>, es la diferencia entre el número total de inmigrantes y emigrantes.</w:t>
      </w:r>
    </w:p>
    <w:p w:rsidR="00B1713E" w:rsidRDefault="00B1713E" w:rsidP="0041640C">
      <w:pPr>
        <w:pStyle w:val="Prrafodelista"/>
        <w:numPr>
          <w:ilvl w:val="0"/>
          <w:numId w:val="6"/>
        </w:numPr>
        <w:spacing w:line="480" w:lineRule="auto"/>
        <w:ind w:left="284" w:hanging="284"/>
        <w:jc w:val="both"/>
        <w:rPr>
          <w:rFonts w:ascii="Arial" w:hAnsi="Arial" w:cs="Arial"/>
        </w:rPr>
      </w:pPr>
      <w:r w:rsidRPr="00505561">
        <w:rPr>
          <w:rFonts w:ascii="Arial" w:hAnsi="Arial" w:cs="Arial"/>
          <w:b/>
          <w:i/>
        </w:rPr>
        <w:t>Matriz de Migración</w:t>
      </w:r>
      <w:r w:rsidRPr="0051373B">
        <w:rPr>
          <w:rStyle w:val="Refdenotaalpie"/>
          <w:rFonts w:ascii="Arial" w:hAnsi="Arial" w:cs="Arial"/>
        </w:rPr>
        <w:footnoteReference w:id="47"/>
      </w:r>
      <w:r w:rsidRPr="0051373B">
        <w:rPr>
          <w:rFonts w:ascii="Arial" w:hAnsi="Arial" w:cs="Arial"/>
        </w:rPr>
        <w:t>, una matriz u ordenamiento rectangular donde las filas y colum</w:t>
      </w:r>
      <w:r w:rsidRPr="00505561">
        <w:rPr>
          <w:rFonts w:ascii="Arial" w:hAnsi="Arial" w:cs="Arial"/>
        </w:rPr>
        <w:t>nas representan los lugares de origen y destino de la población</w:t>
      </w:r>
      <w:r>
        <w:rPr>
          <w:rFonts w:ascii="Arial" w:hAnsi="Arial" w:cs="Arial"/>
        </w:rPr>
        <w:t>, donde el lugar de origen podría ser el lugar de nacimiento o el lugar donde residía en algún momento específico anterior.</w:t>
      </w:r>
    </w:p>
    <w:tbl>
      <w:tblPr>
        <w:tblW w:w="6531" w:type="dxa"/>
        <w:jc w:val="center"/>
        <w:tblCellSpacing w:w="15" w:type="dxa"/>
        <w:tblInd w:w="-123"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257"/>
        <w:gridCol w:w="879"/>
        <w:gridCol w:w="879"/>
        <w:gridCol w:w="879"/>
        <w:gridCol w:w="879"/>
        <w:gridCol w:w="879"/>
        <w:gridCol w:w="879"/>
      </w:tblGrid>
      <w:tr w:rsidR="00B1713E" w:rsidRPr="004D53EA" w:rsidTr="00B1713E">
        <w:trPr>
          <w:trHeight w:val="227"/>
          <w:tblCellSpacing w:w="15" w:type="dxa"/>
          <w:jc w:val="center"/>
        </w:trPr>
        <w:tc>
          <w:tcPr>
            <w:tcW w:w="6471" w:type="dxa"/>
            <w:gridSpan w:val="7"/>
            <w:tcBorders>
              <w:top w:val="nil"/>
              <w:bottom w:val="single" w:sz="4" w:space="0" w:color="auto"/>
            </w:tcBorders>
            <w:shd w:val="clear" w:color="auto" w:fill="auto"/>
            <w:vAlign w:val="center"/>
          </w:tcPr>
          <w:p w:rsidR="00B1713E" w:rsidRDefault="00B1713E" w:rsidP="00B1713E">
            <w:pPr>
              <w:ind w:left="284"/>
              <w:rPr>
                <w:rFonts w:ascii="Arial" w:hAnsi="Arial" w:cs="Arial"/>
                <w:b/>
                <w:bCs/>
                <w:sz w:val="16"/>
                <w:szCs w:val="16"/>
              </w:rPr>
            </w:pPr>
            <w:r w:rsidRPr="004D53EA">
              <w:rPr>
                <w:rFonts w:ascii="Arial" w:hAnsi="Arial" w:cs="Arial"/>
                <w:b/>
                <w:bCs/>
                <w:sz w:val="16"/>
                <w:szCs w:val="16"/>
              </w:rPr>
              <w:t xml:space="preserve">Distribución de la población de acuerdo con la localidad </w:t>
            </w:r>
          </w:p>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de residencia actual y anterior</w:t>
            </w:r>
          </w:p>
        </w:tc>
      </w:tr>
      <w:tr w:rsidR="00B1713E" w:rsidRPr="004D53EA" w:rsidTr="00B1713E">
        <w:trPr>
          <w:trHeight w:val="227"/>
          <w:tblCellSpacing w:w="15" w:type="dxa"/>
          <w:jc w:val="center"/>
        </w:trPr>
        <w:tc>
          <w:tcPr>
            <w:tcW w:w="1212" w:type="dxa"/>
            <w:vMerge w:val="restart"/>
            <w:tcBorders>
              <w:top w:val="nil"/>
              <w:bottom w:val="single" w:sz="4" w:space="0" w:color="auto"/>
            </w:tcBorders>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Localidad de residencia actual</w:t>
            </w:r>
          </w:p>
        </w:tc>
        <w:tc>
          <w:tcPr>
            <w:tcW w:w="5229" w:type="dxa"/>
            <w:gridSpan w:val="6"/>
            <w:tcBorders>
              <w:top w:val="nil"/>
              <w:bottom w:val="single" w:sz="4" w:space="0" w:color="auto"/>
            </w:tcBorders>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Localidad de residencia pasada</w:t>
            </w:r>
          </w:p>
        </w:tc>
      </w:tr>
      <w:tr w:rsidR="00B1713E" w:rsidRPr="004D53EA" w:rsidTr="00B1713E">
        <w:trPr>
          <w:trHeight w:val="227"/>
          <w:tblCellSpacing w:w="15" w:type="dxa"/>
          <w:jc w:val="center"/>
        </w:trPr>
        <w:tc>
          <w:tcPr>
            <w:tcW w:w="1212" w:type="dxa"/>
            <w:vMerge/>
            <w:tcBorders>
              <w:top w:val="single" w:sz="4" w:space="0" w:color="auto"/>
              <w:bottom w:val="single" w:sz="4" w:space="0" w:color="auto"/>
            </w:tcBorders>
            <w:shd w:val="clear" w:color="auto" w:fill="auto"/>
            <w:vAlign w:val="center"/>
          </w:tcPr>
          <w:p w:rsidR="00B1713E" w:rsidRPr="004D53EA" w:rsidRDefault="00B1713E" w:rsidP="00B1713E">
            <w:pPr>
              <w:ind w:left="284"/>
              <w:rPr>
                <w:rFonts w:ascii="Arial" w:eastAsia="Arial Unicode MS" w:hAnsi="Arial" w:cs="Arial"/>
                <w:sz w:val="16"/>
                <w:szCs w:val="16"/>
              </w:rPr>
            </w:pPr>
          </w:p>
        </w:tc>
        <w:tc>
          <w:tcPr>
            <w:tcW w:w="849" w:type="dxa"/>
            <w:tcBorders>
              <w:top w:val="nil"/>
              <w:bottom w:val="single" w:sz="4" w:space="0" w:color="auto"/>
            </w:tcBorders>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1</w:t>
            </w:r>
          </w:p>
        </w:tc>
        <w:tc>
          <w:tcPr>
            <w:tcW w:w="849" w:type="dxa"/>
            <w:tcBorders>
              <w:top w:val="nil"/>
              <w:bottom w:val="single" w:sz="4" w:space="0" w:color="auto"/>
            </w:tcBorders>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2</w:t>
            </w:r>
          </w:p>
        </w:tc>
        <w:tc>
          <w:tcPr>
            <w:tcW w:w="849" w:type="dxa"/>
            <w:tcBorders>
              <w:top w:val="nil"/>
              <w:bottom w:val="single" w:sz="4" w:space="0" w:color="auto"/>
            </w:tcBorders>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3</w:t>
            </w:r>
          </w:p>
        </w:tc>
        <w:tc>
          <w:tcPr>
            <w:tcW w:w="849" w:type="dxa"/>
            <w:tcBorders>
              <w:top w:val="nil"/>
              <w:bottom w:val="single" w:sz="4" w:space="0" w:color="auto"/>
            </w:tcBorders>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w:t>
            </w:r>
          </w:p>
        </w:tc>
        <w:tc>
          <w:tcPr>
            <w:tcW w:w="849" w:type="dxa"/>
            <w:tcBorders>
              <w:top w:val="nil"/>
              <w:bottom w:val="single" w:sz="4" w:space="0" w:color="auto"/>
            </w:tcBorders>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n</w:t>
            </w:r>
          </w:p>
        </w:tc>
        <w:tc>
          <w:tcPr>
            <w:tcW w:w="834" w:type="dxa"/>
            <w:tcBorders>
              <w:top w:val="nil"/>
              <w:bottom w:val="single" w:sz="4" w:space="0" w:color="auto"/>
            </w:tcBorders>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Total</w:t>
            </w:r>
          </w:p>
        </w:tc>
      </w:tr>
      <w:tr w:rsidR="00B1713E" w:rsidRPr="004D53EA" w:rsidTr="00B1713E">
        <w:trPr>
          <w:trHeight w:val="227"/>
          <w:tblCellSpacing w:w="15" w:type="dxa"/>
          <w:jc w:val="center"/>
        </w:trPr>
        <w:tc>
          <w:tcPr>
            <w:tcW w:w="1212"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1</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11</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12</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13</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1n</w:t>
            </w:r>
          </w:p>
        </w:tc>
        <w:tc>
          <w:tcPr>
            <w:tcW w:w="834"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1a</w:t>
            </w:r>
          </w:p>
        </w:tc>
      </w:tr>
      <w:tr w:rsidR="00B1713E" w:rsidRPr="004D53EA" w:rsidTr="00B1713E">
        <w:trPr>
          <w:trHeight w:val="227"/>
          <w:tblCellSpacing w:w="15" w:type="dxa"/>
          <w:jc w:val="center"/>
        </w:trPr>
        <w:tc>
          <w:tcPr>
            <w:tcW w:w="1212"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2</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21</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22</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23</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2n</w:t>
            </w:r>
          </w:p>
        </w:tc>
        <w:tc>
          <w:tcPr>
            <w:tcW w:w="834"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2a</w:t>
            </w:r>
          </w:p>
        </w:tc>
      </w:tr>
      <w:tr w:rsidR="00B1713E" w:rsidRPr="004D53EA" w:rsidTr="00B1713E">
        <w:trPr>
          <w:trHeight w:val="227"/>
          <w:tblCellSpacing w:w="15" w:type="dxa"/>
          <w:jc w:val="center"/>
        </w:trPr>
        <w:tc>
          <w:tcPr>
            <w:tcW w:w="1212"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3</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31</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32</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33</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3n</w:t>
            </w:r>
          </w:p>
        </w:tc>
        <w:tc>
          <w:tcPr>
            <w:tcW w:w="834"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3a</w:t>
            </w:r>
          </w:p>
        </w:tc>
      </w:tr>
      <w:tr w:rsidR="00B1713E" w:rsidRPr="004D53EA" w:rsidTr="00B1713E">
        <w:trPr>
          <w:trHeight w:val="227"/>
          <w:tblCellSpacing w:w="15" w:type="dxa"/>
          <w:jc w:val="center"/>
        </w:trPr>
        <w:tc>
          <w:tcPr>
            <w:tcW w:w="1212" w:type="dxa"/>
            <w:tcBorders>
              <w:top w:val="nil"/>
              <w:bottom w:val="nil"/>
            </w:tcBorders>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w:t>
            </w:r>
          </w:p>
        </w:tc>
        <w:tc>
          <w:tcPr>
            <w:tcW w:w="834"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w:t>
            </w:r>
          </w:p>
        </w:tc>
      </w:tr>
      <w:tr w:rsidR="00B1713E" w:rsidRPr="004D53EA" w:rsidTr="00B1713E">
        <w:trPr>
          <w:trHeight w:val="227"/>
          <w:tblCellSpacing w:w="15" w:type="dxa"/>
          <w:jc w:val="center"/>
        </w:trPr>
        <w:tc>
          <w:tcPr>
            <w:tcW w:w="1212"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n</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n1</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n2</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lang w:val="en-US"/>
              </w:rPr>
            </w:pPr>
            <w:r w:rsidRPr="004D53EA">
              <w:rPr>
                <w:rFonts w:ascii="Arial" w:hAnsi="Arial" w:cs="Arial"/>
                <w:sz w:val="16"/>
                <w:szCs w:val="16"/>
                <w:lang w:val="en-US"/>
              </w:rPr>
              <w:t>N</w:t>
            </w:r>
            <w:r w:rsidRPr="004D53EA">
              <w:rPr>
                <w:rFonts w:ascii="Arial" w:hAnsi="Arial" w:cs="Arial"/>
                <w:sz w:val="16"/>
                <w:szCs w:val="16"/>
                <w:vertAlign w:val="subscript"/>
                <w:lang w:val="en-US"/>
              </w:rPr>
              <w:t>n3</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lang w:val="en-US"/>
              </w:rPr>
            </w:pPr>
            <w:r w:rsidRPr="004D53EA">
              <w:rPr>
                <w:rFonts w:ascii="Arial" w:hAnsi="Arial" w:cs="Arial"/>
                <w:b/>
                <w:bCs/>
                <w:sz w:val="16"/>
                <w:szCs w:val="16"/>
                <w:lang w:val="en-US"/>
              </w:rPr>
              <w:t>...</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lang w:val="en-US"/>
              </w:rPr>
            </w:pPr>
            <w:r w:rsidRPr="004D53EA">
              <w:rPr>
                <w:rFonts w:ascii="Arial" w:hAnsi="Arial" w:cs="Arial"/>
                <w:sz w:val="16"/>
                <w:szCs w:val="16"/>
                <w:lang w:val="en-US"/>
              </w:rPr>
              <w:t>N</w:t>
            </w:r>
            <w:r w:rsidRPr="004D53EA">
              <w:rPr>
                <w:rFonts w:ascii="Arial" w:hAnsi="Arial" w:cs="Arial"/>
                <w:sz w:val="16"/>
                <w:szCs w:val="16"/>
                <w:vertAlign w:val="subscript"/>
                <w:lang w:val="en-US"/>
              </w:rPr>
              <w:t>nn</w:t>
            </w:r>
          </w:p>
        </w:tc>
        <w:tc>
          <w:tcPr>
            <w:tcW w:w="834" w:type="dxa"/>
            <w:shd w:val="clear" w:color="auto" w:fill="auto"/>
            <w:vAlign w:val="center"/>
          </w:tcPr>
          <w:p w:rsidR="00B1713E" w:rsidRPr="004D53EA" w:rsidRDefault="00B1713E" w:rsidP="00B1713E">
            <w:pPr>
              <w:ind w:left="284"/>
              <w:rPr>
                <w:rFonts w:ascii="Arial" w:eastAsia="Arial Unicode MS" w:hAnsi="Arial" w:cs="Arial"/>
                <w:sz w:val="16"/>
                <w:szCs w:val="16"/>
                <w:lang w:val="en-US"/>
              </w:rPr>
            </w:pPr>
            <w:r w:rsidRPr="004D53EA">
              <w:rPr>
                <w:rFonts w:ascii="Arial" w:hAnsi="Arial" w:cs="Arial"/>
                <w:sz w:val="16"/>
                <w:szCs w:val="16"/>
                <w:lang w:val="en-US"/>
              </w:rPr>
              <w:t>N</w:t>
            </w:r>
            <w:r w:rsidRPr="004D53EA">
              <w:rPr>
                <w:rFonts w:ascii="Arial" w:hAnsi="Arial" w:cs="Arial"/>
                <w:sz w:val="16"/>
                <w:szCs w:val="16"/>
                <w:vertAlign w:val="subscript"/>
                <w:lang w:val="en-US"/>
              </w:rPr>
              <w:t>na</w:t>
            </w:r>
          </w:p>
        </w:tc>
      </w:tr>
      <w:tr w:rsidR="00B1713E" w:rsidRPr="004D53EA" w:rsidTr="00B1713E">
        <w:trPr>
          <w:trHeight w:val="227"/>
          <w:tblCellSpacing w:w="15" w:type="dxa"/>
          <w:jc w:val="center"/>
        </w:trPr>
        <w:tc>
          <w:tcPr>
            <w:tcW w:w="1212"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Total</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p1</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p2</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p3</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b/>
                <w:bCs/>
                <w:sz w:val="16"/>
                <w:szCs w:val="16"/>
              </w:rPr>
              <w:t>...</w:t>
            </w:r>
          </w:p>
        </w:tc>
        <w:tc>
          <w:tcPr>
            <w:tcW w:w="849"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N</w:t>
            </w:r>
            <w:r w:rsidRPr="004D53EA">
              <w:rPr>
                <w:rFonts w:ascii="Arial" w:hAnsi="Arial" w:cs="Arial"/>
                <w:sz w:val="16"/>
                <w:szCs w:val="16"/>
                <w:vertAlign w:val="subscript"/>
              </w:rPr>
              <w:t>pn</w:t>
            </w:r>
          </w:p>
        </w:tc>
        <w:tc>
          <w:tcPr>
            <w:tcW w:w="834" w:type="dxa"/>
            <w:shd w:val="clear" w:color="auto" w:fill="auto"/>
            <w:vAlign w:val="center"/>
          </w:tcPr>
          <w:p w:rsidR="00B1713E" w:rsidRPr="004D53EA" w:rsidRDefault="00B1713E" w:rsidP="00B1713E">
            <w:pPr>
              <w:ind w:left="284"/>
              <w:rPr>
                <w:rFonts w:ascii="Arial" w:eastAsia="Arial Unicode MS" w:hAnsi="Arial" w:cs="Arial"/>
                <w:sz w:val="16"/>
                <w:szCs w:val="16"/>
              </w:rPr>
            </w:pPr>
            <w:r w:rsidRPr="004D53EA">
              <w:rPr>
                <w:rFonts w:ascii="Arial" w:hAnsi="Arial" w:cs="Arial"/>
                <w:sz w:val="16"/>
                <w:szCs w:val="16"/>
              </w:rPr>
              <w:t> </w:t>
            </w:r>
          </w:p>
        </w:tc>
      </w:tr>
    </w:tbl>
    <w:p w:rsidR="00B1713E" w:rsidRDefault="00B1713E" w:rsidP="00B1713E">
      <w:pPr>
        <w:pStyle w:val="Prrafodelista"/>
        <w:spacing w:line="480" w:lineRule="auto"/>
        <w:ind w:left="284"/>
        <w:jc w:val="both"/>
        <w:rPr>
          <w:rFonts w:ascii="Arial" w:hAnsi="Arial" w:cs="Arial"/>
        </w:rPr>
      </w:pPr>
    </w:p>
    <w:p w:rsidR="00B1713E" w:rsidRPr="00FB6F04" w:rsidRDefault="00B1713E" w:rsidP="00B1713E">
      <w:pPr>
        <w:pStyle w:val="Prrafodelista"/>
        <w:spacing w:line="480" w:lineRule="auto"/>
        <w:ind w:left="284"/>
        <w:jc w:val="both"/>
        <w:rPr>
          <w:rFonts w:ascii="Arial" w:hAnsi="Arial" w:cs="Arial"/>
        </w:rPr>
      </w:pPr>
      <w:r>
        <w:rPr>
          <w:rFonts w:ascii="Arial" w:hAnsi="Arial" w:cs="Arial"/>
        </w:rPr>
        <w:t>Para cualquier</w:t>
      </w:r>
      <w:r w:rsidRPr="00FB6F04">
        <w:rPr>
          <w:rFonts w:ascii="Arial" w:hAnsi="Arial" w:cs="Arial"/>
        </w:rPr>
        <w:t xml:space="preserve"> localidad "i" y "j" se tiene que:</w:t>
      </w:r>
    </w:p>
    <w:p w:rsidR="00B1713E" w:rsidRDefault="00B1713E" w:rsidP="0041640C">
      <w:pPr>
        <w:pStyle w:val="Prrafodelista"/>
        <w:numPr>
          <w:ilvl w:val="0"/>
          <w:numId w:val="7"/>
        </w:numPr>
        <w:spacing w:line="480" w:lineRule="auto"/>
        <w:ind w:left="284" w:hanging="283"/>
        <w:jc w:val="both"/>
        <w:rPr>
          <w:rFonts w:ascii="Arial" w:hAnsi="Arial" w:cs="Arial"/>
        </w:rPr>
      </w:pPr>
      <w:r w:rsidRPr="00B61685">
        <w:rPr>
          <w:rFonts w:ascii="Arial" w:hAnsi="Arial" w:cs="Arial"/>
        </w:rPr>
        <w:t>Nij: Representa la población con residencia pasada en la localidad "j" que ahora tiene su residencia en la localidad "i".</w:t>
      </w:r>
    </w:p>
    <w:p w:rsidR="00B1713E" w:rsidRDefault="00B1713E" w:rsidP="0041640C">
      <w:pPr>
        <w:pStyle w:val="Prrafodelista"/>
        <w:numPr>
          <w:ilvl w:val="0"/>
          <w:numId w:val="7"/>
        </w:numPr>
        <w:spacing w:line="480" w:lineRule="auto"/>
        <w:ind w:left="284" w:hanging="283"/>
        <w:jc w:val="both"/>
        <w:rPr>
          <w:rFonts w:ascii="Arial" w:hAnsi="Arial" w:cs="Arial"/>
        </w:rPr>
      </w:pPr>
      <w:r w:rsidRPr="00B61685">
        <w:rPr>
          <w:rFonts w:ascii="Arial" w:hAnsi="Arial" w:cs="Arial"/>
        </w:rPr>
        <w:t>Nia: Corresponde a la población actual de la localidad "i".</w:t>
      </w:r>
    </w:p>
    <w:p w:rsidR="00B1713E" w:rsidRDefault="00B1713E" w:rsidP="0041640C">
      <w:pPr>
        <w:pStyle w:val="Prrafodelista"/>
        <w:numPr>
          <w:ilvl w:val="0"/>
          <w:numId w:val="7"/>
        </w:numPr>
        <w:spacing w:line="480" w:lineRule="auto"/>
        <w:ind w:left="284" w:hanging="283"/>
        <w:jc w:val="both"/>
        <w:rPr>
          <w:rFonts w:ascii="Arial" w:hAnsi="Arial" w:cs="Arial"/>
        </w:rPr>
      </w:pPr>
      <w:r w:rsidRPr="00B61685">
        <w:rPr>
          <w:rFonts w:ascii="Arial" w:hAnsi="Arial" w:cs="Arial"/>
        </w:rPr>
        <w:t>Npj: Corresponde a la población pasada de la localidad "j".</w:t>
      </w:r>
    </w:p>
    <w:p w:rsidR="00B1713E" w:rsidRDefault="00B1713E" w:rsidP="0041640C">
      <w:pPr>
        <w:pStyle w:val="Prrafodelista"/>
        <w:numPr>
          <w:ilvl w:val="0"/>
          <w:numId w:val="7"/>
        </w:numPr>
        <w:spacing w:line="480" w:lineRule="auto"/>
        <w:ind w:left="284" w:hanging="283"/>
        <w:jc w:val="both"/>
        <w:rPr>
          <w:rFonts w:ascii="Arial" w:hAnsi="Arial" w:cs="Arial"/>
        </w:rPr>
      </w:pPr>
      <w:r w:rsidRPr="00B61685">
        <w:rPr>
          <w:rFonts w:ascii="Arial" w:hAnsi="Arial" w:cs="Arial"/>
        </w:rPr>
        <w:t>Nii: Corresponde a la población pasada de la localidad "i" que aun se mantiene en esta localidad.</w:t>
      </w:r>
    </w:p>
    <w:p w:rsidR="00B1713E" w:rsidRDefault="00B1713E" w:rsidP="0041640C">
      <w:pPr>
        <w:pStyle w:val="Prrafodelista"/>
        <w:numPr>
          <w:ilvl w:val="0"/>
          <w:numId w:val="6"/>
        </w:numPr>
        <w:spacing w:line="480" w:lineRule="auto"/>
        <w:ind w:left="284" w:hanging="284"/>
        <w:jc w:val="both"/>
        <w:rPr>
          <w:rFonts w:ascii="Arial" w:hAnsi="Arial" w:cs="Arial"/>
        </w:rPr>
      </w:pPr>
      <w:r w:rsidRPr="00505561">
        <w:rPr>
          <w:rFonts w:ascii="Arial" w:hAnsi="Arial" w:cs="Arial"/>
          <w:b/>
          <w:i/>
        </w:rPr>
        <w:t>Tasa</w:t>
      </w:r>
      <w:r w:rsidRPr="00F6170D">
        <w:rPr>
          <w:rStyle w:val="Refdenotaalpie"/>
          <w:rFonts w:ascii="Arial" w:hAnsi="Arial" w:cs="Arial"/>
        </w:rPr>
        <w:footnoteReference w:id="48"/>
      </w:r>
      <w:r w:rsidRPr="00505561">
        <w:rPr>
          <w:rFonts w:ascii="Arial" w:hAnsi="Arial" w:cs="Arial"/>
        </w:rPr>
        <w:t>,</w:t>
      </w:r>
      <w:r>
        <w:rPr>
          <w:rFonts w:ascii="Arial" w:hAnsi="Arial" w:cs="Arial"/>
        </w:rPr>
        <w:t xml:space="preserve"> es la </w:t>
      </w:r>
      <w:r w:rsidRPr="00D1097D">
        <w:rPr>
          <w:rFonts w:ascii="Arial" w:hAnsi="Arial" w:cs="Arial"/>
        </w:rPr>
        <w:t xml:space="preserve">rapidez </w:t>
      </w:r>
      <w:r>
        <w:rPr>
          <w:rFonts w:ascii="Arial" w:hAnsi="Arial" w:cs="Arial"/>
        </w:rPr>
        <w:t>de</w:t>
      </w:r>
      <w:r w:rsidRPr="00D1097D">
        <w:rPr>
          <w:rFonts w:ascii="Arial" w:hAnsi="Arial" w:cs="Arial"/>
        </w:rPr>
        <w:t xml:space="preserve"> cambio de </w:t>
      </w:r>
      <w:r>
        <w:rPr>
          <w:rFonts w:ascii="Arial" w:hAnsi="Arial" w:cs="Arial"/>
        </w:rPr>
        <w:t>algún</w:t>
      </w:r>
      <w:r w:rsidRPr="00D1097D">
        <w:rPr>
          <w:rFonts w:ascii="Arial" w:hAnsi="Arial" w:cs="Arial"/>
        </w:rPr>
        <w:t xml:space="preserve"> fenómen</w:t>
      </w:r>
      <w:r>
        <w:rPr>
          <w:rFonts w:ascii="Arial" w:hAnsi="Arial" w:cs="Arial"/>
        </w:rPr>
        <w:t>o como nacimiento, crecimiento, muerte, etc.</w:t>
      </w:r>
      <w:r w:rsidRPr="00D1097D">
        <w:rPr>
          <w:rFonts w:ascii="Arial" w:hAnsi="Arial" w:cs="Arial"/>
        </w:rPr>
        <w:t xml:space="preserve"> en función con alguna unidad de tiempo</w:t>
      </w:r>
      <w:r>
        <w:rPr>
          <w:rFonts w:ascii="Arial" w:hAnsi="Arial" w:cs="Arial"/>
        </w:rPr>
        <w:t xml:space="preserve">. </w:t>
      </w:r>
    </w:p>
    <w:p w:rsidR="00B1713E" w:rsidRDefault="00B1713E" w:rsidP="0041640C">
      <w:pPr>
        <w:pStyle w:val="Prrafodelista"/>
        <w:numPr>
          <w:ilvl w:val="0"/>
          <w:numId w:val="6"/>
        </w:numPr>
        <w:spacing w:line="480" w:lineRule="auto"/>
        <w:ind w:left="284" w:hanging="284"/>
        <w:jc w:val="both"/>
        <w:rPr>
          <w:rFonts w:ascii="Arial" w:hAnsi="Arial" w:cs="Arial"/>
        </w:rPr>
      </w:pPr>
      <w:r w:rsidRPr="00EB7635">
        <w:rPr>
          <w:rFonts w:ascii="Arial" w:hAnsi="Arial" w:cs="Arial"/>
          <w:b/>
          <w:i/>
        </w:rPr>
        <w:t>Tasa de Emigración</w:t>
      </w:r>
      <w:r w:rsidRPr="000F018A">
        <w:rPr>
          <w:rStyle w:val="Refdenotaalpie"/>
          <w:rFonts w:ascii="Arial" w:hAnsi="Arial" w:cs="Arial"/>
        </w:rPr>
        <w:footnoteReference w:id="49"/>
      </w:r>
      <w:r w:rsidRPr="00EB7635">
        <w:rPr>
          <w:rFonts w:ascii="Arial" w:hAnsi="Arial" w:cs="Arial"/>
        </w:rPr>
        <w:t>,</w:t>
      </w:r>
      <w:r>
        <w:rPr>
          <w:rFonts w:ascii="Arial" w:hAnsi="Arial" w:cs="Arial"/>
        </w:rPr>
        <w:t xml:space="preserve"> es e</w:t>
      </w:r>
      <w:r w:rsidRPr="00600438">
        <w:rPr>
          <w:rFonts w:ascii="Arial" w:hAnsi="Arial" w:cs="Arial"/>
        </w:rPr>
        <w:t>l cociente entre el número de emigrantes que salen de su lugar de origen y el total de habitantes de ese lugar, generalmente se calcula por cada 1000 habitantes.</w:t>
      </w:r>
    </w:p>
    <w:p w:rsidR="00B1713E" w:rsidRDefault="00B1713E" w:rsidP="0041640C">
      <w:pPr>
        <w:pStyle w:val="Prrafodelista"/>
        <w:numPr>
          <w:ilvl w:val="0"/>
          <w:numId w:val="6"/>
        </w:numPr>
        <w:spacing w:line="480" w:lineRule="auto"/>
        <w:ind w:left="284" w:hanging="284"/>
        <w:jc w:val="both"/>
        <w:rPr>
          <w:rFonts w:ascii="Arial" w:hAnsi="Arial" w:cs="Arial"/>
        </w:rPr>
      </w:pPr>
      <w:r w:rsidRPr="00EB7635">
        <w:rPr>
          <w:rFonts w:ascii="Arial" w:hAnsi="Arial" w:cs="Arial"/>
          <w:b/>
          <w:i/>
        </w:rPr>
        <w:t>Tasa de Inmigración</w:t>
      </w:r>
      <w:r w:rsidRPr="000F018A">
        <w:rPr>
          <w:rStyle w:val="Refdenotaalpie"/>
          <w:rFonts w:ascii="Arial" w:hAnsi="Arial" w:cs="Arial"/>
        </w:rPr>
        <w:footnoteReference w:id="50"/>
      </w:r>
      <w:r w:rsidRPr="00EB7635">
        <w:rPr>
          <w:rFonts w:ascii="Arial" w:hAnsi="Arial" w:cs="Arial"/>
        </w:rPr>
        <w:t>,</w:t>
      </w:r>
      <w:r>
        <w:rPr>
          <w:rFonts w:ascii="Arial" w:hAnsi="Arial" w:cs="Arial"/>
        </w:rPr>
        <w:t xml:space="preserve"> es la razón </w:t>
      </w:r>
      <w:r w:rsidRPr="003C329C">
        <w:rPr>
          <w:rFonts w:ascii="Arial" w:hAnsi="Arial" w:cs="Arial"/>
        </w:rPr>
        <w:t xml:space="preserve">entre el número de inmigrantes que llegan a un </w:t>
      </w:r>
      <w:r>
        <w:rPr>
          <w:rFonts w:ascii="Arial" w:hAnsi="Arial" w:cs="Arial"/>
        </w:rPr>
        <w:t xml:space="preserve">determinado </w:t>
      </w:r>
      <w:r w:rsidRPr="003C329C">
        <w:rPr>
          <w:rFonts w:ascii="Arial" w:hAnsi="Arial" w:cs="Arial"/>
        </w:rPr>
        <w:t xml:space="preserve">lugar </w:t>
      </w:r>
      <w:r>
        <w:rPr>
          <w:rFonts w:ascii="Arial" w:hAnsi="Arial" w:cs="Arial"/>
        </w:rPr>
        <w:t>(</w:t>
      </w:r>
      <w:r w:rsidRPr="003C329C">
        <w:rPr>
          <w:rFonts w:ascii="Arial" w:hAnsi="Arial" w:cs="Arial"/>
        </w:rPr>
        <w:t>de destino</w:t>
      </w:r>
      <w:r>
        <w:rPr>
          <w:rFonts w:ascii="Arial" w:hAnsi="Arial" w:cs="Arial"/>
        </w:rPr>
        <w:t>)</w:t>
      </w:r>
      <w:r w:rsidRPr="003C329C">
        <w:rPr>
          <w:rFonts w:ascii="Arial" w:hAnsi="Arial" w:cs="Arial"/>
        </w:rPr>
        <w:t xml:space="preserve"> y la población total del lugar de destino, se expresa por cada 1000 habitantes.</w:t>
      </w:r>
    </w:p>
    <w:p w:rsidR="00B1713E" w:rsidRDefault="00B1713E" w:rsidP="0041640C">
      <w:pPr>
        <w:pStyle w:val="Prrafodelista"/>
        <w:numPr>
          <w:ilvl w:val="0"/>
          <w:numId w:val="6"/>
        </w:numPr>
        <w:spacing w:line="480" w:lineRule="auto"/>
        <w:ind w:left="284" w:hanging="284"/>
        <w:jc w:val="both"/>
        <w:rPr>
          <w:rFonts w:ascii="Arial" w:hAnsi="Arial" w:cs="Arial"/>
        </w:rPr>
      </w:pPr>
      <w:r>
        <w:rPr>
          <w:rFonts w:ascii="Arial" w:hAnsi="Arial" w:cs="Arial"/>
          <w:b/>
          <w:i/>
        </w:rPr>
        <w:t xml:space="preserve"> </w:t>
      </w:r>
      <w:r w:rsidRPr="00D30E95">
        <w:rPr>
          <w:rFonts w:ascii="Arial" w:hAnsi="Arial" w:cs="Arial"/>
          <w:b/>
          <w:i/>
        </w:rPr>
        <w:t>Índice de Feminidad (IF)</w:t>
      </w:r>
      <w:r w:rsidRPr="00106B3B">
        <w:rPr>
          <w:rStyle w:val="Refdenotaalpie"/>
          <w:rFonts w:ascii="Arial" w:hAnsi="Arial" w:cs="Arial"/>
        </w:rPr>
        <w:footnoteReference w:id="51"/>
      </w:r>
      <w:r w:rsidRPr="00D30E95">
        <w:rPr>
          <w:rFonts w:ascii="Arial" w:hAnsi="Arial" w:cs="Arial"/>
        </w:rPr>
        <w:t>, es el cociente entre el número de mujeres y el número de hombres en una determinada población, expresa la cantidad de mujeres por cada 100 hombres.</w:t>
      </w:r>
    </w:p>
    <w:p w:rsidR="00B1713E" w:rsidRDefault="00B1713E" w:rsidP="0041640C">
      <w:pPr>
        <w:pStyle w:val="Prrafodelista"/>
        <w:numPr>
          <w:ilvl w:val="0"/>
          <w:numId w:val="6"/>
        </w:numPr>
        <w:spacing w:line="480" w:lineRule="auto"/>
        <w:ind w:left="284" w:hanging="284"/>
        <w:jc w:val="both"/>
        <w:rPr>
          <w:rFonts w:ascii="Arial" w:hAnsi="Arial" w:cs="Arial"/>
        </w:rPr>
      </w:pPr>
      <w:r w:rsidRPr="00D537D4">
        <w:rPr>
          <w:rFonts w:ascii="Arial" w:hAnsi="Arial" w:cs="Arial"/>
          <w:b/>
          <w:i/>
        </w:rPr>
        <w:t>Tasa de participación económica (TPE)</w:t>
      </w:r>
      <w:r w:rsidRPr="000F018A">
        <w:rPr>
          <w:rStyle w:val="Refdenotaalpie"/>
          <w:rFonts w:ascii="Arial" w:hAnsi="Arial" w:cs="Arial"/>
        </w:rPr>
        <w:footnoteReference w:id="52"/>
      </w:r>
      <w:r w:rsidRPr="000F018A">
        <w:rPr>
          <w:rFonts w:ascii="Arial" w:hAnsi="Arial" w:cs="Arial"/>
        </w:rPr>
        <w:t>,</w:t>
      </w:r>
      <w:r w:rsidRPr="00D537D4">
        <w:rPr>
          <w:rFonts w:ascii="Arial" w:hAnsi="Arial" w:cs="Arial"/>
        </w:rPr>
        <w:t xml:space="preserve"> mide el grado de participación de la población en el mercado de trabajo; y se calcula como el cociente entre la población económicamente activa (definida como las personas que trabajan o buscan trabajo) de 15 años y más y la población total de 15 años y más, multiplicado por 100.</w:t>
      </w:r>
    </w:p>
    <w:p w:rsidR="00B1713E" w:rsidRDefault="00B1713E" w:rsidP="0041640C">
      <w:pPr>
        <w:pStyle w:val="Prrafodelista"/>
        <w:numPr>
          <w:ilvl w:val="0"/>
          <w:numId w:val="6"/>
        </w:numPr>
        <w:spacing w:line="480" w:lineRule="auto"/>
        <w:ind w:left="284" w:hanging="284"/>
        <w:jc w:val="both"/>
        <w:rPr>
          <w:rFonts w:ascii="Arial" w:hAnsi="Arial" w:cs="Arial"/>
        </w:rPr>
      </w:pPr>
      <w:r w:rsidRPr="00317E72">
        <w:rPr>
          <w:rFonts w:ascii="Arial" w:hAnsi="Arial" w:cs="Arial"/>
          <w:b/>
          <w:i/>
        </w:rPr>
        <w:t xml:space="preserve">Índice de dependencia </w:t>
      </w:r>
      <w:r>
        <w:rPr>
          <w:rFonts w:ascii="Arial" w:hAnsi="Arial" w:cs="Arial"/>
          <w:b/>
          <w:i/>
        </w:rPr>
        <w:t>demográfica (IDD)</w:t>
      </w:r>
      <w:r w:rsidRPr="005764DA">
        <w:rPr>
          <w:rStyle w:val="Refdenotaalpie"/>
          <w:rFonts w:ascii="Arial" w:hAnsi="Arial" w:cs="Arial"/>
        </w:rPr>
        <w:footnoteReference w:id="53"/>
      </w:r>
      <w:r>
        <w:rPr>
          <w:rFonts w:ascii="Arial" w:hAnsi="Arial" w:cs="Arial"/>
        </w:rPr>
        <w:t xml:space="preserve">, es la razón entre el total de personas menores de 15 años más el total de personas mayores de 65 años y el total de personas en edad económicamente activa (entre 15 y 65 años). </w:t>
      </w:r>
    </w:p>
    <w:p w:rsidR="00B1713E" w:rsidRDefault="00B1713E" w:rsidP="0041640C">
      <w:pPr>
        <w:pStyle w:val="Prrafodelista"/>
        <w:numPr>
          <w:ilvl w:val="0"/>
          <w:numId w:val="6"/>
        </w:numPr>
        <w:spacing w:line="480" w:lineRule="auto"/>
        <w:ind w:left="284" w:hanging="284"/>
        <w:jc w:val="both"/>
        <w:rPr>
          <w:rFonts w:ascii="Arial" w:hAnsi="Arial" w:cs="Arial"/>
        </w:rPr>
      </w:pPr>
      <w:r w:rsidRPr="00EB7635">
        <w:rPr>
          <w:rFonts w:ascii="Arial" w:hAnsi="Arial" w:cs="Arial"/>
          <w:b/>
          <w:i/>
        </w:rPr>
        <w:t>Pirámide Poblacional</w:t>
      </w:r>
      <w:r w:rsidRPr="002C02D7">
        <w:rPr>
          <w:rStyle w:val="Refdenotaalpie"/>
          <w:rFonts w:ascii="Arial" w:hAnsi="Arial" w:cs="Arial"/>
        </w:rPr>
        <w:footnoteReference w:id="54"/>
      </w:r>
      <w:r w:rsidRPr="002C02D7">
        <w:rPr>
          <w:rFonts w:ascii="Arial" w:hAnsi="Arial" w:cs="Arial"/>
        </w:rPr>
        <w:t>,</w:t>
      </w:r>
      <w:r>
        <w:rPr>
          <w:rFonts w:ascii="Arial" w:hAnsi="Arial" w:cs="Arial"/>
        </w:rPr>
        <w:t xml:space="preserve"> es un gráfico que brinda información estadística sobre la población de un lugar en un momento determinado; que representa básicamente la composición por edad y género de dicha población, además se puede integrar otro tipo de información como el nivel de instrucción, estado civil, entre otras variables.</w:t>
      </w:r>
    </w:p>
    <w:p w:rsidR="00B1713E" w:rsidRDefault="00B1713E" w:rsidP="0041640C">
      <w:pPr>
        <w:pStyle w:val="Prrafodelista"/>
        <w:numPr>
          <w:ilvl w:val="0"/>
          <w:numId w:val="6"/>
        </w:numPr>
        <w:spacing w:line="480" w:lineRule="auto"/>
        <w:ind w:left="284" w:hanging="284"/>
        <w:jc w:val="both"/>
        <w:rPr>
          <w:rFonts w:ascii="Arial" w:hAnsi="Arial" w:cs="Arial"/>
        </w:rPr>
      </w:pPr>
      <w:r w:rsidRPr="00B23233">
        <w:rPr>
          <w:rFonts w:ascii="Arial" w:hAnsi="Arial" w:cs="Arial"/>
          <w:b/>
          <w:i/>
        </w:rPr>
        <w:t>Mapa Temático</w:t>
      </w:r>
      <w:r w:rsidRPr="005764DA">
        <w:rPr>
          <w:rStyle w:val="Refdenotaalpie"/>
          <w:rFonts w:ascii="Arial" w:hAnsi="Arial" w:cs="Arial"/>
        </w:rPr>
        <w:footnoteReference w:id="55"/>
      </w:r>
      <w:r>
        <w:rPr>
          <w:rFonts w:ascii="Arial" w:hAnsi="Arial" w:cs="Arial"/>
        </w:rPr>
        <w:t>, es aquel que está diseñado para mostrar conceptos particulares sobre un tema, asignando una escala de colores por cada categoría.</w:t>
      </w:r>
    </w:p>
    <w:p w:rsidR="00B1713E" w:rsidRDefault="00B1713E" w:rsidP="0041640C">
      <w:pPr>
        <w:pStyle w:val="Prrafodelista"/>
        <w:numPr>
          <w:ilvl w:val="0"/>
          <w:numId w:val="6"/>
        </w:numPr>
        <w:spacing w:line="480" w:lineRule="auto"/>
        <w:ind w:left="284" w:hanging="284"/>
        <w:jc w:val="both"/>
        <w:rPr>
          <w:rFonts w:ascii="Arial" w:hAnsi="Arial" w:cs="Arial"/>
        </w:rPr>
      </w:pPr>
      <w:r>
        <w:rPr>
          <w:rFonts w:ascii="Arial" w:hAnsi="Arial" w:cs="Arial"/>
          <w:b/>
          <w:i/>
        </w:rPr>
        <w:t>Muestra</w:t>
      </w:r>
      <w:r>
        <w:rPr>
          <w:rFonts w:ascii="Arial" w:hAnsi="Arial" w:cs="Arial"/>
        </w:rPr>
        <w:t>, es cualquier subconjunto de una población que cumple con ciertas características.</w:t>
      </w:r>
    </w:p>
    <w:p w:rsidR="00B1713E" w:rsidRDefault="00B1713E" w:rsidP="0041640C">
      <w:pPr>
        <w:pStyle w:val="Prrafodelista"/>
        <w:numPr>
          <w:ilvl w:val="0"/>
          <w:numId w:val="6"/>
        </w:numPr>
        <w:spacing w:line="480" w:lineRule="auto"/>
        <w:ind w:left="284" w:hanging="284"/>
        <w:jc w:val="both"/>
        <w:rPr>
          <w:rFonts w:ascii="Arial" w:hAnsi="Arial" w:cs="Arial"/>
        </w:rPr>
      </w:pPr>
      <w:r w:rsidRPr="00BD140F">
        <w:rPr>
          <w:rFonts w:ascii="Arial" w:hAnsi="Arial" w:cs="Arial"/>
          <w:b/>
          <w:i/>
        </w:rPr>
        <w:t xml:space="preserve">Muestreo </w:t>
      </w:r>
      <w:r>
        <w:rPr>
          <w:rFonts w:ascii="Arial" w:hAnsi="Arial" w:cs="Arial"/>
          <w:b/>
          <w:i/>
        </w:rPr>
        <w:t xml:space="preserve">aleatorio </w:t>
      </w:r>
      <w:r w:rsidRPr="00BD140F">
        <w:rPr>
          <w:rFonts w:ascii="Arial" w:hAnsi="Arial" w:cs="Arial"/>
          <w:b/>
          <w:i/>
        </w:rPr>
        <w:t>estratificado con afijación proporcional</w:t>
      </w:r>
      <w:r w:rsidRPr="00BD140F">
        <w:rPr>
          <w:rFonts w:ascii="Arial" w:hAnsi="Arial" w:cs="Arial"/>
        </w:rPr>
        <w:t xml:space="preserve">, consiste en particionar </w:t>
      </w:r>
      <w:r>
        <w:rPr>
          <w:rFonts w:ascii="Arial" w:hAnsi="Arial" w:cs="Arial"/>
        </w:rPr>
        <w:t xml:space="preserve">a </w:t>
      </w:r>
      <w:r w:rsidRPr="00BD140F">
        <w:rPr>
          <w:rFonts w:ascii="Arial" w:hAnsi="Arial" w:cs="Arial"/>
        </w:rPr>
        <w:t xml:space="preserve">la población </w:t>
      </w:r>
      <w:r>
        <w:rPr>
          <w:rFonts w:ascii="Arial" w:hAnsi="Arial" w:cs="Arial"/>
        </w:rPr>
        <w:t>en estratos que sean heterogéneos entre sí pero homogéneos dentro del estrato; y, se seleccionan muestras en cada uno de ellos de tamaño proporcional al tamaño del estrato respecto a la población total.</w:t>
      </w:r>
    </w:p>
    <w:p w:rsidR="00B1713E" w:rsidRDefault="00B1713E" w:rsidP="00B1713E">
      <w:pPr>
        <w:spacing w:line="480" w:lineRule="auto"/>
        <w:ind w:left="284" w:hanging="6"/>
        <w:jc w:val="both"/>
        <w:rPr>
          <w:rFonts w:ascii="Arial" w:hAnsi="Arial" w:cs="Arial"/>
        </w:rPr>
      </w:pPr>
      <w:r>
        <w:rPr>
          <w:rFonts w:ascii="Arial" w:hAnsi="Arial" w:cs="Arial"/>
        </w:rPr>
        <w:br w:type="page"/>
      </w:r>
    </w:p>
    <w:p w:rsidR="00B1713E" w:rsidRPr="00471EC3" w:rsidRDefault="006933DF" w:rsidP="00B1713E">
      <w:pPr>
        <w:pStyle w:val="TesisTitulo10"/>
        <w:numPr>
          <w:ilvl w:val="0"/>
          <w:numId w:val="0"/>
        </w:numPr>
        <w:jc w:val="center"/>
      </w:pPr>
      <w:bookmarkStart w:id="1213" w:name="_Toc341040770"/>
      <w:r>
        <w:t>ANEXO</w:t>
      </w:r>
      <w:r w:rsidR="00B1713E">
        <w:t xml:space="preserve"> A.3: Leyes de Ravenstein</w:t>
      </w:r>
      <w:bookmarkEnd w:id="1213"/>
    </w:p>
    <w:p w:rsidR="00B1713E" w:rsidRDefault="00B1713E" w:rsidP="00C80AB3">
      <w:pPr>
        <w:spacing w:line="480" w:lineRule="auto"/>
        <w:ind w:left="0" w:hanging="6"/>
        <w:jc w:val="both"/>
        <w:rPr>
          <w:rFonts w:ascii="Arial" w:hAnsi="Arial" w:cs="Arial"/>
        </w:rPr>
      </w:pPr>
    </w:p>
    <w:p w:rsidR="00B1713E" w:rsidRDefault="00B1713E" w:rsidP="00C80AB3">
      <w:pPr>
        <w:spacing w:line="480" w:lineRule="auto"/>
        <w:ind w:left="0" w:hanging="6"/>
        <w:jc w:val="both"/>
        <w:rPr>
          <w:rFonts w:ascii="Arial" w:hAnsi="Arial" w:cs="Arial"/>
        </w:rPr>
      </w:pPr>
      <w:r w:rsidRPr="00402486">
        <w:rPr>
          <w:rFonts w:ascii="Arial" w:hAnsi="Arial" w:cs="Arial"/>
        </w:rPr>
        <w:t xml:space="preserve">Por otra parte, una de las teorías más antigua mediante la cual podemos explicar las causas de los flujos migratorios, es a través de las </w:t>
      </w:r>
      <w:r w:rsidRPr="00B418FD">
        <w:rPr>
          <w:rFonts w:ascii="Arial" w:hAnsi="Arial" w:cs="Arial"/>
          <w:b/>
        </w:rPr>
        <w:t>Leyes de Ravenstein</w:t>
      </w:r>
      <w:r w:rsidRPr="00402486">
        <w:rPr>
          <w:rStyle w:val="Refdenotaalpie"/>
        </w:rPr>
        <w:footnoteReference w:id="56"/>
      </w:r>
      <w:r w:rsidRPr="00402486">
        <w:rPr>
          <w:rFonts w:ascii="Arial" w:hAnsi="Arial" w:cs="Arial"/>
        </w:rPr>
        <w:t xml:space="preserve"> que datan del año 1885 y que continúan siendo el punto de partida al momento de hablar de migración, las mismas que postulan lo siguiente:</w:t>
      </w:r>
    </w:p>
    <w:p w:rsidR="00B1713E" w:rsidRPr="002D7F13" w:rsidRDefault="00B1713E" w:rsidP="0041640C">
      <w:pPr>
        <w:pStyle w:val="Prrafodelista"/>
        <w:numPr>
          <w:ilvl w:val="0"/>
          <w:numId w:val="5"/>
        </w:numPr>
        <w:spacing w:line="480" w:lineRule="auto"/>
        <w:ind w:left="284" w:hanging="284"/>
        <w:jc w:val="both"/>
        <w:rPr>
          <w:rFonts w:ascii="Arial" w:hAnsi="Arial" w:cs="Arial"/>
        </w:rPr>
      </w:pPr>
      <w:r w:rsidRPr="002D7F13">
        <w:rPr>
          <w:rFonts w:ascii="Arial" w:hAnsi="Arial" w:cs="Arial"/>
        </w:rPr>
        <w:t>La principal causa de las migraciones son las disparidades económicas, y el móvil económico predomina entre los motivos de las migraciones,</w:t>
      </w:r>
    </w:p>
    <w:p w:rsidR="00B1713E" w:rsidRPr="00402486" w:rsidRDefault="00B1713E" w:rsidP="0041640C">
      <w:pPr>
        <w:pStyle w:val="Prrafodelista"/>
        <w:numPr>
          <w:ilvl w:val="0"/>
          <w:numId w:val="5"/>
        </w:numPr>
        <w:spacing w:line="480" w:lineRule="auto"/>
        <w:ind w:left="284" w:hanging="284"/>
        <w:jc w:val="both"/>
        <w:rPr>
          <w:rFonts w:ascii="Arial" w:hAnsi="Arial" w:cs="Arial"/>
        </w:rPr>
      </w:pPr>
      <w:r w:rsidRPr="00402486">
        <w:rPr>
          <w:rFonts w:ascii="Arial" w:hAnsi="Arial" w:cs="Arial"/>
        </w:rPr>
        <w:t>La mayor parte de las migraciones son de corta distancia,</w:t>
      </w:r>
      <w:r w:rsidRPr="00E94EAB">
        <w:t xml:space="preserve"> </w:t>
      </w:r>
      <w:r>
        <w:rPr>
          <w:rFonts w:ascii="Arial" w:hAnsi="Arial" w:cs="Arial"/>
        </w:rPr>
        <w:t>es decir, son</w:t>
      </w:r>
      <w:r w:rsidRPr="00E94EAB">
        <w:rPr>
          <w:rFonts w:ascii="Arial" w:hAnsi="Arial" w:cs="Arial"/>
        </w:rPr>
        <w:t xml:space="preserve"> aquellas que se realizan dentro del país y generalmente son hacia una ciudad o hacia una provincia cercana a la de origen.</w:t>
      </w:r>
    </w:p>
    <w:p w:rsidR="00B1713E" w:rsidRPr="00402486" w:rsidRDefault="00B1713E" w:rsidP="0041640C">
      <w:pPr>
        <w:pStyle w:val="Prrafodelista"/>
        <w:numPr>
          <w:ilvl w:val="0"/>
          <w:numId w:val="5"/>
        </w:numPr>
        <w:spacing w:line="480" w:lineRule="auto"/>
        <w:ind w:left="284" w:hanging="284"/>
        <w:jc w:val="both"/>
        <w:rPr>
          <w:rFonts w:ascii="Arial" w:hAnsi="Arial" w:cs="Arial"/>
        </w:rPr>
      </w:pPr>
      <w:r w:rsidRPr="00402486">
        <w:rPr>
          <w:rFonts w:ascii="Arial" w:hAnsi="Arial" w:cs="Arial"/>
        </w:rPr>
        <w:t>Los migrantes que se desplazan a largas distancias generalmente van con preferencia a uno de los principales centro del comercio o de la industria,</w:t>
      </w:r>
    </w:p>
    <w:p w:rsidR="00B1713E" w:rsidRPr="00402486" w:rsidRDefault="00B1713E" w:rsidP="0041640C">
      <w:pPr>
        <w:pStyle w:val="Prrafodelista"/>
        <w:numPr>
          <w:ilvl w:val="0"/>
          <w:numId w:val="5"/>
        </w:numPr>
        <w:autoSpaceDE w:val="0"/>
        <w:autoSpaceDN w:val="0"/>
        <w:adjustRightInd w:val="0"/>
        <w:spacing w:line="480" w:lineRule="auto"/>
        <w:ind w:left="284" w:hanging="284"/>
        <w:jc w:val="both"/>
        <w:rPr>
          <w:rFonts w:ascii="Arial" w:hAnsi="Arial" w:cs="Arial"/>
        </w:rPr>
      </w:pPr>
      <w:r w:rsidRPr="00402486">
        <w:rPr>
          <w:rFonts w:ascii="Arial" w:hAnsi="Arial" w:cs="Arial"/>
        </w:rPr>
        <w:t>Las migraciones se producen escalonadamente,</w:t>
      </w:r>
      <w:r>
        <w:rPr>
          <w:rFonts w:ascii="Arial" w:hAnsi="Arial" w:cs="Arial"/>
        </w:rPr>
        <w:t xml:space="preserve"> es decir, s</w:t>
      </w:r>
      <w:r w:rsidRPr="00C10D03">
        <w:rPr>
          <w:rFonts w:ascii="Arial" w:hAnsi="Arial" w:cs="Arial"/>
        </w:rPr>
        <w:t>e absorbe primero a los habitantes de las zonas más cercana</w:t>
      </w:r>
      <w:r>
        <w:rPr>
          <w:rFonts w:ascii="Arial" w:hAnsi="Arial" w:cs="Arial"/>
        </w:rPr>
        <w:t>s</w:t>
      </w:r>
      <w:r w:rsidRPr="00C10D03">
        <w:rPr>
          <w:rFonts w:ascii="Arial" w:hAnsi="Arial" w:cs="Arial"/>
        </w:rPr>
        <w:t xml:space="preserve"> y en una segunda etapa a los llegados de áreas más alejadas.</w:t>
      </w:r>
    </w:p>
    <w:p w:rsidR="00B1713E" w:rsidRPr="00402486" w:rsidRDefault="00B1713E" w:rsidP="0041640C">
      <w:pPr>
        <w:pStyle w:val="Prrafodelista"/>
        <w:numPr>
          <w:ilvl w:val="0"/>
          <w:numId w:val="5"/>
        </w:numPr>
        <w:autoSpaceDE w:val="0"/>
        <w:autoSpaceDN w:val="0"/>
        <w:adjustRightInd w:val="0"/>
        <w:spacing w:line="480" w:lineRule="auto"/>
        <w:ind w:left="284" w:hanging="284"/>
        <w:jc w:val="both"/>
        <w:rPr>
          <w:rFonts w:ascii="Arial" w:hAnsi="Arial" w:cs="Arial"/>
        </w:rPr>
      </w:pPr>
      <w:r w:rsidRPr="00402486">
        <w:rPr>
          <w:rFonts w:ascii="Arial" w:hAnsi="Arial" w:cs="Arial"/>
        </w:rPr>
        <w:t>El proceso de dispersión es el inverso del de absorción y exhibe características similares,</w:t>
      </w:r>
    </w:p>
    <w:p w:rsidR="00B1713E" w:rsidRPr="00402486" w:rsidRDefault="00B1713E" w:rsidP="0041640C">
      <w:pPr>
        <w:pStyle w:val="Prrafodelista"/>
        <w:numPr>
          <w:ilvl w:val="0"/>
          <w:numId w:val="5"/>
        </w:numPr>
        <w:autoSpaceDE w:val="0"/>
        <w:autoSpaceDN w:val="0"/>
        <w:adjustRightInd w:val="0"/>
        <w:spacing w:line="480" w:lineRule="auto"/>
        <w:ind w:left="284" w:hanging="284"/>
        <w:jc w:val="both"/>
        <w:rPr>
          <w:rFonts w:ascii="Arial" w:hAnsi="Arial" w:cs="Arial"/>
        </w:rPr>
      </w:pPr>
      <w:r w:rsidRPr="00402486">
        <w:rPr>
          <w:rFonts w:ascii="Arial" w:hAnsi="Arial" w:cs="Arial"/>
        </w:rPr>
        <w:t>Cada corriente migratoria produce una contracorriente compensadora,</w:t>
      </w:r>
    </w:p>
    <w:p w:rsidR="00B1713E" w:rsidRPr="00402486" w:rsidRDefault="00B1713E" w:rsidP="0041640C">
      <w:pPr>
        <w:pStyle w:val="Prrafodelista"/>
        <w:numPr>
          <w:ilvl w:val="0"/>
          <w:numId w:val="5"/>
        </w:numPr>
        <w:autoSpaceDE w:val="0"/>
        <w:autoSpaceDN w:val="0"/>
        <w:adjustRightInd w:val="0"/>
        <w:spacing w:line="480" w:lineRule="auto"/>
        <w:ind w:left="284" w:hanging="284"/>
        <w:jc w:val="both"/>
        <w:rPr>
          <w:rFonts w:ascii="Arial" w:hAnsi="Arial" w:cs="Arial"/>
        </w:rPr>
      </w:pPr>
      <w:r w:rsidRPr="00402486">
        <w:rPr>
          <w:rFonts w:ascii="Arial" w:hAnsi="Arial" w:cs="Arial"/>
        </w:rPr>
        <w:t>Los nativos de las ciudades tienen menos propensión a emigrar que los de las zonas rurales del país,</w:t>
      </w:r>
    </w:p>
    <w:p w:rsidR="00B1713E" w:rsidRPr="00402486" w:rsidRDefault="00B1713E" w:rsidP="0041640C">
      <w:pPr>
        <w:pStyle w:val="Prrafodelista"/>
        <w:numPr>
          <w:ilvl w:val="0"/>
          <w:numId w:val="5"/>
        </w:numPr>
        <w:autoSpaceDE w:val="0"/>
        <w:autoSpaceDN w:val="0"/>
        <w:adjustRightInd w:val="0"/>
        <w:spacing w:line="480" w:lineRule="auto"/>
        <w:ind w:left="284" w:hanging="284"/>
        <w:jc w:val="both"/>
        <w:rPr>
          <w:rFonts w:ascii="Arial" w:hAnsi="Arial" w:cs="Arial"/>
        </w:rPr>
      </w:pPr>
      <w:r w:rsidRPr="00402486">
        <w:rPr>
          <w:rFonts w:ascii="Arial" w:hAnsi="Arial" w:cs="Arial"/>
        </w:rPr>
        <w:t>Entre los migrantes de corta distancia parecen predominar las mujeres, mientras lo contrario ocurre entre los de larga distancia,</w:t>
      </w:r>
    </w:p>
    <w:p w:rsidR="00B1713E" w:rsidRPr="00402486" w:rsidRDefault="00B1713E" w:rsidP="0041640C">
      <w:pPr>
        <w:pStyle w:val="Prrafodelista"/>
        <w:numPr>
          <w:ilvl w:val="0"/>
          <w:numId w:val="5"/>
        </w:numPr>
        <w:autoSpaceDE w:val="0"/>
        <w:autoSpaceDN w:val="0"/>
        <w:adjustRightInd w:val="0"/>
        <w:spacing w:line="480" w:lineRule="auto"/>
        <w:ind w:left="284" w:hanging="284"/>
        <w:jc w:val="both"/>
        <w:rPr>
          <w:rFonts w:ascii="Arial" w:hAnsi="Arial" w:cs="Arial"/>
        </w:rPr>
      </w:pPr>
      <w:r w:rsidRPr="00402486">
        <w:rPr>
          <w:rFonts w:ascii="Arial" w:hAnsi="Arial" w:cs="Arial"/>
        </w:rPr>
        <w:t>La mayoría de los migrantes son adultos,</w:t>
      </w:r>
    </w:p>
    <w:p w:rsidR="00B1713E" w:rsidRPr="00402486" w:rsidRDefault="00B1713E" w:rsidP="0041640C">
      <w:pPr>
        <w:pStyle w:val="Prrafodelista"/>
        <w:numPr>
          <w:ilvl w:val="0"/>
          <w:numId w:val="5"/>
        </w:numPr>
        <w:autoSpaceDE w:val="0"/>
        <w:autoSpaceDN w:val="0"/>
        <w:adjustRightInd w:val="0"/>
        <w:spacing w:line="480" w:lineRule="auto"/>
        <w:ind w:left="284" w:hanging="284"/>
        <w:jc w:val="both"/>
        <w:rPr>
          <w:rFonts w:ascii="Arial" w:hAnsi="Arial" w:cs="Arial"/>
        </w:rPr>
      </w:pPr>
      <w:r w:rsidRPr="00402486">
        <w:rPr>
          <w:rFonts w:ascii="Arial" w:hAnsi="Arial" w:cs="Arial"/>
        </w:rPr>
        <w:t>Las grandes ciudades crecen más por inmigración que por incremento vegetativo,</w:t>
      </w:r>
    </w:p>
    <w:p w:rsidR="00B1713E" w:rsidRPr="00402486" w:rsidRDefault="00B1713E" w:rsidP="0041640C">
      <w:pPr>
        <w:pStyle w:val="Prrafodelista"/>
        <w:numPr>
          <w:ilvl w:val="0"/>
          <w:numId w:val="5"/>
        </w:numPr>
        <w:autoSpaceDE w:val="0"/>
        <w:autoSpaceDN w:val="0"/>
        <w:adjustRightInd w:val="0"/>
        <w:spacing w:line="480" w:lineRule="auto"/>
        <w:ind w:left="284" w:hanging="284"/>
        <w:jc w:val="both"/>
        <w:rPr>
          <w:rFonts w:ascii="Arial" w:hAnsi="Arial" w:cs="Arial"/>
        </w:rPr>
      </w:pPr>
      <w:r w:rsidRPr="00402486">
        <w:rPr>
          <w:rFonts w:ascii="Arial" w:hAnsi="Arial" w:cs="Arial"/>
        </w:rPr>
        <w:t>Las migraciones más importantes son las que van de las áreas rurales a los grandes centros del comercio y de la industria,</w:t>
      </w:r>
    </w:p>
    <w:p w:rsidR="00B1713E" w:rsidRPr="00160E47" w:rsidRDefault="00B1713E" w:rsidP="0041640C">
      <w:pPr>
        <w:pStyle w:val="Prrafodelista"/>
        <w:numPr>
          <w:ilvl w:val="0"/>
          <w:numId w:val="5"/>
        </w:numPr>
        <w:spacing w:line="480" w:lineRule="auto"/>
        <w:ind w:left="284" w:hanging="284"/>
        <w:jc w:val="both"/>
        <w:rPr>
          <w:rFonts w:ascii="Arial" w:hAnsi="Arial" w:cs="Arial"/>
        </w:rPr>
      </w:pPr>
      <w:r w:rsidRPr="00160E47">
        <w:rPr>
          <w:rFonts w:ascii="Arial" w:hAnsi="Arial" w:cs="Arial"/>
        </w:rPr>
        <w:t>Las migraciones tienden a aumentar con el desarrollo económico y con el progreso de la tecnología y del transporte.</w:t>
      </w:r>
    </w:p>
    <w:p w:rsidR="00D37BC1" w:rsidRPr="00B1713E" w:rsidRDefault="00D37BC1" w:rsidP="00D37BC1">
      <w:pPr>
        <w:pStyle w:val="TesisTitulo10"/>
        <w:numPr>
          <w:ilvl w:val="0"/>
          <w:numId w:val="0"/>
        </w:numPr>
        <w:jc w:val="center"/>
        <w:rPr>
          <w:b w:val="0"/>
          <w:sz w:val="22"/>
          <w:szCs w:val="22"/>
        </w:rPr>
        <w:sectPr w:rsidR="00D37BC1" w:rsidRPr="00B1713E" w:rsidSect="00D37BC1">
          <w:pgSz w:w="11907" w:h="16839" w:code="9"/>
          <w:pgMar w:top="2268" w:right="1361" w:bottom="851" w:left="2268" w:header="708" w:footer="708" w:gutter="0"/>
          <w:cols w:space="708"/>
          <w:docGrid w:linePitch="360"/>
        </w:sectPr>
      </w:pPr>
    </w:p>
    <w:p w:rsidR="00A01FB5" w:rsidRPr="00A04D2F" w:rsidRDefault="00A01FB5" w:rsidP="00AB7FBA">
      <w:pPr>
        <w:pStyle w:val="TesisTitulo10"/>
        <w:numPr>
          <w:ilvl w:val="0"/>
          <w:numId w:val="0"/>
        </w:numPr>
        <w:tabs>
          <w:tab w:val="center" w:pos="4499"/>
          <w:tab w:val="left" w:pos="5850"/>
        </w:tabs>
        <w:jc w:val="left"/>
        <w:rPr>
          <w:sz w:val="32"/>
          <w:szCs w:val="32"/>
        </w:rPr>
      </w:pPr>
      <w:bookmarkStart w:id="1214" w:name="_Toc339212710"/>
      <w:r w:rsidRPr="00B1713E">
        <w:rPr>
          <w:sz w:val="32"/>
          <w:szCs w:val="32"/>
        </w:rPr>
        <w:tab/>
      </w:r>
      <w:bookmarkStart w:id="1215" w:name="_Toc339852925"/>
      <w:bookmarkStart w:id="1216" w:name="_Toc341040771"/>
      <w:r w:rsidRPr="00A04D2F">
        <w:rPr>
          <w:sz w:val="32"/>
          <w:szCs w:val="32"/>
        </w:rPr>
        <w:t xml:space="preserve">ANEXO </w:t>
      </w:r>
      <w:bookmarkEnd w:id="1214"/>
      <w:r w:rsidRPr="00A04D2F">
        <w:rPr>
          <w:sz w:val="32"/>
          <w:szCs w:val="32"/>
        </w:rPr>
        <w:t>B</w:t>
      </w:r>
      <w:r w:rsidR="000E448C" w:rsidRPr="00A04D2F">
        <w:rPr>
          <w:sz w:val="32"/>
          <w:szCs w:val="32"/>
        </w:rPr>
        <w:t>: Migración Interna en Ecuador</w:t>
      </w:r>
      <w:bookmarkEnd w:id="1215"/>
      <w:bookmarkEnd w:id="1216"/>
      <w:r w:rsidRPr="00A04D2F">
        <w:rPr>
          <w:sz w:val="32"/>
          <w:szCs w:val="32"/>
        </w:rPr>
        <w:tab/>
      </w:r>
    </w:p>
    <w:tbl>
      <w:tblPr>
        <w:tblStyle w:val="Tablaconcuadrcula"/>
        <w:tblW w:w="0" w:type="auto"/>
        <w:jc w:val="right"/>
        <w:tblInd w:w="10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8386"/>
      </w:tblGrid>
      <w:tr w:rsidR="00A01FB5" w:rsidRPr="00840530" w:rsidTr="001D505F">
        <w:trPr>
          <w:trHeight w:val="5703"/>
          <w:jc w:val="right"/>
        </w:trPr>
        <w:tc>
          <w:tcPr>
            <w:tcW w:w="8386" w:type="dxa"/>
          </w:tcPr>
          <w:p w:rsidR="00A01FB5" w:rsidRPr="00840530" w:rsidRDefault="00A01FB5" w:rsidP="003B05B6">
            <w:pPr>
              <w:rPr>
                <w:rFonts w:ascii="Arial" w:hAnsi="Arial" w:cs="Arial"/>
                <w:sz w:val="16"/>
                <w:szCs w:val="16"/>
              </w:rPr>
            </w:pPr>
          </w:p>
          <w:p w:rsidR="00A01FB5" w:rsidRPr="00840530" w:rsidRDefault="00A01FB5" w:rsidP="003B05B6">
            <w:pPr>
              <w:rPr>
                <w:rFonts w:ascii="Arial" w:hAnsi="Arial" w:cs="Arial"/>
                <w:b/>
                <w:sz w:val="16"/>
                <w:szCs w:val="16"/>
              </w:rPr>
            </w:pPr>
            <w:r w:rsidRPr="00840530">
              <w:rPr>
                <w:rFonts w:ascii="Arial" w:hAnsi="Arial" w:cs="Arial"/>
                <w:b/>
                <w:sz w:val="16"/>
                <w:szCs w:val="16"/>
              </w:rPr>
              <w:t xml:space="preserve">Tabla </w:t>
            </w:r>
            <w:r>
              <w:rPr>
                <w:rFonts w:ascii="Arial" w:hAnsi="Arial" w:cs="Arial"/>
                <w:b/>
                <w:sz w:val="16"/>
                <w:szCs w:val="16"/>
              </w:rPr>
              <w:t>B</w:t>
            </w:r>
            <w:r w:rsidRPr="00840530">
              <w:rPr>
                <w:rFonts w:ascii="Arial" w:hAnsi="Arial" w:cs="Arial"/>
                <w:b/>
                <w:sz w:val="16"/>
                <w:szCs w:val="16"/>
              </w:rPr>
              <w:t>.1</w:t>
            </w:r>
          </w:p>
          <w:p w:rsidR="00A01FB5" w:rsidRPr="00C9304F" w:rsidRDefault="00A01FB5" w:rsidP="003B05B6">
            <w:pPr>
              <w:rPr>
                <w:rFonts w:ascii="Arial" w:hAnsi="Arial" w:cs="Arial"/>
                <w:i/>
                <w:sz w:val="16"/>
                <w:szCs w:val="16"/>
              </w:rPr>
            </w:pPr>
            <w:r w:rsidRPr="00C9304F">
              <w:rPr>
                <w:rFonts w:ascii="Arial" w:hAnsi="Arial" w:cs="Arial"/>
                <w:i/>
                <w:sz w:val="16"/>
                <w:szCs w:val="16"/>
              </w:rPr>
              <w:t>Total de Inmigrantes y Emigrantes por Provincia</w:t>
            </w:r>
          </w:p>
          <w:tbl>
            <w:tblPr>
              <w:tblW w:w="6341" w:type="dxa"/>
              <w:jc w:val="center"/>
              <w:tblCellMar>
                <w:left w:w="70" w:type="dxa"/>
                <w:right w:w="70" w:type="dxa"/>
              </w:tblCellMar>
              <w:tblLook w:val="04A0" w:firstRow="1" w:lastRow="0" w:firstColumn="1" w:lastColumn="0" w:noHBand="0" w:noVBand="1"/>
            </w:tblPr>
            <w:tblGrid>
              <w:gridCol w:w="1920"/>
              <w:gridCol w:w="1417"/>
              <w:gridCol w:w="1417"/>
              <w:gridCol w:w="1587"/>
            </w:tblGrid>
            <w:tr w:rsidR="00A01FB5" w:rsidRPr="00591C11" w:rsidTr="003B05B6">
              <w:trPr>
                <w:trHeight w:val="20"/>
                <w:jc w:val="center"/>
              </w:trPr>
              <w:tc>
                <w:tcPr>
                  <w:tcW w:w="1920" w:type="dxa"/>
                  <w:tcBorders>
                    <w:top w:val="single" w:sz="4" w:space="0" w:color="auto"/>
                    <w:left w:val="nil"/>
                    <w:bottom w:val="single" w:sz="4" w:space="0" w:color="auto"/>
                    <w:right w:val="nil"/>
                  </w:tcBorders>
                  <w:shd w:val="clear" w:color="auto" w:fill="auto"/>
                  <w:vAlign w:val="center"/>
                  <w:hideMark/>
                </w:tcPr>
                <w:p w:rsidR="00A01FB5" w:rsidRPr="00591C11" w:rsidRDefault="00A01FB5" w:rsidP="003B05B6">
                  <w:pPr>
                    <w:rPr>
                      <w:rFonts w:ascii="Arial" w:eastAsia="Times New Roman" w:hAnsi="Arial" w:cs="Arial"/>
                      <w:b/>
                      <w:bCs/>
                      <w:sz w:val="16"/>
                      <w:szCs w:val="16"/>
                      <w:lang w:eastAsia="es-EC"/>
                    </w:rPr>
                  </w:pPr>
                  <w:r w:rsidRPr="00591C11">
                    <w:rPr>
                      <w:rFonts w:ascii="Arial" w:eastAsia="Times New Roman" w:hAnsi="Arial" w:cs="Arial"/>
                      <w:b/>
                      <w:bCs/>
                      <w:sz w:val="16"/>
                      <w:szCs w:val="16"/>
                      <w:lang w:eastAsia="es-EC"/>
                    </w:rPr>
                    <w:t>Provincia</w:t>
                  </w:r>
                </w:p>
              </w:tc>
              <w:tc>
                <w:tcPr>
                  <w:tcW w:w="1417" w:type="dxa"/>
                  <w:tcBorders>
                    <w:top w:val="single" w:sz="4" w:space="0" w:color="auto"/>
                    <w:left w:val="nil"/>
                    <w:bottom w:val="single" w:sz="4" w:space="0" w:color="auto"/>
                    <w:right w:val="nil"/>
                  </w:tcBorders>
                  <w:shd w:val="clear" w:color="auto" w:fill="auto"/>
                  <w:vAlign w:val="center"/>
                  <w:hideMark/>
                </w:tcPr>
                <w:p w:rsidR="00A01FB5" w:rsidRPr="00591C11" w:rsidRDefault="00A01FB5" w:rsidP="003B05B6">
                  <w:pPr>
                    <w:rPr>
                      <w:rFonts w:ascii="Arial" w:eastAsia="Times New Roman" w:hAnsi="Arial" w:cs="Arial"/>
                      <w:b/>
                      <w:bCs/>
                      <w:sz w:val="16"/>
                      <w:szCs w:val="16"/>
                      <w:lang w:eastAsia="es-EC"/>
                    </w:rPr>
                  </w:pPr>
                  <w:r w:rsidRPr="00591C11">
                    <w:rPr>
                      <w:rFonts w:ascii="Arial" w:eastAsia="Times New Roman" w:hAnsi="Arial" w:cs="Arial"/>
                      <w:b/>
                      <w:bCs/>
                      <w:sz w:val="16"/>
                      <w:szCs w:val="16"/>
                      <w:lang w:eastAsia="es-EC"/>
                    </w:rPr>
                    <w:t>Inmigrantes</w:t>
                  </w:r>
                </w:p>
              </w:tc>
              <w:tc>
                <w:tcPr>
                  <w:tcW w:w="1417" w:type="dxa"/>
                  <w:tcBorders>
                    <w:top w:val="single" w:sz="4" w:space="0" w:color="auto"/>
                    <w:left w:val="nil"/>
                    <w:bottom w:val="single" w:sz="4" w:space="0" w:color="auto"/>
                    <w:right w:val="nil"/>
                  </w:tcBorders>
                  <w:shd w:val="clear" w:color="auto" w:fill="auto"/>
                  <w:vAlign w:val="center"/>
                  <w:hideMark/>
                </w:tcPr>
                <w:p w:rsidR="00A01FB5" w:rsidRPr="00591C11" w:rsidRDefault="00A01FB5" w:rsidP="003B05B6">
                  <w:pPr>
                    <w:rPr>
                      <w:rFonts w:ascii="Arial" w:eastAsia="Times New Roman" w:hAnsi="Arial" w:cs="Arial"/>
                      <w:b/>
                      <w:bCs/>
                      <w:sz w:val="16"/>
                      <w:szCs w:val="16"/>
                      <w:lang w:eastAsia="es-EC"/>
                    </w:rPr>
                  </w:pPr>
                  <w:r w:rsidRPr="00591C11">
                    <w:rPr>
                      <w:rFonts w:ascii="Arial" w:eastAsia="Times New Roman" w:hAnsi="Arial" w:cs="Arial"/>
                      <w:b/>
                      <w:bCs/>
                      <w:sz w:val="16"/>
                      <w:szCs w:val="16"/>
                      <w:lang w:eastAsia="es-EC"/>
                    </w:rPr>
                    <w:t>Emigrantes</w:t>
                  </w:r>
                </w:p>
              </w:tc>
              <w:tc>
                <w:tcPr>
                  <w:tcW w:w="1587" w:type="dxa"/>
                  <w:tcBorders>
                    <w:top w:val="single" w:sz="4" w:space="0" w:color="auto"/>
                    <w:left w:val="nil"/>
                    <w:bottom w:val="single" w:sz="4" w:space="0" w:color="auto"/>
                    <w:right w:val="nil"/>
                  </w:tcBorders>
                  <w:shd w:val="clear" w:color="auto" w:fill="auto"/>
                  <w:vAlign w:val="center"/>
                  <w:hideMark/>
                </w:tcPr>
                <w:p w:rsidR="00A01FB5" w:rsidRPr="00591C11" w:rsidRDefault="00A01FB5" w:rsidP="003B05B6">
                  <w:pPr>
                    <w:rPr>
                      <w:rFonts w:ascii="Arial" w:eastAsia="Times New Roman" w:hAnsi="Arial" w:cs="Arial"/>
                      <w:b/>
                      <w:bCs/>
                      <w:sz w:val="16"/>
                      <w:szCs w:val="16"/>
                      <w:lang w:eastAsia="es-EC"/>
                    </w:rPr>
                  </w:pPr>
                  <w:r w:rsidRPr="00591C11">
                    <w:rPr>
                      <w:rFonts w:ascii="Arial" w:eastAsia="Times New Roman" w:hAnsi="Arial" w:cs="Arial"/>
                      <w:b/>
                      <w:bCs/>
                      <w:sz w:val="16"/>
                      <w:szCs w:val="16"/>
                      <w:lang w:eastAsia="es-EC"/>
                    </w:rPr>
                    <w:t>Crecimiento Poblacional</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Azuay</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100796</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116305</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-15509</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Bolívar</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19404</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136708</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-117304</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Cañar</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46111</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51449</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-5338</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Carchi</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17213</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101453</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-84240</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Cotopaxi</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53268</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153409</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-100141</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Chimborazo</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42458</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187086</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-144628</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El Oro</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147614</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109509</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38105</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Esmeraldas</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114231</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153671</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-39440</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Guayas</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722962</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272567</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450395</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Imbabura</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59011</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115884</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-56873</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Loja</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36310</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235200</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-198890</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Los Ríos</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151473</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252871</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-101398</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Manabí</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84344</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585085</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-500741</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Morona Santiago</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28718</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24060</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4658</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Napo</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22791</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26510</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-3719</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Pastaza</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30962</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14677</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16285</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Pichincha</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786693</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155994</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630699</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Tungurahua</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66832</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106766</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-39934</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Zamora Chinchipe</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30997</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19208</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11789</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Galápagos</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14546</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2362</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12184</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Sucumbíos</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75701</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22443</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53258</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Orellana</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60928</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11407</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49521</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Santo Domingo</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172192</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80747</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91445</w:t>
                  </w:r>
                </w:p>
              </w:tc>
            </w:tr>
            <w:tr w:rsidR="00A01FB5" w:rsidRPr="00591C11" w:rsidTr="003B05B6">
              <w:trPr>
                <w:trHeight w:val="20"/>
                <w:jc w:val="center"/>
              </w:trPr>
              <w:tc>
                <w:tcPr>
                  <w:tcW w:w="1920" w:type="dxa"/>
                  <w:tcBorders>
                    <w:top w:val="nil"/>
                    <w:left w:val="nil"/>
                    <w:bottom w:val="nil"/>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Santa Elena</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59619</w:t>
                  </w:r>
                </w:p>
              </w:tc>
              <w:tc>
                <w:tcPr>
                  <w:tcW w:w="1417" w:type="dxa"/>
                  <w:tcBorders>
                    <w:top w:val="nil"/>
                    <w:left w:val="nil"/>
                    <w:bottom w:val="nil"/>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31328</w:t>
                  </w:r>
                </w:p>
              </w:tc>
              <w:tc>
                <w:tcPr>
                  <w:tcW w:w="1587" w:type="dxa"/>
                  <w:tcBorders>
                    <w:top w:val="nil"/>
                    <w:left w:val="nil"/>
                    <w:bottom w:val="nil"/>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28291</w:t>
                  </w:r>
                </w:p>
              </w:tc>
            </w:tr>
            <w:tr w:rsidR="00A01FB5" w:rsidRPr="00591C11" w:rsidTr="003B05B6">
              <w:trPr>
                <w:trHeight w:val="20"/>
                <w:jc w:val="center"/>
              </w:trPr>
              <w:tc>
                <w:tcPr>
                  <w:tcW w:w="1920" w:type="dxa"/>
                  <w:tcBorders>
                    <w:top w:val="nil"/>
                    <w:left w:val="nil"/>
                    <w:bottom w:val="single" w:sz="4" w:space="0" w:color="auto"/>
                    <w:right w:val="nil"/>
                  </w:tcBorders>
                  <w:shd w:val="clear" w:color="auto" w:fill="auto"/>
                  <w:noWrap/>
                  <w:vAlign w:val="center"/>
                  <w:hideMark/>
                </w:tcPr>
                <w:p w:rsidR="00A01FB5" w:rsidRPr="00591C11" w:rsidRDefault="00A01FB5" w:rsidP="00082342">
                  <w:pPr>
                    <w:jc w:val="left"/>
                    <w:rPr>
                      <w:rFonts w:ascii="Arial" w:eastAsia="Times New Roman" w:hAnsi="Arial" w:cs="Arial"/>
                      <w:sz w:val="16"/>
                      <w:szCs w:val="16"/>
                      <w:lang w:eastAsia="es-EC"/>
                    </w:rPr>
                  </w:pPr>
                  <w:r w:rsidRPr="00591C11">
                    <w:rPr>
                      <w:rFonts w:ascii="Arial" w:eastAsia="Times New Roman" w:hAnsi="Arial" w:cs="Arial"/>
                      <w:sz w:val="16"/>
                      <w:szCs w:val="16"/>
                      <w:lang w:eastAsia="es-EC"/>
                    </w:rPr>
                    <w:t>Zonas No Delimitadas</w:t>
                  </w:r>
                </w:p>
              </w:tc>
              <w:tc>
                <w:tcPr>
                  <w:tcW w:w="1417" w:type="dxa"/>
                  <w:tcBorders>
                    <w:top w:val="nil"/>
                    <w:left w:val="nil"/>
                    <w:bottom w:val="single" w:sz="4" w:space="0" w:color="auto"/>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21741</w:t>
                  </w:r>
                </w:p>
              </w:tc>
              <w:tc>
                <w:tcPr>
                  <w:tcW w:w="1417" w:type="dxa"/>
                  <w:tcBorders>
                    <w:top w:val="nil"/>
                    <w:left w:val="nil"/>
                    <w:bottom w:val="single" w:sz="4" w:space="0" w:color="auto"/>
                    <w:right w:val="nil"/>
                  </w:tcBorders>
                  <w:shd w:val="clear" w:color="auto" w:fill="auto"/>
                  <w:noWrap/>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216</w:t>
                  </w:r>
                </w:p>
              </w:tc>
              <w:tc>
                <w:tcPr>
                  <w:tcW w:w="1587" w:type="dxa"/>
                  <w:tcBorders>
                    <w:top w:val="nil"/>
                    <w:left w:val="nil"/>
                    <w:bottom w:val="single" w:sz="4" w:space="0" w:color="auto"/>
                    <w:right w:val="nil"/>
                  </w:tcBorders>
                  <w:shd w:val="clear" w:color="auto" w:fill="auto"/>
                  <w:vAlign w:val="center"/>
                  <w:hideMark/>
                </w:tcPr>
                <w:p w:rsidR="00A01FB5" w:rsidRPr="00591C11" w:rsidRDefault="00A01FB5" w:rsidP="003B05B6">
                  <w:pPr>
                    <w:rPr>
                      <w:rFonts w:ascii="Arial" w:eastAsia="Times New Roman" w:hAnsi="Arial" w:cs="Arial"/>
                      <w:sz w:val="16"/>
                      <w:szCs w:val="16"/>
                      <w:lang w:eastAsia="es-EC"/>
                    </w:rPr>
                  </w:pPr>
                  <w:r w:rsidRPr="00591C11">
                    <w:rPr>
                      <w:rFonts w:ascii="Arial" w:eastAsia="Times New Roman" w:hAnsi="Arial" w:cs="Arial"/>
                      <w:sz w:val="16"/>
                      <w:szCs w:val="16"/>
                      <w:lang w:eastAsia="es-EC"/>
                    </w:rPr>
                    <w:t>21525</w:t>
                  </w:r>
                </w:p>
              </w:tc>
            </w:tr>
          </w:tbl>
          <w:p w:rsidR="00A01FB5" w:rsidRPr="00840530" w:rsidRDefault="00A01FB5" w:rsidP="003B05B6">
            <w:pPr>
              <w:ind w:left="7"/>
              <w:rPr>
                <w:rFonts w:ascii="Arial" w:hAnsi="Arial" w:cs="Arial"/>
                <w:sz w:val="24"/>
                <w:szCs w:val="24"/>
              </w:rPr>
            </w:pPr>
          </w:p>
        </w:tc>
      </w:tr>
    </w:tbl>
    <w:p w:rsidR="00A01FB5" w:rsidRPr="004C31C6" w:rsidRDefault="00A01FB5" w:rsidP="001D505F">
      <w:pPr>
        <w:pStyle w:val="Prrafodelista"/>
        <w:spacing w:line="276" w:lineRule="auto"/>
        <w:ind w:left="0"/>
        <w:jc w:val="both"/>
        <w:rPr>
          <w:rFonts w:ascii="Arial" w:hAnsi="Arial" w:cs="Arial"/>
          <w:b/>
          <w:i/>
          <w:sz w:val="18"/>
          <w:szCs w:val="18"/>
        </w:rPr>
      </w:pPr>
    </w:p>
    <w:p w:rsidR="00A01FB5" w:rsidRPr="004C31C6" w:rsidRDefault="00A01FB5" w:rsidP="001D505F">
      <w:pPr>
        <w:pStyle w:val="Prrafodelista"/>
        <w:spacing w:line="276" w:lineRule="auto"/>
        <w:ind w:left="0"/>
        <w:jc w:val="both"/>
        <w:rPr>
          <w:rFonts w:ascii="Arial" w:hAnsi="Arial" w:cs="Arial"/>
          <w:sz w:val="18"/>
          <w:szCs w:val="18"/>
        </w:rPr>
      </w:pPr>
      <w:r w:rsidRPr="004C31C6">
        <w:rPr>
          <w:rFonts w:ascii="Arial" w:hAnsi="Arial" w:cs="Arial"/>
          <w:b/>
          <w:i/>
          <w:sz w:val="18"/>
          <w:szCs w:val="18"/>
        </w:rPr>
        <w:t>Fuente:</w:t>
      </w:r>
      <w:r w:rsidRPr="004C31C6">
        <w:rPr>
          <w:rFonts w:ascii="Arial" w:hAnsi="Arial" w:cs="Arial"/>
          <w:sz w:val="18"/>
          <w:szCs w:val="18"/>
        </w:rPr>
        <w:t xml:space="preserve"> </w:t>
      </w:r>
      <w:r w:rsidRPr="004C31C6">
        <w:rPr>
          <w:rFonts w:ascii="Arial" w:hAnsi="Arial" w:cs="Arial"/>
          <w:b/>
          <w:sz w:val="18"/>
          <w:szCs w:val="18"/>
        </w:rPr>
        <w:t xml:space="preserve">INEC </w:t>
      </w:r>
      <w:r w:rsidRPr="004C31C6">
        <w:rPr>
          <w:rFonts w:ascii="Arial" w:hAnsi="Arial" w:cs="Arial"/>
          <w:sz w:val="18"/>
          <w:szCs w:val="18"/>
        </w:rPr>
        <w:t>(2010), Base de Datos del VII Censo de Población y VI de Vivienda.</w:t>
      </w:r>
    </w:p>
    <w:p w:rsidR="00A01FB5" w:rsidRPr="004C31C6" w:rsidRDefault="00A01FB5" w:rsidP="001D505F">
      <w:pPr>
        <w:pStyle w:val="Prrafodelista"/>
        <w:spacing w:line="276" w:lineRule="auto"/>
        <w:ind w:left="0"/>
        <w:jc w:val="both"/>
        <w:rPr>
          <w:rFonts w:ascii="Arial" w:hAnsi="Arial" w:cs="Arial"/>
          <w:sz w:val="18"/>
          <w:szCs w:val="18"/>
        </w:rPr>
      </w:pPr>
      <w:r w:rsidRPr="004C31C6">
        <w:rPr>
          <w:rFonts w:ascii="Arial" w:hAnsi="Arial" w:cs="Arial"/>
          <w:b/>
          <w:i/>
          <w:sz w:val="18"/>
          <w:szCs w:val="18"/>
        </w:rPr>
        <w:t>Elaborado por:</w:t>
      </w:r>
      <w:r w:rsidRPr="004C31C6">
        <w:rPr>
          <w:rFonts w:ascii="Arial" w:hAnsi="Arial" w:cs="Arial"/>
          <w:sz w:val="18"/>
          <w:szCs w:val="18"/>
        </w:rPr>
        <w:t xml:space="preserve"> Katherine Loor Valeriano</w:t>
      </w:r>
    </w:p>
    <w:p w:rsidR="00A01FB5" w:rsidRPr="00480AFA" w:rsidRDefault="00A01FB5" w:rsidP="00A01FB5">
      <w:pPr>
        <w:pStyle w:val="Prrafodelista"/>
        <w:jc w:val="both"/>
        <w:rPr>
          <w:rFonts w:ascii="Arial" w:hAnsi="Arial" w:cs="Arial"/>
          <w:sz w:val="18"/>
          <w:szCs w:val="18"/>
        </w:rPr>
      </w:pPr>
    </w:p>
    <w:tbl>
      <w:tblPr>
        <w:tblStyle w:val="Tablaconcuadrcula"/>
        <w:tblW w:w="0" w:type="auto"/>
        <w:jc w:val="right"/>
        <w:tblInd w:w="10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8386"/>
      </w:tblGrid>
      <w:tr w:rsidR="00A01FB5" w:rsidRPr="00840530" w:rsidTr="001D505F">
        <w:trPr>
          <w:trHeight w:val="5509"/>
          <w:jc w:val="right"/>
        </w:trPr>
        <w:tc>
          <w:tcPr>
            <w:tcW w:w="8386" w:type="dxa"/>
          </w:tcPr>
          <w:p w:rsidR="00A01FB5" w:rsidRPr="00840530" w:rsidRDefault="00A01FB5" w:rsidP="003B05B6">
            <w:pPr>
              <w:rPr>
                <w:rFonts w:ascii="Arial" w:hAnsi="Arial" w:cs="Arial"/>
                <w:sz w:val="16"/>
                <w:szCs w:val="16"/>
              </w:rPr>
            </w:pPr>
          </w:p>
          <w:p w:rsidR="00A01FB5" w:rsidRPr="00026038" w:rsidRDefault="00A01FB5" w:rsidP="003B05B6">
            <w:pPr>
              <w:rPr>
                <w:rFonts w:ascii="Arial" w:hAnsi="Arial" w:cs="Arial"/>
                <w:b/>
                <w:sz w:val="16"/>
                <w:szCs w:val="16"/>
              </w:rPr>
            </w:pPr>
            <w:r w:rsidRPr="00026038">
              <w:rPr>
                <w:rFonts w:ascii="Arial" w:hAnsi="Arial" w:cs="Arial"/>
                <w:b/>
                <w:sz w:val="16"/>
                <w:szCs w:val="16"/>
              </w:rPr>
              <w:t xml:space="preserve">Tabla </w:t>
            </w:r>
            <w:r>
              <w:rPr>
                <w:rFonts w:ascii="Arial" w:hAnsi="Arial" w:cs="Arial"/>
                <w:b/>
                <w:sz w:val="16"/>
                <w:szCs w:val="16"/>
              </w:rPr>
              <w:t>B</w:t>
            </w:r>
            <w:r w:rsidRPr="00026038">
              <w:rPr>
                <w:rFonts w:ascii="Arial" w:hAnsi="Arial" w:cs="Arial"/>
                <w:b/>
                <w:sz w:val="16"/>
                <w:szCs w:val="16"/>
              </w:rPr>
              <w:t>.2</w:t>
            </w:r>
          </w:p>
          <w:p w:rsidR="00A01FB5" w:rsidRPr="00C9304F" w:rsidRDefault="00A01FB5" w:rsidP="003B05B6">
            <w:pPr>
              <w:rPr>
                <w:rFonts w:ascii="Arial" w:hAnsi="Arial" w:cs="Arial"/>
                <w:i/>
                <w:sz w:val="16"/>
                <w:szCs w:val="16"/>
              </w:rPr>
            </w:pPr>
            <w:r w:rsidRPr="00026038">
              <w:rPr>
                <w:rFonts w:ascii="Arial" w:hAnsi="Arial" w:cs="Arial"/>
                <w:i/>
                <w:sz w:val="16"/>
                <w:szCs w:val="16"/>
              </w:rPr>
              <w:t>Tasa de Inmigración y Emigración por cada 1000 residentes o nacimientos por Provincia</w:t>
            </w:r>
          </w:p>
          <w:tbl>
            <w:tblPr>
              <w:tblW w:w="5330" w:type="dxa"/>
              <w:jc w:val="center"/>
              <w:tblCellMar>
                <w:left w:w="70" w:type="dxa"/>
                <w:right w:w="70" w:type="dxa"/>
              </w:tblCellMar>
              <w:tblLook w:val="04A0" w:firstRow="1" w:lastRow="0" w:firstColumn="1" w:lastColumn="0" w:noHBand="0" w:noVBand="1"/>
            </w:tblPr>
            <w:tblGrid>
              <w:gridCol w:w="2268"/>
              <w:gridCol w:w="1531"/>
              <w:gridCol w:w="1531"/>
            </w:tblGrid>
            <w:tr w:rsidR="00A01FB5" w:rsidRPr="00026038" w:rsidTr="001D505F">
              <w:trPr>
                <w:trHeight w:val="20"/>
                <w:jc w:val="center"/>
              </w:trPr>
              <w:tc>
                <w:tcPr>
                  <w:tcW w:w="2268" w:type="dxa"/>
                  <w:tcBorders>
                    <w:top w:val="single" w:sz="4" w:space="0" w:color="auto"/>
                    <w:left w:val="nil"/>
                    <w:bottom w:val="single" w:sz="4" w:space="0" w:color="auto"/>
                    <w:right w:val="nil"/>
                  </w:tcBorders>
                  <w:shd w:val="clear" w:color="auto" w:fill="auto"/>
                  <w:vAlign w:val="center"/>
                  <w:hideMark/>
                </w:tcPr>
                <w:p w:rsidR="00A01FB5" w:rsidRPr="00026038" w:rsidRDefault="00A01FB5" w:rsidP="00082342">
                  <w:pPr>
                    <w:rPr>
                      <w:rFonts w:ascii="Arial" w:eastAsia="Times New Roman" w:hAnsi="Arial" w:cs="Arial"/>
                      <w:b/>
                      <w:bCs/>
                      <w:sz w:val="16"/>
                      <w:szCs w:val="16"/>
                      <w:lang w:eastAsia="es-EC"/>
                    </w:rPr>
                  </w:pPr>
                  <w:r w:rsidRPr="00026038">
                    <w:rPr>
                      <w:rFonts w:ascii="Arial" w:eastAsia="Times New Roman" w:hAnsi="Arial" w:cs="Arial"/>
                      <w:b/>
                      <w:bCs/>
                      <w:sz w:val="16"/>
                      <w:szCs w:val="16"/>
                      <w:lang w:eastAsia="es-EC"/>
                    </w:rPr>
                    <w:t>Provincia</w:t>
                  </w:r>
                </w:p>
              </w:tc>
              <w:tc>
                <w:tcPr>
                  <w:tcW w:w="1531" w:type="dxa"/>
                  <w:tcBorders>
                    <w:top w:val="single" w:sz="4" w:space="0" w:color="auto"/>
                    <w:left w:val="nil"/>
                    <w:bottom w:val="single" w:sz="4" w:space="0" w:color="auto"/>
                    <w:right w:val="nil"/>
                  </w:tcBorders>
                  <w:shd w:val="clear" w:color="auto" w:fill="auto"/>
                  <w:vAlign w:val="center"/>
                  <w:hideMark/>
                </w:tcPr>
                <w:p w:rsidR="00A01FB5" w:rsidRPr="00026038" w:rsidRDefault="00A01FB5" w:rsidP="003B05B6">
                  <w:pPr>
                    <w:rPr>
                      <w:rFonts w:ascii="Arial" w:eastAsia="Times New Roman" w:hAnsi="Arial" w:cs="Arial"/>
                      <w:b/>
                      <w:bCs/>
                      <w:sz w:val="16"/>
                      <w:szCs w:val="16"/>
                      <w:lang w:eastAsia="es-EC"/>
                    </w:rPr>
                  </w:pPr>
                  <w:r w:rsidRPr="00026038">
                    <w:rPr>
                      <w:rFonts w:ascii="Arial" w:eastAsia="Times New Roman" w:hAnsi="Arial" w:cs="Arial"/>
                      <w:b/>
                      <w:bCs/>
                      <w:sz w:val="16"/>
                      <w:szCs w:val="16"/>
                      <w:lang w:eastAsia="es-EC"/>
                    </w:rPr>
                    <w:t>Inmigrantes</w:t>
                  </w:r>
                </w:p>
              </w:tc>
              <w:tc>
                <w:tcPr>
                  <w:tcW w:w="1531" w:type="dxa"/>
                  <w:tcBorders>
                    <w:top w:val="single" w:sz="4" w:space="0" w:color="auto"/>
                    <w:left w:val="nil"/>
                    <w:bottom w:val="single" w:sz="4" w:space="0" w:color="auto"/>
                    <w:right w:val="nil"/>
                  </w:tcBorders>
                  <w:shd w:val="clear" w:color="auto" w:fill="auto"/>
                  <w:vAlign w:val="center"/>
                  <w:hideMark/>
                </w:tcPr>
                <w:p w:rsidR="00A01FB5" w:rsidRPr="00026038" w:rsidRDefault="00A01FB5" w:rsidP="003B05B6">
                  <w:pPr>
                    <w:rPr>
                      <w:rFonts w:ascii="Arial" w:eastAsia="Times New Roman" w:hAnsi="Arial" w:cs="Arial"/>
                      <w:b/>
                      <w:bCs/>
                      <w:sz w:val="16"/>
                      <w:szCs w:val="16"/>
                      <w:lang w:eastAsia="es-EC"/>
                    </w:rPr>
                  </w:pPr>
                  <w:r w:rsidRPr="00026038">
                    <w:rPr>
                      <w:rFonts w:ascii="Arial" w:eastAsia="Times New Roman" w:hAnsi="Arial" w:cs="Arial"/>
                      <w:b/>
                      <w:bCs/>
                      <w:sz w:val="16"/>
                      <w:szCs w:val="16"/>
                      <w:lang w:eastAsia="es-EC"/>
                    </w:rPr>
                    <w:t>Emigrantes</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Azuay</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144.09</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162.66</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Bolívar</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105.79</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454.61</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Cañar</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207.33</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225.91</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Carchi</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113.32</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429.64</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Cotopaxi</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131.05</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302.82</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Chimborazo</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92.95</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311.08</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El Oro</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249.26</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197.63</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Esmeraldas</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217.70</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272.39</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Guayas</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200.36</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86.31</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Imbabura</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151.26</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259.24</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Loja</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81.47</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364.88</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Los Ríos</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195.25</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288.28</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Manabí</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61.81</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313.65</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Morona Santiago</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195.71</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169.34</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Napo</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223.07</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250.36</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Pastaza</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374.15</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220.81</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Pichincha</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312.32</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82.62</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Tungurahua</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133.82</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197.95</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Zamora Chinchipe</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346.39</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247.22</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Galápagos</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626.09</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213.78</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Sucumbíos</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462.44</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203.21</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Orellana</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462.13</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138.57</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Santo Domingo</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477.41</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299.91</w:t>
                  </w:r>
                </w:p>
              </w:tc>
            </w:tr>
            <w:tr w:rsidR="00A01FB5" w:rsidRPr="00026038" w:rsidTr="001D505F">
              <w:trPr>
                <w:trHeight w:val="20"/>
                <w:jc w:val="center"/>
              </w:trPr>
              <w:tc>
                <w:tcPr>
                  <w:tcW w:w="2268" w:type="dxa"/>
                  <w:tcBorders>
                    <w:top w:val="nil"/>
                    <w:left w:val="nil"/>
                    <w:bottom w:val="nil"/>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Santa Elena</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195.54</w:t>
                  </w:r>
                </w:p>
              </w:tc>
              <w:tc>
                <w:tcPr>
                  <w:tcW w:w="1531" w:type="dxa"/>
                  <w:tcBorders>
                    <w:top w:val="nil"/>
                    <w:left w:val="nil"/>
                    <w:bottom w:val="nil"/>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113.26</w:t>
                  </w:r>
                </w:p>
              </w:tc>
            </w:tr>
            <w:tr w:rsidR="00A01FB5" w:rsidRPr="00026038" w:rsidTr="001D505F">
              <w:trPr>
                <w:trHeight w:val="20"/>
                <w:jc w:val="center"/>
              </w:trPr>
              <w:tc>
                <w:tcPr>
                  <w:tcW w:w="2268" w:type="dxa"/>
                  <w:tcBorders>
                    <w:top w:val="nil"/>
                    <w:left w:val="nil"/>
                    <w:bottom w:val="single" w:sz="4" w:space="0" w:color="auto"/>
                    <w:right w:val="nil"/>
                  </w:tcBorders>
                  <w:shd w:val="clear" w:color="auto" w:fill="auto"/>
                  <w:noWrap/>
                  <w:vAlign w:val="center"/>
                  <w:hideMark/>
                </w:tcPr>
                <w:p w:rsidR="00A01FB5" w:rsidRPr="00026038" w:rsidRDefault="00A01FB5" w:rsidP="00082342">
                  <w:pPr>
                    <w:jc w:val="left"/>
                    <w:rPr>
                      <w:rFonts w:ascii="Arial" w:eastAsia="Times New Roman" w:hAnsi="Arial" w:cs="Arial"/>
                      <w:sz w:val="16"/>
                      <w:szCs w:val="16"/>
                      <w:lang w:eastAsia="es-EC"/>
                    </w:rPr>
                  </w:pPr>
                  <w:r w:rsidRPr="00026038">
                    <w:rPr>
                      <w:rFonts w:ascii="Arial" w:eastAsia="Times New Roman" w:hAnsi="Arial" w:cs="Arial"/>
                      <w:sz w:val="16"/>
                      <w:szCs w:val="16"/>
                      <w:lang w:eastAsia="es-EC"/>
                    </w:rPr>
                    <w:t>Zonas No Delimitadas</w:t>
                  </w:r>
                </w:p>
              </w:tc>
              <w:tc>
                <w:tcPr>
                  <w:tcW w:w="1531" w:type="dxa"/>
                  <w:tcBorders>
                    <w:top w:val="nil"/>
                    <w:left w:val="nil"/>
                    <w:bottom w:val="single" w:sz="4" w:space="0" w:color="auto"/>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689.25</w:t>
                  </w:r>
                </w:p>
              </w:tc>
              <w:tc>
                <w:tcPr>
                  <w:tcW w:w="1531" w:type="dxa"/>
                  <w:tcBorders>
                    <w:top w:val="nil"/>
                    <w:left w:val="nil"/>
                    <w:bottom w:val="single" w:sz="4" w:space="0" w:color="auto"/>
                    <w:right w:val="nil"/>
                  </w:tcBorders>
                  <w:shd w:val="clear" w:color="auto" w:fill="auto"/>
                  <w:noWrap/>
                  <w:vAlign w:val="center"/>
                </w:tcPr>
                <w:p w:rsidR="00A01FB5" w:rsidRPr="0043584F" w:rsidRDefault="00A01FB5" w:rsidP="003B05B6">
                  <w:pPr>
                    <w:rPr>
                      <w:rFonts w:ascii="Arial" w:hAnsi="Arial" w:cs="Arial"/>
                      <w:sz w:val="16"/>
                      <w:szCs w:val="16"/>
                    </w:rPr>
                  </w:pPr>
                  <w:r w:rsidRPr="0043584F">
                    <w:rPr>
                      <w:rFonts w:ascii="Arial" w:hAnsi="Arial" w:cs="Arial"/>
                      <w:sz w:val="16"/>
                      <w:szCs w:val="16"/>
                    </w:rPr>
                    <w:t>21.56</w:t>
                  </w:r>
                </w:p>
              </w:tc>
            </w:tr>
          </w:tbl>
          <w:p w:rsidR="00A01FB5" w:rsidRPr="00840530" w:rsidRDefault="00A01FB5" w:rsidP="003B05B6">
            <w:pPr>
              <w:ind w:left="7"/>
              <w:rPr>
                <w:rFonts w:ascii="Arial" w:hAnsi="Arial" w:cs="Arial"/>
                <w:sz w:val="24"/>
                <w:szCs w:val="24"/>
              </w:rPr>
            </w:pPr>
          </w:p>
        </w:tc>
      </w:tr>
    </w:tbl>
    <w:p w:rsidR="00A01FB5" w:rsidRPr="004C31C6" w:rsidRDefault="00A01FB5" w:rsidP="001D505F">
      <w:pPr>
        <w:pStyle w:val="Prrafodelista"/>
        <w:spacing w:line="276" w:lineRule="auto"/>
        <w:ind w:left="0"/>
        <w:jc w:val="both"/>
        <w:rPr>
          <w:rFonts w:ascii="Arial" w:hAnsi="Arial" w:cs="Arial"/>
          <w:b/>
          <w:i/>
          <w:sz w:val="18"/>
          <w:szCs w:val="18"/>
        </w:rPr>
      </w:pPr>
    </w:p>
    <w:p w:rsidR="00A01FB5" w:rsidRPr="004C31C6" w:rsidRDefault="00A01FB5" w:rsidP="001D505F">
      <w:pPr>
        <w:pStyle w:val="Prrafodelista"/>
        <w:spacing w:line="276" w:lineRule="auto"/>
        <w:ind w:left="0"/>
        <w:jc w:val="both"/>
        <w:rPr>
          <w:rFonts w:ascii="Arial" w:hAnsi="Arial" w:cs="Arial"/>
          <w:sz w:val="18"/>
          <w:szCs w:val="18"/>
        </w:rPr>
      </w:pPr>
      <w:r w:rsidRPr="004C31C6">
        <w:rPr>
          <w:rFonts w:ascii="Arial" w:hAnsi="Arial" w:cs="Arial"/>
          <w:b/>
          <w:i/>
          <w:sz w:val="18"/>
          <w:szCs w:val="18"/>
        </w:rPr>
        <w:t>Fuente:</w:t>
      </w:r>
      <w:r w:rsidRPr="004C31C6">
        <w:rPr>
          <w:rFonts w:ascii="Arial" w:hAnsi="Arial" w:cs="Arial"/>
          <w:sz w:val="18"/>
          <w:szCs w:val="18"/>
        </w:rPr>
        <w:t xml:space="preserve"> </w:t>
      </w:r>
      <w:r w:rsidRPr="004C31C6">
        <w:rPr>
          <w:rFonts w:ascii="Arial" w:hAnsi="Arial" w:cs="Arial"/>
          <w:b/>
          <w:sz w:val="18"/>
          <w:szCs w:val="18"/>
        </w:rPr>
        <w:t xml:space="preserve">INEC </w:t>
      </w:r>
      <w:r w:rsidRPr="004C31C6">
        <w:rPr>
          <w:rFonts w:ascii="Arial" w:hAnsi="Arial" w:cs="Arial"/>
          <w:sz w:val="18"/>
          <w:szCs w:val="18"/>
        </w:rPr>
        <w:t>(2010), Base de Datos del VII Censo de Población y VI de Vivienda.</w:t>
      </w:r>
    </w:p>
    <w:p w:rsidR="00A01FB5" w:rsidRPr="004C31C6" w:rsidRDefault="00A01FB5" w:rsidP="001D505F">
      <w:pPr>
        <w:pStyle w:val="Prrafodelista"/>
        <w:spacing w:line="276" w:lineRule="auto"/>
        <w:ind w:left="0"/>
        <w:jc w:val="both"/>
        <w:rPr>
          <w:rFonts w:ascii="Arial" w:hAnsi="Arial" w:cs="Arial"/>
          <w:sz w:val="18"/>
          <w:szCs w:val="18"/>
        </w:rPr>
      </w:pPr>
      <w:r w:rsidRPr="004C31C6">
        <w:rPr>
          <w:rFonts w:ascii="Arial" w:hAnsi="Arial" w:cs="Arial"/>
          <w:b/>
          <w:i/>
          <w:sz w:val="18"/>
          <w:szCs w:val="18"/>
        </w:rPr>
        <w:t>Elaborado por:</w:t>
      </w:r>
      <w:r w:rsidRPr="004C31C6">
        <w:rPr>
          <w:rFonts w:ascii="Arial" w:hAnsi="Arial" w:cs="Arial"/>
          <w:sz w:val="18"/>
          <w:szCs w:val="18"/>
        </w:rPr>
        <w:t xml:space="preserve"> Katherine Loor Valeriano</w:t>
      </w:r>
    </w:p>
    <w:p w:rsidR="00A01FB5" w:rsidRDefault="00A01FB5" w:rsidP="00A01FB5">
      <w:pPr>
        <w:pStyle w:val="Prrafodelista"/>
        <w:jc w:val="both"/>
        <w:rPr>
          <w:rFonts w:ascii="Arial" w:hAnsi="Arial" w:cs="Arial"/>
          <w:sz w:val="18"/>
          <w:szCs w:val="18"/>
        </w:rPr>
        <w:sectPr w:rsidR="00A01FB5" w:rsidSect="003B05B6">
          <w:pgSz w:w="11907" w:h="16839" w:code="9"/>
          <w:pgMar w:top="2268" w:right="1361" w:bottom="851" w:left="2268" w:header="708" w:footer="708" w:gutter="0"/>
          <w:cols w:space="708"/>
          <w:docGrid w:linePitch="360"/>
        </w:sectPr>
      </w:pPr>
    </w:p>
    <w:tbl>
      <w:tblPr>
        <w:tblStyle w:val="Tablaconcuadrcula"/>
        <w:tblW w:w="0" w:type="auto"/>
        <w:jc w:val="center"/>
        <w:tblInd w:w="-4421"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14726"/>
      </w:tblGrid>
      <w:tr w:rsidR="00A01FB5" w:rsidRPr="00840530" w:rsidTr="003B05B6">
        <w:trPr>
          <w:trHeight w:val="6633"/>
          <w:jc w:val="center"/>
        </w:trPr>
        <w:tc>
          <w:tcPr>
            <w:tcW w:w="14601" w:type="dxa"/>
          </w:tcPr>
          <w:p w:rsidR="00A01FB5" w:rsidRPr="00840530" w:rsidRDefault="00A01FB5" w:rsidP="003B05B6">
            <w:pPr>
              <w:rPr>
                <w:rFonts w:ascii="Arial" w:hAnsi="Arial" w:cs="Arial"/>
                <w:sz w:val="16"/>
                <w:szCs w:val="16"/>
              </w:rPr>
            </w:pPr>
          </w:p>
          <w:p w:rsidR="00A01FB5" w:rsidRPr="00840530" w:rsidRDefault="00A01FB5" w:rsidP="003B05B6">
            <w:pPr>
              <w:rPr>
                <w:rFonts w:ascii="Arial" w:hAnsi="Arial" w:cs="Arial"/>
                <w:b/>
                <w:sz w:val="16"/>
                <w:szCs w:val="16"/>
              </w:rPr>
            </w:pPr>
            <w:r w:rsidRPr="00840530">
              <w:rPr>
                <w:rFonts w:ascii="Arial" w:hAnsi="Arial" w:cs="Arial"/>
                <w:b/>
                <w:sz w:val="16"/>
                <w:szCs w:val="16"/>
              </w:rPr>
              <w:t xml:space="preserve">Tabla </w:t>
            </w:r>
            <w:r>
              <w:rPr>
                <w:rFonts w:ascii="Arial" w:hAnsi="Arial" w:cs="Arial"/>
                <w:b/>
                <w:sz w:val="16"/>
                <w:szCs w:val="16"/>
              </w:rPr>
              <w:t>B</w:t>
            </w:r>
            <w:r w:rsidRPr="00840530">
              <w:rPr>
                <w:rFonts w:ascii="Arial" w:hAnsi="Arial" w:cs="Arial"/>
                <w:b/>
                <w:sz w:val="16"/>
                <w:szCs w:val="16"/>
              </w:rPr>
              <w:t>.</w:t>
            </w:r>
            <w:r>
              <w:rPr>
                <w:rFonts w:ascii="Arial" w:hAnsi="Arial" w:cs="Arial"/>
                <w:b/>
                <w:sz w:val="16"/>
                <w:szCs w:val="16"/>
              </w:rPr>
              <w:t>3</w:t>
            </w:r>
          </w:p>
          <w:p w:rsidR="00A01FB5" w:rsidRPr="00634D60" w:rsidRDefault="00A01FB5" w:rsidP="003B05B6">
            <w:pPr>
              <w:rPr>
                <w:rFonts w:ascii="Arial" w:hAnsi="Arial" w:cs="Arial"/>
                <w:i/>
                <w:sz w:val="16"/>
                <w:szCs w:val="16"/>
              </w:rPr>
            </w:pPr>
            <w:r w:rsidRPr="00634D60">
              <w:rPr>
                <w:rFonts w:ascii="Arial" w:hAnsi="Arial" w:cs="Arial"/>
                <w:i/>
                <w:sz w:val="16"/>
                <w:szCs w:val="16"/>
              </w:rPr>
              <w:t>Proporción de Inmigrantes por Provincia de Nacimiento dado que se conoce la Provincia de Residencia habitual</w:t>
            </w:r>
          </w:p>
          <w:p w:rsidR="00A01FB5" w:rsidRPr="00634D60" w:rsidRDefault="00A01FB5" w:rsidP="003B05B6">
            <w:pPr>
              <w:rPr>
                <w:rFonts w:ascii="Arial" w:hAnsi="Arial" w:cs="Arial"/>
                <w:i/>
                <w:sz w:val="16"/>
                <w:szCs w:val="16"/>
              </w:rPr>
            </w:pPr>
          </w:p>
          <w:tbl>
            <w:tblPr>
              <w:tblW w:w="14510" w:type="dxa"/>
              <w:tblCellMar>
                <w:left w:w="0" w:type="dxa"/>
                <w:right w:w="0" w:type="dxa"/>
              </w:tblCellMar>
              <w:tblLook w:val="04A0" w:firstRow="1" w:lastRow="0" w:firstColumn="1" w:lastColumn="0" w:noHBand="0" w:noVBand="1"/>
            </w:tblPr>
            <w:tblGrid>
              <w:gridCol w:w="763"/>
              <w:gridCol w:w="417"/>
              <w:gridCol w:w="454"/>
              <w:gridCol w:w="418"/>
              <w:gridCol w:w="420"/>
              <w:gridCol w:w="493"/>
              <w:gridCol w:w="661"/>
              <w:gridCol w:w="431"/>
              <w:gridCol w:w="664"/>
              <w:gridCol w:w="486"/>
              <w:gridCol w:w="550"/>
              <w:gridCol w:w="475"/>
              <w:gridCol w:w="475"/>
              <w:gridCol w:w="483"/>
              <w:gridCol w:w="555"/>
              <w:gridCol w:w="475"/>
              <w:gridCol w:w="490"/>
              <w:gridCol w:w="553"/>
              <w:gridCol w:w="667"/>
              <w:gridCol w:w="621"/>
              <w:gridCol w:w="623"/>
              <w:gridCol w:w="623"/>
              <w:gridCol w:w="508"/>
              <w:gridCol w:w="565"/>
              <w:gridCol w:w="506"/>
              <w:gridCol w:w="680"/>
              <w:gridCol w:w="454"/>
            </w:tblGrid>
            <w:tr w:rsidR="005C07CF" w:rsidRPr="009A52B2" w:rsidTr="005C07CF">
              <w:trPr>
                <w:trHeight w:val="198"/>
              </w:trPr>
              <w:tc>
                <w:tcPr>
                  <w:tcW w:w="763" w:type="dxa"/>
                  <w:vMerge w:val="restart"/>
                  <w:tcBorders>
                    <w:top w:val="single" w:sz="4" w:space="0" w:color="auto"/>
                    <w:left w:val="nil"/>
                    <w:bottom w:val="single" w:sz="4" w:space="0" w:color="000000"/>
                    <w:right w:val="nil"/>
                  </w:tcBorders>
                  <w:shd w:val="clear" w:color="auto" w:fill="auto"/>
                  <w:vAlign w:val="center"/>
                  <w:hideMark/>
                </w:tcPr>
                <w:p w:rsidR="005C07CF" w:rsidRPr="009A52B2" w:rsidRDefault="005C07CF" w:rsidP="00082342">
                  <w:pPr>
                    <w:rPr>
                      <w:rFonts w:ascii="Arial" w:eastAsia="Times New Roman" w:hAnsi="Arial" w:cs="Arial"/>
                      <w:b/>
                      <w:bCs/>
                      <w:sz w:val="10"/>
                      <w:szCs w:val="10"/>
                      <w:lang w:eastAsia="es-EC"/>
                    </w:rPr>
                  </w:pPr>
                  <w:r w:rsidRPr="009A52B2">
                    <w:rPr>
                      <w:rFonts w:ascii="Arial" w:eastAsia="Times New Roman" w:hAnsi="Arial" w:cs="Arial"/>
                      <w:b/>
                      <w:bCs/>
                      <w:sz w:val="10"/>
                      <w:szCs w:val="10"/>
                      <w:lang w:eastAsia="es-EC"/>
                    </w:rPr>
                    <w:t>Provincia de Residencia</w:t>
                  </w:r>
                </w:p>
              </w:tc>
              <w:tc>
                <w:tcPr>
                  <w:tcW w:w="13293" w:type="dxa"/>
                  <w:gridSpan w:val="25"/>
                  <w:tcBorders>
                    <w:top w:val="single" w:sz="4" w:space="0" w:color="auto"/>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b/>
                      <w:bCs/>
                      <w:sz w:val="12"/>
                      <w:szCs w:val="12"/>
                      <w:lang w:eastAsia="es-EC"/>
                    </w:rPr>
                  </w:pPr>
                  <w:r w:rsidRPr="009A52B2">
                    <w:rPr>
                      <w:rFonts w:ascii="Arial" w:eastAsia="Times New Roman" w:hAnsi="Arial" w:cs="Arial"/>
                      <w:b/>
                      <w:bCs/>
                      <w:sz w:val="12"/>
                      <w:szCs w:val="12"/>
                      <w:lang w:eastAsia="es-EC"/>
                    </w:rPr>
                    <w:t>Provincia de Nacimiento</w:t>
                  </w:r>
                </w:p>
              </w:tc>
              <w:tc>
                <w:tcPr>
                  <w:tcW w:w="454" w:type="dxa"/>
                  <w:vMerge w:val="restart"/>
                  <w:tcBorders>
                    <w:top w:val="single" w:sz="4" w:space="0" w:color="auto"/>
                    <w:left w:val="nil"/>
                    <w:right w:val="nil"/>
                  </w:tcBorders>
                  <w:shd w:val="clear" w:color="auto" w:fill="auto"/>
                  <w:noWrap/>
                  <w:vAlign w:val="center"/>
                  <w:hideMark/>
                </w:tcPr>
                <w:p w:rsidR="005C07CF" w:rsidRPr="009A52B2" w:rsidRDefault="005C07CF" w:rsidP="003B05B6">
                  <w:pPr>
                    <w:rPr>
                      <w:rFonts w:ascii="Arial" w:eastAsia="Times New Roman" w:hAnsi="Arial" w:cs="Arial"/>
                      <w:b/>
                      <w:bCs/>
                      <w:sz w:val="12"/>
                      <w:szCs w:val="12"/>
                      <w:lang w:eastAsia="es-EC"/>
                    </w:rPr>
                  </w:pPr>
                  <w:r w:rsidRPr="009A52B2">
                    <w:rPr>
                      <w:rFonts w:ascii="Arial" w:eastAsia="Times New Roman" w:hAnsi="Arial" w:cs="Arial"/>
                      <w:b/>
                      <w:bCs/>
                      <w:sz w:val="12"/>
                      <w:szCs w:val="12"/>
                      <w:lang w:eastAsia="es-EC"/>
                    </w:rPr>
                    <w:t>Total</w:t>
                  </w:r>
                </w:p>
              </w:tc>
            </w:tr>
            <w:tr w:rsidR="005C07CF" w:rsidRPr="009A52B2" w:rsidTr="005C07CF">
              <w:trPr>
                <w:trHeight w:val="198"/>
              </w:trPr>
              <w:tc>
                <w:tcPr>
                  <w:tcW w:w="763" w:type="dxa"/>
                  <w:vMerge/>
                  <w:tcBorders>
                    <w:top w:val="single" w:sz="4" w:space="0" w:color="auto"/>
                    <w:left w:val="nil"/>
                    <w:bottom w:val="single" w:sz="4" w:space="0" w:color="000000"/>
                    <w:right w:val="nil"/>
                  </w:tcBorders>
                  <w:vAlign w:val="center"/>
                  <w:hideMark/>
                </w:tcPr>
                <w:p w:rsidR="005C07CF" w:rsidRPr="009A52B2" w:rsidRDefault="005C07CF" w:rsidP="00082342">
                  <w:pPr>
                    <w:jc w:val="left"/>
                    <w:rPr>
                      <w:rFonts w:ascii="Arial" w:eastAsia="Times New Roman" w:hAnsi="Arial" w:cs="Arial"/>
                      <w:b/>
                      <w:bCs/>
                      <w:sz w:val="10"/>
                      <w:szCs w:val="10"/>
                      <w:lang w:eastAsia="es-EC"/>
                    </w:rPr>
                  </w:pPr>
                </w:p>
              </w:tc>
              <w:tc>
                <w:tcPr>
                  <w:tcW w:w="417"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Azuay</w:t>
                  </w:r>
                </w:p>
              </w:tc>
              <w:tc>
                <w:tcPr>
                  <w:tcW w:w="454" w:type="dxa"/>
                  <w:tcBorders>
                    <w:top w:val="nil"/>
                    <w:left w:val="nil"/>
                    <w:bottom w:val="single" w:sz="4" w:space="0" w:color="auto"/>
                    <w:right w:val="nil"/>
                  </w:tcBorders>
                  <w:shd w:val="clear" w:color="auto" w:fill="auto"/>
                  <w:noWrap/>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Bolívar</w:t>
                  </w:r>
                </w:p>
              </w:tc>
              <w:tc>
                <w:tcPr>
                  <w:tcW w:w="418"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Cañar</w:t>
                  </w:r>
                </w:p>
              </w:tc>
              <w:tc>
                <w:tcPr>
                  <w:tcW w:w="420"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Carchi</w:t>
                  </w:r>
                </w:p>
              </w:tc>
              <w:tc>
                <w:tcPr>
                  <w:tcW w:w="493"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Cotopaxi</w:t>
                  </w:r>
                </w:p>
              </w:tc>
              <w:tc>
                <w:tcPr>
                  <w:tcW w:w="661"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Chimborazo</w:t>
                  </w:r>
                </w:p>
              </w:tc>
              <w:tc>
                <w:tcPr>
                  <w:tcW w:w="431"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El Oro</w:t>
                  </w:r>
                </w:p>
              </w:tc>
              <w:tc>
                <w:tcPr>
                  <w:tcW w:w="664"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Esmeraldas</w:t>
                  </w:r>
                </w:p>
              </w:tc>
              <w:tc>
                <w:tcPr>
                  <w:tcW w:w="486"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Guayas</w:t>
                  </w:r>
                </w:p>
              </w:tc>
              <w:tc>
                <w:tcPr>
                  <w:tcW w:w="550"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Imbabura</w:t>
                  </w:r>
                </w:p>
              </w:tc>
              <w:tc>
                <w:tcPr>
                  <w:tcW w:w="475"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Loja</w:t>
                  </w:r>
                </w:p>
              </w:tc>
              <w:tc>
                <w:tcPr>
                  <w:tcW w:w="475"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Los Ríos</w:t>
                  </w:r>
                </w:p>
              </w:tc>
              <w:tc>
                <w:tcPr>
                  <w:tcW w:w="483"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Manabí</w:t>
                  </w:r>
                </w:p>
              </w:tc>
              <w:tc>
                <w:tcPr>
                  <w:tcW w:w="555"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Morona Santiago</w:t>
                  </w:r>
                </w:p>
              </w:tc>
              <w:tc>
                <w:tcPr>
                  <w:tcW w:w="475"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Napo</w:t>
                  </w:r>
                </w:p>
              </w:tc>
              <w:tc>
                <w:tcPr>
                  <w:tcW w:w="490"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Pastaza</w:t>
                  </w:r>
                </w:p>
              </w:tc>
              <w:tc>
                <w:tcPr>
                  <w:tcW w:w="553"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Pichincha</w:t>
                  </w:r>
                </w:p>
              </w:tc>
              <w:tc>
                <w:tcPr>
                  <w:tcW w:w="667"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Tungurahua</w:t>
                  </w:r>
                </w:p>
              </w:tc>
              <w:tc>
                <w:tcPr>
                  <w:tcW w:w="621"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Zamora Chinchipe</w:t>
                  </w:r>
                </w:p>
              </w:tc>
              <w:tc>
                <w:tcPr>
                  <w:tcW w:w="623"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Galápagos</w:t>
                  </w:r>
                </w:p>
              </w:tc>
              <w:tc>
                <w:tcPr>
                  <w:tcW w:w="623"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Sucumbíos</w:t>
                  </w:r>
                </w:p>
              </w:tc>
              <w:tc>
                <w:tcPr>
                  <w:tcW w:w="508"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Orellana</w:t>
                  </w:r>
                </w:p>
              </w:tc>
              <w:tc>
                <w:tcPr>
                  <w:tcW w:w="565"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Santo Domingo</w:t>
                  </w:r>
                </w:p>
              </w:tc>
              <w:tc>
                <w:tcPr>
                  <w:tcW w:w="506"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Santa Elena</w:t>
                  </w:r>
                </w:p>
              </w:tc>
              <w:tc>
                <w:tcPr>
                  <w:tcW w:w="680" w:type="dxa"/>
                  <w:tcBorders>
                    <w:top w:val="nil"/>
                    <w:left w:val="nil"/>
                    <w:bottom w:val="single" w:sz="4" w:space="0" w:color="auto"/>
                    <w:right w:val="nil"/>
                  </w:tcBorders>
                  <w:shd w:val="clear" w:color="auto" w:fill="auto"/>
                  <w:vAlign w:val="center"/>
                  <w:hideMark/>
                </w:tcPr>
                <w:p w:rsidR="005C07CF" w:rsidRPr="009A52B2" w:rsidRDefault="005C07CF" w:rsidP="003B05B6">
                  <w:pPr>
                    <w:rPr>
                      <w:rFonts w:ascii="Arial" w:eastAsia="Times New Roman" w:hAnsi="Arial" w:cs="Arial"/>
                      <w:sz w:val="11"/>
                      <w:szCs w:val="11"/>
                      <w:lang w:eastAsia="es-EC"/>
                    </w:rPr>
                  </w:pPr>
                  <w:r w:rsidRPr="009A52B2">
                    <w:rPr>
                      <w:rFonts w:ascii="Arial" w:eastAsia="Times New Roman" w:hAnsi="Arial" w:cs="Arial"/>
                      <w:sz w:val="11"/>
                      <w:szCs w:val="11"/>
                      <w:lang w:eastAsia="es-EC"/>
                    </w:rPr>
                    <w:t>Zonas No Delimitadas</w:t>
                  </w:r>
                </w:p>
              </w:tc>
              <w:tc>
                <w:tcPr>
                  <w:tcW w:w="454" w:type="dxa"/>
                  <w:vMerge/>
                  <w:tcBorders>
                    <w:left w:val="nil"/>
                    <w:bottom w:val="single" w:sz="4" w:space="0" w:color="000000"/>
                    <w:right w:val="nil"/>
                  </w:tcBorders>
                  <w:vAlign w:val="center"/>
                  <w:hideMark/>
                </w:tcPr>
                <w:p w:rsidR="005C07CF" w:rsidRPr="009A52B2" w:rsidRDefault="005C07CF" w:rsidP="003B05B6">
                  <w:pPr>
                    <w:rPr>
                      <w:rFonts w:ascii="Arial" w:eastAsia="Times New Roman" w:hAnsi="Arial" w:cs="Arial"/>
                      <w:b/>
                      <w:bCs/>
                      <w:sz w:val="12"/>
                      <w:szCs w:val="12"/>
                      <w:lang w:eastAsia="es-EC"/>
                    </w:rPr>
                  </w:pP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Azuay</w:t>
                  </w:r>
                </w:p>
              </w:tc>
              <w:tc>
                <w:tcPr>
                  <w:tcW w:w="417"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0.8559</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0.0275</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0.0009</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0.0017</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0.0080</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0.0254</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0.0023</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0.0183</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0.0014</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0.0206</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0.0040</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0.0051</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0.0099</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0.0094</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0.0023</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0.0027</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0.0016</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Bolívar</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0.0011</w:t>
                  </w:r>
                </w:p>
              </w:tc>
              <w:tc>
                <w:tcPr>
                  <w:tcW w:w="454"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0.8942</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0.0066</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0.0131</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0.0018</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0.0122</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0.0011</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0.0013</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0.0355</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0.0046</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0.0135</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0.0064</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0.0021</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0.0022</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Cañar</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0.0488</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418"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0.7927</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0.0192</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0.0056</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0.0035</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0.0845</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0.0046</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0.0073</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0.0155</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0.0019</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0.0055</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0.0028</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0.0006</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Carchi</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0.0014</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0.0008</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420"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0.8867</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0.0029</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0.0043</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0.0059</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0.0494</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0.0018</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0.0014</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0.0029</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0.0006</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0.0291</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0.0027</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0.0039</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0.0021</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Cotopaxi</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0.0103</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0.0018</w:t>
                  </w:r>
                </w:p>
              </w:tc>
              <w:tc>
                <w:tcPr>
                  <w:tcW w:w="493"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0.8689</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0.0054</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0.0014</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0.0033</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0.0082</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0.0025</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0.0033</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0.0228</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0.0178</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0.0006</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0.0008</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0.0275</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0.0158</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0.0006</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0.0044</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Chimborazo</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0.0037</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0.0111</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0.0045</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0.0013</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0.0036</w:t>
                  </w:r>
                </w:p>
              </w:tc>
              <w:tc>
                <w:tcPr>
                  <w:tcW w:w="661"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0.9070</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0.0020</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0.0023</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0.0181</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0.0019</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0.0037</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0.0021</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0.0026</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0.0011</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0.0017</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0.0164</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0.0111</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0.0008</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0.0006</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0.0021</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El Oro</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0.0331</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0.0011</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0.0022</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0.0008</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0.0013</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0.0050</w:t>
                  </w:r>
                </w:p>
              </w:tc>
              <w:tc>
                <w:tcPr>
                  <w:tcW w:w="431"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0.7507</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0.0145</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0.0381</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0.0968</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0.0093</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0.0235</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0.0011</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0.0082</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0.0018</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0.0024</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0.0018</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0.0006</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0.0041</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Esmeraldas</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0.0016</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0.0044</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0.0009</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0.0019</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0.0034</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0.0020</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0.0044</w:t>
                  </w:r>
                </w:p>
              </w:tc>
              <w:tc>
                <w:tcPr>
                  <w:tcW w:w="664"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0.7823</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0.0253</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0.0037</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0.0067</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0.0161</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0.1016</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0.0149</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0.0029</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0.0017</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0.0229</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Guayas</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0.0082</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0.0040</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0.0042</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0.0148</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0.0094</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0.0160</w:t>
                  </w:r>
                </w:p>
              </w:tc>
              <w:tc>
                <w:tcPr>
                  <w:tcW w:w="486"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0.7996</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0.0051</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0.0407</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0.0740</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0.0062</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0.0042</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0.0021</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0.0062</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Imbabura</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0.0017</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0.0634</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0.0039</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0.0041</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0.0056</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0.0036</w:t>
                  </w:r>
                </w:p>
              </w:tc>
              <w:tc>
                <w:tcPr>
                  <w:tcW w:w="550"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0.8487</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0.0031</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0.0042</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0.0460</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0.0040</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0.0016</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0.0029</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Loja</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0.0087</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0.0006</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0.0009</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0.0195</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0.0065</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475"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0.9185</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0.0013</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0.0020</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0.0133</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0.0011</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0.0168</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0.0022</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Los Ríos</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0.0017</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0.0234</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0.0009</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0.0008</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0.0083</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0.0028</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0.0033</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0.0077</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0.0700</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0.0008</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0.0018</w:t>
                  </w:r>
                </w:p>
              </w:tc>
              <w:tc>
                <w:tcPr>
                  <w:tcW w:w="475"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0.8047</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0.0534</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0.0068</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0.0032</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0.0067</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0.0009</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Manabí</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0.0009</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0.0076</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0.0234</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0.0059</w:t>
                  </w:r>
                </w:p>
              </w:tc>
              <w:tc>
                <w:tcPr>
                  <w:tcW w:w="483"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0.9382</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0.0077</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0.0064</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0.0014</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Morona Santiago</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0.0935</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0.0024</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0.0101</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0.0032</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0.0113</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0.0049</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0.0024</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0.0089</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0.0022</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0.0102</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0.0018</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0.0038</w:t>
                  </w:r>
                </w:p>
              </w:tc>
              <w:tc>
                <w:tcPr>
                  <w:tcW w:w="555"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0.8043</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0.0019</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0.0119</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0.0089</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0.0075</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0.0056</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0.0016</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Napo</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0.0040</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0.0180</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0.0008</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0.0046</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0.0136</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0.0146</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0.0040</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0.0047</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0.0076</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0.0064</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0.0102</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0.0065</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0.0114</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0.0044</w:t>
                  </w:r>
                </w:p>
              </w:tc>
              <w:tc>
                <w:tcPr>
                  <w:tcW w:w="475"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0.7769</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0.0144</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0.0410</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0.0301</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0.0087</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0.0120</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0.0043</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Pastaza</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0.0103</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0.0133</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0.0041</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0.0034</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0.0151</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0.0542</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0.0048</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0.0060</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0.0119</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0.0056</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0.0098</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0.0067</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0.0085</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0.0538</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0.0313</w:t>
                  </w:r>
                </w:p>
              </w:tc>
              <w:tc>
                <w:tcPr>
                  <w:tcW w:w="490"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0.6259</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0.0302</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0.0856</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0.0014</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0.0055</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0.0063</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0.0057</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Pichincha</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0.0080</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0.0201</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0.0027</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0.0240</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0.0426</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0.0323</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0.0082</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0.0125</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0.0161</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0.0349</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0.0283</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0.0118</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0.0319</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0.0014</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0.0023</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553"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0.6877</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0.0178</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0.0013</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0.0023</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0.0100</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0.0011</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Tungurahua</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0.0032</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0.0245</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0.0020</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0.0180</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0.0183</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0.0022</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0.0025</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0.0102</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0.0037</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0.0049</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0.0048</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0.0059</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0.0016</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0.0042</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0.0203</w:t>
                  </w:r>
                </w:p>
              </w:tc>
              <w:tc>
                <w:tcPr>
                  <w:tcW w:w="667"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0.8662</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0.0027</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Zamora Chinchipe</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0.0252</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0.0021</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0.0210</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0.0025</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0.0076</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0.2470</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0.0018</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0.0024</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0.0180</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0.0006</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0.0078</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0.0014</w:t>
                  </w:r>
                </w:p>
              </w:tc>
              <w:tc>
                <w:tcPr>
                  <w:tcW w:w="621"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0.6536</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0.0014</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0.0004</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0.0018</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Galápagos</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0.0062</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0.0056</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0.0042</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0.0062</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0.0120</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0.0217</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0.0195</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0.0191</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0.1833</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0.0118</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0.0441</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0.0202</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0.0657</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0.0018</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0.0014</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0.0554</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0.1223</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0.0036</w:t>
                  </w:r>
                </w:p>
              </w:tc>
              <w:tc>
                <w:tcPr>
                  <w:tcW w:w="623"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0.3739</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0.0009</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0.0089</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0.0108</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Sucumbíos</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0.0100</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0.0570</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0.0028</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0.0110</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0.0135</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0.0140</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0.0229</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0.0303</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0.0220</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0.0077</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0.0619</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0.0295</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0.0454</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0.0062</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0.0232</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0.0051</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0.0325</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0.0134</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0.0042</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0.5376</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0.0183</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0.0306</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Orellana</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0.0069</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0.0395</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0.0016</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0.0032</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0.0120</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0.0154</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0.0205</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0.0279</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0.0213</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0.0075</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0.0505</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0.0244</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0.0451</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0.0082</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0.0686</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0.0068</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0.0291</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0.0134</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0.0020</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0.0326</w:t>
                  </w:r>
                </w:p>
              </w:tc>
              <w:tc>
                <w:tcPr>
                  <w:tcW w:w="508"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0.5379</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0.0250</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0.0006</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Santo Domingo</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0.0095</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0.0228</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0.0021</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0.0062</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0.0189</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0.0119</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0.0132</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0.0443</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0.0267</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0.0086</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0.0395</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0.0311</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0.1734</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0.0011</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0.0453</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0.0108</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0.0013</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0.0058</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0.0019</w:t>
                  </w:r>
                </w:p>
              </w:tc>
              <w:tc>
                <w:tcPr>
                  <w:tcW w:w="565"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0.5226</w:t>
                  </w:r>
                </w:p>
              </w:tc>
              <w:tc>
                <w:tcPr>
                  <w:tcW w:w="50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0.0009</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nil"/>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Santa Elena</w:t>
                  </w:r>
                </w:p>
              </w:tc>
              <w:tc>
                <w:tcPr>
                  <w:tcW w:w="41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0.0015</w:t>
                  </w:r>
                </w:p>
              </w:tc>
              <w:tc>
                <w:tcPr>
                  <w:tcW w:w="45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41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0.0006</w:t>
                  </w:r>
                </w:p>
              </w:tc>
              <w:tc>
                <w:tcPr>
                  <w:tcW w:w="42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49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0.0013</w:t>
                  </w:r>
                </w:p>
              </w:tc>
              <w:tc>
                <w:tcPr>
                  <w:tcW w:w="66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0.0046</w:t>
                  </w:r>
                </w:p>
              </w:tc>
              <w:tc>
                <w:tcPr>
                  <w:tcW w:w="43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0.0045</w:t>
                  </w:r>
                </w:p>
              </w:tc>
              <w:tc>
                <w:tcPr>
                  <w:tcW w:w="664"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0.0070</w:t>
                  </w:r>
                </w:p>
              </w:tc>
              <w:tc>
                <w:tcPr>
                  <w:tcW w:w="486"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0.0815</w:t>
                  </w:r>
                </w:p>
              </w:tc>
              <w:tc>
                <w:tcPr>
                  <w:tcW w:w="55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0.0012</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0.0036</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0.0125</w:t>
                  </w:r>
                </w:p>
              </w:tc>
              <w:tc>
                <w:tcPr>
                  <w:tcW w:w="48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0.0629</w:t>
                  </w:r>
                </w:p>
              </w:tc>
              <w:tc>
                <w:tcPr>
                  <w:tcW w:w="55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49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55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0.0066</w:t>
                  </w:r>
                </w:p>
              </w:tc>
              <w:tc>
                <w:tcPr>
                  <w:tcW w:w="667"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0.0025</w:t>
                  </w:r>
                </w:p>
              </w:tc>
              <w:tc>
                <w:tcPr>
                  <w:tcW w:w="621"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508"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565"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0.0019</w:t>
                  </w:r>
                </w:p>
              </w:tc>
              <w:tc>
                <w:tcPr>
                  <w:tcW w:w="506" w:type="dxa"/>
                  <w:tcBorders>
                    <w:top w:val="nil"/>
                    <w:left w:val="nil"/>
                    <w:bottom w:val="nil"/>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0.8045</w:t>
                  </w:r>
                </w:p>
              </w:tc>
              <w:tc>
                <w:tcPr>
                  <w:tcW w:w="680" w:type="dxa"/>
                  <w:tcBorders>
                    <w:top w:val="nil"/>
                    <w:left w:val="nil"/>
                    <w:bottom w:val="nil"/>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C07CF" w:rsidRPr="009A52B2" w:rsidTr="005C07CF">
              <w:trPr>
                <w:trHeight w:val="198"/>
              </w:trPr>
              <w:tc>
                <w:tcPr>
                  <w:tcW w:w="763" w:type="dxa"/>
                  <w:tcBorders>
                    <w:top w:val="nil"/>
                    <w:left w:val="nil"/>
                    <w:bottom w:val="single" w:sz="4" w:space="0" w:color="auto"/>
                    <w:right w:val="nil"/>
                  </w:tcBorders>
                  <w:shd w:val="clear" w:color="auto" w:fill="auto"/>
                  <w:vAlign w:val="center"/>
                  <w:hideMark/>
                </w:tcPr>
                <w:p w:rsidR="00A01FB5" w:rsidRPr="009A52B2" w:rsidRDefault="00A01FB5" w:rsidP="00082342">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Zonas No Delimitadas</w:t>
                  </w:r>
                </w:p>
              </w:tc>
              <w:tc>
                <w:tcPr>
                  <w:tcW w:w="417"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0.0097</w:t>
                  </w:r>
                </w:p>
              </w:tc>
              <w:tc>
                <w:tcPr>
                  <w:tcW w:w="454"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0.0048</w:t>
                  </w:r>
                </w:p>
              </w:tc>
              <w:tc>
                <w:tcPr>
                  <w:tcW w:w="418"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0.0143</w:t>
                  </w:r>
                </w:p>
              </w:tc>
              <w:tc>
                <w:tcPr>
                  <w:tcW w:w="420"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493"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0.0030</w:t>
                  </w:r>
                </w:p>
              </w:tc>
              <w:tc>
                <w:tcPr>
                  <w:tcW w:w="661"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0.0034</w:t>
                  </w:r>
                </w:p>
              </w:tc>
              <w:tc>
                <w:tcPr>
                  <w:tcW w:w="431"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0.0080</w:t>
                  </w:r>
                </w:p>
              </w:tc>
              <w:tc>
                <w:tcPr>
                  <w:tcW w:w="664"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0.0413</w:t>
                  </w:r>
                </w:p>
              </w:tc>
              <w:tc>
                <w:tcPr>
                  <w:tcW w:w="486"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0.1661</w:t>
                  </w:r>
                </w:p>
              </w:tc>
              <w:tc>
                <w:tcPr>
                  <w:tcW w:w="550"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0.0016</w:t>
                  </w:r>
                </w:p>
              </w:tc>
              <w:tc>
                <w:tcPr>
                  <w:tcW w:w="475"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0.0077</w:t>
                  </w:r>
                </w:p>
              </w:tc>
              <w:tc>
                <w:tcPr>
                  <w:tcW w:w="475"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0.1355</w:t>
                  </w:r>
                </w:p>
              </w:tc>
              <w:tc>
                <w:tcPr>
                  <w:tcW w:w="483"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0.2385</w:t>
                  </w:r>
                </w:p>
              </w:tc>
              <w:tc>
                <w:tcPr>
                  <w:tcW w:w="555"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0.0007</w:t>
                  </w:r>
                </w:p>
              </w:tc>
              <w:tc>
                <w:tcPr>
                  <w:tcW w:w="475"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490"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0.0001</w:t>
                  </w:r>
                </w:p>
              </w:tc>
              <w:tc>
                <w:tcPr>
                  <w:tcW w:w="553"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0.0132</w:t>
                  </w:r>
                </w:p>
              </w:tc>
              <w:tc>
                <w:tcPr>
                  <w:tcW w:w="667"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0.0009</w:t>
                  </w:r>
                </w:p>
              </w:tc>
              <w:tc>
                <w:tcPr>
                  <w:tcW w:w="621"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0.0003</w:t>
                  </w:r>
                </w:p>
              </w:tc>
              <w:tc>
                <w:tcPr>
                  <w:tcW w:w="623"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0.0002</w:t>
                  </w:r>
                </w:p>
              </w:tc>
              <w:tc>
                <w:tcPr>
                  <w:tcW w:w="623"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0.0014</w:t>
                  </w:r>
                </w:p>
              </w:tc>
              <w:tc>
                <w:tcPr>
                  <w:tcW w:w="508"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0.0005</w:t>
                  </w:r>
                </w:p>
              </w:tc>
              <w:tc>
                <w:tcPr>
                  <w:tcW w:w="565"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0.0361</w:t>
                  </w:r>
                </w:p>
              </w:tc>
              <w:tc>
                <w:tcPr>
                  <w:tcW w:w="506" w:type="dxa"/>
                  <w:tcBorders>
                    <w:top w:val="nil"/>
                    <w:left w:val="nil"/>
                    <w:bottom w:val="single" w:sz="4" w:space="0" w:color="auto"/>
                    <w:right w:val="nil"/>
                  </w:tcBorders>
                  <w:shd w:val="clear" w:color="auto" w:fill="auto"/>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0.0010</w:t>
                  </w:r>
                </w:p>
              </w:tc>
              <w:tc>
                <w:tcPr>
                  <w:tcW w:w="680" w:type="dxa"/>
                  <w:tcBorders>
                    <w:top w:val="nil"/>
                    <w:left w:val="nil"/>
                    <w:bottom w:val="single" w:sz="4" w:space="0" w:color="auto"/>
                    <w:right w:val="nil"/>
                  </w:tcBorders>
                  <w:shd w:val="clear" w:color="000000" w:fill="D9D9D9"/>
                  <w:vAlign w:val="center"/>
                  <w:hideMark/>
                </w:tcPr>
                <w:p w:rsidR="00A01FB5" w:rsidRPr="00721C62" w:rsidRDefault="00A01FB5" w:rsidP="003B05B6">
                  <w:pPr>
                    <w:rPr>
                      <w:rFonts w:ascii="Arial" w:hAnsi="Arial" w:cs="Arial"/>
                      <w:sz w:val="11"/>
                      <w:szCs w:val="11"/>
                    </w:rPr>
                  </w:pPr>
                  <w:r w:rsidRPr="00721C62">
                    <w:rPr>
                      <w:rFonts w:ascii="Arial" w:hAnsi="Arial" w:cs="Arial"/>
                      <w:sz w:val="11"/>
                      <w:szCs w:val="11"/>
                    </w:rPr>
                    <w:t>0.3108</w:t>
                  </w:r>
                </w:p>
              </w:tc>
              <w:tc>
                <w:tcPr>
                  <w:tcW w:w="454" w:type="dxa"/>
                  <w:tcBorders>
                    <w:top w:val="nil"/>
                    <w:left w:val="nil"/>
                    <w:bottom w:val="single" w:sz="4" w:space="0" w:color="auto"/>
                    <w:right w:val="nil"/>
                  </w:tcBorders>
                  <w:shd w:val="clear" w:color="auto" w:fill="auto"/>
                  <w:noWrap/>
                  <w:vAlign w:val="center"/>
                  <w:hideMark/>
                </w:tcPr>
                <w:p w:rsidR="00A01FB5" w:rsidRPr="009A52B2" w:rsidRDefault="00A01FB5" w:rsidP="003B05B6">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bl>
          <w:p w:rsidR="00A01FB5" w:rsidRPr="00840530" w:rsidRDefault="00A01FB5" w:rsidP="003B05B6">
            <w:pPr>
              <w:ind w:left="7"/>
              <w:rPr>
                <w:rFonts w:ascii="Arial" w:hAnsi="Arial" w:cs="Arial"/>
                <w:sz w:val="24"/>
                <w:szCs w:val="24"/>
              </w:rPr>
            </w:pPr>
          </w:p>
        </w:tc>
      </w:tr>
    </w:tbl>
    <w:p w:rsidR="00A01FB5" w:rsidRPr="004C31C6" w:rsidRDefault="00A01FB5" w:rsidP="005C07CF">
      <w:pPr>
        <w:ind w:left="-142"/>
        <w:jc w:val="both"/>
        <w:rPr>
          <w:rFonts w:ascii="Arial" w:hAnsi="Arial" w:cs="Arial"/>
          <w:sz w:val="18"/>
          <w:szCs w:val="18"/>
        </w:rPr>
      </w:pPr>
    </w:p>
    <w:p w:rsidR="00A01FB5" w:rsidRPr="004C31C6" w:rsidRDefault="00A01FB5" w:rsidP="005C07CF">
      <w:pPr>
        <w:pStyle w:val="Prrafodelista"/>
        <w:ind w:left="-142"/>
        <w:jc w:val="both"/>
        <w:rPr>
          <w:rFonts w:ascii="Arial" w:hAnsi="Arial" w:cs="Arial"/>
          <w:sz w:val="18"/>
          <w:szCs w:val="18"/>
        </w:rPr>
      </w:pPr>
      <w:r w:rsidRPr="004C31C6">
        <w:rPr>
          <w:rFonts w:ascii="Arial" w:hAnsi="Arial" w:cs="Arial"/>
          <w:b/>
          <w:i/>
          <w:sz w:val="18"/>
          <w:szCs w:val="18"/>
        </w:rPr>
        <w:t>Fuente:</w:t>
      </w:r>
      <w:r w:rsidRPr="004C31C6">
        <w:rPr>
          <w:rFonts w:ascii="Arial" w:hAnsi="Arial" w:cs="Arial"/>
          <w:sz w:val="18"/>
          <w:szCs w:val="18"/>
        </w:rPr>
        <w:t xml:space="preserve"> </w:t>
      </w:r>
      <w:r w:rsidRPr="004C31C6">
        <w:rPr>
          <w:rFonts w:ascii="Arial" w:hAnsi="Arial" w:cs="Arial"/>
          <w:b/>
          <w:sz w:val="18"/>
          <w:szCs w:val="18"/>
        </w:rPr>
        <w:t xml:space="preserve">INEC </w:t>
      </w:r>
      <w:r w:rsidRPr="004C31C6">
        <w:rPr>
          <w:rFonts w:ascii="Arial" w:hAnsi="Arial" w:cs="Arial"/>
          <w:sz w:val="18"/>
          <w:szCs w:val="18"/>
        </w:rPr>
        <w:t>(2010), Base de Datos del VII Censo de Población y VI de Vivienda.</w:t>
      </w:r>
    </w:p>
    <w:p w:rsidR="00A01FB5" w:rsidRPr="004C31C6" w:rsidRDefault="00A01FB5" w:rsidP="005C07CF">
      <w:pPr>
        <w:ind w:left="-142"/>
        <w:jc w:val="both"/>
        <w:rPr>
          <w:rFonts w:ascii="Arial" w:hAnsi="Arial" w:cs="Arial"/>
          <w:sz w:val="18"/>
          <w:szCs w:val="18"/>
        </w:rPr>
      </w:pPr>
      <w:r w:rsidRPr="004C31C6">
        <w:rPr>
          <w:rFonts w:ascii="Arial" w:hAnsi="Arial" w:cs="Arial"/>
          <w:b/>
          <w:i/>
          <w:sz w:val="18"/>
          <w:szCs w:val="18"/>
        </w:rPr>
        <w:t>Elaborado por:</w:t>
      </w:r>
      <w:r w:rsidRPr="004C31C6">
        <w:rPr>
          <w:rFonts w:ascii="Arial" w:hAnsi="Arial" w:cs="Arial"/>
          <w:sz w:val="18"/>
          <w:szCs w:val="18"/>
        </w:rPr>
        <w:t xml:space="preserve"> Katherine Loor Valeriano</w:t>
      </w:r>
    </w:p>
    <w:p w:rsidR="00404383" w:rsidRDefault="00404383" w:rsidP="00A01FB5">
      <w:pPr>
        <w:ind w:left="-284"/>
        <w:jc w:val="both"/>
        <w:rPr>
          <w:rFonts w:ascii="Arial" w:hAnsi="Arial" w:cs="Arial"/>
          <w:sz w:val="18"/>
          <w:szCs w:val="18"/>
        </w:rPr>
        <w:sectPr w:rsidR="00404383" w:rsidSect="003B05B6">
          <w:pgSz w:w="16839" w:h="11907" w:orient="landscape" w:code="9"/>
          <w:pgMar w:top="1985" w:right="1134" w:bottom="1276" w:left="1134" w:header="709" w:footer="431" w:gutter="0"/>
          <w:cols w:space="708"/>
          <w:docGrid w:linePitch="360"/>
        </w:sectPr>
      </w:pPr>
    </w:p>
    <w:tbl>
      <w:tblPr>
        <w:tblStyle w:val="Tablaconcuadrcula"/>
        <w:tblW w:w="0" w:type="auto"/>
        <w:jc w:val="center"/>
        <w:tblInd w:w="-4421"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14726"/>
      </w:tblGrid>
      <w:tr w:rsidR="00404383" w:rsidRPr="00840530" w:rsidTr="00241A1F">
        <w:trPr>
          <w:trHeight w:val="6633"/>
          <w:jc w:val="center"/>
        </w:trPr>
        <w:tc>
          <w:tcPr>
            <w:tcW w:w="14601" w:type="dxa"/>
          </w:tcPr>
          <w:p w:rsidR="00404383" w:rsidRPr="00840530" w:rsidRDefault="00404383" w:rsidP="00241A1F">
            <w:pPr>
              <w:rPr>
                <w:rFonts w:ascii="Arial" w:hAnsi="Arial" w:cs="Arial"/>
                <w:sz w:val="16"/>
                <w:szCs w:val="16"/>
              </w:rPr>
            </w:pPr>
          </w:p>
          <w:p w:rsidR="00404383" w:rsidRPr="00840530" w:rsidRDefault="00404383" w:rsidP="00241A1F">
            <w:pPr>
              <w:rPr>
                <w:rFonts w:ascii="Arial" w:hAnsi="Arial" w:cs="Arial"/>
                <w:b/>
                <w:sz w:val="16"/>
                <w:szCs w:val="16"/>
              </w:rPr>
            </w:pPr>
            <w:r w:rsidRPr="00840530">
              <w:rPr>
                <w:rFonts w:ascii="Arial" w:hAnsi="Arial" w:cs="Arial"/>
                <w:b/>
                <w:sz w:val="16"/>
                <w:szCs w:val="16"/>
              </w:rPr>
              <w:t xml:space="preserve">Tabla </w:t>
            </w:r>
            <w:r>
              <w:rPr>
                <w:rFonts w:ascii="Arial" w:hAnsi="Arial" w:cs="Arial"/>
                <w:b/>
                <w:sz w:val="16"/>
                <w:szCs w:val="16"/>
              </w:rPr>
              <w:t>B</w:t>
            </w:r>
            <w:r w:rsidRPr="00840530">
              <w:rPr>
                <w:rFonts w:ascii="Arial" w:hAnsi="Arial" w:cs="Arial"/>
                <w:b/>
                <w:sz w:val="16"/>
                <w:szCs w:val="16"/>
              </w:rPr>
              <w:t>.</w:t>
            </w:r>
            <w:r>
              <w:rPr>
                <w:rFonts w:ascii="Arial" w:hAnsi="Arial" w:cs="Arial"/>
                <w:b/>
                <w:sz w:val="16"/>
                <w:szCs w:val="16"/>
              </w:rPr>
              <w:t>4</w:t>
            </w:r>
          </w:p>
          <w:p w:rsidR="00404383" w:rsidRDefault="00404383" w:rsidP="00241A1F">
            <w:pPr>
              <w:rPr>
                <w:rFonts w:ascii="Arial" w:hAnsi="Arial" w:cs="Arial"/>
                <w:i/>
                <w:sz w:val="16"/>
                <w:szCs w:val="16"/>
              </w:rPr>
            </w:pPr>
            <w:r w:rsidRPr="00634D60">
              <w:rPr>
                <w:rFonts w:ascii="Arial" w:hAnsi="Arial" w:cs="Arial"/>
                <w:i/>
                <w:sz w:val="16"/>
                <w:szCs w:val="16"/>
              </w:rPr>
              <w:t xml:space="preserve">Proporción de Emigrantes por Provincia de Residencia dado que se conoce la Provincia de Nacimiento </w:t>
            </w:r>
          </w:p>
          <w:p w:rsidR="00404383" w:rsidRPr="00634D60" w:rsidRDefault="00404383" w:rsidP="00241A1F">
            <w:pPr>
              <w:rPr>
                <w:rFonts w:ascii="Arial" w:hAnsi="Arial" w:cs="Arial"/>
                <w:i/>
                <w:sz w:val="16"/>
                <w:szCs w:val="16"/>
              </w:rPr>
            </w:pPr>
          </w:p>
          <w:tbl>
            <w:tblPr>
              <w:tblW w:w="14510" w:type="dxa"/>
              <w:tblCellMar>
                <w:left w:w="0" w:type="dxa"/>
                <w:right w:w="0" w:type="dxa"/>
              </w:tblCellMar>
              <w:tblLook w:val="04A0" w:firstRow="1" w:lastRow="0" w:firstColumn="1" w:lastColumn="0" w:noHBand="0" w:noVBand="1"/>
            </w:tblPr>
            <w:tblGrid>
              <w:gridCol w:w="763"/>
              <w:gridCol w:w="417"/>
              <w:gridCol w:w="454"/>
              <w:gridCol w:w="418"/>
              <w:gridCol w:w="420"/>
              <w:gridCol w:w="493"/>
              <w:gridCol w:w="661"/>
              <w:gridCol w:w="431"/>
              <w:gridCol w:w="664"/>
              <w:gridCol w:w="486"/>
              <w:gridCol w:w="550"/>
              <w:gridCol w:w="475"/>
              <w:gridCol w:w="475"/>
              <w:gridCol w:w="483"/>
              <w:gridCol w:w="555"/>
              <w:gridCol w:w="475"/>
              <w:gridCol w:w="490"/>
              <w:gridCol w:w="553"/>
              <w:gridCol w:w="667"/>
              <w:gridCol w:w="621"/>
              <w:gridCol w:w="623"/>
              <w:gridCol w:w="623"/>
              <w:gridCol w:w="508"/>
              <w:gridCol w:w="565"/>
              <w:gridCol w:w="506"/>
              <w:gridCol w:w="680"/>
              <w:gridCol w:w="454"/>
            </w:tblGrid>
            <w:tr w:rsidR="00404383" w:rsidRPr="009A52B2" w:rsidTr="00241A1F">
              <w:trPr>
                <w:trHeight w:val="198"/>
              </w:trPr>
              <w:tc>
                <w:tcPr>
                  <w:tcW w:w="763" w:type="dxa"/>
                  <w:vMerge w:val="restart"/>
                  <w:tcBorders>
                    <w:top w:val="single" w:sz="4" w:space="0" w:color="auto"/>
                    <w:left w:val="nil"/>
                    <w:bottom w:val="single" w:sz="4" w:space="0" w:color="000000"/>
                    <w:right w:val="nil"/>
                  </w:tcBorders>
                  <w:shd w:val="clear" w:color="auto" w:fill="auto"/>
                  <w:vAlign w:val="center"/>
                  <w:hideMark/>
                </w:tcPr>
                <w:p w:rsidR="00404383" w:rsidRPr="009A52B2" w:rsidRDefault="00404383" w:rsidP="005B4F2F">
                  <w:pPr>
                    <w:rPr>
                      <w:rFonts w:ascii="Arial" w:eastAsia="Times New Roman" w:hAnsi="Arial" w:cs="Arial"/>
                      <w:b/>
                      <w:bCs/>
                      <w:sz w:val="10"/>
                      <w:szCs w:val="10"/>
                      <w:lang w:eastAsia="es-EC"/>
                    </w:rPr>
                  </w:pPr>
                  <w:r w:rsidRPr="009A52B2">
                    <w:rPr>
                      <w:rFonts w:ascii="Arial" w:eastAsia="Times New Roman" w:hAnsi="Arial" w:cs="Arial"/>
                      <w:b/>
                      <w:bCs/>
                      <w:sz w:val="10"/>
                      <w:szCs w:val="10"/>
                      <w:lang w:eastAsia="es-EC"/>
                    </w:rPr>
                    <w:t xml:space="preserve">Provincia de </w:t>
                  </w:r>
                  <w:r w:rsidR="005B4F2F">
                    <w:rPr>
                      <w:rFonts w:ascii="Arial" w:eastAsia="Times New Roman" w:hAnsi="Arial" w:cs="Arial"/>
                      <w:b/>
                      <w:bCs/>
                      <w:sz w:val="10"/>
                      <w:szCs w:val="10"/>
                      <w:lang w:eastAsia="es-EC"/>
                    </w:rPr>
                    <w:t>Nacimiento</w:t>
                  </w:r>
                </w:p>
              </w:tc>
              <w:tc>
                <w:tcPr>
                  <w:tcW w:w="13293" w:type="dxa"/>
                  <w:gridSpan w:val="25"/>
                  <w:tcBorders>
                    <w:top w:val="single" w:sz="4" w:space="0" w:color="auto"/>
                    <w:left w:val="nil"/>
                    <w:bottom w:val="single" w:sz="4" w:space="0" w:color="auto"/>
                    <w:right w:val="nil"/>
                  </w:tcBorders>
                  <w:shd w:val="clear" w:color="auto" w:fill="auto"/>
                  <w:vAlign w:val="center"/>
                  <w:hideMark/>
                </w:tcPr>
                <w:p w:rsidR="00404383" w:rsidRPr="009A52B2" w:rsidRDefault="005B4F2F" w:rsidP="00241A1F">
                  <w:pPr>
                    <w:rPr>
                      <w:rFonts w:ascii="Arial" w:eastAsia="Times New Roman" w:hAnsi="Arial" w:cs="Arial"/>
                      <w:b/>
                      <w:bCs/>
                      <w:sz w:val="12"/>
                      <w:szCs w:val="12"/>
                      <w:lang w:eastAsia="es-EC"/>
                    </w:rPr>
                  </w:pPr>
                  <w:r w:rsidRPr="00834817">
                    <w:rPr>
                      <w:rFonts w:ascii="Arial" w:eastAsia="Times New Roman" w:hAnsi="Arial" w:cs="Arial"/>
                      <w:b/>
                      <w:bCs/>
                      <w:sz w:val="12"/>
                      <w:szCs w:val="12"/>
                      <w:lang w:eastAsia="es-EC"/>
                    </w:rPr>
                    <w:t>Provincia de Residencia</w:t>
                  </w:r>
                </w:p>
              </w:tc>
              <w:tc>
                <w:tcPr>
                  <w:tcW w:w="454" w:type="dxa"/>
                  <w:vMerge w:val="restart"/>
                  <w:tcBorders>
                    <w:top w:val="single" w:sz="4" w:space="0" w:color="auto"/>
                    <w:left w:val="nil"/>
                    <w:right w:val="nil"/>
                  </w:tcBorders>
                  <w:shd w:val="clear" w:color="auto" w:fill="auto"/>
                  <w:noWrap/>
                  <w:vAlign w:val="center"/>
                  <w:hideMark/>
                </w:tcPr>
                <w:p w:rsidR="00404383" w:rsidRPr="009A52B2" w:rsidRDefault="00404383" w:rsidP="00241A1F">
                  <w:pPr>
                    <w:rPr>
                      <w:rFonts w:ascii="Arial" w:eastAsia="Times New Roman" w:hAnsi="Arial" w:cs="Arial"/>
                      <w:b/>
                      <w:bCs/>
                      <w:sz w:val="12"/>
                      <w:szCs w:val="12"/>
                      <w:lang w:eastAsia="es-EC"/>
                    </w:rPr>
                  </w:pPr>
                  <w:r w:rsidRPr="009A52B2">
                    <w:rPr>
                      <w:rFonts w:ascii="Arial" w:eastAsia="Times New Roman" w:hAnsi="Arial" w:cs="Arial"/>
                      <w:b/>
                      <w:bCs/>
                      <w:sz w:val="12"/>
                      <w:szCs w:val="12"/>
                      <w:lang w:eastAsia="es-EC"/>
                    </w:rPr>
                    <w:t>Total</w:t>
                  </w:r>
                </w:p>
              </w:tc>
            </w:tr>
            <w:tr w:rsidR="00404383" w:rsidRPr="009A52B2" w:rsidTr="00241A1F">
              <w:trPr>
                <w:trHeight w:val="198"/>
              </w:trPr>
              <w:tc>
                <w:tcPr>
                  <w:tcW w:w="763" w:type="dxa"/>
                  <w:vMerge/>
                  <w:tcBorders>
                    <w:top w:val="single" w:sz="4" w:space="0" w:color="auto"/>
                    <w:left w:val="nil"/>
                    <w:bottom w:val="single" w:sz="4" w:space="0" w:color="000000"/>
                    <w:right w:val="nil"/>
                  </w:tcBorders>
                  <w:vAlign w:val="center"/>
                  <w:hideMark/>
                </w:tcPr>
                <w:p w:rsidR="00404383" w:rsidRPr="009A52B2" w:rsidRDefault="00404383" w:rsidP="00241A1F">
                  <w:pPr>
                    <w:jc w:val="left"/>
                    <w:rPr>
                      <w:rFonts w:ascii="Arial" w:eastAsia="Times New Roman" w:hAnsi="Arial" w:cs="Arial"/>
                      <w:b/>
                      <w:bCs/>
                      <w:sz w:val="10"/>
                      <w:szCs w:val="10"/>
                      <w:lang w:eastAsia="es-EC"/>
                    </w:rPr>
                  </w:pPr>
                </w:p>
              </w:tc>
              <w:tc>
                <w:tcPr>
                  <w:tcW w:w="417"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Azuay</w:t>
                  </w:r>
                </w:p>
              </w:tc>
              <w:tc>
                <w:tcPr>
                  <w:tcW w:w="454" w:type="dxa"/>
                  <w:tcBorders>
                    <w:top w:val="nil"/>
                    <w:left w:val="nil"/>
                    <w:bottom w:val="single" w:sz="4" w:space="0" w:color="auto"/>
                    <w:right w:val="nil"/>
                  </w:tcBorders>
                  <w:shd w:val="clear" w:color="auto" w:fill="auto"/>
                  <w:noWrap/>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Bolívar</w:t>
                  </w:r>
                </w:p>
              </w:tc>
              <w:tc>
                <w:tcPr>
                  <w:tcW w:w="418"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Cañar</w:t>
                  </w:r>
                </w:p>
              </w:tc>
              <w:tc>
                <w:tcPr>
                  <w:tcW w:w="420"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Carchi</w:t>
                  </w:r>
                </w:p>
              </w:tc>
              <w:tc>
                <w:tcPr>
                  <w:tcW w:w="493"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Cotopaxi</w:t>
                  </w:r>
                </w:p>
              </w:tc>
              <w:tc>
                <w:tcPr>
                  <w:tcW w:w="661"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Chimborazo</w:t>
                  </w:r>
                </w:p>
              </w:tc>
              <w:tc>
                <w:tcPr>
                  <w:tcW w:w="431"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El Oro</w:t>
                  </w:r>
                </w:p>
              </w:tc>
              <w:tc>
                <w:tcPr>
                  <w:tcW w:w="664"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Esmeraldas</w:t>
                  </w:r>
                </w:p>
              </w:tc>
              <w:tc>
                <w:tcPr>
                  <w:tcW w:w="486"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Guayas</w:t>
                  </w:r>
                </w:p>
              </w:tc>
              <w:tc>
                <w:tcPr>
                  <w:tcW w:w="550"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Imbabura</w:t>
                  </w:r>
                </w:p>
              </w:tc>
              <w:tc>
                <w:tcPr>
                  <w:tcW w:w="475"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Loja</w:t>
                  </w:r>
                </w:p>
              </w:tc>
              <w:tc>
                <w:tcPr>
                  <w:tcW w:w="475"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Los Ríos</w:t>
                  </w:r>
                </w:p>
              </w:tc>
              <w:tc>
                <w:tcPr>
                  <w:tcW w:w="483"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Manabí</w:t>
                  </w:r>
                </w:p>
              </w:tc>
              <w:tc>
                <w:tcPr>
                  <w:tcW w:w="555"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Morona Santiago</w:t>
                  </w:r>
                </w:p>
              </w:tc>
              <w:tc>
                <w:tcPr>
                  <w:tcW w:w="475"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Napo</w:t>
                  </w:r>
                </w:p>
              </w:tc>
              <w:tc>
                <w:tcPr>
                  <w:tcW w:w="490"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Pastaza</w:t>
                  </w:r>
                </w:p>
              </w:tc>
              <w:tc>
                <w:tcPr>
                  <w:tcW w:w="553"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Pichincha</w:t>
                  </w:r>
                </w:p>
              </w:tc>
              <w:tc>
                <w:tcPr>
                  <w:tcW w:w="667"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Tungurahua</w:t>
                  </w:r>
                </w:p>
              </w:tc>
              <w:tc>
                <w:tcPr>
                  <w:tcW w:w="621"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Zamora Chinchipe</w:t>
                  </w:r>
                </w:p>
              </w:tc>
              <w:tc>
                <w:tcPr>
                  <w:tcW w:w="623"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Galápagos</w:t>
                  </w:r>
                </w:p>
              </w:tc>
              <w:tc>
                <w:tcPr>
                  <w:tcW w:w="623"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Sucumbíos</w:t>
                  </w:r>
                </w:p>
              </w:tc>
              <w:tc>
                <w:tcPr>
                  <w:tcW w:w="508"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Orellana</w:t>
                  </w:r>
                </w:p>
              </w:tc>
              <w:tc>
                <w:tcPr>
                  <w:tcW w:w="565"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Santo Domingo</w:t>
                  </w:r>
                </w:p>
              </w:tc>
              <w:tc>
                <w:tcPr>
                  <w:tcW w:w="506"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Santa Elena</w:t>
                  </w:r>
                </w:p>
              </w:tc>
              <w:tc>
                <w:tcPr>
                  <w:tcW w:w="680" w:type="dxa"/>
                  <w:tcBorders>
                    <w:top w:val="nil"/>
                    <w:left w:val="nil"/>
                    <w:bottom w:val="single" w:sz="4" w:space="0" w:color="auto"/>
                    <w:right w:val="nil"/>
                  </w:tcBorders>
                  <w:shd w:val="clear" w:color="auto" w:fill="auto"/>
                  <w:vAlign w:val="center"/>
                  <w:hideMark/>
                </w:tcPr>
                <w:p w:rsidR="00404383" w:rsidRPr="009A52B2" w:rsidRDefault="00404383"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Zonas No Delimitadas</w:t>
                  </w:r>
                </w:p>
              </w:tc>
              <w:tc>
                <w:tcPr>
                  <w:tcW w:w="454" w:type="dxa"/>
                  <w:vMerge/>
                  <w:tcBorders>
                    <w:left w:val="nil"/>
                    <w:bottom w:val="single" w:sz="4" w:space="0" w:color="000000"/>
                    <w:right w:val="nil"/>
                  </w:tcBorders>
                  <w:vAlign w:val="center"/>
                  <w:hideMark/>
                </w:tcPr>
                <w:p w:rsidR="00404383" w:rsidRPr="009A52B2" w:rsidRDefault="00404383" w:rsidP="00241A1F">
                  <w:pPr>
                    <w:rPr>
                      <w:rFonts w:ascii="Arial" w:eastAsia="Times New Roman" w:hAnsi="Arial" w:cs="Arial"/>
                      <w:b/>
                      <w:bCs/>
                      <w:sz w:val="12"/>
                      <w:szCs w:val="12"/>
                      <w:lang w:eastAsia="es-EC"/>
                    </w:rPr>
                  </w:pP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Azuay</w:t>
                  </w:r>
                </w:p>
              </w:tc>
              <w:tc>
                <w:tcPr>
                  <w:tcW w:w="417"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0.8373</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0.0152</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0.0024</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0.0274</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0.0012</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0.0413</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0.0054</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0.0018</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0.0013</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0.0192</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0.0012</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0.0283</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0.0022</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0.0032</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0.0023</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0.0013</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0.0048</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Bolívar</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0.0028</w:t>
                  </w:r>
                </w:p>
              </w:tc>
              <w:tc>
                <w:tcPr>
                  <w:tcW w:w="454"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0.5454</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0.0139</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0.0169</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0.0021</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0.0076</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0.0476</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0.0603</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0.0018</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0.0012</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0.0061</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0.0036</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0.1680</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0.0407</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0.0310</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0.0173</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0.0274</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0.0010</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Cañar</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0.0846</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18"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0.7741</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0.0090</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0.0058</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0.0659</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0.0015</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0.0029</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0.0012</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0.0065</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0.0015</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0.0301</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0.0023</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0.0033</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Carchi</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0.0028</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420"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0.5704</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0.0031</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0.0025</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0.0043</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0.0187</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0.1048</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0.0028</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0.0021</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0.0012</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0.2562</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0.0043</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0.0076</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0.0018</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0.0094</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Cotopaxi</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0.0024</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0.0024</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493"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0.6972</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0.0033</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0.0015</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0.0035</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0.0104</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0.0030</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0.0128</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0.0028</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0.0027</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0.0025</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0.2119</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0.0177</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0.0044</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0.0031</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0.0135</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Chimborazo</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0.0094</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0.0040</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0.0071</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0.0011</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0.0036</w:t>
                  </w:r>
                </w:p>
              </w:tc>
              <w:tc>
                <w:tcPr>
                  <w:tcW w:w="661"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0.6889</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0.0050</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0.0017</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0.0888</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0.0027</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0.0011</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0.0036</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0.0021</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0.0027</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0.0025</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0.0075</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0.1351</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0.0152</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0.0038</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0.0034</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0.0071</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0.0023</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El Oro</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0.0321</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0.0023</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0.0010</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0.0017</w:t>
                  </w:r>
                </w:p>
              </w:tc>
              <w:tc>
                <w:tcPr>
                  <w:tcW w:w="431"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0.8024</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0.0041</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0.0614</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0.0157</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0.0047</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0.0037</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0.0013</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0.0372</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0.0019</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0.0034</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0.0068</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0.0049</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0.0086</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0.0025</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Esmeraldas</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0.0029</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0.0014</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0.0024</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0.0018</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0.0152</w:t>
                  </w:r>
                </w:p>
              </w:tc>
              <w:tc>
                <w:tcPr>
                  <w:tcW w:w="664"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0.7276</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0.1025</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0.0039</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0.0106</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0.0184</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0.0560</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0.0022</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0.0088</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0.0065</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0.0283</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0.0038</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0.0023</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Guayas</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0.0041</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0.0060</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0.0011</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0.0026</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0.0071</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0.0042</w:t>
                  </w:r>
                </w:p>
              </w:tc>
              <w:tc>
                <w:tcPr>
                  <w:tcW w:w="486"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0.9137</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0.0172</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0.0101</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0.0128</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0.0016</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0.0013</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0.0011</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0.0030</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0.0079</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0.0017</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Imbabura</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0.0021</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0.0168</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0.0023</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0.0019</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0.0013</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0.0044</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0.0074</w:t>
                  </w:r>
                </w:p>
              </w:tc>
              <w:tc>
                <w:tcPr>
                  <w:tcW w:w="550"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0.7408</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0.0014</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0.0015</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0.0010</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0.1966</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0.0041</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0.0028</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0.0022</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0.0069</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Loja</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0.0224</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0.0016</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0.0021</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0.0026</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0.0889</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0.0055</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0.0286</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0.0019</w:t>
                  </w:r>
                </w:p>
              </w:tc>
              <w:tc>
                <w:tcPr>
                  <w:tcW w:w="475"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0.6351</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0.0022</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0.0026</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0.0023</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0.0016</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0.0013</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0.1107</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0.0038</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0.0343</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0.0016</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0.0157</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0.0103</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0.0221</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0.0017</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Los Ríos</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0.0032</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0.0074</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0.0019</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0.0105</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0.0011</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0.0063</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0.0096</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0.1674</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475"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0.7117</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0.0093</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0.0338</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0.0027</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0.0055</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0.0037</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0.0128</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0.0043</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0.0049</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Manabí</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0.0019</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0.0019</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0.0039</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0.0075</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0.0286</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0.1432</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0.0222</w:t>
                  </w:r>
                </w:p>
              </w:tc>
              <w:tc>
                <w:tcPr>
                  <w:tcW w:w="483"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0.6863</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0.0430</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0.0016</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0.0040</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0.0032</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0.0335</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0.0103</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0.0040</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Morona Santiago</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0.0486</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0.0029</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0.0018</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0.0040</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0.0047</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0.0012</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0.0075</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0.0032</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555"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0.8307</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0.0031</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0.0313</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0.0245</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0.0036</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0.0113</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0.0072</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0.0076</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0.0023</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Napo</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0.0013</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0.0013</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0.0027</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0.0046</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0.0018</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0.0032</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0.0067</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0.0019</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0.0012</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0.0030</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0.0046</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0.0026</w:t>
                  </w:r>
                </w:p>
              </w:tc>
              <w:tc>
                <w:tcPr>
                  <w:tcW w:w="475"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0.7496</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0.0245</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0.0556</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0.0077</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0.0359</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0.0854</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0.0038</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Pastaza</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0.0040</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0.0047</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0.0115</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0.0041</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0.0041</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0.0109</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0.0029</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0.0023</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0.0038</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0.0264</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0.0221</w:t>
                  </w:r>
                </w:p>
              </w:tc>
              <w:tc>
                <w:tcPr>
                  <w:tcW w:w="490"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0.7792</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0.0551</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0.0314</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0.0125</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0.0134</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0.0053</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Pichincha</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0.0035</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0.0013</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0.0023</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0.0059</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0.0040</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0.0026</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0.0041</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0.0118</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0.0095</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0.0031</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0.0028</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0.0055</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0.0022</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0.0013</w:t>
                  </w:r>
                </w:p>
              </w:tc>
              <w:tc>
                <w:tcPr>
                  <w:tcW w:w="553"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0.9174</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0.0054</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0.0028</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0.0087</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0.0011</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Tungurahua</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0.0029</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0.0022</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0.0011</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0.0119</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0.0094</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0.0028</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0.0283</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0.0029</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0.0046</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0.0024</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0.0057</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0.0131</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0.0832</w:t>
                  </w:r>
                </w:p>
              </w:tc>
              <w:tc>
                <w:tcPr>
                  <w:tcW w:w="667"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0.8021</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0.0053</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0.0041</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0.0033</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0.0072</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0.0014</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Zamora Chinchipe</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0.0239</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0.0016</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0.0019</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0.0027</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0.0186</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0.0024</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0.0117</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0.0018</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0.0961</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0.0023</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0.0028</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0.0106</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0.0015</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0.0425</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0.0032</w:t>
                  </w:r>
                </w:p>
              </w:tc>
              <w:tc>
                <w:tcPr>
                  <w:tcW w:w="621"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0.7528</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0.0011</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0.0089</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0.0034</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0.0060</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0.0014</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Galápagos</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0.0030</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0.0000</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0.0012</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0.0011</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0.0028</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0.0031</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0.0053</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0.0035</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0.0925</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0.0030</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0.0033</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0.0033</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0.0060</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0.0567</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0.0138</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623"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0.7862</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0.0014</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0.0014</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0.0039</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0.0058</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Sucumbíos</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0.0029</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0.0034</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0.0014</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0.0054</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0.0035</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0.0033</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0.0096</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0.0081</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0.0111</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0.0058</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0.0046</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0.0071</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0.0047</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0.0020</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0.0080</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0.0041</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0.0518</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0.0055</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0.0011</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623"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0.7968</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0.0389</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0.0189</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0.0015</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Orellana</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0.0014</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0.0015</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0.0029</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0.0032</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0.0046</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0.0035</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0.0066</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0.0015</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0.0021</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0.0042</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0.0028</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0.0017</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0.0149</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0.0064</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0.0317</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0.0028</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0.0364</w:t>
                  </w:r>
                </w:p>
              </w:tc>
              <w:tc>
                <w:tcPr>
                  <w:tcW w:w="508"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0.8614</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0.0083</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Santo Domingo</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0.0041</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0.0015</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0.0012</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0.0012</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0.0067</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0.0036</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0.0090</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0.0447</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0.0275</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0.0042</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0.0036</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0.0192</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0.0325</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0.0016</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0.0017</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0.0932</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0.0050</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0.0186</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0.0122</w:t>
                  </w:r>
                </w:p>
              </w:tc>
              <w:tc>
                <w:tcPr>
                  <w:tcW w:w="565"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0.7001</w:t>
                  </w:r>
                </w:p>
              </w:tc>
              <w:tc>
                <w:tcPr>
                  <w:tcW w:w="50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0.0021</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0.0042</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nil"/>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Santa Elena</w:t>
                  </w:r>
                </w:p>
              </w:tc>
              <w:tc>
                <w:tcPr>
                  <w:tcW w:w="41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0.0013</w:t>
                  </w:r>
                </w:p>
              </w:tc>
              <w:tc>
                <w:tcPr>
                  <w:tcW w:w="45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41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49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0.0006</w:t>
                  </w:r>
                </w:p>
              </w:tc>
              <w:tc>
                <w:tcPr>
                  <w:tcW w:w="66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43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0.0032</w:t>
                  </w:r>
                </w:p>
              </w:tc>
              <w:tc>
                <w:tcPr>
                  <w:tcW w:w="664"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0.0013</w:t>
                  </w:r>
                </w:p>
              </w:tc>
              <w:tc>
                <w:tcPr>
                  <w:tcW w:w="486"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0.0808</w:t>
                  </w:r>
                </w:p>
              </w:tc>
              <w:tc>
                <w:tcPr>
                  <w:tcW w:w="55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0.0026</w:t>
                  </w:r>
                </w:p>
              </w:tc>
              <w:tc>
                <w:tcPr>
                  <w:tcW w:w="48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0.0072</w:t>
                  </w:r>
                </w:p>
              </w:tc>
              <w:tc>
                <w:tcPr>
                  <w:tcW w:w="55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0.0002</w:t>
                  </w:r>
                </w:p>
              </w:tc>
              <w:tc>
                <w:tcPr>
                  <w:tcW w:w="55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0.0101</w:t>
                  </w:r>
                </w:p>
              </w:tc>
              <w:tc>
                <w:tcPr>
                  <w:tcW w:w="667"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0.0007</w:t>
                  </w:r>
                </w:p>
              </w:tc>
              <w:tc>
                <w:tcPr>
                  <w:tcW w:w="621"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0.0009</w:t>
                  </w:r>
                </w:p>
              </w:tc>
              <w:tc>
                <w:tcPr>
                  <w:tcW w:w="623"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0.0004</w:t>
                  </w:r>
                </w:p>
              </w:tc>
              <w:tc>
                <w:tcPr>
                  <w:tcW w:w="508"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565"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0.0012</w:t>
                  </w:r>
                </w:p>
              </w:tc>
              <w:tc>
                <w:tcPr>
                  <w:tcW w:w="506" w:type="dxa"/>
                  <w:tcBorders>
                    <w:top w:val="nil"/>
                    <w:left w:val="nil"/>
                    <w:bottom w:val="nil"/>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0.8867</w:t>
                  </w:r>
                </w:p>
              </w:tc>
              <w:tc>
                <w:tcPr>
                  <w:tcW w:w="680" w:type="dxa"/>
                  <w:tcBorders>
                    <w:top w:val="nil"/>
                    <w:left w:val="nil"/>
                    <w:bottom w:val="nil"/>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404383" w:rsidRPr="009A52B2" w:rsidTr="00241A1F">
              <w:trPr>
                <w:trHeight w:val="198"/>
              </w:trPr>
              <w:tc>
                <w:tcPr>
                  <w:tcW w:w="763" w:type="dxa"/>
                  <w:tcBorders>
                    <w:top w:val="nil"/>
                    <w:left w:val="nil"/>
                    <w:bottom w:val="single" w:sz="4" w:space="0" w:color="auto"/>
                    <w:right w:val="nil"/>
                  </w:tcBorders>
                  <w:shd w:val="clear" w:color="auto" w:fill="auto"/>
                  <w:vAlign w:val="center"/>
                  <w:hideMark/>
                </w:tcPr>
                <w:p w:rsidR="00404383" w:rsidRPr="009A52B2" w:rsidRDefault="00404383"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Zonas No Delimitadas</w:t>
                  </w:r>
                </w:p>
              </w:tc>
              <w:tc>
                <w:tcPr>
                  <w:tcW w:w="417"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0.0000</w:t>
                  </w:r>
                </w:p>
              </w:tc>
              <w:tc>
                <w:tcPr>
                  <w:tcW w:w="454"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0.0000</w:t>
                  </w:r>
                </w:p>
              </w:tc>
              <w:tc>
                <w:tcPr>
                  <w:tcW w:w="418"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0.0008</w:t>
                  </w:r>
                </w:p>
              </w:tc>
              <w:tc>
                <w:tcPr>
                  <w:tcW w:w="420"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0.0000</w:t>
                  </w:r>
                </w:p>
              </w:tc>
              <w:tc>
                <w:tcPr>
                  <w:tcW w:w="493"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0.0000</w:t>
                  </w:r>
                </w:p>
              </w:tc>
              <w:tc>
                <w:tcPr>
                  <w:tcW w:w="661"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431"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664"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0.0035</w:t>
                  </w:r>
                </w:p>
              </w:tc>
              <w:tc>
                <w:tcPr>
                  <w:tcW w:w="486"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0.0068</w:t>
                  </w:r>
                </w:p>
              </w:tc>
              <w:tc>
                <w:tcPr>
                  <w:tcW w:w="550"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475"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475"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0.0023</w:t>
                  </w:r>
                </w:p>
              </w:tc>
              <w:tc>
                <w:tcPr>
                  <w:tcW w:w="483"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0.0031</w:t>
                  </w:r>
                </w:p>
              </w:tc>
              <w:tc>
                <w:tcPr>
                  <w:tcW w:w="555"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0.0000</w:t>
                  </w:r>
                </w:p>
              </w:tc>
              <w:tc>
                <w:tcPr>
                  <w:tcW w:w="475"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0.0000</w:t>
                  </w:r>
                </w:p>
              </w:tc>
              <w:tc>
                <w:tcPr>
                  <w:tcW w:w="490"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0.0000</w:t>
                  </w:r>
                </w:p>
              </w:tc>
              <w:tc>
                <w:tcPr>
                  <w:tcW w:w="553"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0.0022</w:t>
                  </w:r>
                </w:p>
              </w:tc>
              <w:tc>
                <w:tcPr>
                  <w:tcW w:w="667"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0.0000</w:t>
                  </w:r>
                </w:p>
              </w:tc>
              <w:tc>
                <w:tcPr>
                  <w:tcW w:w="621"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0.0000</w:t>
                  </w:r>
                </w:p>
              </w:tc>
              <w:tc>
                <w:tcPr>
                  <w:tcW w:w="623"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0.0000</w:t>
                  </w:r>
                </w:p>
              </w:tc>
              <w:tc>
                <w:tcPr>
                  <w:tcW w:w="623"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0.0005</w:t>
                  </w:r>
                </w:p>
              </w:tc>
              <w:tc>
                <w:tcPr>
                  <w:tcW w:w="508"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0.0003</w:t>
                  </w:r>
                </w:p>
              </w:tc>
              <w:tc>
                <w:tcPr>
                  <w:tcW w:w="565"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0.0016</w:t>
                  </w:r>
                </w:p>
              </w:tc>
              <w:tc>
                <w:tcPr>
                  <w:tcW w:w="506" w:type="dxa"/>
                  <w:tcBorders>
                    <w:top w:val="nil"/>
                    <w:left w:val="nil"/>
                    <w:bottom w:val="single" w:sz="4" w:space="0" w:color="auto"/>
                    <w:right w:val="nil"/>
                  </w:tcBorders>
                  <w:shd w:val="clear" w:color="auto" w:fill="auto"/>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0.0001</w:t>
                  </w:r>
                </w:p>
              </w:tc>
              <w:tc>
                <w:tcPr>
                  <w:tcW w:w="680" w:type="dxa"/>
                  <w:tcBorders>
                    <w:top w:val="nil"/>
                    <w:left w:val="nil"/>
                    <w:bottom w:val="single" w:sz="4" w:space="0" w:color="auto"/>
                    <w:right w:val="nil"/>
                  </w:tcBorders>
                  <w:shd w:val="clear" w:color="000000" w:fill="D9D9D9"/>
                  <w:vAlign w:val="center"/>
                  <w:hideMark/>
                </w:tcPr>
                <w:p w:rsidR="00404383" w:rsidRPr="00C67BFC" w:rsidRDefault="00404383" w:rsidP="00404383">
                  <w:pPr>
                    <w:rPr>
                      <w:rFonts w:ascii="Arial" w:hAnsi="Arial" w:cs="Arial"/>
                      <w:sz w:val="11"/>
                      <w:szCs w:val="11"/>
                    </w:rPr>
                  </w:pPr>
                  <w:r w:rsidRPr="00C67BFC">
                    <w:rPr>
                      <w:rFonts w:ascii="Arial" w:hAnsi="Arial" w:cs="Arial"/>
                      <w:sz w:val="11"/>
                      <w:szCs w:val="11"/>
                    </w:rPr>
                    <w:t>0.9784</w:t>
                  </w:r>
                </w:p>
              </w:tc>
              <w:tc>
                <w:tcPr>
                  <w:tcW w:w="454" w:type="dxa"/>
                  <w:tcBorders>
                    <w:top w:val="nil"/>
                    <w:left w:val="nil"/>
                    <w:bottom w:val="single" w:sz="4" w:space="0" w:color="auto"/>
                    <w:right w:val="nil"/>
                  </w:tcBorders>
                  <w:shd w:val="clear" w:color="auto" w:fill="auto"/>
                  <w:noWrap/>
                  <w:vAlign w:val="center"/>
                  <w:hideMark/>
                </w:tcPr>
                <w:p w:rsidR="00404383" w:rsidRPr="009A52B2" w:rsidRDefault="00404383"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bl>
          <w:p w:rsidR="00404383" w:rsidRPr="00840530" w:rsidRDefault="00404383" w:rsidP="00241A1F">
            <w:pPr>
              <w:ind w:left="7"/>
              <w:rPr>
                <w:rFonts w:ascii="Arial" w:hAnsi="Arial" w:cs="Arial"/>
                <w:sz w:val="24"/>
                <w:szCs w:val="24"/>
              </w:rPr>
            </w:pPr>
          </w:p>
        </w:tc>
      </w:tr>
    </w:tbl>
    <w:p w:rsidR="00404383" w:rsidRPr="004C31C6" w:rsidRDefault="00404383" w:rsidP="00404383">
      <w:pPr>
        <w:ind w:left="-142"/>
        <w:jc w:val="both"/>
        <w:rPr>
          <w:rFonts w:ascii="Arial" w:hAnsi="Arial" w:cs="Arial"/>
          <w:sz w:val="18"/>
          <w:szCs w:val="18"/>
        </w:rPr>
      </w:pPr>
    </w:p>
    <w:p w:rsidR="00404383" w:rsidRPr="004C31C6" w:rsidRDefault="00404383" w:rsidP="00404383">
      <w:pPr>
        <w:pStyle w:val="Prrafodelista"/>
        <w:ind w:left="-142"/>
        <w:jc w:val="both"/>
        <w:rPr>
          <w:rFonts w:ascii="Arial" w:hAnsi="Arial" w:cs="Arial"/>
          <w:sz w:val="18"/>
          <w:szCs w:val="18"/>
        </w:rPr>
      </w:pPr>
      <w:r w:rsidRPr="004C31C6">
        <w:rPr>
          <w:rFonts w:ascii="Arial" w:hAnsi="Arial" w:cs="Arial"/>
          <w:b/>
          <w:i/>
          <w:sz w:val="18"/>
          <w:szCs w:val="18"/>
        </w:rPr>
        <w:t>Fuente:</w:t>
      </w:r>
      <w:r w:rsidRPr="004C31C6">
        <w:rPr>
          <w:rFonts w:ascii="Arial" w:hAnsi="Arial" w:cs="Arial"/>
          <w:sz w:val="18"/>
          <w:szCs w:val="18"/>
        </w:rPr>
        <w:t xml:space="preserve"> </w:t>
      </w:r>
      <w:r w:rsidRPr="004C31C6">
        <w:rPr>
          <w:rFonts w:ascii="Arial" w:hAnsi="Arial" w:cs="Arial"/>
          <w:b/>
          <w:sz w:val="18"/>
          <w:szCs w:val="18"/>
        </w:rPr>
        <w:t xml:space="preserve">INEC </w:t>
      </w:r>
      <w:r w:rsidRPr="004C31C6">
        <w:rPr>
          <w:rFonts w:ascii="Arial" w:hAnsi="Arial" w:cs="Arial"/>
          <w:sz w:val="18"/>
          <w:szCs w:val="18"/>
        </w:rPr>
        <w:t>(2010), Base de Datos del VII Censo de Población y VI de Vivienda.</w:t>
      </w:r>
    </w:p>
    <w:p w:rsidR="00404383" w:rsidRPr="004C31C6" w:rsidRDefault="00404383" w:rsidP="00404383">
      <w:pPr>
        <w:ind w:left="-142"/>
        <w:jc w:val="both"/>
        <w:rPr>
          <w:rFonts w:ascii="Arial" w:hAnsi="Arial" w:cs="Arial"/>
          <w:sz w:val="18"/>
          <w:szCs w:val="18"/>
        </w:rPr>
      </w:pPr>
      <w:r w:rsidRPr="004C31C6">
        <w:rPr>
          <w:rFonts w:ascii="Arial" w:hAnsi="Arial" w:cs="Arial"/>
          <w:b/>
          <w:i/>
          <w:sz w:val="18"/>
          <w:szCs w:val="18"/>
        </w:rPr>
        <w:t>Elaborado por:</w:t>
      </w:r>
      <w:r w:rsidRPr="004C31C6">
        <w:rPr>
          <w:rFonts w:ascii="Arial" w:hAnsi="Arial" w:cs="Arial"/>
          <w:sz w:val="18"/>
          <w:szCs w:val="18"/>
        </w:rPr>
        <w:t xml:space="preserve"> Katherine Loor Valeriano</w:t>
      </w:r>
    </w:p>
    <w:p w:rsidR="00404383" w:rsidRDefault="00404383" w:rsidP="00404383">
      <w:pPr>
        <w:ind w:left="-284"/>
        <w:jc w:val="both"/>
        <w:rPr>
          <w:rFonts w:ascii="Arial" w:hAnsi="Arial" w:cs="Arial"/>
          <w:sz w:val="18"/>
          <w:szCs w:val="18"/>
        </w:rPr>
      </w:pPr>
    </w:p>
    <w:p w:rsidR="005B4F2F" w:rsidRDefault="005B4F2F" w:rsidP="00A01FB5">
      <w:pPr>
        <w:ind w:left="-284"/>
        <w:jc w:val="both"/>
        <w:rPr>
          <w:rFonts w:ascii="Arial" w:hAnsi="Arial" w:cs="Arial"/>
          <w:sz w:val="18"/>
          <w:szCs w:val="18"/>
        </w:rPr>
        <w:sectPr w:rsidR="005B4F2F" w:rsidSect="003B05B6">
          <w:pgSz w:w="16839" w:h="11907" w:orient="landscape" w:code="9"/>
          <w:pgMar w:top="1985" w:right="1134" w:bottom="1276" w:left="1134" w:header="709" w:footer="431" w:gutter="0"/>
          <w:cols w:space="708"/>
          <w:docGrid w:linePitch="360"/>
        </w:sectPr>
      </w:pPr>
    </w:p>
    <w:tbl>
      <w:tblPr>
        <w:tblStyle w:val="Tablaconcuadrcula"/>
        <w:tblW w:w="0" w:type="auto"/>
        <w:jc w:val="center"/>
        <w:tblInd w:w="-4421"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14726"/>
      </w:tblGrid>
      <w:tr w:rsidR="005B4F2F" w:rsidRPr="00840530" w:rsidTr="00241A1F">
        <w:trPr>
          <w:trHeight w:val="6633"/>
          <w:jc w:val="center"/>
        </w:trPr>
        <w:tc>
          <w:tcPr>
            <w:tcW w:w="14601" w:type="dxa"/>
          </w:tcPr>
          <w:p w:rsidR="005B4F2F" w:rsidRPr="00840530" w:rsidRDefault="005B4F2F" w:rsidP="00241A1F">
            <w:pPr>
              <w:rPr>
                <w:rFonts w:ascii="Arial" w:hAnsi="Arial" w:cs="Arial"/>
                <w:sz w:val="16"/>
                <w:szCs w:val="16"/>
              </w:rPr>
            </w:pPr>
          </w:p>
          <w:p w:rsidR="005B4F2F" w:rsidRPr="00840530" w:rsidRDefault="005B4F2F" w:rsidP="00241A1F">
            <w:pPr>
              <w:rPr>
                <w:rFonts w:ascii="Arial" w:hAnsi="Arial" w:cs="Arial"/>
                <w:b/>
                <w:sz w:val="16"/>
                <w:szCs w:val="16"/>
              </w:rPr>
            </w:pPr>
            <w:r w:rsidRPr="00840530">
              <w:rPr>
                <w:rFonts w:ascii="Arial" w:hAnsi="Arial" w:cs="Arial"/>
                <w:b/>
                <w:sz w:val="16"/>
                <w:szCs w:val="16"/>
              </w:rPr>
              <w:t xml:space="preserve">Tabla </w:t>
            </w:r>
            <w:r>
              <w:rPr>
                <w:rFonts w:ascii="Arial" w:hAnsi="Arial" w:cs="Arial"/>
                <w:b/>
                <w:sz w:val="16"/>
                <w:szCs w:val="16"/>
              </w:rPr>
              <w:t>B</w:t>
            </w:r>
            <w:r w:rsidRPr="00840530">
              <w:rPr>
                <w:rFonts w:ascii="Arial" w:hAnsi="Arial" w:cs="Arial"/>
                <w:b/>
                <w:sz w:val="16"/>
                <w:szCs w:val="16"/>
              </w:rPr>
              <w:t>.</w:t>
            </w:r>
            <w:r>
              <w:rPr>
                <w:rFonts w:ascii="Arial" w:hAnsi="Arial" w:cs="Arial"/>
                <w:b/>
                <w:sz w:val="16"/>
                <w:szCs w:val="16"/>
              </w:rPr>
              <w:t>5</w:t>
            </w:r>
          </w:p>
          <w:p w:rsidR="005B4F2F" w:rsidRPr="00634D60" w:rsidRDefault="005B4F2F" w:rsidP="005B4F2F">
            <w:pPr>
              <w:rPr>
                <w:rFonts w:ascii="Arial" w:hAnsi="Arial" w:cs="Arial"/>
                <w:i/>
                <w:sz w:val="16"/>
                <w:szCs w:val="16"/>
              </w:rPr>
            </w:pPr>
            <w:r w:rsidRPr="00634D60">
              <w:rPr>
                <w:rFonts w:ascii="Arial" w:hAnsi="Arial" w:cs="Arial"/>
                <w:i/>
                <w:sz w:val="16"/>
                <w:szCs w:val="16"/>
              </w:rPr>
              <w:t>Proporción de Inmigrantes por Provincia donde vivía hace 5 años dado que se conoce la Provincia de Residencia</w:t>
            </w:r>
          </w:p>
          <w:p w:rsidR="005B4F2F" w:rsidRPr="00634D60" w:rsidRDefault="005B4F2F" w:rsidP="00241A1F">
            <w:pPr>
              <w:rPr>
                <w:rFonts w:ascii="Arial" w:hAnsi="Arial" w:cs="Arial"/>
                <w:i/>
                <w:sz w:val="16"/>
                <w:szCs w:val="16"/>
              </w:rPr>
            </w:pPr>
          </w:p>
          <w:tbl>
            <w:tblPr>
              <w:tblW w:w="14510" w:type="dxa"/>
              <w:tblCellMar>
                <w:left w:w="0" w:type="dxa"/>
                <w:right w:w="0" w:type="dxa"/>
              </w:tblCellMar>
              <w:tblLook w:val="04A0" w:firstRow="1" w:lastRow="0" w:firstColumn="1" w:lastColumn="0" w:noHBand="0" w:noVBand="1"/>
            </w:tblPr>
            <w:tblGrid>
              <w:gridCol w:w="763"/>
              <w:gridCol w:w="417"/>
              <w:gridCol w:w="454"/>
              <w:gridCol w:w="418"/>
              <w:gridCol w:w="420"/>
              <w:gridCol w:w="493"/>
              <w:gridCol w:w="661"/>
              <w:gridCol w:w="431"/>
              <w:gridCol w:w="664"/>
              <w:gridCol w:w="486"/>
              <w:gridCol w:w="550"/>
              <w:gridCol w:w="475"/>
              <w:gridCol w:w="475"/>
              <w:gridCol w:w="483"/>
              <w:gridCol w:w="555"/>
              <w:gridCol w:w="475"/>
              <w:gridCol w:w="490"/>
              <w:gridCol w:w="553"/>
              <w:gridCol w:w="667"/>
              <w:gridCol w:w="621"/>
              <w:gridCol w:w="623"/>
              <w:gridCol w:w="623"/>
              <w:gridCol w:w="508"/>
              <w:gridCol w:w="565"/>
              <w:gridCol w:w="506"/>
              <w:gridCol w:w="680"/>
              <w:gridCol w:w="454"/>
            </w:tblGrid>
            <w:tr w:rsidR="005B4F2F" w:rsidRPr="009A52B2" w:rsidTr="00241A1F">
              <w:trPr>
                <w:trHeight w:val="198"/>
              </w:trPr>
              <w:tc>
                <w:tcPr>
                  <w:tcW w:w="763" w:type="dxa"/>
                  <w:vMerge w:val="restart"/>
                  <w:tcBorders>
                    <w:top w:val="single" w:sz="4" w:space="0" w:color="auto"/>
                    <w:left w:val="nil"/>
                    <w:bottom w:val="single" w:sz="4" w:space="0" w:color="000000"/>
                    <w:right w:val="nil"/>
                  </w:tcBorders>
                  <w:shd w:val="clear" w:color="auto" w:fill="auto"/>
                  <w:vAlign w:val="center"/>
                  <w:hideMark/>
                </w:tcPr>
                <w:p w:rsidR="005B4F2F" w:rsidRPr="009A52B2" w:rsidRDefault="005B4F2F" w:rsidP="00241A1F">
                  <w:pPr>
                    <w:rPr>
                      <w:rFonts w:ascii="Arial" w:eastAsia="Times New Roman" w:hAnsi="Arial" w:cs="Arial"/>
                      <w:b/>
                      <w:bCs/>
                      <w:sz w:val="10"/>
                      <w:szCs w:val="10"/>
                      <w:lang w:eastAsia="es-EC"/>
                    </w:rPr>
                  </w:pPr>
                  <w:r w:rsidRPr="009A52B2">
                    <w:rPr>
                      <w:rFonts w:ascii="Arial" w:eastAsia="Times New Roman" w:hAnsi="Arial" w:cs="Arial"/>
                      <w:b/>
                      <w:bCs/>
                      <w:sz w:val="10"/>
                      <w:szCs w:val="10"/>
                      <w:lang w:eastAsia="es-EC"/>
                    </w:rPr>
                    <w:t>Provincia de Residencia</w:t>
                  </w:r>
                </w:p>
              </w:tc>
              <w:tc>
                <w:tcPr>
                  <w:tcW w:w="13293" w:type="dxa"/>
                  <w:gridSpan w:val="25"/>
                  <w:tcBorders>
                    <w:top w:val="single" w:sz="4" w:space="0" w:color="auto"/>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b/>
                      <w:bCs/>
                      <w:sz w:val="12"/>
                      <w:szCs w:val="12"/>
                      <w:lang w:eastAsia="es-EC"/>
                    </w:rPr>
                  </w:pPr>
                  <w:r w:rsidRPr="00B400EC">
                    <w:rPr>
                      <w:rFonts w:ascii="Arial" w:eastAsia="Times New Roman" w:hAnsi="Arial" w:cs="Arial"/>
                      <w:b/>
                      <w:bCs/>
                      <w:sz w:val="12"/>
                      <w:szCs w:val="12"/>
                      <w:lang w:eastAsia="es-EC"/>
                    </w:rPr>
                    <w:t>Provincia donde vivía hace 5 años (Noviembre 2005)</w:t>
                  </w:r>
                </w:p>
              </w:tc>
              <w:tc>
                <w:tcPr>
                  <w:tcW w:w="454" w:type="dxa"/>
                  <w:vMerge w:val="restart"/>
                  <w:tcBorders>
                    <w:top w:val="single" w:sz="4" w:space="0" w:color="auto"/>
                    <w:left w:val="nil"/>
                    <w:right w:val="nil"/>
                  </w:tcBorders>
                  <w:shd w:val="clear" w:color="auto" w:fill="auto"/>
                  <w:noWrap/>
                  <w:vAlign w:val="center"/>
                  <w:hideMark/>
                </w:tcPr>
                <w:p w:rsidR="005B4F2F" w:rsidRPr="009A52B2" w:rsidRDefault="005B4F2F" w:rsidP="00241A1F">
                  <w:pPr>
                    <w:rPr>
                      <w:rFonts w:ascii="Arial" w:eastAsia="Times New Roman" w:hAnsi="Arial" w:cs="Arial"/>
                      <w:b/>
                      <w:bCs/>
                      <w:sz w:val="12"/>
                      <w:szCs w:val="12"/>
                      <w:lang w:eastAsia="es-EC"/>
                    </w:rPr>
                  </w:pPr>
                  <w:r w:rsidRPr="009A52B2">
                    <w:rPr>
                      <w:rFonts w:ascii="Arial" w:eastAsia="Times New Roman" w:hAnsi="Arial" w:cs="Arial"/>
                      <w:b/>
                      <w:bCs/>
                      <w:sz w:val="12"/>
                      <w:szCs w:val="12"/>
                      <w:lang w:eastAsia="es-EC"/>
                    </w:rPr>
                    <w:t>Total</w:t>
                  </w:r>
                </w:p>
              </w:tc>
            </w:tr>
            <w:tr w:rsidR="005B4F2F" w:rsidRPr="009A52B2" w:rsidTr="00241A1F">
              <w:trPr>
                <w:trHeight w:val="198"/>
              </w:trPr>
              <w:tc>
                <w:tcPr>
                  <w:tcW w:w="763" w:type="dxa"/>
                  <w:vMerge/>
                  <w:tcBorders>
                    <w:top w:val="single" w:sz="4" w:space="0" w:color="auto"/>
                    <w:left w:val="nil"/>
                    <w:bottom w:val="single" w:sz="4" w:space="0" w:color="000000"/>
                    <w:right w:val="nil"/>
                  </w:tcBorders>
                  <w:vAlign w:val="center"/>
                  <w:hideMark/>
                </w:tcPr>
                <w:p w:rsidR="005B4F2F" w:rsidRPr="009A52B2" w:rsidRDefault="005B4F2F" w:rsidP="00241A1F">
                  <w:pPr>
                    <w:jc w:val="left"/>
                    <w:rPr>
                      <w:rFonts w:ascii="Arial" w:eastAsia="Times New Roman" w:hAnsi="Arial" w:cs="Arial"/>
                      <w:b/>
                      <w:bCs/>
                      <w:sz w:val="10"/>
                      <w:szCs w:val="10"/>
                      <w:lang w:eastAsia="es-EC"/>
                    </w:rPr>
                  </w:pPr>
                </w:p>
              </w:tc>
              <w:tc>
                <w:tcPr>
                  <w:tcW w:w="417"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Azuay</w:t>
                  </w:r>
                </w:p>
              </w:tc>
              <w:tc>
                <w:tcPr>
                  <w:tcW w:w="454" w:type="dxa"/>
                  <w:tcBorders>
                    <w:top w:val="nil"/>
                    <w:left w:val="nil"/>
                    <w:bottom w:val="single" w:sz="4" w:space="0" w:color="auto"/>
                    <w:right w:val="nil"/>
                  </w:tcBorders>
                  <w:shd w:val="clear" w:color="auto" w:fill="auto"/>
                  <w:noWrap/>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Bolívar</w:t>
                  </w:r>
                </w:p>
              </w:tc>
              <w:tc>
                <w:tcPr>
                  <w:tcW w:w="418"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Cañar</w:t>
                  </w:r>
                </w:p>
              </w:tc>
              <w:tc>
                <w:tcPr>
                  <w:tcW w:w="420"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Carchi</w:t>
                  </w:r>
                </w:p>
              </w:tc>
              <w:tc>
                <w:tcPr>
                  <w:tcW w:w="493"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Cotopaxi</w:t>
                  </w:r>
                </w:p>
              </w:tc>
              <w:tc>
                <w:tcPr>
                  <w:tcW w:w="661"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Chimborazo</w:t>
                  </w:r>
                </w:p>
              </w:tc>
              <w:tc>
                <w:tcPr>
                  <w:tcW w:w="431"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El Oro</w:t>
                  </w:r>
                </w:p>
              </w:tc>
              <w:tc>
                <w:tcPr>
                  <w:tcW w:w="664"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Esmeraldas</w:t>
                  </w:r>
                </w:p>
              </w:tc>
              <w:tc>
                <w:tcPr>
                  <w:tcW w:w="486"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Guayas</w:t>
                  </w:r>
                </w:p>
              </w:tc>
              <w:tc>
                <w:tcPr>
                  <w:tcW w:w="550"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Imbabura</w:t>
                  </w:r>
                </w:p>
              </w:tc>
              <w:tc>
                <w:tcPr>
                  <w:tcW w:w="475"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Loja</w:t>
                  </w:r>
                </w:p>
              </w:tc>
              <w:tc>
                <w:tcPr>
                  <w:tcW w:w="475"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Los Ríos</w:t>
                  </w:r>
                </w:p>
              </w:tc>
              <w:tc>
                <w:tcPr>
                  <w:tcW w:w="483"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Manabí</w:t>
                  </w:r>
                </w:p>
              </w:tc>
              <w:tc>
                <w:tcPr>
                  <w:tcW w:w="555"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Morona Santiago</w:t>
                  </w:r>
                </w:p>
              </w:tc>
              <w:tc>
                <w:tcPr>
                  <w:tcW w:w="475"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Napo</w:t>
                  </w:r>
                </w:p>
              </w:tc>
              <w:tc>
                <w:tcPr>
                  <w:tcW w:w="490"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Pastaza</w:t>
                  </w:r>
                </w:p>
              </w:tc>
              <w:tc>
                <w:tcPr>
                  <w:tcW w:w="553"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Pichincha</w:t>
                  </w:r>
                </w:p>
              </w:tc>
              <w:tc>
                <w:tcPr>
                  <w:tcW w:w="667"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Tungurahua</w:t>
                  </w:r>
                </w:p>
              </w:tc>
              <w:tc>
                <w:tcPr>
                  <w:tcW w:w="621"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Zamora Chinchipe</w:t>
                  </w:r>
                </w:p>
              </w:tc>
              <w:tc>
                <w:tcPr>
                  <w:tcW w:w="623"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Galápagos</w:t>
                  </w:r>
                </w:p>
              </w:tc>
              <w:tc>
                <w:tcPr>
                  <w:tcW w:w="623"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Sucumbíos</w:t>
                  </w:r>
                </w:p>
              </w:tc>
              <w:tc>
                <w:tcPr>
                  <w:tcW w:w="508"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Orellana</w:t>
                  </w:r>
                </w:p>
              </w:tc>
              <w:tc>
                <w:tcPr>
                  <w:tcW w:w="565"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Santo Domingo</w:t>
                  </w:r>
                </w:p>
              </w:tc>
              <w:tc>
                <w:tcPr>
                  <w:tcW w:w="506"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Santa Elena</w:t>
                  </w:r>
                </w:p>
              </w:tc>
              <w:tc>
                <w:tcPr>
                  <w:tcW w:w="680"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Zonas No Delimitadas</w:t>
                  </w:r>
                </w:p>
              </w:tc>
              <w:tc>
                <w:tcPr>
                  <w:tcW w:w="454" w:type="dxa"/>
                  <w:vMerge/>
                  <w:tcBorders>
                    <w:left w:val="nil"/>
                    <w:bottom w:val="single" w:sz="4" w:space="0" w:color="000000"/>
                    <w:right w:val="nil"/>
                  </w:tcBorders>
                  <w:vAlign w:val="center"/>
                  <w:hideMark/>
                </w:tcPr>
                <w:p w:rsidR="005B4F2F" w:rsidRPr="009A52B2" w:rsidRDefault="005B4F2F" w:rsidP="00241A1F">
                  <w:pPr>
                    <w:rPr>
                      <w:rFonts w:ascii="Arial" w:eastAsia="Times New Roman" w:hAnsi="Arial" w:cs="Arial"/>
                      <w:b/>
                      <w:bCs/>
                      <w:sz w:val="12"/>
                      <w:szCs w:val="12"/>
                      <w:lang w:eastAsia="es-EC"/>
                    </w:rPr>
                  </w:pP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Azuay</w:t>
                  </w:r>
                </w:p>
              </w:tc>
              <w:tc>
                <w:tcPr>
                  <w:tcW w:w="417"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0.9530</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0.0050</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0.0022</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0.0086</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0.0063</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0.0060</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0.0015</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0.0041</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0.0058</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Bolívar</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454"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0.9584</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0.0032</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0.0011</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0.0050</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0.0064</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0.0130</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0.0029</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0.0020</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0.0016</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Cañar</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0.0108</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18"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0.9581</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0.0043</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0.0112</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0.0012</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0.0031</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0.0031</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Carchi</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20"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0.9468</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0.0063</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0.0123</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0.0250</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0.0014</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Cotopaxi</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93"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0.9570</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0.0016</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0.0019</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0.0030</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0.0039</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0.0031</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0.0157</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0.0038</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0.0012</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0.0019</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Chimborazo</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0.0017</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0.0028</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0.0015</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0.0012</w:t>
                  </w:r>
                </w:p>
              </w:tc>
              <w:tc>
                <w:tcPr>
                  <w:tcW w:w="661"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0.9571</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0.0012</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0.0014</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0.0071</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0.0115</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0.0035</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0.0014</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El Oro</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0.0062</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31"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0.9479</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0.0034</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0.0121</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0.0087</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0.0022</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0.0040</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0.0064</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0.0014</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0.0019</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Esmeraldas</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0.0024</w:t>
                  </w:r>
                </w:p>
              </w:tc>
              <w:tc>
                <w:tcPr>
                  <w:tcW w:w="664"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0.9415</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0.0121</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0.0034</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0.0118</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0.0124</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0.0015</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0.0080</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Guayas</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0.0015</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0.0022</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0.0026</w:t>
                  </w:r>
                </w:p>
              </w:tc>
              <w:tc>
                <w:tcPr>
                  <w:tcW w:w="486"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0.9724</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0.0049</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0.0064</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0.0031</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Imbabura</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0.0112</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0.0020</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0.0015</w:t>
                  </w:r>
                </w:p>
              </w:tc>
              <w:tc>
                <w:tcPr>
                  <w:tcW w:w="550"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0.9504</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0.0250</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0.0011</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0.0011</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0.0011</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Loja</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0.0045</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0.0082</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0.0049</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75"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0.9537</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0.0112</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0.0077</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0.0015</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Los Ríos</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0.0020</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0.0020</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0.0015</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0.0028</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0.0174</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75"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0.9535</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0.0066</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0.0064</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0.0028</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Manabí</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0.0037</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0.0107</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0.0022</w:t>
                  </w:r>
                </w:p>
              </w:tc>
              <w:tc>
                <w:tcPr>
                  <w:tcW w:w="483"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0.9678</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0.0076</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0.0031</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Morona Santiago</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0.0193</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0.0020</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0.0012</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0.0035</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0.0020</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0.0058</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0.0030</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555"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0.9309</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0.0012</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0.0060</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0.0091</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0.0040</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0.0022</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0.0017</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0.0015</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Napo</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0.0011</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0.0024</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0.0030</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0.0017</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0.0033</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0.0019</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0.0037</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0.0014</w:t>
                  </w:r>
                </w:p>
              </w:tc>
              <w:tc>
                <w:tcPr>
                  <w:tcW w:w="475"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0.9299</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0.0040</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0.0209</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0.0068</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0.0057</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0.0061</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0.0018</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Pastaza</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0.0025</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0.0016</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0.0041</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0.0121</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0.0022</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0.0026</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0.0056</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0.0019</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0.0020</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0.0027</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0.0024</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0.0180</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0.0086</w:t>
                  </w:r>
                </w:p>
              </w:tc>
              <w:tc>
                <w:tcPr>
                  <w:tcW w:w="490"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0.8736</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0.0247</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0.0207</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0.0043</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0.0044</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0.0028</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Pichincha</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0.0016</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0.0026</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0.0030</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0.0055</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0.0045</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0.0020</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0.0041</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0.0055</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0.0052</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0.0038</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0.0031</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0.0069</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553"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0.9398</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0.0028</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0.0016</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0.0038</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Tungurahua</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0.0011</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0.0041</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0.0038</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0.0036</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0.0037</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0.0014</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0.0018</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0.0109</w:t>
                  </w:r>
                </w:p>
              </w:tc>
              <w:tc>
                <w:tcPr>
                  <w:tcW w:w="667"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0.9592</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Zamora Chinchipe</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0.0076</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0.0065</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0.0011</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0.0068</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0.0376</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0.0011</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0.0054</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0.0080</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621"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0.9166</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0.0017</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0.0014</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Galápagos</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0.0018</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0.0018</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0.0019</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0.0058</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0.0047</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0.0034</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0.0614</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0.0026</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0.0087</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0.0040</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0.0098</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0.0218</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0.0280</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623"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0.8323</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0.0033</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0.0041</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Sucumbíos</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0.0015</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0.0027</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0.0019</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0.0029</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0.0027</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0.0048</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0.0073</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0.0072</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0.0027</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0.0039</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0.0056</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0.0057</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0.0011</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0.0027</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0.0011</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0.0213</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0.0039</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0.9041</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0.0059</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0.0095</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Orellana</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0.0018</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0.0035</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0.0007</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0.0037</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0.0039</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0.0052</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0.0085</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0.0084</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0.0029</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0.0045</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0.0059</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0.0085</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0.0019</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0.0082</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0.0022</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0.0236</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0.0041</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0.0176</w:t>
                  </w:r>
                </w:p>
              </w:tc>
              <w:tc>
                <w:tcPr>
                  <w:tcW w:w="508"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0.8740</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0.0095</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Santo Domingo</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0.0012</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0.0025</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0.0030</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0.0166</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0.0089</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0.0025</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0.0073</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0.0232</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0.0246</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0.0016</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0.0045</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0.0013</w:t>
                  </w:r>
                </w:p>
              </w:tc>
              <w:tc>
                <w:tcPr>
                  <w:tcW w:w="565"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0.8964</w:t>
                  </w:r>
                </w:p>
              </w:tc>
              <w:tc>
                <w:tcPr>
                  <w:tcW w:w="50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0.0005</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Santa Elena</w:t>
                  </w:r>
                </w:p>
              </w:tc>
              <w:tc>
                <w:tcPr>
                  <w:tcW w:w="41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45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1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2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9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66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43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0.0017</w:t>
                  </w:r>
                </w:p>
              </w:tc>
              <w:tc>
                <w:tcPr>
                  <w:tcW w:w="664"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0.0020</w:t>
                  </w:r>
                </w:p>
              </w:tc>
              <w:tc>
                <w:tcPr>
                  <w:tcW w:w="486"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0.0284</w:t>
                  </w:r>
                </w:p>
              </w:tc>
              <w:tc>
                <w:tcPr>
                  <w:tcW w:w="55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0.0006</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0.0033</w:t>
                  </w:r>
                </w:p>
              </w:tc>
              <w:tc>
                <w:tcPr>
                  <w:tcW w:w="48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0.0078</w:t>
                  </w:r>
                </w:p>
              </w:tc>
              <w:tc>
                <w:tcPr>
                  <w:tcW w:w="55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7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55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0.0053</w:t>
                  </w:r>
                </w:p>
              </w:tc>
              <w:tc>
                <w:tcPr>
                  <w:tcW w:w="667"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621"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508"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565"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506" w:type="dxa"/>
                  <w:tcBorders>
                    <w:top w:val="nil"/>
                    <w:left w:val="nil"/>
                    <w:bottom w:val="nil"/>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0.9450</w:t>
                  </w:r>
                </w:p>
              </w:tc>
              <w:tc>
                <w:tcPr>
                  <w:tcW w:w="680" w:type="dxa"/>
                  <w:tcBorders>
                    <w:top w:val="nil"/>
                    <w:left w:val="nil"/>
                    <w:bottom w:val="nil"/>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single" w:sz="4" w:space="0" w:color="auto"/>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Zonas No Delimitadas</w:t>
                  </w:r>
                </w:p>
              </w:tc>
              <w:tc>
                <w:tcPr>
                  <w:tcW w:w="417"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0.0014</w:t>
                  </w:r>
                </w:p>
              </w:tc>
              <w:tc>
                <w:tcPr>
                  <w:tcW w:w="454"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18"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0.0040</w:t>
                  </w:r>
                </w:p>
              </w:tc>
              <w:tc>
                <w:tcPr>
                  <w:tcW w:w="420"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93"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661"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431"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0.0026</w:t>
                  </w:r>
                </w:p>
              </w:tc>
              <w:tc>
                <w:tcPr>
                  <w:tcW w:w="664"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0.0124</w:t>
                  </w:r>
                </w:p>
              </w:tc>
              <w:tc>
                <w:tcPr>
                  <w:tcW w:w="486"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0.0214</w:t>
                  </w:r>
                </w:p>
              </w:tc>
              <w:tc>
                <w:tcPr>
                  <w:tcW w:w="550"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0.0010</w:t>
                  </w:r>
                </w:p>
              </w:tc>
              <w:tc>
                <w:tcPr>
                  <w:tcW w:w="475"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0.0008</w:t>
                  </w:r>
                </w:p>
              </w:tc>
              <w:tc>
                <w:tcPr>
                  <w:tcW w:w="475"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0.0125</w:t>
                  </w:r>
                </w:p>
              </w:tc>
              <w:tc>
                <w:tcPr>
                  <w:tcW w:w="483"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0.0227</w:t>
                  </w:r>
                </w:p>
              </w:tc>
              <w:tc>
                <w:tcPr>
                  <w:tcW w:w="555"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475"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0.0002</w:t>
                  </w:r>
                </w:p>
              </w:tc>
              <w:tc>
                <w:tcPr>
                  <w:tcW w:w="490"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553"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0.0113</w:t>
                  </w:r>
                </w:p>
              </w:tc>
              <w:tc>
                <w:tcPr>
                  <w:tcW w:w="667"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0.0004</w:t>
                  </w:r>
                </w:p>
              </w:tc>
              <w:tc>
                <w:tcPr>
                  <w:tcW w:w="621"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0.0001</w:t>
                  </w:r>
                </w:p>
              </w:tc>
              <w:tc>
                <w:tcPr>
                  <w:tcW w:w="623"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0.0012</w:t>
                  </w:r>
                </w:p>
              </w:tc>
              <w:tc>
                <w:tcPr>
                  <w:tcW w:w="508"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0.0009</w:t>
                  </w:r>
                </w:p>
              </w:tc>
              <w:tc>
                <w:tcPr>
                  <w:tcW w:w="565"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0.0083</w:t>
                  </w:r>
                </w:p>
              </w:tc>
              <w:tc>
                <w:tcPr>
                  <w:tcW w:w="506" w:type="dxa"/>
                  <w:tcBorders>
                    <w:top w:val="nil"/>
                    <w:left w:val="nil"/>
                    <w:bottom w:val="single" w:sz="4" w:space="0" w:color="auto"/>
                    <w:right w:val="nil"/>
                  </w:tcBorders>
                  <w:shd w:val="clear" w:color="auto" w:fill="auto"/>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0.0003</w:t>
                  </w:r>
                </w:p>
              </w:tc>
              <w:tc>
                <w:tcPr>
                  <w:tcW w:w="680" w:type="dxa"/>
                  <w:tcBorders>
                    <w:top w:val="nil"/>
                    <w:left w:val="nil"/>
                    <w:bottom w:val="single" w:sz="4" w:space="0" w:color="auto"/>
                    <w:right w:val="nil"/>
                  </w:tcBorders>
                  <w:shd w:val="clear" w:color="000000" w:fill="D9D9D9"/>
                  <w:vAlign w:val="center"/>
                  <w:hideMark/>
                </w:tcPr>
                <w:p w:rsidR="005B4F2F" w:rsidRPr="00096DD9" w:rsidRDefault="005B4F2F" w:rsidP="00241A1F">
                  <w:pPr>
                    <w:rPr>
                      <w:rFonts w:ascii="Arial" w:hAnsi="Arial" w:cs="Arial"/>
                      <w:sz w:val="11"/>
                      <w:szCs w:val="11"/>
                    </w:rPr>
                  </w:pPr>
                  <w:r w:rsidRPr="00096DD9">
                    <w:rPr>
                      <w:rFonts w:ascii="Arial" w:hAnsi="Arial" w:cs="Arial"/>
                      <w:sz w:val="11"/>
                      <w:szCs w:val="11"/>
                    </w:rPr>
                    <w:t>0.8961</w:t>
                  </w:r>
                </w:p>
              </w:tc>
              <w:tc>
                <w:tcPr>
                  <w:tcW w:w="454" w:type="dxa"/>
                  <w:tcBorders>
                    <w:top w:val="nil"/>
                    <w:left w:val="nil"/>
                    <w:bottom w:val="single" w:sz="4" w:space="0" w:color="auto"/>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bl>
          <w:p w:rsidR="005B4F2F" w:rsidRPr="00840530" w:rsidRDefault="005B4F2F" w:rsidP="00241A1F">
            <w:pPr>
              <w:ind w:left="7"/>
              <w:rPr>
                <w:rFonts w:ascii="Arial" w:hAnsi="Arial" w:cs="Arial"/>
                <w:sz w:val="24"/>
                <w:szCs w:val="24"/>
              </w:rPr>
            </w:pPr>
          </w:p>
        </w:tc>
      </w:tr>
    </w:tbl>
    <w:p w:rsidR="005B4F2F" w:rsidRPr="004C31C6" w:rsidRDefault="005B4F2F" w:rsidP="005B4F2F">
      <w:pPr>
        <w:ind w:left="-142"/>
        <w:jc w:val="both"/>
        <w:rPr>
          <w:rFonts w:ascii="Arial" w:hAnsi="Arial" w:cs="Arial"/>
          <w:sz w:val="18"/>
          <w:szCs w:val="18"/>
        </w:rPr>
      </w:pPr>
    </w:p>
    <w:p w:rsidR="005B4F2F" w:rsidRPr="004C31C6" w:rsidRDefault="005B4F2F" w:rsidP="005B4F2F">
      <w:pPr>
        <w:pStyle w:val="Prrafodelista"/>
        <w:ind w:left="-142"/>
        <w:jc w:val="both"/>
        <w:rPr>
          <w:rFonts w:ascii="Arial" w:hAnsi="Arial" w:cs="Arial"/>
          <w:sz w:val="18"/>
          <w:szCs w:val="18"/>
        </w:rPr>
      </w:pPr>
      <w:r w:rsidRPr="004C31C6">
        <w:rPr>
          <w:rFonts w:ascii="Arial" w:hAnsi="Arial" w:cs="Arial"/>
          <w:b/>
          <w:i/>
          <w:sz w:val="18"/>
          <w:szCs w:val="18"/>
        </w:rPr>
        <w:t>Fuente:</w:t>
      </w:r>
      <w:r w:rsidRPr="004C31C6">
        <w:rPr>
          <w:rFonts w:ascii="Arial" w:hAnsi="Arial" w:cs="Arial"/>
          <w:sz w:val="18"/>
          <w:szCs w:val="18"/>
        </w:rPr>
        <w:t xml:space="preserve"> </w:t>
      </w:r>
      <w:r w:rsidRPr="004C31C6">
        <w:rPr>
          <w:rFonts w:ascii="Arial" w:hAnsi="Arial" w:cs="Arial"/>
          <w:b/>
          <w:sz w:val="18"/>
          <w:szCs w:val="18"/>
        </w:rPr>
        <w:t xml:space="preserve">INEC </w:t>
      </w:r>
      <w:r w:rsidRPr="004C31C6">
        <w:rPr>
          <w:rFonts w:ascii="Arial" w:hAnsi="Arial" w:cs="Arial"/>
          <w:sz w:val="18"/>
          <w:szCs w:val="18"/>
        </w:rPr>
        <w:t>(2010), Base de Datos del VII Censo de Población y VI de Vivienda.</w:t>
      </w:r>
    </w:p>
    <w:p w:rsidR="005B4F2F" w:rsidRPr="004C31C6" w:rsidRDefault="005B4F2F" w:rsidP="005B4F2F">
      <w:pPr>
        <w:ind w:left="-142"/>
        <w:jc w:val="both"/>
        <w:rPr>
          <w:rFonts w:ascii="Arial" w:hAnsi="Arial" w:cs="Arial"/>
          <w:sz w:val="18"/>
          <w:szCs w:val="18"/>
        </w:rPr>
      </w:pPr>
      <w:r w:rsidRPr="004C31C6">
        <w:rPr>
          <w:rFonts w:ascii="Arial" w:hAnsi="Arial" w:cs="Arial"/>
          <w:b/>
          <w:i/>
          <w:sz w:val="18"/>
          <w:szCs w:val="18"/>
        </w:rPr>
        <w:t>Elaborado por:</w:t>
      </w:r>
      <w:r w:rsidRPr="004C31C6">
        <w:rPr>
          <w:rFonts w:ascii="Arial" w:hAnsi="Arial" w:cs="Arial"/>
          <w:sz w:val="18"/>
          <w:szCs w:val="18"/>
        </w:rPr>
        <w:t xml:space="preserve"> Katherine Loor Valeriano</w:t>
      </w:r>
    </w:p>
    <w:p w:rsidR="005B4F2F" w:rsidRDefault="005B4F2F" w:rsidP="005B4F2F">
      <w:pPr>
        <w:ind w:left="-284"/>
        <w:jc w:val="both"/>
        <w:rPr>
          <w:rFonts w:ascii="Arial" w:hAnsi="Arial" w:cs="Arial"/>
          <w:sz w:val="18"/>
          <w:szCs w:val="18"/>
        </w:rPr>
      </w:pPr>
    </w:p>
    <w:p w:rsidR="005B4F2F" w:rsidRDefault="005B4F2F" w:rsidP="00A01FB5">
      <w:pPr>
        <w:ind w:left="-284"/>
        <w:jc w:val="both"/>
        <w:rPr>
          <w:rFonts w:ascii="Arial" w:hAnsi="Arial" w:cs="Arial"/>
          <w:sz w:val="18"/>
          <w:szCs w:val="18"/>
        </w:rPr>
        <w:sectPr w:rsidR="005B4F2F" w:rsidSect="003B05B6">
          <w:pgSz w:w="16839" w:h="11907" w:orient="landscape" w:code="9"/>
          <w:pgMar w:top="1985" w:right="1134" w:bottom="1276" w:left="1134" w:header="709" w:footer="431" w:gutter="0"/>
          <w:cols w:space="708"/>
          <w:docGrid w:linePitch="360"/>
        </w:sectPr>
      </w:pPr>
    </w:p>
    <w:tbl>
      <w:tblPr>
        <w:tblStyle w:val="Tablaconcuadrcula"/>
        <w:tblW w:w="0" w:type="auto"/>
        <w:jc w:val="center"/>
        <w:tblInd w:w="-4421"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14726"/>
      </w:tblGrid>
      <w:tr w:rsidR="005B4F2F" w:rsidRPr="00840530" w:rsidTr="00241A1F">
        <w:trPr>
          <w:trHeight w:val="6633"/>
          <w:jc w:val="center"/>
        </w:trPr>
        <w:tc>
          <w:tcPr>
            <w:tcW w:w="14601" w:type="dxa"/>
          </w:tcPr>
          <w:p w:rsidR="005B4F2F" w:rsidRPr="00840530" w:rsidRDefault="005B4F2F" w:rsidP="00241A1F">
            <w:pPr>
              <w:rPr>
                <w:rFonts w:ascii="Arial" w:hAnsi="Arial" w:cs="Arial"/>
                <w:sz w:val="16"/>
                <w:szCs w:val="16"/>
              </w:rPr>
            </w:pPr>
          </w:p>
          <w:p w:rsidR="005B4F2F" w:rsidRPr="00840530" w:rsidRDefault="005B4F2F" w:rsidP="00241A1F">
            <w:pPr>
              <w:rPr>
                <w:rFonts w:ascii="Arial" w:hAnsi="Arial" w:cs="Arial"/>
                <w:b/>
                <w:sz w:val="16"/>
                <w:szCs w:val="16"/>
              </w:rPr>
            </w:pPr>
            <w:r w:rsidRPr="00840530">
              <w:rPr>
                <w:rFonts w:ascii="Arial" w:hAnsi="Arial" w:cs="Arial"/>
                <w:b/>
                <w:sz w:val="16"/>
                <w:szCs w:val="16"/>
              </w:rPr>
              <w:t xml:space="preserve">Tabla </w:t>
            </w:r>
            <w:r>
              <w:rPr>
                <w:rFonts w:ascii="Arial" w:hAnsi="Arial" w:cs="Arial"/>
                <w:b/>
                <w:sz w:val="16"/>
                <w:szCs w:val="16"/>
              </w:rPr>
              <w:t>B</w:t>
            </w:r>
            <w:r w:rsidRPr="00840530">
              <w:rPr>
                <w:rFonts w:ascii="Arial" w:hAnsi="Arial" w:cs="Arial"/>
                <w:b/>
                <w:sz w:val="16"/>
                <w:szCs w:val="16"/>
              </w:rPr>
              <w:t>.</w:t>
            </w:r>
            <w:r>
              <w:rPr>
                <w:rFonts w:ascii="Arial" w:hAnsi="Arial" w:cs="Arial"/>
                <w:b/>
                <w:sz w:val="16"/>
                <w:szCs w:val="16"/>
              </w:rPr>
              <w:t>6</w:t>
            </w:r>
          </w:p>
          <w:p w:rsidR="005B4F2F" w:rsidRDefault="005B4F2F" w:rsidP="00241A1F">
            <w:pPr>
              <w:rPr>
                <w:rFonts w:ascii="Arial" w:hAnsi="Arial" w:cs="Arial"/>
                <w:i/>
                <w:sz w:val="16"/>
                <w:szCs w:val="16"/>
              </w:rPr>
            </w:pPr>
            <w:r w:rsidRPr="00634D60">
              <w:rPr>
                <w:rFonts w:ascii="Arial" w:hAnsi="Arial" w:cs="Arial"/>
                <w:i/>
                <w:sz w:val="16"/>
                <w:szCs w:val="16"/>
              </w:rPr>
              <w:t xml:space="preserve">Proporción de Emigrantes por Provincia de Residencia habitual dado que se conoce la Provincia donde vivía hace 5 años </w:t>
            </w:r>
          </w:p>
          <w:p w:rsidR="005B4F2F" w:rsidRPr="00634D60" w:rsidRDefault="005B4F2F" w:rsidP="00241A1F">
            <w:pPr>
              <w:rPr>
                <w:rFonts w:ascii="Arial" w:hAnsi="Arial" w:cs="Arial"/>
                <w:i/>
                <w:sz w:val="16"/>
                <w:szCs w:val="16"/>
              </w:rPr>
            </w:pPr>
          </w:p>
          <w:tbl>
            <w:tblPr>
              <w:tblW w:w="14510" w:type="dxa"/>
              <w:tblCellMar>
                <w:left w:w="0" w:type="dxa"/>
                <w:right w:w="0" w:type="dxa"/>
              </w:tblCellMar>
              <w:tblLook w:val="04A0" w:firstRow="1" w:lastRow="0" w:firstColumn="1" w:lastColumn="0" w:noHBand="0" w:noVBand="1"/>
            </w:tblPr>
            <w:tblGrid>
              <w:gridCol w:w="763"/>
              <w:gridCol w:w="417"/>
              <w:gridCol w:w="454"/>
              <w:gridCol w:w="418"/>
              <w:gridCol w:w="420"/>
              <w:gridCol w:w="493"/>
              <w:gridCol w:w="661"/>
              <w:gridCol w:w="431"/>
              <w:gridCol w:w="664"/>
              <w:gridCol w:w="486"/>
              <w:gridCol w:w="550"/>
              <w:gridCol w:w="475"/>
              <w:gridCol w:w="475"/>
              <w:gridCol w:w="483"/>
              <w:gridCol w:w="555"/>
              <w:gridCol w:w="475"/>
              <w:gridCol w:w="490"/>
              <w:gridCol w:w="553"/>
              <w:gridCol w:w="667"/>
              <w:gridCol w:w="621"/>
              <w:gridCol w:w="623"/>
              <w:gridCol w:w="623"/>
              <w:gridCol w:w="508"/>
              <w:gridCol w:w="565"/>
              <w:gridCol w:w="506"/>
              <w:gridCol w:w="680"/>
              <w:gridCol w:w="454"/>
            </w:tblGrid>
            <w:tr w:rsidR="005B4F2F" w:rsidRPr="009A52B2" w:rsidTr="00241A1F">
              <w:trPr>
                <w:trHeight w:val="198"/>
              </w:trPr>
              <w:tc>
                <w:tcPr>
                  <w:tcW w:w="763" w:type="dxa"/>
                  <w:vMerge w:val="restart"/>
                  <w:tcBorders>
                    <w:top w:val="single" w:sz="4" w:space="0" w:color="auto"/>
                    <w:left w:val="nil"/>
                    <w:bottom w:val="single" w:sz="4" w:space="0" w:color="000000"/>
                    <w:right w:val="nil"/>
                  </w:tcBorders>
                  <w:shd w:val="clear" w:color="auto" w:fill="auto"/>
                  <w:vAlign w:val="center"/>
                  <w:hideMark/>
                </w:tcPr>
                <w:p w:rsidR="005B4F2F" w:rsidRPr="009A52B2" w:rsidRDefault="005B4F2F" w:rsidP="00241A1F">
                  <w:pPr>
                    <w:rPr>
                      <w:rFonts w:ascii="Arial" w:eastAsia="Times New Roman" w:hAnsi="Arial" w:cs="Arial"/>
                      <w:b/>
                      <w:bCs/>
                      <w:sz w:val="10"/>
                      <w:szCs w:val="10"/>
                      <w:lang w:eastAsia="es-EC"/>
                    </w:rPr>
                  </w:pPr>
                  <w:r w:rsidRPr="005B4F2F">
                    <w:rPr>
                      <w:rFonts w:ascii="Arial" w:eastAsia="Times New Roman" w:hAnsi="Arial" w:cs="Arial"/>
                      <w:b/>
                      <w:bCs/>
                      <w:sz w:val="8"/>
                      <w:szCs w:val="8"/>
                      <w:lang w:eastAsia="es-EC"/>
                    </w:rPr>
                    <w:t>Provincia donde vivía hace 5 años (Noviembre 2005)</w:t>
                  </w:r>
                </w:p>
              </w:tc>
              <w:tc>
                <w:tcPr>
                  <w:tcW w:w="13293" w:type="dxa"/>
                  <w:gridSpan w:val="25"/>
                  <w:tcBorders>
                    <w:top w:val="single" w:sz="4" w:space="0" w:color="auto"/>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b/>
                      <w:bCs/>
                      <w:sz w:val="12"/>
                      <w:szCs w:val="12"/>
                      <w:lang w:eastAsia="es-EC"/>
                    </w:rPr>
                  </w:pPr>
                  <w:r w:rsidRPr="009A52B2">
                    <w:rPr>
                      <w:rFonts w:ascii="Arial" w:eastAsia="Times New Roman" w:hAnsi="Arial" w:cs="Arial"/>
                      <w:b/>
                      <w:bCs/>
                      <w:sz w:val="10"/>
                      <w:szCs w:val="10"/>
                      <w:lang w:eastAsia="es-EC"/>
                    </w:rPr>
                    <w:t>Provincia de Residencia</w:t>
                  </w:r>
                </w:p>
              </w:tc>
              <w:tc>
                <w:tcPr>
                  <w:tcW w:w="454" w:type="dxa"/>
                  <w:vMerge w:val="restart"/>
                  <w:tcBorders>
                    <w:top w:val="single" w:sz="4" w:space="0" w:color="auto"/>
                    <w:left w:val="nil"/>
                    <w:right w:val="nil"/>
                  </w:tcBorders>
                  <w:shd w:val="clear" w:color="auto" w:fill="auto"/>
                  <w:noWrap/>
                  <w:vAlign w:val="center"/>
                  <w:hideMark/>
                </w:tcPr>
                <w:p w:rsidR="005B4F2F" w:rsidRPr="009A52B2" w:rsidRDefault="005B4F2F" w:rsidP="00241A1F">
                  <w:pPr>
                    <w:rPr>
                      <w:rFonts w:ascii="Arial" w:eastAsia="Times New Roman" w:hAnsi="Arial" w:cs="Arial"/>
                      <w:b/>
                      <w:bCs/>
                      <w:sz w:val="12"/>
                      <w:szCs w:val="12"/>
                      <w:lang w:eastAsia="es-EC"/>
                    </w:rPr>
                  </w:pPr>
                  <w:r w:rsidRPr="009A52B2">
                    <w:rPr>
                      <w:rFonts w:ascii="Arial" w:eastAsia="Times New Roman" w:hAnsi="Arial" w:cs="Arial"/>
                      <w:b/>
                      <w:bCs/>
                      <w:sz w:val="12"/>
                      <w:szCs w:val="12"/>
                      <w:lang w:eastAsia="es-EC"/>
                    </w:rPr>
                    <w:t>Total</w:t>
                  </w:r>
                </w:p>
              </w:tc>
            </w:tr>
            <w:tr w:rsidR="005B4F2F" w:rsidRPr="009A52B2" w:rsidTr="00241A1F">
              <w:trPr>
                <w:trHeight w:val="198"/>
              </w:trPr>
              <w:tc>
                <w:tcPr>
                  <w:tcW w:w="763" w:type="dxa"/>
                  <w:vMerge/>
                  <w:tcBorders>
                    <w:top w:val="single" w:sz="4" w:space="0" w:color="auto"/>
                    <w:left w:val="nil"/>
                    <w:bottom w:val="single" w:sz="4" w:space="0" w:color="000000"/>
                    <w:right w:val="nil"/>
                  </w:tcBorders>
                  <w:vAlign w:val="center"/>
                  <w:hideMark/>
                </w:tcPr>
                <w:p w:rsidR="005B4F2F" w:rsidRPr="009A52B2" w:rsidRDefault="005B4F2F" w:rsidP="00241A1F">
                  <w:pPr>
                    <w:jc w:val="left"/>
                    <w:rPr>
                      <w:rFonts w:ascii="Arial" w:eastAsia="Times New Roman" w:hAnsi="Arial" w:cs="Arial"/>
                      <w:b/>
                      <w:bCs/>
                      <w:sz w:val="10"/>
                      <w:szCs w:val="10"/>
                      <w:lang w:eastAsia="es-EC"/>
                    </w:rPr>
                  </w:pPr>
                </w:p>
              </w:tc>
              <w:tc>
                <w:tcPr>
                  <w:tcW w:w="417"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Azuay</w:t>
                  </w:r>
                </w:p>
              </w:tc>
              <w:tc>
                <w:tcPr>
                  <w:tcW w:w="454" w:type="dxa"/>
                  <w:tcBorders>
                    <w:top w:val="nil"/>
                    <w:left w:val="nil"/>
                    <w:bottom w:val="single" w:sz="4" w:space="0" w:color="auto"/>
                    <w:right w:val="nil"/>
                  </w:tcBorders>
                  <w:shd w:val="clear" w:color="auto" w:fill="auto"/>
                  <w:noWrap/>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Bolívar</w:t>
                  </w:r>
                </w:p>
              </w:tc>
              <w:tc>
                <w:tcPr>
                  <w:tcW w:w="418"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Cañar</w:t>
                  </w:r>
                </w:p>
              </w:tc>
              <w:tc>
                <w:tcPr>
                  <w:tcW w:w="420"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Carchi</w:t>
                  </w:r>
                </w:p>
              </w:tc>
              <w:tc>
                <w:tcPr>
                  <w:tcW w:w="493"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Cotopaxi</w:t>
                  </w:r>
                </w:p>
              </w:tc>
              <w:tc>
                <w:tcPr>
                  <w:tcW w:w="661"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Chimborazo</w:t>
                  </w:r>
                </w:p>
              </w:tc>
              <w:tc>
                <w:tcPr>
                  <w:tcW w:w="431"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El Oro</w:t>
                  </w:r>
                </w:p>
              </w:tc>
              <w:tc>
                <w:tcPr>
                  <w:tcW w:w="664"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Esmeraldas</w:t>
                  </w:r>
                </w:p>
              </w:tc>
              <w:tc>
                <w:tcPr>
                  <w:tcW w:w="486"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Guayas</w:t>
                  </w:r>
                </w:p>
              </w:tc>
              <w:tc>
                <w:tcPr>
                  <w:tcW w:w="550"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Imbabura</w:t>
                  </w:r>
                </w:p>
              </w:tc>
              <w:tc>
                <w:tcPr>
                  <w:tcW w:w="475"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Loja</w:t>
                  </w:r>
                </w:p>
              </w:tc>
              <w:tc>
                <w:tcPr>
                  <w:tcW w:w="475"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Los Ríos</w:t>
                  </w:r>
                </w:p>
              </w:tc>
              <w:tc>
                <w:tcPr>
                  <w:tcW w:w="483"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Manabí</w:t>
                  </w:r>
                </w:p>
              </w:tc>
              <w:tc>
                <w:tcPr>
                  <w:tcW w:w="555"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Morona Santiago</w:t>
                  </w:r>
                </w:p>
              </w:tc>
              <w:tc>
                <w:tcPr>
                  <w:tcW w:w="475"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Napo</w:t>
                  </w:r>
                </w:p>
              </w:tc>
              <w:tc>
                <w:tcPr>
                  <w:tcW w:w="490"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Pastaza</w:t>
                  </w:r>
                </w:p>
              </w:tc>
              <w:tc>
                <w:tcPr>
                  <w:tcW w:w="553"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Pichincha</w:t>
                  </w:r>
                </w:p>
              </w:tc>
              <w:tc>
                <w:tcPr>
                  <w:tcW w:w="667"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Tungurahua</w:t>
                  </w:r>
                </w:p>
              </w:tc>
              <w:tc>
                <w:tcPr>
                  <w:tcW w:w="621"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Zamora Chinchipe</w:t>
                  </w:r>
                </w:p>
              </w:tc>
              <w:tc>
                <w:tcPr>
                  <w:tcW w:w="623"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Galápagos</w:t>
                  </w:r>
                </w:p>
              </w:tc>
              <w:tc>
                <w:tcPr>
                  <w:tcW w:w="623"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Sucumbíos</w:t>
                  </w:r>
                </w:p>
              </w:tc>
              <w:tc>
                <w:tcPr>
                  <w:tcW w:w="508"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Orellana</w:t>
                  </w:r>
                </w:p>
              </w:tc>
              <w:tc>
                <w:tcPr>
                  <w:tcW w:w="565"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Santo Domingo</w:t>
                  </w:r>
                </w:p>
              </w:tc>
              <w:tc>
                <w:tcPr>
                  <w:tcW w:w="506"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Santa Elena</w:t>
                  </w:r>
                </w:p>
              </w:tc>
              <w:tc>
                <w:tcPr>
                  <w:tcW w:w="680" w:type="dxa"/>
                  <w:tcBorders>
                    <w:top w:val="nil"/>
                    <w:left w:val="nil"/>
                    <w:bottom w:val="single" w:sz="4" w:space="0" w:color="auto"/>
                    <w:right w:val="nil"/>
                  </w:tcBorders>
                  <w:shd w:val="clear" w:color="auto" w:fill="auto"/>
                  <w:vAlign w:val="center"/>
                  <w:hideMark/>
                </w:tcPr>
                <w:p w:rsidR="005B4F2F" w:rsidRPr="009A52B2" w:rsidRDefault="005B4F2F" w:rsidP="00241A1F">
                  <w:pPr>
                    <w:rPr>
                      <w:rFonts w:ascii="Arial" w:eastAsia="Times New Roman" w:hAnsi="Arial" w:cs="Arial"/>
                      <w:sz w:val="11"/>
                      <w:szCs w:val="11"/>
                      <w:lang w:eastAsia="es-EC"/>
                    </w:rPr>
                  </w:pPr>
                  <w:r w:rsidRPr="009A52B2">
                    <w:rPr>
                      <w:rFonts w:ascii="Arial" w:eastAsia="Times New Roman" w:hAnsi="Arial" w:cs="Arial"/>
                      <w:sz w:val="11"/>
                      <w:szCs w:val="11"/>
                      <w:lang w:eastAsia="es-EC"/>
                    </w:rPr>
                    <w:t>Zonas No Delimitadas</w:t>
                  </w:r>
                </w:p>
              </w:tc>
              <w:tc>
                <w:tcPr>
                  <w:tcW w:w="454" w:type="dxa"/>
                  <w:vMerge/>
                  <w:tcBorders>
                    <w:left w:val="nil"/>
                    <w:bottom w:val="single" w:sz="4" w:space="0" w:color="000000"/>
                    <w:right w:val="nil"/>
                  </w:tcBorders>
                  <w:vAlign w:val="center"/>
                  <w:hideMark/>
                </w:tcPr>
                <w:p w:rsidR="005B4F2F" w:rsidRPr="009A52B2" w:rsidRDefault="005B4F2F" w:rsidP="00241A1F">
                  <w:pPr>
                    <w:rPr>
                      <w:rFonts w:ascii="Arial" w:eastAsia="Times New Roman" w:hAnsi="Arial" w:cs="Arial"/>
                      <w:b/>
                      <w:bCs/>
                      <w:sz w:val="12"/>
                      <w:szCs w:val="12"/>
                      <w:lang w:eastAsia="es-EC"/>
                    </w:rPr>
                  </w:pP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Azuay</w:t>
                  </w:r>
                </w:p>
              </w:tc>
              <w:tc>
                <w:tcPr>
                  <w:tcW w:w="417"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0.9659</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0.0034</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0.0054</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0.0048</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0.0029</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0.0038</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0.0058</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Bolívar</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454"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0.9175</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0.0022</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0.0067</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0.0073</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0.0081</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0.0351</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0.0108</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0.0023</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0.0023</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0.0019</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Cañar</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0.0159</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18"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0.9602</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0.0031</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0.0086</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0.0033</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Carchi</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20"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0.9074</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0.0014</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0.0061</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0.0264</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0.0459</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0.0019</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Cotopaxi</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93"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0.9407</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0.0014</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0.0025</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0.0037</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0.0014</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0.0342</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0.0046</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0.0022</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Chimborazo</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0.0033</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0.0021</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0.0014</w:t>
                  </w:r>
                </w:p>
              </w:tc>
              <w:tc>
                <w:tcPr>
                  <w:tcW w:w="661"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0.9385</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0.0120</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0.0021</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0.0248</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0.0039</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El Oro</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0.0101</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431"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0.9457</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0.0020</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0.0131</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0.0061</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0.0020</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0.0021</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0.0086</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0.0018</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Esmeraldas</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0.0015</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0.0038</w:t>
                  </w:r>
                </w:p>
              </w:tc>
              <w:tc>
                <w:tcPr>
                  <w:tcW w:w="664"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0.9183</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0.0180</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0.0015</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0.0040</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0.0094</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0.0199</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0.0023</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0.0020</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0.0113</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Guayas</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0.0020</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0.0017</w:t>
                  </w:r>
                </w:p>
              </w:tc>
              <w:tc>
                <w:tcPr>
                  <w:tcW w:w="486"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0.9746</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0.0037</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0.0040</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0.0039</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0.0023</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Imbabura</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0.0050</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0.0014</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0.0017</w:t>
                  </w:r>
                </w:p>
              </w:tc>
              <w:tc>
                <w:tcPr>
                  <w:tcW w:w="550"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0.9468</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0.0339</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Loja</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0.0093</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0.0115</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0.0041</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75"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0.9336</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0.0213</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0.0072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0.0014</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0.0020</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Los Ríos</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0.0014</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0.0015</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0.0020</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0.0017</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0.0022</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0.0228</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75"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0.9438</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0.0039</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0.0102</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0.0034</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Manabí</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0.0017</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0.0044</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0.0167</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0.0036</w:t>
                  </w:r>
                </w:p>
              </w:tc>
              <w:tc>
                <w:tcPr>
                  <w:tcW w:w="483"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0.9470</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0.0127</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0.0060</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0.0017</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Morona Santiago</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0.0209</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0.0035</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0.0019</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0.0026</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0.0021</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555"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0.9331</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0.0105</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0.0096</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0.0017</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0.0034</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0.0017</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Napo</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0.0017</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0.0044</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0.0020</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0.0024</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0.0017</w:t>
                  </w:r>
                </w:p>
              </w:tc>
              <w:tc>
                <w:tcPr>
                  <w:tcW w:w="475"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0.9299</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0.0070</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0.0220</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0.0045</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0.0044</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0.0106</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Pastaza</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0.0021</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0.0027</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0.0080</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0.0026</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0.0043</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0.0023</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0.0017</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0.0108</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0.0052</w:t>
                  </w:r>
                </w:p>
              </w:tc>
              <w:tc>
                <w:tcPr>
                  <w:tcW w:w="490"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0.9139</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0.0203</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0.0121</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0.0024</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0.0036</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0.0015</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Pichincha</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0.0016</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0.0016</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0.0025</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0.0021</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0.0015</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0.0026</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0.0044</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0.0039</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0.0020</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0.0020</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0.0041</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553"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0.9587</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0.0022</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0.0014</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0.0035</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Tungurahua</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0.0030</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0.0032</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0.0039</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0.0033</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0.0140</w:t>
                  </w:r>
                </w:p>
              </w:tc>
              <w:tc>
                <w:tcPr>
                  <w:tcW w:w="667"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0.9571</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Zamora Chinchipe</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0.0077</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0.0011</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0.0048</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0.0027</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0.0398</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0.0035</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0.0100</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621"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0.9198</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Galápagos</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0.0018</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0.0015</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0.0029</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0.0035</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0.0021</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0.0449</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0.0021</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0.0041</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0.0025</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0.0048</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0.0291</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0.0118</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0.8789</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0.0023</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0.0032</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Sucumbíos</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0.0018</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0.0023</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0.0014</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0.0029</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0.0027</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0.0051</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0.0046</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0.0056</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0.0025</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0.0034</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0.0041</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0.0031</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0.0014</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0.0034</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0.0021</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0.0244</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0.0030</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0.9007</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0.0136</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0.0099</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Orellana</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0.0009</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0.0020</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0.0030</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0.0024</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0.0027</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0.0034</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0.0015</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0.0026</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0.0025</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0.0018</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0.0051</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0.0030</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0.0163</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0.0018</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0.0081</w:t>
                  </w:r>
                </w:p>
              </w:tc>
              <w:tc>
                <w:tcPr>
                  <w:tcW w:w="508"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0.9357</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0.0039</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Santo Domingo</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0.0016</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0.0022</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0.0019</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0.0032</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0.0116</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0.0090</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0.0019</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0.0061</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0.0118</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0.0275</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0.0019</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0.0044</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0.0034</w:t>
                  </w:r>
                </w:p>
              </w:tc>
              <w:tc>
                <w:tcPr>
                  <w:tcW w:w="565"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0.9072</w:t>
                  </w:r>
                </w:p>
              </w:tc>
              <w:tc>
                <w:tcPr>
                  <w:tcW w:w="50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0.0007</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nil"/>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Santa Elena</w:t>
                  </w:r>
                </w:p>
              </w:tc>
              <w:tc>
                <w:tcPr>
                  <w:tcW w:w="41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45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1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2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9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66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43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0.0012</w:t>
                  </w:r>
                </w:p>
              </w:tc>
              <w:tc>
                <w:tcPr>
                  <w:tcW w:w="664"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0.0008</w:t>
                  </w:r>
                </w:p>
              </w:tc>
              <w:tc>
                <w:tcPr>
                  <w:tcW w:w="486"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0.0163</w:t>
                  </w:r>
                </w:p>
              </w:tc>
              <w:tc>
                <w:tcPr>
                  <w:tcW w:w="55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0.0004</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0.0013</w:t>
                  </w:r>
                </w:p>
              </w:tc>
              <w:tc>
                <w:tcPr>
                  <w:tcW w:w="48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0.0032</w:t>
                  </w:r>
                </w:p>
              </w:tc>
              <w:tc>
                <w:tcPr>
                  <w:tcW w:w="55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7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9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55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0.0043</w:t>
                  </w:r>
                </w:p>
              </w:tc>
              <w:tc>
                <w:tcPr>
                  <w:tcW w:w="667"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0.0005</w:t>
                  </w:r>
                </w:p>
              </w:tc>
              <w:tc>
                <w:tcPr>
                  <w:tcW w:w="621"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623"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0.0003</w:t>
                  </w:r>
                </w:p>
              </w:tc>
              <w:tc>
                <w:tcPr>
                  <w:tcW w:w="508"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565"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0.0006</w:t>
                  </w:r>
                </w:p>
              </w:tc>
              <w:tc>
                <w:tcPr>
                  <w:tcW w:w="506" w:type="dxa"/>
                  <w:tcBorders>
                    <w:top w:val="nil"/>
                    <w:left w:val="nil"/>
                    <w:bottom w:val="nil"/>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0.9684</w:t>
                  </w:r>
                </w:p>
              </w:tc>
              <w:tc>
                <w:tcPr>
                  <w:tcW w:w="680" w:type="dxa"/>
                  <w:tcBorders>
                    <w:top w:val="nil"/>
                    <w:left w:val="nil"/>
                    <w:bottom w:val="nil"/>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454" w:type="dxa"/>
                  <w:tcBorders>
                    <w:top w:val="nil"/>
                    <w:left w:val="nil"/>
                    <w:bottom w:val="nil"/>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r w:rsidR="005B4F2F" w:rsidRPr="009A52B2" w:rsidTr="00241A1F">
              <w:trPr>
                <w:trHeight w:val="198"/>
              </w:trPr>
              <w:tc>
                <w:tcPr>
                  <w:tcW w:w="763" w:type="dxa"/>
                  <w:tcBorders>
                    <w:top w:val="nil"/>
                    <w:left w:val="nil"/>
                    <w:bottom w:val="single" w:sz="4" w:space="0" w:color="auto"/>
                    <w:right w:val="nil"/>
                  </w:tcBorders>
                  <w:shd w:val="clear" w:color="auto" w:fill="auto"/>
                  <w:vAlign w:val="center"/>
                  <w:hideMark/>
                </w:tcPr>
                <w:p w:rsidR="005B4F2F" w:rsidRPr="009A52B2" w:rsidRDefault="005B4F2F" w:rsidP="00241A1F">
                  <w:pPr>
                    <w:jc w:val="left"/>
                    <w:rPr>
                      <w:rFonts w:ascii="Arial" w:eastAsia="Times New Roman" w:hAnsi="Arial" w:cs="Arial"/>
                      <w:sz w:val="12"/>
                      <w:szCs w:val="12"/>
                      <w:lang w:eastAsia="es-EC"/>
                    </w:rPr>
                  </w:pPr>
                  <w:r w:rsidRPr="009A52B2">
                    <w:rPr>
                      <w:rFonts w:ascii="Arial" w:eastAsia="Times New Roman" w:hAnsi="Arial" w:cs="Arial"/>
                      <w:sz w:val="12"/>
                      <w:szCs w:val="12"/>
                      <w:lang w:eastAsia="es-EC"/>
                    </w:rPr>
                    <w:t>Zonas No Delimitadas</w:t>
                  </w:r>
                </w:p>
              </w:tc>
              <w:tc>
                <w:tcPr>
                  <w:tcW w:w="417"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54"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418"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0.0019</w:t>
                  </w:r>
                </w:p>
              </w:tc>
              <w:tc>
                <w:tcPr>
                  <w:tcW w:w="420"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493"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661"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431"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664"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0.0055</w:t>
                  </w:r>
                </w:p>
              </w:tc>
              <w:tc>
                <w:tcPr>
                  <w:tcW w:w="486"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0.0069</w:t>
                  </w:r>
                </w:p>
              </w:tc>
              <w:tc>
                <w:tcPr>
                  <w:tcW w:w="550"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475"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475"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0.0025</w:t>
                  </w:r>
                </w:p>
              </w:tc>
              <w:tc>
                <w:tcPr>
                  <w:tcW w:w="483"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0.0038</w:t>
                  </w:r>
                </w:p>
              </w:tc>
              <w:tc>
                <w:tcPr>
                  <w:tcW w:w="555"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475"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490"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553"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0.0016</w:t>
                  </w:r>
                </w:p>
              </w:tc>
              <w:tc>
                <w:tcPr>
                  <w:tcW w:w="667"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621"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623"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623"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0.0002</w:t>
                  </w:r>
                </w:p>
              </w:tc>
              <w:tc>
                <w:tcPr>
                  <w:tcW w:w="508"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0.0001</w:t>
                  </w:r>
                </w:p>
              </w:tc>
              <w:tc>
                <w:tcPr>
                  <w:tcW w:w="565"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0.0010</w:t>
                  </w:r>
                </w:p>
              </w:tc>
              <w:tc>
                <w:tcPr>
                  <w:tcW w:w="506" w:type="dxa"/>
                  <w:tcBorders>
                    <w:top w:val="nil"/>
                    <w:left w:val="nil"/>
                    <w:bottom w:val="single" w:sz="4" w:space="0" w:color="auto"/>
                    <w:right w:val="nil"/>
                  </w:tcBorders>
                  <w:shd w:val="clear" w:color="auto" w:fill="auto"/>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0.0000</w:t>
                  </w:r>
                </w:p>
              </w:tc>
              <w:tc>
                <w:tcPr>
                  <w:tcW w:w="680" w:type="dxa"/>
                  <w:tcBorders>
                    <w:top w:val="nil"/>
                    <w:left w:val="nil"/>
                    <w:bottom w:val="single" w:sz="4" w:space="0" w:color="auto"/>
                    <w:right w:val="nil"/>
                  </w:tcBorders>
                  <w:shd w:val="clear" w:color="000000" w:fill="D9D9D9"/>
                  <w:vAlign w:val="center"/>
                  <w:hideMark/>
                </w:tcPr>
                <w:p w:rsidR="005B4F2F" w:rsidRPr="00973629" w:rsidRDefault="005B4F2F" w:rsidP="00241A1F">
                  <w:pPr>
                    <w:rPr>
                      <w:rFonts w:ascii="Arial" w:hAnsi="Arial" w:cs="Arial"/>
                      <w:sz w:val="11"/>
                      <w:szCs w:val="11"/>
                    </w:rPr>
                  </w:pPr>
                  <w:r w:rsidRPr="00973629">
                    <w:rPr>
                      <w:rFonts w:ascii="Arial" w:hAnsi="Arial" w:cs="Arial"/>
                      <w:sz w:val="11"/>
                      <w:szCs w:val="11"/>
                    </w:rPr>
                    <w:t>0.9759</w:t>
                  </w:r>
                </w:p>
              </w:tc>
              <w:tc>
                <w:tcPr>
                  <w:tcW w:w="454" w:type="dxa"/>
                  <w:tcBorders>
                    <w:top w:val="nil"/>
                    <w:left w:val="nil"/>
                    <w:bottom w:val="single" w:sz="4" w:space="0" w:color="auto"/>
                    <w:right w:val="nil"/>
                  </w:tcBorders>
                  <w:shd w:val="clear" w:color="auto" w:fill="auto"/>
                  <w:noWrap/>
                  <w:vAlign w:val="center"/>
                  <w:hideMark/>
                </w:tcPr>
                <w:p w:rsidR="005B4F2F" w:rsidRPr="009A52B2" w:rsidRDefault="005B4F2F" w:rsidP="00241A1F">
                  <w:pPr>
                    <w:rPr>
                      <w:rFonts w:ascii="Arial" w:eastAsia="Times New Roman" w:hAnsi="Arial" w:cs="Arial"/>
                      <w:b/>
                      <w:bCs/>
                      <w:i/>
                      <w:iCs/>
                      <w:sz w:val="12"/>
                      <w:szCs w:val="12"/>
                      <w:lang w:eastAsia="es-EC"/>
                    </w:rPr>
                  </w:pPr>
                  <w:r w:rsidRPr="009A52B2">
                    <w:rPr>
                      <w:rFonts w:ascii="Arial" w:eastAsia="Times New Roman" w:hAnsi="Arial" w:cs="Arial"/>
                      <w:b/>
                      <w:bCs/>
                      <w:i/>
                      <w:iCs/>
                      <w:sz w:val="12"/>
                      <w:szCs w:val="12"/>
                      <w:lang w:eastAsia="es-EC"/>
                    </w:rPr>
                    <w:t>1</w:t>
                  </w:r>
                </w:p>
              </w:tc>
            </w:tr>
          </w:tbl>
          <w:p w:rsidR="005B4F2F" w:rsidRPr="00840530" w:rsidRDefault="005B4F2F" w:rsidP="00241A1F">
            <w:pPr>
              <w:ind w:left="7"/>
              <w:rPr>
                <w:rFonts w:ascii="Arial" w:hAnsi="Arial" w:cs="Arial"/>
                <w:sz w:val="24"/>
                <w:szCs w:val="24"/>
              </w:rPr>
            </w:pPr>
          </w:p>
        </w:tc>
      </w:tr>
    </w:tbl>
    <w:p w:rsidR="005B4F2F" w:rsidRPr="004C31C6" w:rsidRDefault="005B4F2F" w:rsidP="005B4F2F">
      <w:pPr>
        <w:ind w:left="-1276"/>
        <w:jc w:val="both"/>
        <w:rPr>
          <w:rFonts w:ascii="Arial" w:hAnsi="Arial" w:cs="Arial"/>
          <w:sz w:val="18"/>
          <w:szCs w:val="18"/>
        </w:rPr>
      </w:pPr>
    </w:p>
    <w:p w:rsidR="005B4F2F" w:rsidRPr="004C31C6" w:rsidRDefault="005B4F2F" w:rsidP="005B4F2F">
      <w:pPr>
        <w:pStyle w:val="Prrafodelista"/>
        <w:ind w:left="-1276"/>
        <w:jc w:val="both"/>
        <w:rPr>
          <w:rFonts w:ascii="Arial" w:hAnsi="Arial" w:cs="Arial"/>
          <w:sz w:val="18"/>
          <w:szCs w:val="18"/>
        </w:rPr>
      </w:pPr>
      <w:r w:rsidRPr="004C31C6">
        <w:rPr>
          <w:rFonts w:ascii="Arial" w:hAnsi="Arial" w:cs="Arial"/>
          <w:b/>
          <w:i/>
          <w:sz w:val="18"/>
          <w:szCs w:val="18"/>
        </w:rPr>
        <w:t>Fuente:</w:t>
      </w:r>
      <w:r w:rsidRPr="004C31C6">
        <w:rPr>
          <w:rFonts w:ascii="Arial" w:hAnsi="Arial" w:cs="Arial"/>
          <w:sz w:val="18"/>
          <w:szCs w:val="18"/>
        </w:rPr>
        <w:t xml:space="preserve"> </w:t>
      </w:r>
      <w:r w:rsidRPr="004C31C6">
        <w:rPr>
          <w:rFonts w:ascii="Arial" w:hAnsi="Arial" w:cs="Arial"/>
          <w:b/>
          <w:sz w:val="18"/>
          <w:szCs w:val="18"/>
        </w:rPr>
        <w:t xml:space="preserve">INEC </w:t>
      </w:r>
      <w:r w:rsidRPr="004C31C6">
        <w:rPr>
          <w:rFonts w:ascii="Arial" w:hAnsi="Arial" w:cs="Arial"/>
          <w:sz w:val="18"/>
          <w:szCs w:val="18"/>
        </w:rPr>
        <w:t>(2010), Base de Datos del VII Censo de Población y VI de Vivienda.</w:t>
      </w:r>
    </w:p>
    <w:p w:rsidR="005B4F2F" w:rsidRPr="004C31C6" w:rsidRDefault="005B4F2F" w:rsidP="005B4F2F">
      <w:pPr>
        <w:ind w:left="-1276"/>
        <w:jc w:val="both"/>
        <w:rPr>
          <w:rFonts w:ascii="Arial" w:hAnsi="Arial" w:cs="Arial"/>
          <w:sz w:val="18"/>
          <w:szCs w:val="18"/>
        </w:rPr>
      </w:pPr>
      <w:r w:rsidRPr="004C31C6">
        <w:rPr>
          <w:rFonts w:ascii="Arial" w:hAnsi="Arial" w:cs="Arial"/>
          <w:b/>
          <w:i/>
          <w:sz w:val="18"/>
          <w:szCs w:val="18"/>
        </w:rPr>
        <w:t>Elaborado por:</w:t>
      </w:r>
      <w:r w:rsidRPr="004C31C6">
        <w:rPr>
          <w:rFonts w:ascii="Arial" w:hAnsi="Arial" w:cs="Arial"/>
          <w:sz w:val="18"/>
          <w:szCs w:val="18"/>
        </w:rPr>
        <w:t xml:space="preserve"> Katherine Loor Valeriano</w:t>
      </w:r>
    </w:p>
    <w:p w:rsidR="005B4F2F" w:rsidRDefault="005B4F2F" w:rsidP="005B4F2F">
      <w:pPr>
        <w:ind w:left="-284"/>
        <w:jc w:val="both"/>
        <w:rPr>
          <w:rFonts w:ascii="Arial" w:hAnsi="Arial" w:cs="Arial"/>
          <w:sz w:val="18"/>
          <w:szCs w:val="18"/>
        </w:rPr>
      </w:pPr>
    </w:p>
    <w:p w:rsidR="00A24593" w:rsidRDefault="00A24593" w:rsidP="006F595F">
      <w:pPr>
        <w:pStyle w:val="Prrafodelista"/>
        <w:rPr>
          <w:rFonts w:ascii="Arial" w:hAnsi="Arial" w:cs="Arial"/>
        </w:rPr>
        <w:sectPr w:rsidR="00A24593" w:rsidSect="00DC0628">
          <w:pgSz w:w="16839" w:h="11907" w:orient="landscape" w:code="9"/>
          <w:pgMar w:top="1361" w:right="2268" w:bottom="1702" w:left="2268" w:header="708" w:footer="708" w:gutter="0"/>
          <w:cols w:space="708"/>
          <w:docGrid w:linePitch="360"/>
        </w:sectPr>
      </w:pPr>
    </w:p>
    <w:p w:rsidR="00621119" w:rsidRPr="00A04D2F" w:rsidRDefault="00621119" w:rsidP="00621119">
      <w:pPr>
        <w:pStyle w:val="TesisTitulo10"/>
        <w:numPr>
          <w:ilvl w:val="0"/>
          <w:numId w:val="0"/>
        </w:numPr>
        <w:jc w:val="center"/>
        <w:rPr>
          <w:sz w:val="32"/>
          <w:szCs w:val="32"/>
        </w:rPr>
      </w:pPr>
      <w:bookmarkStart w:id="1217" w:name="_Toc339852926"/>
      <w:bookmarkStart w:id="1218" w:name="_Toc341040772"/>
      <w:r w:rsidRPr="00A04D2F">
        <w:rPr>
          <w:sz w:val="32"/>
          <w:szCs w:val="32"/>
        </w:rPr>
        <w:t>ANEXO C</w:t>
      </w:r>
      <w:r w:rsidR="000E448C" w:rsidRPr="00A04D2F">
        <w:rPr>
          <w:sz w:val="32"/>
          <w:szCs w:val="32"/>
        </w:rPr>
        <w:t>: Inmigración Internacional</w:t>
      </w:r>
      <w:bookmarkEnd w:id="1217"/>
      <w:bookmarkEnd w:id="1218"/>
    </w:p>
    <w:tbl>
      <w:tblPr>
        <w:tblStyle w:val="Tablaconcuadrcula"/>
        <w:tblW w:w="8348" w:type="dxa"/>
        <w:jc w:val="right"/>
        <w:tblInd w:w="-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8348"/>
      </w:tblGrid>
      <w:tr w:rsidR="00621119" w:rsidRPr="00840530" w:rsidTr="00902050">
        <w:trPr>
          <w:trHeight w:val="5783"/>
          <w:jc w:val="right"/>
        </w:trPr>
        <w:tc>
          <w:tcPr>
            <w:tcW w:w="8348" w:type="dxa"/>
          </w:tcPr>
          <w:p w:rsidR="00621119" w:rsidRPr="00840530" w:rsidRDefault="00621119" w:rsidP="00902050">
            <w:pPr>
              <w:rPr>
                <w:rFonts w:ascii="Arial" w:hAnsi="Arial" w:cs="Arial"/>
                <w:sz w:val="16"/>
                <w:szCs w:val="16"/>
              </w:rPr>
            </w:pPr>
          </w:p>
          <w:p w:rsidR="00621119" w:rsidRPr="00840530" w:rsidRDefault="00621119" w:rsidP="00902050">
            <w:pPr>
              <w:rPr>
                <w:rFonts w:ascii="Arial" w:hAnsi="Arial" w:cs="Arial"/>
                <w:b/>
                <w:sz w:val="16"/>
                <w:szCs w:val="16"/>
              </w:rPr>
            </w:pPr>
            <w:r>
              <w:rPr>
                <w:rFonts w:ascii="Arial" w:hAnsi="Arial" w:cs="Arial"/>
                <w:b/>
                <w:sz w:val="16"/>
                <w:szCs w:val="16"/>
              </w:rPr>
              <w:t>Tabla</w:t>
            </w:r>
            <w:r w:rsidRPr="00840530">
              <w:rPr>
                <w:rFonts w:ascii="Arial" w:hAnsi="Arial" w:cs="Arial"/>
                <w:b/>
                <w:sz w:val="16"/>
                <w:szCs w:val="16"/>
              </w:rPr>
              <w:t xml:space="preserve"> </w:t>
            </w:r>
            <w:r>
              <w:rPr>
                <w:rFonts w:ascii="Arial" w:hAnsi="Arial" w:cs="Arial"/>
                <w:b/>
                <w:sz w:val="16"/>
                <w:szCs w:val="16"/>
              </w:rPr>
              <w:t>C.1</w:t>
            </w:r>
          </w:p>
          <w:p w:rsidR="00621119" w:rsidRDefault="00621119" w:rsidP="00902050">
            <w:pPr>
              <w:rPr>
                <w:rFonts w:ascii="Arial" w:hAnsi="Arial" w:cs="Arial"/>
                <w:i/>
                <w:sz w:val="16"/>
                <w:szCs w:val="16"/>
              </w:rPr>
            </w:pPr>
            <w:r>
              <w:rPr>
                <w:rFonts w:ascii="Arial" w:hAnsi="Arial" w:cs="Arial"/>
                <w:i/>
                <w:sz w:val="16"/>
                <w:szCs w:val="16"/>
              </w:rPr>
              <w:t xml:space="preserve">Total de </w:t>
            </w:r>
            <w:r w:rsidRPr="002D208D">
              <w:rPr>
                <w:rFonts w:ascii="Arial" w:hAnsi="Arial" w:cs="Arial"/>
                <w:b/>
                <w:i/>
                <w:sz w:val="18"/>
                <w:szCs w:val="18"/>
              </w:rPr>
              <w:t>Inmigrantes extranjeros</w:t>
            </w:r>
            <w:r>
              <w:rPr>
                <w:rFonts w:ascii="Arial" w:hAnsi="Arial" w:cs="Arial"/>
                <w:i/>
                <w:sz w:val="16"/>
                <w:szCs w:val="16"/>
              </w:rPr>
              <w:t xml:space="preserve"> por Provincia de residencia habitual</w:t>
            </w:r>
          </w:p>
          <w:p w:rsidR="00621119" w:rsidRDefault="00621119" w:rsidP="00902050">
            <w:pPr>
              <w:rPr>
                <w:rFonts w:ascii="Arial" w:hAnsi="Arial" w:cs="Arial"/>
                <w:i/>
                <w:sz w:val="10"/>
                <w:szCs w:val="10"/>
              </w:rPr>
            </w:pPr>
          </w:p>
          <w:tbl>
            <w:tblPr>
              <w:tblW w:w="5499" w:type="dxa"/>
              <w:jc w:val="center"/>
              <w:tblCellMar>
                <w:left w:w="70" w:type="dxa"/>
                <w:right w:w="70" w:type="dxa"/>
              </w:tblCellMar>
              <w:tblLook w:val="04A0" w:firstRow="1" w:lastRow="0" w:firstColumn="1" w:lastColumn="0" w:noHBand="0" w:noVBand="1"/>
            </w:tblPr>
            <w:tblGrid>
              <w:gridCol w:w="3231"/>
              <w:gridCol w:w="2268"/>
            </w:tblGrid>
            <w:tr w:rsidR="00621119" w:rsidRPr="005508CF" w:rsidTr="00902050">
              <w:trPr>
                <w:trHeight w:val="283"/>
                <w:jc w:val="center"/>
              </w:trPr>
              <w:tc>
                <w:tcPr>
                  <w:tcW w:w="3231" w:type="dxa"/>
                  <w:tcBorders>
                    <w:top w:val="single" w:sz="4" w:space="0" w:color="auto"/>
                    <w:bottom w:val="single" w:sz="4" w:space="0" w:color="auto"/>
                  </w:tcBorders>
                  <w:shd w:val="clear" w:color="auto" w:fill="auto"/>
                  <w:noWrap/>
                  <w:vAlign w:val="center"/>
                  <w:hideMark/>
                </w:tcPr>
                <w:p w:rsidR="00621119" w:rsidRPr="005508CF" w:rsidRDefault="00621119" w:rsidP="00902050">
                  <w:pPr>
                    <w:rPr>
                      <w:rFonts w:ascii="Arial" w:eastAsia="Times New Roman" w:hAnsi="Arial" w:cs="Arial"/>
                      <w:b/>
                      <w:bCs/>
                      <w:color w:val="000000"/>
                      <w:sz w:val="16"/>
                      <w:szCs w:val="16"/>
                      <w:lang w:eastAsia="es-EC"/>
                    </w:rPr>
                  </w:pPr>
                  <w:r w:rsidRPr="005508CF">
                    <w:rPr>
                      <w:rFonts w:ascii="Arial" w:eastAsia="Times New Roman" w:hAnsi="Arial" w:cs="Arial"/>
                      <w:b/>
                      <w:bCs/>
                      <w:color w:val="000000"/>
                      <w:sz w:val="16"/>
                      <w:szCs w:val="16"/>
                      <w:lang w:eastAsia="es-EC"/>
                    </w:rPr>
                    <w:t> </w:t>
                  </w:r>
                  <w:r>
                    <w:rPr>
                      <w:rFonts w:ascii="Arial" w:eastAsia="Times New Roman" w:hAnsi="Arial" w:cs="Arial"/>
                      <w:b/>
                      <w:bCs/>
                      <w:color w:val="000000"/>
                      <w:sz w:val="16"/>
                      <w:szCs w:val="16"/>
                      <w:lang w:eastAsia="es-EC"/>
                    </w:rPr>
                    <w:t>Provincia de Residencia</w:t>
                  </w:r>
                </w:p>
              </w:tc>
              <w:tc>
                <w:tcPr>
                  <w:tcW w:w="2268" w:type="dxa"/>
                  <w:tcBorders>
                    <w:top w:val="single" w:sz="4" w:space="0" w:color="auto"/>
                    <w:bottom w:val="single" w:sz="4" w:space="0" w:color="auto"/>
                  </w:tcBorders>
                  <w:shd w:val="clear" w:color="auto" w:fill="auto"/>
                  <w:vAlign w:val="center"/>
                  <w:hideMark/>
                </w:tcPr>
                <w:p w:rsidR="00621119" w:rsidRPr="005508CF" w:rsidRDefault="00621119" w:rsidP="00902050">
                  <w:pPr>
                    <w:rPr>
                      <w:rFonts w:ascii="Arial" w:eastAsia="Times New Roman" w:hAnsi="Arial" w:cs="Arial"/>
                      <w:b/>
                      <w:bCs/>
                      <w:color w:val="000000"/>
                      <w:sz w:val="16"/>
                      <w:szCs w:val="16"/>
                      <w:lang w:eastAsia="es-EC"/>
                    </w:rPr>
                  </w:pPr>
                  <w:r w:rsidRPr="005508CF">
                    <w:rPr>
                      <w:rFonts w:ascii="Arial" w:eastAsia="Times New Roman" w:hAnsi="Arial" w:cs="Arial"/>
                      <w:b/>
                      <w:bCs/>
                      <w:color w:val="000000"/>
                      <w:sz w:val="16"/>
                      <w:szCs w:val="16"/>
                      <w:lang w:eastAsia="es-EC"/>
                    </w:rPr>
                    <w:t>Total de Inmigrantes</w:t>
                  </w:r>
                </w:p>
              </w:tc>
            </w:tr>
            <w:tr w:rsidR="00621119" w:rsidRPr="005508CF" w:rsidTr="00902050">
              <w:trPr>
                <w:trHeight w:val="20"/>
                <w:jc w:val="center"/>
              </w:trPr>
              <w:tc>
                <w:tcPr>
                  <w:tcW w:w="3231" w:type="dxa"/>
                  <w:tcBorders>
                    <w:top w:val="single" w:sz="4" w:space="0" w:color="auto"/>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Azuay</w:t>
                  </w:r>
                </w:p>
              </w:tc>
              <w:tc>
                <w:tcPr>
                  <w:tcW w:w="2268" w:type="dxa"/>
                  <w:tcBorders>
                    <w:top w:val="single" w:sz="4" w:space="0" w:color="auto"/>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11241</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Bolívar</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330</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Cañar</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2033</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Carchi</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12267</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Cotopaxi</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1257</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Chimborazo</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1789</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El Oro</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5772</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Esmeraldas</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8342</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Guayas</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29831</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Imbabura</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7065</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Loja</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4640</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Los Ríos</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2350</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Manabí</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6448</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Morona Santiago</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919</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Napo</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691</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Pastaza</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724</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Pichincha</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59355</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Tungurahua</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3492</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Zamora Chinchipe</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921</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Galápagos</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397</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Sucumbíos</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10781</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Orellana</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2848</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Santo Domingo</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6644</w:t>
                  </w:r>
                </w:p>
              </w:tc>
            </w:tr>
            <w:tr w:rsidR="00621119" w:rsidRPr="005508CF" w:rsidTr="00902050">
              <w:trPr>
                <w:trHeight w:val="20"/>
                <w:jc w:val="center"/>
              </w:trPr>
              <w:tc>
                <w:tcPr>
                  <w:tcW w:w="3231" w:type="dxa"/>
                  <w:tcBorders>
                    <w:top w:val="nil"/>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Santa Elena</w:t>
                  </w:r>
                </w:p>
              </w:tc>
              <w:tc>
                <w:tcPr>
                  <w:tcW w:w="2268" w:type="dxa"/>
                  <w:tcBorders>
                    <w:top w:val="nil"/>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1648</w:t>
                  </w:r>
                </w:p>
              </w:tc>
            </w:tr>
            <w:tr w:rsidR="00621119" w:rsidRPr="005508CF" w:rsidTr="00902050">
              <w:trPr>
                <w:trHeight w:val="20"/>
                <w:jc w:val="center"/>
              </w:trPr>
              <w:tc>
                <w:tcPr>
                  <w:tcW w:w="3231" w:type="dxa"/>
                  <w:tcBorders>
                    <w:top w:val="nil"/>
                    <w:bottom w:val="single" w:sz="4" w:space="0" w:color="auto"/>
                  </w:tcBorders>
                  <w:shd w:val="clear" w:color="auto" w:fill="auto"/>
                  <w:vAlign w:val="center"/>
                  <w:hideMark/>
                </w:tcPr>
                <w:p w:rsidR="00621119" w:rsidRPr="005508CF" w:rsidRDefault="00621119" w:rsidP="00415CAC">
                  <w:pPr>
                    <w:jc w:val="left"/>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Zonas No Delimitadas</w:t>
                  </w:r>
                </w:p>
              </w:tc>
              <w:tc>
                <w:tcPr>
                  <w:tcW w:w="2268" w:type="dxa"/>
                  <w:tcBorders>
                    <w:top w:val="nil"/>
                    <w:bottom w:val="single" w:sz="4" w:space="0" w:color="auto"/>
                  </w:tcBorders>
                  <w:shd w:val="clear" w:color="auto" w:fill="auto"/>
                  <w:noWrap/>
                  <w:vAlign w:val="center"/>
                  <w:hideMark/>
                </w:tcPr>
                <w:p w:rsidR="00621119" w:rsidRPr="005508CF" w:rsidRDefault="00621119" w:rsidP="00902050">
                  <w:pPr>
                    <w:rPr>
                      <w:rFonts w:ascii="Arial" w:eastAsia="Times New Roman" w:hAnsi="Arial" w:cs="Arial"/>
                      <w:color w:val="000000"/>
                      <w:sz w:val="16"/>
                      <w:szCs w:val="16"/>
                      <w:lang w:eastAsia="es-EC"/>
                    </w:rPr>
                  </w:pPr>
                  <w:r w:rsidRPr="005508CF">
                    <w:rPr>
                      <w:rFonts w:ascii="Arial" w:eastAsia="Times New Roman" w:hAnsi="Arial" w:cs="Arial"/>
                      <w:color w:val="000000"/>
                      <w:sz w:val="16"/>
                      <w:szCs w:val="16"/>
                      <w:lang w:eastAsia="es-EC"/>
                    </w:rPr>
                    <w:t>63</w:t>
                  </w:r>
                </w:p>
              </w:tc>
            </w:tr>
          </w:tbl>
          <w:p w:rsidR="00621119" w:rsidRPr="00840530" w:rsidRDefault="00621119" w:rsidP="00902050">
            <w:pPr>
              <w:rPr>
                <w:rFonts w:ascii="Arial" w:hAnsi="Arial" w:cs="Arial"/>
                <w:sz w:val="24"/>
                <w:szCs w:val="24"/>
              </w:rPr>
            </w:pPr>
          </w:p>
        </w:tc>
      </w:tr>
    </w:tbl>
    <w:p w:rsidR="00621119" w:rsidRPr="007904D9" w:rsidRDefault="00621119" w:rsidP="00902050">
      <w:pPr>
        <w:pStyle w:val="Prrafodelista"/>
        <w:spacing w:line="276" w:lineRule="auto"/>
        <w:ind w:left="0"/>
        <w:jc w:val="both"/>
        <w:rPr>
          <w:rFonts w:ascii="Arial" w:hAnsi="Arial" w:cs="Arial"/>
          <w:sz w:val="18"/>
          <w:szCs w:val="18"/>
        </w:rPr>
      </w:pPr>
    </w:p>
    <w:p w:rsidR="00621119" w:rsidRDefault="00621119" w:rsidP="00902050">
      <w:pPr>
        <w:pStyle w:val="Prrafodelista"/>
        <w:spacing w:line="276" w:lineRule="auto"/>
        <w:ind w:left="0"/>
        <w:jc w:val="both"/>
        <w:rPr>
          <w:rFonts w:ascii="Arial" w:hAnsi="Arial" w:cs="Arial"/>
          <w:sz w:val="18"/>
          <w:szCs w:val="18"/>
        </w:rPr>
      </w:pPr>
      <w:r>
        <w:rPr>
          <w:rFonts w:ascii="Arial" w:hAnsi="Arial" w:cs="Arial"/>
          <w:b/>
          <w:i/>
          <w:sz w:val="18"/>
          <w:szCs w:val="18"/>
        </w:rPr>
        <w:t>Fuente:</w:t>
      </w:r>
      <w:r>
        <w:rPr>
          <w:rFonts w:ascii="Arial" w:hAnsi="Arial" w:cs="Arial"/>
          <w:sz w:val="18"/>
          <w:szCs w:val="18"/>
        </w:rPr>
        <w:t xml:space="preserve"> </w:t>
      </w:r>
      <w:r w:rsidRPr="00C239C6">
        <w:rPr>
          <w:rFonts w:ascii="Arial" w:hAnsi="Arial" w:cs="Arial"/>
          <w:b/>
          <w:sz w:val="18"/>
          <w:szCs w:val="18"/>
        </w:rPr>
        <w:t>INEC</w:t>
      </w:r>
      <w:r>
        <w:rPr>
          <w:rFonts w:ascii="Arial" w:hAnsi="Arial" w:cs="Arial"/>
          <w:b/>
          <w:sz w:val="18"/>
          <w:szCs w:val="18"/>
        </w:rPr>
        <w:t xml:space="preserve"> </w:t>
      </w:r>
      <w:r>
        <w:rPr>
          <w:rFonts w:ascii="Arial" w:hAnsi="Arial" w:cs="Arial"/>
          <w:sz w:val="18"/>
          <w:szCs w:val="18"/>
        </w:rPr>
        <w:t xml:space="preserve">(2010), Base de Datos del </w:t>
      </w:r>
      <w:r w:rsidRPr="00C239C6">
        <w:rPr>
          <w:rFonts w:ascii="Arial" w:hAnsi="Arial" w:cs="Arial"/>
          <w:sz w:val="18"/>
          <w:szCs w:val="18"/>
        </w:rPr>
        <w:t>VII</w:t>
      </w:r>
      <w:r>
        <w:rPr>
          <w:rFonts w:ascii="Arial" w:hAnsi="Arial" w:cs="Arial"/>
          <w:sz w:val="18"/>
          <w:szCs w:val="18"/>
        </w:rPr>
        <w:t xml:space="preserve"> Censo de Población y VI de Vivienda.</w:t>
      </w:r>
    </w:p>
    <w:p w:rsidR="00621119" w:rsidRDefault="00621119" w:rsidP="00902050">
      <w:pPr>
        <w:pStyle w:val="Prrafodelista"/>
        <w:spacing w:line="276" w:lineRule="auto"/>
        <w:ind w:left="0"/>
        <w:jc w:val="both"/>
        <w:rPr>
          <w:rFonts w:ascii="Arial" w:hAnsi="Arial" w:cs="Arial"/>
        </w:rPr>
      </w:pPr>
      <w:r>
        <w:rPr>
          <w:rFonts w:ascii="Arial" w:hAnsi="Arial" w:cs="Arial"/>
          <w:b/>
          <w:i/>
          <w:sz w:val="18"/>
          <w:szCs w:val="18"/>
        </w:rPr>
        <w:t>Elaborado por:</w:t>
      </w:r>
      <w:r>
        <w:rPr>
          <w:rFonts w:ascii="Arial" w:hAnsi="Arial" w:cs="Arial"/>
          <w:sz w:val="18"/>
          <w:szCs w:val="18"/>
        </w:rPr>
        <w:t xml:space="preserve"> Katherine Loor Valeriano</w:t>
      </w:r>
    </w:p>
    <w:p w:rsidR="001820D5" w:rsidRDefault="001820D5" w:rsidP="006F595F">
      <w:pPr>
        <w:pStyle w:val="Prrafodelista"/>
        <w:rPr>
          <w:rFonts w:ascii="Arial" w:hAnsi="Arial" w:cs="Arial"/>
        </w:rPr>
        <w:sectPr w:rsidR="001820D5" w:rsidSect="004D2713">
          <w:pgSz w:w="11907" w:h="16839" w:code="9"/>
          <w:pgMar w:top="2268" w:right="1361" w:bottom="2268" w:left="2268" w:header="709" w:footer="709" w:gutter="0"/>
          <w:cols w:space="708"/>
          <w:docGrid w:linePitch="360"/>
        </w:sectPr>
      </w:pPr>
    </w:p>
    <w:p w:rsidR="001820D5" w:rsidRPr="00A04D2F" w:rsidRDefault="001820D5" w:rsidP="001820D5">
      <w:pPr>
        <w:pStyle w:val="Estilo41"/>
        <w:numPr>
          <w:ilvl w:val="0"/>
          <w:numId w:val="0"/>
        </w:numPr>
        <w:jc w:val="center"/>
        <w:rPr>
          <w:sz w:val="32"/>
          <w:szCs w:val="32"/>
        </w:rPr>
      </w:pPr>
      <w:bookmarkStart w:id="1219" w:name="_Toc337135573"/>
      <w:bookmarkStart w:id="1220" w:name="_Toc339852927"/>
      <w:bookmarkStart w:id="1221" w:name="_Toc341040773"/>
      <w:r w:rsidRPr="00A04D2F">
        <w:rPr>
          <w:sz w:val="32"/>
          <w:szCs w:val="32"/>
        </w:rPr>
        <w:t>ANEXO D</w:t>
      </w:r>
      <w:bookmarkEnd w:id="1219"/>
      <w:r w:rsidR="000E448C" w:rsidRPr="00A04D2F">
        <w:rPr>
          <w:sz w:val="32"/>
          <w:szCs w:val="32"/>
        </w:rPr>
        <w:t>: Inmigración referida a Subpoblaciones de la población Nacional</w:t>
      </w:r>
      <w:bookmarkEnd w:id="1220"/>
      <w:bookmarkEnd w:id="1221"/>
    </w:p>
    <w:tbl>
      <w:tblPr>
        <w:tblStyle w:val="Tablaconcuadrcula"/>
        <w:tblW w:w="8348" w:type="dxa"/>
        <w:jc w:val="right"/>
        <w:tblInd w:w="-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8348"/>
      </w:tblGrid>
      <w:tr w:rsidR="001820D5" w:rsidRPr="00840530" w:rsidTr="002A1783">
        <w:trPr>
          <w:trHeight w:val="4139"/>
          <w:jc w:val="right"/>
        </w:trPr>
        <w:tc>
          <w:tcPr>
            <w:tcW w:w="8348" w:type="dxa"/>
          </w:tcPr>
          <w:p w:rsidR="001820D5" w:rsidRPr="00840530" w:rsidRDefault="001820D5" w:rsidP="00902050">
            <w:pPr>
              <w:rPr>
                <w:rFonts w:ascii="Arial" w:hAnsi="Arial" w:cs="Arial"/>
                <w:sz w:val="16"/>
                <w:szCs w:val="16"/>
              </w:rPr>
            </w:pPr>
          </w:p>
          <w:p w:rsidR="001820D5" w:rsidRPr="00840530" w:rsidRDefault="001820D5" w:rsidP="00902050">
            <w:pPr>
              <w:rPr>
                <w:rFonts w:ascii="Arial" w:hAnsi="Arial" w:cs="Arial"/>
                <w:b/>
                <w:sz w:val="16"/>
                <w:szCs w:val="16"/>
              </w:rPr>
            </w:pPr>
            <w:r>
              <w:rPr>
                <w:rFonts w:ascii="Arial" w:hAnsi="Arial" w:cs="Arial"/>
                <w:b/>
                <w:sz w:val="16"/>
                <w:szCs w:val="16"/>
              </w:rPr>
              <w:t>Tabla</w:t>
            </w:r>
            <w:r w:rsidRPr="00840530">
              <w:rPr>
                <w:rFonts w:ascii="Arial" w:hAnsi="Arial" w:cs="Arial"/>
                <w:b/>
                <w:sz w:val="16"/>
                <w:szCs w:val="16"/>
              </w:rPr>
              <w:t xml:space="preserve"> </w:t>
            </w:r>
            <w:r>
              <w:rPr>
                <w:rFonts w:ascii="Arial" w:hAnsi="Arial" w:cs="Arial"/>
                <w:b/>
                <w:sz w:val="16"/>
                <w:szCs w:val="16"/>
              </w:rPr>
              <w:t>D.1</w:t>
            </w:r>
          </w:p>
          <w:p w:rsidR="001820D5" w:rsidRDefault="001820D5" w:rsidP="00902050">
            <w:pPr>
              <w:rPr>
                <w:rFonts w:ascii="Arial" w:hAnsi="Arial" w:cs="Arial"/>
                <w:i/>
                <w:sz w:val="16"/>
                <w:szCs w:val="16"/>
              </w:rPr>
            </w:pPr>
            <w:r>
              <w:rPr>
                <w:rFonts w:ascii="Arial" w:hAnsi="Arial" w:cs="Arial"/>
                <w:i/>
                <w:sz w:val="16"/>
                <w:szCs w:val="16"/>
              </w:rPr>
              <w:t xml:space="preserve">Total de </w:t>
            </w:r>
            <w:r w:rsidRPr="002D208D">
              <w:rPr>
                <w:rFonts w:ascii="Arial" w:hAnsi="Arial" w:cs="Arial"/>
                <w:b/>
                <w:i/>
                <w:sz w:val="18"/>
                <w:szCs w:val="18"/>
              </w:rPr>
              <w:t xml:space="preserve">Inmigrantes </w:t>
            </w:r>
            <w:r>
              <w:rPr>
                <w:rFonts w:ascii="Arial" w:hAnsi="Arial" w:cs="Arial"/>
                <w:b/>
                <w:i/>
                <w:sz w:val="18"/>
                <w:szCs w:val="18"/>
              </w:rPr>
              <w:t>colombianos</w:t>
            </w:r>
            <w:r>
              <w:rPr>
                <w:rFonts w:ascii="Arial" w:hAnsi="Arial" w:cs="Arial"/>
                <w:i/>
                <w:sz w:val="16"/>
                <w:szCs w:val="16"/>
              </w:rPr>
              <w:t xml:space="preserve"> por Provincia de residencia habitual</w:t>
            </w:r>
          </w:p>
          <w:p w:rsidR="001820D5" w:rsidRDefault="001820D5" w:rsidP="00902050">
            <w:pPr>
              <w:rPr>
                <w:rFonts w:ascii="Arial" w:hAnsi="Arial" w:cs="Arial"/>
                <w:i/>
                <w:sz w:val="10"/>
                <w:szCs w:val="10"/>
              </w:rPr>
            </w:pPr>
          </w:p>
          <w:tbl>
            <w:tblPr>
              <w:tblW w:w="7370" w:type="dxa"/>
              <w:jc w:val="center"/>
              <w:tblCellMar>
                <w:left w:w="70" w:type="dxa"/>
                <w:right w:w="70" w:type="dxa"/>
              </w:tblCellMar>
              <w:tblLook w:val="04A0" w:firstRow="1" w:lastRow="0" w:firstColumn="1" w:lastColumn="0" w:noHBand="0" w:noVBand="1"/>
            </w:tblPr>
            <w:tblGrid>
              <w:gridCol w:w="2268"/>
              <w:gridCol w:w="1417"/>
              <w:gridCol w:w="2268"/>
              <w:gridCol w:w="1417"/>
            </w:tblGrid>
            <w:tr w:rsidR="001820D5" w:rsidRPr="00495FF0" w:rsidTr="002A1783">
              <w:trPr>
                <w:trHeight w:val="567"/>
                <w:jc w:val="center"/>
              </w:trPr>
              <w:tc>
                <w:tcPr>
                  <w:tcW w:w="2268" w:type="dxa"/>
                  <w:tcBorders>
                    <w:top w:val="single" w:sz="4" w:space="0" w:color="auto"/>
                    <w:left w:val="nil"/>
                    <w:bottom w:val="single" w:sz="4" w:space="0" w:color="auto"/>
                    <w:right w:val="nil"/>
                  </w:tcBorders>
                  <w:shd w:val="clear" w:color="auto" w:fill="auto"/>
                  <w:vAlign w:val="center"/>
                  <w:hideMark/>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Provincia de residencia habitual</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Frecuencia Absoluta</w:t>
                  </w:r>
                </w:p>
              </w:tc>
              <w:tc>
                <w:tcPr>
                  <w:tcW w:w="2268" w:type="dxa"/>
                  <w:tcBorders>
                    <w:top w:val="single" w:sz="4" w:space="0" w:color="auto"/>
                    <w:left w:val="single" w:sz="4" w:space="0" w:color="auto"/>
                    <w:bottom w:val="single" w:sz="4" w:space="0" w:color="auto"/>
                    <w:right w:val="nil"/>
                  </w:tcBorders>
                  <w:vAlign w:val="center"/>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Provincia de residencia habitual</w:t>
                  </w:r>
                </w:p>
              </w:tc>
              <w:tc>
                <w:tcPr>
                  <w:tcW w:w="1417" w:type="dxa"/>
                  <w:tcBorders>
                    <w:top w:val="single" w:sz="4" w:space="0" w:color="auto"/>
                    <w:left w:val="nil"/>
                    <w:bottom w:val="single" w:sz="4" w:space="0" w:color="auto"/>
                    <w:right w:val="nil"/>
                  </w:tcBorders>
                  <w:vAlign w:val="center"/>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Frecuencia Absoluta</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Azuay</w:t>
                  </w:r>
                </w:p>
              </w:tc>
              <w:tc>
                <w:tcPr>
                  <w:tcW w:w="1417" w:type="dxa"/>
                  <w:tcBorders>
                    <w:top w:val="nil"/>
                    <w:left w:val="nil"/>
                    <w:bottom w:val="nil"/>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1862</w:t>
                  </w:r>
                </w:p>
              </w:tc>
              <w:tc>
                <w:tcPr>
                  <w:tcW w:w="2268" w:type="dxa"/>
                  <w:tcBorders>
                    <w:top w:val="nil"/>
                    <w:left w:val="single" w:sz="4" w:space="0" w:color="auto"/>
                    <w:bottom w:val="nil"/>
                    <w:right w:val="nil"/>
                  </w:tcBorders>
                  <w:vAlign w:val="center"/>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Morona Santiago</w:t>
                  </w:r>
                </w:p>
              </w:tc>
              <w:tc>
                <w:tcPr>
                  <w:tcW w:w="1417" w:type="dxa"/>
                  <w:tcBorders>
                    <w:top w:val="nil"/>
                    <w:left w:val="nil"/>
                    <w:bottom w:val="nil"/>
                    <w:right w:val="nil"/>
                  </w:tcBorders>
                  <w:vAlign w:val="center"/>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142</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Bolívar</w:t>
                  </w:r>
                </w:p>
              </w:tc>
              <w:tc>
                <w:tcPr>
                  <w:tcW w:w="1417" w:type="dxa"/>
                  <w:tcBorders>
                    <w:top w:val="nil"/>
                    <w:left w:val="nil"/>
                    <w:bottom w:val="nil"/>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101</w:t>
                  </w:r>
                </w:p>
              </w:tc>
              <w:tc>
                <w:tcPr>
                  <w:tcW w:w="2268" w:type="dxa"/>
                  <w:tcBorders>
                    <w:top w:val="nil"/>
                    <w:left w:val="single" w:sz="4" w:space="0" w:color="auto"/>
                    <w:bottom w:val="nil"/>
                    <w:right w:val="nil"/>
                  </w:tcBorders>
                  <w:vAlign w:val="center"/>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Napo</w:t>
                  </w:r>
                </w:p>
              </w:tc>
              <w:tc>
                <w:tcPr>
                  <w:tcW w:w="1417" w:type="dxa"/>
                  <w:tcBorders>
                    <w:top w:val="nil"/>
                    <w:left w:val="nil"/>
                    <w:bottom w:val="nil"/>
                    <w:right w:val="nil"/>
                  </w:tcBorders>
                  <w:vAlign w:val="center"/>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386</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Cañar</w:t>
                  </w:r>
                </w:p>
              </w:tc>
              <w:tc>
                <w:tcPr>
                  <w:tcW w:w="1417" w:type="dxa"/>
                  <w:tcBorders>
                    <w:top w:val="nil"/>
                    <w:left w:val="nil"/>
                    <w:bottom w:val="nil"/>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234</w:t>
                  </w:r>
                </w:p>
              </w:tc>
              <w:tc>
                <w:tcPr>
                  <w:tcW w:w="2268" w:type="dxa"/>
                  <w:tcBorders>
                    <w:top w:val="nil"/>
                    <w:left w:val="single" w:sz="4" w:space="0" w:color="auto"/>
                    <w:bottom w:val="nil"/>
                    <w:right w:val="nil"/>
                  </w:tcBorders>
                  <w:vAlign w:val="center"/>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Pastaza</w:t>
                  </w:r>
                </w:p>
              </w:tc>
              <w:tc>
                <w:tcPr>
                  <w:tcW w:w="1417" w:type="dxa"/>
                  <w:tcBorders>
                    <w:top w:val="nil"/>
                    <w:left w:val="nil"/>
                    <w:bottom w:val="nil"/>
                    <w:right w:val="nil"/>
                  </w:tcBorders>
                  <w:vAlign w:val="center"/>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261</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Carchi</w:t>
                  </w:r>
                </w:p>
              </w:tc>
              <w:tc>
                <w:tcPr>
                  <w:tcW w:w="1417" w:type="dxa"/>
                  <w:tcBorders>
                    <w:top w:val="nil"/>
                    <w:left w:val="nil"/>
                    <w:bottom w:val="nil"/>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11655</w:t>
                  </w:r>
                </w:p>
              </w:tc>
              <w:tc>
                <w:tcPr>
                  <w:tcW w:w="2268" w:type="dxa"/>
                  <w:tcBorders>
                    <w:top w:val="nil"/>
                    <w:left w:val="single" w:sz="4" w:space="0" w:color="auto"/>
                    <w:bottom w:val="nil"/>
                    <w:right w:val="nil"/>
                  </w:tcBorders>
                  <w:vAlign w:val="center"/>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Pichincha</w:t>
                  </w:r>
                </w:p>
              </w:tc>
              <w:tc>
                <w:tcPr>
                  <w:tcW w:w="1417" w:type="dxa"/>
                  <w:tcBorders>
                    <w:top w:val="nil"/>
                    <w:left w:val="nil"/>
                    <w:bottom w:val="nil"/>
                    <w:right w:val="nil"/>
                  </w:tcBorders>
                  <w:vAlign w:val="center"/>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27157</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Cotopaxi</w:t>
                  </w:r>
                </w:p>
              </w:tc>
              <w:tc>
                <w:tcPr>
                  <w:tcW w:w="1417" w:type="dxa"/>
                  <w:tcBorders>
                    <w:top w:val="nil"/>
                    <w:left w:val="nil"/>
                    <w:bottom w:val="nil"/>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502</w:t>
                  </w:r>
                </w:p>
              </w:tc>
              <w:tc>
                <w:tcPr>
                  <w:tcW w:w="2268" w:type="dxa"/>
                  <w:tcBorders>
                    <w:top w:val="nil"/>
                    <w:left w:val="single" w:sz="4" w:space="0" w:color="auto"/>
                    <w:bottom w:val="nil"/>
                    <w:right w:val="nil"/>
                  </w:tcBorders>
                  <w:vAlign w:val="center"/>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Tungurahua</w:t>
                  </w:r>
                </w:p>
              </w:tc>
              <w:tc>
                <w:tcPr>
                  <w:tcW w:w="1417" w:type="dxa"/>
                  <w:tcBorders>
                    <w:top w:val="nil"/>
                    <w:left w:val="nil"/>
                    <w:bottom w:val="nil"/>
                    <w:right w:val="nil"/>
                  </w:tcBorders>
                  <w:vAlign w:val="center"/>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1368</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Chimborazo</w:t>
                  </w:r>
                </w:p>
              </w:tc>
              <w:tc>
                <w:tcPr>
                  <w:tcW w:w="1417" w:type="dxa"/>
                  <w:tcBorders>
                    <w:top w:val="nil"/>
                    <w:left w:val="nil"/>
                    <w:bottom w:val="nil"/>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350</w:t>
                  </w:r>
                </w:p>
              </w:tc>
              <w:tc>
                <w:tcPr>
                  <w:tcW w:w="2268" w:type="dxa"/>
                  <w:tcBorders>
                    <w:top w:val="nil"/>
                    <w:left w:val="single" w:sz="4" w:space="0" w:color="auto"/>
                    <w:bottom w:val="nil"/>
                    <w:right w:val="nil"/>
                  </w:tcBorders>
                  <w:vAlign w:val="center"/>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Zamora Chinchipe</w:t>
                  </w:r>
                </w:p>
              </w:tc>
              <w:tc>
                <w:tcPr>
                  <w:tcW w:w="1417" w:type="dxa"/>
                  <w:tcBorders>
                    <w:top w:val="nil"/>
                    <w:left w:val="nil"/>
                    <w:bottom w:val="nil"/>
                    <w:right w:val="nil"/>
                  </w:tcBorders>
                  <w:vAlign w:val="center"/>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208</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El Oro</w:t>
                  </w:r>
                </w:p>
              </w:tc>
              <w:tc>
                <w:tcPr>
                  <w:tcW w:w="1417" w:type="dxa"/>
                  <w:tcBorders>
                    <w:top w:val="nil"/>
                    <w:left w:val="nil"/>
                    <w:bottom w:val="nil"/>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1008</w:t>
                  </w:r>
                </w:p>
              </w:tc>
              <w:tc>
                <w:tcPr>
                  <w:tcW w:w="2268" w:type="dxa"/>
                  <w:tcBorders>
                    <w:top w:val="nil"/>
                    <w:left w:val="single" w:sz="4" w:space="0" w:color="auto"/>
                    <w:bottom w:val="nil"/>
                    <w:right w:val="nil"/>
                  </w:tcBorders>
                  <w:vAlign w:val="center"/>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Galápagos</w:t>
                  </w:r>
                </w:p>
              </w:tc>
              <w:tc>
                <w:tcPr>
                  <w:tcW w:w="1417" w:type="dxa"/>
                  <w:tcBorders>
                    <w:top w:val="nil"/>
                    <w:left w:val="nil"/>
                    <w:bottom w:val="nil"/>
                    <w:right w:val="nil"/>
                  </w:tcBorders>
                  <w:vAlign w:val="center"/>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17</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Esmeraldas</w:t>
                  </w:r>
                </w:p>
              </w:tc>
              <w:tc>
                <w:tcPr>
                  <w:tcW w:w="1417" w:type="dxa"/>
                  <w:tcBorders>
                    <w:top w:val="nil"/>
                    <w:left w:val="nil"/>
                    <w:bottom w:val="nil"/>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7100</w:t>
                  </w:r>
                </w:p>
              </w:tc>
              <w:tc>
                <w:tcPr>
                  <w:tcW w:w="2268" w:type="dxa"/>
                  <w:tcBorders>
                    <w:top w:val="nil"/>
                    <w:left w:val="single" w:sz="4" w:space="0" w:color="auto"/>
                    <w:bottom w:val="nil"/>
                    <w:right w:val="nil"/>
                  </w:tcBorders>
                  <w:vAlign w:val="center"/>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Sucumbíos</w:t>
                  </w:r>
                </w:p>
              </w:tc>
              <w:tc>
                <w:tcPr>
                  <w:tcW w:w="1417" w:type="dxa"/>
                  <w:tcBorders>
                    <w:top w:val="nil"/>
                    <w:left w:val="nil"/>
                    <w:bottom w:val="nil"/>
                    <w:right w:val="nil"/>
                  </w:tcBorders>
                  <w:vAlign w:val="center"/>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10305</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Guayas</w:t>
                  </w:r>
                </w:p>
              </w:tc>
              <w:tc>
                <w:tcPr>
                  <w:tcW w:w="1417" w:type="dxa"/>
                  <w:tcBorders>
                    <w:top w:val="nil"/>
                    <w:left w:val="nil"/>
                    <w:bottom w:val="nil"/>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10270</w:t>
                  </w:r>
                </w:p>
              </w:tc>
              <w:tc>
                <w:tcPr>
                  <w:tcW w:w="2268" w:type="dxa"/>
                  <w:tcBorders>
                    <w:top w:val="nil"/>
                    <w:left w:val="single" w:sz="4" w:space="0" w:color="auto"/>
                    <w:bottom w:val="nil"/>
                    <w:right w:val="nil"/>
                  </w:tcBorders>
                  <w:vAlign w:val="center"/>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Orellana</w:t>
                  </w:r>
                </w:p>
              </w:tc>
              <w:tc>
                <w:tcPr>
                  <w:tcW w:w="1417" w:type="dxa"/>
                  <w:tcBorders>
                    <w:top w:val="nil"/>
                    <w:left w:val="nil"/>
                    <w:bottom w:val="nil"/>
                    <w:right w:val="nil"/>
                  </w:tcBorders>
                  <w:vAlign w:val="center"/>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2527</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Imbabura</w:t>
                  </w:r>
                </w:p>
              </w:tc>
              <w:tc>
                <w:tcPr>
                  <w:tcW w:w="1417" w:type="dxa"/>
                  <w:tcBorders>
                    <w:top w:val="nil"/>
                    <w:left w:val="nil"/>
                    <w:bottom w:val="nil"/>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5160</w:t>
                  </w:r>
                </w:p>
              </w:tc>
              <w:tc>
                <w:tcPr>
                  <w:tcW w:w="2268" w:type="dxa"/>
                  <w:tcBorders>
                    <w:top w:val="nil"/>
                    <w:left w:val="single" w:sz="4" w:space="0" w:color="auto"/>
                    <w:bottom w:val="nil"/>
                    <w:right w:val="nil"/>
                  </w:tcBorders>
                  <w:vAlign w:val="center"/>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Santo Domingo</w:t>
                  </w:r>
                </w:p>
              </w:tc>
              <w:tc>
                <w:tcPr>
                  <w:tcW w:w="1417" w:type="dxa"/>
                  <w:tcBorders>
                    <w:top w:val="nil"/>
                    <w:left w:val="nil"/>
                    <w:bottom w:val="nil"/>
                    <w:right w:val="nil"/>
                  </w:tcBorders>
                  <w:vAlign w:val="center"/>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4859</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Loja</w:t>
                  </w:r>
                </w:p>
              </w:tc>
              <w:tc>
                <w:tcPr>
                  <w:tcW w:w="1417" w:type="dxa"/>
                  <w:tcBorders>
                    <w:top w:val="nil"/>
                    <w:left w:val="nil"/>
                    <w:bottom w:val="nil"/>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401</w:t>
                  </w:r>
                </w:p>
              </w:tc>
              <w:tc>
                <w:tcPr>
                  <w:tcW w:w="2268" w:type="dxa"/>
                  <w:tcBorders>
                    <w:top w:val="nil"/>
                    <w:left w:val="single" w:sz="4" w:space="0" w:color="auto"/>
                    <w:bottom w:val="nil"/>
                    <w:right w:val="nil"/>
                  </w:tcBorders>
                  <w:vAlign w:val="center"/>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Santa Elena</w:t>
                  </w:r>
                </w:p>
              </w:tc>
              <w:tc>
                <w:tcPr>
                  <w:tcW w:w="1417" w:type="dxa"/>
                  <w:tcBorders>
                    <w:top w:val="nil"/>
                    <w:left w:val="nil"/>
                    <w:bottom w:val="nil"/>
                    <w:right w:val="nil"/>
                  </w:tcBorders>
                  <w:vAlign w:val="center"/>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608</w:t>
                  </w:r>
                </w:p>
              </w:tc>
            </w:tr>
            <w:tr w:rsidR="001820D5" w:rsidRPr="00495FF0" w:rsidTr="002A1783">
              <w:trPr>
                <w:trHeight w:val="198"/>
                <w:jc w:val="center"/>
              </w:trPr>
              <w:tc>
                <w:tcPr>
                  <w:tcW w:w="2268" w:type="dxa"/>
                  <w:tcBorders>
                    <w:top w:val="nil"/>
                    <w:left w:val="nil"/>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Los Ríos</w:t>
                  </w:r>
                </w:p>
              </w:tc>
              <w:tc>
                <w:tcPr>
                  <w:tcW w:w="1417" w:type="dxa"/>
                  <w:tcBorders>
                    <w:top w:val="nil"/>
                    <w:left w:val="nil"/>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1171</w:t>
                  </w:r>
                </w:p>
              </w:tc>
              <w:tc>
                <w:tcPr>
                  <w:tcW w:w="2268" w:type="dxa"/>
                  <w:tcBorders>
                    <w:top w:val="nil"/>
                    <w:left w:val="single" w:sz="4" w:space="0" w:color="auto"/>
                    <w:right w:val="nil"/>
                  </w:tcBorders>
                  <w:vAlign w:val="center"/>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Zonas No Delimitadas</w:t>
                  </w:r>
                </w:p>
              </w:tc>
              <w:tc>
                <w:tcPr>
                  <w:tcW w:w="1417" w:type="dxa"/>
                  <w:tcBorders>
                    <w:top w:val="nil"/>
                    <w:left w:val="nil"/>
                    <w:right w:val="nil"/>
                  </w:tcBorders>
                  <w:vAlign w:val="center"/>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34</w:t>
                  </w:r>
                </w:p>
              </w:tc>
            </w:tr>
            <w:tr w:rsidR="001820D5" w:rsidRPr="00495FF0" w:rsidTr="002A1783">
              <w:trPr>
                <w:trHeight w:val="198"/>
                <w:jc w:val="center"/>
              </w:trPr>
              <w:tc>
                <w:tcPr>
                  <w:tcW w:w="2268" w:type="dxa"/>
                  <w:tcBorders>
                    <w:top w:val="nil"/>
                    <w:left w:val="nil"/>
                    <w:bottom w:val="single" w:sz="4" w:space="0" w:color="auto"/>
                    <w:right w:val="nil"/>
                  </w:tcBorders>
                  <w:shd w:val="clear" w:color="auto" w:fill="auto"/>
                  <w:vAlign w:val="center"/>
                  <w:hideMark/>
                </w:tcPr>
                <w:p w:rsidR="001820D5" w:rsidRPr="00495FF0" w:rsidRDefault="001820D5" w:rsidP="004D2713">
                  <w:pPr>
                    <w:jc w:val="left"/>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Manabí</w:t>
                  </w:r>
                </w:p>
              </w:tc>
              <w:tc>
                <w:tcPr>
                  <w:tcW w:w="1417" w:type="dxa"/>
                  <w:tcBorders>
                    <w:top w:val="nil"/>
                    <w:left w:val="nil"/>
                    <w:bottom w:val="single" w:sz="4" w:space="0" w:color="auto"/>
                    <w:right w:val="single" w:sz="4" w:space="0" w:color="auto"/>
                  </w:tcBorders>
                  <w:shd w:val="clear" w:color="auto" w:fill="auto"/>
                  <w:noWrap/>
                  <w:vAlign w:val="center"/>
                  <w:hideMark/>
                </w:tcPr>
                <w:p w:rsidR="001820D5" w:rsidRPr="00495FF0" w:rsidRDefault="001820D5" w:rsidP="00902050">
                  <w:pPr>
                    <w:rPr>
                      <w:rFonts w:ascii="Arial" w:eastAsia="Times New Roman" w:hAnsi="Arial" w:cs="Arial"/>
                      <w:color w:val="000000"/>
                      <w:sz w:val="16"/>
                      <w:szCs w:val="16"/>
                      <w:lang w:eastAsia="es-EC"/>
                    </w:rPr>
                  </w:pPr>
                  <w:r w:rsidRPr="00495FF0">
                    <w:rPr>
                      <w:rFonts w:ascii="Arial" w:eastAsia="Times New Roman" w:hAnsi="Arial" w:cs="Arial"/>
                      <w:color w:val="000000"/>
                      <w:sz w:val="16"/>
                      <w:szCs w:val="16"/>
                      <w:lang w:eastAsia="es-EC"/>
                    </w:rPr>
                    <w:t>2245</w:t>
                  </w:r>
                </w:p>
              </w:tc>
              <w:tc>
                <w:tcPr>
                  <w:tcW w:w="2268" w:type="dxa"/>
                  <w:tcBorders>
                    <w:top w:val="nil"/>
                    <w:left w:val="single" w:sz="4" w:space="0" w:color="auto"/>
                    <w:bottom w:val="single" w:sz="4" w:space="0" w:color="auto"/>
                    <w:right w:val="nil"/>
                  </w:tcBorders>
                  <w:vAlign w:val="center"/>
                </w:tcPr>
                <w:p w:rsidR="001820D5" w:rsidRPr="00495FF0" w:rsidRDefault="001820D5" w:rsidP="004D2713">
                  <w:pPr>
                    <w:jc w:val="left"/>
                    <w:rPr>
                      <w:rFonts w:ascii="Arial" w:eastAsia="Times New Roman" w:hAnsi="Arial" w:cs="Arial"/>
                      <w:b/>
                      <w:bCs/>
                      <w:i/>
                      <w:iCs/>
                      <w:color w:val="000000"/>
                      <w:sz w:val="16"/>
                      <w:szCs w:val="16"/>
                      <w:lang w:eastAsia="es-EC"/>
                    </w:rPr>
                  </w:pPr>
                  <w:r w:rsidRPr="00495FF0">
                    <w:rPr>
                      <w:rFonts w:ascii="Arial" w:eastAsia="Times New Roman" w:hAnsi="Arial" w:cs="Arial"/>
                      <w:b/>
                      <w:bCs/>
                      <w:i/>
                      <w:iCs/>
                      <w:color w:val="000000"/>
                      <w:sz w:val="16"/>
                      <w:szCs w:val="16"/>
                      <w:lang w:eastAsia="es-EC"/>
                    </w:rPr>
                    <w:t>Total</w:t>
                  </w:r>
                </w:p>
              </w:tc>
              <w:tc>
                <w:tcPr>
                  <w:tcW w:w="1417" w:type="dxa"/>
                  <w:tcBorders>
                    <w:top w:val="nil"/>
                    <w:left w:val="nil"/>
                    <w:bottom w:val="single" w:sz="4" w:space="0" w:color="auto"/>
                    <w:right w:val="nil"/>
                  </w:tcBorders>
                  <w:vAlign w:val="center"/>
                </w:tcPr>
                <w:p w:rsidR="001820D5" w:rsidRPr="00495FF0" w:rsidRDefault="001820D5" w:rsidP="00902050">
                  <w:pPr>
                    <w:rPr>
                      <w:rFonts w:ascii="Arial" w:eastAsia="Times New Roman" w:hAnsi="Arial" w:cs="Arial"/>
                      <w:b/>
                      <w:bCs/>
                      <w:i/>
                      <w:iCs/>
                      <w:color w:val="000000"/>
                      <w:sz w:val="16"/>
                      <w:szCs w:val="16"/>
                      <w:lang w:eastAsia="es-EC"/>
                    </w:rPr>
                  </w:pPr>
                  <w:r w:rsidRPr="00495FF0">
                    <w:rPr>
                      <w:rFonts w:ascii="Arial" w:eastAsia="Times New Roman" w:hAnsi="Arial" w:cs="Arial"/>
                      <w:b/>
                      <w:bCs/>
                      <w:i/>
                      <w:iCs/>
                      <w:color w:val="000000"/>
                      <w:sz w:val="16"/>
                      <w:szCs w:val="16"/>
                      <w:lang w:eastAsia="es-EC"/>
                    </w:rPr>
                    <w:t>89931</w:t>
                  </w:r>
                </w:p>
              </w:tc>
            </w:tr>
          </w:tbl>
          <w:p w:rsidR="001820D5" w:rsidRPr="00840530" w:rsidRDefault="001820D5" w:rsidP="00902050">
            <w:pPr>
              <w:rPr>
                <w:rFonts w:ascii="Arial" w:hAnsi="Arial" w:cs="Arial"/>
                <w:sz w:val="24"/>
                <w:szCs w:val="24"/>
              </w:rPr>
            </w:pPr>
          </w:p>
        </w:tc>
      </w:tr>
    </w:tbl>
    <w:p w:rsidR="001820D5" w:rsidRPr="007904D9" w:rsidRDefault="001820D5" w:rsidP="002A1783">
      <w:pPr>
        <w:pStyle w:val="Prrafodelista"/>
        <w:spacing w:line="276" w:lineRule="auto"/>
        <w:ind w:left="0"/>
        <w:jc w:val="both"/>
        <w:rPr>
          <w:rFonts w:ascii="Arial" w:hAnsi="Arial" w:cs="Arial"/>
          <w:sz w:val="18"/>
          <w:szCs w:val="18"/>
        </w:rPr>
      </w:pPr>
    </w:p>
    <w:p w:rsidR="001820D5" w:rsidRDefault="001820D5" w:rsidP="002A1783">
      <w:pPr>
        <w:pStyle w:val="Prrafodelista"/>
        <w:spacing w:line="276" w:lineRule="auto"/>
        <w:ind w:left="0"/>
        <w:jc w:val="both"/>
        <w:rPr>
          <w:rFonts w:ascii="Arial" w:hAnsi="Arial" w:cs="Arial"/>
          <w:sz w:val="18"/>
          <w:szCs w:val="18"/>
        </w:rPr>
      </w:pPr>
      <w:r>
        <w:rPr>
          <w:rFonts w:ascii="Arial" w:hAnsi="Arial" w:cs="Arial"/>
          <w:b/>
          <w:i/>
          <w:sz w:val="18"/>
          <w:szCs w:val="18"/>
        </w:rPr>
        <w:t>Fuente:</w:t>
      </w:r>
      <w:r>
        <w:rPr>
          <w:rFonts w:ascii="Arial" w:hAnsi="Arial" w:cs="Arial"/>
          <w:sz w:val="18"/>
          <w:szCs w:val="18"/>
        </w:rPr>
        <w:t xml:space="preserve"> </w:t>
      </w:r>
      <w:r w:rsidRPr="00C239C6">
        <w:rPr>
          <w:rFonts w:ascii="Arial" w:hAnsi="Arial" w:cs="Arial"/>
          <w:b/>
          <w:sz w:val="18"/>
          <w:szCs w:val="18"/>
        </w:rPr>
        <w:t>INEC</w:t>
      </w:r>
      <w:r>
        <w:rPr>
          <w:rFonts w:ascii="Arial" w:hAnsi="Arial" w:cs="Arial"/>
          <w:b/>
          <w:sz w:val="18"/>
          <w:szCs w:val="18"/>
        </w:rPr>
        <w:t xml:space="preserve"> </w:t>
      </w:r>
      <w:r>
        <w:rPr>
          <w:rFonts w:ascii="Arial" w:hAnsi="Arial" w:cs="Arial"/>
          <w:sz w:val="18"/>
          <w:szCs w:val="18"/>
        </w:rPr>
        <w:t xml:space="preserve">(2010), Base de Datos del </w:t>
      </w:r>
      <w:r w:rsidRPr="00C239C6">
        <w:rPr>
          <w:rFonts w:ascii="Arial" w:hAnsi="Arial" w:cs="Arial"/>
          <w:sz w:val="18"/>
          <w:szCs w:val="18"/>
        </w:rPr>
        <w:t>VII</w:t>
      </w:r>
      <w:r>
        <w:rPr>
          <w:rFonts w:ascii="Arial" w:hAnsi="Arial" w:cs="Arial"/>
          <w:sz w:val="18"/>
          <w:szCs w:val="18"/>
        </w:rPr>
        <w:t xml:space="preserve"> Censo de Población y VI de Vivienda.</w:t>
      </w:r>
    </w:p>
    <w:p w:rsidR="001820D5" w:rsidRPr="001438A1" w:rsidRDefault="001820D5" w:rsidP="002A1783">
      <w:pPr>
        <w:pStyle w:val="Prrafodelista"/>
        <w:spacing w:line="276" w:lineRule="auto"/>
        <w:ind w:left="0"/>
        <w:jc w:val="both"/>
        <w:rPr>
          <w:rFonts w:ascii="Arial" w:hAnsi="Arial" w:cs="Arial"/>
          <w:lang w:val="en-US"/>
        </w:rPr>
      </w:pPr>
      <w:r w:rsidRPr="001438A1">
        <w:rPr>
          <w:rFonts w:ascii="Arial" w:hAnsi="Arial" w:cs="Arial"/>
          <w:b/>
          <w:i/>
          <w:sz w:val="18"/>
          <w:szCs w:val="18"/>
          <w:lang w:val="en-US"/>
        </w:rPr>
        <w:t>Elaborado por:</w:t>
      </w:r>
      <w:r w:rsidRPr="001438A1">
        <w:rPr>
          <w:rFonts w:ascii="Arial" w:hAnsi="Arial" w:cs="Arial"/>
          <w:sz w:val="18"/>
          <w:szCs w:val="18"/>
          <w:lang w:val="en-US"/>
        </w:rPr>
        <w:t xml:space="preserve"> Katherine Loor Valeriano</w:t>
      </w:r>
    </w:p>
    <w:p w:rsidR="001820D5" w:rsidRPr="001438A1" w:rsidRDefault="001820D5" w:rsidP="004D2713">
      <w:pPr>
        <w:pStyle w:val="TesisTitulo10"/>
        <w:numPr>
          <w:ilvl w:val="0"/>
          <w:numId w:val="0"/>
        </w:numPr>
        <w:ind w:left="567"/>
        <w:rPr>
          <w:b w:val="0"/>
          <w:sz w:val="22"/>
          <w:szCs w:val="22"/>
          <w:lang w:val="en-US"/>
        </w:rPr>
      </w:pPr>
    </w:p>
    <w:tbl>
      <w:tblPr>
        <w:tblStyle w:val="Tablaconcuadrcula"/>
        <w:tblW w:w="8348" w:type="dxa"/>
        <w:jc w:val="right"/>
        <w:tblInd w:w="-1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8348"/>
      </w:tblGrid>
      <w:tr w:rsidR="001820D5" w:rsidRPr="00840530" w:rsidTr="002A1783">
        <w:trPr>
          <w:trHeight w:val="4025"/>
          <w:jc w:val="right"/>
        </w:trPr>
        <w:tc>
          <w:tcPr>
            <w:tcW w:w="8348" w:type="dxa"/>
          </w:tcPr>
          <w:p w:rsidR="001820D5" w:rsidRPr="00840530" w:rsidRDefault="001820D5" w:rsidP="00902050">
            <w:pPr>
              <w:rPr>
                <w:rFonts w:ascii="Arial" w:hAnsi="Arial" w:cs="Arial"/>
                <w:sz w:val="16"/>
                <w:szCs w:val="16"/>
              </w:rPr>
            </w:pPr>
          </w:p>
          <w:p w:rsidR="001820D5" w:rsidRPr="00840530" w:rsidRDefault="001820D5" w:rsidP="00902050">
            <w:pPr>
              <w:rPr>
                <w:rFonts w:ascii="Arial" w:hAnsi="Arial" w:cs="Arial"/>
                <w:b/>
                <w:sz w:val="16"/>
                <w:szCs w:val="16"/>
              </w:rPr>
            </w:pPr>
            <w:r>
              <w:rPr>
                <w:rFonts w:ascii="Arial" w:hAnsi="Arial" w:cs="Arial"/>
                <w:b/>
                <w:sz w:val="16"/>
                <w:szCs w:val="16"/>
              </w:rPr>
              <w:t>Tabla</w:t>
            </w:r>
            <w:r w:rsidRPr="00840530">
              <w:rPr>
                <w:rFonts w:ascii="Arial" w:hAnsi="Arial" w:cs="Arial"/>
                <w:b/>
                <w:sz w:val="16"/>
                <w:szCs w:val="16"/>
              </w:rPr>
              <w:t xml:space="preserve"> </w:t>
            </w:r>
            <w:r>
              <w:rPr>
                <w:rFonts w:ascii="Arial" w:hAnsi="Arial" w:cs="Arial"/>
                <w:b/>
                <w:sz w:val="16"/>
                <w:szCs w:val="16"/>
              </w:rPr>
              <w:t>D.2</w:t>
            </w:r>
          </w:p>
          <w:p w:rsidR="001820D5" w:rsidRDefault="001820D5" w:rsidP="00902050">
            <w:pPr>
              <w:rPr>
                <w:rFonts w:ascii="Arial" w:hAnsi="Arial" w:cs="Arial"/>
                <w:i/>
                <w:sz w:val="16"/>
                <w:szCs w:val="16"/>
              </w:rPr>
            </w:pPr>
            <w:r>
              <w:rPr>
                <w:rFonts w:ascii="Arial" w:hAnsi="Arial" w:cs="Arial"/>
                <w:i/>
                <w:sz w:val="16"/>
                <w:szCs w:val="16"/>
              </w:rPr>
              <w:t xml:space="preserve">Total de </w:t>
            </w:r>
            <w:r w:rsidRPr="002D208D">
              <w:rPr>
                <w:rFonts w:ascii="Arial" w:hAnsi="Arial" w:cs="Arial"/>
                <w:b/>
                <w:i/>
                <w:sz w:val="18"/>
                <w:szCs w:val="18"/>
              </w:rPr>
              <w:t xml:space="preserve">Inmigrantes </w:t>
            </w:r>
            <w:r>
              <w:rPr>
                <w:rFonts w:ascii="Arial" w:hAnsi="Arial" w:cs="Arial"/>
                <w:b/>
                <w:i/>
                <w:sz w:val="18"/>
                <w:szCs w:val="18"/>
              </w:rPr>
              <w:t>peruanos</w:t>
            </w:r>
            <w:r>
              <w:rPr>
                <w:rFonts w:ascii="Arial" w:hAnsi="Arial" w:cs="Arial"/>
                <w:i/>
                <w:sz w:val="16"/>
                <w:szCs w:val="16"/>
              </w:rPr>
              <w:t xml:space="preserve"> por Provincia de residencia habitual</w:t>
            </w:r>
          </w:p>
          <w:p w:rsidR="001820D5" w:rsidRDefault="001820D5" w:rsidP="00902050">
            <w:pPr>
              <w:rPr>
                <w:rFonts w:ascii="Arial" w:hAnsi="Arial" w:cs="Arial"/>
                <w:i/>
                <w:sz w:val="16"/>
                <w:szCs w:val="16"/>
              </w:rPr>
            </w:pPr>
          </w:p>
          <w:tbl>
            <w:tblPr>
              <w:tblW w:w="7370" w:type="dxa"/>
              <w:jc w:val="center"/>
              <w:tblCellMar>
                <w:left w:w="70" w:type="dxa"/>
                <w:right w:w="70" w:type="dxa"/>
              </w:tblCellMar>
              <w:tblLook w:val="04A0" w:firstRow="1" w:lastRow="0" w:firstColumn="1" w:lastColumn="0" w:noHBand="0" w:noVBand="1"/>
            </w:tblPr>
            <w:tblGrid>
              <w:gridCol w:w="2268"/>
              <w:gridCol w:w="1417"/>
              <w:gridCol w:w="2268"/>
              <w:gridCol w:w="1417"/>
            </w:tblGrid>
            <w:tr w:rsidR="001820D5" w:rsidRPr="00495FF0" w:rsidTr="002A1783">
              <w:trPr>
                <w:trHeight w:val="567"/>
                <w:jc w:val="center"/>
              </w:trPr>
              <w:tc>
                <w:tcPr>
                  <w:tcW w:w="2268" w:type="dxa"/>
                  <w:tcBorders>
                    <w:top w:val="single" w:sz="4" w:space="0" w:color="auto"/>
                    <w:left w:val="nil"/>
                    <w:bottom w:val="single" w:sz="4" w:space="0" w:color="auto"/>
                    <w:right w:val="nil"/>
                  </w:tcBorders>
                  <w:shd w:val="clear" w:color="auto" w:fill="auto"/>
                  <w:vAlign w:val="center"/>
                  <w:hideMark/>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Provincia de residencia habitual</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Frecuencia Absoluta</w:t>
                  </w:r>
                </w:p>
              </w:tc>
              <w:tc>
                <w:tcPr>
                  <w:tcW w:w="2268" w:type="dxa"/>
                  <w:tcBorders>
                    <w:top w:val="single" w:sz="4" w:space="0" w:color="auto"/>
                    <w:left w:val="single" w:sz="4" w:space="0" w:color="auto"/>
                    <w:bottom w:val="single" w:sz="4" w:space="0" w:color="auto"/>
                    <w:right w:val="nil"/>
                  </w:tcBorders>
                  <w:vAlign w:val="center"/>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Provincia de residencia habitual</w:t>
                  </w:r>
                </w:p>
              </w:tc>
              <w:tc>
                <w:tcPr>
                  <w:tcW w:w="1417" w:type="dxa"/>
                  <w:tcBorders>
                    <w:top w:val="single" w:sz="4" w:space="0" w:color="auto"/>
                    <w:left w:val="nil"/>
                    <w:bottom w:val="single" w:sz="4" w:space="0" w:color="auto"/>
                    <w:right w:val="nil"/>
                  </w:tcBorders>
                  <w:vAlign w:val="center"/>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Frecuencia Absoluta</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Azuay</w:t>
                  </w:r>
                </w:p>
              </w:tc>
              <w:tc>
                <w:tcPr>
                  <w:tcW w:w="1417" w:type="dxa"/>
                  <w:tcBorders>
                    <w:top w:val="nil"/>
                    <w:left w:val="nil"/>
                    <w:bottom w:val="nil"/>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3582</w:t>
                  </w:r>
                </w:p>
              </w:tc>
              <w:tc>
                <w:tcPr>
                  <w:tcW w:w="2268" w:type="dxa"/>
                  <w:tcBorders>
                    <w:top w:val="nil"/>
                    <w:left w:val="single" w:sz="4" w:space="0" w:color="auto"/>
                    <w:bottom w:val="nil"/>
                    <w:right w:val="nil"/>
                  </w:tcBorders>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Morona Santiago</w:t>
                  </w:r>
                </w:p>
              </w:tc>
              <w:tc>
                <w:tcPr>
                  <w:tcW w:w="1417" w:type="dxa"/>
                  <w:tcBorders>
                    <w:top w:val="nil"/>
                    <w:left w:val="nil"/>
                    <w:bottom w:val="nil"/>
                    <w:right w:val="nil"/>
                  </w:tcBorders>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89</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Bolívar</w:t>
                  </w:r>
                </w:p>
              </w:tc>
              <w:tc>
                <w:tcPr>
                  <w:tcW w:w="1417" w:type="dxa"/>
                  <w:tcBorders>
                    <w:top w:val="nil"/>
                    <w:left w:val="nil"/>
                    <w:bottom w:val="nil"/>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34</w:t>
                  </w:r>
                </w:p>
              </w:tc>
              <w:tc>
                <w:tcPr>
                  <w:tcW w:w="2268" w:type="dxa"/>
                  <w:tcBorders>
                    <w:top w:val="nil"/>
                    <w:left w:val="single" w:sz="4" w:space="0" w:color="auto"/>
                    <w:bottom w:val="nil"/>
                    <w:right w:val="nil"/>
                  </w:tcBorders>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Napo</w:t>
                  </w:r>
                </w:p>
              </w:tc>
              <w:tc>
                <w:tcPr>
                  <w:tcW w:w="1417" w:type="dxa"/>
                  <w:tcBorders>
                    <w:top w:val="nil"/>
                    <w:left w:val="nil"/>
                    <w:bottom w:val="nil"/>
                    <w:right w:val="nil"/>
                  </w:tcBorders>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26</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Cañar</w:t>
                  </w:r>
                </w:p>
              </w:tc>
              <w:tc>
                <w:tcPr>
                  <w:tcW w:w="1417" w:type="dxa"/>
                  <w:tcBorders>
                    <w:top w:val="nil"/>
                    <w:left w:val="nil"/>
                    <w:bottom w:val="nil"/>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507</w:t>
                  </w:r>
                </w:p>
              </w:tc>
              <w:tc>
                <w:tcPr>
                  <w:tcW w:w="2268" w:type="dxa"/>
                  <w:tcBorders>
                    <w:top w:val="nil"/>
                    <w:left w:val="single" w:sz="4" w:space="0" w:color="auto"/>
                    <w:bottom w:val="nil"/>
                    <w:right w:val="nil"/>
                  </w:tcBorders>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Pastaza</w:t>
                  </w:r>
                </w:p>
              </w:tc>
              <w:tc>
                <w:tcPr>
                  <w:tcW w:w="1417" w:type="dxa"/>
                  <w:tcBorders>
                    <w:top w:val="nil"/>
                    <w:left w:val="nil"/>
                    <w:bottom w:val="nil"/>
                    <w:right w:val="nil"/>
                  </w:tcBorders>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22</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Carchi</w:t>
                  </w:r>
                </w:p>
              </w:tc>
              <w:tc>
                <w:tcPr>
                  <w:tcW w:w="1417" w:type="dxa"/>
                  <w:tcBorders>
                    <w:top w:val="nil"/>
                    <w:left w:val="nil"/>
                    <w:bottom w:val="nil"/>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29</w:t>
                  </w:r>
                </w:p>
              </w:tc>
              <w:tc>
                <w:tcPr>
                  <w:tcW w:w="2268" w:type="dxa"/>
                  <w:tcBorders>
                    <w:top w:val="nil"/>
                    <w:left w:val="single" w:sz="4" w:space="0" w:color="auto"/>
                    <w:bottom w:val="nil"/>
                    <w:right w:val="nil"/>
                  </w:tcBorders>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Pichincha</w:t>
                  </w:r>
                </w:p>
              </w:tc>
              <w:tc>
                <w:tcPr>
                  <w:tcW w:w="1417" w:type="dxa"/>
                  <w:tcBorders>
                    <w:top w:val="nil"/>
                    <w:left w:val="nil"/>
                    <w:bottom w:val="nil"/>
                    <w:right w:val="nil"/>
                  </w:tcBorders>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2421</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Cotopaxi</w:t>
                  </w:r>
                </w:p>
              </w:tc>
              <w:tc>
                <w:tcPr>
                  <w:tcW w:w="1417" w:type="dxa"/>
                  <w:tcBorders>
                    <w:top w:val="nil"/>
                    <w:left w:val="nil"/>
                    <w:bottom w:val="nil"/>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104</w:t>
                  </w:r>
                </w:p>
              </w:tc>
              <w:tc>
                <w:tcPr>
                  <w:tcW w:w="2268" w:type="dxa"/>
                  <w:tcBorders>
                    <w:top w:val="nil"/>
                    <w:left w:val="single" w:sz="4" w:space="0" w:color="auto"/>
                    <w:bottom w:val="nil"/>
                    <w:right w:val="nil"/>
                  </w:tcBorders>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Tungurahua</w:t>
                  </w:r>
                </w:p>
              </w:tc>
              <w:tc>
                <w:tcPr>
                  <w:tcW w:w="1417" w:type="dxa"/>
                  <w:tcBorders>
                    <w:top w:val="nil"/>
                    <w:left w:val="nil"/>
                    <w:bottom w:val="nil"/>
                    <w:right w:val="nil"/>
                  </w:tcBorders>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178</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Chimborazo</w:t>
                  </w:r>
                </w:p>
              </w:tc>
              <w:tc>
                <w:tcPr>
                  <w:tcW w:w="1417" w:type="dxa"/>
                  <w:tcBorders>
                    <w:top w:val="nil"/>
                    <w:left w:val="nil"/>
                    <w:bottom w:val="nil"/>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91</w:t>
                  </w:r>
                </w:p>
              </w:tc>
              <w:tc>
                <w:tcPr>
                  <w:tcW w:w="2268" w:type="dxa"/>
                  <w:tcBorders>
                    <w:top w:val="nil"/>
                    <w:left w:val="single" w:sz="4" w:space="0" w:color="auto"/>
                    <w:bottom w:val="nil"/>
                    <w:right w:val="nil"/>
                  </w:tcBorders>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Zamora Chinchipe</w:t>
                  </w:r>
                </w:p>
              </w:tc>
              <w:tc>
                <w:tcPr>
                  <w:tcW w:w="1417" w:type="dxa"/>
                  <w:tcBorders>
                    <w:top w:val="nil"/>
                    <w:left w:val="nil"/>
                    <w:bottom w:val="nil"/>
                    <w:right w:val="nil"/>
                  </w:tcBorders>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268</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El Oro</w:t>
                  </w:r>
                </w:p>
              </w:tc>
              <w:tc>
                <w:tcPr>
                  <w:tcW w:w="1417" w:type="dxa"/>
                  <w:tcBorders>
                    <w:top w:val="nil"/>
                    <w:left w:val="nil"/>
                    <w:bottom w:val="nil"/>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2369</w:t>
                  </w:r>
                </w:p>
              </w:tc>
              <w:tc>
                <w:tcPr>
                  <w:tcW w:w="2268" w:type="dxa"/>
                  <w:tcBorders>
                    <w:top w:val="nil"/>
                    <w:left w:val="single" w:sz="4" w:space="0" w:color="auto"/>
                    <w:bottom w:val="nil"/>
                    <w:right w:val="nil"/>
                  </w:tcBorders>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Galápagos</w:t>
                  </w:r>
                </w:p>
              </w:tc>
              <w:tc>
                <w:tcPr>
                  <w:tcW w:w="1417" w:type="dxa"/>
                  <w:tcBorders>
                    <w:top w:val="nil"/>
                    <w:left w:val="nil"/>
                    <w:bottom w:val="nil"/>
                    <w:right w:val="nil"/>
                  </w:tcBorders>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6</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Esmeraldas</w:t>
                  </w:r>
                </w:p>
              </w:tc>
              <w:tc>
                <w:tcPr>
                  <w:tcW w:w="1417" w:type="dxa"/>
                  <w:tcBorders>
                    <w:top w:val="nil"/>
                    <w:left w:val="nil"/>
                    <w:bottom w:val="nil"/>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112</w:t>
                  </w:r>
                </w:p>
              </w:tc>
              <w:tc>
                <w:tcPr>
                  <w:tcW w:w="2268" w:type="dxa"/>
                  <w:tcBorders>
                    <w:top w:val="nil"/>
                    <w:left w:val="single" w:sz="4" w:space="0" w:color="auto"/>
                    <w:bottom w:val="nil"/>
                    <w:right w:val="nil"/>
                  </w:tcBorders>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Sucumbíos</w:t>
                  </w:r>
                </w:p>
              </w:tc>
              <w:tc>
                <w:tcPr>
                  <w:tcW w:w="1417" w:type="dxa"/>
                  <w:tcBorders>
                    <w:top w:val="nil"/>
                    <w:left w:val="nil"/>
                    <w:bottom w:val="nil"/>
                    <w:right w:val="nil"/>
                  </w:tcBorders>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95</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Guayas</w:t>
                  </w:r>
                </w:p>
              </w:tc>
              <w:tc>
                <w:tcPr>
                  <w:tcW w:w="1417" w:type="dxa"/>
                  <w:tcBorders>
                    <w:top w:val="nil"/>
                    <w:left w:val="nil"/>
                    <w:bottom w:val="nil"/>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3018</w:t>
                  </w:r>
                </w:p>
              </w:tc>
              <w:tc>
                <w:tcPr>
                  <w:tcW w:w="2268" w:type="dxa"/>
                  <w:tcBorders>
                    <w:top w:val="nil"/>
                    <w:left w:val="single" w:sz="4" w:space="0" w:color="auto"/>
                    <w:bottom w:val="nil"/>
                    <w:right w:val="nil"/>
                  </w:tcBorders>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Orellana</w:t>
                  </w:r>
                </w:p>
              </w:tc>
              <w:tc>
                <w:tcPr>
                  <w:tcW w:w="1417" w:type="dxa"/>
                  <w:tcBorders>
                    <w:top w:val="nil"/>
                    <w:left w:val="nil"/>
                    <w:bottom w:val="nil"/>
                    <w:right w:val="nil"/>
                  </w:tcBorders>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63</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Imbabura</w:t>
                  </w:r>
                </w:p>
              </w:tc>
              <w:tc>
                <w:tcPr>
                  <w:tcW w:w="1417" w:type="dxa"/>
                  <w:tcBorders>
                    <w:top w:val="nil"/>
                    <w:left w:val="nil"/>
                    <w:bottom w:val="nil"/>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150</w:t>
                  </w:r>
                </w:p>
              </w:tc>
              <w:tc>
                <w:tcPr>
                  <w:tcW w:w="2268" w:type="dxa"/>
                  <w:tcBorders>
                    <w:top w:val="nil"/>
                    <w:left w:val="single" w:sz="4" w:space="0" w:color="auto"/>
                    <w:bottom w:val="nil"/>
                    <w:right w:val="nil"/>
                  </w:tcBorders>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Santo Domingo</w:t>
                  </w:r>
                </w:p>
              </w:tc>
              <w:tc>
                <w:tcPr>
                  <w:tcW w:w="1417" w:type="dxa"/>
                  <w:tcBorders>
                    <w:top w:val="nil"/>
                    <w:left w:val="nil"/>
                    <w:bottom w:val="nil"/>
                    <w:right w:val="nil"/>
                  </w:tcBorders>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168</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Loja</w:t>
                  </w:r>
                </w:p>
              </w:tc>
              <w:tc>
                <w:tcPr>
                  <w:tcW w:w="1417" w:type="dxa"/>
                  <w:tcBorders>
                    <w:top w:val="nil"/>
                    <w:left w:val="nil"/>
                    <w:bottom w:val="nil"/>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1674</w:t>
                  </w:r>
                </w:p>
              </w:tc>
              <w:tc>
                <w:tcPr>
                  <w:tcW w:w="2268" w:type="dxa"/>
                  <w:tcBorders>
                    <w:top w:val="nil"/>
                    <w:left w:val="single" w:sz="4" w:space="0" w:color="auto"/>
                    <w:bottom w:val="nil"/>
                    <w:right w:val="nil"/>
                  </w:tcBorders>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Santa Elena</w:t>
                  </w:r>
                </w:p>
              </w:tc>
              <w:tc>
                <w:tcPr>
                  <w:tcW w:w="1417" w:type="dxa"/>
                  <w:tcBorders>
                    <w:top w:val="nil"/>
                    <w:left w:val="nil"/>
                    <w:bottom w:val="nil"/>
                    <w:right w:val="nil"/>
                  </w:tcBorders>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197</w:t>
                  </w:r>
                </w:p>
              </w:tc>
            </w:tr>
            <w:tr w:rsidR="001820D5" w:rsidRPr="00495FF0" w:rsidTr="002A1783">
              <w:trPr>
                <w:trHeight w:val="198"/>
                <w:jc w:val="center"/>
              </w:trPr>
              <w:tc>
                <w:tcPr>
                  <w:tcW w:w="2268" w:type="dxa"/>
                  <w:tcBorders>
                    <w:top w:val="nil"/>
                    <w:left w:val="nil"/>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Los Ríos</w:t>
                  </w:r>
                </w:p>
              </w:tc>
              <w:tc>
                <w:tcPr>
                  <w:tcW w:w="1417" w:type="dxa"/>
                  <w:tcBorders>
                    <w:top w:val="nil"/>
                    <w:left w:val="nil"/>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158</w:t>
                  </w:r>
                </w:p>
              </w:tc>
              <w:tc>
                <w:tcPr>
                  <w:tcW w:w="2268" w:type="dxa"/>
                  <w:tcBorders>
                    <w:top w:val="nil"/>
                    <w:left w:val="single" w:sz="4" w:space="0" w:color="auto"/>
                    <w:right w:val="nil"/>
                  </w:tcBorders>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Zonas No Delimitadas</w:t>
                  </w:r>
                </w:p>
              </w:tc>
              <w:tc>
                <w:tcPr>
                  <w:tcW w:w="1417" w:type="dxa"/>
                  <w:tcBorders>
                    <w:top w:val="nil"/>
                    <w:left w:val="nil"/>
                    <w:right w:val="nil"/>
                  </w:tcBorders>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4</w:t>
                  </w:r>
                </w:p>
              </w:tc>
            </w:tr>
            <w:tr w:rsidR="001820D5" w:rsidRPr="00495FF0" w:rsidTr="002A1783">
              <w:trPr>
                <w:trHeight w:val="198"/>
                <w:jc w:val="center"/>
              </w:trPr>
              <w:tc>
                <w:tcPr>
                  <w:tcW w:w="2268" w:type="dxa"/>
                  <w:tcBorders>
                    <w:top w:val="nil"/>
                    <w:left w:val="nil"/>
                    <w:bottom w:val="single" w:sz="4" w:space="0" w:color="auto"/>
                    <w:right w:val="nil"/>
                  </w:tcBorders>
                  <w:shd w:val="clear" w:color="auto" w:fill="auto"/>
                  <w:vAlign w:val="center"/>
                </w:tcPr>
                <w:p w:rsidR="001820D5" w:rsidRPr="00D04B35" w:rsidRDefault="001820D5" w:rsidP="004D2713">
                  <w:pPr>
                    <w:jc w:val="left"/>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Manabí</w:t>
                  </w:r>
                </w:p>
              </w:tc>
              <w:tc>
                <w:tcPr>
                  <w:tcW w:w="1417" w:type="dxa"/>
                  <w:tcBorders>
                    <w:top w:val="nil"/>
                    <w:left w:val="nil"/>
                    <w:bottom w:val="single" w:sz="4" w:space="0" w:color="auto"/>
                    <w:right w:val="single" w:sz="4" w:space="0" w:color="auto"/>
                  </w:tcBorders>
                  <w:shd w:val="clear" w:color="auto" w:fill="auto"/>
                  <w:noWrap/>
                  <w:vAlign w:val="center"/>
                </w:tcPr>
                <w:p w:rsidR="001820D5" w:rsidRPr="00D04B35" w:rsidRDefault="001820D5" w:rsidP="00902050">
                  <w:pPr>
                    <w:rPr>
                      <w:rFonts w:ascii="Arial" w:eastAsia="Times New Roman" w:hAnsi="Arial" w:cs="Arial"/>
                      <w:color w:val="000000"/>
                      <w:sz w:val="16"/>
                      <w:szCs w:val="16"/>
                      <w:lang w:eastAsia="es-EC"/>
                    </w:rPr>
                  </w:pPr>
                  <w:r w:rsidRPr="00D04B35">
                    <w:rPr>
                      <w:rFonts w:ascii="Arial" w:eastAsia="Times New Roman" w:hAnsi="Arial" w:cs="Arial"/>
                      <w:color w:val="000000"/>
                      <w:sz w:val="16"/>
                      <w:szCs w:val="16"/>
                      <w:lang w:eastAsia="es-EC"/>
                    </w:rPr>
                    <w:t>311</w:t>
                  </w:r>
                </w:p>
              </w:tc>
              <w:tc>
                <w:tcPr>
                  <w:tcW w:w="2268" w:type="dxa"/>
                  <w:tcBorders>
                    <w:top w:val="nil"/>
                    <w:left w:val="single" w:sz="4" w:space="0" w:color="auto"/>
                    <w:bottom w:val="single" w:sz="4" w:space="0" w:color="auto"/>
                    <w:right w:val="nil"/>
                  </w:tcBorders>
                  <w:vAlign w:val="center"/>
                </w:tcPr>
                <w:p w:rsidR="001820D5" w:rsidRPr="00D04B35" w:rsidRDefault="001820D5" w:rsidP="004D2713">
                  <w:pPr>
                    <w:jc w:val="left"/>
                    <w:rPr>
                      <w:rFonts w:ascii="Arial" w:eastAsia="Times New Roman" w:hAnsi="Arial" w:cs="Arial"/>
                      <w:b/>
                      <w:i/>
                      <w:color w:val="000000"/>
                      <w:sz w:val="16"/>
                      <w:szCs w:val="16"/>
                      <w:lang w:eastAsia="es-EC"/>
                    </w:rPr>
                  </w:pPr>
                  <w:r w:rsidRPr="00D04B35">
                    <w:rPr>
                      <w:rFonts w:ascii="Arial" w:eastAsia="Times New Roman" w:hAnsi="Arial" w:cs="Arial"/>
                      <w:b/>
                      <w:i/>
                      <w:color w:val="000000"/>
                      <w:sz w:val="16"/>
                      <w:szCs w:val="16"/>
                      <w:lang w:eastAsia="es-EC"/>
                    </w:rPr>
                    <w:t>Total</w:t>
                  </w:r>
                </w:p>
              </w:tc>
              <w:tc>
                <w:tcPr>
                  <w:tcW w:w="1417" w:type="dxa"/>
                  <w:tcBorders>
                    <w:top w:val="nil"/>
                    <w:left w:val="nil"/>
                    <w:bottom w:val="single" w:sz="4" w:space="0" w:color="auto"/>
                    <w:right w:val="nil"/>
                  </w:tcBorders>
                  <w:vAlign w:val="center"/>
                </w:tcPr>
                <w:p w:rsidR="001820D5" w:rsidRPr="00D04B35" w:rsidRDefault="001820D5" w:rsidP="00902050">
                  <w:pPr>
                    <w:rPr>
                      <w:rFonts w:ascii="Arial" w:eastAsia="Times New Roman" w:hAnsi="Arial" w:cs="Arial"/>
                      <w:b/>
                      <w:i/>
                      <w:color w:val="000000"/>
                      <w:sz w:val="16"/>
                      <w:szCs w:val="16"/>
                      <w:lang w:eastAsia="es-EC"/>
                    </w:rPr>
                  </w:pPr>
                  <w:r w:rsidRPr="00D04B35">
                    <w:rPr>
                      <w:rFonts w:ascii="Arial" w:eastAsia="Times New Roman" w:hAnsi="Arial" w:cs="Arial"/>
                      <w:b/>
                      <w:i/>
                      <w:color w:val="000000"/>
                      <w:sz w:val="16"/>
                      <w:szCs w:val="16"/>
                      <w:lang w:eastAsia="es-EC"/>
                    </w:rPr>
                    <w:t>15676</w:t>
                  </w:r>
                </w:p>
              </w:tc>
            </w:tr>
          </w:tbl>
          <w:p w:rsidR="001820D5" w:rsidRDefault="001820D5" w:rsidP="00902050">
            <w:pPr>
              <w:rPr>
                <w:rFonts w:ascii="Arial" w:hAnsi="Arial" w:cs="Arial"/>
                <w:i/>
                <w:sz w:val="10"/>
                <w:szCs w:val="10"/>
              </w:rPr>
            </w:pPr>
          </w:p>
          <w:p w:rsidR="001820D5" w:rsidRPr="004D02D2" w:rsidRDefault="001820D5" w:rsidP="00902050">
            <w:pPr>
              <w:rPr>
                <w:rFonts w:ascii="Arial" w:hAnsi="Arial" w:cs="Arial"/>
                <w:sz w:val="20"/>
                <w:szCs w:val="20"/>
              </w:rPr>
            </w:pPr>
          </w:p>
        </w:tc>
      </w:tr>
    </w:tbl>
    <w:p w:rsidR="001820D5" w:rsidRPr="007904D9" w:rsidRDefault="001820D5" w:rsidP="002A1783">
      <w:pPr>
        <w:pStyle w:val="Prrafodelista"/>
        <w:ind w:left="0"/>
        <w:jc w:val="both"/>
        <w:rPr>
          <w:rFonts w:ascii="Arial" w:hAnsi="Arial" w:cs="Arial"/>
          <w:sz w:val="18"/>
          <w:szCs w:val="18"/>
        </w:rPr>
      </w:pPr>
    </w:p>
    <w:p w:rsidR="001820D5" w:rsidRDefault="001820D5" w:rsidP="002A1783">
      <w:pPr>
        <w:pStyle w:val="Prrafodelista"/>
        <w:ind w:left="0"/>
        <w:jc w:val="both"/>
        <w:rPr>
          <w:rFonts w:ascii="Arial" w:hAnsi="Arial" w:cs="Arial"/>
          <w:sz w:val="18"/>
          <w:szCs w:val="18"/>
        </w:rPr>
      </w:pPr>
      <w:r>
        <w:rPr>
          <w:rFonts w:ascii="Arial" w:hAnsi="Arial" w:cs="Arial"/>
          <w:b/>
          <w:i/>
          <w:sz w:val="18"/>
          <w:szCs w:val="18"/>
        </w:rPr>
        <w:t>Fuente:</w:t>
      </w:r>
      <w:r>
        <w:rPr>
          <w:rFonts w:ascii="Arial" w:hAnsi="Arial" w:cs="Arial"/>
          <w:sz w:val="18"/>
          <w:szCs w:val="18"/>
        </w:rPr>
        <w:t xml:space="preserve"> </w:t>
      </w:r>
      <w:r w:rsidRPr="00C239C6">
        <w:rPr>
          <w:rFonts w:ascii="Arial" w:hAnsi="Arial" w:cs="Arial"/>
          <w:b/>
          <w:sz w:val="18"/>
          <w:szCs w:val="18"/>
        </w:rPr>
        <w:t>INEC</w:t>
      </w:r>
      <w:r>
        <w:rPr>
          <w:rFonts w:ascii="Arial" w:hAnsi="Arial" w:cs="Arial"/>
          <w:b/>
          <w:sz w:val="18"/>
          <w:szCs w:val="18"/>
        </w:rPr>
        <w:t xml:space="preserve"> </w:t>
      </w:r>
      <w:r>
        <w:rPr>
          <w:rFonts w:ascii="Arial" w:hAnsi="Arial" w:cs="Arial"/>
          <w:sz w:val="18"/>
          <w:szCs w:val="18"/>
        </w:rPr>
        <w:t xml:space="preserve">(2010), Base de Datos del </w:t>
      </w:r>
      <w:r w:rsidRPr="00C239C6">
        <w:rPr>
          <w:rFonts w:ascii="Arial" w:hAnsi="Arial" w:cs="Arial"/>
          <w:sz w:val="18"/>
          <w:szCs w:val="18"/>
        </w:rPr>
        <w:t>VII</w:t>
      </w:r>
      <w:r>
        <w:rPr>
          <w:rFonts w:ascii="Arial" w:hAnsi="Arial" w:cs="Arial"/>
          <w:sz w:val="18"/>
          <w:szCs w:val="18"/>
        </w:rPr>
        <w:t xml:space="preserve"> Censo de Población y VI de Vivienda.</w:t>
      </w:r>
    </w:p>
    <w:p w:rsidR="001820D5" w:rsidRPr="001438A1" w:rsidRDefault="001820D5" w:rsidP="002A1783">
      <w:pPr>
        <w:pStyle w:val="Prrafodelista"/>
        <w:spacing w:line="480" w:lineRule="auto"/>
        <w:ind w:left="0"/>
        <w:jc w:val="both"/>
        <w:rPr>
          <w:rFonts w:ascii="Arial" w:hAnsi="Arial" w:cs="Arial"/>
          <w:lang w:val="en-US"/>
        </w:rPr>
      </w:pPr>
      <w:r w:rsidRPr="001438A1">
        <w:rPr>
          <w:rFonts w:ascii="Arial" w:hAnsi="Arial" w:cs="Arial"/>
          <w:b/>
          <w:i/>
          <w:sz w:val="18"/>
          <w:szCs w:val="18"/>
          <w:lang w:val="en-US"/>
        </w:rPr>
        <w:t>Elaborado por:</w:t>
      </w:r>
      <w:r w:rsidRPr="001438A1">
        <w:rPr>
          <w:rFonts w:ascii="Arial" w:hAnsi="Arial" w:cs="Arial"/>
          <w:sz w:val="18"/>
          <w:szCs w:val="18"/>
          <w:lang w:val="en-US"/>
        </w:rPr>
        <w:t xml:space="preserve"> Katherine Loor Valeriano</w:t>
      </w:r>
    </w:p>
    <w:tbl>
      <w:tblPr>
        <w:tblStyle w:val="Tablaconcuadrcula"/>
        <w:tblW w:w="8222" w:type="dxa"/>
        <w:jc w:val="center"/>
        <w:tblInd w:w="10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8222"/>
      </w:tblGrid>
      <w:tr w:rsidR="001820D5" w:rsidRPr="00840530" w:rsidTr="00902050">
        <w:trPr>
          <w:trHeight w:val="4139"/>
          <w:jc w:val="center"/>
        </w:trPr>
        <w:tc>
          <w:tcPr>
            <w:tcW w:w="8222" w:type="dxa"/>
          </w:tcPr>
          <w:p w:rsidR="001820D5" w:rsidRPr="00840530" w:rsidRDefault="001820D5" w:rsidP="00902050">
            <w:pPr>
              <w:rPr>
                <w:rFonts w:ascii="Arial" w:hAnsi="Arial" w:cs="Arial"/>
                <w:sz w:val="16"/>
                <w:szCs w:val="16"/>
              </w:rPr>
            </w:pPr>
          </w:p>
          <w:p w:rsidR="001820D5" w:rsidRPr="00840530" w:rsidRDefault="001820D5" w:rsidP="00902050">
            <w:pPr>
              <w:rPr>
                <w:rFonts w:ascii="Arial" w:hAnsi="Arial" w:cs="Arial"/>
                <w:b/>
                <w:sz w:val="16"/>
                <w:szCs w:val="16"/>
              </w:rPr>
            </w:pPr>
            <w:r>
              <w:rPr>
                <w:rFonts w:ascii="Arial" w:hAnsi="Arial" w:cs="Arial"/>
                <w:b/>
                <w:sz w:val="16"/>
                <w:szCs w:val="16"/>
              </w:rPr>
              <w:t>Tabla</w:t>
            </w:r>
            <w:r w:rsidRPr="00840530">
              <w:rPr>
                <w:rFonts w:ascii="Arial" w:hAnsi="Arial" w:cs="Arial"/>
                <w:b/>
                <w:sz w:val="16"/>
                <w:szCs w:val="16"/>
              </w:rPr>
              <w:t xml:space="preserve"> </w:t>
            </w:r>
            <w:r>
              <w:rPr>
                <w:rFonts w:ascii="Arial" w:hAnsi="Arial" w:cs="Arial"/>
                <w:b/>
                <w:sz w:val="16"/>
                <w:szCs w:val="16"/>
              </w:rPr>
              <w:t>D.3</w:t>
            </w:r>
          </w:p>
          <w:p w:rsidR="001820D5" w:rsidRDefault="001820D5" w:rsidP="00902050">
            <w:pPr>
              <w:rPr>
                <w:rFonts w:ascii="Arial" w:hAnsi="Arial" w:cs="Arial"/>
                <w:i/>
                <w:sz w:val="16"/>
                <w:szCs w:val="16"/>
              </w:rPr>
            </w:pPr>
            <w:r>
              <w:rPr>
                <w:rFonts w:ascii="Arial" w:hAnsi="Arial" w:cs="Arial"/>
                <w:i/>
                <w:sz w:val="16"/>
                <w:szCs w:val="16"/>
              </w:rPr>
              <w:t xml:space="preserve">Total de </w:t>
            </w:r>
            <w:r w:rsidRPr="002D208D">
              <w:rPr>
                <w:rFonts w:ascii="Arial" w:hAnsi="Arial" w:cs="Arial"/>
                <w:b/>
                <w:i/>
                <w:sz w:val="18"/>
                <w:szCs w:val="18"/>
              </w:rPr>
              <w:t xml:space="preserve">Inmigrantes </w:t>
            </w:r>
            <w:r>
              <w:rPr>
                <w:rFonts w:ascii="Arial" w:hAnsi="Arial" w:cs="Arial"/>
                <w:b/>
                <w:i/>
                <w:sz w:val="18"/>
                <w:szCs w:val="18"/>
              </w:rPr>
              <w:t>estadounidenses</w:t>
            </w:r>
            <w:r>
              <w:rPr>
                <w:rFonts w:ascii="Arial" w:hAnsi="Arial" w:cs="Arial"/>
                <w:i/>
                <w:sz w:val="16"/>
                <w:szCs w:val="16"/>
              </w:rPr>
              <w:t xml:space="preserve"> por Provincia de residencia habitual</w:t>
            </w:r>
          </w:p>
          <w:p w:rsidR="001820D5" w:rsidRDefault="001820D5" w:rsidP="00902050">
            <w:pPr>
              <w:rPr>
                <w:rFonts w:ascii="Arial" w:hAnsi="Arial" w:cs="Arial"/>
                <w:i/>
                <w:sz w:val="10"/>
                <w:szCs w:val="10"/>
              </w:rPr>
            </w:pPr>
          </w:p>
          <w:tbl>
            <w:tblPr>
              <w:tblW w:w="7370" w:type="dxa"/>
              <w:jc w:val="center"/>
              <w:tblCellMar>
                <w:left w:w="70" w:type="dxa"/>
                <w:right w:w="70" w:type="dxa"/>
              </w:tblCellMar>
              <w:tblLook w:val="04A0" w:firstRow="1" w:lastRow="0" w:firstColumn="1" w:lastColumn="0" w:noHBand="0" w:noVBand="1"/>
            </w:tblPr>
            <w:tblGrid>
              <w:gridCol w:w="2268"/>
              <w:gridCol w:w="1417"/>
              <w:gridCol w:w="2268"/>
              <w:gridCol w:w="1417"/>
            </w:tblGrid>
            <w:tr w:rsidR="001820D5" w:rsidRPr="00495FF0" w:rsidTr="00902050">
              <w:trPr>
                <w:trHeight w:val="567"/>
                <w:jc w:val="center"/>
              </w:trPr>
              <w:tc>
                <w:tcPr>
                  <w:tcW w:w="2268" w:type="dxa"/>
                  <w:tcBorders>
                    <w:top w:val="single" w:sz="4" w:space="0" w:color="auto"/>
                    <w:left w:val="nil"/>
                    <w:bottom w:val="single" w:sz="4" w:space="0" w:color="auto"/>
                    <w:right w:val="nil"/>
                  </w:tcBorders>
                  <w:shd w:val="clear" w:color="auto" w:fill="auto"/>
                  <w:vAlign w:val="center"/>
                  <w:hideMark/>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Provincia de residencia habitual</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Frecuencia Absoluta</w:t>
                  </w:r>
                </w:p>
              </w:tc>
              <w:tc>
                <w:tcPr>
                  <w:tcW w:w="2268" w:type="dxa"/>
                  <w:tcBorders>
                    <w:top w:val="single" w:sz="4" w:space="0" w:color="auto"/>
                    <w:left w:val="single" w:sz="4" w:space="0" w:color="auto"/>
                    <w:bottom w:val="single" w:sz="4" w:space="0" w:color="auto"/>
                    <w:right w:val="nil"/>
                  </w:tcBorders>
                  <w:vAlign w:val="center"/>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Provincia de residencia habitual</w:t>
                  </w:r>
                </w:p>
              </w:tc>
              <w:tc>
                <w:tcPr>
                  <w:tcW w:w="1417" w:type="dxa"/>
                  <w:tcBorders>
                    <w:top w:val="single" w:sz="4" w:space="0" w:color="auto"/>
                    <w:left w:val="nil"/>
                    <w:bottom w:val="single" w:sz="4" w:space="0" w:color="auto"/>
                    <w:right w:val="nil"/>
                  </w:tcBorders>
                  <w:vAlign w:val="center"/>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Frecuencia Absoluta</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Azuay</w:t>
                  </w:r>
                </w:p>
              </w:tc>
              <w:tc>
                <w:tcPr>
                  <w:tcW w:w="1417" w:type="dxa"/>
                  <w:tcBorders>
                    <w:top w:val="nil"/>
                    <w:left w:val="nil"/>
                    <w:bottom w:val="nil"/>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3272</w:t>
                  </w:r>
                </w:p>
              </w:tc>
              <w:tc>
                <w:tcPr>
                  <w:tcW w:w="2268" w:type="dxa"/>
                  <w:tcBorders>
                    <w:top w:val="nil"/>
                    <w:left w:val="single" w:sz="4" w:space="0" w:color="auto"/>
                    <w:bottom w:val="nil"/>
                    <w:right w:val="nil"/>
                  </w:tcBorders>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Morona Santiago</w:t>
                  </w:r>
                </w:p>
              </w:tc>
              <w:tc>
                <w:tcPr>
                  <w:tcW w:w="1417" w:type="dxa"/>
                  <w:tcBorders>
                    <w:top w:val="nil"/>
                    <w:left w:val="nil"/>
                    <w:bottom w:val="nil"/>
                    <w:right w:val="nil"/>
                  </w:tcBorders>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323</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Bolívar</w:t>
                  </w:r>
                </w:p>
              </w:tc>
              <w:tc>
                <w:tcPr>
                  <w:tcW w:w="1417" w:type="dxa"/>
                  <w:tcBorders>
                    <w:top w:val="nil"/>
                    <w:left w:val="nil"/>
                    <w:bottom w:val="nil"/>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9</w:t>
                  </w:r>
                </w:p>
              </w:tc>
              <w:tc>
                <w:tcPr>
                  <w:tcW w:w="2268" w:type="dxa"/>
                  <w:tcBorders>
                    <w:top w:val="nil"/>
                    <w:left w:val="single" w:sz="4" w:space="0" w:color="auto"/>
                    <w:bottom w:val="nil"/>
                    <w:right w:val="nil"/>
                  </w:tcBorders>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Napo</w:t>
                  </w:r>
                </w:p>
              </w:tc>
              <w:tc>
                <w:tcPr>
                  <w:tcW w:w="1417" w:type="dxa"/>
                  <w:tcBorders>
                    <w:top w:val="nil"/>
                    <w:left w:val="nil"/>
                    <w:bottom w:val="nil"/>
                    <w:right w:val="nil"/>
                  </w:tcBorders>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40</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Cañar</w:t>
                  </w:r>
                </w:p>
              </w:tc>
              <w:tc>
                <w:tcPr>
                  <w:tcW w:w="1417" w:type="dxa"/>
                  <w:tcBorders>
                    <w:top w:val="nil"/>
                    <w:left w:val="nil"/>
                    <w:bottom w:val="nil"/>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787</w:t>
                  </w:r>
                </w:p>
              </w:tc>
              <w:tc>
                <w:tcPr>
                  <w:tcW w:w="2268" w:type="dxa"/>
                  <w:tcBorders>
                    <w:top w:val="nil"/>
                    <w:left w:val="single" w:sz="4" w:space="0" w:color="auto"/>
                    <w:bottom w:val="nil"/>
                    <w:right w:val="nil"/>
                  </w:tcBorders>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Pastaza</w:t>
                  </w:r>
                </w:p>
              </w:tc>
              <w:tc>
                <w:tcPr>
                  <w:tcW w:w="1417" w:type="dxa"/>
                  <w:tcBorders>
                    <w:top w:val="nil"/>
                    <w:left w:val="nil"/>
                    <w:bottom w:val="nil"/>
                    <w:right w:val="nil"/>
                  </w:tcBorders>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142</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Carchi</w:t>
                  </w:r>
                </w:p>
              </w:tc>
              <w:tc>
                <w:tcPr>
                  <w:tcW w:w="1417" w:type="dxa"/>
                  <w:tcBorders>
                    <w:top w:val="nil"/>
                    <w:left w:val="nil"/>
                    <w:bottom w:val="nil"/>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13</w:t>
                  </w:r>
                </w:p>
              </w:tc>
              <w:tc>
                <w:tcPr>
                  <w:tcW w:w="2268" w:type="dxa"/>
                  <w:tcBorders>
                    <w:top w:val="nil"/>
                    <w:left w:val="single" w:sz="4" w:space="0" w:color="auto"/>
                    <w:bottom w:val="nil"/>
                    <w:right w:val="nil"/>
                  </w:tcBorders>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Pichincha</w:t>
                  </w:r>
                </w:p>
              </w:tc>
              <w:tc>
                <w:tcPr>
                  <w:tcW w:w="1417" w:type="dxa"/>
                  <w:tcBorders>
                    <w:top w:val="nil"/>
                    <w:left w:val="nil"/>
                    <w:bottom w:val="nil"/>
                    <w:right w:val="nil"/>
                  </w:tcBorders>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4292</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Cotopaxi</w:t>
                  </w:r>
                </w:p>
              </w:tc>
              <w:tc>
                <w:tcPr>
                  <w:tcW w:w="1417" w:type="dxa"/>
                  <w:tcBorders>
                    <w:top w:val="nil"/>
                    <w:left w:val="nil"/>
                    <w:bottom w:val="nil"/>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59</w:t>
                  </w:r>
                </w:p>
              </w:tc>
              <w:tc>
                <w:tcPr>
                  <w:tcW w:w="2268" w:type="dxa"/>
                  <w:tcBorders>
                    <w:top w:val="nil"/>
                    <w:left w:val="single" w:sz="4" w:space="0" w:color="auto"/>
                    <w:bottom w:val="nil"/>
                    <w:right w:val="nil"/>
                  </w:tcBorders>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Tungurahua</w:t>
                  </w:r>
                </w:p>
              </w:tc>
              <w:tc>
                <w:tcPr>
                  <w:tcW w:w="1417" w:type="dxa"/>
                  <w:tcBorders>
                    <w:top w:val="nil"/>
                    <w:left w:val="nil"/>
                    <w:bottom w:val="nil"/>
                    <w:right w:val="nil"/>
                  </w:tcBorders>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449</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Chimborazo</w:t>
                  </w:r>
                </w:p>
              </w:tc>
              <w:tc>
                <w:tcPr>
                  <w:tcW w:w="1417" w:type="dxa"/>
                  <w:tcBorders>
                    <w:top w:val="nil"/>
                    <w:left w:val="nil"/>
                    <w:bottom w:val="nil"/>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303</w:t>
                  </w:r>
                </w:p>
              </w:tc>
              <w:tc>
                <w:tcPr>
                  <w:tcW w:w="2268" w:type="dxa"/>
                  <w:tcBorders>
                    <w:top w:val="nil"/>
                    <w:left w:val="single" w:sz="4" w:space="0" w:color="auto"/>
                    <w:bottom w:val="nil"/>
                    <w:right w:val="nil"/>
                  </w:tcBorders>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Zamora Chinchipe</w:t>
                  </w:r>
                </w:p>
              </w:tc>
              <w:tc>
                <w:tcPr>
                  <w:tcW w:w="1417" w:type="dxa"/>
                  <w:tcBorders>
                    <w:top w:val="nil"/>
                    <w:left w:val="nil"/>
                    <w:bottom w:val="nil"/>
                    <w:right w:val="nil"/>
                  </w:tcBorders>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28</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El Oro</w:t>
                  </w:r>
                </w:p>
              </w:tc>
              <w:tc>
                <w:tcPr>
                  <w:tcW w:w="1417" w:type="dxa"/>
                  <w:tcBorders>
                    <w:top w:val="nil"/>
                    <w:left w:val="nil"/>
                    <w:bottom w:val="nil"/>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235</w:t>
                  </w:r>
                </w:p>
              </w:tc>
              <w:tc>
                <w:tcPr>
                  <w:tcW w:w="2268" w:type="dxa"/>
                  <w:tcBorders>
                    <w:top w:val="nil"/>
                    <w:left w:val="single" w:sz="4" w:space="0" w:color="auto"/>
                    <w:bottom w:val="nil"/>
                    <w:right w:val="nil"/>
                  </w:tcBorders>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Galápagos</w:t>
                  </w:r>
                </w:p>
              </w:tc>
              <w:tc>
                <w:tcPr>
                  <w:tcW w:w="1417" w:type="dxa"/>
                  <w:tcBorders>
                    <w:top w:val="nil"/>
                    <w:left w:val="nil"/>
                    <w:bottom w:val="nil"/>
                    <w:right w:val="nil"/>
                  </w:tcBorders>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70</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Esmeraldas</w:t>
                  </w:r>
                </w:p>
              </w:tc>
              <w:tc>
                <w:tcPr>
                  <w:tcW w:w="1417" w:type="dxa"/>
                  <w:tcBorders>
                    <w:top w:val="nil"/>
                    <w:left w:val="nil"/>
                    <w:bottom w:val="nil"/>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79</w:t>
                  </w:r>
                </w:p>
              </w:tc>
              <w:tc>
                <w:tcPr>
                  <w:tcW w:w="2268" w:type="dxa"/>
                  <w:tcBorders>
                    <w:top w:val="nil"/>
                    <w:left w:val="single" w:sz="4" w:space="0" w:color="auto"/>
                    <w:bottom w:val="nil"/>
                    <w:right w:val="nil"/>
                  </w:tcBorders>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Sucumbíos</w:t>
                  </w:r>
                </w:p>
              </w:tc>
              <w:tc>
                <w:tcPr>
                  <w:tcW w:w="1417" w:type="dxa"/>
                  <w:tcBorders>
                    <w:top w:val="nil"/>
                    <w:left w:val="nil"/>
                    <w:bottom w:val="nil"/>
                    <w:right w:val="nil"/>
                  </w:tcBorders>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14</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Guayas</w:t>
                  </w:r>
                </w:p>
              </w:tc>
              <w:tc>
                <w:tcPr>
                  <w:tcW w:w="1417" w:type="dxa"/>
                  <w:tcBorders>
                    <w:top w:val="nil"/>
                    <w:left w:val="nil"/>
                    <w:bottom w:val="nil"/>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3237</w:t>
                  </w:r>
                </w:p>
              </w:tc>
              <w:tc>
                <w:tcPr>
                  <w:tcW w:w="2268" w:type="dxa"/>
                  <w:tcBorders>
                    <w:top w:val="nil"/>
                    <w:left w:val="single" w:sz="4" w:space="0" w:color="auto"/>
                    <w:bottom w:val="nil"/>
                    <w:right w:val="nil"/>
                  </w:tcBorders>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Orellana</w:t>
                  </w:r>
                </w:p>
              </w:tc>
              <w:tc>
                <w:tcPr>
                  <w:tcW w:w="1417" w:type="dxa"/>
                  <w:tcBorders>
                    <w:top w:val="nil"/>
                    <w:left w:val="nil"/>
                    <w:bottom w:val="nil"/>
                    <w:right w:val="nil"/>
                  </w:tcBorders>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10</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Imbabura</w:t>
                  </w:r>
                </w:p>
              </w:tc>
              <w:tc>
                <w:tcPr>
                  <w:tcW w:w="1417" w:type="dxa"/>
                  <w:tcBorders>
                    <w:top w:val="nil"/>
                    <w:left w:val="nil"/>
                    <w:bottom w:val="nil"/>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340</w:t>
                  </w:r>
                </w:p>
              </w:tc>
              <w:tc>
                <w:tcPr>
                  <w:tcW w:w="2268" w:type="dxa"/>
                  <w:tcBorders>
                    <w:top w:val="nil"/>
                    <w:left w:val="single" w:sz="4" w:space="0" w:color="auto"/>
                    <w:bottom w:val="nil"/>
                    <w:right w:val="nil"/>
                  </w:tcBorders>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Santo Domingo</w:t>
                  </w:r>
                </w:p>
              </w:tc>
              <w:tc>
                <w:tcPr>
                  <w:tcW w:w="1417" w:type="dxa"/>
                  <w:tcBorders>
                    <w:top w:val="nil"/>
                    <w:left w:val="nil"/>
                    <w:bottom w:val="nil"/>
                    <w:right w:val="nil"/>
                  </w:tcBorders>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120</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Loja</w:t>
                  </w:r>
                </w:p>
              </w:tc>
              <w:tc>
                <w:tcPr>
                  <w:tcW w:w="1417" w:type="dxa"/>
                  <w:tcBorders>
                    <w:top w:val="nil"/>
                    <w:left w:val="nil"/>
                    <w:bottom w:val="nil"/>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317</w:t>
                  </w:r>
                </w:p>
              </w:tc>
              <w:tc>
                <w:tcPr>
                  <w:tcW w:w="2268" w:type="dxa"/>
                  <w:tcBorders>
                    <w:top w:val="nil"/>
                    <w:left w:val="single" w:sz="4" w:space="0" w:color="auto"/>
                    <w:bottom w:val="nil"/>
                    <w:right w:val="nil"/>
                  </w:tcBorders>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Santa Elena</w:t>
                  </w:r>
                </w:p>
              </w:tc>
              <w:tc>
                <w:tcPr>
                  <w:tcW w:w="1417" w:type="dxa"/>
                  <w:tcBorders>
                    <w:top w:val="nil"/>
                    <w:left w:val="nil"/>
                    <w:bottom w:val="nil"/>
                    <w:right w:val="nil"/>
                  </w:tcBorders>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151</w:t>
                  </w:r>
                </w:p>
              </w:tc>
            </w:tr>
            <w:tr w:rsidR="001820D5" w:rsidRPr="00495FF0" w:rsidTr="002A1783">
              <w:trPr>
                <w:trHeight w:val="198"/>
                <w:jc w:val="center"/>
              </w:trPr>
              <w:tc>
                <w:tcPr>
                  <w:tcW w:w="2268" w:type="dxa"/>
                  <w:tcBorders>
                    <w:top w:val="nil"/>
                    <w:left w:val="nil"/>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Los Ríos</w:t>
                  </w:r>
                </w:p>
              </w:tc>
              <w:tc>
                <w:tcPr>
                  <w:tcW w:w="1417" w:type="dxa"/>
                  <w:tcBorders>
                    <w:top w:val="nil"/>
                    <w:left w:val="nil"/>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71</w:t>
                  </w:r>
                </w:p>
              </w:tc>
              <w:tc>
                <w:tcPr>
                  <w:tcW w:w="2268" w:type="dxa"/>
                  <w:tcBorders>
                    <w:top w:val="nil"/>
                    <w:left w:val="single" w:sz="4" w:space="0" w:color="auto"/>
                    <w:right w:val="nil"/>
                  </w:tcBorders>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Zonas No Delimitadas</w:t>
                  </w:r>
                </w:p>
              </w:tc>
              <w:tc>
                <w:tcPr>
                  <w:tcW w:w="1417" w:type="dxa"/>
                  <w:tcBorders>
                    <w:top w:val="nil"/>
                    <w:left w:val="nil"/>
                    <w:right w:val="nil"/>
                  </w:tcBorders>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4</w:t>
                  </w:r>
                </w:p>
              </w:tc>
            </w:tr>
            <w:tr w:rsidR="001820D5" w:rsidRPr="00495FF0" w:rsidTr="002A1783">
              <w:trPr>
                <w:trHeight w:val="198"/>
                <w:jc w:val="center"/>
              </w:trPr>
              <w:tc>
                <w:tcPr>
                  <w:tcW w:w="2268" w:type="dxa"/>
                  <w:tcBorders>
                    <w:top w:val="nil"/>
                    <w:left w:val="nil"/>
                    <w:bottom w:val="single" w:sz="4" w:space="0" w:color="auto"/>
                    <w:right w:val="nil"/>
                  </w:tcBorders>
                  <w:shd w:val="clear" w:color="auto" w:fill="auto"/>
                  <w:vAlign w:val="center"/>
                </w:tcPr>
                <w:p w:rsidR="001820D5" w:rsidRPr="008D7563" w:rsidRDefault="001820D5" w:rsidP="002A1783">
                  <w:pPr>
                    <w:jc w:val="left"/>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Manabí</w:t>
                  </w:r>
                </w:p>
              </w:tc>
              <w:tc>
                <w:tcPr>
                  <w:tcW w:w="1417" w:type="dxa"/>
                  <w:tcBorders>
                    <w:top w:val="nil"/>
                    <w:left w:val="nil"/>
                    <w:bottom w:val="single" w:sz="4" w:space="0" w:color="auto"/>
                    <w:right w:val="single" w:sz="4" w:space="0" w:color="auto"/>
                  </w:tcBorders>
                  <w:shd w:val="clear" w:color="auto" w:fill="auto"/>
                  <w:noWrap/>
                  <w:vAlign w:val="center"/>
                </w:tcPr>
                <w:p w:rsidR="001820D5" w:rsidRPr="008D7563" w:rsidRDefault="001820D5" w:rsidP="00902050">
                  <w:pPr>
                    <w:rPr>
                      <w:rFonts w:ascii="Arial" w:eastAsia="Times New Roman" w:hAnsi="Arial" w:cs="Arial"/>
                      <w:color w:val="000000"/>
                      <w:sz w:val="16"/>
                      <w:szCs w:val="16"/>
                      <w:lang w:eastAsia="es-EC"/>
                    </w:rPr>
                  </w:pPr>
                  <w:r w:rsidRPr="008D7563">
                    <w:rPr>
                      <w:rFonts w:ascii="Arial" w:eastAsia="Times New Roman" w:hAnsi="Arial" w:cs="Arial"/>
                      <w:color w:val="000000"/>
                      <w:sz w:val="16"/>
                      <w:szCs w:val="16"/>
                      <w:lang w:eastAsia="es-EC"/>
                    </w:rPr>
                    <w:t>652</w:t>
                  </w:r>
                </w:p>
              </w:tc>
              <w:tc>
                <w:tcPr>
                  <w:tcW w:w="2268" w:type="dxa"/>
                  <w:tcBorders>
                    <w:top w:val="nil"/>
                    <w:left w:val="single" w:sz="4" w:space="0" w:color="auto"/>
                    <w:bottom w:val="single" w:sz="4" w:space="0" w:color="auto"/>
                    <w:right w:val="nil"/>
                  </w:tcBorders>
                  <w:vAlign w:val="center"/>
                </w:tcPr>
                <w:p w:rsidR="001820D5" w:rsidRPr="008D7563" w:rsidRDefault="001820D5" w:rsidP="002A1783">
                  <w:pPr>
                    <w:jc w:val="left"/>
                    <w:rPr>
                      <w:rFonts w:ascii="Arial" w:eastAsia="Times New Roman" w:hAnsi="Arial" w:cs="Arial"/>
                      <w:b/>
                      <w:bCs/>
                      <w:i/>
                      <w:iCs/>
                      <w:color w:val="000000"/>
                      <w:sz w:val="16"/>
                      <w:szCs w:val="16"/>
                      <w:lang w:eastAsia="es-EC"/>
                    </w:rPr>
                  </w:pPr>
                  <w:r w:rsidRPr="008D7563">
                    <w:rPr>
                      <w:rFonts w:ascii="Arial" w:eastAsia="Times New Roman" w:hAnsi="Arial" w:cs="Arial"/>
                      <w:b/>
                      <w:bCs/>
                      <w:i/>
                      <w:iCs/>
                      <w:color w:val="000000"/>
                      <w:sz w:val="16"/>
                      <w:szCs w:val="16"/>
                      <w:lang w:eastAsia="es-EC"/>
                    </w:rPr>
                    <w:t>Total</w:t>
                  </w:r>
                </w:p>
              </w:tc>
              <w:tc>
                <w:tcPr>
                  <w:tcW w:w="1417" w:type="dxa"/>
                  <w:tcBorders>
                    <w:top w:val="nil"/>
                    <w:left w:val="nil"/>
                    <w:bottom w:val="single" w:sz="4" w:space="0" w:color="auto"/>
                    <w:right w:val="nil"/>
                  </w:tcBorders>
                  <w:vAlign w:val="center"/>
                </w:tcPr>
                <w:p w:rsidR="001820D5" w:rsidRPr="008D7563" w:rsidRDefault="001820D5" w:rsidP="00902050">
                  <w:pPr>
                    <w:rPr>
                      <w:rFonts w:ascii="Arial" w:eastAsia="Times New Roman" w:hAnsi="Arial" w:cs="Arial"/>
                      <w:b/>
                      <w:bCs/>
                      <w:i/>
                      <w:iCs/>
                      <w:color w:val="000000"/>
                      <w:sz w:val="16"/>
                      <w:szCs w:val="16"/>
                      <w:lang w:eastAsia="es-EC"/>
                    </w:rPr>
                  </w:pPr>
                  <w:r w:rsidRPr="008D7563">
                    <w:rPr>
                      <w:rFonts w:ascii="Arial" w:eastAsia="Times New Roman" w:hAnsi="Arial" w:cs="Arial"/>
                      <w:b/>
                      <w:bCs/>
                      <w:i/>
                      <w:iCs/>
                      <w:color w:val="000000"/>
                      <w:sz w:val="16"/>
                      <w:szCs w:val="16"/>
                      <w:lang w:eastAsia="es-EC"/>
                    </w:rPr>
                    <w:t>15017</w:t>
                  </w:r>
                </w:p>
              </w:tc>
            </w:tr>
          </w:tbl>
          <w:p w:rsidR="001820D5" w:rsidRDefault="001820D5" w:rsidP="00902050">
            <w:pPr>
              <w:rPr>
                <w:rFonts w:ascii="Arial" w:hAnsi="Arial" w:cs="Arial"/>
                <w:i/>
                <w:sz w:val="10"/>
                <w:szCs w:val="10"/>
              </w:rPr>
            </w:pPr>
          </w:p>
          <w:p w:rsidR="001820D5" w:rsidRPr="00840530" w:rsidRDefault="001820D5" w:rsidP="00902050">
            <w:pPr>
              <w:jc w:val="left"/>
              <w:rPr>
                <w:rFonts w:ascii="Arial" w:hAnsi="Arial" w:cs="Arial"/>
                <w:sz w:val="24"/>
                <w:szCs w:val="24"/>
              </w:rPr>
            </w:pPr>
          </w:p>
        </w:tc>
      </w:tr>
    </w:tbl>
    <w:p w:rsidR="001820D5" w:rsidRPr="007904D9" w:rsidRDefault="002A1783" w:rsidP="002A1783">
      <w:pPr>
        <w:pStyle w:val="Prrafodelista"/>
        <w:tabs>
          <w:tab w:val="left" w:pos="2760"/>
        </w:tabs>
        <w:spacing w:line="276" w:lineRule="auto"/>
        <w:ind w:left="0"/>
        <w:jc w:val="both"/>
        <w:rPr>
          <w:rFonts w:ascii="Arial" w:hAnsi="Arial" w:cs="Arial"/>
          <w:sz w:val="18"/>
          <w:szCs w:val="18"/>
        </w:rPr>
      </w:pPr>
      <w:r>
        <w:rPr>
          <w:rFonts w:ascii="Arial" w:hAnsi="Arial" w:cs="Arial"/>
          <w:sz w:val="18"/>
          <w:szCs w:val="18"/>
        </w:rPr>
        <w:tab/>
      </w:r>
    </w:p>
    <w:p w:rsidR="001820D5" w:rsidRDefault="001820D5" w:rsidP="002A1783">
      <w:pPr>
        <w:pStyle w:val="Prrafodelista"/>
        <w:spacing w:line="276" w:lineRule="auto"/>
        <w:ind w:left="0"/>
        <w:jc w:val="both"/>
        <w:rPr>
          <w:rFonts w:ascii="Arial" w:hAnsi="Arial" w:cs="Arial"/>
          <w:sz w:val="18"/>
          <w:szCs w:val="18"/>
        </w:rPr>
      </w:pPr>
      <w:r>
        <w:rPr>
          <w:rFonts w:ascii="Arial" w:hAnsi="Arial" w:cs="Arial"/>
          <w:b/>
          <w:i/>
          <w:sz w:val="18"/>
          <w:szCs w:val="18"/>
        </w:rPr>
        <w:t>Fuente:</w:t>
      </w:r>
      <w:r>
        <w:rPr>
          <w:rFonts w:ascii="Arial" w:hAnsi="Arial" w:cs="Arial"/>
          <w:sz w:val="18"/>
          <w:szCs w:val="18"/>
        </w:rPr>
        <w:t xml:space="preserve"> </w:t>
      </w:r>
      <w:r w:rsidRPr="00C239C6">
        <w:rPr>
          <w:rFonts w:ascii="Arial" w:hAnsi="Arial" w:cs="Arial"/>
          <w:b/>
          <w:sz w:val="18"/>
          <w:szCs w:val="18"/>
        </w:rPr>
        <w:t>INEC</w:t>
      </w:r>
      <w:r>
        <w:rPr>
          <w:rFonts w:ascii="Arial" w:hAnsi="Arial" w:cs="Arial"/>
          <w:b/>
          <w:sz w:val="18"/>
          <w:szCs w:val="18"/>
        </w:rPr>
        <w:t xml:space="preserve"> </w:t>
      </w:r>
      <w:r>
        <w:rPr>
          <w:rFonts w:ascii="Arial" w:hAnsi="Arial" w:cs="Arial"/>
          <w:sz w:val="18"/>
          <w:szCs w:val="18"/>
        </w:rPr>
        <w:t xml:space="preserve">(2010), Base de Datos del </w:t>
      </w:r>
      <w:r w:rsidRPr="00C239C6">
        <w:rPr>
          <w:rFonts w:ascii="Arial" w:hAnsi="Arial" w:cs="Arial"/>
          <w:sz w:val="18"/>
          <w:szCs w:val="18"/>
        </w:rPr>
        <w:t>VII</w:t>
      </w:r>
      <w:r>
        <w:rPr>
          <w:rFonts w:ascii="Arial" w:hAnsi="Arial" w:cs="Arial"/>
          <w:sz w:val="18"/>
          <w:szCs w:val="18"/>
        </w:rPr>
        <w:t xml:space="preserve"> Censo de Población y VI de Vivienda.</w:t>
      </w:r>
    </w:p>
    <w:p w:rsidR="001820D5" w:rsidRDefault="001820D5" w:rsidP="002A1783">
      <w:pPr>
        <w:pStyle w:val="Prrafodelista"/>
        <w:spacing w:line="276" w:lineRule="auto"/>
        <w:ind w:left="0"/>
        <w:jc w:val="both"/>
        <w:rPr>
          <w:rFonts w:ascii="Arial" w:hAnsi="Arial" w:cs="Arial"/>
          <w:sz w:val="18"/>
          <w:szCs w:val="18"/>
          <w:lang w:val="en-US"/>
        </w:rPr>
      </w:pPr>
      <w:r w:rsidRPr="001438A1">
        <w:rPr>
          <w:rFonts w:ascii="Arial" w:hAnsi="Arial" w:cs="Arial"/>
          <w:b/>
          <w:i/>
          <w:sz w:val="18"/>
          <w:szCs w:val="18"/>
          <w:lang w:val="en-US"/>
        </w:rPr>
        <w:t>Elaborado por:</w:t>
      </w:r>
      <w:r w:rsidRPr="001438A1">
        <w:rPr>
          <w:rFonts w:ascii="Arial" w:hAnsi="Arial" w:cs="Arial"/>
          <w:sz w:val="18"/>
          <w:szCs w:val="18"/>
          <w:lang w:val="en-US"/>
        </w:rPr>
        <w:t xml:space="preserve"> Katherine Loor Valeriano</w:t>
      </w:r>
    </w:p>
    <w:p w:rsidR="001820D5" w:rsidRPr="004D02D2" w:rsidRDefault="001820D5" w:rsidP="001820D5">
      <w:pPr>
        <w:pStyle w:val="Prrafodelista"/>
        <w:spacing w:line="480" w:lineRule="auto"/>
        <w:ind w:left="567"/>
        <w:jc w:val="both"/>
        <w:rPr>
          <w:rFonts w:ascii="Arial" w:hAnsi="Arial" w:cs="Arial"/>
          <w:lang w:val="en-US"/>
        </w:rPr>
      </w:pPr>
    </w:p>
    <w:tbl>
      <w:tblPr>
        <w:tblStyle w:val="Tablaconcuadrcula"/>
        <w:tblW w:w="8222" w:type="dxa"/>
        <w:jc w:val="center"/>
        <w:tblInd w:w="10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8222"/>
      </w:tblGrid>
      <w:tr w:rsidR="001820D5" w:rsidRPr="00840530" w:rsidTr="00902050">
        <w:trPr>
          <w:trHeight w:val="4139"/>
          <w:jc w:val="center"/>
        </w:trPr>
        <w:tc>
          <w:tcPr>
            <w:tcW w:w="8222" w:type="dxa"/>
          </w:tcPr>
          <w:p w:rsidR="001820D5" w:rsidRPr="00840530" w:rsidRDefault="001820D5" w:rsidP="00902050">
            <w:pPr>
              <w:rPr>
                <w:rFonts w:ascii="Arial" w:hAnsi="Arial" w:cs="Arial"/>
                <w:sz w:val="16"/>
                <w:szCs w:val="16"/>
              </w:rPr>
            </w:pPr>
          </w:p>
          <w:p w:rsidR="001820D5" w:rsidRPr="00840530" w:rsidRDefault="001820D5" w:rsidP="00902050">
            <w:pPr>
              <w:rPr>
                <w:rFonts w:ascii="Arial" w:hAnsi="Arial" w:cs="Arial"/>
                <w:b/>
                <w:sz w:val="16"/>
                <w:szCs w:val="16"/>
              </w:rPr>
            </w:pPr>
            <w:r>
              <w:rPr>
                <w:rFonts w:ascii="Arial" w:hAnsi="Arial" w:cs="Arial"/>
                <w:b/>
                <w:sz w:val="16"/>
                <w:szCs w:val="16"/>
              </w:rPr>
              <w:t>Tabla</w:t>
            </w:r>
            <w:r w:rsidRPr="00840530">
              <w:rPr>
                <w:rFonts w:ascii="Arial" w:hAnsi="Arial" w:cs="Arial"/>
                <w:b/>
                <w:sz w:val="16"/>
                <w:szCs w:val="16"/>
              </w:rPr>
              <w:t xml:space="preserve"> </w:t>
            </w:r>
            <w:r>
              <w:rPr>
                <w:rFonts w:ascii="Arial" w:hAnsi="Arial" w:cs="Arial"/>
                <w:b/>
                <w:sz w:val="16"/>
                <w:szCs w:val="16"/>
              </w:rPr>
              <w:t>D.4</w:t>
            </w:r>
          </w:p>
          <w:p w:rsidR="001820D5" w:rsidRDefault="001820D5" w:rsidP="00902050">
            <w:pPr>
              <w:rPr>
                <w:rFonts w:ascii="Arial" w:hAnsi="Arial" w:cs="Arial"/>
                <w:i/>
                <w:sz w:val="16"/>
                <w:szCs w:val="16"/>
              </w:rPr>
            </w:pPr>
            <w:r>
              <w:rPr>
                <w:rFonts w:ascii="Arial" w:hAnsi="Arial" w:cs="Arial"/>
                <w:i/>
                <w:sz w:val="16"/>
                <w:szCs w:val="16"/>
              </w:rPr>
              <w:t xml:space="preserve">Total de </w:t>
            </w:r>
            <w:r w:rsidRPr="002D208D">
              <w:rPr>
                <w:rFonts w:ascii="Arial" w:hAnsi="Arial" w:cs="Arial"/>
                <w:b/>
                <w:i/>
                <w:sz w:val="18"/>
                <w:szCs w:val="18"/>
              </w:rPr>
              <w:t xml:space="preserve">Inmigrantes </w:t>
            </w:r>
            <w:r>
              <w:rPr>
                <w:rFonts w:ascii="Arial" w:hAnsi="Arial" w:cs="Arial"/>
                <w:b/>
                <w:i/>
                <w:sz w:val="18"/>
                <w:szCs w:val="18"/>
              </w:rPr>
              <w:t>españoles</w:t>
            </w:r>
            <w:r>
              <w:rPr>
                <w:rFonts w:ascii="Arial" w:hAnsi="Arial" w:cs="Arial"/>
                <w:i/>
                <w:sz w:val="16"/>
                <w:szCs w:val="16"/>
              </w:rPr>
              <w:t xml:space="preserve"> por Provincia de residencia habitual</w:t>
            </w:r>
          </w:p>
          <w:p w:rsidR="001820D5" w:rsidRDefault="001820D5" w:rsidP="00902050">
            <w:pPr>
              <w:rPr>
                <w:rFonts w:ascii="Arial" w:hAnsi="Arial" w:cs="Arial"/>
                <w:i/>
                <w:sz w:val="10"/>
                <w:szCs w:val="10"/>
              </w:rPr>
            </w:pPr>
          </w:p>
          <w:tbl>
            <w:tblPr>
              <w:tblW w:w="7370" w:type="dxa"/>
              <w:jc w:val="center"/>
              <w:tblCellMar>
                <w:left w:w="70" w:type="dxa"/>
                <w:right w:w="70" w:type="dxa"/>
              </w:tblCellMar>
              <w:tblLook w:val="04A0" w:firstRow="1" w:lastRow="0" w:firstColumn="1" w:lastColumn="0" w:noHBand="0" w:noVBand="1"/>
            </w:tblPr>
            <w:tblGrid>
              <w:gridCol w:w="2268"/>
              <w:gridCol w:w="1417"/>
              <w:gridCol w:w="2268"/>
              <w:gridCol w:w="1417"/>
            </w:tblGrid>
            <w:tr w:rsidR="001820D5" w:rsidRPr="00495FF0" w:rsidTr="00902050">
              <w:trPr>
                <w:trHeight w:val="567"/>
                <w:jc w:val="center"/>
              </w:trPr>
              <w:tc>
                <w:tcPr>
                  <w:tcW w:w="2268" w:type="dxa"/>
                  <w:tcBorders>
                    <w:top w:val="single" w:sz="4" w:space="0" w:color="auto"/>
                    <w:left w:val="nil"/>
                    <w:bottom w:val="single" w:sz="4" w:space="0" w:color="auto"/>
                    <w:right w:val="nil"/>
                  </w:tcBorders>
                  <w:shd w:val="clear" w:color="auto" w:fill="auto"/>
                  <w:vAlign w:val="center"/>
                  <w:hideMark/>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Provincia de residencia habitual</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Frecuencia Absoluta</w:t>
                  </w:r>
                </w:p>
              </w:tc>
              <w:tc>
                <w:tcPr>
                  <w:tcW w:w="2268" w:type="dxa"/>
                  <w:tcBorders>
                    <w:top w:val="single" w:sz="4" w:space="0" w:color="auto"/>
                    <w:left w:val="single" w:sz="4" w:space="0" w:color="auto"/>
                    <w:bottom w:val="single" w:sz="4" w:space="0" w:color="auto"/>
                    <w:right w:val="nil"/>
                  </w:tcBorders>
                  <w:vAlign w:val="center"/>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Provincia de residencia habitual</w:t>
                  </w:r>
                </w:p>
              </w:tc>
              <w:tc>
                <w:tcPr>
                  <w:tcW w:w="1417" w:type="dxa"/>
                  <w:tcBorders>
                    <w:top w:val="single" w:sz="4" w:space="0" w:color="auto"/>
                    <w:left w:val="nil"/>
                    <w:bottom w:val="single" w:sz="4" w:space="0" w:color="auto"/>
                    <w:right w:val="nil"/>
                  </w:tcBorders>
                  <w:vAlign w:val="center"/>
                </w:tcPr>
                <w:p w:rsidR="001820D5" w:rsidRPr="00495FF0" w:rsidRDefault="001820D5" w:rsidP="00902050">
                  <w:pPr>
                    <w:rPr>
                      <w:rFonts w:ascii="Arial" w:eastAsia="Times New Roman" w:hAnsi="Arial" w:cs="Arial"/>
                      <w:b/>
                      <w:bCs/>
                      <w:color w:val="000000"/>
                      <w:sz w:val="16"/>
                      <w:szCs w:val="16"/>
                      <w:lang w:eastAsia="es-EC"/>
                    </w:rPr>
                  </w:pPr>
                  <w:r w:rsidRPr="00495FF0">
                    <w:rPr>
                      <w:rFonts w:ascii="Arial" w:eastAsia="Times New Roman" w:hAnsi="Arial" w:cs="Arial"/>
                      <w:b/>
                      <w:bCs/>
                      <w:color w:val="000000"/>
                      <w:sz w:val="16"/>
                      <w:szCs w:val="16"/>
                      <w:lang w:eastAsia="es-EC"/>
                    </w:rPr>
                    <w:t>Frecuencia Absoluta</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Azuay</w:t>
                  </w:r>
                </w:p>
              </w:tc>
              <w:tc>
                <w:tcPr>
                  <w:tcW w:w="1417" w:type="dxa"/>
                  <w:tcBorders>
                    <w:top w:val="nil"/>
                    <w:left w:val="nil"/>
                    <w:bottom w:val="nil"/>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503</w:t>
                  </w:r>
                </w:p>
              </w:tc>
              <w:tc>
                <w:tcPr>
                  <w:tcW w:w="2268" w:type="dxa"/>
                  <w:tcBorders>
                    <w:top w:val="nil"/>
                    <w:left w:val="single" w:sz="4" w:space="0" w:color="auto"/>
                    <w:bottom w:val="nil"/>
                    <w:right w:val="nil"/>
                  </w:tcBorders>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Morona Santiago</w:t>
                  </w:r>
                </w:p>
              </w:tc>
              <w:tc>
                <w:tcPr>
                  <w:tcW w:w="1417" w:type="dxa"/>
                  <w:tcBorders>
                    <w:top w:val="nil"/>
                    <w:left w:val="nil"/>
                    <w:bottom w:val="nil"/>
                    <w:right w:val="nil"/>
                  </w:tcBorders>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214</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Bolívar</w:t>
                  </w:r>
                </w:p>
              </w:tc>
              <w:tc>
                <w:tcPr>
                  <w:tcW w:w="1417" w:type="dxa"/>
                  <w:tcBorders>
                    <w:top w:val="nil"/>
                    <w:left w:val="nil"/>
                    <w:bottom w:val="nil"/>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67</w:t>
                  </w:r>
                </w:p>
              </w:tc>
              <w:tc>
                <w:tcPr>
                  <w:tcW w:w="2268" w:type="dxa"/>
                  <w:tcBorders>
                    <w:top w:val="nil"/>
                    <w:left w:val="single" w:sz="4" w:space="0" w:color="auto"/>
                    <w:bottom w:val="nil"/>
                    <w:right w:val="nil"/>
                  </w:tcBorders>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Napo</w:t>
                  </w:r>
                </w:p>
              </w:tc>
              <w:tc>
                <w:tcPr>
                  <w:tcW w:w="1417" w:type="dxa"/>
                  <w:tcBorders>
                    <w:top w:val="nil"/>
                    <w:left w:val="nil"/>
                    <w:bottom w:val="nil"/>
                    <w:right w:val="nil"/>
                  </w:tcBorders>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65</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Cañar</w:t>
                  </w:r>
                </w:p>
              </w:tc>
              <w:tc>
                <w:tcPr>
                  <w:tcW w:w="1417" w:type="dxa"/>
                  <w:tcBorders>
                    <w:top w:val="nil"/>
                    <w:left w:val="nil"/>
                    <w:bottom w:val="nil"/>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301</w:t>
                  </w:r>
                </w:p>
              </w:tc>
              <w:tc>
                <w:tcPr>
                  <w:tcW w:w="2268" w:type="dxa"/>
                  <w:tcBorders>
                    <w:top w:val="nil"/>
                    <w:left w:val="single" w:sz="4" w:space="0" w:color="auto"/>
                    <w:bottom w:val="nil"/>
                    <w:right w:val="nil"/>
                  </w:tcBorders>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Pastaza</w:t>
                  </w:r>
                </w:p>
              </w:tc>
              <w:tc>
                <w:tcPr>
                  <w:tcW w:w="1417" w:type="dxa"/>
                  <w:tcBorders>
                    <w:top w:val="nil"/>
                    <w:left w:val="nil"/>
                    <w:bottom w:val="nil"/>
                    <w:right w:val="nil"/>
                  </w:tcBorders>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117</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Carchi</w:t>
                  </w:r>
                </w:p>
              </w:tc>
              <w:tc>
                <w:tcPr>
                  <w:tcW w:w="1417" w:type="dxa"/>
                  <w:tcBorders>
                    <w:top w:val="nil"/>
                    <w:left w:val="nil"/>
                    <w:bottom w:val="nil"/>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33</w:t>
                  </w:r>
                </w:p>
              </w:tc>
              <w:tc>
                <w:tcPr>
                  <w:tcW w:w="2268" w:type="dxa"/>
                  <w:tcBorders>
                    <w:top w:val="nil"/>
                    <w:left w:val="single" w:sz="4" w:space="0" w:color="auto"/>
                    <w:bottom w:val="nil"/>
                    <w:right w:val="nil"/>
                  </w:tcBorders>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Pichincha</w:t>
                  </w:r>
                </w:p>
              </w:tc>
              <w:tc>
                <w:tcPr>
                  <w:tcW w:w="1417" w:type="dxa"/>
                  <w:tcBorders>
                    <w:top w:val="nil"/>
                    <w:left w:val="nil"/>
                    <w:bottom w:val="nil"/>
                    <w:right w:val="nil"/>
                  </w:tcBorders>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3872</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Cotopaxi</w:t>
                  </w:r>
                </w:p>
              </w:tc>
              <w:tc>
                <w:tcPr>
                  <w:tcW w:w="1417" w:type="dxa"/>
                  <w:tcBorders>
                    <w:top w:val="nil"/>
                    <w:left w:val="nil"/>
                    <w:bottom w:val="nil"/>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191</w:t>
                  </w:r>
                </w:p>
              </w:tc>
              <w:tc>
                <w:tcPr>
                  <w:tcW w:w="2268" w:type="dxa"/>
                  <w:tcBorders>
                    <w:top w:val="nil"/>
                    <w:left w:val="single" w:sz="4" w:space="0" w:color="auto"/>
                    <w:bottom w:val="nil"/>
                    <w:right w:val="nil"/>
                  </w:tcBorders>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Tungurahua</w:t>
                  </w:r>
                </w:p>
              </w:tc>
              <w:tc>
                <w:tcPr>
                  <w:tcW w:w="1417" w:type="dxa"/>
                  <w:tcBorders>
                    <w:top w:val="nil"/>
                    <w:left w:val="nil"/>
                    <w:bottom w:val="nil"/>
                    <w:right w:val="nil"/>
                  </w:tcBorders>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477</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Chimborazo</w:t>
                  </w:r>
                </w:p>
              </w:tc>
              <w:tc>
                <w:tcPr>
                  <w:tcW w:w="1417" w:type="dxa"/>
                  <w:tcBorders>
                    <w:top w:val="nil"/>
                    <w:left w:val="nil"/>
                    <w:bottom w:val="nil"/>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447</w:t>
                  </w:r>
                </w:p>
              </w:tc>
              <w:tc>
                <w:tcPr>
                  <w:tcW w:w="2268" w:type="dxa"/>
                  <w:tcBorders>
                    <w:top w:val="nil"/>
                    <w:left w:val="single" w:sz="4" w:space="0" w:color="auto"/>
                    <w:bottom w:val="nil"/>
                    <w:right w:val="nil"/>
                  </w:tcBorders>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Zamora Chinchipe</w:t>
                  </w:r>
                </w:p>
              </w:tc>
              <w:tc>
                <w:tcPr>
                  <w:tcW w:w="1417" w:type="dxa"/>
                  <w:tcBorders>
                    <w:top w:val="nil"/>
                    <w:left w:val="nil"/>
                    <w:bottom w:val="nil"/>
                    <w:right w:val="nil"/>
                  </w:tcBorders>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330</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El Oro</w:t>
                  </w:r>
                </w:p>
              </w:tc>
              <w:tc>
                <w:tcPr>
                  <w:tcW w:w="1417" w:type="dxa"/>
                  <w:tcBorders>
                    <w:top w:val="nil"/>
                    <w:left w:val="nil"/>
                    <w:bottom w:val="nil"/>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986</w:t>
                  </w:r>
                </w:p>
              </w:tc>
              <w:tc>
                <w:tcPr>
                  <w:tcW w:w="2268" w:type="dxa"/>
                  <w:tcBorders>
                    <w:top w:val="nil"/>
                    <w:left w:val="single" w:sz="4" w:space="0" w:color="auto"/>
                    <w:bottom w:val="nil"/>
                    <w:right w:val="nil"/>
                  </w:tcBorders>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Galápagos</w:t>
                  </w:r>
                </w:p>
              </w:tc>
              <w:tc>
                <w:tcPr>
                  <w:tcW w:w="1417" w:type="dxa"/>
                  <w:tcBorders>
                    <w:top w:val="nil"/>
                    <w:left w:val="nil"/>
                    <w:bottom w:val="nil"/>
                    <w:right w:val="nil"/>
                  </w:tcBorders>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13</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Esmeraldas</w:t>
                  </w:r>
                </w:p>
              </w:tc>
              <w:tc>
                <w:tcPr>
                  <w:tcW w:w="1417" w:type="dxa"/>
                  <w:tcBorders>
                    <w:top w:val="nil"/>
                    <w:left w:val="nil"/>
                    <w:bottom w:val="nil"/>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297</w:t>
                  </w:r>
                </w:p>
              </w:tc>
              <w:tc>
                <w:tcPr>
                  <w:tcW w:w="2268" w:type="dxa"/>
                  <w:tcBorders>
                    <w:top w:val="nil"/>
                    <w:left w:val="single" w:sz="4" w:space="0" w:color="auto"/>
                    <w:bottom w:val="nil"/>
                    <w:right w:val="nil"/>
                  </w:tcBorders>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Sucumbíos</w:t>
                  </w:r>
                </w:p>
              </w:tc>
              <w:tc>
                <w:tcPr>
                  <w:tcW w:w="1417" w:type="dxa"/>
                  <w:tcBorders>
                    <w:top w:val="nil"/>
                    <w:left w:val="nil"/>
                    <w:bottom w:val="nil"/>
                    <w:right w:val="nil"/>
                  </w:tcBorders>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74</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Guayas</w:t>
                  </w:r>
                </w:p>
              </w:tc>
              <w:tc>
                <w:tcPr>
                  <w:tcW w:w="1417" w:type="dxa"/>
                  <w:tcBorders>
                    <w:top w:val="nil"/>
                    <w:left w:val="nil"/>
                    <w:bottom w:val="nil"/>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2311</w:t>
                  </w:r>
                </w:p>
              </w:tc>
              <w:tc>
                <w:tcPr>
                  <w:tcW w:w="2268" w:type="dxa"/>
                  <w:tcBorders>
                    <w:top w:val="nil"/>
                    <w:left w:val="single" w:sz="4" w:space="0" w:color="auto"/>
                    <w:bottom w:val="nil"/>
                    <w:right w:val="nil"/>
                  </w:tcBorders>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Orellana</w:t>
                  </w:r>
                </w:p>
              </w:tc>
              <w:tc>
                <w:tcPr>
                  <w:tcW w:w="1417" w:type="dxa"/>
                  <w:tcBorders>
                    <w:top w:val="nil"/>
                    <w:left w:val="nil"/>
                    <w:bottom w:val="nil"/>
                    <w:right w:val="nil"/>
                  </w:tcBorders>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50</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Imbabura</w:t>
                  </w:r>
                </w:p>
              </w:tc>
              <w:tc>
                <w:tcPr>
                  <w:tcW w:w="1417" w:type="dxa"/>
                  <w:tcBorders>
                    <w:top w:val="nil"/>
                    <w:left w:val="nil"/>
                    <w:bottom w:val="nil"/>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410</w:t>
                  </w:r>
                </w:p>
              </w:tc>
              <w:tc>
                <w:tcPr>
                  <w:tcW w:w="2268" w:type="dxa"/>
                  <w:tcBorders>
                    <w:top w:val="nil"/>
                    <w:left w:val="single" w:sz="4" w:space="0" w:color="auto"/>
                    <w:bottom w:val="nil"/>
                    <w:right w:val="nil"/>
                  </w:tcBorders>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Santo Domingo</w:t>
                  </w:r>
                </w:p>
              </w:tc>
              <w:tc>
                <w:tcPr>
                  <w:tcW w:w="1417" w:type="dxa"/>
                  <w:tcBorders>
                    <w:top w:val="nil"/>
                    <w:left w:val="nil"/>
                    <w:bottom w:val="nil"/>
                    <w:right w:val="nil"/>
                  </w:tcBorders>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777</w:t>
                  </w:r>
                </w:p>
              </w:tc>
            </w:tr>
            <w:tr w:rsidR="001820D5" w:rsidRPr="00495FF0" w:rsidTr="002A1783">
              <w:trPr>
                <w:trHeight w:val="198"/>
                <w:jc w:val="center"/>
              </w:trPr>
              <w:tc>
                <w:tcPr>
                  <w:tcW w:w="2268" w:type="dxa"/>
                  <w:tcBorders>
                    <w:top w:val="nil"/>
                    <w:left w:val="nil"/>
                    <w:bottom w:val="nil"/>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Loja</w:t>
                  </w:r>
                </w:p>
              </w:tc>
              <w:tc>
                <w:tcPr>
                  <w:tcW w:w="1417" w:type="dxa"/>
                  <w:tcBorders>
                    <w:top w:val="nil"/>
                    <w:left w:val="nil"/>
                    <w:bottom w:val="nil"/>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1433</w:t>
                  </w:r>
                </w:p>
              </w:tc>
              <w:tc>
                <w:tcPr>
                  <w:tcW w:w="2268" w:type="dxa"/>
                  <w:tcBorders>
                    <w:top w:val="nil"/>
                    <w:left w:val="single" w:sz="4" w:space="0" w:color="auto"/>
                    <w:bottom w:val="nil"/>
                    <w:right w:val="nil"/>
                  </w:tcBorders>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Santa Elena</w:t>
                  </w:r>
                </w:p>
              </w:tc>
              <w:tc>
                <w:tcPr>
                  <w:tcW w:w="1417" w:type="dxa"/>
                  <w:tcBorders>
                    <w:top w:val="nil"/>
                    <w:left w:val="nil"/>
                    <w:bottom w:val="nil"/>
                    <w:right w:val="nil"/>
                  </w:tcBorders>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70</w:t>
                  </w:r>
                </w:p>
              </w:tc>
            </w:tr>
            <w:tr w:rsidR="001820D5" w:rsidRPr="00495FF0" w:rsidTr="002A1783">
              <w:trPr>
                <w:trHeight w:val="198"/>
                <w:jc w:val="center"/>
              </w:trPr>
              <w:tc>
                <w:tcPr>
                  <w:tcW w:w="2268" w:type="dxa"/>
                  <w:tcBorders>
                    <w:top w:val="nil"/>
                    <w:left w:val="nil"/>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Los Ríos</w:t>
                  </w:r>
                </w:p>
              </w:tc>
              <w:tc>
                <w:tcPr>
                  <w:tcW w:w="1417" w:type="dxa"/>
                  <w:tcBorders>
                    <w:top w:val="nil"/>
                    <w:left w:val="nil"/>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290</w:t>
                  </w:r>
                </w:p>
              </w:tc>
              <w:tc>
                <w:tcPr>
                  <w:tcW w:w="2268" w:type="dxa"/>
                  <w:tcBorders>
                    <w:top w:val="nil"/>
                    <w:left w:val="single" w:sz="4" w:space="0" w:color="auto"/>
                    <w:right w:val="nil"/>
                  </w:tcBorders>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Zonas No Delimitadas</w:t>
                  </w:r>
                </w:p>
              </w:tc>
              <w:tc>
                <w:tcPr>
                  <w:tcW w:w="1417" w:type="dxa"/>
                  <w:tcBorders>
                    <w:top w:val="nil"/>
                    <w:left w:val="nil"/>
                    <w:right w:val="nil"/>
                  </w:tcBorders>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11</w:t>
                  </w:r>
                </w:p>
              </w:tc>
            </w:tr>
            <w:tr w:rsidR="001820D5" w:rsidRPr="00495FF0" w:rsidTr="002A1783">
              <w:trPr>
                <w:trHeight w:val="198"/>
                <w:jc w:val="center"/>
              </w:trPr>
              <w:tc>
                <w:tcPr>
                  <w:tcW w:w="2268" w:type="dxa"/>
                  <w:tcBorders>
                    <w:top w:val="nil"/>
                    <w:left w:val="nil"/>
                    <w:bottom w:val="single" w:sz="4" w:space="0" w:color="auto"/>
                    <w:right w:val="nil"/>
                  </w:tcBorders>
                  <w:shd w:val="clear" w:color="auto" w:fill="auto"/>
                  <w:vAlign w:val="center"/>
                </w:tcPr>
                <w:p w:rsidR="001820D5" w:rsidRPr="001E7AD3" w:rsidRDefault="001820D5" w:rsidP="002A1783">
                  <w:pPr>
                    <w:jc w:val="left"/>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Manabí</w:t>
                  </w:r>
                </w:p>
              </w:tc>
              <w:tc>
                <w:tcPr>
                  <w:tcW w:w="1417" w:type="dxa"/>
                  <w:tcBorders>
                    <w:top w:val="nil"/>
                    <w:left w:val="nil"/>
                    <w:bottom w:val="single" w:sz="4" w:space="0" w:color="auto"/>
                    <w:right w:val="single" w:sz="4" w:space="0" w:color="auto"/>
                  </w:tcBorders>
                  <w:shd w:val="clear" w:color="auto" w:fill="auto"/>
                  <w:noWrap/>
                  <w:vAlign w:val="center"/>
                </w:tcPr>
                <w:p w:rsidR="001820D5" w:rsidRPr="001E7AD3" w:rsidRDefault="001820D5" w:rsidP="00902050">
                  <w:pPr>
                    <w:rPr>
                      <w:rFonts w:ascii="Arial" w:eastAsia="Times New Roman" w:hAnsi="Arial" w:cs="Arial"/>
                      <w:color w:val="000000"/>
                      <w:sz w:val="16"/>
                      <w:szCs w:val="16"/>
                      <w:lang w:eastAsia="es-EC"/>
                    </w:rPr>
                  </w:pPr>
                  <w:r w:rsidRPr="001E7AD3">
                    <w:rPr>
                      <w:rFonts w:ascii="Arial" w:eastAsia="Times New Roman" w:hAnsi="Arial" w:cs="Arial"/>
                      <w:color w:val="000000"/>
                      <w:sz w:val="16"/>
                      <w:szCs w:val="16"/>
                      <w:lang w:eastAsia="es-EC"/>
                    </w:rPr>
                    <w:t>654</w:t>
                  </w:r>
                </w:p>
              </w:tc>
              <w:tc>
                <w:tcPr>
                  <w:tcW w:w="2268" w:type="dxa"/>
                  <w:tcBorders>
                    <w:top w:val="nil"/>
                    <w:left w:val="single" w:sz="4" w:space="0" w:color="auto"/>
                    <w:bottom w:val="single" w:sz="4" w:space="0" w:color="auto"/>
                    <w:right w:val="nil"/>
                  </w:tcBorders>
                  <w:vAlign w:val="center"/>
                </w:tcPr>
                <w:p w:rsidR="001820D5" w:rsidRPr="001E7AD3" w:rsidRDefault="001820D5" w:rsidP="002A1783">
                  <w:pPr>
                    <w:jc w:val="left"/>
                    <w:rPr>
                      <w:rFonts w:ascii="Arial" w:eastAsia="Times New Roman" w:hAnsi="Arial" w:cs="Arial"/>
                      <w:b/>
                      <w:bCs/>
                      <w:i/>
                      <w:iCs/>
                      <w:color w:val="000000"/>
                      <w:sz w:val="16"/>
                      <w:szCs w:val="16"/>
                      <w:lang w:eastAsia="es-EC"/>
                    </w:rPr>
                  </w:pPr>
                  <w:r w:rsidRPr="001E7AD3">
                    <w:rPr>
                      <w:rFonts w:ascii="Arial" w:eastAsia="Times New Roman" w:hAnsi="Arial" w:cs="Arial"/>
                      <w:b/>
                      <w:bCs/>
                      <w:i/>
                      <w:iCs/>
                      <w:color w:val="000000"/>
                      <w:sz w:val="16"/>
                      <w:szCs w:val="16"/>
                      <w:lang w:eastAsia="es-EC"/>
                    </w:rPr>
                    <w:t>Total</w:t>
                  </w:r>
                </w:p>
              </w:tc>
              <w:tc>
                <w:tcPr>
                  <w:tcW w:w="1417" w:type="dxa"/>
                  <w:tcBorders>
                    <w:top w:val="nil"/>
                    <w:left w:val="nil"/>
                    <w:bottom w:val="single" w:sz="4" w:space="0" w:color="auto"/>
                    <w:right w:val="nil"/>
                  </w:tcBorders>
                  <w:vAlign w:val="center"/>
                </w:tcPr>
                <w:p w:rsidR="001820D5" w:rsidRPr="001E7AD3" w:rsidRDefault="001820D5" w:rsidP="00902050">
                  <w:pPr>
                    <w:rPr>
                      <w:rFonts w:ascii="Arial" w:eastAsia="Times New Roman" w:hAnsi="Arial" w:cs="Arial"/>
                      <w:b/>
                      <w:bCs/>
                      <w:i/>
                      <w:iCs/>
                      <w:color w:val="000000"/>
                      <w:sz w:val="16"/>
                      <w:szCs w:val="16"/>
                      <w:lang w:eastAsia="es-EC"/>
                    </w:rPr>
                  </w:pPr>
                  <w:r w:rsidRPr="001E7AD3">
                    <w:rPr>
                      <w:rFonts w:ascii="Arial" w:eastAsia="Times New Roman" w:hAnsi="Arial" w:cs="Arial"/>
                      <w:b/>
                      <w:bCs/>
                      <w:i/>
                      <w:iCs/>
                      <w:color w:val="000000"/>
                      <w:sz w:val="16"/>
                      <w:szCs w:val="16"/>
                      <w:lang w:eastAsia="es-EC"/>
                    </w:rPr>
                    <w:t>13993</w:t>
                  </w:r>
                </w:p>
              </w:tc>
            </w:tr>
          </w:tbl>
          <w:p w:rsidR="001820D5" w:rsidRDefault="001820D5" w:rsidP="00902050">
            <w:pPr>
              <w:rPr>
                <w:rFonts w:ascii="Arial" w:hAnsi="Arial" w:cs="Arial"/>
                <w:i/>
                <w:sz w:val="10"/>
                <w:szCs w:val="10"/>
              </w:rPr>
            </w:pPr>
          </w:p>
          <w:p w:rsidR="001820D5" w:rsidRPr="00840530" w:rsidRDefault="001820D5" w:rsidP="00902050">
            <w:pPr>
              <w:jc w:val="left"/>
              <w:rPr>
                <w:rFonts w:ascii="Arial" w:hAnsi="Arial" w:cs="Arial"/>
                <w:sz w:val="24"/>
                <w:szCs w:val="24"/>
              </w:rPr>
            </w:pPr>
          </w:p>
        </w:tc>
      </w:tr>
    </w:tbl>
    <w:p w:rsidR="001820D5" w:rsidRPr="007904D9" w:rsidRDefault="001820D5" w:rsidP="002A1783">
      <w:pPr>
        <w:pStyle w:val="Prrafodelista"/>
        <w:spacing w:line="276" w:lineRule="auto"/>
        <w:ind w:left="0"/>
        <w:jc w:val="both"/>
        <w:rPr>
          <w:rFonts w:ascii="Arial" w:hAnsi="Arial" w:cs="Arial"/>
          <w:sz w:val="18"/>
          <w:szCs w:val="18"/>
        </w:rPr>
      </w:pPr>
    </w:p>
    <w:p w:rsidR="001820D5" w:rsidRDefault="001820D5" w:rsidP="002A1783">
      <w:pPr>
        <w:pStyle w:val="Prrafodelista"/>
        <w:spacing w:line="276" w:lineRule="auto"/>
        <w:ind w:left="0"/>
        <w:jc w:val="both"/>
        <w:rPr>
          <w:rFonts w:ascii="Arial" w:hAnsi="Arial" w:cs="Arial"/>
          <w:sz w:val="18"/>
          <w:szCs w:val="18"/>
        </w:rPr>
      </w:pPr>
      <w:r>
        <w:rPr>
          <w:rFonts w:ascii="Arial" w:hAnsi="Arial" w:cs="Arial"/>
          <w:b/>
          <w:i/>
          <w:sz w:val="18"/>
          <w:szCs w:val="18"/>
        </w:rPr>
        <w:t>Fuente:</w:t>
      </w:r>
      <w:r>
        <w:rPr>
          <w:rFonts w:ascii="Arial" w:hAnsi="Arial" w:cs="Arial"/>
          <w:sz w:val="18"/>
          <w:szCs w:val="18"/>
        </w:rPr>
        <w:t xml:space="preserve"> </w:t>
      </w:r>
      <w:r w:rsidRPr="00C239C6">
        <w:rPr>
          <w:rFonts w:ascii="Arial" w:hAnsi="Arial" w:cs="Arial"/>
          <w:b/>
          <w:sz w:val="18"/>
          <w:szCs w:val="18"/>
        </w:rPr>
        <w:t>INEC</w:t>
      </w:r>
      <w:r>
        <w:rPr>
          <w:rFonts w:ascii="Arial" w:hAnsi="Arial" w:cs="Arial"/>
          <w:b/>
          <w:sz w:val="18"/>
          <w:szCs w:val="18"/>
        </w:rPr>
        <w:t xml:space="preserve"> </w:t>
      </w:r>
      <w:r>
        <w:rPr>
          <w:rFonts w:ascii="Arial" w:hAnsi="Arial" w:cs="Arial"/>
          <w:sz w:val="18"/>
          <w:szCs w:val="18"/>
        </w:rPr>
        <w:t xml:space="preserve">(2010), Base de Datos del </w:t>
      </w:r>
      <w:r w:rsidRPr="00C239C6">
        <w:rPr>
          <w:rFonts w:ascii="Arial" w:hAnsi="Arial" w:cs="Arial"/>
          <w:sz w:val="18"/>
          <w:szCs w:val="18"/>
        </w:rPr>
        <w:t>VII</w:t>
      </w:r>
      <w:r>
        <w:rPr>
          <w:rFonts w:ascii="Arial" w:hAnsi="Arial" w:cs="Arial"/>
          <w:sz w:val="18"/>
          <w:szCs w:val="18"/>
        </w:rPr>
        <w:t xml:space="preserve"> Censo de Población y VI de Vivienda.</w:t>
      </w:r>
    </w:p>
    <w:p w:rsidR="001820D5" w:rsidRPr="00156154" w:rsidRDefault="001820D5" w:rsidP="002A1783">
      <w:pPr>
        <w:pStyle w:val="Prrafodelista"/>
        <w:spacing w:line="276" w:lineRule="auto"/>
        <w:ind w:left="0"/>
        <w:jc w:val="both"/>
        <w:rPr>
          <w:rFonts w:ascii="Arial" w:hAnsi="Arial" w:cs="Arial"/>
        </w:rPr>
      </w:pPr>
      <w:r w:rsidRPr="00156154">
        <w:rPr>
          <w:rFonts w:ascii="Arial" w:hAnsi="Arial" w:cs="Arial"/>
          <w:b/>
          <w:i/>
          <w:sz w:val="18"/>
          <w:szCs w:val="18"/>
        </w:rPr>
        <w:t>Elaborado por:</w:t>
      </w:r>
      <w:r w:rsidRPr="00156154">
        <w:rPr>
          <w:rFonts w:ascii="Arial" w:hAnsi="Arial" w:cs="Arial"/>
          <w:sz w:val="18"/>
          <w:szCs w:val="18"/>
        </w:rPr>
        <w:t xml:space="preserve"> Katherine Loor Valeriano</w:t>
      </w:r>
    </w:p>
    <w:p w:rsidR="006F595F" w:rsidRPr="00E953CA" w:rsidRDefault="006F595F" w:rsidP="006F595F">
      <w:pPr>
        <w:pStyle w:val="Prrafodelista"/>
        <w:rPr>
          <w:rFonts w:ascii="Arial" w:hAnsi="Arial" w:cs="Arial"/>
        </w:rPr>
      </w:pPr>
    </w:p>
    <w:p w:rsidR="00CA1A29" w:rsidRDefault="00CA1A29" w:rsidP="006F595F">
      <w:pPr>
        <w:pStyle w:val="Prrafodelista"/>
        <w:spacing w:line="480" w:lineRule="auto"/>
        <w:jc w:val="both"/>
        <w:rPr>
          <w:rFonts w:ascii="Arial" w:hAnsi="Arial" w:cs="Arial"/>
        </w:rPr>
        <w:sectPr w:rsidR="00CA1A29" w:rsidSect="004D2713">
          <w:pgSz w:w="11907" w:h="16839" w:code="9"/>
          <w:pgMar w:top="2268" w:right="1361" w:bottom="2268" w:left="2268" w:header="708" w:footer="708" w:gutter="0"/>
          <w:cols w:space="708"/>
          <w:docGrid w:linePitch="360"/>
        </w:sectPr>
      </w:pPr>
    </w:p>
    <w:p w:rsidR="00CA1A29" w:rsidRPr="00A04D2F" w:rsidRDefault="00CA1A29" w:rsidP="00CA1A29">
      <w:pPr>
        <w:pStyle w:val="51"/>
        <w:numPr>
          <w:ilvl w:val="0"/>
          <w:numId w:val="0"/>
        </w:numPr>
        <w:jc w:val="center"/>
        <w:rPr>
          <w:sz w:val="32"/>
          <w:szCs w:val="32"/>
        </w:rPr>
      </w:pPr>
      <w:bookmarkStart w:id="1222" w:name="_Toc338407818"/>
      <w:bookmarkStart w:id="1223" w:name="_Toc338412821"/>
      <w:bookmarkStart w:id="1224" w:name="_Toc341040774"/>
      <w:r w:rsidRPr="00A04D2F">
        <w:rPr>
          <w:sz w:val="32"/>
          <w:szCs w:val="32"/>
        </w:rPr>
        <w:t>ANEXO E</w:t>
      </w:r>
      <w:bookmarkEnd w:id="1222"/>
      <w:bookmarkEnd w:id="1223"/>
      <w:r w:rsidR="000E448C" w:rsidRPr="00A04D2F">
        <w:rPr>
          <w:sz w:val="32"/>
          <w:szCs w:val="32"/>
        </w:rPr>
        <w:t>: Emigración Internacional</w:t>
      </w:r>
      <w:bookmarkEnd w:id="1224"/>
    </w:p>
    <w:tbl>
      <w:tblPr>
        <w:tblStyle w:val="Tablaconcuadrcula"/>
        <w:tblW w:w="8222" w:type="dxa"/>
        <w:jc w:val="center"/>
        <w:tblInd w:w="10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8222"/>
      </w:tblGrid>
      <w:tr w:rsidR="00CA1A29" w:rsidRPr="00840530" w:rsidTr="005C75BB">
        <w:trPr>
          <w:trHeight w:val="10715"/>
          <w:jc w:val="center"/>
        </w:trPr>
        <w:tc>
          <w:tcPr>
            <w:tcW w:w="8222" w:type="dxa"/>
          </w:tcPr>
          <w:p w:rsidR="00CA1A29" w:rsidRPr="00840530" w:rsidRDefault="00CA1A29" w:rsidP="005C75BB">
            <w:pPr>
              <w:rPr>
                <w:rFonts w:ascii="Arial" w:hAnsi="Arial" w:cs="Arial"/>
                <w:sz w:val="16"/>
                <w:szCs w:val="16"/>
              </w:rPr>
            </w:pPr>
          </w:p>
          <w:p w:rsidR="00CA1A29" w:rsidRPr="00840530" w:rsidRDefault="00CA1A29" w:rsidP="005C75BB">
            <w:pPr>
              <w:rPr>
                <w:rFonts w:ascii="Arial" w:hAnsi="Arial" w:cs="Arial"/>
                <w:b/>
                <w:sz w:val="16"/>
                <w:szCs w:val="16"/>
              </w:rPr>
            </w:pPr>
            <w:r>
              <w:rPr>
                <w:rFonts w:ascii="Arial" w:hAnsi="Arial" w:cs="Arial"/>
                <w:b/>
                <w:sz w:val="16"/>
                <w:szCs w:val="16"/>
              </w:rPr>
              <w:t>Tabla</w:t>
            </w:r>
            <w:r w:rsidRPr="00840530">
              <w:rPr>
                <w:rFonts w:ascii="Arial" w:hAnsi="Arial" w:cs="Arial"/>
                <w:b/>
                <w:sz w:val="16"/>
                <w:szCs w:val="16"/>
              </w:rPr>
              <w:t xml:space="preserve"> </w:t>
            </w:r>
            <w:r>
              <w:rPr>
                <w:rFonts w:ascii="Arial" w:hAnsi="Arial" w:cs="Arial"/>
                <w:b/>
                <w:sz w:val="16"/>
                <w:szCs w:val="16"/>
              </w:rPr>
              <w:t>E.1</w:t>
            </w:r>
          </w:p>
          <w:p w:rsidR="00CA1A29" w:rsidRDefault="00CA1A29" w:rsidP="005C75BB">
            <w:pPr>
              <w:rPr>
                <w:rFonts w:ascii="Arial" w:hAnsi="Arial" w:cs="Arial"/>
                <w:i/>
                <w:sz w:val="16"/>
                <w:szCs w:val="16"/>
              </w:rPr>
            </w:pPr>
            <w:r>
              <w:rPr>
                <w:rFonts w:ascii="Arial" w:hAnsi="Arial" w:cs="Arial"/>
                <w:i/>
                <w:sz w:val="16"/>
                <w:szCs w:val="16"/>
              </w:rPr>
              <w:t xml:space="preserve">Total de </w:t>
            </w:r>
            <w:r>
              <w:rPr>
                <w:rFonts w:ascii="Arial" w:hAnsi="Arial" w:cs="Arial"/>
                <w:b/>
                <w:i/>
                <w:sz w:val="18"/>
                <w:szCs w:val="18"/>
              </w:rPr>
              <w:t>E</w:t>
            </w:r>
            <w:r w:rsidRPr="002D208D">
              <w:rPr>
                <w:rFonts w:ascii="Arial" w:hAnsi="Arial" w:cs="Arial"/>
                <w:b/>
                <w:i/>
                <w:sz w:val="18"/>
                <w:szCs w:val="18"/>
              </w:rPr>
              <w:t xml:space="preserve">migrantes </w:t>
            </w:r>
            <w:r>
              <w:rPr>
                <w:rFonts w:ascii="Arial" w:hAnsi="Arial" w:cs="Arial"/>
                <w:i/>
                <w:sz w:val="16"/>
                <w:szCs w:val="16"/>
              </w:rPr>
              <w:t>por País actual de residencia</w:t>
            </w:r>
          </w:p>
          <w:p w:rsidR="00CA1A29" w:rsidRDefault="00CA1A29" w:rsidP="005C75BB">
            <w:pPr>
              <w:rPr>
                <w:rFonts w:ascii="Arial" w:hAnsi="Arial" w:cs="Arial"/>
                <w:i/>
                <w:sz w:val="10"/>
                <w:szCs w:val="10"/>
              </w:rPr>
            </w:pPr>
          </w:p>
          <w:tbl>
            <w:tblPr>
              <w:tblW w:w="6009" w:type="dxa"/>
              <w:jc w:val="center"/>
              <w:tblCellMar>
                <w:left w:w="70" w:type="dxa"/>
                <w:right w:w="70" w:type="dxa"/>
              </w:tblCellMar>
              <w:tblLook w:val="04A0" w:firstRow="1" w:lastRow="0" w:firstColumn="1" w:lastColumn="0" w:noHBand="0" w:noVBand="1"/>
            </w:tblPr>
            <w:tblGrid>
              <w:gridCol w:w="4025"/>
              <w:gridCol w:w="1984"/>
            </w:tblGrid>
            <w:tr w:rsidR="00CA1A29" w:rsidRPr="00C3363E" w:rsidTr="005C75BB">
              <w:trPr>
                <w:trHeight w:val="20"/>
                <w:jc w:val="center"/>
              </w:trPr>
              <w:tc>
                <w:tcPr>
                  <w:tcW w:w="4025" w:type="dxa"/>
                  <w:tcBorders>
                    <w:top w:val="single" w:sz="4" w:space="0" w:color="auto"/>
                    <w:left w:val="nil"/>
                    <w:bottom w:val="single" w:sz="4" w:space="0" w:color="auto"/>
                    <w:right w:val="nil"/>
                  </w:tcBorders>
                  <w:shd w:val="clear" w:color="auto" w:fill="auto"/>
                  <w:vAlign w:val="center"/>
                  <w:hideMark/>
                </w:tcPr>
                <w:p w:rsidR="00CA1A29" w:rsidRPr="00E0418A" w:rsidRDefault="00CA1A29" w:rsidP="00CA1A29">
                  <w:pPr>
                    <w:rPr>
                      <w:rFonts w:ascii="Arial" w:eastAsia="Times New Roman" w:hAnsi="Arial" w:cs="Arial"/>
                      <w:b/>
                      <w:bCs/>
                      <w:sz w:val="15"/>
                      <w:szCs w:val="15"/>
                      <w:lang w:eastAsia="es-EC"/>
                    </w:rPr>
                  </w:pPr>
                  <w:r w:rsidRPr="00E0418A">
                    <w:rPr>
                      <w:rFonts w:ascii="Arial" w:eastAsia="Times New Roman" w:hAnsi="Arial" w:cs="Arial"/>
                      <w:b/>
                      <w:bCs/>
                      <w:sz w:val="15"/>
                      <w:szCs w:val="15"/>
                      <w:lang w:eastAsia="es-EC"/>
                    </w:rPr>
                    <w:t>Actual país de residencia</w:t>
                  </w:r>
                </w:p>
              </w:tc>
              <w:tc>
                <w:tcPr>
                  <w:tcW w:w="1984" w:type="dxa"/>
                  <w:tcBorders>
                    <w:top w:val="single" w:sz="4" w:space="0" w:color="auto"/>
                    <w:left w:val="nil"/>
                    <w:bottom w:val="single" w:sz="4" w:space="0" w:color="auto"/>
                    <w:right w:val="nil"/>
                  </w:tcBorders>
                  <w:shd w:val="clear" w:color="auto" w:fill="auto"/>
                  <w:vAlign w:val="center"/>
                  <w:hideMark/>
                </w:tcPr>
                <w:p w:rsidR="00CA1A29" w:rsidRPr="00E0418A" w:rsidRDefault="00CA1A29" w:rsidP="005C75BB">
                  <w:pPr>
                    <w:rPr>
                      <w:rFonts w:ascii="Arial" w:eastAsia="Times New Roman" w:hAnsi="Arial" w:cs="Arial"/>
                      <w:b/>
                      <w:bCs/>
                      <w:sz w:val="15"/>
                      <w:szCs w:val="15"/>
                      <w:lang w:eastAsia="es-EC"/>
                    </w:rPr>
                  </w:pPr>
                  <w:r w:rsidRPr="00E0418A">
                    <w:rPr>
                      <w:rFonts w:ascii="Arial" w:eastAsia="Times New Roman" w:hAnsi="Arial" w:cs="Arial"/>
                      <w:b/>
                      <w:bCs/>
                      <w:sz w:val="15"/>
                      <w:szCs w:val="15"/>
                      <w:lang w:eastAsia="es-EC"/>
                    </w:rPr>
                    <w:t>Frecuencia Absoluta</w:t>
                  </w:r>
                </w:p>
              </w:tc>
            </w:tr>
            <w:tr w:rsidR="00CA1A29" w:rsidRPr="00C3363E" w:rsidTr="005C75BB">
              <w:trPr>
                <w:trHeight w:val="20"/>
                <w:jc w:val="center"/>
              </w:trPr>
              <w:tc>
                <w:tcPr>
                  <w:tcW w:w="4025" w:type="dxa"/>
                  <w:tcBorders>
                    <w:top w:val="single" w:sz="4" w:space="0" w:color="auto"/>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España</w:t>
                  </w:r>
                </w:p>
              </w:tc>
              <w:tc>
                <w:tcPr>
                  <w:tcW w:w="1984" w:type="dxa"/>
                  <w:tcBorders>
                    <w:top w:val="single" w:sz="4" w:space="0" w:color="auto"/>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126566</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Estados Unidos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80073</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Italia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22088</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Chile</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4955</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Colombia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3916</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Venezuela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3488</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Argentina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2884</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Canadá</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2295</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Alemania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1784</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Bélgica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1781</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Cuba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1770</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Reino Unido (Escocia,Gran Bretaña,Inglaterra, Gales)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1618</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Francia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1379</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México</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1355</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Perú</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1293</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Suiza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1067</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Brasil</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812</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Países Bajos (Holanda)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591</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Panamá</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487</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Suecia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370</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Bolivia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353</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China República Popular (Pekin)</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309</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Costa Rica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289</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Australia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287</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Dominicana, República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263</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Rusia, Federación de (Unión Soviética)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253</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Alboran y Perejil</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252</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Austria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249</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Israel</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224</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Honduras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219</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Portugal</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163</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Alemania, República Democrática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160</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Ucrania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143</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Grecia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137</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Guatemala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131</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Dinamarca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128</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Albania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127</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Paraguay</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121</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Japón</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111</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Uruguay</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94</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Noruega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93</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Haití</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90</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Aruba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90</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Finlandia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78</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Nicaragua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72</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Otras naciones de Äfrica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70</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Otras Naciones de Europa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63</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Irlanda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62</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Bulgaria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60</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Taiwan, Provincia de China (Nacionalista)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58</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Puerto Rico</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57</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Checa, República (Checoslovaquia)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57</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El Salvador</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54</w:t>
                  </w:r>
                </w:p>
              </w:tc>
            </w:tr>
            <w:tr w:rsidR="00CA1A29" w:rsidRPr="00C3363E"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4"/>
                      <w:szCs w:val="14"/>
                      <w:lang w:eastAsia="es-EC"/>
                    </w:rPr>
                  </w:pPr>
                  <w:r w:rsidRPr="00E0418A">
                    <w:rPr>
                      <w:rFonts w:ascii="Arial" w:eastAsia="Times New Roman" w:hAnsi="Arial" w:cs="Arial"/>
                      <w:sz w:val="14"/>
                      <w:szCs w:val="14"/>
                      <w:lang w:eastAsia="es-EC"/>
                    </w:rPr>
                    <w:t>Polonia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4"/>
                      <w:szCs w:val="14"/>
                      <w:lang w:eastAsia="es-EC"/>
                    </w:rPr>
                  </w:pPr>
                  <w:r w:rsidRPr="00E0418A">
                    <w:rPr>
                      <w:rFonts w:ascii="Arial" w:eastAsia="Times New Roman" w:hAnsi="Arial" w:cs="Arial"/>
                      <w:sz w:val="14"/>
                      <w:szCs w:val="14"/>
                      <w:lang w:eastAsia="es-EC"/>
                    </w:rPr>
                    <w:t>51</w:t>
                  </w:r>
                </w:p>
              </w:tc>
            </w:tr>
            <w:tr w:rsidR="00CA1A29" w:rsidRPr="00C3363E" w:rsidTr="005C75BB">
              <w:trPr>
                <w:trHeight w:val="20"/>
                <w:jc w:val="center"/>
              </w:trPr>
              <w:tc>
                <w:tcPr>
                  <w:tcW w:w="4025" w:type="dxa"/>
                  <w:tcBorders>
                    <w:top w:val="nil"/>
                    <w:left w:val="nil"/>
                    <w:right w:val="nil"/>
                  </w:tcBorders>
                  <w:shd w:val="clear" w:color="auto" w:fill="auto"/>
                  <w:vAlign w:val="center"/>
                  <w:hideMark/>
                </w:tcPr>
                <w:p w:rsidR="00CA1A29" w:rsidRPr="00E0418A" w:rsidRDefault="00CA1A29" w:rsidP="00CA1A29">
                  <w:pPr>
                    <w:jc w:val="left"/>
                    <w:rPr>
                      <w:rFonts w:ascii="Arial" w:eastAsia="Times New Roman" w:hAnsi="Arial" w:cs="Arial"/>
                      <w:sz w:val="14"/>
                      <w:szCs w:val="14"/>
                      <w:lang w:eastAsia="es-EC"/>
                    </w:rPr>
                  </w:pPr>
                  <w:r w:rsidRPr="00E0418A">
                    <w:rPr>
                      <w:rFonts w:ascii="Arial" w:eastAsia="Times New Roman" w:hAnsi="Arial" w:cs="Arial"/>
                      <w:sz w:val="14"/>
                      <w:szCs w:val="14"/>
                      <w:lang w:eastAsia="es-EC"/>
                    </w:rPr>
                    <w:t>Sudafrica (Ciskei)</w:t>
                  </w:r>
                </w:p>
              </w:tc>
              <w:tc>
                <w:tcPr>
                  <w:tcW w:w="1984" w:type="dxa"/>
                  <w:tcBorders>
                    <w:top w:val="nil"/>
                    <w:left w:val="nil"/>
                    <w:right w:val="nil"/>
                  </w:tcBorders>
                  <w:shd w:val="clear" w:color="auto" w:fill="auto"/>
                  <w:vAlign w:val="center"/>
                  <w:hideMark/>
                </w:tcPr>
                <w:p w:rsidR="00CA1A29" w:rsidRPr="00E0418A" w:rsidRDefault="00CA1A29" w:rsidP="005C75BB">
                  <w:pPr>
                    <w:rPr>
                      <w:rFonts w:ascii="Arial" w:eastAsia="Times New Roman" w:hAnsi="Arial" w:cs="Arial"/>
                      <w:sz w:val="14"/>
                      <w:szCs w:val="14"/>
                      <w:lang w:eastAsia="es-EC"/>
                    </w:rPr>
                  </w:pPr>
                  <w:r w:rsidRPr="00E0418A">
                    <w:rPr>
                      <w:rFonts w:ascii="Arial" w:eastAsia="Times New Roman" w:hAnsi="Arial" w:cs="Arial"/>
                      <w:sz w:val="14"/>
                      <w:szCs w:val="14"/>
                      <w:lang w:eastAsia="es-EC"/>
                    </w:rPr>
                    <w:t>46</w:t>
                  </w:r>
                </w:p>
              </w:tc>
            </w:tr>
            <w:tr w:rsidR="00CA1A29" w:rsidRPr="00C3363E" w:rsidTr="005C75BB">
              <w:trPr>
                <w:trHeight w:val="20"/>
                <w:jc w:val="center"/>
              </w:trPr>
              <w:tc>
                <w:tcPr>
                  <w:tcW w:w="4025" w:type="dxa"/>
                  <w:tcBorders>
                    <w:top w:val="nil"/>
                    <w:left w:val="nil"/>
                    <w:bottom w:val="single" w:sz="4" w:space="0" w:color="auto"/>
                    <w:right w:val="nil"/>
                  </w:tcBorders>
                  <w:shd w:val="clear" w:color="auto" w:fill="auto"/>
                  <w:vAlign w:val="center"/>
                  <w:hideMark/>
                </w:tcPr>
                <w:p w:rsidR="00CA1A29" w:rsidRPr="00E0418A" w:rsidRDefault="00CA1A29" w:rsidP="00CA1A29">
                  <w:pPr>
                    <w:jc w:val="left"/>
                    <w:rPr>
                      <w:rFonts w:ascii="Arial" w:eastAsia="Times New Roman" w:hAnsi="Arial" w:cs="Arial"/>
                      <w:sz w:val="14"/>
                      <w:szCs w:val="14"/>
                      <w:lang w:eastAsia="es-EC"/>
                    </w:rPr>
                  </w:pPr>
                  <w:r w:rsidRPr="00E0418A">
                    <w:rPr>
                      <w:rFonts w:ascii="Arial" w:eastAsia="Times New Roman" w:hAnsi="Arial" w:cs="Arial"/>
                      <w:sz w:val="14"/>
                      <w:szCs w:val="14"/>
                      <w:lang w:eastAsia="es-EC"/>
                    </w:rPr>
                    <w:t>Nueva Zelandia</w:t>
                  </w:r>
                </w:p>
              </w:tc>
              <w:tc>
                <w:tcPr>
                  <w:tcW w:w="1984" w:type="dxa"/>
                  <w:tcBorders>
                    <w:top w:val="nil"/>
                    <w:left w:val="nil"/>
                    <w:bottom w:val="single" w:sz="4" w:space="0" w:color="auto"/>
                    <w:right w:val="nil"/>
                  </w:tcBorders>
                  <w:shd w:val="clear" w:color="auto" w:fill="auto"/>
                  <w:vAlign w:val="center"/>
                  <w:hideMark/>
                </w:tcPr>
                <w:p w:rsidR="00CA1A29" w:rsidRPr="00E0418A" w:rsidRDefault="00CA1A29" w:rsidP="005C75BB">
                  <w:pPr>
                    <w:rPr>
                      <w:rFonts w:ascii="Arial" w:eastAsia="Times New Roman" w:hAnsi="Arial" w:cs="Arial"/>
                      <w:sz w:val="14"/>
                      <w:szCs w:val="14"/>
                      <w:lang w:eastAsia="es-EC"/>
                    </w:rPr>
                  </w:pPr>
                  <w:r w:rsidRPr="00E0418A">
                    <w:rPr>
                      <w:rFonts w:ascii="Arial" w:eastAsia="Times New Roman" w:hAnsi="Arial" w:cs="Arial"/>
                      <w:sz w:val="14"/>
                      <w:szCs w:val="14"/>
                      <w:lang w:eastAsia="es-EC"/>
                    </w:rPr>
                    <w:t>44</w:t>
                  </w:r>
                </w:p>
              </w:tc>
            </w:tr>
          </w:tbl>
          <w:p w:rsidR="00CA1A29" w:rsidRPr="0061360B" w:rsidRDefault="00CA1A29" w:rsidP="005C75BB">
            <w:pPr>
              <w:jc w:val="right"/>
              <w:rPr>
                <w:rFonts w:ascii="Arial" w:hAnsi="Arial" w:cs="Arial"/>
                <w:b/>
                <w:i/>
                <w:sz w:val="16"/>
                <w:szCs w:val="16"/>
              </w:rPr>
            </w:pPr>
            <w:r w:rsidRPr="0061360B">
              <w:rPr>
                <w:rFonts w:ascii="Arial" w:hAnsi="Arial" w:cs="Arial"/>
                <w:b/>
                <w:i/>
                <w:sz w:val="16"/>
                <w:szCs w:val="16"/>
              </w:rPr>
              <w:t xml:space="preserve">Continúa… </w:t>
            </w:r>
          </w:p>
        </w:tc>
      </w:tr>
    </w:tbl>
    <w:p w:rsidR="00CA1A29" w:rsidRDefault="00CA1A29" w:rsidP="00CA1A29">
      <w:pPr>
        <w:spacing w:line="276" w:lineRule="auto"/>
        <w:jc w:val="both"/>
        <w:rPr>
          <w:rFonts w:ascii="Arial" w:hAnsi="Arial" w:cs="Arial"/>
          <w:b/>
          <w:i/>
          <w:sz w:val="18"/>
          <w:szCs w:val="18"/>
        </w:rPr>
      </w:pPr>
    </w:p>
    <w:p w:rsidR="00CA1A29" w:rsidRPr="00D034C1" w:rsidRDefault="00CA1A29" w:rsidP="00CA1A29">
      <w:pPr>
        <w:spacing w:line="276" w:lineRule="auto"/>
        <w:jc w:val="both"/>
        <w:rPr>
          <w:rFonts w:ascii="Arial" w:hAnsi="Arial" w:cs="Arial"/>
          <w:sz w:val="18"/>
          <w:szCs w:val="18"/>
        </w:rPr>
      </w:pPr>
      <w:r w:rsidRPr="00D034C1">
        <w:rPr>
          <w:rFonts w:ascii="Arial" w:hAnsi="Arial" w:cs="Arial"/>
          <w:b/>
          <w:i/>
          <w:sz w:val="18"/>
          <w:szCs w:val="18"/>
        </w:rPr>
        <w:t>Fuente:</w:t>
      </w:r>
      <w:r w:rsidRPr="00D034C1">
        <w:rPr>
          <w:rFonts w:ascii="Arial" w:hAnsi="Arial" w:cs="Arial"/>
          <w:sz w:val="18"/>
          <w:szCs w:val="18"/>
        </w:rPr>
        <w:t xml:space="preserve"> </w:t>
      </w:r>
      <w:r w:rsidRPr="00D034C1">
        <w:rPr>
          <w:rFonts w:ascii="Arial" w:hAnsi="Arial" w:cs="Arial"/>
          <w:b/>
          <w:sz w:val="18"/>
          <w:szCs w:val="18"/>
        </w:rPr>
        <w:t xml:space="preserve">INEC </w:t>
      </w:r>
      <w:r w:rsidRPr="00D034C1">
        <w:rPr>
          <w:rFonts w:ascii="Arial" w:hAnsi="Arial" w:cs="Arial"/>
          <w:sz w:val="18"/>
          <w:szCs w:val="18"/>
        </w:rPr>
        <w:t>(2010), Base de Datos del VII Censo de Población y VI de Vivienda.</w:t>
      </w:r>
    </w:p>
    <w:p w:rsidR="00CA1A29" w:rsidRDefault="00CA1A29" w:rsidP="00CA1A29">
      <w:pPr>
        <w:pStyle w:val="Prrafodelista"/>
        <w:spacing w:line="276" w:lineRule="auto"/>
        <w:ind w:left="0"/>
        <w:jc w:val="both"/>
        <w:rPr>
          <w:rFonts w:ascii="Arial" w:hAnsi="Arial" w:cs="Arial"/>
          <w:sz w:val="18"/>
          <w:szCs w:val="18"/>
        </w:rPr>
      </w:pPr>
      <w:r>
        <w:rPr>
          <w:rFonts w:ascii="Arial" w:hAnsi="Arial" w:cs="Arial"/>
          <w:b/>
          <w:i/>
          <w:sz w:val="18"/>
          <w:szCs w:val="18"/>
        </w:rPr>
        <w:t>Elaborado por:</w:t>
      </w:r>
      <w:r>
        <w:rPr>
          <w:rFonts w:ascii="Arial" w:hAnsi="Arial" w:cs="Arial"/>
          <w:sz w:val="18"/>
          <w:szCs w:val="18"/>
        </w:rPr>
        <w:t xml:space="preserve"> Katherine Loor Valeriano</w:t>
      </w:r>
    </w:p>
    <w:tbl>
      <w:tblPr>
        <w:tblStyle w:val="Tablaconcuadrcula"/>
        <w:tblW w:w="8222" w:type="dxa"/>
        <w:jc w:val="center"/>
        <w:tblInd w:w="10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8222"/>
      </w:tblGrid>
      <w:tr w:rsidR="00CA1A29" w:rsidRPr="00840530" w:rsidTr="005C75BB">
        <w:trPr>
          <w:trHeight w:val="11509"/>
          <w:jc w:val="center"/>
        </w:trPr>
        <w:tc>
          <w:tcPr>
            <w:tcW w:w="8222" w:type="dxa"/>
          </w:tcPr>
          <w:p w:rsidR="00CA1A29" w:rsidRPr="00840530" w:rsidRDefault="00CA1A29" w:rsidP="005C75BB">
            <w:pPr>
              <w:rPr>
                <w:rFonts w:ascii="Arial" w:hAnsi="Arial" w:cs="Arial"/>
                <w:sz w:val="16"/>
                <w:szCs w:val="16"/>
              </w:rPr>
            </w:pPr>
          </w:p>
          <w:p w:rsidR="00CA1A29" w:rsidRPr="00840530" w:rsidRDefault="00CA1A29" w:rsidP="005C75BB">
            <w:pPr>
              <w:rPr>
                <w:rFonts w:ascii="Arial" w:hAnsi="Arial" w:cs="Arial"/>
                <w:b/>
                <w:sz w:val="16"/>
                <w:szCs w:val="16"/>
              </w:rPr>
            </w:pPr>
            <w:r>
              <w:rPr>
                <w:rFonts w:ascii="Arial" w:hAnsi="Arial" w:cs="Arial"/>
                <w:b/>
                <w:sz w:val="16"/>
                <w:szCs w:val="16"/>
              </w:rPr>
              <w:t>Tabla</w:t>
            </w:r>
            <w:r w:rsidRPr="00840530">
              <w:rPr>
                <w:rFonts w:ascii="Arial" w:hAnsi="Arial" w:cs="Arial"/>
                <w:b/>
                <w:sz w:val="16"/>
                <w:szCs w:val="16"/>
              </w:rPr>
              <w:t xml:space="preserve"> </w:t>
            </w:r>
            <w:r>
              <w:rPr>
                <w:rFonts w:ascii="Arial" w:hAnsi="Arial" w:cs="Arial"/>
                <w:b/>
                <w:sz w:val="16"/>
                <w:szCs w:val="16"/>
              </w:rPr>
              <w:t>E.1</w:t>
            </w:r>
          </w:p>
          <w:p w:rsidR="00CA1A29" w:rsidRDefault="00CA1A29" w:rsidP="005C75BB">
            <w:pPr>
              <w:rPr>
                <w:rFonts w:ascii="Arial" w:hAnsi="Arial" w:cs="Arial"/>
                <w:i/>
                <w:sz w:val="16"/>
                <w:szCs w:val="16"/>
              </w:rPr>
            </w:pPr>
            <w:r w:rsidRPr="0061360B">
              <w:rPr>
                <w:rFonts w:ascii="Arial" w:hAnsi="Arial" w:cs="Arial"/>
                <w:b/>
                <w:i/>
                <w:sz w:val="16"/>
                <w:szCs w:val="16"/>
              </w:rPr>
              <w:t>…viene</w:t>
            </w:r>
            <w:r>
              <w:rPr>
                <w:rFonts w:ascii="Arial" w:hAnsi="Arial" w:cs="Arial"/>
                <w:i/>
                <w:sz w:val="16"/>
                <w:szCs w:val="16"/>
              </w:rPr>
              <w:t xml:space="preserve"> Total de </w:t>
            </w:r>
            <w:r>
              <w:rPr>
                <w:rFonts w:ascii="Arial" w:hAnsi="Arial" w:cs="Arial"/>
                <w:b/>
                <w:i/>
                <w:sz w:val="18"/>
                <w:szCs w:val="18"/>
              </w:rPr>
              <w:t>E</w:t>
            </w:r>
            <w:r w:rsidRPr="002D208D">
              <w:rPr>
                <w:rFonts w:ascii="Arial" w:hAnsi="Arial" w:cs="Arial"/>
                <w:b/>
                <w:i/>
                <w:sz w:val="18"/>
                <w:szCs w:val="18"/>
              </w:rPr>
              <w:t xml:space="preserve">migrantes </w:t>
            </w:r>
            <w:r>
              <w:rPr>
                <w:rFonts w:ascii="Arial" w:hAnsi="Arial" w:cs="Arial"/>
                <w:i/>
                <w:sz w:val="16"/>
                <w:szCs w:val="16"/>
              </w:rPr>
              <w:t>por País actual de residencia</w:t>
            </w:r>
          </w:p>
          <w:p w:rsidR="00CA1A29" w:rsidRDefault="00CA1A29" w:rsidP="005C75BB">
            <w:pPr>
              <w:rPr>
                <w:rFonts w:ascii="Arial" w:hAnsi="Arial" w:cs="Arial"/>
                <w:i/>
                <w:sz w:val="10"/>
                <w:szCs w:val="10"/>
              </w:rPr>
            </w:pPr>
          </w:p>
          <w:tbl>
            <w:tblPr>
              <w:tblW w:w="6009" w:type="dxa"/>
              <w:jc w:val="center"/>
              <w:tblCellMar>
                <w:left w:w="70" w:type="dxa"/>
                <w:right w:w="70" w:type="dxa"/>
              </w:tblCellMar>
              <w:tblLook w:val="04A0" w:firstRow="1" w:lastRow="0" w:firstColumn="1" w:lastColumn="0" w:noHBand="0" w:noVBand="1"/>
            </w:tblPr>
            <w:tblGrid>
              <w:gridCol w:w="4025"/>
              <w:gridCol w:w="1984"/>
            </w:tblGrid>
            <w:tr w:rsidR="00CA1A29" w:rsidRPr="00C51DC1" w:rsidTr="005C75BB">
              <w:trPr>
                <w:trHeight w:val="20"/>
                <w:jc w:val="center"/>
              </w:trPr>
              <w:tc>
                <w:tcPr>
                  <w:tcW w:w="4025" w:type="dxa"/>
                  <w:tcBorders>
                    <w:top w:val="single" w:sz="4" w:space="0" w:color="auto"/>
                    <w:left w:val="nil"/>
                    <w:bottom w:val="single" w:sz="4" w:space="0" w:color="auto"/>
                    <w:right w:val="nil"/>
                  </w:tcBorders>
                  <w:shd w:val="clear" w:color="auto" w:fill="auto"/>
                  <w:vAlign w:val="center"/>
                  <w:hideMark/>
                </w:tcPr>
                <w:p w:rsidR="00CA1A29" w:rsidRPr="00E0418A" w:rsidRDefault="00CA1A29" w:rsidP="00CA1A29">
                  <w:pPr>
                    <w:rPr>
                      <w:rFonts w:ascii="Arial" w:eastAsia="Times New Roman" w:hAnsi="Arial" w:cs="Arial"/>
                      <w:b/>
                      <w:bCs/>
                      <w:sz w:val="15"/>
                      <w:szCs w:val="15"/>
                      <w:lang w:eastAsia="es-EC"/>
                    </w:rPr>
                  </w:pPr>
                  <w:r w:rsidRPr="00E0418A">
                    <w:rPr>
                      <w:rFonts w:ascii="Arial" w:eastAsia="Times New Roman" w:hAnsi="Arial" w:cs="Arial"/>
                      <w:b/>
                      <w:bCs/>
                      <w:sz w:val="15"/>
                      <w:szCs w:val="15"/>
                      <w:lang w:eastAsia="es-EC"/>
                    </w:rPr>
                    <w:t>Actual país de residencia</w:t>
                  </w:r>
                </w:p>
              </w:tc>
              <w:tc>
                <w:tcPr>
                  <w:tcW w:w="1984" w:type="dxa"/>
                  <w:tcBorders>
                    <w:top w:val="single" w:sz="4" w:space="0" w:color="auto"/>
                    <w:left w:val="nil"/>
                    <w:bottom w:val="single" w:sz="4" w:space="0" w:color="auto"/>
                    <w:right w:val="nil"/>
                  </w:tcBorders>
                  <w:shd w:val="clear" w:color="auto" w:fill="auto"/>
                  <w:vAlign w:val="center"/>
                  <w:hideMark/>
                </w:tcPr>
                <w:p w:rsidR="00CA1A29" w:rsidRPr="00E0418A" w:rsidRDefault="00CA1A29" w:rsidP="005C75BB">
                  <w:pPr>
                    <w:rPr>
                      <w:rFonts w:ascii="Arial" w:eastAsia="Times New Roman" w:hAnsi="Arial" w:cs="Arial"/>
                      <w:b/>
                      <w:bCs/>
                      <w:sz w:val="15"/>
                      <w:szCs w:val="15"/>
                      <w:lang w:eastAsia="es-EC"/>
                    </w:rPr>
                  </w:pPr>
                  <w:r w:rsidRPr="00E0418A">
                    <w:rPr>
                      <w:rFonts w:ascii="Arial" w:eastAsia="Times New Roman" w:hAnsi="Arial" w:cs="Arial"/>
                      <w:b/>
                      <w:bCs/>
                      <w:sz w:val="15"/>
                      <w:szCs w:val="15"/>
                      <w:lang w:eastAsia="es-EC"/>
                    </w:rPr>
                    <w:t>Frecuencia Absoluta</w:t>
                  </w:r>
                </w:p>
              </w:tc>
            </w:tr>
            <w:tr w:rsidR="00CA1A29" w:rsidRPr="00C51DC1" w:rsidTr="005C75BB">
              <w:trPr>
                <w:trHeight w:val="20"/>
                <w:jc w:val="center"/>
              </w:trPr>
              <w:tc>
                <w:tcPr>
                  <w:tcW w:w="4025" w:type="dxa"/>
                  <w:tcBorders>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Corea del Sur, República de</w:t>
                  </w:r>
                </w:p>
              </w:tc>
              <w:tc>
                <w:tcPr>
                  <w:tcW w:w="1984" w:type="dxa"/>
                  <w:tcBorders>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40</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Argelia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37</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India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32</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Bermudas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31</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Antillas Holandesas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26</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Irak</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26</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Hungría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25</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Turquía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24</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Curazao, Isla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21</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Islandia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19</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Egipto</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19</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Jamaica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17</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Luxemburgo</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17</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Rumania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17</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Angola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15</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Bahamas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13</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Andorra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13</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Eslovaquia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13</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Tailandia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13</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Qatar</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13</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Singapur</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13</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Libia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13</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Trinidad y Tobago</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12</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Lituania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12</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Corea, República Democrática (RPD)</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12</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Irán, República Islámica de</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12</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Emiratos Árabes Unidos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12</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Eslovenia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11</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Arabia Saudita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11</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Indonesia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11</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Otras naciones de América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10</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Omán</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10</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Filipinas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9</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Kuwait</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9</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Hong Kong</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9</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Nigeria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9</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Liberia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8</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Malawi</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8</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Barbados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7</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Malta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7</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Georgia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7</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Pakistán</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7</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Dominica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6</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Yugoslavia (Servia de Montenegro)</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6</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Armenia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6</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Croacia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6</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Afganistán</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6</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Burkina Faso (Alto Volta)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6</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Kenia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6</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Jordania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5</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Senegal</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5</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Guinea Ecuatorial</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5</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Mozambique</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5</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Granada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4</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Pacífico, Islas administradas por USA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4</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Siria, República Arabe</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4</w:t>
                  </w:r>
                </w:p>
              </w:tc>
            </w:tr>
            <w:tr w:rsidR="00CA1A29" w:rsidRPr="00C51DC1"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Congo</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4</w:t>
                  </w:r>
                </w:p>
              </w:tc>
            </w:tr>
            <w:tr w:rsidR="00CA1A29" w:rsidRPr="00C51DC1" w:rsidTr="005C75BB">
              <w:trPr>
                <w:trHeight w:val="20"/>
                <w:jc w:val="center"/>
              </w:trPr>
              <w:tc>
                <w:tcPr>
                  <w:tcW w:w="4025" w:type="dxa"/>
                  <w:tcBorders>
                    <w:top w:val="nil"/>
                    <w:left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Etiopía</w:t>
                  </w:r>
                </w:p>
              </w:tc>
              <w:tc>
                <w:tcPr>
                  <w:tcW w:w="1984" w:type="dxa"/>
                  <w:tcBorders>
                    <w:top w:val="nil"/>
                    <w:left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4</w:t>
                  </w:r>
                </w:p>
              </w:tc>
            </w:tr>
            <w:tr w:rsidR="00CA1A29" w:rsidRPr="00C51DC1" w:rsidTr="005C75BB">
              <w:trPr>
                <w:trHeight w:val="20"/>
                <w:jc w:val="center"/>
              </w:trPr>
              <w:tc>
                <w:tcPr>
                  <w:tcW w:w="4025" w:type="dxa"/>
                  <w:tcBorders>
                    <w:top w:val="nil"/>
                    <w:left w:val="nil"/>
                    <w:bottom w:val="single" w:sz="4" w:space="0" w:color="auto"/>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Dyibuti</w:t>
                  </w:r>
                </w:p>
              </w:tc>
              <w:tc>
                <w:tcPr>
                  <w:tcW w:w="1984" w:type="dxa"/>
                  <w:tcBorders>
                    <w:top w:val="nil"/>
                    <w:left w:val="nil"/>
                    <w:bottom w:val="single" w:sz="4" w:space="0" w:color="auto"/>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4</w:t>
                  </w:r>
                </w:p>
              </w:tc>
            </w:tr>
          </w:tbl>
          <w:p w:rsidR="00CA1A29" w:rsidRDefault="00CA1A29" w:rsidP="005C75BB">
            <w:pPr>
              <w:jc w:val="right"/>
              <w:rPr>
                <w:rFonts w:ascii="Arial" w:hAnsi="Arial" w:cs="Arial"/>
                <w:b/>
                <w:i/>
                <w:sz w:val="16"/>
                <w:szCs w:val="16"/>
              </w:rPr>
            </w:pPr>
          </w:p>
          <w:p w:rsidR="00CA1A29" w:rsidRPr="00840530" w:rsidRDefault="00CA1A29" w:rsidP="005C75BB">
            <w:pPr>
              <w:jc w:val="right"/>
              <w:rPr>
                <w:rFonts w:ascii="Arial" w:hAnsi="Arial" w:cs="Arial"/>
                <w:sz w:val="24"/>
                <w:szCs w:val="24"/>
              </w:rPr>
            </w:pPr>
            <w:r w:rsidRPr="0061360B">
              <w:rPr>
                <w:rFonts w:ascii="Arial" w:hAnsi="Arial" w:cs="Arial"/>
                <w:b/>
                <w:i/>
                <w:sz w:val="16"/>
                <w:szCs w:val="16"/>
              </w:rPr>
              <w:t>Continúa…</w:t>
            </w:r>
          </w:p>
        </w:tc>
      </w:tr>
    </w:tbl>
    <w:p w:rsidR="00CA1A29" w:rsidRPr="00E0418A" w:rsidRDefault="00CA1A29" w:rsidP="00CA1A29">
      <w:pPr>
        <w:pStyle w:val="Prrafodelista"/>
        <w:spacing w:line="276" w:lineRule="auto"/>
        <w:ind w:left="0"/>
        <w:jc w:val="both"/>
        <w:rPr>
          <w:rFonts w:ascii="Arial" w:hAnsi="Arial" w:cs="Arial"/>
          <w:b/>
          <w:i/>
          <w:sz w:val="14"/>
          <w:szCs w:val="14"/>
        </w:rPr>
      </w:pPr>
    </w:p>
    <w:p w:rsidR="00CA1A29" w:rsidRDefault="00CA1A29" w:rsidP="00CA1A29">
      <w:pPr>
        <w:pStyle w:val="Prrafodelista"/>
        <w:spacing w:line="276" w:lineRule="auto"/>
        <w:ind w:left="0"/>
        <w:jc w:val="both"/>
        <w:rPr>
          <w:rFonts w:ascii="Arial" w:hAnsi="Arial" w:cs="Arial"/>
          <w:sz w:val="18"/>
          <w:szCs w:val="18"/>
        </w:rPr>
      </w:pPr>
      <w:r>
        <w:rPr>
          <w:rFonts w:ascii="Arial" w:hAnsi="Arial" w:cs="Arial"/>
          <w:b/>
          <w:i/>
          <w:sz w:val="18"/>
          <w:szCs w:val="18"/>
        </w:rPr>
        <w:t>Fuente:</w:t>
      </w:r>
      <w:r>
        <w:rPr>
          <w:rFonts w:ascii="Arial" w:hAnsi="Arial" w:cs="Arial"/>
          <w:sz w:val="18"/>
          <w:szCs w:val="18"/>
        </w:rPr>
        <w:t xml:space="preserve"> </w:t>
      </w:r>
      <w:r w:rsidRPr="00C239C6">
        <w:rPr>
          <w:rFonts w:ascii="Arial" w:hAnsi="Arial" w:cs="Arial"/>
          <w:b/>
          <w:sz w:val="18"/>
          <w:szCs w:val="18"/>
        </w:rPr>
        <w:t>INEC</w:t>
      </w:r>
      <w:r>
        <w:rPr>
          <w:rFonts w:ascii="Arial" w:hAnsi="Arial" w:cs="Arial"/>
          <w:b/>
          <w:sz w:val="18"/>
          <w:szCs w:val="18"/>
        </w:rPr>
        <w:t xml:space="preserve"> </w:t>
      </w:r>
      <w:r>
        <w:rPr>
          <w:rFonts w:ascii="Arial" w:hAnsi="Arial" w:cs="Arial"/>
          <w:sz w:val="18"/>
          <w:szCs w:val="18"/>
        </w:rPr>
        <w:t xml:space="preserve">(2010), Base de Datos del </w:t>
      </w:r>
      <w:r w:rsidRPr="00C239C6">
        <w:rPr>
          <w:rFonts w:ascii="Arial" w:hAnsi="Arial" w:cs="Arial"/>
          <w:sz w:val="18"/>
          <w:szCs w:val="18"/>
        </w:rPr>
        <w:t>VII</w:t>
      </w:r>
      <w:r>
        <w:rPr>
          <w:rFonts w:ascii="Arial" w:hAnsi="Arial" w:cs="Arial"/>
          <w:sz w:val="18"/>
          <w:szCs w:val="18"/>
        </w:rPr>
        <w:t xml:space="preserve"> Censo de Población y VI de Vivienda.</w:t>
      </w:r>
    </w:p>
    <w:p w:rsidR="00CA1A29" w:rsidRDefault="00CA1A29" w:rsidP="00CA1A29">
      <w:pPr>
        <w:pStyle w:val="Prrafodelista"/>
        <w:spacing w:line="276" w:lineRule="auto"/>
        <w:ind w:left="0"/>
        <w:jc w:val="both"/>
        <w:rPr>
          <w:rFonts w:ascii="Arial" w:hAnsi="Arial" w:cs="Arial"/>
          <w:sz w:val="18"/>
          <w:szCs w:val="18"/>
        </w:rPr>
      </w:pPr>
      <w:r>
        <w:rPr>
          <w:rFonts w:ascii="Arial" w:hAnsi="Arial" w:cs="Arial"/>
          <w:b/>
          <w:i/>
          <w:sz w:val="18"/>
          <w:szCs w:val="18"/>
        </w:rPr>
        <w:t>Elaborado por:</w:t>
      </w:r>
      <w:r>
        <w:rPr>
          <w:rFonts w:ascii="Arial" w:hAnsi="Arial" w:cs="Arial"/>
          <w:sz w:val="18"/>
          <w:szCs w:val="18"/>
        </w:rPr>
        <w:t xml:space="preserve"> Katherine Loor Valeriano</w:t>
      </w:r>
    </w:p>
    <w:tbl>
      <w:tblPr>
        <w:tblStyle w:val="Tablaconcuadrcula"/>
        <w:tblW w:w="8222" w:type="dxa"/>
        <w:jc w:val="center"/>
        <w:tblInd w:w="10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8222"/>
      </w:tblGrid>
      <w:tr w:rsidR="00CA1A29" w:rsidRPr="00840530" w:rsidTr="005C75BB">
        <w:trPr>
          <w:trHeight w:val="10942"/>
          <w:jc w:val="center"/>
        </w:trPr>
        <w:tc>
          <w:tcPr>
            <w:tcW w:w="8222" w:type="dxa"/>
          </w:tcPr>
          <w:p w:rsidR="00CA1A29" w:rsidRPr="00840530" w:rsidRDefault="00CA1A29" w:rsidP="005C75BB">
            <w:pPr>
              <w:rPr>
                <w:rFonts w:ascii="Arial" w:hAnsi="Arial" w:cs="Arial"/>
                <w:sz w:val="16"/>
                <w:szCs w:val="16"/>
              </w:rPr>
            </w:pPr>
          </w:p>
          <w:p w:rsidR="00CA1A29" w:rsidRPr="00840530" w:rsidRDefault="00CA1A29" w:rsidP="005C75BB">
            <w:pPr>
              <w:rPr>
                <w:rFonts w:ascii="Arial" w:hAnsi="Arial" w:cs="Arial"/>
                <w:b/>
                <w:sz w:val="16"/>
                <w:szCs w:val="16"/>
              </w:rPr>
            </w:pPr>
            <w:r>
              <w:rPr>
                <w:rFonts w:ascii="Arial" w:hAnsi="Arial" w:cs="Arial"/>
                <w:b/>
                <w:sz w:val="16"/>
                <w:szCs w:val="16"/>
              </w:rPr>
              <w:t>Tabla</w:t>
            </w:r>
            <w:r w:rsidRPr="00840530">
              <w:rPr>
                <w:rFonts w:ascii="Arial" w:hAnsi="Arial" w:cs="Arial"/>
                <w:b/>
                <w:sz w:val="16"/>
                <w:szCs w:val="16"/>
              </w:rPr>
              <w:t xml:space="preserve"> </w:t>
            </w:r>
            <w:r>
              <w:rPr>
                <w:rFonts w:ascii="Arial" w:hAnsi="Arial" w:cs="Arial"/>
                <w:b/>
                <w:sz w:val="16"/>
                <w:szCs w:val="16"/>
              </w:rPr>
              <w:t>E.1</w:t>
            </w:r>
          </w:p>
          <w:p w:rsidR="00CA1A29" w:rsidRDefault="00CA1A29" w:rsidP="005C75BB">
            <w:pPr>
              <w:rPr>
                <w:rFonts w:ascii="Arial" w:hAnsi="Arial" w:cs="Arial"/>
                <w:i/>
                <w:sz w:val="16"/>
                <w:szCs w:val="16"/>
              </w:rPr>
            </w:pPr>
            <w:r w:rsidRPr="0061360B">
              <w:rPr>
                <w:rFonts w:ascii="Arial" w:hAnsi="Arial" w:cs="Arial"/>
                <w:b/>
                <w:i/>
                <w:sz w:val="16"/>
                <w:szCs w:val="16"/>
              </w:rPr>
              <w:t>…viene</w:t>
            </w:r>
            <w:r>
              <w:rPr>
                <w:rFonts w:ascii="Arial" w:hAnsi="Arial" w:cs="Arial"/>
                <w:i/>
                <w:sz w:val="16"/>
                <w:szCs w:val="16"/>
              </w:rPr>
              <w:t xml:space="preserve"> Total de </w:t>
            </w:r>
            <w:r>
              <w:rPr>
                <w:rFonts w:ascii="Arial" w:hAnsi="Arial" w:cs="Arial"/>
                <w:b/>
                <w:i/>
                <w:sz w:val="18"/>
                <w:szCs w:val="18"/>
              </w:rPr>
              <w:t>E</w:t>
            </w:r>
            <w:r w:rsidRPr="002D208D">
              <w:rPr>
                <w:rFonts w:ascii="Arial" w:hAnsi="Arial" w:cs="Arial"/>
                <w:b/>
                <w:i/>
                <w:sz w:val="18"/>
                <w:szCs w:val="18"/>
              </w:rPr>
              <w:t xml:space="preserve">migrantes </w:t>
            </w:r>
            <w:r>
              <w:rPr>
                <w:rFonts w:ascii="Arial" w:hAnsi="Arial" w:cs="Arial"/>
                <w:i/>
                <w:sz w:val="16"/>
                <w:szCs w:val="16"/>
              </w:rPr>
              <w:t>por País actual de residencia</w:t>
            </w:r>
          </w:p>
          <w:p w:rsidR="00CA1A29" w:rsidRDefault="00CA1A29" w:rsidP="005C75BB">
            <w:pPr>
              <w:rPr>
                <w:rFonts w:ascii="Arial" w:hAnsi="Arial" w:cs="Arial"/>
                <w:i/>
                <w:sz w:val="10"/>
                <w:szCs w:val="10"/>
              </w:rPr>
            </w:pPr>
          </w:p>
          <w:tbl>
            <w:tblPr>
              <w:tblW w:w="6009" w:type="dxa"/>
              <w:jc w:val="center"/>
              <w:tblCellMar>
                <w:left w:w="70" w:type="dxa"/>
                <w:right w:w="70" w:type="dxa"/>
              </w:tblCellMar>
              <w:tblLook w:val="04A0" w:firstRow="1" w:lastRow="0" w:firstColumn="1" w:lastColumn="0" w:noHBand="0" w:noVBand="1"/>
            </w:tblPr>
            <w:tblGrid>
              <w:gridCol w:w="4025"/>
              <w:gridCol w:w="1984"/>
            </w:tblGrid>
            <w:tr w:rsidR="00CA1A29" w:rsidRPr="00D2621B" w:rsidTr="005C75BB">
              <w:trPr>
                <w:trHeight w:val="20"/>
                <w:jc w:val="center"/>
              </w:trPr>
              <w:tc>
                <w:tcPr>
                  <w:tcW w:w="4025" w:type="dxa"/>
                  <w:tcBorders>
                    <w:top w:val="single" w:sz="4" w:space="0" w:color="auto"/>
                    <w:left w:val="nil"/>
                    <w:bottom w:val="single" w:sz="4" w:space="0" w:color="auto"/>
                    <w:right w:val="nil"/>
                  </w:tcBorders>
                  <w:shd w:val="clear" w:color="auto" w:fill="auto"/>
                  <w:vAlign w:val="center"/>
                  <w:hideMark/>
                </w:tcPr>
                <w:p w:rsidR="00CA1A29" w:rsidRPr="00E0418A" w:rsidRDefault="00CA1A29" w:rsidP="00CA1A29">
                  <w:pPr>
                    <w:rPr>
                      <w:rFonts w:ascii="Arial" w:eastAsia="Times New Roman" w:hAnsi="Arial" w:cs="Arial"/>
                      <w:b/>
                      <w:bCs/>
                      <w:sz w:val="15"/>
                      <w:szCs w:val="15"/>
                      <w:lang w:eastAsia="es-EC"/>
                    </w:rPr>
                  </w:pPr>
                  <w:r w:rsidRPr="00E0418A">
                    <w:rPr>
                      <w:rFonts w:ascii="Arial" w:eastAsia="Times New Roman" w:hAnsi="Arial" w:cs="Arial"/>
                      <w:b/>
                      <w:bCs/>
                      <w:sz w:val="15"/>
                      <w:szCs w:val="15"/>
                      <w:lang w:eastAsia="es-EC"/>
                    </w:rPr>
                    <w:t>Actual país de residencia</w:t>
                  </w:r>
                </w:p>
              </w:tc>
              <w:tc>
                <w:tcPr>
                  <w:tcW w:w="1984" w:type="dxa"/>
                  <w:tcBorders>
                    <w:top w:val="single" w:sz="4" w:space="0" w:color="auto"/>
                    <w:left w:val="nil"/>
                    <w:bottom w:val="single" w:sz="4" w:space="0" w:color="auto"/>
                    <w:right w:val="nil"/>
                  </w:tcBorders>
                  <w:shd w:val="clear" w:color="auto" w:fill="auto"/>
                  <w:vAlign w:val="center"/>
                  <w:hideMark/>
                </w:tcPr>
                <w:p w:rsidR="00CA1A29" w:rsidRPr="00E0418A" w:rsidRDefault="00CA1A29" w:rsidP="005C75BB">
                  <w:pPr>
                    <w:rPr>
                      <w:rFonts w:ascii="Arial" w:eastAsia="Times New Roman" w:hAnsi="Arial" w:cs="Arial"/>
                      <w:b/>
                      <w:bCs/>
                      <w:sz w:val="15"/>
                      <w:szCs w:val="15"/>
                      <w:lang w:eastAsia="es-EC"/>
                    </w:rPr>
                  </w:pPr>
                  <w:r w:rsidRPr="00E0418A">
                    <w:rPr>
                      <w:rFonts w:ascii="Arial" w:eastAsia="Times New Roman" w:hAnsi="Arial" w:cs="Arial"/>
                      <w:b/>
                      <w:bCs/>
                      <w:sz w:val="15"/>
                      <w:szCs w:val="15"/>
                      <w:lang w:eastAsia="es-EC"/>
                    </w:rPr>
                    <w:t>Frecuencia Absoluta</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Guyana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Belice</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Guayana Francesa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Caimán, Islas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Líbano</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Viet Nam del Sur</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Guinea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Sudan</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3</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Malvinas Islas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Surinam</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Vírgenes (Británicas), Islas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Turcas y Caicos, Islas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Gibraltar</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Canal, Islas  (Normandas)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San Pedro y Miguelón</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Otras Naciones de Asia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Azerbaijan</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Camerún</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Marruecos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Ghana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Palau (Belau) Islas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Kiribati</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Cook, Islas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San Vicente y las Granadinas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Johnston, islas</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Montserrat Isla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Anguila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Samoa Americana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San Marino</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Vaticano (Santa Sede), Estado de la Ciudad del</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Belarusia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Estonia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Letonia (Latvia)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Bonaire, Isla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Camboya (Cambodia), Kampuchea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Laos, República Democrática (RPD)</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Malasia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Chipre</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Swazilandia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Yemen Democrático</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Zona Neutral (Palestina)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Malasia, Península de</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Burundi</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Gambia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Zimbabwe (Rhodesia)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Tanzania, (República Unida de)</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Costa de Marfil (Cote D. Ivoire)</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Chad</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Lesotho</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Tunez</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Santa Elena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Samoa Occidental</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Otras Naciones de Oceanía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Tonga</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nil"/>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Vanuato</w:t>
                  </w:r>
                </w:p>
              </w:tc>
              <w:tc>
                <w:tcPr>
                  <w:tcW w:w="1984" w:type="dxa"/>
                  <w:tcBorders>
                    <w:top w:val="nil"/>
                    <w:left w:val="nil"/>
                    <w:bottom w:val="nil"/>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w:t>
                  </w:r>
                </w:p>
              </w:tc>
            </w:tr>
            <w:tr w:rsidR="00CA1A29" w:rsidRPr="00D2621B" w:rsidTr="005C75BB">
              <w:trPr>
                <w:trHeight w:val="20"/>
                <w:jc w:val="center"/>
              </w:trPr>
              <w:tc>
                <w:tcPr>
                  <w:tcW w:w="4025" w:type="dxa"/>
                  <w:tcBorders>
                    <w:top w:val="nil"/>
                    <w:left w:val="nil"/>
                    <w:bottom w:val="single" w:sz="4" w:space="0" w:color="auto"/>
                    <w:right w:val="nil"/>
                  </w:tcBorders>
                  <w:shd w:val="clear" w:color="auto" w:fill="auto"/>
                  <w:vAlign w:val="center"/>
                  <w:hideMark/>
                </w:tcPr>
                <w:p w:rsidR="00CA1A29" w:rsidRPr="00E0418A" w:rsidRDefault="00CA1A29" w:rsidP="00CA1A29">
                  <w:pPr>
                    <w:jc w:val="left"/>
                    <w:rPr>
                      <w:rFonts w:ascii="Arial" w:eastAsia="Times New Roman" w:hAnsi="Arial" w:cs="Arial"/>
                      <w:sz w:val="15"/>
                      <w:szCs w:val="15"/>
                      <w:lang w:eastAsia="es-EC"/>
                    </w:rPr>
                  </w:pPr>
                  <w:r w:rsidRPr="00E0418A">
                    <w:rPr>
                      <w:rFonts w:ascii="Arial" w:eastAsia="Times New Roman" w:hAnsi="Arial" w:cs="Arial"/>
                      <w:sz w:val="15"/>
                      <w:szCs w:val="15"/>
                      <w:lang w:eastAsia="es-EC"/>
                    </w:rPr>
                    <w:t>No especifica</w:t>
                  </w:r>
                </w:p>
              </w:tc>
              <w:tc>
                <w:tcPr>
                  <w:tcW w:w="1984" w:type="dxa"/>
                  <w:tcBorders>
                    <w:top w:val="nil"/>
                    <w:left w:val="nil"/>
                    <w:bottom w:val="single" w:sz="4" w:space="0" w:color="auto"/>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13955</w:t>
                  </w:r>
                </w:p>
              </w:tc>
            </w:tr>
            <w:tr w:rsidR="00CA1A29" w:rsidRPr="00D2621B" w:rsidTr="005C75BB">
              <w:trPr>
                <w:trHeight w:val="20"/>
                <w:jc w:val="center"/>
              </w:trPr>
              <w:tc>
                <w:tcPr>
                  <w:tcW w:w="4025" w:type="dxa"/>
                  <w:tcBorders>
                    <w:top w:val="single" w:sz="4" w:space="0" w:color="auto"/>
                    <w:left w:val="nil"/>
                    <w:bottom w:val="single" w:sz="4" w:space="0" w:color="auto"/>
                    <w:right w:val="nil"/>
                  </w:tcBorders>
                  <w:shd w:val="clear" w:color="auto" w:fill="auto"/>
                  <w:vAlign w:val="center"/>
                  <w:hideMark/>
                </w:tcPr>
                <w:p w:rsidR="00CA1A29" w:rsidRPr="00E0418A" w:rsidRDefault="00CA1A29" w:rsidP="00CA1A29">
                  <w:pPr>
                    <w:jc w:val="left"/>
                    <w:rPr>
                      <w:rFonts w:ascii="Arial" w:eastAsia="Times New Roman" w:hAnsi="Arial" w:cs="Arial"/>
                      <w:b/>
                      <w:bCs/>
                      <w:sz w:val="15"/>
                      <w:szCs w:val="15"/>
                      <w:lang w:eastAsia="es-EC"/>
                    </w:rPr>
                  </w:pPr>
                  <w:r w:rsidRPr="00E0418A">
                    <w:rPr>
                      <w:rFonts w:ascii="Arial" w:eastAsia="Times New Roman" w:hAnsi="Arial" w:cs="Arial"/>
                      <w:b/>
                      <w:bCs/>
                      <w:sz w:val="15"/>
                      <w:szCs w:val="15"/>
                      <w:lang w:eastAsia="es-EC"/>
                    </w:rPr>
                    <w:t>Total</w:t>
                  </w:r>
                </w:p>
              </w:tc>
              <w:tc>
                <w:tcPr>
                  <w:tcW w:w="1984" w:type="dxa"/>
                  <w:tcBorders>
                    <w:top w:val="single" w:sz="4" w:space="0" w:color="auto"/>
                    <w:left w:val="nil"/>
                    <w:bottom w:val="single" w:sz="4" w:space="0" w:color="auto"/>
                    <w:right w:val="nil"/>
                  </w:tcBorders>
                  <w:shd w:val="clear" w:color="auto" w:fill="auto"/>
                  <w:vAlign w:val="center"/>
                  <w:hideMark/>
                </w:tcPr>
                <w:p w:rsidR="00CA1A29" w:rsidRPr="00E0418A" w:rsidRDefault="00CA1A29" w:rsidP="005C75BB">
                  <w:pPr>
                    <w:rPr>
                      <w:rFonts w:ascii="Arial" w:eastAsia="Times New Roman" w:hAnsi="Arial" w:cs="Arial"/>
                      <w:sz w:val="15"/>
                      <w:szCs w:val="15"/>
                      <w:lang w:eastAsia="es-EC"/>
                    </w:rPr>
                  </w:pPr>
                  <w:r w:rsidRPr="00E0418A">
                    <w:rPr>
                      <w:rFonts w:ascii="Arial" w:eastAsia="Times New Roman" w:hAnsi="Arial" w:cs="Arial"/>
                      <w:sz w:val="15"/>
                      <w:szCs w:val="15"/>
                      <w:lang w:eastAsia="es-EC"/>
                    </w:rPr>
                    <w:t>280407</w:t>
                  </w:r>
                </w:p>
              </w:tc>
            </w:tr>
          </w:tbl>
          <w:p w:rsidR="00CA1A29" w:rsidRPr="00840530" w:rsidRDefault="00CA1A29" w:rsidP="005C75BB">
            <w:pPr>
              <w:jc w:val="right"/>
              <w:rPr>
                <w:rFonts w:ascii="Arial" w:hAnsi="Arial" w:cs="Arial"/>
                <w:sz w:val="24"/>
                <w:szCs w:val="24"/>
              </w:rPr>
            </w:pPr>
          </w:p>
        </w:tc>
      </w:tr>
    </w:tbl>
    <w:p w:rsidR="00CA1A29" w:rsidRPr="00E0418A" w:rsidRDefault="00CA1A29" w:rsidP="00CA1A29">
      <w:pPr>
        <w:pStyle w:val="Prrafodelista"/>
        <w:spacing w:line="276" w:lineRule="auto"/>
        <w:ind w:left="0"/>
        <w:jc w:val="both"/>
        <w:rPr>
          <w:rFonts w:ascii="Arial" w:hAnsi="Arial" w:cs="Arial"/>
          <w:b/>
          <w:i/>
          <w:sz w:val="14"/>
          <w:szCs w:val="14"/>
        </w:rPr>
      </w:pPr>
    </w:p>
    <w:p w:rsidR="00CA1A29" w:rsidRDefault="00CA1A29" w:rsidP="00CA1A29">
      <w:pPr>
        <w:pStyle w:val="Prrafodelista"/>
        <w:spacing w:line="276" w:lineRule="auto"/>
        <w:ind w:left="0"/>
        <w:jc w:val="both"/>
        <w:rPr>
          <w:rFonts w:ascii="Arial" w:hAnsi="Arial" w:cs="Arial"/>
          <w:sz w:val="18"/>
          <w:szCs w:val="18"/>
        </w:rPr>
      </w:pPr>
      <w:r>
        <w:rPr>
          <w:rFonts w:ascii="Arial" w:hAnsi="Arial" w:cs="Arial"/>
          <w:b/>
          <w:i/>
          <w:sz w:val="18"/>
          <w:szCs w:val="18"/>
        </w:rPr>
        <w:t>Fuente:</w:t>
      </w:r>
      <w:r>
        <w:rPr>
          <w:rFonts w:ascii="Arial" w:hAnsi="Arial" w:cs="Arial"/>
          <w:sz w:val="18"/>
          <w:szCs w:val="18"/>
        </w:rPr>
        <w:t xml:space="preserve"> </w:t>
      </w:r>
      <w:r w:rsidRPr="00C239C6">
        <w:rPr>
          <w:rFonts w:ascii="Arial" w:hAnsi="Arial" w:cs="Arial"/>
          <w:b/>
          <w:sz w:val="18"/>
          <w:szCs w:val="18"/>
        </w:rPr>
        <w:t>INEC</w:t>
      </w:r>
      <w:r>
        <w:rPr>
          <w:rFonts w:ascii="Arial" w:hAnsi="Arial" w:cs="Arial"/>
          <w:b/>
          <w:sz w:val="18"/>
          <w:szCs w:val="18"/>
        </w:rPr>
        <w:t xml:space="preserve"> </w:t>
      </w:r>
      <w:r>
        <w:rPr>
          <w:rFonts w:ascii="Arial" w:hAnsi="Arial" w:cs="Arial"/>
          <w:sz w:val="18"/>
          <w:szCs w:val="18"/>
        </w:rPr>
        <w:t xml:space="preserve">(2010), Base de Datos del </w:t>
      </w:r>
      <w:r w:rsidRPr="00C239C6">
        <w:rPr>
          <w:rFonts w:ascii="Arial" w:hAnsi="Arial" w:cs="Arial"/>
          <w:sz w:val="18"/>
          <w:szCs w:val="18"/>
        </w:rPr>
        <w:t>VII</w:t>
      </w:r>
      <w:r>
        <w:rPr>
          <w:rFonts w:ascii="Arial" w:hAnsi="Arial" w:cs="Arial"/>
          <w:sz w:val="18"/>
          <w:szCs w:val="18"/>
        </w:rPr>
        <w:t xml:space="preserve"> Censo de Población y VI de Vivienda.</w:t>
      </w:r>
    </w:p>
    <w:p w:rsidR="00CA1A29" w:rsidRDefault="00CA1A29" w:rsidP="00CA1A29">
      <w:pPr>
        <w:pStyle w:val="Prrafodelista"/>
        <w:spacing w:line="276" w:lineRule="auto"/>
        <w:ind w:left="0"/>
        <w:jc w:val="both"/>
        <w:rPr>
          <w:rFonts w:ascii="Arial" w:hAnsi="Arial" w:cs="Arial"/>
          <w:sz w:val="18"/>
          <w:szCs w:val="18"/>
        </w:rPr>
      </w:pPr>
      <w:r>
        <w:rPr>
          <w:rFonts w:ascii="Arial" w:hAnsi="Arial" w:cs="Arial"/>
          <w:b/>
          <w:i/>
          <w:sz w:val="18"/>
          <w:szCs w:val="18"/>
        </w:rPr>
        <w:t>Elaborado por:</w:t>
      </w:r>
      <w:r>
        <w:rPr>
          <w:rFonts w:ascii="Arial" w:hAnsi="Arial" w:cs="Arial"/>
          <w:sz w:val="18"/>
          <w:szCs w:val="18"/>
        </w:rPr>
        <w:t xml:space="preserve"> Katherine Loor Valeriano</w:t>
      </w:r>
    </w:p>
    <w:p w:rsidR="00CA1A29" w:rsidRDefault="00CA1A29" w:rsidP="00CA1A29">
      <w:pPr>
        <w:pStyle w:val="Prrafodelista"/>
        <w:ind w:left="0"/>
        <w:jc w:val="both"/>
        <w:rPr>
          <w:rFonts w:ascii="Arial" w:hAnsi="Arial" w:cs="Arial"/>
          <w:sz w:val="18"/>
          <w:szCs w:val="18"/>
        </w:rPr>
      </w:pPr>
    </w:p>
    <w:p w:rsidR="00CA1A29" w:rsidRDefault="00CA1A29" w:rsidP="00CA1A29">
      <w:pPr>
        <w:pStyle w:val="Prrafodelista"/>
        <w:ind w:left="0"/>
        <w:jc w:val="both"/>
        <w:rPr>
          <w:rFonts w:ascii="Arial" w:hAnsi="Arial" w:cs="Arial"/>
          <w:sz w:val="18"/>
          <w:szCs w:val="18"/>
        </w:rPr>
      </w:pPr>
    </w:p>
    <w:tbl>
      <w:tblPr>
        <w:tblStyle w:val="Tablaconcuadrcula"/>
        <w:tblW w:w="8222" w:type="dxa"/>
        <w:jc w:val="center"/>
        <w:tblInd w:w="10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8222"/>
      </w:tblGrid>
      <w:tr w:rsidR="00CA1A29" w:rsidRPr="00840530" w:rsidTr="005C75BB">
        <w:trPr>
          <w:trHeight w:val="11565"/>
          <w:jc w:val="center"/>
        </w:trPr>
        <w:tc>
          <w:tcPr>
            <w:tcW w:w="8222" w:type="dxa"/>
          </w:tcPr>
          <w:p w:rsidR="00CA1A29" w:rsidRPr="00840530" w:rsidRDefault="00CA1A29" w:rsidP="005C75BB">
            <w:pPr>
              <w:rPr>
                <w:rFonts w:ascii="Arial" w:hAnsi="Arial" w:cs="Arial"/>
                <w:sz w:val="16"/>
                <w:szCs w:val="16"/>
              </w:rPr>
            </w:pPr>
          </w:p>
          <w:p w:rsidR="00CA1A29" w:rsidRPr="00840530" w:rsidRDefault="00CA1A29" w:rsidP="005C75BB">
            <w:pPr>
              <w:rPr>
                <w:rFonts w:ascii="Arial" w:hAnsi="Arial" w:cs="Arial"/>
                <w:b/>
                <w:sz w:val="16"/>
                <w:szCs w:val="16"/>
              </w:rPr>
            </w:pPr>
            <w:r>
              <w:rPr>
                <w:rFonts w:ascii="Arial" w:hAnsi="Arial" w:cs="Arial"/>
                <w:b/>
                <w:sz w:val="16"/>
                <w:szCs w:val="16"/>
              </w:rPr>
              <w:t>Tabla</w:t>
            </w:r>
            <w:r w:rsidRPr="00840530">
              <w:rPr>
                <w:rFonts w:ascii="Arial" w:hAnsi="Arial" w:cs="Arial"/>
                <w:b/>
                <w:sz w:val="16"/>
                <w:szCs w:val="16"/>
              </w:rPr>
              <w:t xml:space="preserve"> </w:t>
            </w:r>
            <w:r>
              <w:rPr>
                <w:rFonts w:ascii="Arial" w:hAnsi="Arial" w:cs="Arial"/>
                <w:b/>
                <w:sz w:val="16"/>
                <w:szCs w:val="16"/>
              </w:rPr>
              <w:t>E.2</w:t>
            </w:r>
          </w:p>
          <w:p w:rsidR="00CA1A29" w:rsidRDefault="00CA1A29" w:rsidP="005C75BB">
            <w:pPr>
              <w:rPr>
                <w:rFonts w:ascii="Arial" w:hAnsi="Arial" w:cs="Arial"/>
                <w:i/>
                <w:sz w:val="16"/>
                <w:szCs w:val="16"/>
              </w:rPr>
            </w:pPr>
            <w:r>
              <w:rPr>
                <w:rFonts w:ascii="Arial" w:hAnsi="Arial" w:cs="Arial"/>
                <w:i/>
                <w:sz w:val="16"/>
                <w:szCs w:val="16"/>
              </w:rPr>
              <w:t xml:space="preserve">Total de </w:t>
            </w:r>
            <w:r>
              <w:rPr>
                <w:rFonts w:ascii="Arial" w:hAnsi="Arial" w:cs="Arial"/>
                <w:b/>
                <w:i/>
                <w:sz w:val="18"/>
                <w:szCs w:val="18"/>
              </w:rPr>
              <w:t>E</w:t>
            </w:r>
            <w:r w:rsidRPr="002D208D">
              <w:rPr>
                <w:rFonts w:ascii="Arial" w:hAnsi="Arial" w:cs="Arial"/>
                <w:b/>
                <w:i/>
                <w:sz w:val="18"/>
                <w:szCs w:val="18"/>
              </w:rPr>
              <w:t xml:space="preserve">migrantes </w:t>
            </w:r>
            <w:r>
              <w:rPr>
                <w:rFonts w:ascii="Arial" w:hAnsi="Arial" w:cs="Arial"/>
                <w:i/>
                <w:sz w:val="16"/>
                <w:szCs w:val="16"/>
              </w:rPr>
              <w:t>por País actual de residencia y motivo principal del viaje</w:t>
            </w:r>
          </w:p>
          <w:p w:rsidR="00CA1A29" w:rsidRDefault="00CA1A29" w:rsidP="005C75BB">
            <w:pPr>
              <w:rPr>
                <w:rFonts w:ascii="Arial" w:hAnsi="Arial" w:cs="Arial"/>
                <w:i/>
                <w:sz w:val="10"/>
                <w:szCs w:val="10"/>
              </w:rPr>
            </w:pPr>
          </w:p>
          <w:tbl>
            <w:tblPr>
              <w:tblW w:w="7427" w:type="dxa"/>
              <w:jc w:val="center"/>
              <w:tblCellMar>
                <w:left w:w="70" w:type="dxa"/>
                <w:right w:w="70" w:type="dxa"/>
              </w:tblCellMar>
              <w:tblLook w:val="04A0" w:firstRow="1" w:lastRow="0" w:firstColumn="1" w:lastColumn="0" w:noHBand="0" w:noVBand="1"/>
            </w:tblPr>
            <w:tblGrid>
              <w:gridCol w:w="2835"/>
              <w:gridCol w:w="850"/>
              <w:gridCol w:w="850"/>
              <w:gridCol w:w="1191"/>
              <w:gridCol w:w="850"/>
              <w:gridCol w:w="851"/>
            </w:tblGrid>
            <w:tr w:rsidR="00CA1A29" w:rsidRPr="00ED64A6" w:rsidTr="005C75BB">
              <w:trPr>
                <w:trHeight w:val="20"/>
                <w:jc w:val="center"/>
              </w:trPr>
              <w:tc>
                <w:tcPr>
                  <w:tcW w:w="2835" w:type="dxa"/>
                  <w:vMerge w:val="restart"/>
                  <w:tcBorders>
                    <w:top w:val="single" w:sz="4" w:space="0" w:color="auto"/>
                    <w:left w:val="nil"/>
                    <w:bottom w:val="single" w:sz="4" w:space="0" w:color="000000"/>
                    <w:right w:val="nil"/>
                  </w:tcBorders>
                  <w:shd w:val="clear" w:color="auto" w:fill="auto"/>
                  <w:vAlign w:val="center"/>
                  <w:hideMark/>
                </w:tcPr>
                <w:p w:rsidR="00CA1A29" w:rsidRPr="00ED64A6" w:rsidRDefault="00CA1A29" w:rsidP="00CA1A29">
                  <w:pPr>
                    <w:rPr>
                      <w:rFonts w:ascii="Arial" w:eastAsia="Times New Roman" w:hAnsi="Arial" w:cs="Arial"/>
                      <w:b/>
                      <w:bCs/>
                      <w:color w:val="000000"/>
                      <w:sz w:val="15"/>
                      <w:szCs w:val="15"/>
                      <w:lang w:eastAsia="es-EC"/>
                    </w:rPr>
                  </w:pPr>
                  <w:r w:rsidRPr="00ED64A6">
                    <w:rPr>
                      <w:rFonts w:ascii="Arial" w:eastAsia="Times New Roman" w:hAnsi="Arial" w:cs="Arial"/>
                      <w:b/>
                      <w:bCs/>
                      <w:color w:val="000000"/>
                      <w:sz w:val="15"/>
                      <w:szCs w:val="15"/>
                      <w:lang w:eastAsia="es-EC"/>
                    </w:rPr>
                    <w:t>País de residencia actual</w:t>
                  </w:r>
                </w:p>
              </w:tc>
              <w:tc>
                <w:tcPr>
                  <w:tcW w:w="3741" w:type="dxa"/>
                  <w:gridSpan w:val="4"/>
                  <w:tcBorders>
                    <w:top w:val="single" w:sz="4" w:space="0" w:color="auto"/>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Cual fue el principal motivo de viaje</w:t>
                  </w:r>
                </w:p>
              </w:tc>
              <w:tc>
                <w:tcPr>
                  <w:tcW w:w="851" w:type="dxa"/>
                  <w:vMerge w:val="restart"/>
                  <w:tcBorders>
                    <w:top w:val="single" w:sz="4" w:space="0" w:color="auto"/>
                    <w:left w:val="nil"/>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Total</w:t>
                  </w:r>
                </w:p>
              </w:tc>
            </w:tr>
            <w:tr w:rsidR="00CA1A29" w:rsidRPr="00ED64A6" w:rsidTr="005C75BB">
              <w:trPr>
                <w:trHeight w:val="20"/>
                <w:jc w:val="center"/>
              </w:trPr>
              <w:tc>
                <w:tcPr>
                  <w:tcW w:w="2835" w:type="dxa"/>
                  <w:vMerge/>
                  <w:tcBorders>
                    <w:top w:val="single" w:sz="4" w:space="0" w:color="auto"/>
                    <w:left w:val="nil"/>
                    <w:bottom w:val="single" w:sz="4" w:space="0" w:color="000000"/>
                    <w:right w:val="nil"/>
                  </w:tcBorders>
                  <w:vAlign w:val="center"/>
                  <w:hideMark/>
                </w:tcPr>
                <w:p w:rsidR="00CA1A29" w:rsidRPr="00ED64A6" w:rsidRDefault="00CA1A29" w:rsidP="00CA1A29">
                  <w:pPr>
                    <w:jc w:val="left"/>
                    <w:rPr>
                      <w:rFonts w:ascii="Arial" w:eastAsia="Times New Roman" w:hAnsi="Arial" w:cs="Arial"/>
                      <w:b/>
                      <w:bCs/>
                      <w:color w:val="000000"/>
                      <w:sz w:val="15"/>
                      <w:szCs w:val="15"/>
                      <w:lang w:eastAsia="es-EC"/>
                    </w:rPr>
                  </w:pPr>
                </w:p>
              </w:tc>
              <w:tc>
                <w:tcPr>
                  <w:tcW w:w="850" w:type="dxa"/>
                  <w:tcBorders>
                    <w:top w:val="nil"/>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Trabajo</w:t>
                  </w:r>
                </w:p>
              </w:tc>
              <w:tc>
                <w:tcPr>
                  <w:tcW w:w="850" w:type="dxa"/>
                  <w:tcBorders>
                    <w:top w:val="nil"/>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Estudios</w:t>
                  </w:r>
                </w:p>
              </w:tc>
              <w:tc>
                <w:tcPr>
                  <w:tcW w:w="1191" w:type="dxa"/>
                  <w:tcBorders>
                    <w:top w:val="nil"/>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Unión Familiar</w:t>
                  </w:r>
                </w:p>
              </w:tc>
              <w:tc>
                <w:tcPr>
                  <w:tcW w:w="850" w:type="dxa"/>
                  <w:tcBorders>
                    <w:top w:val="nil"/>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Otro</w:t>
                  </w:r>
                </w:p>
              </w:tc>
              <w:tc>
                <w:tcPr>
                  <w:tcW w:w="851" w:type="dxa"/>
                  <w:vMerge/>
                  <w:tcBorders>
                    <w:left w:val="nil"/>
                    <w:bottom w:val="single" w:sz="4" w:space="0" w:color="000000"/>
                    <w:right w:val="nil"/>
                  </w:tcBorders>
                  <w:vAlign w:val="center"/>
                  <w:hideMark/>
                </w:tcPr>
                <w:p w:rsidR="00CA1A29" w:rsidRPr="00ED64A6" w:rsidRDefault="00CA1A29" w:rsidP="005C75BB">
                  <w:pPr>
                    <w:rPr>
                      <w:rFonts w:ascii="Arial" w:eastAsia="Times New Roman" w:hAnsi="Arial" w:cs="Arial"/>
                      <w:color w:val="000000"/>
                      <w:sz w:val="15"/>
                      <w:szCs w:val="15"/>
                      <w:lang w:eastAsia="es-EC"/>
                    </w:rPr>
                  </w:pP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España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90866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9211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22297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4192</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126566</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Estados Unidos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52891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8651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12839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5692</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80073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Italia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15068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1944</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4258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818</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22088</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Chile</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2800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920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860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375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4955</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Colombia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1650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550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978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738</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3916</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Venezuela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2093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411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657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327</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3488</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Argentina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477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1950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242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215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2884</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Canadá</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855</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678</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570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192</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2295</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Alemania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522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778</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384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100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1784</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Bélgica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1066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294</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349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72</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1781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Cuba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1489</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104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59</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1770</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Pr>
                      <w:rFonts w:ascii="Arial" w:eastAsia="Times New Roman" w:hAnsi="Arial" w:cs="Arial"/>
                      <w:sz w:val="15"/>
                      <w:szCs w:val="15"/>
                      <w:lang w:eastAsia="es-EC"/>
                    </w:rPr>
                    <w:t>Reino Unido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790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428</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301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99</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1618</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Francia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542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572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194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1379</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México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452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615</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148</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1355</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Perú</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477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178</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293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345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1293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Suiza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544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196</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241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86</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1067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Brasil</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369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274</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812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Países Bajos (Holanda)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274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156</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591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Panamá</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251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96</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487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Suecia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161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370</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Bolivia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119</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353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China República Popular (Pekin)</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109</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309</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Costa Rica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109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102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289</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Australia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119</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16</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287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Dominicana, República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26</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263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Rusia, Federación de (Unión Soviética)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204</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253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Alboran y Perejil</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156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252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Austria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75</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56</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249</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Israel</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44</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16</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224</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Honduras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167</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219</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Portugal</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163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Alemania, República Democrática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69</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160</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Ucrania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Grecia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16</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35</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Guatemala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25</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Dinamarca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37</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128</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Albania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19</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Paraguay</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18</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Japón</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Uruguay</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94</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Noruega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Haití</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90</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Aruba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90</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Finlandia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19</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78</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Nicaragua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Otras naciones de Äfrica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70</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Otras Naciones de Europa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Irlanda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Bulgaria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60</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Taiwan, Provincia de China (Nacionalista)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29</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58</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Puerto Rico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Checa, República (Checoslovaquia)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27</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El Salvador</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54</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Polonia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19</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Sudafrica (Ciskei)</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46</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Nueva Zelandia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44</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Corea del Sur, República de</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40</w:t>
                  </w:r>
                </w:p>
              </w:tc>
            </w:tr>
          </w:tbl>
          <w:p w:rsidR="00CA1A29" w:rsidRPr="00640056" w:rsidRDefault="00CA1A29" w:rsidP="005C75BB">
            <w:pPr>
              <w:jc w:val="right"/>
              <w:rPr>
                <w:rFonts w:ascii="Arial" w:hAnsi="Arial" w:cs="Arial"/>
                <w:b/>
                <w:i/>
                <w:sz w:val="10"/>
                <w:szCs w:val="10"/>
              </w:rPr>
            </w:pPr>
          </w:p>
          <w:p w:rsidR="00CA1A29" w:rsidRDefault="00CA1A29" w:rsidP="005C75BB">
            <w:pPr>
              <w:jc w:val="right"/>
              <w:rPr>
                <w:rFonts w:ascii="Arial" w:hAnsi="Arial" w:cs="Arial"/>
                <w:b/>
                <w:i/>
                <w:sz w:val="16"/>
                <w:szCs w:val="16"/>
              </w:rPr>
            </w:pPr>
            <w:r w:rsidRPr="0061360B">
              <w:rPr>
                <w:rFonts w:ascii="Arial" w:hAnsi="Arial" w:cs="Arial"/>
                <w:b/>
                <w:i/>
                <w:sz w:val="16"/>
                <w:szCs w:val="16"/>
              </w:rPr>
              <w:t>Continúa…</w:t>
            </w:r>
          </w:p>
          <w:p w:rsidR="00CA1A29" w:rsidRPr="00640056" w:rsidRDefault="00CA1A29" w:rsidP="005C75BB">
            <w:pPr>
              <w:jc w:val="right"/>
              <w:rPr>
                <w:rFonts w:ascii="Arial" w:hAnsi="Arial" w:cs="Arial"/>
                <w:sz w:val="4"/>
                <w:szCs w:val="4"/>
              </w:rPr>
            </w:pPr>
          </w:p>
        </w:tc>
      </w:tr>
    </w:tbl>
    <w:p w:rsidR="00CA1A29" w:rsidRPr="00E0418A" w:rsidRDefault="00CA1A29" w:rsidP="00CA1A29">
      <w:pPr>
        <w:pStyle w:val="Prrafodelista"/>
        <w:spacing w:line="276" w:lineRule="auto"/>
        <w:ind w:left="0"/>
        <w:jc w:val="both"/>
        <w:rPr>
          <w:rFonts w:ascii="Arial" w:hAnsi="Arial" w:cs="Arial"/>
          <w:b/>
          <w:i/>
          <w:sz w:val="14"/>
          <w:szCs w:val="14"/>
        </w:rPr>
      </w:pPr>
    </w:p>
    <w:p w:rsidR="00CA1A29" w:rsidRDefault="00CA1A29" w:rsidP="00CA1A29">
      <w:pPr>
        <w:pStyle w:val="Prrafodelista"/>
        <w:spacing w:line="276" w:lineRule="auto"/>
        <w:ind w:left="0"/>
        <w:jc w:val="both"/>
        <w:rPr>
          <w:rFonts w:ascii="Arial" w:hAnsi="Arial" w:cs="Arial"/>
          <w:sz w:val="18"/>
          <w:szCs w:val="18"/>
        </w:rPr>
      </w:pPr>
      <w:r>
        <w:rPr>
          <w:rFonts w:ascii="Arial" w:hAnsi="Arial" w:cs="Arial"/>
          <w:b/>
          <w:i/>
          <w:sz w:val="18"/>
          <w:szCs w:val="18"/>
        </w:rPr>
        <w:t>Fuente:</w:t>
      </w:r>
      <w:r>
        <w:rPr>
          <w:rFonts w:ascii="Arial" w:hAnsi="Arial" w:cs="Arial"/>
          <w:sz w:val="18"/>
          <w:szCs w:val="18"/>
        </w:rPr>
        <w:t xml:space="preserve"> </w:t>
      </w:r>
      <w:r w:rsidRPr="00C239C6">
        <w:rPr>
          <w:rFonts w:ascii="Arial" w:hAnsi="Arial" w:cs="Arial"/>
          <w:b/>
          <w:sz w:val="18"/>
          <w:szCs w:val="18"/>
        </w:rPr>
        <w:t>INEC</w:t>
      </w:r>
      <w:r>
        <w:rPr>
          <w:rFonts w:ascii="Arial" w:hAnsi="Arial" w:cs="Arial"/>
          <w:b/>
          <w:sz w:val="18"/>
          <w:szCs w:val="18"/>
        </w:rPr>
        <w:t xml:space="preserve"> </w:t>
      </w:r>
      <w:r>
        <w:rPr>
          <w:rFonts w:ascii="Arial" w:hAnsi="Arial" w:cs="Arial"/>
          <w:sz w:val="18"/>
          <w:szCs w:val="18"/>
        </w:rPr>
        <w:t xml:space="preserve">(2010), Base de Datos del </w:t>
      </w:r>
      <w:r w:rsidRPr="00C239C6">
        <w:rPr>
          <w:rFonts w:ascii="Arial" w:hAnsi="Arial" w:cs="Arial"/>
          <w:sz w:val="18"/>
          <w:szCs w:val="18"/>
        </w:rPr>
        <w:t>VII</w:t>
      </w:r>
      <w:r>
        <w:rPr>
          <w:rFonts w:ascii="Arial" w:hAnsi="Arial" w:cs="Arial"/>
          <w:sz w:val="18"/>
          <w:szCs w:val="18"/>
        </w:rPr>
        <w:t xml:space="preserve"> Censo de Población y VI de Vivienda.</w:t>
      </w:r>
    </w:p>
    <w:p w:rsidR="00CA1A29" w:rsidRDefault="00CA1A29" w:rsidP="00CA1A29">
      <w:pPr>
        <w:pStyle w:val="Prrafodelista"/>
        <w:spacing w:line="276" w:lineRule="auto"/>
        <w:ind w:left="0"/>
        <w:jc w:val="both"/>
        <w:rPr>
          <w:rFonts w:ascii="Arial" w:hAnsi="Arial" w:cs="Arial"/>
          <w:sz w:val="18"/>
          <w:szCs w:val="18"/>
        </w:rPr>
      </w:pPr>
      <w:r>
        <w:rPr>
          <w:rFonts w:ascii="Arial" w:hAnsi="Arial" w:cs="Arial"/>
          <w:b/>
          <w:i/>
          <w:sz w:val="18"/>
          <w:szCs w:val="18"/>
        </w:rPr>
        <w:t>Elaborado por:</w:t>
      </w:r>
      <w:r>
        <w:rPr>
          <w:rFonts w:ascii="Arial" w:hAnsi="Arial" w:cs="Arial"/>
          <w:sz w:val="18"/>
          <w:szCs w:val="18"/>
        </w:rPr>
        <w:t xml:space="preserve"> Katherine Loor Valeriano</w:t>
      </w:r>
    </w:p>
    <w:tbl>
      <w:tblPr>
        <w:tblStyle w:val="Tablaconcuadrcula"/>
        <w:tblW w:w="8222" w:type="dxa"/>
        <w:jc w:val="center"/>
        <w:tblInd w:w="3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8222"/>
      </w:tblGrid>
      <w:tr w:rsidR="00CA1A29" w:rsidRPr="00840530" w:rsidTr="005C75BB">
        <w:trPr>
          <w:trHeight w:val="10942"/>
          <w:jc w:val="center"/>
        </w:trPr>
        <w:tc>
          <w:tcPr>
            <w:tcW w:w="8222" w:type="dxa"/>
          </w:tcPr>
          <w:p w:rsidR="00CA1A29" w:rsidRPr="00840530" w:rsidRDefault="00CA1A29" w:rsidP="005C75BB">
            <w:pPr>
              <w:rPr>
                <w:rFonts w:ascii="Arial" w:hAnsi="Arial" w:cs="Arial"/>
                <w:sz w:val="16"/>
                <w:szCs w:val="16"/>
              </w:rPr>
            </w:pPr>
          </w:p>
          <w:p w:rsidR="00CA1A29" w:rsidRPr="00840530" w:rsidRDefault="00CA1A29" w:rsidP="005C75BB">
            <w:pPr>
              <w:rPr>
                <w:rFonts w:ascii="Arial" w:hAnsi="Arial" w:cs="Arial"/>
                <w:b/>
                <w:sz w:val="16"/>
                <w:szCs w:val="16"/>
              </w:rPr>
            </w:pPr>
            <w:r>
              <w:rPr>
                <w:rFonts w:ascii="Arial" w:hAnsi="Arial" w:cs="Arial"/>
                <w:b/>
                <w:sz w:val="16"/>
                <w:szCs w:val="16"/>
              </w:rPr>
              <w:t>Tabla</w:t>
            </w:r>
            <w:r w:rsidRPr="00840530">
              <w:rPr>
                <w:rFonts w:ascii="Arial" w:hAnsi="Arial" w:cs="Arial"/>
                <w:b/>
                <w:sz w:val="16"/>
                <w:szCs w:val="16"/>
              </w:rPr>
              <w:t xml:space="preserve"> </w:t>
            </w:r>
            <w:r>
              <w:rPr>
                <w:rFonts w:ascii="Arial" w:hAnsi="Arial" w:cs="Arial"/>
                <w:b/>
                <w:sz w:val="16"/>
                <w:szCs w:val="16"/>
              </w:rPr>
              <w:t>E.2</w:t>
            </w:r>
          </w:p>
          <w:p w:rsidR="00CA1A29" w:rsidRDefault="00CA1A29" w:rsidP="005C75BB">
            <w:pPr>
              <w:rPr>
                <w:rFonts w:ascii="Arial" w:hAnsi="Arial" w:cs="Arial"/>
                <w:i/>
                <w:sz w:val="16"/>
                <w:szCs w:val="16"/>
              </w:rPr>
            </w:pPr>
            <w:r w:rsidRPr="0061360B">
              <w:rPr>
                <w:rFonts w:ascii="Arial" w:hAnsi="Arial" w:cs="Arial"/>
                <w:b/>
                <w:i/>
                <w:sz w:val="16"/>
                <w:szCs w:val="16"/>
              </w:rPr>
              <w:t>…viene</w:t>
            </w:r>
            <w:r>
              <w:rPr>
                <w:rFonts w:ascii="Arial" w:hAnsi="Arial" w:cs="Arial"/>
                <w:i/>
                <w:sz w:val="16"/>
                <w:szCs w:val="16"/>
              </w:rPr>
              <w:t xml:space="preserve"> Total de </w:t>
            </w:r>
            <w:r>
              <w:rPr>
                <w:rFonts w:ascii="Arial" w:hAnsi="Arial" w:cs="Arial"/>
                <w:b/>
                <w:i/>
                <w:sz w:val="18"/>
                <w:szCs w:val="18"/>
              </w:rPr>
              <w:t>E</w:t>
            </w:r>
            <w:r w:rsidRPr="002D208D">
              <w:rPr>
                <w:rFonts w:ascii="Arial" w:hAnsi="Arial" w:cs="Arial"/>
                <w:b/>
                <w:i/>
                <w:sz w:val="18"/>
                <w:szCs w:val="18"/>
              </w:rPr>
              <w:t xml:space="preserve">migrantes </w:t>
            </w:r>
            <w:r>
              <w:rPr>
                <w:rFonts w:ascii="Arial" w:hAnsi="Arial" w:cs="Arial"/>
                <w:i/>
                <w:sz w:val="16"/>
                <w:szCs w:val="16"/>
              </w:rPr>
              <w:t>por País actual de residencia y motivo principal del viaje</w:t>
            </w:r>
          </w:p>
          <w:p w:rsidR="00CA1A29" w:rsidRDefault="00CA1A29" w:rsidP="005C75BB">
            <w:pPr>
              <w:rPr>
                <w:rFonts w:ascii="Arial" w:hAnsi="Arial" w:cs="Arial"/>
                <w:i/>
                <w:sz w:val="10"/>
                <w:szCs w:val="10"/>
              </w:rPr>
            </w:pPr>
          </w:p>
          <w:tbl>
            <w:tblPr>
              <w:tblW w:w="7427" w:type="dxa"/>
              <w:jc w:val="center"/>
              <w:tblCellMar>
                <w:left w:w="70" w:type="dxa"/>
                <w:right w:w="70" w:type="dxa"/>
              </w:tblCellMar>
              <w:tblLook w:val="04A0" w:firstRow="1" w:lastRow="0" w:firstColumn="1" w:lastColumn="0" w:noHBand="0" w:noVBand="1"/>
            </w:tblPr>
            <w:tblGrid>
              <w:gridCol w:w="2835"/>
              <w:gridCol w:w="850"/>
              <w:gridCol w:w="850"/>
              <w:gridCol w:w="1191"/>
              <w:gridCol w:w="850"/>
              <w:gridCol w:w="851"/>
            </w:tblGrid>
            <w:tr w:rsidR="00CA1A29" w:rsidRPr="00ED64A6" w:rsidTr="005C75BB">
              <w:trPr>
                <w:trHeight w:val="20"/>
                <w:jc w:val="center"/>
              </w:trPr>
              <w:tc>
                <w:tcPr>
                  <w:tcW w:w="2835" w:type="dxa"/>
                  <w:vMerge w:val="restart"/>
                  <w:tcBorders>
                    <w:top w:val="single" w:sz="4" w:space="0" w:color="auto"/>
                    <w:left w:val="nil"/>
                    <w:bottom w:val="single" w:sz="4" w:space="0" w:color="000000"/>
                    <w:right w:val="nil"/>
                  </w:tcBorders>
                  <w:shd w:val="clear" w:color="auto" w:fill="auto"/>
                  <w:vAlign w:val="center"/>
                  <w:hideMark/>
                </w:tcPr>
                <w:p w:rsidR="00CA1A29" w:rsidRPr="00ED64A6" w:rsidRDefault="00CA1A29" w:rsidP="00CA1A29">
                  <w:pPr>
                    <w:rPr>
                      <w:rFonts w:ascii="Arial" w:eastAsia="Times New Roman" w:hAnsi="Arial" w:cs="Arial"/>
                      <w:b/>
                      <w:bCs/>
                      <w:color w:val="000000"/>
                      <w:sz w:val="15"/>
                      <w:szCs w:val="15"/>
                      <w:lang w:eastAsia="es-EC"/>
                    </w:rPr>
                  </w:pPr>
                  <w:r w:rsidRPr="00ED64A6">
                    <w:rPr>
                      <w:rFonts w:ascii="Arial" w:eastAsia="Times New Roman" w:hAnsi="Arial" w:cs="Arial"/>
                      <w:b/>
                      <w:bCs/>
                      <w:color w:val="000000"/>
                      <w:sz w:val="15"/>
                      <w:szCs w:val="15"/>
                      <w:lang w:eastAsia="es-EC"/>
                    </w:rPr>
                    <w:t>País de residencia actual</w:t>
                  </w:r>
                </w:p>
              </w:tc>
              <w:tc>
                <w:tcPr>
                  <w:tcW w:w="3741" w:type="dxa"/>
                  <w:gridSpan w:val="4"/>
                  <w:tcBorders>
                    <w:top w:val="single" w:sz="4" w:space="0" w:color="auto"/>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Cual fue el principal motivo de viaje</w:t>
                  </w:r>
                </w:p>
              </w:tc>
              <w:tc>
                <w:tcPr>
                  <w:tcW w:w="851" w:type="dxa"/>
                  <w:vMerge w:val="restart"/>
                  <w:tcBorders>
                    <w:top w:val="single" w:sz="4" w:space="0" w:color="auto"/>
                    <w:left w:val="nil"/>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Total</w:t>
                  </w:r>
                </w:p>
              </w:tc>
            </w:tr>
            <w:tr w:rsidR="00CA1A29" w:rsidRPr="00ED64A6" w:rsidTr="005C75BB">
              <w:trPr>
                <w:trHeight w:val="20"/>
                <w:jc w:val="center"/>
              </w:trPr>
              <w:tc>
                <w:tcPr>
                  <w:tcW w:w="2835" w:type="dxa"/>
                  <w:vMerge/>
                  <w:tcBorders>
                    <w:top w:val="single" w:sz="4" w:space="0" w:color="auto"/>
                    <w:left w:val="nil"/>
                    <w:bottom w:val="single" w:sz="4" w:space="0" w:color="000000"/>
                    <w:right w:val="nil"/>
                  </w:tcBorders>
                  <w:vAlign w:val="center"/>
                  <w:hideMark/>
                </w:tcPr>
                <w:p w:rsidR="00CA1A29" w:rsidRPr="00ED64A6" w:rsidRDefault="00CA1A29" w:rsidP="00CA1A29">
                  <w:pPr>
                    <w:jc w:val="left"/>
                    <w:rPr>
                      <w:rFonts w:ascii="Arial" w:eastAsia="Times New Roman" w:hAnsi="Arial" w:cs="Arial"/>
                      <w:b/>
                      <w:bCs/>
                      <w:color w:val="000000"/>
                      <w:sz w:val="15"/>
                      <w:szCs w:val="15"/>
                      <w:lang w:eastAsia="es-EC"/>
                    </w:rPr>
                  </w:pPr>
                </w:p>
              </w:tc>
              <w:tc>
                <w:tcPr>
                  <w:tcW w:w="850" w:type="dxa"/>
                  <w:tcBorders>
                    <w:top w:val="nil"/>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Trabajo</w:t>
                  </w:r>
                </w:p>
              </w:tc>
              <w:tc>
                <w:tcPr>
                  <w:tcW w:w="850" w:type="dxa"/>
                  <w:tcBorders>
                    <w:top w:val="nil"/>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Estudios</w:t>
                  </w:r>
                </w:p>
              </w:tc>
              <w:tc>
                <w:tcPr>
                  <w:tcW w:w="1191" w:type="dxa"/>
                  <w:tcBorders>
                    <w:top w:val="nil"/>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Unión Familiar</w:t>
                  </w:r>
                </w:p>
              </w:tc>
              <w:tc>
                <w:tcPr>
                  <w:tcW w:w="850" w:type="dxa"/>
                  <w:tcBorders>
                    <w:top w:val="nil"/>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Otro</w:t>
                  </w:r>
                </w:p>
              </w:tc>
              <w:tc>
                <w:tcPr>
                  <w:tcW w:w="851" w:type="dxa"/>
                  <w:vMerge/>
                  <w:tcBorders>
                    <w:left w:val="nil"/>
                    <w:bottom w:val="single" w:sz="4" w:space="0" w:color="000000"/>
                    <w:right w:val="nil"/>
                  </w:tcBorders>
                  <w:vAlign w:val="center"/>
                  <w:hideMark/>
                </w:tcPr>
                <w:p w:rsidR="00CA1A29" w:rsidRPr="00ED64A6" w:rsidRDefault="00CA1A29" w:rsidP="005C75BB">
                  <w:pPr>
                    <w:rPr>
                      <w:rFonts w:ascii="Arial" w:eastAsia="Times New Roman" w:hAnsi="Arial" w:cs="Arial"/>
                      <w:color w:val="000000"/>
                      <w:sz w:val="15"/>
                      <w:szCs w:val="15"/>
                      <w:lang w:eastAsia="es-EC"/>
                    </w:rPr>
                  </w:pP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Argelia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India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Bermudas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Antillas Holandesas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26</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Irak</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26</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Hungría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25</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Turquía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24</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Curazao, Isla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Islandia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19</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Egipto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19</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Jamaica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Luxemburgo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Rumania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Angola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15</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Bahamas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Andorra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Eslovaquia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Tailandia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Qatar</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Singapur</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Libia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Trinidad y Tobago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Lituania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Corea, República Democrática (RPD)</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Irán, República Islámica de</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Emiratos Árabes Unidos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Eslovenia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Arabia Saudita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Indonesia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Otras naciones de América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10</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Omán</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10</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Filipinas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Kuwait</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Hong Kong</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Nigeria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9</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Liberia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Malawi</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8</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Barbados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Malta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Georgia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Pakistán</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7</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Dominica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Yugoslavia (Servia de Montenegro)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Armenia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Croacia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Afganistán</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Burkina Faso (Alto Volta)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Kenia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Jordania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Senegal</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Guinea Ecuatorial</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Mozambique</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Granada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Pacífico, Islas administradas por USA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Siria, República Arabe</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Congo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Etiopía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Dyibuti</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w:t>
                  </w:r>
                </w:p>
              </w:tc>
            </w:tr>
          </w:tbl>
          <w:p w:rsidR="00CA1A29" w:rsidRPr="00DA0558" w:rsidRDefault="00CA1A29" w:rsidP="005C75BB">
            <w:pPr>
              <w:jc w:val="right"/>
              <w:rPr>
                <w:rFonts w:ascii="Arial" w:hAnsi="Arial" w:cs="Arial"/>
                <w:b/>
                <w:i/>
                <w:sz w:val="4"/>
                <w:szCs w:val="4"/>
              </w:rPr>
            </w:pPr>
          </w:p>
          <w:p w:rsidR="00CA1A29" w:rsidRDefault="00CA1A29" w:rsidP="005C75BB">
            <w:pPr>
              <w:jc w:val="right"/>
              <w:rPr>
                <w:rFonts w:ascii="Arial" w:hAnsi="Arial" w:cs="Arial"/>
                <w:b/>
                <w:i/>
                <w:sz w:val="16"/>
                <w:szCs w:val="16"/>
              </w:rPr>
            </w:pPr>
            <w:r w:rsidRPr="0061360B">
              <w:rPr>
                <w:rFonts w:ascii="Arial" w:hAnsi="Arial" w:cs="Arial"/>
                <w:b/>
                <w:i/>
                <w:sz w:val="16"/>
                <w:szCs w:val="16"/>
              </w:rPr>
              <w:t>Continúa…</w:t>
            </w:r>
          </w:p>
          <w:p w:rsidR="00CA1A29" w:rsidRPr="00640056" w:rsidRDefault="00CA1A29" w:rsidP="005C75BB">
            <w:pPr>
              <w:jc w:val="right"/>
              <w:rPr>
                <w:rFonts w:ascii="Arial" w:hAnsi="Arial" w:cs="Arial"/>
                <w:sz w:val="4"/>
                <w:szCs w:val="4"/>
              </w:rPr>
            </w:pPr>
          </w:p>
        </w:tc>
      </w:tr>
    </w:tbl>
    <w:p w:rsidR="00CA1A29" w:rsidRDefault="00CA1A29" w:rsidP="00CA1A29">
      <w:pPr>
        <w:pStyle w:val="Prrafodelista"/>
        <w:spacing w:line="276" w:lineRule="auto"/>
        <w:ind w:left="0"/>
        <w:jc w:val="both"/>
        <w:rPr>
          <w:rFonts w:ascii="Arial" w:hAnsi="Arial" w:cs="Arial"/>
          <w:b/>
          <w:i/>
          <w:sz w:val="18"/>
          <w:szCs w:val="18"/>
        </w:rPr>
      </w:pPr>
    </w:p>
    <w:p w:rsidR="00CA1A29" w:rsidRDefault="00CA1A29" w:rsidP="00CA1A29">
      <w:pPr>
        <w:pStyle w:val="Prrafodelista"/>
        <w:spacing w:line="276" w:lineRule="auto"/>
        <w:ind w:left="0"/>
        <w:jc w:val="both"/>
        <w:rPr>
          <w:rFonts w:ascii="Arial" w:hAnsi="Arial" w:cs="Arial"/>
          <w:sz w:val="18"/>
          <w:szCs w:val="18"/>
        </w:rPr>
      </w:pPr>
      <w:r>
        <w:rPr>
          <w:rFonts w:ascii="Arial" w:hAnsi="Arial" w:cs="Arial"/>
          <w:b/>
          <w:i/>
          <w:sz w:val="18"/>
          <w:szCs w:val="18"/>
        </w:rPr>
        <w:t>Fuente:</w:t>
      </w:r>
      <w:r>
        <w:rPr>
          <w:rFonts w:ascii="Arial" w:hAnsi="Arial" w:cs="Arial"/>
          <w:sz w:val="18"/>
          <w:szCs w:val="18"/>
        </w:rPr>
        <w:t xml:space="preserve"> </w:t>
      </w:r>
      <w:r w:rsidRPr="00C239C6">
        <w:rPr>
          <w:rFonts w:ascii="Arial" w:hAnsi="Arial" w:cs="Arial"/>
          <w:b/>
          <w:sz w:val="18"/>
          <w:szCs w:val="18"/>
        </w:rPr>
        <w:t>INEC</w:t>
      </w:r>
      <w:r>
        <w:rPr>
          <w:rFonts w:ascii="Arial" w:hAnsi="Arial" w:cs="Arial"/>
          <w:b/>
          <w:sz w:val="18"/>
          <w:szCs w:val="18"/>
        </w:rPr>
        <w:t xml:space="preserve"> </w:t>
      </w:r>
      <w:r>
        <w:rPr>
          <w:rFonts w:ascii="Arial" w:hAnsi="Arial" w:cs="Arial"/>
          <w:sz w:val="18"/>
          <w:szCs w:val="18"/>
        </w:rPr>
        <w:t xml:space="preserve">(2010), Base de Datos del </w:t>
      </w:r>
      <w:r w:rsidRPr="00C239C6">
        <w:rPr>
          <w:rFonts w:ascii="Arial" w:hAnsi="Arial" w:cs="Arial"/>
          <w:sz w:val="18"/>
          <w:szCs w:val="18"/>
        </w:rPr>
        <w:t>VII</w:t>
      </w:r>
      <w:r>
        <w:rPr>
          <w:rFonts w:ascii="Arial" w:hAnsi="Arial" w:cs="Arial"/>
          <w:sz w:val="18"/>
          <w:szCs w:val="18"/>
        </w:rPr>
        <w:t xml:space="preserve"> Censo de Población y VI de Vivienda.</w:t>
      </w:r>
    </w:p>
    <w:p w:rsidR="00CA1A29" w:rsidRDefault="00CA1A29" w:rsidP="00CA1A29">
      <w:pPr>
        <w:pStyle w:val="Prrafodelista"/>
        <w:spacing w:line="276" w:lineRule="auto"/>
        <w:ind w:left="0"/>
        <w:jc w:val="both"/>
        <w:rPr>
          <w:rFonts w:ascii="Arial" w:hAnsi="Arial" w:cs="Arial"/>
          <w:sz w:val="18"/>
          <w:szCs w:val="18"/>
        </w:rPr>
      </w:pPr>
      <w:r>
        <w:rPr>
          <w:rFonts w:ascii="Arial" w:hAnsi="Arial" w:cs="Arial"/>
          <w:b/>
          <w:i/>
          <w:sz w:val="18"/>
          <w:szCs w:val="18"/>
        </w:rPr>
        <w:t>Elaborado por:</w:t>
      </w:r>
      <w:r>
        <w:rPr>
          <w:rFonts w:ascii="Arial" w:hAnsi="Arial" w:cs="Arial"/>
          <w:sz w:val="18"/>
          <w:szCs w:val="18"/>
        </w:rPr>
        <w:t xml:space="preserve"> Katherine Loor Valeriano</w:t>
      </w:r>
    </w:p>
    <w:tbl>
      <w:tblPr>
        <w:tblStyle w:val="Tablaconcuadrcula"/>
        <w:tblW w:w="8222" w:type="dxa"/>
        <w:jc w:val="center"/>
        <w:tblInd w:w="38"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CellMar>
          <w:left w:w="70" w:type="dxa"/>
          <w:right w:w="70" w:type="dxa"/>
        </w:tblCellMar>
        <w:tblLook w:val="04A0" w:firstRow="1" w:lastRow="0" w:firstColumn="1" w:lastColumn="0" w:noHBand="0" w:noVBand="1"/>
      </w:tblPr>
      <w:tblGrid>
        <w:gridCol w:w="8222"/>
      </w:tblGrid>
      <w:tr w:rsidR="00CA1A29" w:rsidRPr="00840530" w:rsidTr="00CA1A29">
        <w:trPr>
          <w:trHeight w:val="11452"/>
          <w:jc w:val="center"/>
        </w:trPr>
        <w:tc>
          <w:tcPr>
            <w:tcW w:w="8222" w:type="dxa"/>
          </w:tcPr>
          <w:p w:rsidR="00CA1A29" w:rsidRPr="00840530" w:rsidRDefault="00CA1A29" w:rsidP="005C75BB">
            <w:pPr>
              <w:rPr>
                <w:rFonts w:ascii="Arial" w:hAnsi="Arial" w:cs="Arial"/>
                <w:sz w:val="16"/>
                <w:szCs w:val="16"/>
              </w:rPr>
            </w:pPr>
          </w:p>
          <w:p w:rsidR="00CA1A29" w:rsidRPr="00840530" w:rsidRDefault="00CA1A29" w:rsidP="005C75BB">
            <w:pPr>
              <w:rPr>
                <w:rFonts w:ascii="Arial" w:hAnsi="Arial" w:cs="Arial"/>
                <w:b/>
                <w:sz w:val="16"/>
                <w:szCs w:val="16"/>
              </w:rPr>
            </w:pPr>
            <w:r>
              <w:rPr>
                <w:rFonts w:ascii="Arial" w:hAnsi="Arial" w:cs="Arial"/>
                <w:b/>
                <w:sz w:val="16"/>
                <w:szCs w:val="16"/>
              </w:rPr>
              <w:t>Tabla</w:t>
            </w:r>
            <w:r w:rsidRPr="00840530">
              <w:rPr>
                <w:rFonts w:ascii="Arial" w:hAnsi="Arial" w:cs="Arial"/>
                <w:b/>
                <w:sz w:val="16"/>
                <w:szCs w:val="16"/>
              </w:rPr>
              <w:t xml:space="preserve"> </w:t>
            </w:r>
            <w:r>
              <w:rPr>
                <w:rFonts w:ascii="Arial" w:hAnsi="Arial" w:cs="Arial"/>
                <w:b/>
                <w:sz w:val="16"/>
                <w:szCs w:val="16"/>
              </w:rPr>
              <w:t>E.2</w:t>
            </w:r>
          </w:p>
          <w:p w:rsidR="00CA1A29" w:rsidRDefault="00CA1A29" w:rsidP="005C75BB">
            <w:pPr>
              <w:rPr>
                <w:rFonts w:ascii="Arial" w:hAnsi="Arial" w:cs="Arial"/>
                <w:i/>
                <w:sz w:val="16"/>
                <w:szCs w:val="16"/>
              </w:rPr>
            </w:pPr>
            <w:r w:rsidRPr="0061360B">
              <w:rPr>
                <w:rFonts w:ascii="Arial" w:hAnsi="Arial" w:cs="Arial"/>
                <w:b/>
                <w:i/>
                <w:sz w:val="16"/>
                <w:szCs w:val="16"/>
              </w:rPr>
              <w:t>…viene</w:t>
            </w:r>
            <w:r>
              <w:rPr>
                <w:rFonts w:ascii="Arial" w:hAnsi="Arial" w:cs="Arial"/>
                <w:i/>
                <w:sz w:val="16"/>
                <w:szCs w:val="16"/>
              </w:rPr>
              <w:t xml:space="preserve"> Total de </w:t>
            </w:r>
            <w:r>
              <w:rPr>
                <w:rFonts w:ascii="Arial" w:hAnsi="Arial" w:cs="Arial"/>
                <w:b/>
                <w:i/>
                <w:sz w:val="18"/>
                <w:szCs w:val="18"/>
              </w:rPr>
              <w:t>E</w:t>
            </w:r>
            <w:r w:rsidRPr="002D208D">
              <w:rPr>
                <w:rFonts w:ascii="Arial" w:hAnsi="Arial" w:cs="Arial"/>
                <w:b/>
                <w:i/>
                <w:sz w:val="18"/>
                <w:szCs w:val="18"/>
              </w:rPr>
              <w:t xml:space="preserve">migrantes </w:t>
            </w:r>
            <w:r>
              <w:rPr>
                <w:rFonts w:ascii="Arial" w:hAnsi="Arial" w:cs="Arial"/>
                <w:i/>
                <w:sz w:val="16"/>
                <w:szCs w:val="16"/>
              </w:rPr>
              <w:t>por País actual de residencia y motivo principal del viaje</w:t>
            </w:r>
          </w:p>
          <w:p w:rsidR="00CA1A29" w:rsidRDefault="00CA1A29" w:rsidP="005C75BB">
            <w:pPr>
              <w:rPr>
                <w:rFonts w:ascii="Arial" w:hAnsi="Arial" w:cs="Arial"/>
                <w:i/>
                <w:sz w:val="10"/>
                <w:szCs w:val="10"/>
              </w:rPr>
            </w:pPr>
          </w:p>
          <w:tbl>
            <w:tblPr>
              <w:tblW w:w="7427" w:type="dxa"/>
              <w:jc w:val="center"/>
              <w:tblCellMar>
                <w:left w:w="70" w:type="dxa"/>
                <w:right w:w="70" w:type="dxa"/>
              </w:tblCellMar>
              <w:tblLook w:val="04A0" w:firstRow="1" w:lastRow="0" w:firstColumn="1" w:lastColumn="0" w:noHBand="0" w:noVBand="1"/>
            </w:tblPr>
            <w:tblGrid>
              <w:gridCol w:w="2835"/>
              <w:gridCol w:w="850"/>
              <w:gridCol w:w="850"/>
              <w:gridCol w:w="1191"/>
              <w:gridCol w:w="850"/>
              <w:gridCol w:w="851"/>
            </w:tblGrid>
            <w:tr w:rsidR="00CA1A29" w:rsidRPr="00ED64A6" w:rsidTr="005C75BB">
              <w:trPr>
                <w:trHeight w:val="20"/>
                <w:jc w:val="center"/>
              </w:trPr>
              <w:tc>
                <w:tcPr>
                  <w:tcW w:w="2835" w:type="dxa"/>
                  <w:vMerge w:val="restart"/>
                  <w:tcBorders>
                    <w:top w:val="single" w:sz="4" w:space="0" w:color="auto"/>
                    <w:left w:val="nil"/>
                    <w:bottom w:val="single" w:sz="4" w:space="0" w:color="000000"/>
                    <w:right w:val="nil"/>
                  </w:tcBorders>
                  <w:shd w:val="clear" w:color="auto" w:fill="auto"/>
                  <w:vAlign w:val="center"/>
                  <w:hideMark/>
                </w:tcPr>
                <w:p w:rsidR="00CA1A29" w:rsidRPr="00ED64A6" w:rsidRDefault="00CA1A29" w:rsidP="00CA1A29">
                  <w:pPr>
                    <w:rPr>
                      <w:rFonts w:ascii="Arial" w:eastAsia="Times New Roman" w:hAnsi="Arial" w:cs="Arial"/>
                      <w:b/>
                      <w:bCs/>
                      <w:color w:val="000000"/>
                      <w:sz w:val="15"/>
                      <w:szCs w:val="15"/>
                      <w:lang w:eastAsia="es-EC"/>
                    </w:rPr>
                  </w:pPr>
                  <w:r w:rsidRPr="00ED64A6">
                    <w:rPr>
                      <w:rFonts w:ascii="Arial" w:eastAsia="Times New Roman" w:hAnsi="Arial" w:cs="Arial"/>
                      <w:b/>
                      <w:bCs/>
                      <w:color w:val="000000"/>
                      <w:sz w:val="15"/>
                      <w:szCs w:val="15"/>
                      <w:lang w:eastAsia="es-EC"/>
                    </w:rPr>
                    <w:t>País de residencia actual</w:t>
                  </w:r>
                </w:p>
              </w:tc>
              <w:tc>
                <w:tcPr>
                  <w:tcW w:w="3741" w:type="dxa"/>
                  <w:gridSpan w:val="4"/>
                  <w:tcBorders>
                    <w:top w:val="single" w:sz="4" w:space="0" w:color="auto"/>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Cual fue el principal motivo de viaje</w:t>
                  </w:r>
                </w:p>
              </w:tc>
              <w:tc>
                <w:tcPr>
                  <w:tcW w:w="851" w:type="dxa"/>
                  <w:vMerge w:val="restart"/>
                  <w:tcBorders>
                    <w:top w:val="single" w:sz="4" w:space="0" w:color="auto"/>
                    <w:left w:val="nil"/>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Total</w:t>
                  </w:r>
                </w:p>
              </w:tc>
            </w:tr>
            <w:tr w:rsidR="00CA1A29" w:rsidRPr="00ED64A6" w:rsidTr="005C75BB">
              <w:trPr>
                <w:trHeight w:val="20"/>
                <w:jc w:val="center"/>
              </w:trPr>
              <w:tc>
                <w:tcPr>
                  <w:tcW w:w="2835" w:type="dxa"/>
                  <w:vMerge/>
                  <w:tcBorders>
                    <w:top w:val="single" w:sz="4" w:space="0" w:color="auto"/>
                    <w:left w:val="nil"/>
                    <w:bottom w:val="single" w:sz="4" w:space="0" w:color="000000"/>
                    <w:right w:val="nil"/>
                  </w:tcBorders>
                  <w:vAlign w:val="center"/>
                  <w:hideMark/>
                </w:tcPr>
                <w:p w:rsidR="00CA1A29" w:rsidRPr="00ED64A6" w:rsidRDefault="00CA1A29" w:rsidP="00CA1A29">
                  <w:pPr>
                    <w:jc w:val="left"/>
                    <w:rPr>
                      <w:rFonts w:ascii="Arial" w:eastAsia="Times New Roman" w:hAnsi="Arial" w:cs="Arial"/>
                      <w:b/>
                      <w:bCs/>
                      <w:color w:val="000000"/>
                      <w:sz w:val="15"/>
                      <w:szCs w:val="15"/>
                      <w:lang w:eastAsia="es-EC"/>
                    </w:rPr>
                  </w:pPr>
                </w:p>
              </w:tc>
              <w:tc>
                <w:tcPr>
                  <w:tcW w:w="850" w:type="dxa"/>
                  <w:tcBorders>
                    <w:top w:val="nil"/>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Trabajo</w:t>
                  </w:r>
                </w:p>
              </w:tc>
              <w:tc>
                <w:tcPr>
                  <w:tcW w:w="850" w:type="dxa"/>
                  <w:tcBorders>
                    <w:top w:val="nil"/>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Estudios</w:t>
                  </w:r>
                </w:p>
              </w:tc>
              <w:tc>
                <w:tcPr>
                  <w:tcW w:w="1191" w:type="dxa"/>
                  <w:tcBorders>
                    <w:top w:val="nil"/>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Unión Familiar</w:t>
                  </w:r>
                </w:p>
              </w:tc>
              <w:tc>
                <w:tcPr>
                  <w:tcW w:w="850" w:type="dxa"/>
                  <w:tcBorders>
                    <w:top w:val="nil"/>
                    <w:left w:val="nil"/>
                    <w:bottom w:val="single" w:sz="4" w:space="0" w:color="auto"/>
                    <w:right w:val="nil"/>
                  </w:tcBorders>
                  <w:shd w:val="clear" w:color="auto" w:fill="auto"/>
                  <w:vAlign w:val="center"/>
                  <w:hideMark/>
                </w:tcPr>
                <w:p w:rsidR="00CA1A29" w:rsidRPr="00ED64A6" w:rsidRDefault="00CA1A29" w:rsidP="005C75BB">
                  <w:pPr>
                    <w:rPr>
                      <w:rFonts w:ascii="Arial" w:eastAsia="Times New Roman" w:hAnsi="Arial" w:cs="Arial"/>
                      <w:b/>
                      <w:color w:val="000000"/>
                      <w:sz w:val="15"/>
                      <w:szCs w:val="15"/>
                      <w:lang w:eastAsia="es-EC"/>
                    </w:rPr>
                  </w:pPr>
                  <w:r w:rsidRPr="00ED64A6">
                    <w:rPr>
                      <w:rFonts w:ascii="Arial" w:eastAsia="Times New Roman" w:hAnsi="Arial" w:cs="Arial"/>
                      <w:b/>
                      <w:color w:val="000000"/>
                      <w:sz w:val="15"/>
                      <w:szCs w:val="15"/>
                      <w:lang w:eastAsia="es-EC"/>
                    </w:rPr>
                    <w:t>Otro</w:t>
                  </w:r>
                </w:p>
              </w:tc>
              <w:tc>
                <w:tcPr>
                  <w:tcW w:w="851" w:type="dxa"/>
                  <w:vMerge/>
                  <w:tcBorders>
                    <w:left w:val="nil"/>
                    <w:bottom w:val="single" w:sz="4" w:space="0" w:color="000000"/>
                    <w:right w:val="nil"/>
                  </w:tcBorders>
                  <w:vAlign w:val="center"/>
                  <w:hideMark/>
                </w:tcPr>
                <w:p w:rsidR="00CA1A29" w:rsidRPr="00ED64A6" w:rsidRDefault="00CA1A29" w:rsidP="005C75BB">
                  <w:pPr>
                    <w:rPr>
                      <w:rFonts w:ascii="Arial" w:eastAsia="Times New Roman" w:hAnsi="Arial" w:cs="Arial"/>
                      <w:color w:val="000000"/>
                      <w:sz w:val="15"/>
                      <w:szCs w:val="15"/>
                      <w:lang w:eastAsia="es-EC"/>
                    </w:rPr>
                  </w:pP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Guyana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Belice</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Guayana Francesa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Caimán, Islas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Líbano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Viet Nam del Sur</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Guinea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Sudan</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Malvinas Islas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Surinam</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Vírgenes (Británicas), Islas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Turcas y Caicos, Islas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Gibraltar</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Canal, Islas  (Normandas)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San Pedro y Miguelón</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Otras Naciones de Asia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Azerbaijan</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Camerún</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Marruecos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Ghana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Palau (Belau) Islas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Kiribati</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Cook, Islas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San Vicente y las Granadinas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Johnston, islas</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Montserrat Isla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Anguila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Samoa Americana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San Marino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Vaticano (Santa Sede), Estado de la Ciudad del</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Belarusia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Estonia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Letonia (Latvia)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Bonaire, Isla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Camboya (Cambodia), Kampuchea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Laos, República Democrática (RPD)</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Malasia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Chipre</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Swazilandia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Yemen Democrático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Zona Neutral (Palestina)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Malasia, Península de</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Burundi</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Gambia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Zimbabwe (Rhodesia)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Tanzania, (República Unida de)</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Costa de Marfil (Cote D. Ivoire)</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Chad</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Lesotho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Tunez</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Santa Elena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Samoa Occidental</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Otras Naciones de Oceanía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Tonga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Vanuato</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0</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w:t>
                  </w:r>
                </w:p>
              </w:tc>
            </w:tr>
            <w:tr w:rsidR="00CA1A29" w:rsidRPr="00ED64A6" w:rsidTr="005C75BB">
              <w:trPr>
                <w:trHeight w:val="20"/>
                <w:jc w:val="center"/>
              </w:trPr>
              <w:tc>
                <w:tcPr>
                  <w:tcW w:w="2835" w:type="dxa"/>
                  <w:tcBorders>
                    <w:top w:val="nil"/>
                    <w:left w:val="nil"/>
                    <w:bottom w:val="nil"/>
                    <w:right w:val="nil"/>
                  </w:tcBorders>
                  <w:shd w:val="clear" w:color="auto" w:fill="auto"/>
                  <w:vAlign w:val="center"/>
                  <w:hideMark/>
                </w:tcPr>
                <w:p w:rsidR="00CA1A29" w:rsidRPr="00ED64A6" w:rsidRDefault="00CA1A29" w:rsidP="00CA1A29">
                  <w:pPr>
                    <w:jc w:val="left"/>
                    <w:rPr>
                      <w:rFonts w:ascii="Arial" w:eastAsia="Times New Roman" w:hAnsi="Arial" w:cs="Arial"/>
                      <w:sz w:val="15"/>
                      <w:szCs w:val="15"/>
                      <w:lang w:eastAsia="es-EC"/>
                    </w:rPr>
                  </w:pPr>
                  <w:r w:rsidRPr="00ED64A6">
                    <w:rPr>
                      <w:rFonts w:ascii="Arial" w:eastAsia="Times New Roman" w:hAnsi="Arial" w:cs="Arial"/>
                      <w:sz w:val="15"/>
                      <w:szCs w:val="15"/>
                      <w:lang w:eastAsia="es-EC"/>
                    </w:rPr>
                    <w:t>No especifica</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6757</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1575</w:t>
                  </w:r>
                </w:p>
              </w:tc>
              <w:tc>
                <w:tcPr>
                  <w:tcW w:w="119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4454</w:t>
                  </w:r>
                </w:p>
              </w:tc>
              <w:tc>
                <w:tcPr>
                  <w:tcW w:w="850"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1169</w:t>
                  </w:r>
                </w:p>
              </w:tc>
              <w:tc>
                <w:tcPr>
                  <w:tcW w:w="851" w:type="dxa"/>
                  <w:tcBorders>
                    <w:top w:val="nil"/>
                    <w:left w:val="nil"/>
                    <w:bottom w:val="nil"/>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13955</w:t>
                  </w:r>
                </w:p>
              </w:tc>
            </w:tr>
            <w:tr w:rsidR="00CA1A29" w:rsidRPr="00ED64A6" w:rsidTr="005C75BB">
              <w:trPr>
                <w:trHeight w:val="20"/>
                <w:jc w:val="center"/>
              </w:trPr>
              <w:tc>
                <w:tcPr>
                  <w:tcW w:w="2835" w:type="dxa"/>
                  <w:tcBorders>
                    <w:top w:val="nil"/>
                    <w:left w:val="nil"/>
                    <w:bottom w:val="single" w:sz="4" w:space="0" w:color="auto"/>
                    <w:right w:val="nil"/>
                  </w:tcBorders>
                  <w:shd w:val="clear" w:color="auto" w:fill="auto"/>
                  <w:noWrap/>
                  <w:vAlign w:val="center"/>
                  <w:hideMark/>
                </w:tcPr>
                <w:p w:rsidR="00CA1A29" w:rsidRPr="00ED64A6" w:rsidRDefault="00CA1A29" w:rsidP="00CA1A29">
                  <w:pPr>
                    <w:jc w:val="left"/>
                    <w:rPr>
                      <w:rFonts w:ascii="Arial" w:eastAsia="Times New Roman" w:hAnsi="Arial" w:cs="Arial"/>
                      <w:b/>
                      <w:bCs/>
                      <w:color w:val="000000"/>
                      <w:sz w:val="15"/>
                      <w:szCs w:val="15"/>
                      <w:lang w:eastAsia="es-EC"/>
                    </w:rPr>
                  </w:pPr>
                  <w:r w:rsidRPr="00ED64A6">
                    <w:rPr>
                      <w:rFonts w:ascii="Arial" w:eastAsia="Times New Roman" w:hAnsi="Arial" w:cs="Arial"/>
                      <w:b/>
                      <w:bCs/>
                      <w:color w:val="000000"/>
                      <w:sz w:val="15"/>
                      <w:szCs w:val="15"/>
                      <w:lang w:eastAsia="es-EC"/>
                    </w:rPr>
                    <w:t>Total</w:t>
                  </w:r>
                </w:p>
              </w:tc>
              <w:tc>
                <w:tcPr>
                  <w:tcW w:w="850" w:type="dxa"/>
                  <w:tcBorders>
                    <w:top w:val="nil"/>
                    <w:left w:val="nil"/>
                    <w:bottom w:val="single" w:sz="4" w:space="0" w:color="auto"/>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181545</w:t>
                  </w:r>
                </w:p>
              </w:tc>
              <w:tc>
                <w:tcPr>
                  <w:tcW w:w="850" w:type="dxa"/>
                  <w:tcBorders>
                    <w:top w:val="nil"/>
                    <w:left w:val="nil"/>
                    <w:bottom w:val="single" w:sz="4" w:space="0" w:color="auto"/>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32701</w:t>
                  </w:r>
                </w:p>
              </w:tc>
              <w:tc>
                <w:tcPr>
                  <w:tcW w:w="1191" w:type="dxa"/>
                  <w:tcBorders>
                    <w:top w:val="nil"/>
                    <w:left w:val="nil"/>
                    <w:bottom w:val="single" w:sz="4" w:space="0" w:color="auto"/>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50597</w:t>
                  </w:r>
                </w:p>
              </w:tc>
              <w:tc>
                <w:tcPr>
                  <w:tcW w:w="850" w:type="dxa"/>
                  <w:tcBorders>
                    <w:top w:val="nil"/>
                    <w:left w:val="nil"/>
                    <w:bottom w:val="single" w:sz="4" w:space="0" w:color="auto"/>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15564</w:t>
                  </w:r>
                </w:p>
              </w:tc>
              <w:tc>
                <w:tcPr>
                  <w:tcW w:w="851" w:type="dxa"/>
                  <w:tcBorders>
                    <w:top w:val="nil"/>
                    <w:left w:val="nil"/>
                    <w:bottom w:val="single" w:sz="4" w:space="0" w:color="auto"/>
                    <w:right w:val="nil"/>
                  </w:tcBorders>
                  <w:shd w:val="clear" w:color="auto" w:fill="auto"/>
                  <w:noWrap/>
                  <w:vAlign w:val="center"/>
                  <w:hideMark/>
                </w:tcPr>
                <w:p w:rsidR="00CA1A29" w:rsidRPr="00ED64A6" w:rsidRDefault="00CA1A29" w:rsidP="005C75BB">
                  <w:pPr>
                    <w:rPr>
                      <w:rFonts w:ascii="Arial" w:eastAsia="Times New Roman" w:hAnsi="Arial" w:cs="Arial"/>
                      <w:color w:val="000000"/>
                      <w:sz w:val="15"/>
                      <w:szCs w:val="15"/>
                      <w:lang w:eastAsia="es-EC"/>
                    </w:rPr>
                  </w:pPr>
                  <w:r w:rsidRPr="00ED64A6">
                    <w:rPr>
                      <w:rFonts w:ascii="Arial" w:eastAsia="Times New Roman" w:hAnsi="Arial" w:cs="Arial"/>
                      <w:color w:val="000000"/>
                      <w:sz w:val="15"/>
                      <w:szCs w:val="15"/>
                      <w:lang w:eastAsia="es-EC"/>
                    </w:rPr>
                    <w:t>280407</w:t>
                  </w:r>
                </w:p>
              </w:tc>
            </w:tr>
          </w:tbl>
          <w:p w:rsidR="00CA1A29" w:rsidRPr="00840530" w:rsidRDefault="00CA1A29" w:rsidP="005C75BB">
            <w:pPr>
              <w:jc w:val="left"/>
              <w:rPr>
                <w:rFonts w:ascii="Arial" w:hAnsi="Arial" w:cs="Arial"/>
                <w:sz w:val="24"/>
                <w:szCs w:val="24"/>
              </w:rPr>
            </w:pPr>
          </w:p>
        </w:tc>
      </w:tr>
    </w:tbl>
    <w:p w:rsidR="00CA1A29" w:rsidRDefault="00CA1A29" w:rsidP="00CA1A29">
      <w:pPr>
        <w:pStyle w:val="Prrafodelista"/>
        <w:spacing w:line="276" w:lineRule="auto"/>
        <w:ind w:left="0"/>
        <w:jc w:val="both"/>
        <w:rPr>
          <w:rFonts w:ascii="Arial" w:hAnsi="Arial" w:cs="Arial"/>
          <w:b/>
          <w:i/>
          <w:sz w:val="18"/>
          <w:szCs w:val="18"/>
        </w:rPr>
      </w:pPr>
    </w:p>
    <w:p w:rsidR="00CA1A29" w:rsidRDefault="00CA1A29" w:rsidP="00CA1A29">
      <w:pPr>
        <w:pStyle w:val="Prrafodelista"/>
        <w:spacing w:line="276" w:lineRule="auto"/>
        <w:ind w:left="0"/>
        <w:jc w:val="both"/>
        <w:rPr>
          <w:rFonts w:ascii="Arial" w:hAnsi="Arial" w:cs="Arial"/>
          <w:sz w:val="18"/>
          <w:szCs w:val="18"/>
        </w:rPr>
      </w:pPr>
      <w:r>
        <w:rPr>
          <w:rFonts w:ascii="Arial" w:hAnsi="Arial" w:cs="Arial"/>
          <w:b/>
          <w:i/>
          <w:sz w:val="18"/>
          <w:szCs w:val="18"/>
        </w:rPr>
        <w:t>Fuente:</w:t>
      </w:r>
      <w:r>
        <w:rPr>
          <w:rFonts w:ascii="Arial" w:hAnsi="Arial" w:cs="Arial"/>
          <w:sz w:val="18"/>
          <w:szCs w:val="18"/>
        </w:rPr>
        <w:t xml:space="preserve"> </w:t>
      </w:r>
      <w:r w:rsidRPr="00C239C6">
        <w:rPr>
          <w:rFonts w:ascii="Arial" w:hAnsi="Arial" w:cs="Arial"/>
          <w:b/>
          <w:sz w:val="18"/>
          <w:szCs w:val="18"/>
        </w:rPr>
        <w:t>INEC</w:t>
      </w:r>
      <w:r>
        <w:rPr>
          <w:rFonts w:ascii="Arial" w:hAnsi="Arial" w:cs="Arial"/>
          <w:b/>
          <w:sz w:val="18"/>
          <w:szCs w:val="18"/>
        </w:rPr>
        <w:t xml:space="preserve"> </w:t>
      </w:r>
      <w:r>
        <w:rPr>
          <w:rFonts w:ascii="Arial" w:hAnsi="Arial" w:cs="Arial"/>
          <w:sz w:val="18"/>
          <w:szCs w:val="18"/>
        </w:rPr>
        <w:t xml:space="preserve">(2010), Base de Datos del </w:t>
      </w:r>
      <w:r w:rsidRPr="00C239C6">
        <w:rPr>
          <w:rFonts w:ascii="Arial" w:hAnsi="Arial" w:cs="Arial"/>
          <w:sz w:val="18"/>
          <w:szCs w:val="18"/>
        </w:rPr>
        <w:t>VII</w:t>
      </w:r>
      <w:r>
        <w:rPr>
          <w:rFonts w:ascii="Arial" w:hAnsi="Arial" w:cs="Arial"/>
          <w:sz w:val="18"/>
          <w:szCs w:val="18"/>
        </w:rPr>
        <w:t xml:space="preserve"> Censo de Población y VI de Vivienda.</w:t>
      </w:r>
    </w:p>
    <w:p w:rsidR="001111A8" w:rsidRPr="000D0CA3" w:rsidRDefault="00CA1A29" w:rsidP="00AB7FBA">
      <w:pPr>
        <w:pStyle w:val="Prrafodelista"/>
        <w:spacing w:line="276" w:lineRule="auto"/>
        <w:ind w:left="0"/>
        <w:jc w:val="both"/>
        <w:rPr>
          <w:rFonts w:ascii="Arial" w:hAnsi="Arial" w:cs="Arial"/>
        </w:rPr>
      </w:pPr>
      <w:r>
        <w:rPr>
          <w:rFonts w:ascii="Arial" w:hAnsi="Arial" w:cs="Arial"/>
          <w:b/>
          <w:i/>
          <w:sz w:val="18"/>
          <w:szCs w:val="18"/>
        </w:rPr>
        <w:t>Elaborado por:</w:t>
      </w:r>
      <w:r>
        <w:rPr>
          <w:rFonts w:ascii="Arial" w:hAnsi="Arial" w:cs="Arial"/>
          <w:sz w:val="18"/>
          <w:szCs w:val="18"/>
        </w:rPr>
        <w:t xml:space="preserve"> Katherine Loor Valeriano</w:t>
      </w:r>
    </w:p>
    <w:sectPr w:rsidR="001111A8" w:rsidRPr="000D0CA3" w:rsidSect="007B460A">
      <w:pgSz w:w="11907" w:h="16839" w:code="9"/>
      <w:pgMar w:top="2268" w:right="1361" w:bottom="226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907" w:rsidRDefault="00436907" w:rsidP="00254597">
      <w:r>
        <w:separator/>
      </w:r>
    </w:p>
  </w:endnote>
  <w:endnote w:type="continuationSeparator" w:id="0">
    <w:p w:rsidR="00436907" w:rsidRDefault="00436907" w:rsidP="0025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907" w:rsidRDefault="00436907" w:rsidP="00254597">
      <w:r>
        <w:separator/>
      </w:r>
    </w:p>
  </w:footnote>
  <w:footnote w:type="continuationSeparator" w:id="0">
    <w:p w:rsidR="00436907" w:rsidRDefault="00436907" w:rsidP="00254597">
      <w:r>
        <w:continuationSeparator/>
      </w:r>
    </w:p>
  </w:footnote>
  <w:footnote w:id="1">
    <w:p w:rsidR="006933DF" w:rsidRPr="0018463C" w:rsidRDefault="006933DF" w:rsidP="0018463C">
      <w:pPr>
        <w:pStyle w:val="Textonotapie"/>
        <w:jc w:val="both"/>
        <w:rPr>
          <w:rFonts w:ascii="Arial" w:hAnsi="Arial" w:cs="Arial"/>
          <w:sz w:val="14"/>
          <w:szCs w:val="14"/>
        </w:rPr>
      </w:pPr>
      <w:r w:rsidRPr="0018463C">
        <w:rPr>
          <w:rStyle w:val="Refdenotaalpie"/>
          <w:rFonts w:ascii="Arial" w:hAnsi="Arial" w:cs="Arial"/>
          <w:sz w:val="14"/>
          <w:szCs w:val="14"/>
        </w:rPr>
        <w:footnoteRef/>
      </w:r>
      <w:r w:rsidRPr="0018463C">
        <w:rPr>
          <w:rFonts w:ascii="Arial" w:hAnsi="Arial" w:cs="Arial"/>
          <w:sz w:val="14"/>
          <w:szCs w:val="14"/>
        </w:rPr>
        <w:t xml:space="preserve"> </w:t>
      </w:r>
      <w:r w:rsidRPr="0018463C">
        <w:rPr>
          <w:rFonts w:ascii="Arial" w:hAnsi="Arial" w:cs="Arial"/>
          <w:b/>
          <w:sz w:val="14"/>
          <w:szCs w:val="14"/>
        </w:rPr>
        <w:t>Sutcliffe</w:t>
      </w:r>
      <w:r w:rsidRPr="0018463C">
        <w:rPr>
          <w:rFonts w:ascii="Arial" w:hAnsi="Arial" w:cs="Arial"/>
          <w:sz w:val="14"/>
          <w:szCs w:val="14"/>
        </w:rPr>
        <w:t xml:space="preserve">, </w:t>
      </w:r>
      <w:r w:rsidRPr="0018463C">
        <w:rPr>
          <w:rFonts w:ascii="Arial" w:hAnsi="Arial" w:cs="Arial"/>
          <w:b/>
          <w:sz w:val="14"/>
          <w:szCs w:val="14"/>
        </w:rPr>
        <w:t>B</w:t>
      </w:r>
      <w:r w:rsidRPr="0018463C">
        <w:rPr>
          <w:rFonts w:ascii="Arial" w:hAnsi="Arial" w:cs="Arial"/>
          <w:sz w:val="14"/>
          <w:szCs w:val="14"/>
        </w:rPr>
        <w:t xml:space="preserve">. (1998), </w:t>
      </w:r>
      <w:r w:rsidRPr="0018463C">
        <w:rPr>
          <w:rFonts w:ascii="Arial" w:hAnsi="Arial" w:cs="Arial"/>
          <w:i/>
          <w:sz w:val="14"/>
          <w:szCs w:val="14"/>
        </w:rPr>
        <w:t>"Nacido en otra parte. Un ensayo sobre la migración internacional, el desarrollo y la equidad"</w:t>
      </w:r>
      <w:r w:rsidRPr="0018463C">
        <w:rPr>
          <w:rFonts w:ascii="Arial" w:hAnsi="Arial" w:cs="Arial"/>
          <w:sz w:val="14"/>
          <w:szCs w:val="14"/>
        </w:rPr>
        <w:t>, publicado por la Facultad de Ciencias Económicas de Hegoa, Bilbao, España.</w:t>
      </w:r>
    </w:p>
  </w:footnote>
  <w:footnote w:id="2">
    <w:p w:rsidR="006933DF" w:rsidRPr="006653FE" w:rsidRDefault="006933DF" w:rsidP="006653FE">
      <w:pPr>
        <w:pStyle w:val="Textonotapie"/>
        <w:jc w:val="both"/>
        <w:rPr>
          <w:rFonts w:ascii="Arial" w:hAnsi="Arial" w:cs="Arial"/>
          <w:sz w:val="14"/>
          <w:szCs w:val="14"/>
        </w:rPr>
      </w:pPr>
      <w:r w:rsidRPr="006653FE">
        <w:rPr>
          <w:rStyle w:val="Refdenotaalpie"/>
          <w:rFonts w:ascii="Arial" w:hAnsi="Arial" w:cs="Arial"/>
          <w:sz w:val="14"/>
          <w:szCs w:val="14"/>
        </w:rPr>
        <w:footnoteRef/>
      </w:r>
      <w:r>
        <w:rPr>
          <w:rFonts w:ascii="Arial" w:hAnsi="Arial" w:cs="Arial"/>
          <w:sz w:val="14"/>
          <w:szCs w:val="14"/>
        </w:rPr>
        <w:t xml:space="preserve"> </w:t>
      </w:r>
      <w:r w:rsidRPr="00360507">
        <w:rPr>
          <w:rFonts w:ascii="Arial" w:hAnsi="Arial" w:cs="Arial"/>
          <w:b/>
          <w:sz w:val="14"/>
          <w:szCs w:val="14"/>
        </w:rPr>
        <w:t>OIM (Organización Internacional para las Migraciones)</w:t>
      </w:r>
      <w:r w:rsidRPr="006653FE">
        <w:rPr>
          <w:rFonts w:ascii="Arial" w:hAnsi="Arial" w:cs="Arial"/>
          <w:sz w:val="14"/>
          <w:szCs w:val="14"/>
        </w:rPr>
        <w:t>,</w:t>
      </w:r>
      <w:r w:rsidRPr="006653FE">
        <w:rPr>
          <w:rFonts w:ascii="Arial" w:hAnsi="Arial" w:cs="Arial"/>
          <w:i/>
          <w:sz w:val="14"/>
          <w:szCs w:val="14"/>
        </w:rPr>
        <w:t xml:space="preserve"> "Migración en la Historia"</w:t>
      </w:r>
      <w:r w:rsidRPr="006653FE">
        <w:rPr>
          <w:rFonts w:ascii="Arial" w:hAnsi="Arial" w:cs="Arial"/>
          <w:sz w:val="14"/>
          <w:szCs w:val="14"/>
        </w:rPr>
        <w:t>, tomado desde http://www.iom.int/jahia/</w:t>
      </w:r>
    </w:p>
    <w:p w:rsidR="006933DF" w:rsidRPr="006653FE" w:rsidRDefault="006933DF" w:rsidP="00FA35C3">
      <w:pPr>
        <w:pStyle w:val="Textonotapie"/>
        <w:jc w:val="both"/>
        <w:rPr>
          <w:rFonts w:ascii="Arial" w:hAnsi="Arial" w:cs="Arial"/>
          <w:sz w:val="14"/>
          <w:szCs w:val="14"/>
          <w:lang w:val="en-US"/>
        </w:rPr>
      </w:pPr>
      <w:r w:rsidRPr="006653FE">
        <w:rPr>
          <w:rFonts w:ascii="Arial" w:hAnsi="Arial" w:cs="Arial"/>
          <w:sz w:val="14"/>
          <w:szCs w:val="14"/>
          <w:lang w:val="en-US"/>
        </w:rPr>
        <w:t>Jahia/about-migration/migration-management-foundations/migration-history/migration-in-history/lang/es, el 15 de junio de 2012.</w:t>
      </w:r>
    </w:p>
  </w:footnote>
  <w:footnote w:id="3">
    <w:p w:rsidR="006933DF" w:rsidRPr="006653FE" w:rsidRDefault="006933DF" w:rsidP="00FE7648">
      <w:pPr>
        <w:pStyle w:val="Textonotapie"/>
        <w:jc w:val="both"/>
        <w:rPr>
          <w:rFonts w:ascii="Arial" w:hAnsi="Arial" w:cs="Arial"/>
          <w:sz w:val="14"/>
          <w:szCs w:val="14"/>
        </w:rPr>
      </w:pPr>
      <w:r w:rsidRPr="006653FE">
        <w:rPr>
          <w:rStyle w:val="Refdenotaalpie"/>
          <w:rFonts w:ascii="Arial" w:hAnsi="Arial" w:cs="Arial"/>
          <w:sz w:val="14"/>
          <w:szCs w:val="14"/>
        </w:rPr>
        <w:footnoteRef/>
      </w:r>
      <w:r w:rsidRPr="006653FE">
        <w:rPr>
          <w:rFonts w:ascii="Arial" w:hAnsi="Arial" w:cs="Arial"/>
          <w:sz w:val="14"/>
          <w:szCs w:val="14"/>
        </w:rPr>
        <w:t xml:space="preserve"> </w:t>
      </w:r>
      <w:r w:rsidRPr="005065D7">
        <w:rPr>
          <w:rFonts w:ascii="Arial" w:hAnsi="Arial" w:cs="Arial"/>
          <w:sz w:val="14"/>
          <w:szCs w:val="14"/>
        </w:rPr>
        <w:t xml:space="preserve">Idem </w:t>
      </w:r>
      <w:r>
        <w:rPr>
          <w:rFonts w:ascii="Arial" w:hAnsi="Arial" w:cs="Arial"/>
          <w:sz w:val="14"/>
          <w:szCs w:val="14"/>
        </w:rPr>
        <w:t>1.</w:t>
      </w:r>
    </w:p>
  </w:footnote>
  <w:footnote w:id="4">
    <w:p w:rsidR="006933DF" w:rsidRDefault="006933DF" w:rsidP="00A665FB">
      <w:pPr>
        <w:pStyle w:val="Textonotapie"/>
        <w:jc w:val="both"/>
        <w:rPr>
          <w:rFonts w:ascii="Arial" w:hAnsi="Arial" w:cs="Arial"/>
          <w:sz w:val="14"/>
          <w:szCs w:val="14"/>
        </w:rPr>
      </w:pPr>
      <w:r w:rsidRPr="00FA44C0">
        <w:rPr>
          <w:rStyle w:val="Refdenotaalpie"/>
          <w:rFonts w:ascii="Arial" w:hAnsi="Arial" w:cs="Arial"/>
          <w:sz w:val="14"/>
          <w:szCs w:val="14"/>
        </w:rPr>
        <w:footnoteRef/>
      </w:r>
      <w:r w:rsidRPr="00FA44C0">
        <w:rPr>
          <w:rFonts w:ascii="Arial" w:hAnsi="Arial" w:cs="Arial"/>
          <w:sz w:val="14"/>
          <w:szCs w:val="14"/>
        </w:rPr>
        <w:t xml:space="preserve"> </w:t>
      </w:r>
      <w:r w:rsidRPr="00FA44C0">
        <w:rPr>
          <w:rFonts w:ascii="Arial" w:hAnsi="Arial" w:cs="Arial"/>
          <w:b/>
          <w:sz w:val="14"/>
          <w:szCs w:val="14"/>
        </w:rPr>
        <w:t>Williamson</w:t>
      </w:r>
      <w:r w:rsidRPr="00FA44C0">
        <w:rPr>
          <w:rFonts w:ascii="Arial" w:hAnsi="Arial" w:cs="Arial"/>
          <w:sz w:val="14"/>
          <w:szCs w:val="14"/>
        </w:rPr>
        <w:t xml:space="preserve">, </w:t>
      </w:r>
      <w:r w:rsidRPr="00FA44C0">
        <w:rPr>
          <w:rFonts w:ascii="Arial" w:hAnsi="Arial" w:cs="Arial"/>
          <w:b/>
          <w:sz w:val="14"/>
          <w:szCs w:val="14"/>
        </w:rPr>
        <w:t>J</w:t>
      </w:r>
      <w:r w:rsidRPr="00FA44C0">
        <w:rPr>
          <w:rFonts w:ascii="Arial" w:hAnsi="Arial" w:cs="Arial"/>
          <w:sz w:val="14"/>
          <w:szCs w:val="14"/>
        </w:rPr>
        <w:t xml:space="preserve">. (2006), </w:t>
      </w:r>
      <w:r w:rsidRPr="00FA44C0">
        <w:rPr>
          <w:rFonts w:ascii="Arial" w:hAnsi="Arial" w:cs="Arial"/>
          <w:i/>
          <w:sz w:val="14"/>
          <w:szCs w:val="14"/>
        </w:rPr>
        <w:t>“Migración Mundial”</w:t>
      </w:r>
      <w:r w:rsidRPr="00FA44C0">
        <w:rPr>
          <w:rFonts w:ascii="Arial" w:hAnsi="Arial" w:cs="Arial"/>
          <w:sz w:val="14"/>
          <w:szCs w:val="14"/>
        </w:rPr>
        <w:t xml:space="preserve">, </w:t>
      </w:r>
      <w:r>
        <w:rPr>
          <w:rFonts w:ascii="Arial" w:hAnsi="Arial" w:cs="Arial"/>
          <w:sz w:val="14"/>
          <w:szCs w:val="14"/>
        </w:rPr>
        <w:t xml:space="preserve">Finanzas &amp; Desarrollo, tomado desde </w:t>
      </w:r>
      <w:r w:rsidRPr="00B04A0E">
        <w:rPr>
          <w:rFonts w:ascii="Arial" w:hAnsi="Arial" w:cs="Arial"/>
          <w:sz w:val="14"/>
          <w:szCs w:val="14"/>
        </w:rPr>
        <w:t>http://www.imf.org/external/pubs/ft/fandd/spa</w:t>
      </w:r>
    </w:p>
    <w:p w:rsidR="006933DF" w:rsidRPr="003566D0" w:rsidRDefault="006933DF" w:rsidP="00A665FB">
      <w:pPr>
        <w:pStyle w:val="Textonotapie"/>
        <w:jc w:val="both"/>
        <w:rPr>
          <w:rFonts w:ascii="Arial" w:hAnsi="Arial" w:cs="Arial"/>
          <w:sz w:val="14"/>
          <w:szCs w:val="14"/>
        </w:rPr>
      </w:pPr>
      <w:r w:rsidRPr="003566D0">
        <w:rPr>
          <w:rFonts w:ascii="Arial" w:hAnsi="Arial" w:cs="Arial"/>
          <w:sz w:val="14"/>
          <w:szCs w:val="14"/>
        </w:rPr>
        <w:t>/2006/09/pdf/williamson.pdf</w:t>
      </w:r>
    </w:p>
  </w:footnote>
  <w:footnote w:id="5">
    <w:p w:rsidR="006933DF" w:rsidRPr="007F5D57" w:rsidRDefault="006933DF" w:rsidP="00A665FB">
      <w:pPr>
        <w:pStyle w:val="Textonotapie"/>
        <w:jc w:val="both"/>
        <w:rPr>
          <w:rFonts w:ascii="Arial" w:hAnsi="Arial" w:cs="Arial"/>
          <w:sz w:val="14"/>
          <w:szCs w:val="14"/>
        </w:rPr>
      </w:pPr>
      <w:r w:rsidRPr="00FA44C0">
        <w:rPr>
          <w:rStyle w:val="Refdenotaalpie"/>
          <w:rFonts w:ascii="Arial" w:hAnsi="Arial" w:cs="Arial"/>
          <w:sz w:val="14"/>
          <w:szCs w:val="14"/>
        </w:rPr>
        <w:footnoteRef/>
      </w:r>
      <w:r w:rsidRPr="007F5D57">
        <w:rPr>
          <w:rFonts w:ascii="Arial" w:hAnsi="Arial" w:cs="Arial"/>
          <w:sz w:val="14"/>
          <w:szCs w:val="14"/>
        </w:rPr>
        <w:t xml:space="preserve"> </w:t>
      </w:r>
      <w:r w:rsidRPr="007F5D57">
        <w:rPr>
          <w:rFonts w:ascii="Arial" w:hAnsi="Arial" w:cs="Arial"/>
          <w:b/>
          <w:sz w:val="14"/>
          <w:szCs w:val="14"/>
        </w:rPr>
        <w:t>Gamero</w:t>
      </w:r>
      <w:r w:rsidRPr="007F5D57">
        <w:rPr>
          <w:rFonts w:ascii="Arial" w:hAnsi="Arial" w:cs="Arial"/>
          <w:sz w:val="14"/>
          <w:szCs w:val="14"/>
        </w:rPr>
        <w:t xml:space="preserve">, </w:t>
      </w:r>
      <w:r w:rsidRPr="007F5D57">
        <w:rPr>
          <w:rFonts w:ascii="Arial" w:hAnsi="Arial" w:cs="Arial"/>
          <w:b/>
          <w:sz w:val="14"/>
          <w:szCs w:val="14"/>
        </w:rPr>
        <w:t>J</w:t>
      </w:r>
      <w:r w:rsidRPr="007F5D57">
        <w:rPr>
          <w:rFonts w:ascii="Arial" w:hAnsi="Arial" w:cs="Arial"/>
          <w:sz w:val="14"/>
          <w:szCs w:val="14"/>
        </w:rPr>
        <w:t>. (2009), “</w:t>
      </w:r>
      <w:r w:rsidRPr="007F5D57">
        <w:rPr>
          <w:rFonts w:ascii="Arial" w:hAnsi="Arial" w:cs="Arial"/>
          <w:i/>
          <w:sz w:val="14"/>
          <w:szCs w:val="14"/>
        </w:rPr>
        <w:t>Migrantes y Migraciones en la Región Andina</w:t>
      </w:r>
      <w:r w:rsidRPr="007F5D57">
        <w:rPr>
          <w:rFonts w:ascii="Arial" w:hAnsi="Arial" w:cs="Arial"/>
          <w:sz w:val="14"/>
          <w:szCs w:val="14"/>
        </w:rPr>
        <w:t xml:space="preserve">”, </w:t>
      </w:r>
      <w:r>
        <w:rPr>
          <w:rFonts w:ascii="Arial" w:hAnsi="Arial" w:cs="Arial"/>
          <w:sz w:val="14"/>
          <w:szCs w:val="14"/>
        </w:rPr>
        <w:t>Primera Edición.</w:t>
      </w:r>
    </w:p>
  </w:footnote>
  <w:footnote w:id="6">
    <w:p w:rsidR="006933DF" w:rsidRPr="001B6327" w:rsidRDefault="006933DF" w:rsidP="000C77E2">
      <w:pPr>
        <w:pStyle w:val="Textonotapie"/>
        <w:jc w:val="left"/>
        <w:rPr>
          <w:rFonts w:ascii="Arial" w:hAnsi="Arial" w:cs="Arial"/>
          <w:sz w:val="14"/>
          <w:szCs w:val="14"/>
        </w:rPr>
      </w:pPr>
      <w:r w:rsidRPr="001B6327">
        <w:rPr>
          <w:rStyle w:val="Refdenotaalpie"/>
          <w:rFonts w:ascii="Arial" w:hAnsi="Arial" w:cs="Arial"/>
          <w:sz w:val="14"/>
          <w:szCs w:val="14"/>
        </w:rPr>
        <w:footnoteRef/>
      </w:r>
      <w:r>
        <w:rPr>
          <w:rFonts w:ascii="Arial" w:hAnsi="Arial" w:cs="Arial"/>
          <w:sz w:val="14"/>
          <w:szCs w:val="14"/>
        </w:rPr>
        <w:t xml:space="preserve"> Idem 1.</w:t>
      </w:r>
    </w:p>
  </w:footnote>
  <w:footnote w:id="7">
    <w:p w:rsidR="006933DF" w:rsidRPr="008E2FDC" w:rsidRDefault="006933DF" w:rsidP="000C77E2">
      <w:pPr>
        <w:pStyle w:val="Textonotapie"/>
        <w:jc w:val="left"/>
        <w:rPr>
          <w:rFonts w:ascii="Arial" w:hAnsi="Arial" w:cs="Arial"/>
          <w:sz w:val="14"/>
          <w:szCs w:val="14"/>
        </w:rPr>
      </w:pPr>
      <w:r w:rsidRPr="00241E61">
        <w:rPr>
          <w:rStyle w:val="Refdenotaalpie"/>
          <w:rFonts w:ascii="Arial" w:hAnsi="Arial" w:cs="Arial"/>
          <w:sz w:val="14"/>
          <w:szCs w:val="14"/>
        </w:rPr>
        <w:footnoteRef/>
      </w:r>
      <w:r w:rsidRPr="008E2FDC">
        <w:rPr>
          <w:rFonts w:ascii="Arial" w:hAnsi="Arial" w:cs="Arial"/>
          <w:sz w:val="14"/>
          <w:szCs w:val="14"/>
        </w:rPr>
        <w:t xml:space="preserve"> Idem </w:t>
      </w:r>
      <w:r>
        <w:rPr>
          <w:rFonts w:ascii="Arial" w:hAnsi="Arial" w:cs="Arial"/>
          <w:sz w:val="14"/>
          <w:szCs w:val="14"/>
        </w:rPr>
        <w:t>4</w:t>
      </w:r>
      <w:r w:rsidRPr="008E2FDC">
        <w:rPr>
          <w:rFonts w:ascii="Arial" w:hAnsi="Arial" w:cs="Arial"/>
          <w:sz w:val="14"/>
          <w:szCs w:val="14"/>
        </w:rPr>
        <w:t>.</w:t>
      </w:r>
    </w:p>
  </w:footnote>
  <w:footnote w:id="8">
    <w:p w:rsidR="006933DF" w:rsidRPr="001F7754" w:rsidRDefault="006933DF" w:rsidP="0026635A">
      <w:pPr>
        <w:pStyle w:val="Textonotapie"/>
        <w:jc w:val="both"/>
        <w:rPr>
          <w:rFonts w:ascii="Arial" w:hAnsi="Arial" w:cs="Arial"/>
          <w:sz w:val="14"/>
          <w:szCs w:val="14"/>
        </w:rPr>
      </w:pPr>
      <w:r w:rsidRPr="001F7754">
        <w:rPr>
          <w:rStyle w:val="Refdenotaalpie"/>
          <w:rFonts w:ascii="Arial" w:hAnsi="Arial" w:cs="Arial"/>
          <w:sz w:val="14"/>
          <w:szCs w:val="14"/>
        </w:rPr>
        <w:footnoteRef/>
      </w:r>
      <w:r w:rsidRPr="001F7754">
        <w:rPr>
          <w:rFonts w:ascii="Arial" w:hAnsi="Arial" w:cs="Arial"/>
          <w:sz w:val="14"/>
          <w:szCs w:val="14"/>
        </w:rPr>
        <w:t xml:space="preserve"> </w:t>
      </w:r>
      <w:r>
        <w:rPr>
          <w:rFonts w:ascii="Arial" w:hAnsi="Arial" w:cs="Arial"/>
          <w:sz w:val="14"/>
          <w:szCs w:val="14"/>
        </w:rPr>
        <w:t>Idem 4.</w:t>
      </w:r>
    </w:p>
  </w:footnote>
  <w:footnote w:id="9">
    <w:p w:rsidR="006933DF" w:rsidRPr="00402745" w:rsidRDefault="006933DF" w:rsidP="00402745">
      <w:pPr>
        <w:pStyle w:val="Textonotapie"/>
        <w:jc w:val="both"/>
        <w:rPr>
          <w:rFonts w:ascii="Arial" w:hAnsi="Arial" w:cs="Arial"/>
          <w:sz w:val="14"/>
          <w:szCs w:val="14"/>
        </w:rPr>
      </w:pPr>
      <w:r w:rsidRPr="00F63C17">
        <w:rPr>
          <w:rStyle w:val="Refdenotaalpie"/>
          <w:rFonts w:ascii="Arial" w:hAnsi="Arial" w:cs="Arial"/>
          <w:sz w:val="14"/>
          <w:szCs w:val="14"/>
        </w:rPr>
        <w:footnoteRef/>
      </w:r>
      <w:r w:rsidRPr="00F63C17">
        <w:rPr>
          <w:rFonts w:ascii="Arial" w:hAnsi="Arial" w:cs="Arial"/>
          <w:sz w:val="14"/>
          <w:szCs w:val="14"/>
        </w:rPr>
        <w:t xml:space="preserve"> Idem 1.</w:t>
      </w:r>
    </w:p>
  </w:footnote>
  <w:footnote w:id="10">
    <w:p w:rsidR="006933DF" w:rsidRPr="00150570" w:rsidRDefault="006933DF" w:rsidP="00E95CAF">
      <w:pPr>
        <w:pStyle w:val="Textonotapie"/>
        <w:jc w:val="left"/>
        <w:rPr>
          <w:rFonts w:ascii="Arial" w:hAnsi="Arial" w:cs="Arial"/>
          <w:sz w:val="14"/>
          <w:szCs w:val="14"/>
        </w:rPr>
      </w:pPr>
      <w:r w:rsidRPr="00402745">
        <w:rPr>
          <w:rStyle w:val="Refdenotaalpie"/>
          <w:rFonts w:ascii="Arial" w:hAnsi="Arial" w:cs="Arial"/>
          <w:sz w:val="14"/>
          <w:szCs w:val="14"/>
        </w:rPr>
        <w:footnoteRef/>
      </w:r>
      <w:r w:rsidRPr="00402745">
        <w:rPr>
          <w:rFonts w:ascii="Arial" w:hAnsi="Arial" w:cs="Arial"/>
          <w:sz w:val="14"/>
          <w:szCs w:val="14"/>
        </w:rPr>
        <w:t xml:space="preserve"> </w:t>
      </w:r>
      <w:r>
        <w:rPr>
          <w:rFonts w:ascii="Arial" w:hAnsi="Arial" w:cs="Arial"/>
          <w:b/>
          <w:sz w:val="14"/>
          <w:szCs w:val="14"/>
        </w:rPr>
        <w:t>Santillo</w:t>
      </w:r>
      <w:r>
        <w:rPr>
          <w:rFonts w:ascii="Arial" w:hAnsi="Arial" w:cs="Arial"/>
          <w:sz w:val="14"/>
          <w:szCs w:val="14"/>
        </w:rPr>
        <w:t xml:space="preserve">, </w:t>
      </w:r>
      <w:r>
        <w:rPr>
          <w:rFonts w:ascii="Arial" w:hAnsi="Arial" w:cs="Arial"/>
          <w:b/>
          <w:sz w:val="14"/>
          <w:szCs w:val="14"/>
        </w:rPr>
        <w:t>M</w:t>
      </w:r>
      <w:r>
        <w:rPr>
          <w:rFonts w:ascii="Arial" w:hAnsi="Arial" w:cs="Arial"/>
          <w:sz w:val="14"/>
          <w:szCs w:val="14"/>
        </w:rPr>
        <w:t>., “</w:t>
      </w:r>
      <w:r>
        <w:rPr>
          <w:rFonts w:ascii="Arial" w:hAnsi="Arial" w:cs="Arial"/>
          <w:i/>
          <w:sz w:val="14"/>
          <w:szCs w:val="14"/>
        </w:rPr>
        <w:t>Balance de las Migraciones Actuales en América Latina</w:t>
      </w:r>
      <w:r>
        <w:rPr>
          <w:rFonts w:ascii="Arial" w:hAnsi="Arial" w:cs="Arial"/>
          <w:sz w:val="14"/>
          <w:szCs w:val="14"/>
        </w:rPr>
        <w:t xml:space="preserve">”, tomado desde </w:t>
      </w:r>
      <w:r w:rsidRPr="009406CC">
        <w:rPr>
          <w:rFonts w:ascii="Arial" w:hAnsi="Arial" w:cs="Arial"/>
          <w:sz w:val="14"/>
          <w:szCs w:val="14"/>
        </w:rPr>
        <w:t>w.scalabrini.org/Triuggio/Santillo_spagnolo.</w:t>
      </w:r>
      <w:r>
        <w:rPr>
          <w:rFonts w:ascii="Arial" w:hAnsi="Arial" w:cs="Arial"/>
          <w:sz w:val="14"/>
          <w:szCs w:val="14"/>
        </w:rPr>
        <w:t xml:space="preserve"> </w:t>
      </w:r>
      <w:r w:rsidRPr="009406CC">
        <w:rPr>
          <w:rFonts w:ascii="Arial" w:hAnsi="Arial" w:cs="Arial"/>
          <w:sz w:val="14"/>
          <w:szCs w:val="14"/>
        </w:rPr>
        <w:t>doc</w:t>
      </w:r>
      <w:r>
        <w:rPr>
          <w:rFonts w:ascii="Arial" w:hAnsi="Arial" w:cs="Arial"/>
          <w:sz w:val="14"/>
          <w:szCs w:val="14"/>
        </w:rPr>
        <w:t>, Buenos Aires, Argentina.</w:t>
      </w:r>
    </w:p>
  </w:footnote>
  <w:footnote w:id="11">
    <w:p w:rsidR="006933DF" w:rsidRPr="00C120B9" w:rsidRDefault="006933DF" w:rsidP="00B55DA3">
      <w:pPr>
        <w:pStyle w:val="Textonotapie"/>
        <w:jc w:val="both"/>
        <w:rPr>
          <w:rFonts w:ascii="Arial" w:hAnsi="Arial" w:cs="Arial"/>
          <w:sz w:val="14"/>
          <w:szCs w:val="14"/>
        </w:rPr>
      </w:pPr>
      <w:r w:rsidRPr="00913BDD">
        <w:rPr>
          <w:rStyle w:val="Refdenotaalpie"/>
          <w:rFonts w:ascii="Arial" w:hAnsi="Arial" w:cs="Arial"/>
          <w:sz w:val="14"/>
          <w:szCs w:val="14"/>
        </w:rPr>
        <w:footnoteRef/>
      </w:r>
      <w:r w:rsidRPr="00913BDD">
        <w:rPr>
          <w:rFonts w:ascii="Arial" w:hAnsi="Arial" w:cs="Arial"/>
          <w:sz w:val="14"/>
          <w:szCs w:val="14"/>
        </w:rPr>
        <w:t xml:space="preserve"> </w:t>
      </w:r>
      <w:r>
        <w:rPr>
          <w:rFonts w:ascii="Arial" w:hAnsi="Arial" w:cs="Arial"/>
          <w:b/>
          <w:sz w:val="14"/>
          <w:szCs w:val="14"/>
        </w:rPr>
        <w:t>Ayala</w:t>
      </w:r>
      <w:r>
        <w:rPr>
          <w:rFonts w:ascii="Arial" w:hAnsi="Arial" w:cs="Arial"/>
          <w:sz w:val="14"/>
          <w:szCs w:val="14"/>
        </w:rPr>
        <w:t xml:space="preserve">, </w:t>
      </w:r>
      <w:r>
        <w:rPr>
          <w:rFonts w:ascii="Arial" w:hAnsi="Arial" w:cs="Arial"/>
          <w:b/>
          <w:sz w:val="14"/>
          <w:szCs w:val="14"/>
        </w:rPr>
        <w:t>E</w:t>
      </w:r>
      <w:r>
        <w:rPr>
          <w:rFonts w:ascii="Arial" w:hAnsi="Arial" w:cs="Arial"/>
          <w:sz w:val="14"/>
          <w:szCs w:val="14"/>
        </w:rPr>
        <w:t>. (2008), “</w:t>
      </w:r>
      <w:r>
        <w:rPr>
          <w:rFonts w:ascii="Arial" w:hAnsi="Arial" w:cs="Arial"/>
          <w:i/>
          <w:sz w:val="14"/>
          <w:szCs w:val="14"/>
        </w:rPr>
        <w:t>Resumen de la Historia del Ecuador</w:t>
      </w:r>
      <w:r>
        <w:rPr>
          <w:rFonts w:ascii="Arial" w:hAnsi="Arial" w:cs="Arial"/>
          <w:sz w:val="14"/>
          <w:szCs w:val="14"/>
        </w:rPr>
        <w:t>”, Tercera Edición, Corporación Editorial Nacional, Quito, Ecuador.</w:t>
      </w:r>
    </w:p>
  </w:footnote>
  <w:footnote w:id="12">
    <w:p w:rsidR="006933DF" w:rsidRPr="00021F20" w:rsidRDefault="006933DF" w:rsidP="00B55DA3">
      <w:pPr>
        <w:pStyle w:val="Textonotapie"/>
        <w:jc w:val="both"/>
        <w:rPr>
          <w:rStyle w:val="Refdenotaalpie"/>
          <w:rFonts w:ascii="Arial" w:hAnsi="Arial" w:cs="Arial"/>
          <w:sz w:val="14"/>
          <w:szCs w:val="14"/>
          <w:vertAlign w:val="baseline"/>
        </w:rPr>
      </w:pPr>
      <w:r w:rsidRPr="00913BDD">
        <w:rPr>
          <w:rStyle w:val="Refdenotaalpie"/>
          <w:rFonts w:ascii="Arial" w:hAnsi="Arial" w:cs="Arial"/>
          <w:sz w:val="14"/>
          <w:szCs w:val="14"/>
        </w:rPr>
        <w:footnoteRef/>
      </w:r>
      <w:r w:rsidRPr="00913BDD">
        <w:rPr>
          <w:rStyle w:val="Refdenotaalpie"/>
          <w:rFonts w:ascii="Arial" w:hAnsi="Arial" w:cs="Arial"/>
          <w:sz w:val="14"/>
          <w:szCs w:val="14"/>
        </w:rPr>
        <w:t xml:space="preserve"> </w:t>
      </w:r>
      <w:r>
        <w:rPr>
          <w:rFonts w:ascii="Arial" w:hAnsi="Arial" w:cs="Arial"/>
          <w:sz w:val="14"/>
          <w:szCs w:val="14"/>
        </w:rPr>
        <w:t>Idem 11.</w:t>
      </w:r>
    </w:p>
  </w:footnote>
  <w:footnote w:id="13">
    <w:p w:rsidR="006933DF" w:rsidRDefault="006933DF" w:rsidP="00AC1D71">
      <w:pPr>
        <w:pStyle w:val="Textonotapie"/>
        <w:jc w:val="both"/>
      </w:pPr>
      <w:r w:rsidRPr="00AC1D71">
        <w:rPr>
          <w:rStyle w:val="Refdenotaalpie"/>
          <w:rFonts w:ascii="Arial" w:hAnsi="Arial" w:cs="Arial"/>
          <w:sz w:val="14"/>
          <w:szCs w:val="14"/>
        </w:rPr>
        <w:footnoteRef/>
      </w:r>
      <w:r w:rsidRPr="00AC1D71">
        <w:rPr>
          <w:rFonts w:ascii="Arial" w:hAnsi="Arial" w:cs="Arial"/>
          <w:sz w:val="14"/>
          <w:szCs w:val="14"/>
        </w:rPr>
        <w:t xml:space="preserve"> </w:t>
      </w:r>
      <w:r>
        <w:rPr>
          <w:rFonts w:ascii="Arial" w:hAnsi="Arial" w:cs="Arial"/>
          <w:b/>
          <w:sz w:val="14"/>
          <w:szCs w:val="14"/>
        </w:rPr>
        <w:t>Ramírez</w:t>
      </w:r>
      <w:r w:rsidRPr="00AC1D71">
        <w:rPr>
          <w:rFonts w:ascii="Arial" w:hAnsi="Arial" w:cs="Arial"/>
          <w:sz w:val="14"/>
          <w:szCs w:val="14"/>
        </w:rPr>
        <w:t xml:space="preserve">, </w:t>
      </w:r>
      <w:r w:rsidRPr="00AC1D71">
        <w:rPr>
          <w:rFonts w:ascii="Arial" w:hAnsi="Arial" w:cs="Arial"/>
          <w:b/>
          <w:sz w:val="14"/>
          <w:szCs w:val="14"/>
        </w:rPr>
        <w:t>C</w:t>
      </w:r>
      <w:r w:rsidRPr="00AC1D71">
        <w:rPr>
          <w:rFonts w:ascii="Arial" w:hAnsi="Arial" w:cs="Arial"/>
          <w:sz w:val="14"/>
          <w:szCs w:val="14"/>
        </w:rPr>
        <w:t xml:space="preserve">., </w:t>
      </w:r>
      <w:r w:rsidRPr="00AC1D71">
        <w:rPr>
          <w:rFonts w:ascii="Arial" w:hAnsi="Arial" w:cs="Arial"/>
          <w:b/>
          <w:sz w:val="14"/>
          <w:szCs w:val="14"/>
        </w:rPr>
        <w:t>Z</w:t>
      </w:r>
      <w:r>
        <w:rPr>
          <w:rFonts w:ascii="Arial" w:hAnsi="Arial" w:cs="Arial"/>
          <w:b/>
          <w:sz w:val="14"/>
          <w:szCs w:val="14"/>
        </w:rPr>
        <w:t>uluaga</w:t>
      </w:r>
      <w:r w:rsidRPr="00AC1D71">
        <w:rPr>
          <w:rFonts w:ascii="Arial" w:hAnsi="Arial" w:cs="Arial"/>
          <w:sz w:val="14"/>
          <w:szCs w:val="14"/>
        </w:rPr>
        <w:t xml:space="preserve">, </w:t>
      </w:r>
      <w:r w:rsidRPr="00AC1D71">
        <w:rPr>
          <w:rFonts w:ascii="Arial" w:hAnsi="Arial" w:cs="Arial"/>
          <w:b/>
          <w:sz w:val="14"/>
          <w:szCs w:val="14"/>
        </w:rPr>
        <w:t>M</w:t>
      </w:r>
      <w:r w:rsidRPr="00AC1D71">
        <w:rPr>
          <w:rFonts w:ascii="Arial" w:hAnsi="Arial" w:cs="Arial"/>
          <w:sz w:val="14"/>
          <w:szCs w:val="14"/>
        </w:rPr>
        <w:t xml:space="preserve">. y </w:t>
      </w:r>
      <w:r w:rsidRPr="00AC1D71">
        <w:rPr>
          <w:rFonts w:ascii="Arial" w:hAnsi="Arial" w:cs="Arial"/>
          <w:b/>
          <w:sz w:val="14"/>
          <w:szCs w:val="14"/>
        </w:rPr>
        <w:t>Perilla</w:t>
      </w:r>
      <w:r w:rsidRPr="00AC1D71">
        <w:rPr>
          <w:rFonts w:ascii="Arial" w:hAnsi="Arial" w:cs="Arial"/>
          <w:sz w:val="14"/>
          <w:szCs w:val="14"/>
        </w:rPr>
        <w:t xml:space="preserve">, </w:t>
      </w:r>
      <w:r w:rsidRPr="00AC1D71">
        <w:rPr>
          <w:rFonts w:ascii="Arial" w:hAnsi="Arial" w:cs="Arial"/>
          <w:b/>
          <w:sz w:val="14"/>
          <w:szCs w:val="14"/>
        </w:rPr>
        <w:t>C</w:t>
      </w:r>
      <w:r w:rsidRPr="00AC1D71">
        <w:rPr>
          <w:rFonts w:ascii="Arial" w:hAnsi="Arial" w:cs="Arial"/>
          <w:sz w:val="14"/>
          <w:szCs w:val="14"/>
        </w:rPr>
        <w:t xml:space="preserve">. (2010), </w:t>
      </w:r>
      <w:r w:rsidRPr="00AC1D71">
        <w:rPr>
          <w:rFonts w:ascii="Arial" w:hAnsi="Arial" w:cs="Arial"/>
          <w:i/>
          <w:sz w:val="14"/>
          <w:szCs w:val="14"/>
        </w:rPr>
        <w:t>"Perfil Migratorio de Colombia"</w:t>
      </w:r>
      <w:r w:rsidRPr="00AC1D71">
        <w:rPr>
          <w:rFonts w:ascii="Arial" w:hAnsi="Arial" w:cs="Arial"/>
          <w:sz w:val="14"/>
          <w:szCs w:val="14"/>
        </w:rPr>
        <w:t>, Organización Internacional para las</w:t>
      </w:r>
      <w:r w:rsidRPr="005C7D78">
        <w:rPr>
          <w:rFonts w:ascii="Arial" w:hAnsi="Arial" w:cs="Arial"/>
          <w:sz w:val="14"/>
          <w:szCs w:val="14"/>
        </w:rPr>
        <w:t xml:space="preserve"> Migraciones, Bogotá, Colombia.</w:t>
      </w:r>
    </w:p>
  </w:footnote>
  <w:footnote w:id="14">
    <w:p w:rsidR="006933DF" w:rsidRDefault="006933DF" w:rsidP="005F5D9C">
      <w:pPr>
        <w:pStyle w:val="Textonotapie"/>
        <w:jc w:val="both"/>
      </w:pPr>
      <w:r w:rsidRPr="005F5D9C">
        <w:rPr>
          <w:rStyle w:val="Refdenotaalpie"/>
          <w:rFonts w:ascii="Arial" w:hAnsi="Arial" w:cs="Arial"/>
          <w:sz w:val="14"/>
          <w:szCs w:val="14"/>
        </w:rPr>
        <w:footnoteRef/>
      </w:r>
      <w:r w:rsidRPr="005F5D9C">
        <w:rPr>
          <w:rFonts w:ascii="Arial" w:hAnsi="Arial" w:cs="Arial"/>
          <w:sz w:val="14"/>
          <w:szCs w:val="14"/>
        </w:rPr>
        <w:t xml:space="preserve"> </w:t>
      </w:r>
      <w:r w:rsidRPr="0051142D">
        <w:rPr>
          <w:rFonts w:ascii="Arial" w:hAnsi="Arial" w:cs="Arial"/>
          <w:b/>
          <w:sz w:val="14"/>
          <w:szCs w:val="14"/>
        </w:rPr>
        <w:t>Banco de la República de Colombia</w:t>
      </w:r>
      <w:r w:rsidRPr="005F5D9C">
        <w:rPr>
          <w:rFonts w:ascii="Arial" w:hAnsi="Arial" w:cs="Arial"/>
          <w:i/>
          <w:sz w:val="14"/>
          <w:szCs w:val="14"/>
        </w:rPr>
        <w:t xml:space="preserve"> </w:t>
      </w:r>
      <w:r w:rsidRPr="005F5D9C">
        <w:rPr>
          <w:rFonts w:ascii="Arial" w:hAnsi="Arial" w:cs="Arial"/>
          <w:sz w:val="14"/>
          <w:szCs w:val="14"/>
        </w:rPr>
        <w:t xml:space="preserve">(2008), </w:t>
      </w:r>
      <w:r w:rsidRPr="005F5D9C">
        <w:rPr>
          <w:rFonts w:ascii="Arial" w:hAnsi="Arial" w:cs="Arial"/>
          <w:i/>
          <w:sz w:val="14"/>
          <w:szCs w:val="14"/>
        </w:rPr>
        <w:t>"El efecto de la migración y la dinámica económica internacional en el Flujo de</w:t>
      </w:r>
      <w:r w:rsidRPr="005C7D78">
        <w:rPr>
          <w:rFonts w:ascii="Arial" w:hAnsi="Arial" w:cs="Arial"/>
          <w:i/>
          <w:sz w:val="14"/>
          <w:szCs w:val="14"/>
        </w:rPr>
        <w:t xml:space="preserve"> Remesas de trabajadores hacia Colombia"</w:t>
      </w:r>
      <w:r w:rsidRPr="005C7D78">
        <w:rPr>
          <w:rFonts w:ascii="Arial" w:hAnsi="Arial" w:cs="Arial"/>
          <w:sz w:val="14"/>
          <w:szCs w:val="14"/>
        </w:rPr>
        <w:t>, IV Seminario Anual de Remesas, La Paz, Bolivia.</w:t>
      </w:r>
    </w:p>
  </w:footnote>
  <w:footnote w:id="15">
    <w:p w:rsidR="006933DF" w:rsidRDefault="006933DF" w:rsidP="0051142D">
      <w:pPr>
        <w:pStyle w:val="Textonotapie"/>
        <w:jc w:val="both"/>
      </w:pPr>
      <w:r w:rsidRPr="0051142D">
        <w:rPr>
          <w:rStyle w:val="Refdenotaalpie"/>
          <w:rFonts w:ascii="Arial" w:hAnsi="Arial" w:cs="Arial"/>
          <w:sz w:val="14"/>
          <w:szCs w:val="14"/>
        </w:rPr>
        <w:footnoteRef/>
      </w:r>
      <w:r w:rsidRPr="0051142D">
        <w:rPr>
          <w:rFonts w:ascii="Arial" w:hAnsi="Arial" w:cs="Arial"/>
          <w:sz w:val="14"/>
          <w:szCs w:val="14"/>
        </w:rPr>
        <w:t xml:space="preserve"> </w:t>
      </w:r>
      <w:r w:rsidRPr="0051142D">
        <w:rPr>
          <w:rFonts w:ascii="Arial" w:hAnsi="Arial" w:cs="Arial"/>
          <w:b/>
          <w:sz w:val="14"/>
          <w:szCs w:val="14"/>
        </w:rPr>
        <w:t>Pérez</w:t>
      </w:r>
      <w:r w:rsidRPr="0051142D">
        <w:rPr>
          <w:rFonts w:ascii="Arial" w:hAnsi="Arial" w:cs="Arial"/>
          <w:sz w:val="14"/>
          <w:szCs w:val="14"/>
        </w:rPr>
        <w:t xml:space="preserve">, </w:t>
      </w:r>
      <w:r w:rsidRPr="0051142D">
        <w:rPr>
          <w:rFonts w:ascii="Arial" w:hAnsi="Arial" w:cs="Arial"/>
          <w:b/>
          <w:sz w:val="14"/>
          <w:szCs w:val="14"/>
        </w:rPr>
        <w:t>C</w:t>
      </w:r>
      <w:r w:rsidRPr="0051142D">
        <w:rPr>
          <w:rFonts w:ascii="Arial" w:hAnsi="Arial" w:cs="Arial"/>
          <w:sz w:val="14"/>
          <w:szCs w:val="14"/>
        </w:rPr>
        <w:t xml:space="preserve">. (2003), </w:t>
      </w:r>
      <w:r w:rsidRPr="0051142D">
        <w:rPr>
          <w:rFonts w:ascii="Arial" w:hAnsi="Arial" w:cs="Arial"/>
          <w:i/>
          <w:sz w:val="14"/>
          <w:szCs w:val="14"/>
        </w:rPr>
        <w:t>"La situación de refugio y desplazamiento forzado en Ecuador"</w:t>
      </w:r>
      <w:r w:rsidRPr="0051142D">
        <w:rPr>
          <w:rFonts w:ascii="Arial" w:hAnsi="Arial" w:cs="Arial"/>
          <w:sz w:val="14"/>
          <w:szCs w:val="14"/>
        </w:rPr>
        <w:t>, Revista Aportes Andinos Nº 7. Globalización,</w:t>
      </w:r>
      <w:r w:rsidRPr="005C7D78">
        <w:rPr>
          <w:rFonts w:ascii="Arial" w:hAnsi="Arial" w:cs="Arial"/>
          <w:sz w:val="14"/>
          <w:szCs w:val="14"/>
        </w:rPr>
        <w:t xml:space="preserve"> migración y derechos humanos, Ecuador.</w:t>
      </w:r>
    </w:p>
  </w:footnote>
  <w:footnote w:id="16">
    <w:p w:rsidR="006933DF" w:rsidRDefault="006933DF" w:rsidP="0004768C">
      <w:pPr>
        <w:pStyle w:val="Textonotapie"/>
        <w:jc w:val="both"/>
      </w:pPr>
      <w:r w:rsidRPr="00B14A45">
        <w:rPr>
          <w:rStyle w:val="Refdenotaalpie"/>
          <w:rFonts w:ascii="Arial" w:hAnsi="Arial" w:cs="Arial"/>
          <w:sz w:val="14"/>
          <w:szCs w:val="14"/>
        </w:rPr>
        <w:footnoteRef/>
      </w:r>
      <w:r w:rsidRPr="00B14A45">
        <w:rPr>
          <w:rFonts w:ascii="Arial" w:hAnsi="Arial" w:cs="Arial"/>
          <w:sz w:val="14"/>
          <w:szCs w:val="14"/>
        </w:rPr>
        <w:t xml:space="preserve"> </w:t>
      </w:r>
      <w:r w:rsidRPr="00B14A45">
        <w:rPr>
          <w:rFonts w:ascii="Arial" w:hAnsi="Arial" w:cs="Arial"/>
          <w:b/>
          <w:sz w:val="14"/>
          <w:szCs w:val="14"/>
        </w:rPr>
        <w:t>Ramos</w:t>
      </w:r>
      <w:r>
        <w:rPr>
          <w:rFonts w:ascii="Arial" w:hAnsi="Arial" w:cs="Arial"/>
          <w:sz w:val="14"/>
          <w:szCs w:val="14"/>
        </w:rPr>
        <w:t>,</w:t>
      </w:r>
      <w:r w:rsidRPr="00B14A45">
        <w:rPr>
          <w:rFonts w:ascii="Arial" w:hAnsi="Arial" w:cs="Arial"/>
          <w:b/>
          <w:sz w:val="14"/>
          <w:szCs w:val="14"/>
        </w:rPr>
        <w:t xml:space="preserve"> M. </w:t>
      </w:r>
      <w:r w:rsidRPr="00B14A45">
        <w:rPr>
          <w:rFonts w:ascii="Arial" w:hAnsi="Arial" w:cs="Arial"/>
          <w:sz w:val="14"/>
          <w:szCs w:val="14"/>
        </w:rPr>
        <w:t xml:space="preserve">(2010), </w:t>
      </w:r>
      <w:r w:rsidRPr="00B14A45">
        <w:rPr>
          <w:rFonts w:ascii="Arial" w:hAnsi="Arial" w:cs="Arial"/>
          <w:i/>
          <w:sz w:val="14"/>
          <w:szCs w:val="14"/>
        </w:rPr>
        <w:t>"</w:t>
      </w:r>
      <w:r w:rsidRPr="00B14A45">
        <w:rPr>
          <w:rFonts w:ascii="Arial" w:hAnsi="Arial" w:cs="Arial"/>
          <w:sz w:val="14"/>
          <w:szCs w:val="14"/>
        </w:rPr>
        <w:t xml:space="preserve"> </w:t>
      </w:r>
      <w:r w:rsidRPr="00B14A45">
        <w:rPr>
          <w:rFonts w:ascii="Arial" w:hAnsi="Arial" w:cs="Arial"/>
          <w:i/>
          <w:sz w:val="14"/>
          <w:szCs w:val="14"/>
        </w:rPr>
        <w:t>Migración peruana a Ecuador: ¿en espera de una regulación definitiva?"</w:t>
      </w:r>
      <w:r w:rsidRPr="00B14A45">
        <w:rPr>
          <w:rFonts w:ascii="Arial" w:hAnsi="Arial" w:cs="Arial"/>
          <w:sz w:val="14"/>
          <w:szCs w:val="14"/>
        </w:rPr>
        <w:t>, Boletín de Coyuntura del Sistema</w:t>
      </w:r>
      <w:r w:rsidRPr="001F3B4F">
        <w:rPr>
          <w:rFonts w:ascii="Arial" w:hAnsi="Arial" w:cs="Arial"/>
          <w:sz w:val="14"/>
          <w:szCs w:val="14"/>
        </w:rPr>
        <w:t xml:space="preserve"> de Información sobre Migraciones Andinas, FLACSO</w:t>
      </w:r>
      <w:r>
        <w:rPr>
          <w:rFonts w:ascii="Arial" w:hAnsi="Arial" w:cs="Arial"/>
          <w:sz w:val="14"/>
          <w:szCs w:val="14"/>
        </w:rPr>
        <w:t xml:space="preserve"> </w:t>
      </w:r>
      <w:r w:rsidRPr="001F3B4F">
        <w:rPr>
          <w:rFonts w:ascii="Arial" w:hAnsi="Arial" w:cs="Arial"/>
          <w:sz w:val="14"/>
          <w:szCs w:val="14"/>
        </w:rPr>
        <w:t>-</w:t>
      </w:r>
      <w:r>
        <w:rPr>
          <w:rFonts w:ascii="Arial" w:hAnsi="Arial" w:cs="Arial"/>
          <w:sz w:val="14"/>
          <w:szCs w:val="14"/>
        </w:rPr>
        <w:t xml:space="preserve"> </w:t>
      </w:r>
      <w:r w:rsidRPr="001F3B4F">
        <w:rPr>
          <w:rFonts w:ascii="Arial" w:hAnsi="Arial" w:cs="Arial"/>
          <w:sz w:val="14"/>
          <w:szCs w:val="14"/>
        </w:rPr>
        <w:t>Ecuador, Ecuador.</w:t>
      </w:r>
    </w:p>
  </w:footnote>
  <w:footnote w:id="17">
    <w:p w:rsidR="006933DF" w:rsidRPr="006C561E" w:rsidRDefault="006933DF" w:rsidP="006C561E">
      <w:pPr>
        <w:pStyle w:val="Textonotapie"/>
        <w:jc w:val="both"/>
        <w:rPr>
          <w:rFonts w:ascii="Arial" w:hAnsi="Arial" w:cs="Arial"/>
          <w:sz w:val="14"/>
          <w:szCs w:val="14"/>
        </w:rPr>
      </w:pPr>
      <w:r w:rsidRPr="006C561E">
        <w:rPr>
          <w:rStyle w:val="Refdenotaalpie"/>
          <w:rFonts w:ascii="Arial" w:hAnsi="Arial" w:cs="Arial"/>
          <w:sz w:val="14"/>
          <w:szCs w:val="14"/>
        </w:rPr>
        <w:footnoteRef/>
      </w:r>
      <w:r w:rsidRPr="006C561E">
        <w:rPr>
          <w:rFonts w:ascii="Arial" w:hAnsi="Arial" w:cs="Arial"/>
          <w:sz w:val="14"/>
          <w:szCs w:val="14"/>
        </w:rPr>
        <w:t xml:space="preserve"> </w:t>
      </w:r>
      <w:r w:rsidRPr="006C561E">
        <w:rPr>
          <w:rFonts w:ascii="Arial" w:hAnsi="Arial" w:cs="Arial"/>
          <w:b/>
          <w:sz w:val="14"/>
          <w:szCs w:val="14"/>
        </w:rPr>
        <w:t>INEC</w:t>
      </w:r>
      <w:r w:rsidRPr="006C561E">
        <w:rPr>
          <w:rFonts w:ascii="Arial" w:hAnsi="Arial" w:cs="Arial"/>
          <w:sz w:val="14"/>
          <w:szCs w:val="14"/>
        </w:rPr>
        <w:t xml:space="preserve"> (2001), Base de datos del VI Censo de Población y V de Vivienda, Ecuador.</w:t>
      </w:r>
    </w:p>
  </w:footnote>
  <w:footnote w:id="18">
    <w:p w:rsidR="006933DF" w:rsidRPr="00B73530" w:rsidRDefault="006933DF" w:rsidP="00B73530">
      <w:pPr>
        <w:pStyle w:val="Textonotapie"/>
        <w:jc w:val="both"/>
        <w:rPr>
          <w:rFonts w:ascii="Arial" w:hAnsi="Arial" w:cs="Arial"/>
          <w:sz w:val="14"/>
          <w:szCs w:val="14"/>
        </w:rPr>
      </w:pPr>
      <w:r w:rsidRPr="00B73530">
        <w:rPr>
          <w:rStyle w:val="Refdenotaalpie"/>
          <w:rFonts w:ascii="Arial" w:hAnsi="Arial" w:cs="Arial"/>
          <w:sz w:val="14"/>
          <w:szCs w:val="14"/>
        </w:rPr>
        <w:footnoteRef/>
      </w:r>
      <w:r w:rsidRPr="00B73530">
        <w:rPr>
          <w:rFonts w:ascii="Arial" w:hAnsi="Arial" w:cs="Arial"/>
          <w:sz w:val="14"/>
          <w:szCs w:val="14"/>
        </w:rPr>
        <w:t xml:space="preserve"> </w:t>
      </w:r>
      <w:r w:rsidRPr="00B73530">
        <w:rPr>
          <w:rFonts w:ascii="Arial" w:hAnsi="Arial" w:cs="Arial"/>
          <w:b/>
          <w:sz w:val="14"/>
          <w:szCs w:val="14"/>
        </w:rPr>
        <w:t>FLACSO</w:t>
      </w:r>
      <w:r w:rsidRPr="00B73530">
        <w:rPr>
          <w:rFonts w:ascii="Arial" w:hAnsi="Arial" w:cs="Arial"/>
          <w:sz w:val="14"/>
          <w:szCs w:val="14"/>
        </w:rPr>
        <w:t xml:space="preserve"> (2006), "</w:t>
      </w:r>
      <w:r w:rsidRPr="00AD7DA9">
        <w:rPr>
          <w:rFonts w:ascii="Arial" w:hAnsi="Arial" w:cs="Arial"/>
          <w:i/>
          <w:sz w:val="14"/>
          <w:szCs w:val="14"/>
        </w:rPr>
        <w:t>Ecuador: Las cifras de la migración internacional</w:t>
      </w:r>
      <w:r w:rsidRPr="00B73530">
        <w:rPr>
          <w:rFonts w:ascii="Arial" w:hAnsi="Arial" w:cs="Arial"/>
          <w:sz w:val="14"/>
          <w:szCs w:val="14"/>
        </w:rPr>
        <w:t>", Quito, Ecuador.</w:t>
      </w:r>
    </w:p>
  </w:footnote>
  <w:footnote w:id="19">
    <w:p w:rsidR="006933DF" w:rsidRPr="000C76B6" w:rsidRDefault="006933DF" w:rsidP="000C76B6">
      <w:pPr>
        <w:pStyle w:val="Textonotapie"/>
        <w:jc w:val="both"/>
        <w:rPr>
          <w:rFonts w:ascii="Arial" w:hAnsi="Arial" w:cs="Arial"/>
          <w:sz w:val="14"/>
          <w:szCs w:val="14"/>
        </w:rPr>
      </w:pPr>
      <w:r w:rsidRPr="000C76B6">
        <w:rPr>
          <w:rStyle w:val="Refdenotaalpie"/>
          <w:rFonts w:ascii="Arial" w:hAnsi="Arial" w:cs="Arial"/>
          <w:sz w:val="14"/>
          <w:szCs w:val="14"/>
        </w:rPr>
        <w:footnoteRef/>
      </w:r>
      <w:r w:rsidRPr="000C76B6">
        <w:rPr>
          <w:rFonts w:ascii="Arial" w:hAnsi="Arial" w:cs="Arial"/>
          <w:sz w:val="14"/>
          <w:szCs w:val="14"/>
        </w:rPr>
        <w:t xml:space="preserve"> Idem 1</w:t>
      </w:r>
      <w:r>
        <w:rPr>
          <w:rFonts w:ascii="Arial" w:hAnsi="Arial" w:cs="Arial"/>
          <w:sz w:val="14"/>
          <w:szCs w:val="14"/>
        </w:rPr>
        <w:t>8</w:t>
      </w:r>
      <w:r w:rsidRPr="000C76B6">
        <w:rPr>
          <w:rFonts w:ascii="Arial" w:hAnsi="Arial" w:cs="Arial"/>
          <w:sz w:val="14"/>
          <w:szCs w:val="14"/>
        </w:rPr>
        <w:t>.</w:t>
      </w:r>
    </w:p>
  </w:footnote>
  <w:footnote w:id="20">
    <w:p w:rsidR="006933DF" w:rsidRPr="001624BE" w:rsidRDefault="006933DF" w:rsidP="001624BE">
      <w:pPr>
        <w:pStyle w:val="Textonotapie"/>
        <w:jc w:val="both"/>
        <w:rPr>
          <w:rFonts w:ascii="Arial" w:hAnsi="Arial" w:cs="Arial"/>
          <w:sz w:val="14"/>
          <w:szCs w:val="14"/>
        </w:rPr>
      </w:pPr>
      <w:r w:rsidRPr="001624BE">
        <w:rPr>
          <w:rStyle w:val="Refdenotaalpie"/>
          <w:rFonts w:ascii="Arial" w:hAnsi="Arial" w:cs="Arial"/>
          <w:sz w:val="14"/>
          <w:szCs w:val="14"/>
        </w:rPr>
        <w:footnoteRef/>
      </w:r>
      <w:r w:rsidRPr="001624BE">
        <w:rPr>
          <w:rFonts w:ascii="Arial" w:hAnsi="Arial" w:cs="Arial"/>
          <w:sz w:val="14"/>
          <w:szCs w:val="14"/>
        </w:rPr>
        <w:t xml:space="preserve"> </w:t>
      </w:r>
      <w:r w:rsidRPr="001624BE">
        <w:rPr>
          <w:rFonts w:ascii="Arial" w:hAnsi="Arial" w:cs="Arial"/>
          <w:b/>
          <w:sz w:val="14"/>
          <w:szCs w:val="14"/>
        </w:rPr>
        <w:t>Serrano</w:t>
      </w:r>
      <w:r w:rsidRPr="001624BE">
        <w:rPr>
          <w:rFonts w:ascii="Arial" w:hAnsi="Arial" w:cs="Arial"/>
          <w:sz w:val="14"/>
          <w:szCs w:val="14"/>
        </w:rPr>
        <w:t>,</w:t>
      </w:r>
      <w:r w:rsidRPr="001624BE">
        <w:rPr>
          <w:rFonts w:ascii="Arial" w:hAnsi="Arial" w:cs="Arial"/>
          <w:b/>
          <w:sz w:val="14"/>
          <w:szCs w:val="14"/>
        </w:rPr>
        <w:t xml:space="preserve"> A. </w:t>
      </w:r>
      <w:r w:rsidRPr="001624BE">
        <w:rPr>
          <w:rFonts w:ascii="Arial" w:hAnsi="Arial" w:cs="Arial"/>
          <w:sz w:val="14"/>
          <w:szCs w:val="14"/>
        </w:rPr>
        <w:t xml:space="preserve">(2008), </w:t>
      </w:r>
      <w:r w:rsidRPr="001624BE">
        <w:rPr>
          <w:rFonts w:ascii="Arial" w:hAnsi="Arial" w:cs="Arial"/>
          <w:i/>
          <w:sz w:val="14"/>
          <w:szCs w:val="14"/>
        </w:rPr>
        <w:t>"Perfil Migratorio del Ecuador 2008"</w:t>
      </w:r>
      <w:r w:rsidRPr="001624BE">
        <w:rPr>
          <w:rFonts w:ascii="Arial" w:hAnsi="Arial" w:cs="Arial"/>
          <w:sz w:val="14"/>
          <w:szCs w:val="14"/>
        </w:rPr>
        <w:t>, Organización Internacional para las Migraciones, Quito, Ecuador.</w:t>
      </w:r>
    </w:p>
  </w:footnote>
  <w:footnote w:id="21">
    <w:p w:rsidR="006933DF" w:rsidRPr="00B41B7A" w:rsidRDefault="006933DF" w:rsidP="00B41B7A">
      <w:pPr>
        <w:pStyle w:val="Textonotapie"/>
        <w:jc w:val="both"/>
        <w:rPr>
          <w:rStyle w:val="Refdenotaalpie"/>
          <w:rFonts w:ascii="Arial" w:hAnsi="Arial" w:cs="Arial"/>
          <w:sz w:val="14"/>
          <w:szCs w:val="14"/>
        </w:rPr>
      </w:pPr>
      <w:r w:rsidRPr="00B41B7A">
        <w:rPr>
          <w:rStyle w:val="Refdenotaalpie"/>
          <w:rFonts w:ascii="Arial" w:hAnsi="Arial" w:cs="Arial"/>
          <w:sz w:val="14"/>
          <w:szCs w:val="14"/>
        </w:rPr>
        <w:footnoteRef/>
      </w:r>
      <w:r w:rsidRPr="00B41B7A">
        <w:rPr>
          <w:rStyle w:val="Refdenotaalpie"/>
          <w:rFonts w:ascii="Arial" w:hAnsi="Arial" w:cs="Arial"/>
          <w:sz w:val="14"/>
          <w:szCs w:val="14"/>
        </w:rPr>
        <w:t xml:space="preserve"> </w:t>
      </w:r>
      <w:r w:rsidRPr="00080734">
        <w:rPr>
          <w:rFonts w:ascii="Arial" w:hAnsi="Arial" w:cs="Arial"/>
          <w:b/>
          <w:sz w:val="14"/>
          <w:szCs w:val="14"/>
        </w:rPr>
        <w:t>Arango</w:t>
      </w:r>
      <w:r w:rsidRPr="00080734">
        <w:rPr>
          <w:rFonts w:ascii="Arial" w:hAnsi="Arial" w:cs="Arial"/>
          <w:sz w:val="14"/>
          <w:szCs w:val="14"/>
        </w:rPr>
        <w:t>,</w:t>
      </w:r>
      <w:r w:rsidRPr="00080734">
        <w:rPr>
          <w:rFonts w:ascii="Arial" w:hAnsi="Arial" w:cs="Arial"/>
          <w:b/>
          <w:sz w:val="14"/>
          <w:szCs w:val="14"/>
        </w:rPr>
        <w:t xml:space="preserve"> J.</w:t>
      </w:r>
      <w:r w:rsidRPr="00080734">
        <w:rPr>
          <w:rFonts w:ascii="Arial" w:hAnsi="Arial" w:cs="Arial"/>
          <w:sz w:val="14"/>
          <w:szCs w:val="14"/>
        </w:rPr>
        <w:t xml:space="preserve"> (1985), “</w:t>
      </w:r>
      <w:r w:rsidRPr="00080734">
        <w:rPr>
          <w:rFonts w:ascii="Arial" w:hAnsi="Arial" w:cs="Arial"/>
          <w:i/>
          <w:sz w:val="14"/>
          <w:szCs w:val="14"/>
        </w:rPr>
        <w:t>Las Leyes de las Migraciones de E. G. Ravenstein, cien años después</w:t>
      </w:r>
      <w:r w:rsidRPr="00080734">
        <w:rPr>
          <w:rFonts w:ascii="Arial" w:hAnsi="Arial" w:cs="Arial"/>
          <w:sz w:val="14"/>
          <w:szCs w:val="14"/>
        </w:rPr>
        <w:t>”, Revista española de investigaciones sociológicas, España.</w:t>
      </w:r>
    </w:p>
  </w:footnote>
  <w:footnote w:id="22">
    <w:p w:rsidR="006933DF" w:rsidRPr="008757F6" w:rsidRDefault="006933DF" w:rsidP="008757F6">
      <w:pPr>
        <w:pStyle w:val="Textonotapie"/>
        <w:jc w:val="both"/>
        <w:rPr>
          <w:rFonts w:ascii="Arial" w:hAnsi="Arial" w:cs="Arial"/>
          <w:sz w:val="14"/>
          <w:szCs w:val="14"/>
        </w:rPr>
      </w:pPr>
      <w:r w:rsidRPr="008757F6">
        <w:rPr>
          <w:rStyle w:val="Refdenotaalpie"/>
          <w:rFonts w:ascii="Arial" w:hAnsi="Arial" w:cs="Arial"/>
          <w:sz w:val="14"/>
          <w:szCs w:val="14"/>
        </w:rPr>
        <w:footnoteRef/>
      </w:r>
      <w:r w:rsidRPr="008757F6">
        <w:rPr>
          <w:rFonts w:ascii="Arial" w:hAnsi="Arial" w:cs="Arial"/>
          <w:sz w:val="14"/>
          <w:szCs w:val="14"/>
        </w:rPr>
        <w:t xml:space="preserve"> </w:t>
      </w:r>
      <w:r>
        <w:rPr>
          <w:rFonts w:ascii="Arial" w:hAnsi="Arial" w:cs="Arial"/>
          <w:sz w:val="14"/>
          <w:szCs w:val="14"/>
        </w:rPr>
        <w:t>Idem 20</w:t>
      </w:r>
      <w:r w:rsidRPr="008757F6">
        <w:rPr>
          <w:rFonts w:ascii="Arial" w:hAnsi="Arial" w:cs="Arial"/>
          <w:sz w:val="14"/>
          <w:szCs w:val="14"/>
        </w:rPr>
        <w:t>.</w:t>
      </w:r>
    </w:p>
  </w:footnote>
  <w:footnote w:id="23">
    <w:p w:rsidR="006933DF" w:rsidRPr="007775FE" w:rsidRDefault="006933DF" w:rsidP="007775FE">
      <w:pPr>
        <w:pStyle w:val="Textonotapie"/>
        <w:spacing w:line="360" w:lineRule="auto"/>
        <w:jc w:val="both"/>
        <w:rPr>
          <w:rFonts w:ascii="Arial" w:hAnsi="Arial" w:cs="Arial"/>
          <w:sz w:val="14"/>
          <w:szCs w:val="14"/>
        </w:rPr>
      </w:pPr>
      <w:r w:rsidRPr="007775FE">
        <w:rPr>
          <w:rStyle w:val="Refdenotaalpie"/>
          <w:rFonts w:ascii="Arial" w:hAnsi="Arial" w:cs="Arial"/>
          <w:sz w:val="14"/>
          <w:szCs w:val="14"/>
        </w:rPr>
        <w:footnoteRef/>
      </w:r>
      <w:r w:rsidRPr="007775FE">
        <w:rPr>
          <w:rFonts w:ascii="Arial" w:hAnsi="Arial" w:cs="Arial"/>
          <w:sz w:val="14"/>
          <w:szCs w:val="14"/>
        </w:rPr>
        <w:t xml:space="preserve"> </w:t>
      </w:r>
      <w:r w:rsidRPr="0028296B">
        <w:rPr>
          <w:rFonts w:ascii="Arial" w:hAnsi="Arial" w:cs="Arial"/>
          <w:sz w:val="14"/>
          <w:szCs w:val="14"/>
        </w:rPr>
        <w:t>Idem 2</w:t>
      </w:r>
      <w:r>
        <w:rPr>
          <w:rFonts w:ascii="Arial" w:hAnsi="Arial" w:cs="Arial"/>
          <w:sz w:val="14"/>
          <w:szCs w:val="14"/>
        </w:rPr>
        <w:t>0</w:t>
      </w:r>
      <w:r w:rsidRPr="0028296B">
        <w:rPr>
          <w:rFonts w:ascii="Arial" w:hAnsi="Arial" w:cs="Arial"/>
          <w:sz w:val="14"/>
          <w:szCs w:val="14"/>
        </w:rPr>
        <w:t>.</w:t>
      </w:r>
    </w:p>
  </w:footnote>
  <w:footnote w:id="24">
    <w:p w:rsidR="006933DF" w:rsidRPr="00CC56AE" w:rsidRDefault="006933DF" w:rsidP="004B13FE">
      <w:pPr>
        <w:pStyle w:val="Textonotapie"/>
        <w:jc w:val="both"/>
        <w:rPr>
          <w:rFonts w:ascii="Arial" w:hAnsi="Arial" w:cs="Arial"/>
          <w:sz w:val="14"/>
          <w:szCs w:val="14"/>
        </w:rPr>
      </w:pPr>
      <w:r w:rsidRPr="00CC56AE">
        <w:rPr>
          <w:rStyle w:val="Refdenotaalpie"/>
          <w:rFonts w:ascii="Arial" w:hAnsi="Arial" w:cs="Arial"/>
          <w:sz w:val="14"/>
          <w:szCs w:val="14"/>
        </w:rPr>
        <w:footnoteRef/>
      </w:r>
      <w:r w:rsidRPr="00CC56AE">
        <w:rPr>
          <w:rFonts w:ascii="Arial" w:hAnsi="Arial" w:cs="Arial"/>
          <w:sz w:val="14"/>
          <w:szCs w:val="14"/>
        </w:rPr>
        <w:t xml:space="preserve"> </w:t>
      </w:r>
      <w:r w:rsidRPr="00CC56AE">
        <w:rPr>
          <w:rFonts w:ascii="Arial" w:hAnsi="Arial" w:cs="Arial"/>
          <w:b/>
          <w:sz w:val="14"/>
          <w:szCs w:val="14"/>
          <w:lang w:val="es-ES"/>
        </w:rPr>
        <w:t>Camacho</w:t>
      </w:r>
      <w:r w:rsidRPr="00CC56AE">
        <w:rPr>
          <w:rFonts w:ascii="Arial" w:hAnsi="Arial" w:cs="Arial"/>
          <w:sz w:val="14"/>
          <w:szCs w:val="14"/>
          <w:lang w:val="es-ES"/>
        </w:rPr>
        <w:t>,</w:t>
      </w:r>
      <w:r w:rsidRPr="00CC56AE">
        <w:rPr>
          <w:rFonts w:ascii="Arial" w:hAnsi="Arial" w:cs="Arial"/>
          <w:b/>
          <w:sz w:val="14"/>
          <w:szCs w:val="14"/>
          <w:lang w:val="es-ES"/>
        </w:rPr>
        <w:t xml:space="preserve"> G. </w:t>
      </w:r>
      <w:r w:rsidRPr="00CC56AE">
        <w:rPr>
          <w:rFonts w:ascii="Arial" w:hAnsi="Arial" w:cs="Arial"/>
          <w:sz w:val="14"/>
          <w:szCs w:val="14"/>
          <w:lang w:val="es-ES"/>
        </w:rPr>
        <w:t>y</w:t>
      </w:r>
      <w:r w:rsidRPr="00CC56AE">
        <w:rPr>
          <w:rFonts w:ascii="Arial" w:hAnsi="Arial" w:cs="Arial"/>
          <w:b/>
          <w:sz w:val="14"/>
          <w:szCs w:val="14"/>
          <w:lang w:val="es-ES"/>
        </w:rPr>
        <w:t xml:space="preserve"> Hernández</w:t>
      </w:r>
      <w:r w:rsidRPr="00CC56AE">
        <w:rPr>
          <w:rFonts w:ascii="Arial" w:hAnsi="Arial" w:cs="Arial"/>
          <w:sz w:val="14"/>
          <w:szCs w:val="14"/>
          <w:lang w:val="es-ES"/>
        </w:rPr>
        <w:t>,</w:t>
      </w:r>
      <w:r w:rsidRPr="00CC56AE">
        <w:rPr>
          <w:rFonts w:ascii="Arial" w:hAnsi="Arial" w:cs="Arial"/>
          <w:b/>
          <w:sz w:val="14"/>
          <w:szCs w:val="14"/>
          <w:lang w:val="es-ES"/>
        </w:rPr>
        <w:t xml:space="preserve"> K. </w:t>
      </w:r>
      <w:r w:rsidRPr="00CC56AE">
        <w:rPr>
          <w:rFonts w:ascii="Arial" w:hAnsi="Arial" w:cs="Arial"/>
          <w:sz w:val="14"/>
          <w:szCs w:val="14"/>
          <w:lang w:val="es-ES"/>
        </w:rPr>
        <w:t xml:space="preserve">(2009), </w:t>
      </w:r>
      <w:r w:rsidRPr="00CC56AE">
        <w:rPr>
          <w:rFonts w:ascii="Arial" w:hAnsi="Arial" w:cs="Arial"/>
          <w:i/>
          <w:sz w:val="14"/>
          <w:szCs w:val="14"/>
          <w:lang w:val="es-ES"/>
        </w:rPr>
        <w:t>"Miradas transnacionales. Visiones de la migración ecuatoriana desde España y Ecuador"</w:t>
      </w:r>
      <w:r w:rsidRPr="00CC56AE">
        <w:rPr>
          <w:rFonts w:ascii="Arial" w:hAnsi="Arial" w:cs="Arial"/>
          <w:sz w:val="14"/>
          <w:szCs w:val="14"/>
          <w:lang w:val="es-ES"/>
        </w:rPr>
        <w:t>, Centro de Planificación y Estudios Sociales CEPLADES, Quito, Ecuador.</w:t>
      </w:r>
    </w:p>
  </w:footnote>
  <w:footnote w:id="25">
    <w:p w:rsidR="006933DF" w:rsidRPr="00CC56AE" w:rsidRDefault="006933DF" w:rsidP="00CC56AE">
      <w:pPr>
        <w:pStyle w:val="Textonotapie"/>
        <w:spacing w:line="276" w:lineRule="auto"/>
        <w:jc w:val="both"/>
        <w:rPr>
          <w:rFonts w:ascii="Arial" w:hAnsi="Arial" w:cs="Arial"/>
          <w:sz w:val="14"/>
          <w:szCs w:val="14"/>
        </w:rPr>
      </w:pPr>
      <w:r w:rsidRPr="00CC56AE">
        <w:rPr>
          <w:rStyle w:val="Refdenotaalpie"/>
          <w:rFonts w:ascii="Arial" w:hAnsi="Arial" w:cs="Arial"/>
          <w:sz w:val="14"/>
          <w:szCs w:val="14"/>
        </w:rPr>
        <w:footnoteRef/>
      </w:r>
      <w:r w:rsidRPr="00CC56AE">
        <w:rPr>
          <w:rFonts w:ascii="Arial" w:hAnsi="Arial" w:cs="Arial"/>
          <w:sz w:val="14"/>
          <w:szCs w:val="14"/>
        </w:rPr>
        <w:t xml:space="preserve"> </w:t>
      </w:r>
      <w:r>
        <w:rPr>
          <w:rFonts w:ascii="Arial" w:hAnsi="Arial" w:cs="Arial"/>
          <w:sz w:val="14"/>
          <w:szCs w:val="14"/>
        </w:rPr>
        <w:t>Idem 20.</w:t>
      </w:r>
    </w:p>
  </w:footnote>
  <w:footnote w:id="26">
    <w:p w:rsidR="006933DF" w:rsidRPr="00B81D81" w:rsidRDefault="006933DF" w:rsidP="00B81D81">
      <w:pPr>
        <w:pStyle w:val="Textonotapie"/>
        <w:jc w:val="both"/>
        <w:rPr>
          <w:rFonts w:ascii="Arial" w:hAnsi="Arial" w:cs="Arial"/>
          <w:sz w:val="14"/>
          <w:szCs w:val="14"/>
        </w:rPr>
      </w:pPr>
      <w:r w:rsidRPr="00B81D81">
        <w:rPr>
          <w:rStyle w:val="Refdenotaalpie"/>
          <w:rFonts w:ascii="Arial" w:hAnsi="Arial" w:cs="Arial"/>
          <w:sz w:val="14"/>
          <w:szCs w:val="14"/>
        </w:rPr>
        <w:footnoteRef/>
      </w:r>
      <w:r w:rsidRPr="00B81D81">
        <w:rPr>
          <w:rFonts w:ascii="Arial" w:hAnsi="Arial" w:cs="Arial"/>
          <w:sz w:val="14"/>
          <w:szCs w:val="14"/>
        </w:rPr>
        <w:t xml:space="preserve"> </w:t>
      </w:r>
      <w:r w:rsidRPr="00180811">
        <w:rPr>
          <w:rFonts w:ascii="Arial" w:hAnsi="Arial" w:cs="Arial"/>
          <w:b/>
          <w:sz w:val="14"/>
          <w:szCs w:val="14"/>
        </w:rPr>
        <w:t>INEC</w:t>
      </w:r>
      <w:r>
        <w:rPr>
          <w:rFonts w:ascii="Arial" w:hAnsi="Arial" w:cs="Arial"/>
          <w:sz w:val="14"/>
          <w:szCs w:val="14"/>
        </w:rPr>
        <w:t xml:space="preserve"> (1990), Bases de datos del </w:t>
      </w:r>
      <w:r w:rsidRPr="00BD0BCE">
        <w:rPr>
          <w:rFonts w:ascii="Arial" w:hAnsi="Arial" w:cs="Arial"/>
          <w:sz w:val="14"/>
          <w:szCs w:val="14"/>
        </w:rPr>
        <w:t>V</w:t>
      </w:r>
      <w:r w:rsidRPr="00B81D81">
        <w:rPr>
          <w:rFonts w:ascii="Arial" w:hAnsi="Arial" w:cs="Arial"/>
          <w:sz w:val="14"/>
          <w:szCs w:val="14"/>
        </w:rPr>
        <w:t xml:space="preserve"> Censo de Población y </w:t>
      </w:r>
      <w:r>
        <w:rPr>
          <w:rFonts w:ascii="Arial" w:hAnsi="Arial" w:cs="Arial"/>
          <w:sz w:val="14"/>
          <w:szCs w:val="14"/>
        </w:rPr>
        <w:t>I</w:t>
      </w:r>
      <w:r w:rsidRPr="00B81D81">
        <w:rPr>
          <w:rFonts w:ascii="Arial" w:hAnsi="Arial" w:cs="Arial"/>
          <w:sz w:val="14"/>
          <w:szCs w:val="14"/>
        </w:rPr>
        <w:t>V Vivienda</w:t>
      </w:r>
      <w:r>
        <w:rPr>
          <w:rFonts w:ascii="Arial" w:hAnsi="Arial" w:cs="Arial"/>
          <w:sz w:val="14"/>
          <w:szCs w:val="14"/>
        </w:rPr>
        <w:t>, Ecuador</w:t>
      </w:r>
      <w:r w:rsidRPr="00B81D81">
        <w:rPr>
          <w:rFonts w:ascii="Arial" w:hAnsi="Arial" w:cs="Arial"/>
          <w:sz w:val="14"/>
          <w:szCs w:val="14"/>
        </w:rPr>
        <w:t>.</w:t>
      </w:r>
    </w:p>
  </w:footnote>
  <w:footnote w:id="27">
    <w:p w:rsidR="006933DF" w:rsidRPr="00600070" w:rsidRDefault="006933DF" w:rsidP="00472045">
      <w:pPr>
        <w:pStyle w:val="Textonotapie"/>
        <w:jc w:val="both"/>
        <w:rPr>
          <w:rFonts w:ascii="Arial" w:hAnsi="Arial" w:cs="Arial"/>
          <w:sz w:val="14"/>
          <w:szCs w:val="14"/>
        </w:rPr>
      </w:pPr>
      <w:r w:rsidRPr="00600070">
        <w:rPr>
          <w:rStyle w:val="Refdenotaalpie"/>
          <w:rFonts w:ascii="Arial" w:hAnsi="Arial" w:cs="Arial"/>
          <w:sz w:val="14"/>
          <w:szCs w:val="14"/>
        </w:rPr>
        <w:footnoteRef/>
      </w:r>
      <w:r w:rsidRPr="00600070">
        <w:rPr>
          <w:rFonts w:ascii="Arial" w:hAnsi="Arial" w:cs="Arial"/>
          <w:sz w:val="14"/>
          <w:szCs w:val="14"/>
        </w:rPr>
        <w:t xml:space="preserve"> </w:t>
      </w:r>
      <w:r w:rsidRPr="00C352EB">
        <w:rPr>
          <w:rFonts w:ascii="Arial" w:hAnsi="Arial" w:cs="Arial"/>
          <w:b/>
          <w:sz w:val="14"/>
          <w:szCs w:val="14"/>
        </w:rPr>
        <w:t>Pardo</w:t>
      </w:r>
      <w:r w:rsidRPr="00C352EB">
        <w:rPr>
          <w:rFonts w:ascii="Arial" w:hAnsi="Arial" w:cs="Arial"/>
          <w:sz w:val="14"/>
          <w:szCs w:val="14"/>
        </w:rPr>
        <w:t xml:space="preserve">, </w:t>
      </w:r>
      <w:r w:rsidRPr="00C352EB">
        <w:rPr>
          <w:rFonts w:ascii="Arial" w:hAnsi="Arial" w:cs="Arial"/>
          <w:b/>
          <w:sz w:val="14"/>
          <w:szCs w:val="14"/>
        </w:rPr>
        <w:t>A</w:t>
      </w:r>
      <w:r w:rsidRPr="00C352EB">
        <w:rPr>
          <w:rFonts w:ascii="Arial" w:hAnsi="Arial" w:cs="Arial"/>
          <w:sz w:val="14"/>
          <w:szCs w:val="14"/>
        </w:rPr>
        <w:t xml:space="preserve">. y </w:t>
      </w:r>
      <w:r w:rsidRPr="00C352EB">
        <w:rPr>
          <w:rFonts w:ascii="Arial" w:hAnsi="Arial" w:cs="Arial"/>
          <w:b/>
          <w:sz w:val="14"/>
          <w:szCs w:val="14"/>
        </w:rPr>
        <w:t>Ruiz</w:t>
      </w:r>
      <w:r w:rsidRPr="00C352EB">
        <w:rPr>
          <w:rFonts w:ascii="Arial" w:hAnsi="Arial" w:cs="Arial"/>
          <w:sz w:val="14"/>
          <w:szCs w:val="14"/>
        </w:rPr>
        <w:t xml:space="preserve">, </w:t>
      </w:r>
      <w:r w:rsidRPr="00C352EB">
        <w:rPr>
          <w:rFonts w:ascii="Arial" w:hAnsi="Arial" w:cs="Arial"/>
          <w:b/>
          <w:sz w:val="14"/>
          <w:szCs w:val="14"/>
        </w:rPr>
        <w:t>M</w:t>
      </w:r>
      <w:r w:rsidRPr="00C352EB">
        <w:rPr>
          <w:rFonts w:ascii="Arial" w:hAnsi="Arial" w:cs="Arial"/>
          <w:sz w:val="14"/>
          <w:szCs w:val="14"/>
        </w:rPr>
        <w:t xml:space="preserve">. (2002). </w:t>
      </w:r>
      <w:r>
        <w:rPr>
          <w:rFonts w:ascii="Arial" w:hAnsi="Arial" w:cs="Arial"/>
          <w:sz w:val="14"/>
          <w:szCs w:val="14"/>
        </w:rPr>
        <w:t>“</w:t>
      </w:r>
      <w:r>
        <w:rPr>
          <w:rFonts w:ascii="Arial" w:hAnsi="Arial" w:cs="Arial"/>
          <w:i/>
          <w:sz w:val="14"/>
          <w:szCs w:val="14"/>
        </w:rPr>
        <w:t>SPSS 11</w:t>
      </w:r>
      <w:r>
        <w:rPr>
          <w:rFonts w:ascii="Arial" w:hAnsi="Arial" w:cs="Arial"/>
          <w:sz w:val="14"/>
          <w:szCs w:val="14"/>
        </w:rPr>
        <w:t>:</w:t>
      </w:r>
      <w:r w:rsidRPr="00C352EB">
        <w:rPr>
          <w:rFonts w:ascii="Arial" w:hAnsi="Arial" w:cs="Arial"/>
          <w:sz w:val="14"/>
          <w:szCs w:val="14"/>
        </w:rPr>
        <w:t xml:space="preserve"> Guía para el análisis de datos</w:t>
      </w:r>
      <w:r>
        <w:rPr>
          <w:rFonts w:ascii="Arial" w:hAnsi="Arial" w:cs="Arial"/>
          <w:sz w:val="14"/>
          <w:szCs w:val="14"/>
        </w:rPr>
        <w:t xml:space="preserve">”, </w:t>
      </w:r>
      <w:r w:rsidRPr="00C352EB">
        <w:rPr>
          <w:rFonts w:ascii="Arial" w:hAnsi="Arial" w:cs="Arial"/>
          <w:sz w:val="14"/>
          <w:szCs w:val="14"/>
        </w:rPr>
        <w:t>McGraw-Hill</w:t>
      </w:r>
      <w:r>
        <w:rPr>
          <w:rFonts w:ascii="Arial" w:hAnsi="Arial" w:cs="Arial"/>
          <w:sz w:val="14"/>
          <w:szCs w:val="14"/>
        </w:rPr>
        <w:t>, Madrid, España</w:t>
      </w:r>
      <w:r w:rsidRPr="00600070">
        <w:rPr>
          <w:rFonts w:ascii="Arial" w:hAnsi="Arial" w:cs="Arial"/>
          <w:sz w:val="14"/>
          <w:szCs w:val="14"/>
        </w:rPr>
        <w:t>.</w:t>
      </w:r>
    </w:p>
  </w:footnote>
  <w:footnote w:id="28">
    <w:p w:rsidR="006933DF" w:rsidRPr="00972C9B" w:rsidRDefault="006933DF" w:rsidP="00530680">
      <w:pPr>
        <w:pStyle w:val="Textonotapie"/>
        <w:jc w:val="both"/>
        <w:rPr>
          <w:rFonts w:ascii="Arial" w:hAnsi="Arial" w:cs="Arial"/>
          <w:sz w:val="14"/>
          <w:szCs w:val="14"/>
        </w:rPr>
      </w:pPr>
      <w:r w:rsidRPr="00972C9B">
        <w:rPr>
          <w:rStyle w:val="Refdenotaalpie"/>
          <w:rFonts w:ascii="Arial" w:hAnsi="Arial" w:cs="Arial"/>
          <w:sz w:val="14"/>
          <w:szCs w:val="14"/>
        </w:rPr>
        <w:footnoteRef/>
      </w:r>
      <w:r w:rsidRPr="00972C9B">
        <w:rPr>
          <w:rFonts w:ascii="Arial" w:hAnsi="Arial" w:cs="Arial"/>
          <w:sz w:val="14"/>
          <w:szCs w:val="14"/>
        </w:rPr>
        <w:t xml:space="preserve"> “</w:t>
      </w:r>
      <w:r w:rsidRPr="00972C9B">
        <w:rPr>
          <w:rFonts w:ascii="Arial" w:hAnsi="Arial" w:cs="Arial"/>
          <w:i/>
          <w:sz w:val="14"/>
          <w:szCs w:val="14"/>
        </w:rPr>
        <w:t>Microsoft Excel</w:t>
      </w:r>
      <w:r w:rsidRPr="00972C9B">
        <w:rPr>
          <w:rFonts w:ascii="Arial" w:hAnsi="Arial" w:cs="Arial"/>
          <w:sz w:val="14"/>
          <w:szCs w:val="14"/>
        </w:rPr>
        <w:t>”, tomado desde la web URL: http://es.wikipedia.org/wiki/Microsoft_Excel, fecha de última modificación de la página 23 de octubre de 2012.</w:t>
      </w:r>
    </w:p>
  </w:footnote>
  <w:footnote w:id="29">
    <w:p w:rsidR="006933DF" w:rsidRPr="00473191" w:rsidRDefault="006933DF" w:rsidP="00530680">
      <w:pPr>
        <w:pStyle w:val="Textonotapie"/>
        <w:jc w:val="both"/>
        <w:rPr>
          <w:rFonts w:ascii="Arial" w:hAnsi="Arial" w:cs="Arial"/>
          <w:sz w:val="14"/>
          <w:szCs w:val="14"/>
        </w:rPr>
      </w:pPr>
      <w:r w:rsidRPr="00473191">
        <w:rPr>
          <w:rStyle w:val="Refdenotaalpie"/>
          <w:rFonts w:ascii="Arial" w:hAnsi="Arial" w:cs="Arial"/>
          <w:sz w:val="14"/>
          <w:szCs w:val="14"/>
        </w:rPr>
        <w:footnoteRef/>
      </w:r>
      <w:r w:rsidRPr="00473191">
        <w:rPr>
          <w:rFonts w:ascii="Arial" w:hAnsi="Arial" w:cs="Arial"/>
          <w:sz w:val="14"/>
          <w:szCs w:val="14"/>
        </w:rPr>
        <w:t xml:space="preserve"> </w:t>
      </w:r>
      <w:r w:rsidRPr="000F018A">
        <w:rPr>
          <w:rFonts w:ascii="Arial" w:hAnsi="Arial" w:cs="Arial"/>
          <w:b/>
          <w:sz w:val="14"/>
          <w:szCs w:val="14"/>
        </w:rPr>
        <w:t>Faura</w:t>
      </w:r>
      <w:r w:rsidRPr="000F018A">
        <w:rPr>
          <w:rFonts w:ascii="Arial" w:hAnsi="Arial" w:cs="Arial"/>
          <w:sz w:val="14"/>
          <w:szCs w:val="14"/>
        </w:rPr>
        <w:t xml:space="preserve">, </w:t>
      </w:r>
      <w:r w:rsidRPr="000F018A">
        <w:rPr>
          <w:rFonts w:ascii="Arial" w:hAnsi="Arial" w:cs="Arial"/>
          <w:b/>
          <w:sz w:val="14"/>
          <w:szCs w:val="14"/>
        </w:rPr>
        <w:t>U.</w:t>
      </w:r>
      <w:r w:rsidRPr="000F018A">
        <w:rPr>
          <w:rFonts w:ascii="Arial" w:hAnsi="Arial" w:cs="Arial"/>
          <w:sz w:val="14"/>
          <w:szCs w:val="14"/>
        </w:rPr>
        <w:t xml:space="preserve"> y </w:t>
      </w:r>
      <w:r w:rsidRPr="000F018A">
        <w:rPr>
          <w:rFonts w:ascii="Arial" w:hAnsi="Arial" w:cs="Arial"/>
          <w:b/>
          <w:sz w:val="14"/>
          <w:szCs w:val="14"/>
        </w:rPr>
        <w:t>Gómez</w:t>
      </w:r>
      <w:r w:rsidRPr="000F018A">
        <w:rPr>
          <w:rFonts w:ascii="Arial" w:hAnsi="Arial" w:cs="Arial"/>
          <w:sz w:val="14"/>
          <w:szCs w:val="14"/>
        </w:rPr>
        <w:t xml:space="preserve">, </w:t>
      </w:r>
      <w:r w:rsidRPr="000F018A">
        <w:rPr>
          <w:rFonts w:ascii="Arial" w:hAnsi="Arial" w:cs="Arial"/>
          <w:b/>
          <w:sz w:val="14"/>
          <w:szCs w:val="14"/>
        </w:rPr>
        <w:t>J</w:t>
      </w:r>
      <w:r w:rsidRPr="000F018A">
        <w:rPr>
          <w:rFonts w:ascii="Arial" w:hAnsi="Arial" w:cs="Arial"/>
          <w:sz w:val="14"/>
          <w:szCs w:val="14"/>
        </w:rPr>
        <w:t xml:space="preserve">. (2002), </w:t>
      </w:r>
      <w:r w:rsidRPr="000F018A">
        <w:rPr>
          <w:rFonts w:ascii="Arial" w:hAnsi="Arial" w:cs="Arial"/>
          <w:i/>
          <w:sz w:val="14"/>
          <w:szCs w:val="14"/>
        </w:rPr>
        <w:t>“¿Cómo medir los flujos migratorio?”</w:t>
      </w:r>
      <w:r w:rsidRPr="000F018A">
        <w:rPr>
          <w:rFonts w:ascii="Arial" w:hAnsi="Arial" w:cs="Arial"/>
          <w:sz w:val="14"/>
          <w:szCs w:val="14"/>
        </w:rPr>
        <w:t>, Universidad de Murcia. Departamento de Métodos Cuantitativos para la Economía y Empresa, Murcia, España.</w:t>
      </w:r>
    </w:p>
  </w:footnote>
  <w:footnote w:id="30">
    <w:p w:rsidR="006933DF" w:rsidRPr="00EE22A0" w:rsidRDefault="006933DF" w:rsidP="00530680">
      <w:pPr>
        <w:pStyle w:val="Textonotapie"/>
        <w:jc w:val="both"/>
        <w:rPr>
          <w:rFonts w:ascii="Arial" w:hAnsi="Arial" w:cs="Arial"/>
          <w:sz w:val="14"/>
          <w:szCs w:val="14"/>
        </w:rPr>
      </w:pPr>
      <w:r w:rsidRPr="009C1B2C">
        <w:rPr>
          <w:rStyle w:val="Refdenotaalpie"/>
          <w:rFonts w:ascii="Arial" w:hAnsi="Arial" w:cs="Arial"/>
          <w:sz w:val="14"/>
          <w:szCs w:val="14"/>
        </w:rPr>
        <w:footnoteRef/>
      </w:r>
      <w:r w:rsidRPr="009C1B2C">
        <w:rPr>
          <w:rFonts w:ascii="Arial" w:hAnsi="Arial" w:cs="Arial"/>
          <w:sz w:val="14"/>
          <w:szCs w:val="14"/>
        </w:rPr>
        <w:t xml:space="preserve"> Idem </w:t>
      </w:r>
      <w:r>
        <w:rPr>
          <w:rFonts w:ascii="Arial" w:hAnsi="Arial" w:cs="Arial"/>
          <w:sz w:val="14"/>
          <w:szCs w:val="14"/>
        </w:rPr>
        <w:t>29.</w:t>
      </w:r>
    </w:p>
  </w:footnote>
  <w:footnote w:id="31">
    <w:p w:rsidR="006933DF" w:rsidRPr="00BE0EAF" w:rsidRDefault="006933DF" w:rsidP="001F62BB">
      <w:pPr>
        <w:pStyle w:val="Textonotapie"/>
        <w:jc w:val="both"/>
        <w:rPr>
          <w:rFonts w:ascii="Arial" w:hAnsi="Arial" w:cs="Arial"/>
          <w:sz w:val="14"/>
          <w:szCs w:val="14"/>
        </w:rPr>
      </w:pPr>
      <w:r w:rsidRPr="00BE0EAF">
        <w:rPr>
          <w:rStyle w:val="Refdenotaalpie"/>
          <w:rFonts w:ascii="Arial" w:hAnsi="Arial" w:cs="Arial"/>
          <w:sz w:val="14"/>
          <w:szCs w:val="14"/>
        </w:rPr>
        <w:footnoteRef/>
      </w:r>
      <w:r w:rsidRPr="00BE0EAF">
        <w:rPr>
          <w:rFonts w:ascii="Arial" w:hAnsi="Arial" w:cs="Arial"/>
          <w:sz w:val="14"/>
          <w:szCs w:val="14"/>
        </w:rPr>
        <w:t xml:space="preserve"> </w:t>
      </w:r>
      <w:r>
        <w:rPr>
          <w:rFonts w:ascii="Arial" w:hAnsi="Arial" w:cs="Arial"/>
          <w:sz w:val="14"/>
          <w:szCs w:val="14"/>
        </w:rPr>
        <w:t>Idem 16.</w:t>
      </w:r>
    </w:p>
  </w:footnote>
  <w:footnote w:id="32">
    <w:p w:rsidR="006933DF" w:rsidRPr="009C1B2C" w:rsidRDefault="006933DF" w:rsidP="00674EBD">
      <w:pPr>
        <w:pStyle w:val="Textonotapie"/>
        <w:jc w:val="both"/>
        <w:rPr>
          <w:rFonts w:ascii="Arial" w:hAnsi="Arial" w:cs="Arial"/>
          <w:sz w:val="14"/>
          <w:szCs w:val="14"/>
        </w:rPr>
      </w:pPr>
      <w:r w:rsidRPr="009C1B2C">
        <w:rPr>
          <w:rStyle w:val="Refdenotaalpie"/>
          <w:rFonts w:ascii="Arial" w:hAnsi="Arial" w:cs="Arial"/>
          <w:sz w:val="14"/>
          <w:szCs w:val="14"/>
        </w:rPr>
        <w:footnoteRef/>
      </w:r>
      <w:r w:rsidRPr="009C1B2C">
        <w:rPr>
          <w:rFonts w:ascii="Arial" w:hAnsi="Arial" w:cs="Arial"/>
          <w:sz w:val="14"/>
          <w:szCs w:val="14"/>
        </w:rPr>
        <w:t xml:space="preserve"> </w:t>
      </w:r>
      <w:r w:rsidRPr="009C1B2C">
        <w:rPr>
          <w:rFonts w:ascii="Arial" w:hAnsi="Arial" w:cs="Arial"/>
          <w:b/>
          <w:sz w:val="14"/>
          <w:szCs w:val="14"/>
        </w:rPr>
        <w:t xml:space="preserve">INEC </w:t>
      </w:r>
      <w:r w:rsidRPr="009C1B2C">
        <w:rPr>
          <w:rFonts w:ascii="Arial" w:hAnsi="Arial" w:cs="Arial"/>
          <w:sz w:val="14"/>
          <w:szCs w:val="14"/>
        </w:rPr>
        <w:t>(2010), “Manejo de Datos: Datos de la vivienda”, INEC, Quito, Ecuador.</w:t>
      </w:r>
    </w:p>
  </w:footnote>
  <w:footnote w:id="33">
    <w:p w:rsidR="006933DF" w:rsidRPr="009E238A" w:rsidRDefault="006933DF" w:rsidP="00674EBD">
      <w:pPr>
        <w:pStyle w:val="Textonotapie"/>
        <w:jc w:val="both"/>
        <w:rPr>
          <w:rFonts w:ascii="Arial" w:hAnsi="Arial" w:cs="Arial"/>
          <w:sz w:val="14"/>
          <w:szCs w:val="14"/>
        </w:rPr>
      </w:pPr>
      <w:r w:rsidRPr="009C1B2C">
        <w:rPr>
          <w:rStyle w:val="Refdenotaalpie"/>
          <w:rFonts w:ascii="Arial" w:hAnsi="Arial" w:cs="Arial"/>
          <w:sz w:val="14"/>
          <w:szCs w:val="14"/>
        </w:rPr>
        <w:footnoteRef/>
      </w:r>
      <w:r>
        <w:rPr>
          <w:rFonts w:ascii="Arial" w:hAnsi="Arial" w:cs="Arial"/>
          <w:sz w:val="14"/>
          <w:szCs w:val="14"/>
        </w:rPr>
        <w:t xml:space="preserve"> Idem 32</w:t>
      </w:r>
      <w:r w:rsidRPr="009C1B2C">
        <w:rPr>
          <w:rFonts w:ascii="Arial" w:hAnsi="Arial" w:cs="Arial"/>
          <w:sz w:val="14"/>
          <w:szCs w:val="14"/>
        </w:rPr>
        <w:t>.</w:t>
      </w:r>
    </w:p>
  </w:footnote>
  <w:footnote w:id="34">
    <w:p w:rsidR="006933DF" w:rsidRPr="00645AD7" w:rsidRDefault="006933DF" w:rsidP="00A722F8">
      <w:pPr>
        <w:pStyle w:val="Textonotapie"/>
        <w:jc w:val="both"/>
        <w:rPr>
          <w:rFonts w:ascii="Arial" w:hAnsi="Arial" w:cs="Arial"/>
          <w:sz w:val="14"/>
          <w:szCs w:val="14"/>
        </w:rPr>
      </w:pPr>
      <w:r w:rsidRPr="00645AD7">
        <w:rPr>
          <w:rStyle w:val="Refdenotaalpie"/>
          <w:rFonts w:ascii="Arial" w:hAnsi="Arial" w:cs="Arial"/>
          <w:sz w:val="14"/>
          <w:szCs w:val="14"/>
        </w:rPr>
        <w:footnoteRef/>
      </w:r>
      <w:r w:rsidRPr="00645AD7">
        <w:rPr>
          <w:rFonts w:ascii="Arial" w:hAnsi="Arial" w:cs="Arial"/>
          <w:b/>
          <w:sz w:val="14"/>
          <w:szCs w:val="14"/>
        </w:rPr>
        <w:t>Guzmán</w:t>
      </w:r>
      <w:r w:rsidRPr="00645AD7">
        <w:rPr>
          <w:rFonts w:ascii="Arial" w:hAnsi="Arial" w:cs="Arial"/>
          <w:sz w:val="14"/>
          <w:szCs w:val="14"/>
        </w:rPr>
        <w:t xml:space="preserve">, </w:t>
      </w:r>
      <w:r w:rsidRPr="00645AD7">
        <w:rPr>
          <w:rFonts w:ascii="Arial" w:hAnsi="Arial" w:cs="Arial"/>
          <w:b/>
          <w:sz w:val="14"/>
          <w:szCs w:val="14"/>
        </w:rPr>
        <w:t>F</w:t>
      </w:r>
      <w:r w:rsidRPr="00645AD7">
        <w:rPr>
          <w:rFonts w:ascii="Arial" w:hAnsi="Arial" w:cs="Arial"/>
          <w:sz w:val="14"/>
          <w:szCs w:val="14"/>
        </w:rPr>
        <w:t xml:space="preserve">., </w:t>
      </w:r>
      <w:r w:rsidRPr="00645AD7">
        <w:rPr>
          <w:rFonts w:ascii="Arial" w:hAnsi="Arial" w:cs="Arial"/>
          <w:b/>
          <w:sz w:val="14"/>
          <w:szCs w:val="14"/>
        </w:rPr>
        <w:t>Rodríguez</w:t>
      </w:r>
      <w:r w:rsidRPr="00645AD7">
        <w:rPr>
          <w:rFonts w:ascii="Arial" w:hAnsi="Arial" w:cs="Arial"/>
          <w:sz w:val="14"/>
          <w:szCs w:val="14"/>
        </w:rPr>
        <w:t xml:space="preserve">, </w:t>
      </w:r>
      <w:r w:rsidRPr="00645AD7">
        <w:rPr>
          <w:rFonts w:ascii="Arial" w:hAnsi="Arial" w:cs="Arial"/>
          <w:b/>
          <w:sz w:val="14"/>
          <w:szCs w:val="14"/>
        </w:rPr>
        <w:t>H</w:t>
      </w:r>
      <w:r w:rsidRPr="00645AD7">
        <w:rPr>
          <w:rFonts w:ascii="Arial" w:hAnsi="Arial" w:cs="Arial"/>
          <w:sz w:val="14"/>
          <w:szCs w:val="14"/>
        </w:rPr>
        <w:t xml:space="preserve">. y </w:t>
      </w:r>
      <w:r w:rsidRPr="00645AD7">
        <w:rPr>
          <w:rFonts w:ascii="Arial" w:hAnsi="Arial" w:cs="Arial"/>
          <w:b/>
          <w:sz w:val="14"/>
          <w:szCs w:val="14"/>
        </w:rPr>
        <w:t>González</w:t>
      </w:r>
      <w:r w:rsidRPr="00645AD7">
        <w:rPr>
          <w:rFonts w:ascii="Arial" w:hAnsi="Arial" w:cs="Arial"/>
          <w:sz w:val="14"/>
          <w:szCs w:val="14"/>
        </w:rPr>
        <w:t xml:space="preserve">, </w:t>
      </w:r>
      <w:r w:rsidRPr="00645AD7">
        <w:rPr>
          <w:rFonts w:ascii="Arial" w:hAnsi="Arial" w:cs="Arial"/>
          <w:b/>
          <w:sz w:val="14"/>
          <w:szCs w:val="14"/>
        </w:rPr>
        <w:t>P</w:t>
      </w:r>
      <w:r w:rsidRPr="00645AD7">
        <w:rPr>
          <w:rFonts w:ascii="Arial" w:hAnsi="Arial" w:cs="Arial"/>
          <w:sz w:val="14"/>
          <w:szCs w:val="14"/>
        </w:rPr>
        <w:t xml:space="preserve">. (2008), </w:t>
      </w:r>
      <w:r w:rsidRPr="00645AD7">
        <w:rPr>
          <w:rFonts w:ascii="Arial" w:hAnsi="Arial" w:cs="Arial"/>
          <w:i/>
          <w:sz w:val="14"/>
          <w:szCs w:val="14"/>
        </w:rPr>
        <w:t xml:space="preserve">“Diagnóstico sobre las desigualdades de género en el Estado de Nayarit”, </w:t>
      </w:r>
      <w:r w:rsidRPr="00645AD7">
        <w:rPr>
          <w:rFonts w:ascii="Arial" w:hAnsi="Arial" w:cs="Arial"/>
          <w:sz w:val="14"/>
          <w:szCs w:val="14"/>
        </w:rPr>
        <w:t>Instituto Nacional de</w:t>
      </w:r>
      <w:r>
        <w:rPr>
          <w:rFonts w:ascii="Arial" w:hAnsi="Arial" w:cs="Arial"/>
          <w:sz w:val="14"/>
          <w:szCs w:val="14"/>
        </w:rPr>
        <w:t xml:space="preserve"> las</w:t>
      </w:r>
      <w:r w:rsidRPr="00645AD7">
        <w:rPr>
          <w:rFonts w:ascii="Arial" w:hAnsi="Arial" w:cs="Arial"/>
          <w:sz w:val="14"/>
          <w:szCs w:val="14"/>
        </w:rPr>
        <w:t xml:space="preserve"> Mujeres, México.</w:t>
      </w:r>
    </w:p>
  </w:footnote>
  <w:footnote w:id="35">
    <w:p w:rsidR="006933DF" w:rsidRPr="00FA5C08" w:rsidRDefault="006933DF" w:rsidP="00A722F8">
      <w:pPr>
        <w:pStyle w:val="Textonotapie"/>
        <w:jc w:val="both"/>
        <w:rPr>
          <w:rFonts w:ascii="Arial" w:hAnsi="Arial" w:cs="Arial"/>
          <w:sz w:val="14"/>
          <w:szCs w:val="14"/>
        </w:rPr>
      </w:pPr>
      <w:r w:rsidRPr="00FA5C08">
        <w:rPr>
          <w:rStyle w:val="Refdenotaalpie"/>
          <w:rFonts w:ascii="Arial" w:hAnsi="Arial" w:cs="Arial"/>
          <w:sz w:val="14"/>
          <w:szCs w:val="14"/>
        </w:rPr>
        <w:footnoteRef/>
      </w:r>
      <w:r w:rsidRPr="00FA5C08">
        <w:rPr>
          <w:rFonts w:ascii="Arial" w:hAnsi="Arial" w:cs="Arial"/>
          <w:sz w:val="14"/>
          <w:szCs w:val="14"/>
        </w:rPr>
        <w:t xml:space="preserve"> </w:t>
      </w:r>
      <w:r w:rsidRPr="00FA5C08">
        <w:rPr>
          <w:rFonts w:ascii="Arial" w:hAnsi="Arial" w:cs="Arial"/>
          <w:b/>
          <w:sz w:val="14"/>
          <w:szCs w:val="14"/>
        </w:rPr>
        <w:t>Comisión Económica para América Latina y el Caribe</w:t>
      </w:r>
      <w:r w:rsidRPr="00FA5C08">
        <w:rPr>
          <w:rFonts w:ascii="Arial" w:hAnsi="Arial" w:cs="Arial"/>
          <w:sz w:val="14"/>
          <w:szCs w:val="14"/>
        </w:rPr>
        <w:t xml:space="preserve"> (</w:t>
      </w:r>
      <w:r w:rsidRPr="00FA5C08">
        <w:rPr>
          <w:rFonts w:ascii="Arial" w:hAnsi="Arial" w:cs="Arial"/>
          <w:b/>
          <w:sz w:val="14"/>
          <w:szCs w:val="14"/>
        </w:rPr>
        <w:t>CEPAL</w:t>
      </w:r>
      <w:r w:rsidRPr="00FA5C08">
        <w:rPr>
          <w:rFonts w:ascii="Arial" w:hAnsi="Arial" w:cs="Arial"/>
          <w:sz w:val="14"/>
          <w:szCs w:val="14"/>
        </w:rPr>
        <w:t>): División de Estadística y Proyecciones Económicas, “</w:t>
      </w:r>
      <w:r w:rsidRPr="00FA5C08">
        <w:rPr>
          <w:rFonts w:ascii="Arial" w:hAnsi="Arial" w:cs="Arial"/>
          <w:i/>
          <w:sz w:val="14"/>
          <w:szCs w:val="14"/>
        </w:rPr>
        <w:t>Indicadores Ecuador</w:t>
      </w:r>
      <w:r w:rsidRPr="00FA5C08">
        <w:rPr>
          <w:rFonts w:ascii="Arial" w:hAnsi="Arial" w:cs="Arial"/>
          <w:sz w:val="14"/>
          <w:szCs w:val="14"/>
        </w:rPr>
        <w:t>”, tomado desde http://www.cepal.org.</w:t>
      </w:r>
    </w:p>
  </w:footnote>
  <w:footnote w:id="36">
    <w:p w:rsidR="006933DF" w:rsidRPr="001679E4" w:rsidRDefault="006933DF" w:rsidP="00A722F8">
      <w:pPr>
        <w:pStyle w:val="Textonotapie"/>
        <w:jc w:val="both"/>
        <w:rPr>
          <w:rFonts w:ascii="Arial" w:hAnsi="Arial" w:cs="Arial"/>
          <w:sz w:val="14"/>
          <w:szCs w:val="14"/>
        </w:rPr>
      </w:pPr>
      <w:r w:rsidRPr="001679E4">
        <w:rPr>
          <w:rStyle w:val="Refdenotaalpie"/>
          <w:rFonts w:ascii="Arial" w:hAnsi="Arial" w:cs="Arial"/>
          <w:sz w:val="14"/>
          <w:szCs w:val="14"/>
        </w:rPr>
        <w:footnoteRef/>
      </w:r>
      <w:r w:rsidRPr="001679E4">
        <w:rPr>
          <w:rFonts w:ascii="Arial" w:hAnsi="Arial" w:cs="Arial"/>
          <w:sz w:val="14"/>
          <w:szCs w:val="14"/>
        </w:rPr>
        <w:t xml:space="preserve"> </w:t>
      </w:r>
      <w:r w:rsidRPr="000F018A">
        <w:rPr>
          <w:rFonts w:ascii="Arial" w:hAnsi="Arial" w:cs="Arial"/>
          <w:b/>
          <w:sz w:val="14"/>
          <w:szCs w:val="14"/>
        </w:rPr>
        <w:t>CELADE (Comisión Económica para América Latina y el Caribe)</w:t>
      </w:r>
      <w:r w:rsidRPr="000F018A">
        <w:rPr>
          <w:rFonts w:ascii="Arial" w:hAnsi="Arial" w:cs="Arial"/>
          <w:sz w:val="14"/>
          <w:szCs w:val="14"/>
        </w:rPr>
        <w:t>, “</w:t>
      </w:r>
      <w:r w:rsidRPr="000F018A">
        <w:rPr>
          <w:rFonts w:ascii="Arial" w:hAnsi="Arial" w:cs="Arial"/>
          <w:i/>
          <w:sz w:val="14"/>
          <w:szCs w:val="14"/>
        </w:rPr>
        <w:t>Tasa de Participación Económica</w:t>
      </w:r>
      <w:r w:rsidRPr="000F018A">
        <w:rPr>
          <w:rFonts w:ascii="Arial" w:hAnsi="Arial" w:cs="Arial"/>
          <w:sz w:val="14"/>
          <w:szCs w:val="14"/>
        </w:rPr>
        <w:t>”, tomado desde http://celade.cepal.org, el 8 de julio de 2012.</w:t>
      </w:r>
    </w:p>
  </w:footnote>
  <w:footnote w:id="37">
    <w:p w:rsidR="006933DF" w:rsidRPr="00B14F82" w:rsidRDefault="006933DF" w:rsidP="00A722F8">
      <w:pPr>
        <w:pStyle w:val="Textonotapie"/>
        <w:jc w:val="both"/>
        <w:rPr>
          <w:rFonts w:ascii="Arial" w:hAnsi="Arial" w:cs="Arial"/>
          <w:sz w:val="14"/>
          <w:szCs w:val="14"/>
        </w:rPr>
      </w:pPr>
      <w:r w:rsidRPr="00B14F82">
        <w:rPr>
          <w:rStyle w:val="Refdenotaalpie"/>
          <w:rFonts w:ascii="Arial" w:hAnsi="Arial" w:cs="Arial"/>
          <w:sz w:val="14"/>
          <w:szCs w:val="14"/>
        </w:rPr>
        <w:footnoteRef/>
      </w:r>
      <w:r w:rsidRPr="00B14F82">
        <w:rPr>
          <w:rFonts w:ascii="Arial" w:hAnsi="Arial" w:cs="Arial"/>
          <w:sz w:val="14"/>
          <w:szCs w:val="14"/>
        </w:rPr>
        <w:t xml:space="preserve"> </w:t>
      </w:r>
      <w:r w:rsidRPr="00B14F82">
        <w:rPr>
          <w:rFonts w:ascii="Arial" w:hAnsi="Arial" w:cs="Arial"/>
          <w:b/>
          <w:sz w:val="14"/>
          <w:szCs w:val="14"/>
        </w:rPr>
        <w:t>Carrillo</w:t>
      </w:r>
      <w:r w:rsidRPr="00B14F82">
        <w:rPr>
          <w:rFonts w:ascii="Arial" w:hAnsi="Arial" w:cs="Arial"/>
          <w:sz w:val="14"/>
          <w:szCs w:val="14"/>
        </w:rPr>
        <w:t xml:space="preserve">, </w:t>
      </w:r>
      <w:r w:rsidRPr="00B14F82">
        <w:rPr>
          <w:rFonts w:ascii="Arial" w:hAnsi="Arial" w:cs="Arial"/>
          <w:b/>
          <w:sz w:val="14"/>
          <w:szCs w:val="14"/>
        </w:rPr>
        <w:t>B</w:t>
      </w:r>
      <w:r w:rsidRPr="00B14F82">
        <w:rPr>
          <w:rFonts w:ascii="Arial" w:hAnsi="Arial" w:cs="Arial"/>
          <w:sz w:val="14"/>
          <w:szCs w:val="14"/>
        </w:rPr>
        <w:t>. (2009), “</w:t>
      </w:r>
      <w:r w:rsidRPr="00B14F82">
        <w:rPr>
          <w:rFonts w:ascii="Arial" w:hAnsi="Arial" w:cs="Arial"/>
          <w:i/>
          <w:sz w:val="14"/>
          <w:szCs w:val="14"/>
        </w:rPr>
        <w:t>Importancia de las Tecnologías de la Información y la Comunicación (TIC) en el proceso educativo</w:t>
      </w:r>
      <w:r w:rsidRPr="00B14F82">
        <w:rPr>
          <w:rFonts w:ascii="Arial" w:hAnsi="Arial" w:cs="Arial"/>
          <w:sz w:val="14"/>
          <w:szCs w:val="14"/>
        </w:rPr>
        <w:t>”, Revista Digital Innovación y Experiencia Educativa, Granada, España.</w:t>
      </w:r>
    </w:p>
  </w:footnote>
  <w:footnote w:id="38">
    <w:p w:rsidR="006933DF" w:rsidRPr="000B516D" w:rsidRDefault="006933DF" w:rsidP="00A722F8">
      <w:pPr>
        <w:pStyle w:val="Textonotapie"/>
        <w:jc w:val="both"/>
        <w:rPr>
          <w:rFonts w:ascii="Arial" w:hAnsi="Arial" w:cs="Arial"/>
          <w:sz w:val="14"/>
          <w:szCs w:val="14"/>
        </w:rPr>
      </w:pPr>
      <w:r w:rsidRPr="000B516D">
        <w:rPr>
          <w:rStyle w:val="Refdenotaalpie"/>
          <w:rFonts w:ascii="Arial" w:hAnsi="Arial" w:cs="Arial"/>
          <w:sz w:val="14"/>
          <w:szCs w:val="14"/>
        </w:rPr>
        <w:footnoteRef/>
      </w:r>
      <w:r w:rsidRPr="000B516D">
        <w:rPr>
          <w:rFonts w:ascii="Arial" w:hAnsi="Arial" w:cs="Arial"/>
          <w:sz w:val="14"/>
          <w:szCs w:val="14"/>
        </w:rPr>
        <w:t xml:space="preserve"> </w:t>
      </w:r>
      <w:r w:rsidRPr="000B516D">
        <w:rPr>
          <w:rFonts w:ascii="Arial" w:hAnsi="Arial" w:cs="Arial"/>
          <w:b/>
          <w:sz w:val="14"/>
          <w:szCs w:val="14"/>
        </w:rPr>
        <w:t>Szalachman</w:t>
      </w:r>
      <w:r w:rsidRPr="000B516D">
        <w:rPr>
          <w:rFonts w:ascii="Arial" w:hAnsi="Arial" w:cs="Arial"/>
          <w:sz w:val="14"/>
          <w:szCs w:val="14"/>
        </w:rPr>
        <w:t xml:space="preserve">, </w:t>
      </w:r>
      <w:r w:rsidRPr="000B516D">
        <w:rPr>
          <w:rFonts w:ascii="Arial" w:hAnsi="Arial" w:cs="Arial"/>
          <w:b/>
          <w:sz w:val="14"/>
          <w:szCs w:val="14"/>
        </w:rPr>
        <w:t>R</w:t>
      </w:r>
      <w:r w:rsidRPr="000B516D">
        <w:rPr>
          <w:rFonts w:ascii="Arial" w:hAnsi="Arial" w:cs="Arial"/>
          <w:sz w:val="14"/>
          <w:szCs w:val="14"/>
        </w:rPr>
        <w:t xml:space="preserve">. (2008), </w:t>
      </w:r>
      <w:r w:rsidRPr="000B516D">
        <w:rPr>
          <w:rFonts w:ascii="Arial" w:hAnsi="Arial" w:cs="Arial"/>
          <w:i/>
          <w:sz w:val="14"/>
          <w:szCs w:val="14"/>
        </w:rPr>
        <w:t>“La evolución del déficit de vivienda en Costa Rica y sus consecuencias para la política habitacional”</w:t>
      </w:r>
      <w:r w:rsidRPr="000B516D">
        <w:rPr>
          <w:rFonts w:ascii="Arial" w:hAnsi="Arial" w:cs="Arial"/>
          <w:sz w:val="14"/>
          <w:szCs w:val="14"/>
        </w:rPr>
        <w:t>, Publicado por las Naciones Unidades, Santiago de Chile, Chile.</w:t>
      </w:r>
    </w:p>
  </w:footnote>
  <w:footnote w:id="39">
    <w:p w:rsidR="006933DF" w:rsidRPr="000B516D" w:rsidRDefault="006933DF" w:rsidP="00060299">
      <w:pPr>
        <w:pStyle w:val="Textonotapie"/>
        <w:spacing w:line="276" w:lineRule="auto"/>
        <w:jc w:val="both"/>
        <w:rPr>
          <w:rFonts w:ascii="Arial" w:hAnsi="Arial" w:cs="Arial"/>
          <w:sz w:val="14"/>
          <w:szCs w:val="14"/>
        </w:rPr>
      </w:pPr>
      <w:r w:rsidRPr="000B516D">
        <w:rPr>
          <w:rStyle w:val="Refdenotaalpie"/>
          <w:rFonts w:ascii="Arial" w:hAnsi="Arial" w:cs="Arial"/>
          <w:sz w:val="14"/>
          <w:szCs w:val="14"/>
        </w:rPr>
        <w:footnoteRef/>
      </w:r>
      <w:r w:rsidRPr="000B516D">
        <w:rPr>
          <w:rFonts w:ascii="Arial" w:hAnsi="Arial" w:cs="Arial"/>
          <w:sz w:val="14"/>
          <w:szCs w:val="14"/>
        </w:rPr>
        <w:t xml:space="preserve"> Idem </w:t>
      </w:r>
      <w:r>
        <w:rPr>
          <w:rFonts w:ascii="Arial" w:hAnsi="Arial" w:cs="Arial"/>
          <w:sz w:val="14"/>
          <w:szCs w:val="14"/>
        </w:rPr>
        <w:t>21</w:t>
      </w:r>
      <w:r w:rsidRPr="000B516D">
        <w:rPr>
          <w:rFonts w:ascii="Arial" w:hAnsi="Arial" w:cs="Arial"/>
          <w:sz w:val="14"/>
          <w:szCs w:val="14"/>
        </w:rPr>
        <w:t>.</w:t>
      </w:r>
    </w:p>
  </w:footnote>
  <w:footnote w:id="40">
    <w:p w:rsidR="006933DF" w:rsidRPr="0011096D" w:rsidRDefault="006933DF" w:rsidP="005C75BB">
      <w:pPr>
        <w:pStyle w:val="Textonotapie"/>
        <w:jc w:val="both"/>
        <w:rPr>
          <w:rFonts w:ascii="Arial" w:hAnsi="Arial" w:cs="Arial"/>
          <w:sz w:val="14"/>
          <w:szCs w:val="14"/>
        </w:rPr>
      </w:pPr>
      <w:r w:rsidRPr="0011096D">
        <w:rPr>
          <w:rStyle w:val="Refdenotaalpie"/>
          <w:rFonts w:ascii="Arial" w:hAnsi="Arial" w:cs="Arial"/>
          <w:sz w:val="14"/>
          <w:szCs w:val="14"/>
        </w:rPr>
        <w:footnoteRef/>
      </w:r>
      <w:r w:rsidRPr="0011096D">
        <w:rPr>
          <w:rFonts w:ascii="Arial" w:hAnsi="Arial" w:cs="Arial"/>
          <w:sz w:val="14"/>
          <w:szCs w:val="14"/>
        </w:rPr>
        <w:t xml:space="preserve"> </w:t>
      </w:r>
      <w:r w:rsidRPr="0011096D">
        <w:rPr>
          <w:rFonts w:ascii="Arial" w:hAnsi="Arial" w:cs="Arial"/>
          <w:b/>
          <w:sz w:val="14"/>
          <w:szCs w:val="14"/>
        </w:rPr>
        <w:t>Jovel</w:t>
      </w:r>
      <w:r w:rsidRPr="0011096D">
        <w:rPr>
          <w:rFonts w:ascii="Arial" w:hAnsi="Arial" w:cs="Arial"/>
          <w:sz w:val="14"/>
          <w:szCs w:val="14"/>
        </w:rPr>
        <w:t xml:space="preserve">, </w:t>
      </w:r>
      <w:r w:rsidRPr="0011096D">
        <w:rPr>
          <w:rFonts w:ascii="Arial" w:hAnsi="Arial" w:cs="Arial"/>
          <w:b/>
          <w:sz w:val="14"/>
          <w:szCs w:val="14"/>
        </w:rPr>
        <w:t>A</w:t>
      </w:r>
      <w:r w:rsidRPr="0011096D">
        <w:rPr>
          <w:rFonts w:ascii="Arial" w:hAnsi="Arial" w:cs="Arial"/>
          <w:sz w:val="14"/>
          <w:szCs w:val="14"/>
        </w:rPr>
        <w:t>.,</w:t>
      </w:r>
      <w:r w:rsidRPr="0011096D">
        <w:rPr>
          <w:rFonts w:ascii="Arial" w:hAnsi="Arial" w:cs="Arial"/>
          <w:i/>
          <w:sz w:val="14"/>
          <w:szCs w:val="14"/>
        </w:rPr>
        <w:t>”Análisis de regresión logística”</w:t>
      </w:r>
      <w:r w:rsidRPr="0011096D">
        <w:rPr>
          <w:rFonts w:ascii="Arial" w:hAnsi="Arial" w:cs="Arial"/>
          <w:sz w:val="14"/>
          <w:szCs w:val="14"/>
        </w:rPr>
        <w:t>, Centro de Investigaciones Sociológicas, Madrid, España.</w:t>
      </w:r>
    </w:p>
  </w:footnote>
  <w:footnote w:id="41">
    <w:p w:rsidR="006933DF" w:rsidRPr="0011096D" w:rsidRDefault="006933DF" w:rsidP="005C75BB">
      <w:pPr>
        <w:pStyle w:val="Textonotapie"/>
        <w:jc w:val="both"/>
        <w:rPr>
          <w:rFonts w:ascii="Arial" w:hAnsi="Arial" w:cs="Arial"/>
          <w:sz w:val="14"/>
          <w:szCs w:val="14"/>
        </w:rPr>
      </w:pPr>
      <w:r w:rsidRPr="0011096D">
        <w:rPr>
          <w:rStyle w:val="Refdenotaalpie"/>
          <w:rFonts w:ascii="Arial" w:hAnsi="Arial" w:cs="Arial"/>
          <w:sz w:val="14"/>
          <w:szCs w:val="14"/>
        </w:rPr>
        <w:footnoteRef/>
      </w:r>
      <w:r w:rsidRPr="0011096D">
        <w:rPr>
          <w:rFonts w:ascii="Arial" w:hAnsi="Arial" w:cs="Arial"/>
          <w:sz w:val="14"/>
          <w:szCs w:val="14"/>
        </w:rPr>
        <w:t xml:space="preserve"> </w:t>
      </w:r>
      <w:r w:rsidRPr="0011096D">
        <w:rPr>
          <w:rFonts w:ascii="Arial" w:hAnsi="Arial" w:cs="Arial"/>
          <w:b/>
          <w:sz w:val="14"/>
          <w:szCs w:val="14"/>
        </w:rPr>
        <w:t>Kleinbaum</w:t>
      </w:r>
      <w:r w:rsidRPr="0011096D">
        <w:rPr>
          <w:rFonts w:ascii="Arial" w:hAnsi="Arial" w:cs="Arial"/>
          <w:sz w:val="14"/>
          <w:szCs w:val="14"/>
        </w:rPr>
        <w:t xml:space="preserve">, </w:t>
      </w:r>
      <w:r w:rsidRPr="0011096D">
        <w:rPr>
          <w:rFonts w:ascii="Arial" w:hAnsi="Arial" w:cs="Arial"/>
          <w:b/>
          <w:sz w:val="14"/>
          <w:szCs w:val="14"/>
        </w:rPr>
        <w:t>D</w:t>
      </w:r>
      <w:r w:rsidRPr="0011096D">
        <w:rPr>
          <w:rFonts w:ascii="Arial" w:hAnsi="Arial" w:cs="Arial"/>
          <w:sz w:val="14"/>
          <w:szCs w:val="14"/>
        </w:rPr>
        <w:t xml:space="preserve">. y </w:t>
      </w:r>
      <w:r w:rsidRPr="0011096D">
        <w:rPr>
          <w:rFonts w:ascii="Arial" w:hAnsi="Arial" w:cs="Arial"/>
          <w:b/>
          <w:sz w:val="14"/>
          <w:szCs w:val="14"/>
        </w:rPr>
        <w:t>Klein</w:t>
      </w:r>
      <w:r w:rsidRPr="0011096D">
        <w:rPr>
          <w:rFonts w:ascii="Arial" w:hAnsi="Arial" w:cs="Arial"/>
          <w:sz w:val="14"/>
          <w:szCs w:val="14"/>
        </w:rPr>
        <w:t xml:space="preserve">, </w:t>
      </w:r>
      <w:r w:rsidRPr="0011096D">
        <w:rPr>
          <w:rFonts w:ascii="Arial" w:hAnsi="Arial" w:cs="Arial"/>
          <w:b/>
          <w:sz w:val="14"/>
          <w:szCs w:val="14"/>
        </w:rPr>
        <w:t>M</w:t>
      </w:r>
      <w:r w:rsidRPr="0011096D">
        <w:rPr>
          <w:rFonts w:ascii="Arial" w:hAnsi="Arial" w:cs="Arial"/>
          <w:sz w:val="14"/>
          <w:szCs w:val="14"/>
        </w:rPr>
        <w:t>. (2010), “</w:t>
      </w:r>
      <w:r w:rsidRPr="0011096D">
        <w:rPr>
          <w:rFonts w:ascii="Arial" w:hAnsi="Arial" w:cs="Arial"/>
          <w:i/>
          <w:sz w:val="14"/>
          <w:szCs w:val="14"/>
        </w:rPr>
        <w:t>Logistic Regression</w:t>
      </w:r>
      <w:r w:rsidRPr="0011096D">
        <w:rPr>
          <w:rFonts w:ascii="Arial" w:hAnsi="Arial" w:cs="Arial"/>
          <w:sz w:val="14"/>
          <w:szCs w:val="14"/>
        </w:rPr>
        <w:t>”, Tercera edición, Springer, Atlanta, Estados Unidos.</w:t>
      </w:r>
    </w:p>
  </w:footnote>
  <w:footnote w:id="42">
    <w:p w:rsidR="006933DF" w:rsidRPr="00613DF1" w:rsidRDefault="006933DF" w:rsidP="005C75BB">
      <w:pPr>
        <w:pStyle w:val="Default"/>
        <w:jc w:val="both"/>
        <w:rPr>
          <w:rFonts w:ascii="Arial" w:hAnsi="Arial" w:cs="Arial"/>
          <w:sz w:val="14"/>
          <w:szCs w:val="14"/>
        </w:rPr>
      </w:pPr>
      <w:r w:rsidRPr="00A77791">
        <w:rPr>
          <w:rStyle w:val="Refdenotaalpie"/>
          <w:rFonts w:ascii="Arial" w:hAnsi="Arial" w:cs="Arial"/>
          <w:sz w:val="14"/>
          <w:szCs w:val="14"/>
        </w:rPr>
        <w:footnoteRef/>
      </w:r>
      <w:r w:rsidRPr="000B516D">
        <w:rPr>
          <w:rFonts w:ascii="Arial" w:hAnsi="Arial" w:cs="Arial"/>
          <w:sz w:val="14"/>
          <w:szCs w:val="14"/>
          <w:lang w:val="en-US"/>
        </w:rPr>
        <w:t xml:space="preserve"> </w:t>
      </w:r>
      <w:r w:rsidRPr="00A77791">
        <w:rPr>
          <w:rFonts w:ascii="Arial" w:hAnsi="Arial" w:cs="Arial"/>
          <w:b/>
          <w:bCs/>
          <w:sz w:val="14"/>
          <w:szCs w:val="14"/>
          <w:lang w:val="en-US"/>
        </w:rPr>
        <w:t>Abdelrahman</w:t>
      </w:r>
      <w:r w:rsidRPr="00A77791">
        <w:rPr>
          <w:rFonts w:ascii="Arial" w:hAnsi="Arial" w:cs="Arial"/>
          <w:bCs/>
          <w:sz w:val="14"/>
          <w:szCs w:val="14"/>
          <w:lang w:val="en-US"/>
        </w:rPr>
        <w:t xml:space="preserve">, </w:t>
      </w:r>
      <w:r w:rsidRPr="00A77791">
        <w:rPr>
          <w:rFonts w:ascii="Arial" w:hAnsi="Arial" w:cs="Arial"/>
          <w:b/>
          <w:bCs/>
          <w:sz w:val="14"/>
          <w:szCs w:val="14"/>
          <w:lang w:val="en-US"/>
        </w:rPr>
        <w:t>A</w:t>
      </w:r>
      <w:r>
        <w:rPr>
          <w:rFonts w:ascii="Arial" w:hAnsi="Arial" w:cs="Arial"/>
          <w:bCs/>
          <w:sz w:val="14"/>
          <w:szCs w:val="14"/>
          <w:lang w:val="en-US"/>
        </w:rPr>
        <w:t>.</w:t>
      </w:r>
      <w:r w:rsidRPr="00A77791">
        <w:rPr>
          <w:rFonts w:ascii="Arial" w:hAnsi="Arial" w:cs="Arial"/>
          <w:bCs/>
          <w:sz w:val="14"/>
          <w:szCs w:val="14"/>
          <w:lang w:val="en-US"/>
        </w:rPr>
        <w:t>, “</w:t>
      </w:r>
      <w:r w:rsidRPr="00A77791">
        <w:rPr>
          <w:rFonts w:ascii="Arial" w:hAnsi="Arial" w:cs="Arial"/>
          <w:bCs/>
          <w:i/>
          <w:sz w:val="14"/>
          <w:szCs w:val="14"/>
          <w:lang w:val="en-US"/>
        </w:rPr>
        <w:t>Applying Logistic Regression Model to The Second Primary Cancer Data</w:t>
      </w:r>
      <w:r w:rsidRPr="00A77791">
        <w:rPr>
          <w:rFonts w:ascii="Arial" w:hAnsi="Arial" w:cs="Arial"/>
          <w:bCs/>
          <w:sz w:val="14"/>
          <w:szCs w:val="14"/>
          <w:lang w:val="en-US"/>
        </w:rPr>
        <w:t xml:space="preserve">”, Department of Statistics, Mathematics, and Insurance. </w:t>
      </w:r>
      <w:r w:rsidRPr="00613DF1">
        <w:rPr>
          <w:rFonts w:ascii="Arial" w:hAnsi="Arial" w:cs="Arial"/>
          <w:bCs/>
          <w:sz w:val="14"/>
          <w:szCs w:val="14"/>
        </w:rPr>
        <w:t>Faculty of Commerce, Ain Shams University, Egypt.</w:t>
      </w:r>
    </w:p>
  </w:footnote>
  <w:footnote w:id="43">
    <w:p w:rsidR="006933DF" w:rsidRPr="00566690" w:rsidRDefault="006933DF" w:rsidP="00B1713E">
      <w:pPr>
        <w:pStyle w:val="Textonotapie"/>
        <w:jc w:val="both"/>
        <w:rPr>
          <w:rFonts w:ascii="Arial" w:hAnsi="Arial" w:cs="Arial"/>
          <w:sz w:val="14"/>
          <w:szCs w:val="14"/>
        </w:rPr>
      </w:pPr>
      <w:r w:rsidRPr="00566690">
        <w:rPr>
          <w:rStyle w:val="Refdenotaalpie"/>
          <w:rFonts w:ascii="Arial" w:hAnsi="Arial" w:cs="Arial"/>
          <w:sz w:val="14"/>
          <w:szCs w:val="14"/>
        </w:rPr>
        <w:footnoteRef/>
      </w:r>
      <w:r w:rsidRPr="00566690">
        <w:rPr>
          <w:rFonts w:ascii="Arial" w:hAnsi="Arial" w:cs="Arial"/>
          <w:sz w:val="14"/>
          <w:szCs w:val="14"/>
        </w:rPr>
        <w:t xml:space="preserve"> </w:t>
      </w:r>
      <w:r w:rsidRPr="00AD5C94">
        <w:rPr>
          <w:rFonts w:ascii="Arial" w:eastAsia="Times New Roman" w:hAnsi="Arial" w:cs="Arial"/>
          <w:b/>
          <w:bCs/>
          <w:kern w:val="36"/>
          <w:sz w:val="14"/>
          <w:szCs w:val="14"/>
          <w:lang w:eastAsia="es-EC"/>
        </w:rPr>
        <w:t>Guzmán</w:t>
      </w:r>
      <w:r w:rsidRPr="00566690">
        <w:rPr>
          <w:rFonts w:ascii="Arial" w:eastAsia="Times New Roman" w:hAnsi="Arial" w:cs="Arial"/>
          <w:bCs/>
          <w:kern w:val="36"/>
          <w:sz w:val="14"/>
          <w:szCs w:val="14"/>
          <w:lang w:eastAsia="es-EC"/>
        </w:rPr>
        <w:t>,</w:t>
      </w:r>
      <w:r w:rsidRPr="00566690">
        <w:rPr>
          <w:rFonts w:ascii="Arial" w:eastAsia="Times New Roman" w:hAnsi="Arial" w:cs="Arial"/>
          <w:b/>
          <w:bCs/>
          <w:kern w:val="36"/>
          <w:sz w:val="14"/>
          <w:szCs w:val="14"/>
          <w:lang w:eastAsia="es-EC"/>
        </w:rPr>
        <w:t xml:space="preserve"> E</w:t>
      </w:r>
      <w:r w:rsidRPr="00566690">
        <w:rPr>
          <w:rFonts w:ascii="Arial" w:eastAsia="Times New Roman" w:hAnsi="Arial" w:cs="Arial"/>
          <w:bCs/>
          <w:kern w:val="36"/>
          <w:sz w:val="14"/>
          <w:szCs w:val="14"/>
          <w:lang w:eastAsia="es-EC"/>
        </w:rPr>
        <w:t>. (2005), “</w:t>
      </w:r>
      <w:r w:rsidRPr="00566690">
        <w:rPr>
          <w:rFonts w:ascii="Arial" w:eastAsia="Times New Roman" w:hAnsi="Arial" w:cs="Arial"/>
          <w:bCs/>
          <w:i/>
          <w:kern w:val="36"/>
          <w:sz w:val="14"/>
          <w:szCs w:val="14"/>
          <w:lang w:eastAsia="es-EC"/>
        </w:rPr>
        <w:t>Logros y retos del Frente Indígena Oaxaqueño Binacional: una organización para el futuro de los migrantes indígenas</w:t>
      </w:r>
      <w:r w:rsidRPr="00566690">
        <w:rPr>
          <w:rFonts w:ascii="Arial" w:eastAsia="Times New Roman" w:hAnsi="Arial" w:cs="Arial"/>
          <w:bCs/>
          <w:kern w:val="36"/>
          <w:sz w:val="14"/>
          <w:szCs w:val="14"/>
          <w:lang w:eastAsia="es-EC"/>
        </w:rPr>
        <w:t xml:space="preserve">”, </w:t>
      </w:r>
      <w:r w:rsidRPr="00566690">
        <w:rPr>
          <w:rFonts w:ascii="Arial" w:hAnsi="Arial" w:cs="Arial"/>
          <w:bCs/>
          <w:sz w:val="14"/>
          <w:szCs w:val="14"/>
        </w:rPr>
        <w:t>Universidad de las Américas Puebla, México.</w:t>
      </w:r>
    </w:p>
  </w:footnote>
  <w:footnote w:id="44">
    <w:p w:rsidR="006933DF" w:rsidRPr="00566690" w:rsidRDefault="006933DF" w:rsidP="00B1713E">
      <w:pPr>
        <w:pStyle w:val="Textonotapie"/>
        <w:jc w:val="both"/>
        <w:rPr>
          <w:rFonts w:ascii="Arial" w:hAnsi="Arial" w:cs="Arial"/>
          <w:sz w:val="14"/>
          <w:szCs w:val="14"/>
        </w:rPr>
      </w:pPr>
      <w:r w:rsidRPr="00566690">
        <w:rPr>
          <w:rStyle w:val="Refdenotaalpie"/>
          <w:rFonts w:ascii="Arial" w:hAnsi="Arial" w:cs="Arial"/>
          <w:sz w:val="14"/>
          <w:szCs w:val="14"/>
        </w:rPr>
        <w:footnoteRef/>
      </w:r>
      <w:r w:rsidRPr="00566690">
        <w:rPr>
          <w:rFonts w:ascii="Arial" w:hAnsi="Arial" w:cs="Arial"/>
          <w:sz w:val="14"/>
          <w:szCs w:val="14"/>
        </w:rPr>
        <w:t xml:space="preserve"> </w:t>
      </w:r>
      <w:r>
        <w:rPr>
          <w:rFonts w:ascii="Arial" w:eastAsia="Times New Roman" w:hAnsi="Arial" w:cs="Arial"/>
          <w:bCs/>
          <w:kern w:val="36"/>
          <w:sz w:val="14"/>
          <w:szCs w:val="14"/>
          <w:lang w:eastAsia="es-EC"/>
        </w:rPr>
        <w:t>Idem 43.</w:t>
      </w:r>
    </w:p>
  </w:footnote>
  <w:footnote w:id="45">
    <w:p w:rsidR="006933DF" w:rsidRPr="00566690" w:rsidRDefault="006933DF" w:rsidP="00B1713E">
      <w:pPr>
        <w:pStyle w:val="Textonotapie"/>
        <w:jc w:val="both"/>
        <w:rPr>
          <w:rFonts w:ascii="Arial" w:hAnsi="Arial" w:cs="Arial"/>
          <w:sz w:val="14"/>
          <w:szCs w:val="14"/>
        </w:rPr>
      </w:pPr>
      <w:r w:rsidRPr="00566690">
        <w:rPr>
          <w:rStyle w:val="Refdenotaalpie"/>
          <w:rFonts w:ascii="Arial" w:hAnsi="Arial" w:cs="Arial"/>
          <w:sz w:val="14"/>
          <w:szCs w:val="14"/>
        </w:rPr>
        <w:footnoteRef/>
      </w:r>
      <w:r w:rsidRPr="00566690">
        <w:rPr>
          <w:rFonts w:ascii="Arial" w:hAnsi="Arial" w:cs="Arial"/>
          <w:sz w:val="14"/>
          <w:szCs w:val="14"/>
        </w:rPr>
        <w:t xml:space="preserve"> </w:t>
      </w:r>
      <w:r w:rsidRPr="00360507">
        <w:rPr>
          <w:rFonts w:ascii="Arial" w:hAnsi="Arial" w:cs="Arial"/>
          <w:b/>
          <w:sz w:val="14"/>
          <w:szCs w:val="14"/>
        </w:rPr>
        <w:t>OIM (Organización Inte</w:t>
      </w:r>
      <w:r>
        <w:rPr>
          <w:rFonts w:ascii="Arial" w:hAnsi="Arial" w:cs="Arial"/>
          <w:b/>
          <w:sz w:val="14"/>
          <w:szCs w:val="14"/>
        </w:rPr>
        <w:t>rnacional para las Migraciones)</w:t>
      </w:r>
      <w:r w:rsidRPr="00566690">
        <w:rPr>
          <w:rFonts w:ascii="Arial" w:hAnsi="Arial" w:cs="Arial"/>
          <w:sz w:val="14"/>
          <w:szCs w:val="14"/>
        </w:rPr>
        <w:t xml:space="preserve">, </w:t>
      </w:r>
      <w:r w:rsidRPr="00566690">
        <w:rPr>
          <w:rFonts w:ascii="Arial" w:hAnsi="Arial" w:cs="Arial"/>
          <w:i/>
          <w:sz w:val="14"/>
          <w:szCs w:val="14"/>
        </w:rPr>
        <w:t>“Identificación de Migrantes Internacionales”.</w:t>
      </w:r>
    </w:p>
  </w:footnote>
  <w:footnote w:id="46">
    <w:p w:rsidR="006933DF" w:rsidRPr="001D43A4" w:rsidRDefault="006933DF" w:rsidP="00B1713E">
      <w:pPr>
        <w:pStyle w:val="Textonotapie"/>
        <w:spacing w:line="276" w:lineRule="auto"/>
        <w:jc w:val="both"/>
        <w:rPr>
          <w:sz w:val="14"/>
          <w:szCs w:val="14"/>
        </w:rPr>
      </w:pPr>
      <w:r w:rsidRPr="001D43A4">
        <w:rPr>
          <w:rStyle w:val="Refdenotaalpie"/>
          <w:sz w:val="14"/>
          <w:szCs w:val="14"/>
        </w:rPr>
        <w:footnoteRef/>
      </w:r>
      <w:r w:rsidRPr="001D43A4">
        <w:rPr>
          <w:rFonts w:ascii="Arial" w:hAnsi="Arial" w:cs="Arial"/>
          <w:sz w:val="14"/>
          <w:szCs w:val="14"/>
        </w:rPr>
        <w:t xml:space="preserve"> </w:t>
      </w:r>
      <w:r w:rsidRPr="001D43A4">
        <w:rPr>
          <w:rFonts w:ascii="Arial" w:hAnsi="Arial" w:cs="Arial"/>
          <w:b/>
          <w:sz w:val="14"/>
          <w:szCs w:val="14"/>
        </w:rPr>
        <w:t>Garrocho</w:t>
      </w:r>
      <w:r w:rsidRPr="001D43A4">
        <w:rPr>
          <w:rFonts w:ascii="Arial" w:hAnsi="Arial" w:cs="Arial"/>
          <w:sz w:val="14"/>
          <w:szCs w:val="14"/>
        </w:rPr>
        <w:t>,</w:t>
      </w:r>
      <w:r w:rsidRPr="001D43A4">
        <w:rPr>
          <w:rFonts w:ascii="Arial" w:hAnsi="Arial" w:cs="Arial"/>
          <w:b/>
          <w:sz w:val="14"/>
          <w:szCs w:val="14"/>
        </w:rPr>
        <w:t xml:space="preserve"> C</w:t>
      </w:r>
      <w:r w:rsidRPr="001D43A4">
        <w:rPr>
          <w:rFonts w:ascii="Arial" w:hAnsi="Arial" w:cs="Arial"/>
          <w:sz w:val="14"/>
          <w:szCs w:val="14"/>
        </w:rPr>
        <w:t>. (2011), “</w:t>
      </w:r>
      <w:r w:rsidRPr="001D43A4">
        <w:rPr>
          <w:rFonts w:ascii="Arial" w:hAnsi="Arial" w:cs="Arial"/>
          <w:i/>
          <w:color w:val="221F1F"/>
          <w:sz w:val="14"/>
          <w:szCs w:val="14"/>
        </w:rPr>
        <w:t>Población Flotante, Población en Movimiento: Conceptos Clave y Métodos de Análisis Exitosos</w:t>
      </w:r>
      <w:r w:rsidRPr="001D43A4">
        <w:rPr>
          <w:rFonts w:ascii="Arial" w:hAnsi="Arial" w:cs="Arial"/>
          <w:sz w:val="14"/>
          <w:szCs w:val="14"/>
        </w:rPr>
        <w:t>”, México D.F., México.</w:t>
      </w:r>
    </w:p>
  </w:footnote>
  <w:footnote w:id="47">
    <w:p w:rsidR="006933DF" w:rsidRPr="005F3DF7" w:rsidRDefault="006933DF" w:rsidP="00B1713E">
      <w:pPr>
        <w:pStyle w:val="Textonotapie"/>
        <w:jc w:val="both"/>
        <w:rPr>
          <w:rFonts w:ascii="Arial" w:hAnsi="Arial" w:cs="Arial"/>
          <w:sz w:val="14"/>
          <w:szCs w:val="14"/>
        </w:rPr>
      </w:pPr>
      <w:r w:rsidRPr="005F3DF7">
        <w:rPr>
          <w:rStyle w:val="Refdenotaalpie"/>
          <w:rFonts w:ascii="Arial" w:hAnsi="Arial" w:cs="Arial"/>
          <w:sz w:val="14"/>
          <w:szCs w:val="14"/>
        </w:rPr>
        <w:footnoteRef/>
      </w:r>
      <w:r w:rsidRPr="005F3DF7">
        <w:rPr>
          <w:rFonts w:ascii="Arial" w:hAnsi="Arial" w:cs="Arial"/>
          <w:sz w:val="14"/>
          <w:szCs w:val="14"/>
        </w:rPr>
        <w:t xml:space="preserve"> </w:t>
      </w:r>
      <w:r w:rsidRPr="003E2AF5">
        <w:rPr>
          <w:rFonts w:ascii="Arial" w:hAnsi="Arial" w:cs="Arial"/>
          <w:b/>
          <w:sz w:val="14"/>
          <w:szCs w:val="14"/>
        </w:rPr>
        <w:t>Centro Centroamericano de Población</w:t>
      </w:r>
      <w:r>
        <w:rPr>
          <w:rFonts w:ascii="Arial" w:hAnsi="Arial" w:cs="Arial"/>
          <w:sz w:val="14"/>
          <w:szCs w:val="14"/>
        </w:rPr>
        <w:t xml:space="preserve">, </w:t>
      </w:r>
      <w:r w:rsidRPr="005F3DF7">
        <w:rPr>
          <w:rFonts w:ascii="Arial" w:hAnsi="Arial" w:cs="Arial"/>
          <w:sz w:val="14"/>
          <w:szCs w:val="14"/>
        </w:rPr>
        <w:t>“</w:t>
      </w:r>
      <w:r w:rsidRPr="001338B8">
        <w:rPr>
          <w:rFonts w:ascii="Arial" w:hAnsi="Arial" w:cs="Arial"/>
          <w:i/>
          <w:sz w:val="14"/>
          <w:szCs w:val="14"/>
        </w:rPr>
        <w:t>Sección 11: Migración</w:t>
      </w:r>
      <w:r w:rsidRPr="005F3DF7">
        <w:rPr>
          <w:rFonts w:ascii="Arial" w:hAnsi="Arial" w:cs="Arial"/>
          <w:sz w:val="14"/>
          <w:szCs w:val="14"/>
        </w:rPr>
        <w:t xml:space="preserve">”, Curso de Análisis Demográfico, </w:t>
      </w:r>
      <w:r>
        <w:rPr>
          <w:rFonts w:ascii="Arial" w:hAnsi="Arial" w:cs="Arial"/>
          <w:sz w:val="14"/>
          <w:szCs w:val="14"/>
        </w:rPr>
        <w:t>Universidad de Costa Rica, Costa Rica.</w:t>
      </w:r>
    </w:p>
  </w:footnote>
  <w:footnote w:id="48">
    <w:p w:rsidR="006933DF" w:rsidRPr="000F018A" w:rsidRDefault="006933DF" w:rsidP="00B1713E">
      <w:pPr>
        <w:pStyle w:val="Textonotapie"/>
        <w:jc w:val="both"/>
        <w:rPr>
          <w:rFonts w:ascii="Arial" w:hAnsi="Arial" w:cs="Arial"/>
          <w:sz w:val="14"/>
          <w:szCs w:val="14"/>
        </w:rPr>
      </w:pPr>
      <w:r w:rsidRPr="000F018A">
        <w:rPr>
          <w:rStyle w:val="Refdenotaalpie"/>
          <w:rFonts w:ascii="Arial" w:hAnsi="Arial" w:cs="Arial"/>
          <w:sz w:val="14"/>
          <w:szCs w:val="14"/>
        </w:rPr>
        <w:footnoteRef/>
      </w:r>
      <w:r w:rsidRPr="000F018A">
        <w:rPr>
          <w:rFonts w:ascii="Arial" w:hAnsi="Arial" w:cs="Arial"/>
          <w:sz w:val="14"/>
          <w:szCs w:val="14"/>
        </w:rPr>
        <w:t xml:space="preserve"> </w:t>
      </w:r>
      <w:r w:rsidRPr="000F018A">
        <w:rPr>
          <w:rFonts w:ascii="Arial" w:hAnsi="Arial" w:cs="Arial"/>
          <w:b/>
          <w:sz w:val="14"/>
          <w:szCs w:val="14"/>
        </w:rPr>
        <w:t>Rada</w:t>
      </w:r>
      <w:r w:rsidRPr="000F018A">
        <w:rPr>
          <w:rFonts w:ascii="Arial" w:hAnsi="Arial" w:cs="Arial"/>
          <w:sz w:val="14"/>
          <w:szCs w:val="14"/>
        </w:rPr>
        <w:t xml:space="preserve">, </w:t>
      </w:r>
      <w:r w:rsidRPr="000F018A">
        <w:rPr>
          <w:rFonts w:ascii="Arial" w:hAnsi="Arial" w:cs="Arial"/>
          <w:b/>
          <w:sz w:val="14"/>
          <w:szCs w:val="14"/>
        </w:rPr>
        <w:t>G</w:t>
      </w:r>
      <w:r w:rsidRPr="000F018A">
        <w:rPr>
          <w:rFonts w:ascii="Arial" w:hAnsi="Arial" w:cs="Arial"/>
          <w:sz w:val="14"/>
          <w:szCs w:val="14"/>
        </w:rPr>
        <w:t>. (2007), “</w:t>
      </w:r>
      <w:r w:rsidRPr="000F018A">
        <w:rPr>
          <w:rFonts w:ascii="Arial" w:hAnsi="Arial" w:cs="Arial"/>
          <w:i/>
          <w:sz w:val="14"/>
          <w:szCs w:val="14"/>
        </w:rPr>
        <w:t>Indicadores de riesgo epidemiológico: Tasas</w:t>
      </w:r>
      <w:r w:rsidRPr="000F018A">
        <w:rPr>
          <w:rFonts w:ascii="Arial" w:hAnsi="Arial" w:cs="Arial"/>
          <w:sz w:val="14"/>
          <w:szCs w:val="14"/>
        </w:rPr>
        <w:t>”, Universidad Católica de Chile, Chile.</w:t>
      </w:r>
    </w:p>
  </w:footnote>
  <w:footnote w:id="49">
    <w:p w:rsidR="006933DF" w:rsidRPr="000F018A" w:rsidRDefault="006933DF" w:rsidP="00B1713E">
      <w:pPr>
        <w:pStyle w:val="Textonotapie"/>
        <w:jc w:val="both"/>
        <w:rPr>
          <w:rFonts w:ascii="Arial" w:hAnsi="Arial" w:cs="Arial"/>
          <w:sz w:val="14"/>
          <w:szCs w:val="14"/>
        </w:rPr>
      </w:pPr>
      <w:r w:rsidRPr="000F018A">
        <w:rPr>
          <w:rStyle w:val="Refdenotaalpie"/>
          <w:rFonts w:ascii="Arial" w:hAnsi="Arial" w:cs="Arial"/>
          <w:sz w:val="14"/>
          <w:szCs w:val="14"/>
        </w:rPr>
        <w:footnoteRef/>
      </w:r>
      <w:r w:rsidRPr="000F018A">
        <w:rPr>
          <w:rFonts w:ascii="Arial" w:hAnsi="Arial" w:cs="Arial"/>
          <w:sz w:val="14"/>
          <w:szCs w:val="14"/>
        </w:rPr>
        <w:t xml:space="preserve"> </w:t>
      </w:r>
      <w:r>
        <w:rPr>
          <w:rFonts w:ascii="Arial" w:hAnsi="Arial" w:cs="Arial"/>
          <w:sz w:val="14"/>
          <w:szCs w:val="14"/>
        </w:rPr>
        <w:t xml:space="preserve">Idem </w:t>
      </w:r>
      <w:r w:rsidRPr="009B7A44">
        <w:rPr>
          <w:rFonts w:ascii="Arial" w:hAnsi="Arial" w:cs="Arial"/>
          <w:sz w:val="14"/>
          <w:szCs w:val="14"/>
        </w:rPr>
        <w:t>29</w:t>
      </w:r>
    </w:p>
  </w:footnote>
  <w:footnote w:id="50">
    <w:p w:rsidR="006933DF" w:rsidRPr="000F018A" w:rsidRDefault="006933DF" w:rsidP="00B1713E">
      <w:pPr>
        <w:pStyle w:val="Textonotapie"/>
        <w:jc w:val="both"/>
        <w:rPr>
          <w:rFonts w:ascii="Arial" w:hAnsi="Arial" w:cs="Arial"/>
          <w:sz w:val="14"/>
          <w:szCs w:val="14"/>
        </w:rPr>
      </w:pPr>
      <w:r w:rsidRPr="000F018A">
        <w:rPr>
          <w:rStyle w:val="Refdenotaalpie"/>
          <w:rFonts w:ascii="Arial" w:hAnsi="Arial" w:cs="Arial"/>
          <w:sz w:val="14"/>
          <w:szCs w:val="14"/>
        </w:rPr>
        <w:footnoteRef/>
      </w:r>
      <w:r w:rsidRPr="000F018A">
        <w:rPr>
          <w:rFonts w:ascii="Arial" w:hAnsi="Arial" w:cs="Arial"/>
          <w:sz w:val="14"/>
          <w:szCs w:val="14"/>
        </w:rPr>
        <w:t xml:space="preserve"> Idem </w:t>
      </w:r>
      <w:r>
        <w:rPr>
          <w:rFonts w:ascii="Arial" w:hAnsi="Arial" w:cs="Arial"/>
          <w:sz w:val="14"/>
          <w:szCs w:val="14"/>
        </w:rPr>
        <w:t>29</w:t>
      </w:r>
      <w:r w:rsidRPr="000F018A">
        <w:rPr>
          <w:rFonts w:ascii="Arial" w:hAnsi="Arial" w:cs="Arial"/>
          <w:sz w:val="14"/>
          <w:szCs w:val="14"/>
        </w:rPr>
        <w:t>.</w:t>
      </w:r>
    </w:p>
  </w:footnote>
  <w:footnote w:id="51">
    <w:p w:rsidR="006933DF" w:rsidRPr="000F018A" w:rsidRDefault="006933DF" w:rsidP="00B1713E">
      <w:pPr>
        <w:pStyle w:val="Textonotapie"/>
        <w:jc w:val="both"/>
        <w:rPr>
          <w:rFonts w:ascii="Arial" w:hAnsi="Arial" w:cs="Arial"/>
          <w:sz w:val="14"/>
          <w:szCs w:val="14"/>
        </w:rPr>
      </w:pPr>
      <w:r w:rsidRPr="000F018A">
        <w:rPr>
          <w:rStyle w:val="Refdenotaalpie"/>
          <w:rFonts w:ascii="Arial" w:hAnsi="Arial" w:cs="Arial"/>
          <w:sz w:val="14"/>
          <w:szCs w:val="14"/>
        </w:rPr>
        <w:footnoteRef/>
      </w:r>
      <w:r w:rsidRPr="000F018A">
        <w:rPr>
          <w:rFonts w:ascii="Arial" w:hAnsi="Arial" w:cs="Arial"/>
          <w:sz w:val="14"/>
          <w:szCs w:val="14"/>
        </w:rPr>
        <w:t xml:space="preserve"> </w:t>
      </w:r>
      <w:r w:rsidRPr="009639D2">
        <w:rPr>
          <w:rFonts w:ascii="Arial" w:hAnsi="Arial" w:cs="Arial"/>
          <w:b/>
          <w:sz w:val="14"/>
          <w:szCs w:val="14"/>
        </w:rPr>
        <w:t>INE (</w:t>
      </w:r>
      <w:r w:rsidRPr="000F018A">
        <w:rPr>
          <w:rFonts w:ascii="Arial" w:hAnsi="Arial" w:cs="Arial"/>
          <w:b/>
          <w:sz w:val="14"/>
          <w:szCs w:val="14"/>
        </w:rPr>
        <w:t xml:space="preserve">Instituto Nacional </w:t>
      </w:r>
      <w:r>
        <w:rPr>
          <w:rFonts w:ascii="Arial" w:hAnsi="Arial" w:cs="Arial"/>
          <w:b/>
          <w:sz w:val="14"/>
          <w:szCs w:val="14"/>
        </w:rPr>
        <w:t>d</w:t>
      </w:r>
      <w:r w:rsidRPr="000F018A">
        <w:rPr>
          <w:rFonts w:ascii="Arial" w:hAnsi="Arial" w:cs="Arial"/>
          <w:b/>
          <w:sz w:val="14"/>
          <w:szCs w:val="14"/>
        </w:rPr>
        <w:t>e Estadística</w:t>
      </w:r>
      <w:r>
        <w:rPr>
          <w:rFonts w:ascii="Arial" w:hAnsi="Arial" w:cs="Arial"/>
          <w:b/>
          <w:sz w:val="14"/>
          <w:szCs w:val="14"/>
        </w:rPr>
        <w:t>)</w:t>
      </w:r>
      <w:r w:rsidRPr="000F018A">
        <w:rPr>
          <w:rFonts w:ascii="Arial" w:hAnsi="Arial" w:cs="Arial"/>
          <w:sz w:val="14"/>
          <w:szCs w:val="14"/>
        </w:rPr>
        <w:t xml:space="preserve">, </w:t>
      </w:r>
      <w:r w:rsidRPr="000F018A">
        <w:rPr>
          <w:rFonts w:ascii="Arial" w:hAnsi="Arial" w:cs="Arial"/>
          <w:i/>
          <w:sz w:val="14"/>
          <w:szCs w:val="14"/>
        </w:rPr>
        <w:t>“Definiciones”</w:t>
      </w:r>
      <w:r w:rsidRPr="000F018A">
        <w:rPr>
          <w:rFonts w:ascii="Arial" w:hAnsi="Arial" w:cs="Arial"/>
          <w:sz w:val="14"/>
          <w:szCs w:val="14"/>
        </w:rPr>
        <w:t>, España.</w:t>
      </w:r>
    </w:p>
  </w:footnote>
  <w:footnote w:id="52">
    <w:p w:rsidR="006933DF" w:rsidRPr="000F018A" w:rsidRDefault="006933DF" w:rsidP="00B1713E">
      <w:pPr>
        <w:pStyle w:val="Textonotapie"/>
        <w:jc w:val="both"/>
        <w:rPr>
          <w:rFonts w:ascii="Arial" w:hAnsi="Arial" w:cs="Arial"/>
          <w:sz w:val="14"/>
          <w:szCs w:val="14"/>
        </w:rPr>
      </w:pPr>
      <w:r w:rsidRPr="000F018A">
        <w:rPr>
          <w:rStyle w:val="Refdenotaalpie"/>
          <w:rFonts w:ascii="Arial" w:hAnsi="Arial" w:cs="Arial"/>
          <w:sz w:val="14"/>
          <w:szCs w:val="14"/>
        </w:rPr>
        <w:footnoteRef/>
      </w:r>
      <w:r w:rsidRPr="000F018A">
        <w:rPr>
          <w:rFonts w:ascii="Arial" w:hAnsi="Arial" w:cs="Arial"/>
          <w:sz w:val="14"/>
          <w:szCs w:val="14"/>
        </w:rPr>
        <w:t xml:space="preserve"> </w:t>
      </w:r>
      <w:r>
        <w:rPr>
          <w:rFonts w:ascii="Arial" w:hAnsi="Arial" w:cs="Arial"/>
          <w:sz w:val="14"/>
          <w:szCs w:val="14"/>
        </w:rPr>
        <w:t>Idem 36.</w:t>
      </w:r>
    </w:p>
  </w:footnote>
  <w:footnote w:id="53">
    <w:p w:rsidR="006933DF" w:rsidRPr="000F018A" w:rsidRDefault="006933DF" w:rsidP="00B1713E">
      <w:pPr>
        <w:pStyle w:val="Textonotapie"/>
        <w:jc w:val="both"/>
        <w:rPr>
          <w:rFonts w:ascii="Arial" w:hAnsi="Arial" w:cs="Arial"/>
          <w:sz w:val="14"/>
          <w:szCs w:val="14"/>
        </w:rPr>
      </w:pPr>
      <w:r w:rsidRPr="000F018A">
        <w:rPr>
          <w:rStyle w:val="Refdenotaalpie"/>
          <w:rFonts w:ascii="Arial" w:hAnsi="Arial" w:cs="Arial"/>
          <w:sz w:val="14"/>
          <w:szCs w:val="14"/>
        </w:rPr>
        <w:footnoteRef/>
      </w:r>
      <w:r w:rsidRPr="000F018A">
        <w:rPr>
          <w:rFonts w:ascii="Arial" w:hAnsi="Arial" w:cs="Arial"/>
          <w:sz w:val="14"/>
          <w:szCs w:val="14"/>
        </w:rPr>
        <w:t xml:space="preserve"> </w:t>
      </w:r>
      <w:r w:rsidRPr="000F018A">
        <w:rPr>
          <w:rFonts w:ascii="Arial" w:hAnsi="Arial" w:cs="Arial"/>
          <w:b/>
          <w:sz w:val="14"/>
          <w:szCs w:val="14"/>
        </w:rPr>
        <w:t>CEPAL</w:t>
      </w:r>
      <w:r w:rsidRPr="000F018A">
        <w:rPr>
          <w:rFonts w:ascii="Arial" w:hAnsi="Arial" w:cs="Arial"/>
          <w:sz w:val="14"/>
          <w:szCs w:val="14"/>
        </w:rPr>
        <w:t xml:space="preserve"> (2008), “</w:t>
      </w:r>
      <w:r w:rsidRPr="000F018A">
        <w:rPr>
          <w:rFonts w:ascii="Arial" w:hAnsi="Arial" w:cs="Arial"/>
          <w:i/>
          <w:sz w:val="14"/>
          <w:szCs w:val="14"/>
        </w:rPr>
        <w:t>Tendencias demográficas y protección social en América Latina y el Caribe</w:t>
      </w:r>
      <w:r w:rsidRPr="000F018A">
        <w:rPr>
          <w:rFonts w:ascii="Arial" w:hAnsi="Arial" w:cs="Arial"/>
          <w:sz w:val="14"/>
          <w:szCs w:val="14"/>
        </w:rPr>
        <w:t xml:space="preserve">”, Santiago de Chile, Chile.  </w:t>
      </w:r>
    </w:p>
  </w:footnote>
  <w:footnote w:id="54">
    <w:p w:rsidR="006933DF" w:rsidRPr="000F018A" w:rsidRDefault="006933DF" w:rsidP="00B1713E">
      <w:pPr>
        <w:pStyle w:val="Textonotapie"/>
        <w:jc w:val="both"/>
        <w:rPr>
          <w:rFonts w:ascii="Arial" w:hAnsi="Arial" w:cs="Arial"/>
          <w:sz w:val="14"/>
          <w:szCs w:val="14"/>
        </w:rPr>
      </w:pPr>
      <w:r w:rsidRPr="000F018A">
        <w:rPr>
          <w:rStyle w:val="Refdenotaalpie"/>
          <w:rFonts w:ascii="Arial" w:hAnsi="Arial" w:cs="Arial"/>
          <w:sz w:val="14"/>
          <w:szCs w:val="14"/>
        </w:rPr>
        <w:footnoteRef/>
      </w:r>
      <w:r w:rsidRPr="000F018A">
        <w:rPr>
          <w:rFonts w:ascii="Arial" w:hAnsi="Arial" w:cs="Arial"/>
          <w:sz w:val="14"/>
          <w:szCs w:val="14"/>
        </w:rPr>
        <w:t xml:space="preserve"> </w:t>
      </w:r>
      <w:r w:rsidRPr="000F018A">
        <w:rPr>
          <w:rFonts w:ascii="Arial" w:hAnsi="Arial" w:cs="Arial"/>
          <w:b/>
          <w:sz w:val="14"/>
          <w:szCs w:val="14"/>
        </w:rPr>
        <w:t>Hernández D</w:t>
      </w:r>
      <w:r w:rsidRPr="000F018A">
        <w:rPr>
          <w:rFonts w:ascii="Arial" w:hAnsi="Arial" w:cs="Arial"/>
          <w:sz w:val="14"/>
          <w:szCs w:val="14"/>
        </w:rPr>
        <w:t>., “</w:t>
      </w:r>
      <w:r w:rsidRPr="000F018A">
        <w:rPr>
          <w:rFonts w:ascii="Arial" w:hAnsi="Arial" w:cs="Arial"/>
          <w:i/>
          <w:sz w:val="14"/>
          <w:szCs w:val="14"/>
        </w:rPr>
        <w:t>¿Qué es una pirámide poblacional?</w:t>
      </w:r>
      <w:r w:rsidRPr="000F018A">
        <w:rPr>
          <w:rFonts w:ascii="Arial" w:hAnsi="Arial" w:cs="Arial"/>
          <w:sz w:val="14"/>
          <w:szCs w:val="14"/>
        </w:rPr>
        <w:t>”, tomado desde http://www.slideshare.net/guest31e845/pirmide-de-poblacin.</w:t>
      </w:r>
    </w:p>
  </w:footnote>
  <w:footnote w:id="55">
    <w:p w:rsidR="006933DF" w:rsidRPr="000F018A" w:rsidRDefault="006933DF" w:rsidP="00B1713E">
      <w:pPr>
        <w:pStyle w:val="Textonotapie"/>
        <w:jc w:val="both"/>
        <w:rPr>
          <w:rFonts w:ascii="Arial" w:hAnsi="Arial" w:cs="Arial"/>
          <w:sz w:val="14"/>
          <w:szCs w:val="14"/>
        </w:rPr>
      </w:pPr>
      <w:r w:rsidRPr="000F018A">
        <w:rPr>
          <w:rStyle w:val="Refdenotaalpie"/>
          <w:rFonts w:ascii="Arial" w:hAnsi="Arial" w:cs="Arial"/>
          <w:sz w:val="14"/>
          <w:szCs w:val="14"/>
        </w:rPr>
        <w:footnoteRef/>
      </w:r>
      <w:r w:rsidRPr="000F018A">
        <w:rPr>
          <w:rFonts w:ascii="Arial" w:hAnsi="Arial" w:cs="Arial"/>
          <w:sz w:val="14"/>
          <w:szCs w:val="14"/>
        </w:rPr>
        <w:t xml:space="preserve"> </w:t>
      </w:r>
      <w:r w:rsidRPr="000F018A">
        <w:rPr>
          <w:rFonts w:ascii="Arial" w:hAnsi="Arial" w:cs="Arial"/>
          <w:b/>
          <w:sz w:val="14"/>
          <w:szCs w:val="14"/>
        </w:rPr>
        <w:t>Mori</w:t>
      </w:r>
      <w:r w:rsidRPr="000F018A">
        <w:rPr>
          <w:rFonts w:ascii="Arial" w:hAnsi="Arial" w:cs="Arial"/>
          <w:sz w:val="14"/>
          <w:szCs w:val="14"/>
        </w:rPr>
        <w:t xml:space="preserve">, </w:t>
      </w:r>
      <w:r w:rsidRPr="000F018A">
        <w:rPr>
          <w:rFonts w:ascii="Arial" w:hAnsi="Arial" w:cs="Arial"/>
          <w:b/>
          <w:sz w:val="14"/>
          <w:szCs w:val="14"/>
        </w:rPr>
        <w:t>M</w:t>
      </w:r>
      <w:r w:rsidRPr="000F018A">
        <w:rPr>
          <w:rFonts w:ascii="Arial" w:hAnsi="Arial" w:cs="Arial"/>
          <w:sz w:val="14"/>
          <w:szCs w:val="14"/>
        </w:rPr>
        <w:t>. (2008), “</w:t>
      </w:r>
      <w:r w:rsidRPr="000F018A">
        <w:rPr>
          <w:rFonts w:ascii="Arial" w:hAnsi="Arial" w:cs="Arial"/>
          <w:i/>
          <w:sz w:val="14"/>
          <w:szCs w:val="14"/>
        </w:rPr>
        <w:t>Introducción a los Mapas Temáticos</w:t>
      </w:r>
      <w:r w:rsidRPr="000F018A">
        <w:rPr>
          <w:rFonts w:ascii="Arial" w:hAnsi="Arial" w:cs="Arial"/>
          <w:sz w:val="14"/>
          <w:szCs w:val="14"/>
        </w:rPr>
        <w:t>”, Programa Regional de Formación de Facilitadores.</w:t>
      </w:r>
    </w:p>
  </w:footnote>
  <w:footnote w:id="56">
    <w:p w:rsidR="006933DF" w:rsidRPr="00080734" w:rsidRDefault="006933DF" w:rsidP="00B1713E">
      <w:pPr>
        <w:pStyle w:val="Textonotapie"/>
        <w:spacing w:line="276" w:lineRule="auto"/>
        <w:jc w:val="both"/>
        <w:rPr>
          <w:rFonts w:ascii="Arial" w:hAnsi="Arial" w:cs="Arial"/>
          <w:sz w:val="14"/>
          <w:szCs w:val="14"/>
        </w:rPr>
      </w:pPr>
      <w:r w:rsidRPr="00080734">
        <w:rPr>
          <w:rStyle w:val="Refdenotaalpie"/>
          <w:rFonts w:ascii="Arial" w:hAnsi="Arial" w:cs="Arial"/>
          <w:sz w:val="14"/>
          <w:szCs w:val="14"/>
        </w:rPr>
        <w:footnoteRef/>
      </w:r>
      <w:r w:rsidRPr="00080734">
        <w:rPr>
          <w:rFonts w:ascii="Arial" w:hAnsi="Arial" w:cs="Arial"/>
          <w:sz w:val="14"/>
          <w:szCs w:val="14"/>
        </w:rPr>
        <w:t xml:space="preserve"> </w:t>
      </w:r>
      <w:r>
        <w:rPr>
          <w:rFonts w:ascii="Arial" w:hAnsi="Arial" w:cs="Arial"/>
          <w:sz w:val="14"/>
          <w:szCs w:val="14"/>
        </w:rPr>
        <w:t>Idem 21</w:t>
      </w:r>
      <w:r w:rsidRPr="00080734">
        <w:rPr>
          <w:rFonts w:ascii="Arial" w:hAnsi="Arial" w:cs="Arial"/>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688242"/>
      <w:docPartObj>
        <w:docPartGallery w:val="Page Numbers (Top of Page)"/>
        <w:docPartUnique/>
      </w:docPartObj>
    </w:sdtPr>
    <w:sdtEndPr>
      <w:rPr>
        <w:rFonts w:ascii="Arial" w:hAnsi="Arial" w:cs="Arial"/>
      </w:rPr>
    </w:sdtEndPr>
    <w:sdtContent>
      <w:p w:rsidR="006933DF" w:rsidRDefault="006933DF">
        <w:pPr>
          <w:pStyle w:val="Encabezado"/>
          <w:jc w:val="right"/>
        </w:pPr>
      </w:p>
      <w:p w:rsidR="006933DF" w:rsidRPr="00254597" w:rsidRDefault="006933DF">
        <w:pPr>
          <w:pStyle w:val="Encabezado"/>
          <w:jc w:val="right"/>
          <w:rPr>
            <w:rFonts w:ascii="Arial" w:hAnsi="Arial" w:cs="Arial"/>
          </w:rPr>
        </w:pPr>
      </w:p>
      <w:p w:rsidR="006933DF" w:rsidRPr="00254597" w:rsidRDefault="00436907">
        <w:pPr>
          <w:pStyle w:val="Encabezado"/>
          <w:jc w:val="right"/>
          <w:rPr>
            <w:rFonts w:ascii="Arial" w:hAnsi="Arial" w:cs="Arial"/>
          </w:rPr>
        </w:pPr>
      </w:p>
    </w:sdtContent>
  </w:sdt>
  <w:p w:rsidR="006933DF" w:rsidRPr="00254597" w:rsidRDefault="006933DF">
    <w:pPr>
      <w:pStyle w:val="Encabezado"/>
      <w:rPr>
        <w:rFonts w:ascii="Arial" w:hAnsi="Arial" w:cs="Arial"/>
      </w:rPr>
    </w:pPr>
  </w:p>
  <w:p w:rsidR="006933DF" w:rsidRPr="00254597" w:rsidRDefault="006933DF">
    <w:pPr>
      <w:pStyle w:val="Encabezado"/>
      <w:rPr>
        <w:rFonts w:ascii="Arial" w:hAnsi="Arial" w:cs="Arial"/>
      </w:rPr>
    </w:pPr>
  </w:p>
  <w:p w:rsidR="006933DF" w:rsidRPr="00254597" w:rsidRDefault="006933DF">
    <w:pPr>
      <w:pStyle w:val="Encabezad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49129"/>
      <w:docPartObj>
        <w:docPartGallery w:val="Page Numbers (Top of Page)"/>
        <w:docPartUnique/>
      </w:docPartObj>
    </w:sdtPr>
    <w:sdtEndPr>
      <w:rPr>
        <w:rFonts w:ascii="Arial" w:hAnsi="Arial" w:cs="Arial"/>
      </w:rPr>
    </w:sdtEndPr>
    <w:sdtContent>
      <w:p w:rsidR="006933DF" w:rsidRDefault="006933DF">
        <w:pPr>
          <w:pStyle w:val="Encabezado"/>
          <w:jc w:val="right"/>
        </w:pPr>
      </w:p>
      <w:p w:rsidR="006933DF" w:rsidRPr="00254597" w:rsidRDefault="006933DF">
        <w:pPr>
          <w:pStyle w:val="Encabezado"/>
          <w:jc w:val="right"/>
          <w:rPr>
            <w:rFonts w:ascii="Arial" w:hAnsi="Arial" w:cs="Arial"/>
          </w:rPr>
        </w:pPr>
      </w:p>
      <w:p w:rsidR="006933DF" w:rsidRPr="00254597" w:rsidRDefault="00436907">
        <w:pPr>
          <w:pStyle w:val="Encabezado"/>
          <w:jc w:val="right"/>
          <w:rPr>
            <w:rFonts w:ascii="Arial" w:hAnsi="Arial" w:cs="Arial"/>
          </w:rPr>
        </w:pPr>
      </w:p>
    </w:sdtContent>
  </w:sdt>
  <w:p w:rsidR="006933DF" w:rsidRPr="00254597" w:rsidRDefault="006933DF">
    <w:pPr>
      <w:pStyle w:val="Encabezado"/>
      <w:rPr>
        <w:rFonts w:ascii="Arial" w:hAnsi="Arial" w:cs="Arial"/>
      </w:rPr>
    </w:pPr>
  </w:p>
  <w:p w:rsidR="006933DF" w:rsidRPr="00254597" w:rsidRDefault="006933DF">
    <w:pPr>
      <w:pStyle w:val="Encabezado"/>
      <w:rPr>
        <w:rFonts w:ascii="Arial" w:hAnsi="Arial" w:cs="Arial"/>
      </w:rPr>
    </w:pPr>
  </w:p>
  <w:p w:rsidR="006933DF" w:rsidRPr="00254597" w:rsidRDefault="006933DF">
    <w:pPr>
      <w:pStyle w:val="Encabezad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999917"/>
      <w:docPartObj>
        <w:docPartGallery w:val="Page Numbers (Top of Page)"/>
        <w:docPartUnique/>
      </w:docPartObj>
    </w:sdtPr>
    <w:sdtEndPr>
      <w:rPr>
        <w:rFonts w:ascii="Arial" w:hAnsi="Arial" w:cs="Arial"/>
      </w:rPr>
    </w:sdtEndPr>
    <w:sdtContent>
      <w:p w:rsidR="006933DF" w:rsidRDefault="006933DF">
        <w:pPr>
          <w:pStyle w:val="Encabezado"/>
          <w:jc w:val="right"/>
        </w:pPr>
      </w:p>
      <w:p w:rsidR="006933DF" w:rsidRPr="00254597" w:rsidRDefault="006933DF">
        <w:pPr>
          <w:pStyle w:val="Encabezado"/>
          <w:jc w:val="right"/>
          <w:rPr>
            <w:rFonts w:ascii="Arial" w:hAnsi="Arial" w:cs="Arial"/>
          </w:rPr>
        </w:pPr>
      </w:p>
      <w:p w:rsidR="00D46F2A" w:rsidRDefault="00436907" w:rsidP="00D46F2A">
        <w:pPr>
          <w:pStyle w:val="Encabezado"/>
          <w:jc w:val="right"/>
          <w:rPr>
            <w:rFonts w:ascii="Arial" w:hAnsi="Arial" w:cs="Arial"/>
          </w:rPr>
        </w:pPr>
      </w:p>
    </w:sdtContent>
  </w:sdt>
  <w:p w:rsidR="006933DF" w:rsidRPr="00254597" w:rsidRDefault="00990535" w:rsidP="00D46F2A">
    <w:pPr>
      <w:pStyle w:val="Encabezado"/>
      <w:jc w:val="right"/>
      <w:rPr>
        <w:rFonts w:ascii="Arial" w:hAnsi="Arial" w:cs="Arial"/>
      </w:rPr>
    </w:pPr>
    <w:r w:rsidRPr="00254597">
      <w:rPr>
        <w:rFonts w:ascii="Arial" w:hAnsi="Arial" w:cs="Arial"/>
      </w:rPr>
      <w:fldChar w:fldCharType="begin"/>
    </w:r>
    <w:r w:rsidR="006933DF" w:rsidRPr="00254597">
      <w:rPr>
        <w:rFonts w:ascii="Arial" w:hAnsi="Arial" w:cs="Arial"/>
      </w:rPr>
      <w:instrText>PAGE   \* MERGEFORMAT</w:instrText>
    </w:r>
    <w:r w:rsidRPr="00254597">
      <w:rPr>
        <w:rFonts w:ascii="Arial" w:hAnsi="Arial" w:cs="Arial"/>
      </w:rPr>
      <w:fldChar w:fldCharType="separate"/>
    </w:r>
    <w:r w:rsidR="00A242E0" w:rsidRPr="00A242E0">
      <w:rPr>
        <w:rFonts w:ascii="Arial" w:hAnsi="Arial" w:cs="Arial"/>
        <w:noProof/>
        <w:lang w:val="es-ES"/>
      </w:rPr>
      <w:t>i</w:t>
    </w:r>
    <w:r w:rsidRPr="00254597">
      <w:rPr>
        <w:rFonts w:ascii="Arial" w:hAnsi="Arial" w:cs="Arial"/>
      </w:rPr>
      <w:fldChar w:fldCharType="end"/>
    </w:r>
  </w:p>
  <w:p w:rsidR="006933DF" w:rsidRPr="00254597" w:rsidRDefault="006933DF">
    <w:pPr>
      <w:pStyle w:val="Encabezado"/>
      <w:rPr>
        <w:rFonts w:ascii="Arial" w:hAnsi="Arial" w:cs="Arial"/>
      </w:rPr>
    </w:pPr>
  </w:p>
  <w:p w:rsidR="006933DF" w:rsidRPr="00254597" w:rsidRDefault="006933DF">
    <w:pPr>
      <w:pStyle w:val="Encabezado"/>
      <w:rPr>
        <w:rFonts w:ascii="Arial" w:hAnsi="Arial" w:cs="Arial"/>
      </w:rPr>
    </w:pPr>
  </w:p>
  <w:p w:rsidR="006933DF" w:rsidRPr="00254597" w:rsidRDefault="006933DF">
    <w:pPr>
      <w:pStyle w:val="Encabezado"/>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152036"/>
      <w:docPartObj>
        <w:docPartGallery w:val="Page Numbers (Top of Page)"/>
        <w:docPartUnique/>
      </w:docPartObj>
    </w:sdtPr>
    <w:sdtEndPr>
      <w:rPr>
        <w:rFonts w:ascii="Arial" w:hAnsi="Arial" w:cs="Arial"/>
      </w:rPr>
    </w:sdtEndPr>
    <w:sdtContent>
      <w:p w:rsidR="006933DF" w:rsidRDefault="006933DF">
        <w:pPr>
          <w:pStyle w:val="Encabezado"/>
          <w:jc w:val="right"/>
        </w:pPr>
      </w:p>
      <w:p w:rsidR="006933DF" w:rsidRPr="00254597" w:rsidRDefault="006933DF">
        <w:pPr>
          <w:pStyle w:val="Encabezado"/>
          <w:jc w:val="right"/>
          <w:rPr>
            <w:rFonts w:ascii="Arial" w:hAnsi="Arial" w:cs="Arial"/>
          </w:rPr>
        </w:pPr>
      </w:p>
      <w:p w:rsidR="006933DF" w:rsidRPr="00254597" w:rsidRDefault="00990535">
        <w:pPr>
          <w:pStyle w:val="Encabezado"/>
          <w:jc w:val="right"/>
          <w:rPr>
            <w:rFonts w:ascii="Arial" w:hAnsi="Arial" w:cs="Arial"/>
          </w:rPr>
        </w:pPr>
        <w:r w:rsidRPr="00254597">
          <w:rPr>
            <w:rFonts w:ascii="Arial" w:hAnsi="Arial" w:cs="Arial"/>
          </w:rPr>
          <w:fldChar w:fldCharType="begin"/>
        </w:r>
        <w:r w:rsidR="006933DF" w:rsidRPr="00254597">
          <w:rPr>
            <w:rFonts w:ascii="Arial" w:hAnsi="Arial" w:cs="Arial"/>
          </w:rPr>
          <w:instrText>PAGE   \* MERGEFORMAT</w:instrText>
        </w:r>
        <w:r w:rsidRPr="00254597">
          <w:rPr>
            <w:rFonts w:ascii="Arial" w:hAnsi="Arial" w:cs="Arial"/>
          </w:rPr>
          <w:fldChar w:fldCharType="separate"/>
        </w:r>
        <w:r w:rsidR="00A242E0" w:rsidRPr="00A242E0">
          <w:rPr>
            <w:rFonts w:ascii="Arial" w:hAnsi="Arial" w:cs="Arial"/>
            <w:noProof/>
            <w:lang w:val="es-ES"/>
          </w:rPr>
          <w:t>105</w:t>
        </w:r>
        <w:r w:rsidRPr="00254597">
          <w:rPr>
            <w:rFonts w:ascii="Arial" w:hAnsi="Arial" w:cs="Arial"/>
          </w:rPr>
          <w:fldChar w:fldCharType="end"/>
        </w:r>
      </w:p>
    </w:sdtContent>
  </w:sdt>
  <w:p w:rsidR="006933DF" w:rsidRPr="00254597" w:rsidRDefault="006933DF">
    <w:pPr>
      <w:pStyle w:val="Encabezado"/>
      <w:rPr>
        <w:rFonts w:ascii="Arial" w:hAnsi="Arial" w:cs="Arial"/>
      </w:rPr>
    </w:pPr>
  </w:p>
  <w:p w:rsidR="006933DF" w:rsidRPr="00254597" w:rsidRDefault="006933DF">
    <w:pPr>
      <w:pStyle w:val="Encabezado"/>
      <w:rPr>
        <w:rFonts w:ascii="Arial" w:hAnsi="Arial" w:cs="Arial"/>
      </w:rPr>
    </w:pPr>
  </w:p>
  <w:p w:rsidR="006933DF" w:rsidRPr="00254597" w:rsidRDefault="006933DF">
    <w:pPr>
      <w:pStyle w:val="Encabezado"/>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172666"/>
      <w:docPartObj>
        <w:docPartGallery w:val="Page Numbers (Top of Page)"/>
        <w:docPartUnique/>
      </w:docPartObj>
    </w:sdtPr>
    <w:sdtEndPr/>
    <w:sdtContent>
      <w:p w:rsidR="006933DF" w:rsidRDefault="006933DF">
        <w:pPr>
          <w:pStyle w:val="Encabezado"/>
          <w:jc w:val="right"/>
        </w:pPr>
      </w:p>
      <w:p w:rsidR="006933DF" w:rsidRPr="000762BC" w:rsidRDefault="00990535">
        <w:pPr>
          <w:pStyle w:val="Encabezado"/>
          <w:jc w:val="right"/>
          <w:rPr>
            <w:rFonts w:ascii="Arial" w:hAnsi="Arial" w:cs="Arial"/>
            <w:sz w:val="20"/>
            <w:szCs w:val="20"/>
          </w:rPr>
        </w:pPr>
        <w:r w:rsidRPr="000762BC">
          <w:rPr>
            <w:rFonts w:ascii="Arial" w:hAnsi="Arial" w:cs="Arial"/>
            <w:sz w:val="20"/>
            <w:szCs w:val="20"/>
          </w:rPr>
          <w:fldChar w:fldCharType="begin"/>
        </w:r>
        <w:r w:rsidR="006933DF" w:rsidRPr="000762BC">
          <w:rPr>
            <w:rFonts w:ascii="Arial" w:hAnsi="Arial" w:cs="Arial"/>
            <w:sz w:val="20"/>
            <w:szCs w:val="20"/>
          </w:rPr>
          <w:instrText>PAGE   \* MERGEFORMAT</w:instrText>
        </w:r>
        <w:r w:rsidRPr="000762BC">
          <w:rPr>
            <w:rFonts w:ascii="Arial" w:hAnsi="Arial" w:cs="Arial"/>
            <w:sz w:val="20"/>
            <w:szCs w:val="20"/>
          </w:rPr>
          <w:fldChar w:fldCharType="separate"/>
        </w:r>
        <w:r w:rsidR="00A242E0" w:rsidRPr="00A242E0">
          <w:rPr>
            <w:rFonts w:ascii="Arial" w:hAnsi="Arial" w:cs="Arial"/>
            <w:noProof/>
            <w:sz w:val="20"/>
            <w:szCs w:val="20"/>
            <w:lang w:val="es-ES"/>
          </w:rPr>
          <w:t>116</w:t>
        </w:r>
        <w:r w:rsidRPr="000762BC">
          <w:rPr>
            <w:rFonts w:ascii="Arial" w:hAnsi="Arial" w:cs="Arial"/>
            <w:sz w:val="20"/>
            <w:szCs w:val="20"/>
          </w:rPr>
          <w:fldChar w:fldCharType="end"/>
        </w:r>
      </w:p>
      <w:p w:rsidR="006933DF" w:rsidRDefault="006933DF">
        <w:pPr>
          <w:pStyle w:val="Encabezado"/>
          <w:jc w:val="right"/>
        </w:pPr>
      </w:p>
      <w:p w:rsidR="006933DF" w:rsidRDefault="006933DF">
        <w:pPr>
          <w:pStyle w:val="Encabezado"/>
          <w:jc w:val="right"/>
        </w:pPr>
      </w:p>
      <w:p w:rsidR="006933DF" w:rsidRDefault="00436907">
        <w:pPr>
          <w:pStyle w:val="Encabezado"/>
          <w:jc w:val="right"/>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981406"/>
      <w:docPartObj>
        <w:docPartGallery w:val="Page Numbers (Top of Page)"/>
        <w:docPartUnique/>
      </w:docPartObj>
    </w:sdtPr>
    <w:sdtEndPr/>
    <w:sdtContent>
      <w:p w:rsidR="006933DF" w:rsidRDefault="006933DF">
        <w:pPr>
          <w:pStyle w:val="Encabezado"/>
          <w:jc w:val="right"/>
        </w:pPr>
      </w:p>
      <w:p w:rsidR="006933DF" w:rsidRDefault="006933DF" w:rsidP="00466D7B">
        <w:pPr>
          <w:pStyle w:val="Encabezado"/>
          <w:jc w:val="right"/>
          <w:rPr>
            <w:rFonts w:ascii="Arial" w:hAnsi="Arial" w:cs="Arial"/>
            <w:sz w:val="20"/>
            <w:szCs w:val="20"/>
          </w:rPr>
        </w:pPr>
      </w:p>
      <w:p w:rsidR="006933DF" w:rsidRPr="000762BC" w:rsidRDefault="00990535" w:rsidP="00466D7B">
        <w:pPr>
          <w:pStyle w:val="Encabezado"/>
          <w:jc w:val="right"/>
          <w:rPr>
            <w:rFonts w:ascii="Arial" w:hAnsi="Arial" w:cs="Arial"/>
            <w:sz w:val="20"/>
            <w:szCs w:val="20"/>
          </w:rPr>
        </w:pPr>
        <w:r w:rsidRPr="000762BC">
          <w:rPr>
            <w:rFonts w:ascii="Arial" w:hAnsi="Arial" w:cs="Arial"/>
            <w:sz w:val="20"/>
            <w:szCs w:val="20"/>
          </w:rPr>
          <w:fldChar w:fldCharType="begin"/>
        </w:r>
        <w:r w:rsidR="006933DF" w:rsidRPr="000762BC">
          <w:rPr>
            <w:rFonts w:ascii="Arial" w:hAnsi="Arial" w:cs="Arial"/>
            <w:sz w:val="20"/>
            <w:szCs w:val="20"/>
          </w:rPr>
          <w:instrText>PAGE   \* MERGEFORMAT</w:instrText>
        </w:r>
        <w:r w:rsidRPr="000762BC">
          <w:rPr>
            <w:rFonts w:ascii="Arial" w:hAnsi="Arial" w:cs="Arial"/>
            <w:sz w:val="20"/>
            <w:szCs w:val="20"/>
          </w:rPr>
          <w:fldChar w:fldCharType="separate"/>
        </w:r>
        <w:r w:rsidR="00A242E0" w:rsidRPr="00A242E0">
          <w:rPr>
            <w:rFonts w:ascii="Arial" w:hAnsi="Arial" w:cs="Arial"/>
            <w:noProof/>
            <w:sz w:val="20"/>
            <w:szCs w:val="20"/>
            <w:lang w:val="es-ES"/>
          </w:rPr>
          <w:t>272</w:t>
        </w:r>
        <w:r w:rsidRPr="000762BC">
          <w:rPr>
            <w:rFonts w:ascii="Arial" w:hAnsi="Arial" w:cs="Arial"/>
            <w:sz w:val="20"/>
            <w:szCs w:val="20"/>
          </w:rPr>
          <w:fldChar w:fldCharType="end"/>
        </w:r>
      </w:p>
      <w:p w:rsidR="006933DF" w:rsidRDefault="006933DF">
        <w:pPr>
          <w:pStyle w:val="Encabezado"/>
          <w:jc w:val="right"/>
        </w:pPr>
      </w:p>
      <w:p w:rsidR="006933DF" w:rsidRDefault="006933DF">
        <w:pPr>
          <w:pStyle w:val="Encabezado"/>
          <w:jc w:val="right"/>
        </w:pPr>
      </w:p>
      <w:p w:rsidR="006933DF" w:rsidRDefault="00436907">
        <w:pPr>
          <w:pStyle w:val="Encabezado"/>
          <w:jc w:val="right"/>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3FA3"/>
    <w:multiLevelType w:val="hybridMultilevel"/>
    <w:tmpl w:val="87BCC1F0"/>
    <w:lvl w:ilvl="0" w:tplc="1398F068">
      <w:start w:val="1"/>
      <w:numFmt w:val="decimal"/>
      <w:lvlText w:val="%1."/>
      <w:lvlJc w:val="left"/>
      <w:pPr>
        <w:ind w:left="1211" w:hanging="360"/>
      </w:pPr>
      <w:rPr>
        <w:rFonts w:hint="default"/>
      </w:r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1">
    <w:nsid w:val="079B01BC"/>
    <w:multiLevelType w:val="hybridMultilevel"/>
    <w:tmpl w:val="B9E4E6CE"/>
    <w:lvl w:ilvl="0" w:tplc="5888E3E8">
      <w:start w:val="1"/>
      <w:numFmt w:val="decimal"/>
      <w:lvlText w:val="%1."/>
      <w:lvlJc w:val="left"/>
      <w:pPr>
        <w:ind w:left="1211" w:hanging="360"/>
      </w:pPr>
      <w:rPr>
        <w:rFonts w:hint="default"/>
      </w:r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2">
    <w:nsid w:val="07D65A8A"/>
    <w:multiLevelType w:val="multilevel"/>
    <w:tmpl w:val="B99AD504"/>
    <w:lvl w:ilvl="0">
      <w:start w:val="1"/>
      <w:numFmt w:val="decimal"/>
      <w:lvlText w:val="%1."/>
      <w:lvlJc w:val="left"/>
      <w:pPr>
        <w:ind w:left="489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
    <w:nsid w:val="0A712F59"/>
    <w:multiLevelType w:val="multilevel"/>
    <w:tmpl w:val="24F2BFDC"/>
    <w:lvl w:ilvl="0">
      <w:start w:val="5"/>
      <w:numFmt w:val="decimal"/>
      <w:lvlText w:val="%1."/>
      <w:lvlJc w:val="left"/>
      <w:pPr>
        <w:ind w:left="480" w:hanging="480"/>
      </w:pPr>
      <w:rPr>
        <w:rFonts w:hint="default"/>
      </w:rPr>
    </w:lvl>
    <w:lvl w:ilvl="1">
      <w:start w:val="1"/>
      <w:numFmt w:val="decimal"/>
      <w:pStyle w:val="Cap5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17C220E1"/>
    <w:multiLevelType w:val="hybridMultilevel"/>
    <w:tmpl w:val="149AB094"/>
    <w:lvl w:ilvl="0" w:tplc="2ECCD498">
      <w:start w:val="1"/>
      <w:numFmt w:val="lowerLetter"/>
      <w:lvlText w:val="%1."/>
      <w:lvlJc w:val="left"/>
      <w:pPr>
        <w:ind w:left="1440" w:hanging="360"/>
      </w:pPr>
      <w:rPr>
        <w:rFonts w:ascii="Arial" w:eastAsiaTheme="minorHAnsi" w:hAnsi="Arial" w:cs="Arial"/>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
    <w:nsid w:val="19BA30B4"/>
    <w:multiLevelType w:val="hybridMultilevel"/>
    <w:tmpl w:val="41A83090"/>
    <w:lvl w:ilvl="0" w:tplc="300A0001">
      <w:start w:val="1"/>
      <w:numFmt w:val="bullet"/>
      <w:lvlText w:val=""/>
      <w:lvlJc w:val="left"/>
      <w:pPr>
        <w:ind w:left="2498" w:hanging="360"/>
      </w:pPr>
      <w:rPr>
        <w:rFonts w:ascii="Symbol" w:hAnsi="Symbol" w:hint="default"/>
      </w:rPr>
    </w:lvl>
    <w:lvl w:ilvl="1" w:tplc="300A0003" w:tentative="1">
      <w:start w:val="1"/>
      <w:numFmt w:val="bullet"/>
      <w:lvlText w:val="o"/>
      <w:lvlJc w:val="left"/>
      <w:pPr>
        <w:ind w:left="3218" w:hanging="360"/>
      </w:pPr>
      <w:rPr>
        <w:rFonts w:ascii="Courier New" w:hAnsi="Courier New" w:cs="Courier New" w:hint="default"/>
      </w:rPr>
    </w:lvl>
    <w:lvl w:ilvl="2" w:tplc="300A0005" w:tentative="1">
      <w:start w:val="1"/>
      <w:numFmt w:val="bullet"/>
      <w:lvlText w:val=""/>
      <w:lvlJc w:val="left"/>
      <w:pPr>
        <w:ind w:left="3938" w:hanging="360"/>
      </w:pPr>
      <w:rPr>
        <w:rFonts w:ascii="Wingdings" w:hAnsi="Wingdings" w:hint="default"/>
      </w:rPr>
    </w:lvl>
    <w:lvl w:ilvl="3" w:tplc="300A0001" w:tentative="1">
      <w:start w:val="1"/>
      <w:numFmt w:val="bullet"/>
      <w:lvlText w:val=""/>
      <w:lvlJc w:val="left"/>
      <w:pPr>
        <w:ind w:left="4658" w:hanging="360"/>
      </w:pPr>
      <w:rPr>
        <w:rFonts w:ascii="Symbol" w:hAnsi="Symbol" w:hint="default"/>
      </w:rPr>
    </w:lvl>
    <w:lvl w:ilvl="4" w:tplc="300A0003" w:tentative="1">
      <w:start w:val="1"/>
      <w:numFmt w:val="bullet"/>
      <w:lvlText w:val="o"/>
      <w:lvlJc w:val="left"/>
      <w:pPr>
        <w:ind w:left="5378" w:hanging="360"/>
      </w:pPr>
      <w:rPr>
        <w:rFonts w:ascii="Courier New" w:hAnsi="Courier New" w:cs="Courier New" w:hint="default"/>
      </w:rPr>
    </w:lvl>
    <w:lvl w:ilvl="5" w:tplc="300A0005" w:tentative="1">
      <w:start w:val="1"/>
      <w:numFmt w:val="bullet"/>
      <w:lvlText w:val=""/>
      <w:lvlJc w:val="left"/>
      <w:pPr>
        <w:ind w:left="6098" w:hanging="360"/>
      </w:pPr>
      <w:rPr>
        <w:rFonts w:ascii="Wingdings" w:hAnsi="Wingdings" w:hint="default"/>
      </w:rPr>
    </w:lvl>
    <w:lvl w:ilvl="6" w:tplc="300A0001" w:tentative="1">
      <w:start w:val="1"/>
      <w:numFmt w:val="bullet"/>
      <w:lvlText w:val=""/>
      <w:lvlJc w:val="left"/>
      <w:pPr>
        <w:ind w:left="6818" w:hanging="360"/>
      </w:pPr>
      <w:rPr>
        <w:rFonts w:ascii="Symbol" w:hAnsi="Symbol" w:hint="default"/>
      </w:rPr>
    </w:lvl>
    <w:lvl w:ilvl="7" w:tplc="300A0003" w:tentative="1">
      <w:start w:val="1"/>
      <w:numFmt w:val="bullet"/>
      <w:lvlText w:val="o"/>
      <w:lvlJc w:val="left"/>
      <w:pPr>
        <w:ind w:left="7538" w:hanging="360"/>
      </w:pPr>
      <w:rPr>
        <w:rFonts w:ascii="Courier New" w:hAnsi="Courier New" w:cs="Courier New" w:hint="default"/>
      </w:rPr>
    </w:lvl>
    <w:lvl w:ilvl="8" w:tplc="300A0005" w:tentative="1">
      <w:start w:val="1"/>
      <w:numFmt w:val="bullet"/>
      <w:lvlText w:val=""/>
      <w:lvlJc w:val="left"/>
      <w:pPr>
        <w:ind w:left="8258" w:hanging="360"/>
      </w:pPr>
      <w:rPr>
        <w:rFonts w:ascii="Wingdings" w:hAnsi="Wingdings" w:hint="default"/>
      </w:rPr>
    </w:lvl>
  </w:abstractNum>
  <w:abstractNum w:abstractNumId="6">
    <w:nsid w:val="1CCD1968"/>
    <w:multiLevelType w:val="hybridMultilevel"/>
    <w:tmpl w:val="51A4720C"/>
    <w:lvl w:ilvl="0" w:tplc="678E184A">
      <w:start w:val="1"/>
      <w:numFmt w:val="decimal"/>
      <w:lvlText w:val="%1."/>
      <w:lvlJc w:val="left"/>
      <w:pPr>
        <w:ind w:left="1211" w:hanging="360"/>
      </w:pPr>
      <w:rPr>
        <w:rFonts w:hint="default"/>
      </w:r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7">
    <w:nsid w:val="20797DB7"/>
    <w:multiLevelType w:val="hybridMultilevel"/>
    <w:tmpl w:val="9908350E"/>
    <w:lvl w:ilvl="0" w:tplc="B76299B4">
      <w:start w:val="1"/>
      <w:numFmt w:val="decimal"/>
      <w:lvlText w:val="%1."/>
      <w:lvlJc w:val="left"/>
      <w:pPr>
        <w:ind w:left="1211" w:hanging="360"/>
      </w:pPr>
      <w:rPr>
        <w:rFonts w:hint="default"/>
        <w:i w:val="0"/>
      </w:r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8">
    <w:nsid w:val="2106094A"/>
    <w:multiLevelType w:val="hybridMultilevel"/>
    <w:tmpl w:val="156055BE"/>
    <w:lvl w:ilvl="0" w:tplc="499EBC02">
      <w:start w:val="1"/>
      <w:numFmt w:val="decimal"/>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9">
    <w:nsid w:val="277330D7"/>
    <w:multiLevelType w:val="multilevel"/>
    <w:tmpl w:val="DF229F04"/>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2957197F"/>
    <w:multiLevelType w:val="hybridMultilevel"/>
    <w:tmpl w:val="A0A68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9574C5"/>
    <w:multiLevelType w:val="hybridMultilevel"/>
    <w:tmpl w:val="0310F8FC"/>
    <w:lvl w:ilvl="0" w:tplc="2ECCD498">
      <w:start w:val="1"/>
      <w:numFmt w:val="lowerLetter"/>
      <w:lvlText w:val="%1."/>
      <w:lvlJc w:val="left"/>
      <w:pPr>
        <w:ind w:left="2136" w:hanging="360"/>
      </w:pPr>
      <w:rPr>
        <w:rFonts w:ascii="Arial" w:eastAsiaTheme="minorHAnsi" w:hAnsi="Arial" w:cs="Arial"/>
      </w:r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12">
    <w:nsid w:val="3F0C71C7"/>
    <w:multiLevelType w:val="hybridMultilevel"/>
    <w:tmpl w:val="3BA0E934"/>
    <w:lvl w:ilvl="0" w:tplc="24263B36">
      <w:start w:val="1"/>
      <w:numFmt w:val="decimal"/>
      <w:lvlText w:val="%1."/>
      <w:lvlJc w:val="left"/>
      <w:pPr>
        <w:ind w:left="394" w:hanging="360"/>
      </w:pPr>
      <w:rPr>
        <w:rFonts w:hint="default"/>
        <w:i w:val="0"/>
      </w:rPr>
    </w:lvl>
    <w:lvl w:ilvl="1" w:tplc="300A0019" w:tentative="1">
      <w:start w:val="1"/>
      <w:numFmt w:val="lowerLetter"/>
      <w:lvlText w:val="%2."/>
      <w:lvlJc w:val="left"/>
      <w:pPr>
        <w:ind w:left="1114" w:hanging="360"/>
      </w:pPr>
    </w:lvl>
    <w:lvl w:ilvl="2" w:tplc="300A001B" w:tentative="1">
      <w:start w:val="1"/>
      <w:numFmt w:val="lowerRoman"/>
      <w:lvlText w:val="%3."/>
      <w:lvlJc w:val="right"/>
      <w:pPr>
        <w:ind w:left="1834" w:hanging="180"/>
      </w:pPr>
    </w:lvl>
    <w:lvl w:ilvl="3" w:tplc="300A000F" w:tentative="1">
      <w:start w:val="1"/>
      <w:numFmt w:val="decimal"/>
      <w:lvlText w:val="%4."/>
      <w:lvlJc w:val="left"/>
      <w:pPr>
        <w:ind w:left="2554" w:hanging="360"/>
      </w:pPr>
    </w:lvl>
    <w:lvl w:ilvl="4" w:tplc="300A0019" w:tentative="1">
      <w:start w:val="1"/>
      <w:numFmt w:val="lowerLetter"/>
      <w:lvlText w:val="%5."/>
      <w:lvlJc w:val="left"/>
      <w:pPr>
        <w:ind w:left="3274" w:hanging="360"/>
      </w:pPr>
    </w:lvl>
    <w:lvl w:ilvl="5" w:tplc="300A001B" w:tentative="1">
      <w:start w:val="1"/>
      <w:numFmt w:val="lowerRoman"/>
      <w:lvlText w:val="%6."/>
      <w:lvlJc w:val="right"/>
      <w:pPr>
        <w:ind w:left="3994" w:hanging="180"/>
      </w:pPr>
    </w:lvl>
    <w:lvl w:ilvl="6" w:tplc="300A000F" w:tentative="1">
      <w:start w:val="1"/>
      <w:numFmt w:val="decimal"/>
      <w:lvlText w:val="%7."/>
      <w:lvlJc w:val="left"/>
      <w:pPr>
        <w:ind w:left="4714" w:hanging="360"/>
      </w:pPr>
    </w:lvl>
    <w:lvl w:ilvl="7" w:tplc="300A0019" w:tentative="1">
      <w:start w:val="1"/>
      <w:numFmt w:val="lowerLetter"/>
      <w:lvlText w:val="%8."/>
      <w:lvlJc w:val="left"/>
      <w:pPr>
        <w:ind w:left="5434" w:hanging="360"/>
      </w:pPr>
    </w:lvl>
    <w:lvl w:ilvl="8" w:tplc="300A001B" w:tentative="1">
      <w:start w:val="1"/>
      <w:numFmt w:val="lowerRoman"/>
      <w:lvlText w:val="%9."/>
      <w:lvlJc w:val="right"/>
      <w:pPr>
        <w:ind w:left="6154" w:hanging="180"/>
      </w:pPr>
    </w:lvl>
  </w:abstractNum>
  <w:abstractNum w:abstractNumId="13">
    <w:nsid w:val="3F6960EE"/>
    <w:multiLevelType w:val="hybridMultilevel"/>
    <w:tmpl w:val="93A6BA94"/>
    <w:lvl w:ilvl="0" w:tplc="9D2E562E">
      <w:start w:val="1"/>
      <w:numFmt w:val="decimal"/>
      <w:lvlText w:val="%1."/>
      <w:lvlJc w:val="left"/>
      <w:pPr>
        <w:ind w:left="394" w:hanging="360"/>
      </w:pPr>
      <w:rPr>
        <w:rFonts w:hint="default"/>
      </w:rPr>
    </w:lvl>
    <w:lvl w:ilvl="1" w:tplc="300A0019" w:tentative="1">
      <w:start w:val="1"/>
      <w:numFmt w:val="lowerLetter"/>
      <w:lvlText w:val="%2."/>
      <w:lvlJc w:val="left"/>
      <w:pPr>
        <w:ind w:left="1114" w:hanging="360"/>
      </w:pPr>
    </w:lvl>
    <w:lvl w:ilvl="2" w:tplc="300A001B" w:tentative="1">
      <w:start w:val="1"/>
      <w:numFmt w:val="lowerRoman"/>
      <w:lvlText w:val="%3."/>
      <w:lvlJc w:val="right"/>
      <w:pPr>
        <w:ind w:left="1834" w:hanging="180"/>
      </w:pPr>
    </w:lvl>
    <w:lvl w:ilvl="3" w:tplc="300A000F" w:tentative="1">
      <w:start w:val="1"/>
      <w:numFmt w:val="decimal"/>
      <w:lvlText w:val="%4."/>
      <w:lvlJc w:val="left"/>
      <w:pPr>
        <w:ind w:left="2554" w:hanging="360"/>
      </w:pPr>
    </w:lvl>
    <w:lvl w:ilvl="4" w:tplc="300A0019" w:tentative="1">
      <w:start w:val="1"/>
      <w:numFmt w:val="lowerLetter"/>
      <w:lvlText w:val="%5."/>
      <w:lvlJc w:val="left"/>
      <w:pPr>
        <w:ind w:left="3274" w:hanging="360"/>
      </w:pPr>
    </w:lvl>
    <w:lvl w:ilvl="5" w:tplc="300A001B" w:tentative="1">
      <w:start w:val="1"/>
      <w:numFmt w:val="lowerRoman"/>
      <w:lvlText w:val="%6."/>
      <w:lvlJc w:val="right"/>
      <w:pPr>
        <w:ind w:left="3994" w:hanging="180"/>
      </w:pPr>
    </w:lvl>
    <w:lvl w:ilvl="6" w:tplc="300A000F" w:tentative="1">
      <w:start w:val="1"/>
      <w:numFmt w:val="decimal"/>
      <w:lvlText w:val="%7."/>
      <w:lvlJc w:val="left"/>
      <w:pPr>
        <w:ind w:left="4714" w:hanging="360"/>
      </w:pPr>
    </w:lvl>
    <w:lvl w:ilvl="7" w:tplc="300A0019" w:tentative="1">
      <w:start w:val="1"/>
      <w:numFmt w:val="lowerLetter"/>
      <w:lvlText w:val="%8."/>
      <w:lvlJc w:val="left"/>
      <w:pPr>
        <w:ind w:left="5434" w:hanging="360"/>
      </w:pPr>
    </w:lvl>
    <w:lvl w:ilvl="8" w:tplc="300A001B" w:tentative="1">
      <w:start w:val="1"/>
      <w:numFmt w:val="lowerRoman"/>
      <w:lvlText w:val="%9."/>
      <w:lvlJc w:val="right"/>
      <w:pPr>
        <w:ind w:left="6154" w:hanging="180"/>
      </w:pPr>
    </w:lvl>
  </w:abstractNum>
  <w:abstractNum w:abstractNumId="14">
    <w:nsid w:val="41983917"/>
    <w:multiLevelType w:val="hybridMultilevel"/>
    <w:tmpl w:val="B0F4F042"/>
    <w:lvl w:ilvl="0" w:tplc="2ECCD498">
      <w:start w:val="1"/>
      <w:numFmt w:val="lowerLetter"/>
      <w:lvlText w:val="%1."/>
      <w:lvlJc w:val="left"/>
      <w:pPr>
        <w:ind w:left="3479" w:hanging="360"/>
      </w:pPr>
      <w:rPr>
        <w:rFonts w:ascii="Arial" w:eastAsiaTheme="minorHAnsi" w:hAnsi="Arial" w:cs="Arial"/>
      </w:rPr>
    </w:lvl>
    <w:lvl w:ilvl="1" w:tplc="300A0019" w:tentative="1">
      <w:start w:val="1"/>
      <w:numFmt w:val="lowerLetter"/>
      <w:lvlText w:val="%2."/>
      <w:lvlJc w:val="left"/>
      <w:pPr>
        <w:ind w:left="4199" w:hanging="360"/>
      </w:pPr>
    </w:lvl>
    <w:lvl w:ilvl="2" w:tplc="300A001B" w:tentative="1">
      <w:start w:val="1"/>
      <w:numFmt w:val="lowerRoman"/>
      <w:lvlText w:val="%3."/>
      <w:lvlJc w:val="right"/>
      <w:pPr>
        <w:ind w:left="4919" w:hanging="180"/>
      </w:pPr>
    </w:lvl>
    <w:lvl w:ilvl="3" w:tplc="300A000F" w:tentative="1">
      <w:start w:val="1"/>
      <w:numFmt w:val="decimal"/>
      <w:lvlText w:val="%4."/>
      <w:lvlJc w:val="left"/>
      <w:pPr>
        <w:ind w:left="5639" w:hanging="360"/>
      </w:pPr>
    </w:lvl>
    <w:lvl w:ilvl="4" w:tplc="300A0019" w:tentative="1">
      <w:start w:val="1"/>
      <w:numFmt w:val="lowerLetter"/>
      <w:lvlText w:val="%5."/>
      <w:lvlJc w:val="left"/>
      <w:pPr>
        <w:ind w:left="6359" w:hanging="360"/>
      </w:pPr>
    </w:lvl>
    <w:lvl w:ilvl="5" w:tplc="300A001B" w:tentative="1">
      <w:start w:val="1"/>
      <w:numFmt w:val="lowerRoman"/>
      <w:lvlText w:val="%6."/>
      <w:lvlJc w:val="right"/>
      <w:pPr>
        <w:ind w:left="7079" w:hanging="180"/>
      </w:pPr>
    </w:lvl>
    <w:lvl w:ilvl="6" w:tplc="300A000F" w:tentative="1">
      <w:start w:val="1"/>
      <w:numFmt w:val="decimal"/>
      <w:lvlText w:val="%7."/>
      <w:lvlJc w:val="left"/>
      <w:pPr>
        <w:ind w:left="7799" w:hanging="360"/>
      </w:pPr>
    </w:lvl>
    <w:lvl w:ilvl="7" w:tplc="300A0019" w:tentative="1">
      <w:start w:val="1"/>
      <w:numFmt w:val="lowerLetter"/>
      <w:lvlText w:val="%8."/>
      <w:lvlJc w:val="left"/>
      <w:pPr>
        <w:ind w:left="8519" w:hanging="360"/>
      </w:pPr>
    </w:lvl>
    <w:lvl w:ilvl="8" w:tplc="300A001B" w:tentative="1">
      <w:start w:val="1"/>
      <w:numFmt w:val="lowerRoman"/>
      <w:lvlText w:val="%9."/>
      <w:lvlJc w:val="right"/>
      <w:pPr>
        <w:ind w:left="9239" w:hanging="180"/>
      </w:pPr>
    </w:lvl>
  </w:abstractNum>
  <w:abstractNum w:abstractNumId="15">
    <w:nsid w:val="419E0B32"/>
    <w:multiLevelType w:val="hybridMultilevel"/>
    <w:tmpl w:val="5FE43EDE"/>
    <w:lvl w:ilvl="0" w:tplc="7AE89CAE">
      <w:start w:val="1"/>
      <w:numFmt w:val="decimal"/>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16">
    <w:nsid w:val="41EF1EE9"/>
    <w:multiLevelType w:val="hybridMultilevel"/>
    <w:tmpl w:val="C49AEFB8"/>
    <w:lvl w:ilvl="0" w:tplc="0D141DDC">
      <w:start w:val="1"/>
      <w:numFmt w:val="decimal"/>
      <w:lvlText w:val="%1."/>
      <w:lvlJc w:val="left"/>
      <w:pPr>
        <w:ind w:left="394" w:hanging="360"/>
      </w:pPr>
      <w:rPr>
        <w:rFonts w:hint="default"/>
      </w:rPr>
    </w:lvl>
    <w:lvl w:ilvl="1" w:tplc="300A0019" w:tentative="1">
      <w:start w:val="1"/>
      <w:numFmt w:val="lowerLetter"/>
      <w:lvlText w:val="%2."/>
      <w:lvlJc w:val="left"/>
      <w:pPr>
        <w:ind w:left="1114" w:hanging="360"/>
      </w:pPr>
    </w:lvl>
    <w:lvl w:ilvl="2" w:tplc="300A001B" w:tentative="1">
      <w:start w:val="1"/>
      <w:numFmt w:val="lowerRoman"/>
      <w:lvlText w:val="%3."/>
      <w:lvlJc w:val="right"/>
      <w:pPr>
        <w:ind w:left="1834" w:hanging="180"/>
      </w:pPr>
    </w:lvl>
    <w:lvl w:ilvl="3" w:tplc="300A000F" w:tentative="1">
      <w:start w:val="1"/>
      <w:numFmt w:val="decimal"/>
      <w:lvlText w:val="%4."/>
      <w:lvlJc w:val="left"/>
      <w:pPr>
        <w:ind w:left="2554" w:hanging="360"/>
      </w:pPr>
    </w:lvl>
    <w:lvl w:ilvl="4" w:tplc="300A0019" w:tentative="1">
      <w:start w:val="1"/>
      <w:numFmt w:val="lowerLetter"/>
      <w:lvlText w:val="%5."/>
      <w:lvlJc w:val="left"/>
      <w:pPr>
        <w:ind w:left="3274" w:hanging="360"/>
      </w:pPr>
    </w:lvl>
    <w:lvl w:ilvl="5" w:tplc="300A001B" w:tentative="1">
      <w:start w:val="1"/>
      <w:numFmt w:val="lowerRoman"/>
      <w:lvlText w:val="%6."/>
      <w:lvlJc w:val="right"/>
      <w:pPr>
        <w:ind w:left="3994" w:hanging="180"/>
      </w:pPr>
    </w:lvl>
    <w:lvl w:ilvl="6" w:tplc="300A000F" w:tentative="1">
      <w:start w:val="1"/>
      <w:numFmt w:val="decimal"/>
      <w:lvlText w:val="%7."/>
      <w:lvlJc w:val="left"/>
      <w:pPr>
        <w:ind w:left="4714" w:hanging="360"/>
      </w:pPr>
    </w:lvl>
    <w:lvl w:ilvl="7" w:tplc="300A0019" w:tentative="1">
      <w:start w:val="1"/>
      <w:numFmt w:val="lowerLetter"/>
      <w:lvlText w:val="%8."/>
      <w:lvlJc w:val="left"/>
      <w:pPr>
        <w:ind w:left="5434" w:hanging="360"/>
      </w:pPr>
    </w:lvl>
    <w:lvl w:ilvl="8" w:tplc="300A001B" w:tentative="1">
      <w:start w:val="1"/>
      <w:numFmt w:val="lowerRoman"/>
      <w:lvlText w:val="%9."/>
      <w:lvlJc w:val="right"/>
      <w:pPr>
        <w:ind w:left="6154" w:hanging="180"/>
      </w:pPr>
    </w:lvl>
  </w:abstractNum>
  <w:abstractNum w:abstractNumId="17">
    <w:nsid w:val="45B61276"/>
    <w:multiLevelType w:val="hybridMultilevel"/>
    <w:tmpl w:val="22A45450"/>
    <w:lvl w:ilvl="0" w:tplc="6E66A658">
      <w:start w:val="1"/>
      <w:numFmt w:val="decimal"/>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18">
    <w:nsid w:val="4DBF6C99"/>
    <w:multiLevelType w:val="hybridMultilevel"/>
    <w:tmpl w:val="760AB8E0"/>
    <w:lvl w:ilvl="0" w:tplc="DB4EBAC4">
      <w:start w:val="1"/>
      <w:numFmt w:val="lowerLetter"/>
      <w:lvlText w:val="%1."/>
      <w:lvlJc w:val="left"/>
      <w:pPr>
        <w:ind w:left="1063" w:hanging="360"/>
      </w:pPr>
      <w:rPr>
        <w:rFonts w:hint="default"/>
      </w:rPr>
    </w:lvl>
    <w:lvl w:ilvl="1" w:tplc="300A0019" w:tentative="1">
      <w:start w:val="1"/>
      <w:numFmt w:val="lowerLetter"/>
      <w:lvlText w:val="%2."/>
      <w:lvlJc w:val="left"/>
      <w:pPr>
        <w:ind w:left="1783" w:hanging="360"/>
      </w:pPr>
    </w:lvl>
    <w:lvl w:ilvl="2" w:tplc="300A001B" w:tentative="1">
      <w:start w:val="1"/>
      <w:numFmt w:val="lowerRoman"/>
      <w:lvlText w:val="%3."/>
      <w:lvlJc w:val="right"/>
      <w:pPr>
        <w:ind w:left="2503" w:hanging="180"/>
      </w:pPr>
    </w:lvl>
    <w:lvl w:ilvl="3" w:tplc="300A000F" w:tentative="1">
      <w:start w:val="1"/>
      <w:numFmt w:val="decimal"/>
      <w:lvlText w:val="%4."/>
      <w:lvlJc w:val="left"/>
      <w:pPr>
        <w:ind w:left="3223" w:hanging="360"/>
      </w:pPr>
    </w:lvl>
    <w:lvl w:ilvl="4" w:tplc="300A0019" w:tentative="1">
      <w:start w:val="1"/>
      <w:numFmt w:val="lowerLetter"/>
      <w:lvlText w:val="%5."/>
      <w:lvlJc w:val="left"/>
      <w:pPr>
        <w:ind w:left="3943" w:hanging="360"/>
      </w:pPr>
    </w:lvl>
    <w:lvl w:ilvl="5" w:tplc="300A001B" w:tentative="1">
      <w:start w:val="1"/>
      <w:numFmt w:val="lowerRoman"/>
      <w:lvlText w:val="%6."/>
      <w:lvlJc w:val="right"/>
      <w:pPr>
        <w:ind w:left="4663" w:hanging="180"/>
      </w:pPr>
    </w:lvl>
    <w:lvl w:ilvl="6" w:tplc="300A000F" w:tentative="1">
      <w:start w:val="1"/>
      <w:numFmt w:val="decimal"/>
      <w:lvlText w:val="%7."/>
      <w:lvlJc w:val="left"/>
      <w:pPr>
        <w:ind w:left="5383" w:hanging="360"/>
      </w:pPr>
    </w:lvl>
    <w:lvl w:ilvl="7" w:tplc="300A0019" w:tentative="1">
      <w:start w:val="1"/>
      <w:numFmt w:val="lowerLetter"/>
      <w:lvlText w:val="%8."/>
      <w:lvlJc w:val="left"/>
      <w:pPr>
        <w:ind w:left="6103" w:hanging="360"/>
      </w:pPr>
    </w:lvl>
    <w:lvl w:ilvl="8" w:tplc="300A001B" w:tentative="1">
      <w:start w:val="1"/>
      <w:numFmt w:val="lowerRoman"/>
      <w:lvlText w:val="%9."/>
      <w:lvlJc w:val="right"/>
      <w:pPr>
        <w:ind w:left="6823" w:hanging="180"/>
      </w:pPr>
    </w:lvl>
  </w:abstractNum>
  <w:abstractNum w:abstractNumId="19">
    <w:nsid w:val="526C4812"/>
    <w:multiLevelType w:val="multilevel"/>
    <w:tmpl w:val="848ED632"/>
    <w:lvl w:ilvl="0">
      <w:start w:val="5"/>
      <w:numFmt w:val="decimal"/>
      <w:lvlText w:val="%1."/>
      <w:lvlJc w:val="left"/>
      <w:pPr>
        <w:ind w:left="480" w:hanging="480"/>
      </w:pPr>
      <w:rPr>
        <w:rFonts w:ascii="Arial" w:hAnsi="Arial" w:cs="Arial" w:hint="default"/>
      </w:rPr>
    </w:lvl>
    <w:lvl w:ilvl="1">
      <w:start w:val="1"/>
      <w:numFmt w:val="decimal"/>
      <w:pStyle w:val="51"/>
      <w:lvlText w:val="%1.%2."/>
      <w:lvlJc w:val="left"/>
      <w:pPr>
        <w:ind w:left="1440" w:hanging="720"/>
      </w:pPr>
      <w:rPr>
        <w:rFonts w:hint="default"/>
      </w:rPr>
    </w:lvl>
    <w:lvl w:ilvl="2">
      <w:start w:val="1"/>
      <w:numFmt w:val="decimal"/>
      <w:pStyle w:val="52"/>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0">
    <w:nsid w:val="53DF5CCE"/>
    <w:multiLevelType w:val="multilevel"/>
    <w:tmpl w:val="FEB88128"/>
    <w:lvl w:ilvl="0">
      <w:start w:val="4"/>
      <w:numFmt w:val="decimal"/>
      <w:lvlText w:val="%1."/>
      <w:lvlJc w:val="left"/>
      <w:pPr>
        <w:ind w:left="480" w:hanging="480"/>
      </w:pPr>
      <w:rPr>
        <w:rFonts w:hint="default"/>
      </w:rPr>
    </w:lvl>
    <w:lvl w:ilvl="1">
      <w:start w:val="1"/>
      <w:numFmt w:val="decimal"/>
      <w:pStyle w:val="Estilo41"/>
      <w:lvlText w:val="%1.%2."/>
      <w:lvlJc w:val="left"/>
      <w:pPr>
        <w:ind w:left="1440" w:hanging="720"/>
      </w:pPr>
      <w:rPr>
        <w:rFonts w:hint="default"/>
      </w:rPr>
    </w:lvl>
    <w:lvl w:ilvl="2">
      <w:start w:val="1"/>
      <w:numFmt w:val="decimal"/>
      <w:pStyle w:val="Estilo42"/>
      <w:lvlText w:val="%1.%2.%3."/>
      <w:lvlJc w:val="left"/>
      <w:pPr>
        <w:ind w:left="6816"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1">
    <w:nsid w:val="557951C1"/>
    <w:multiLevelType w:val="multilevel"/>
    <w:tmpl w:val="B72C8F5C"/>
    <w:lvl w:ilvl="0">
      <w:start w:val="3"/>
      <w:numFmt w:val="decimal"/>
      <w:lvlText w:val="%1."/>
      <w:lvlJc w:val="left"/>
      <w:pPr>
        <w:ind w:left="480" w:hanging="480"/>
      </w:pPr>
      <w:rPr>
        <w:rFonts w:hint="default"/>
      </w:rPr>
    </w:lvl>
    <w:lvl w:ilvl="1">
      <w:start w:val="1"/>
      <w:numFmt w:val="decimal"/>
      <w:pStyle w:val="TesisTitulo1"/>
      <w:lvlText w:val="%1.%2."/>
      <w:lvlJc w:val="left"/>
      <w:pPr>
        <w:ind w:left="1440" w:hanging="720"/>
      </w:pPr>
      <w:rPr>
        <w:rFonts w:hint="default"/>
      </w:rPr>
    </w:lvl>
    <w:lvl w:ilvl="2">
      <w:start w:val="1"/>
      <w:numFmt w:val="decimal"/>
      <w:pStyle w:val="TesisTitulo2"/>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2">
    <w:nsid w:val="5EAE0F4A"/>
    <w:multiLevelType w:val="multilevel"/>
    <w:tmpl w:val="09043C26"/>
    <w:lvl w:ilvl="0">
      <w:start w:val="6"/>
      <w:numFmt w:val="decimal"/>
      <w:lvlText w:val="%1."/>
      <w:lvlJc w:val="left"/>
      <w:pPr>
        <w:ind w:left="480" w:hanging="480"/>
      </w:pPr>
      <w:rPr>
        <w:rFonts w:ascii="Arial" w:hAnsi="Arial" w:cs="Arial" w:hint="default"/>
        <w:b/>
      </w:rPr>
    </w:lvl>
    <w:lvl w:ilvl="1">
      <w:start w:val="1"/>
      <w:numFmt w:val="decimal"/>
      <w:pStyle w:val="61"/>
      <w:lvlText w:val="%1.%2."/>
      <w:lvlJc w:val="left"/>
      <w:pPr>
        <w:ind w:left="1440" w:hanging="720"/>
      </w:pPr>
      <w:rPr>
        <w:rFonts w:hint="default"/>
      </w:rPr>
    </w:lvl>
    <w:lvl w:ilvl="2">
      <w:start w:val="1"/>
      <w:numFmt w:val="decimal"/>
      <w:pStyle w:val="62"/>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nsid w:val="612E6A4C"/>
    <w:multiLevelType w:val="hybridMultilevel"/>
    <w:tmpl w:val="645C74F4"/>
    <w:lvl w:ilvl="0" w:tplc="571A101C">
      <w:start w:val="1"/>
      <w:numFmt w:val="lowerLetter"/>
      <w:lvlText w:val="%1."/>
      <w:lvlJc w:val="left"/>
      <w:pPr>
        <w:ind w:left="1770" w:hanging="360"/>
      </w:pPr>
      <w:rPr>
        <w:rFonts w:hint="default"/>
      </w:rPr>
    </w:lvl>
    <w:lvl w:ilvl="1" w:tplc="300A0019" w:tentative="1">
      <w:start w:val="1"/>
      <w:numFmt w:val="lowerLetter"/>
      <w:lvlText w:val="%2."/>
      <w:lvlJc w:val="left"/>
      <w:pPr>
        <w:ind w:left="2490" w:hanging="360"/>
      </w:pPr>
    </w:lvl>
    <w:lvl w:ilvl="2" w:tplc="300A001B" w:tentative="1">
      <w:start w:val="1"/>
      <w:numFmt w:val="lowerRoman"/>
      <w:lvlText w:val="%3."/>
      <w:lvlJc w:val="right"/>
      <w:pPr>
        <w:ind w:left="3210" w:hanging="180"/>
      </w:pPr>
    </w:lvl>
    <w:lvl w:ilvl="3" w:tplc="300A000F" w:tentative="1">
      <w:start w:val="1"/>
      <w:numFmt w:val="decimal"/>
      <w:lvlText w:val="%4."/>
      <w:lvlJc w:val="left"/>
      <w:pPr>
        <w:ind w:left="3930" w:hanging="360"/>
      </w:pPr>
    </w:lvl>
    <w:lvl w:ilvl="4" w:tplc="300A0019" w:tentative="1">
      <w:start w:val="1"/>
      <w:numFmt w:val="lowerLetter"/>
      <w:lvlText w:val="%5."/>
      <w:lvlJc w:val="left"/>
      <w:pPr>
        <w:ind w:left="4650" w:hanging="360"/>
      </w:pPr>
    </w:lvl>
    <w:lvl w:ilvl="5" w:tplc="300A001B" w:tentative="1">
      <w:start w:val="1"/>
      <w:numFmt w:val="lowerRoman"/>
      <w:lvlText w:val="%6."/>
      <w:lvlJc w:val="right"/>
      <w:pPr>
        <w:ind w:left="5370" w:hanging="180"/>
      </w:pPr>
    </w:lvl>
    <w:lvl w:ilvl="6" w:tplc="300A000F" w:tentative="1">
      <w:start w:val="1"/>
      <w:numFmt w:val="decimal"/>
      <w:lvlText w:val="%7."/>
      <w:lvlJc w:val="left"/>
      <w:pPr>
        <w:ind w:left="6090" w:hanging="360"/>
      </w:pPr>
    </w:lvl>
    <w:lvl w:ilvl="7" w:tplc="300A0019" w:tentative="1">
      <w:start w:val="1"/>
      <w:numFmt w:val="lowerLetter"/>
      <w:lvlText w:val="%8."/>
      <w:lvlJc w:val="left"/>
      <w:pPr>
        <w:ind w:left="6810" w:hanging="360"/>
      </w:pPr>
    </w:lvl>
    <w:lvl w:ilvl="8" w:tplc="300A001B" w:tentative="1">
      <w:start w:val="1"/>
      <w:numFmt w:val="lowerRoman"/>
      <w:lvlText w:val="%9."/>
      <w:lvlJc w:val="right"/>
      <w:pPr>
        <w:ind w:left="7530" w:hanging="180"/>
      </w:pPr>
    </w:lvl>
  </w:abstractNum>
  <w:abstractNum w:abstractNumId="24">
    <w:nsid w:val="65BE677D"/>
    <w:multiLevelType w:val="multilevel"/>
    <w:tmpl w:val="DCF2E7A6"/>
    <w:lvl w:ilvl="0">
      <w:start w:val="1"/>
      <w:numFmt w:val="decimal"/>
      <w:lvlText w:val="%1."/>
      <w:lvlJc w:val="left"/>
      <w:pPr>
        <w:ind w:left="435" w:hanging="435"/>
      </w:pPr>
      <w:rPr>
        <w:rFonts w:hint="default"/>
      </w:rPr>
    </w:lvl>
    <w:lvl w:ilvl="1">
      <w:start w:val="1"/>
      <w:numFmt w:val="decimal"/>
      <w:pStyle w:val="TesisTitulo10"/>
      <w:lvlText w:val="%1.%2."/>
      <w:lvlJc w:val="left"/>
      <w:pPr>
        <w:ind w:left="3414" w:hanging="720"/>
      </w:pPr>
      <w:rPr>
        <w:rFonts w:hint="default"/>
      </w:rPr>
    </w:lvl>
    <w:lvl w:ilvl="2">
      <w:start w:val="1"/>
      <w:numFmt w:val="decimal"/>
      <w:pStyle w:val="TesisTitulo20"/>
      <w:lvlText w:val="%1.%2.%3."/>
      <w:lvlJc w:val="left"/>
      <w:pPr>
        <w:ind w:left="720" w:hanging="720"/>
      </w:pPr>
      <w:rPr>
        <w:rFonts w:hint="default"/>
      </w:rPr>
    </w:lvl>
    <w:lvl w:ilvl="3">
      <w:start w:val="1"/>
      <w:numFmt w:val="decimal"/>
      <w:pStyle w:val="TesisTitulo20"/>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6EBD2094"/>
    <w:multiLevelType w:val="hybridMultilevel"/>
    <w:tmpl w:val="3F1EAFDA"/>
    <w:lvl w:ilvl="0" w:tplc="5C28F220">
      <w:start w:val="1"/>
      <w:numFmt w:val="lowerLetter"/>
      <w:lvlText w:val="%1."/>
      <w:lvlJc w:val="left"/>
      <w:pPr>
        <w:ind w:left="1778" w:hanging="360"/>
      </w:pPr>
      <w:rPr>
        <w:rFonts w:hint="default"/>
        <w:b/>
        <w:i/>
      </w:rPr>
    </w:lvl>
    <w:lvl w:ilvl="1" w:tplc="300A0019" w:tentative="1">
      <w:start w:val="1"/>
      <w:numFmt w:val="lowerLetter"/>
      <w:lvlText w:val="%2."/>
      <w:lvlJc w:val="left"/>
      <w:pPr>
        <w:ind w:left="2498" w:hanging="360"/>
      </w:pPr>
    </w:lvl>
    <w:lvl w:ilvl="2" w:tplc="300A001B" w:tentative="1">
      <w:start w:val="1"/>
      <w:numFmt w:val="lowerRoman"/>
      <w:lvlText w:val="%3."/>
      <w:lvlJc w:val="right"/>
      <w:pPr>
        <w:ind w:left="3218" w:hanging="180"/>
      </w:pPr>
    </w:lvl>
    <w:lvl w:ilvl="3" w:tplc="300A000F" w:tentative="1">
      <w:start w:val="1"/>
      <w:numFmt w:val="decimal"/>
      <w:lvlText w:val="%4."/>
      <w:lvlJc w:val="left"/>
      <w:pPr>
        <w:ind w:left="3938" w:hanging="360"/>
      </w:pPr>
    </w:lvl>
    <w:lvl w:ilvl="4" w:tplc="300A0019" w:tentative="1">
      <w:start w:val="1"/>
      <w:numFmt w:val="lowerLetter"/>
      <w:lvlText w:val="%5."/>
      <w:lvlJc w:val="left"/>
      <w:pPr>
        <w:ind w:left="4658" w:hanging="360"/>
      </w:pPr>
    </w:lvl>
    <w:lvl w:ilvl="5" w:tplc="300A001B" w:tentative="1">
      <w:start w:val="1"/>
      <w:numFmt w:val="lowerRoman"/>
      <w:lvlText w:val="%6."/>
      <w:lvlJc w:val="right"/>
      <w:pPr>
        <w:ind w:left="5378" w:hanging="180"/>
      </w:pPr>
    </w:lvl>
    <w:lvl w:ilvl="6" w:tplc="300A000F" w:tentative="1">
      <w:start w:val="1"/>
      <w:numFmt w:val="decimal"/>
      <w:lvlText w:val="%7."/>
      <w:lvlJc w:val="left"/>
      <w:pPr>
        <w:ind w:left="6098" w:hanging="360"/>
      </w:pPr>
    </w:lvl>
    <w:lvl w:ilvl="7" w:tplc="300A0019" w:tentative="1">
      <w:start w:val="1"/>
      <w:numFmt w:val="lowerLetter"/>
      <w:lvlText w:val="%8."/>
      <w:lvlJc w:val="left"/>
      <w:pPr>
        <w:ind w:left="6818" w:hanging="360"/>
      </w:pPr>
    </w:lvl>
    <w:lvl w:ilvl="8" w:tplc="300A001B" w:tentative="1">
      <w:start w:val="1"/>
      <w:numFmt w:val="lowerRoman"/>
      <w:lvlText w:val="%9."/>
      <w:lvlJc w:val="right"/>
      <w:pPr>
        <w:ind w:left="7538" w:hanging="180"/>
      </w:pPr>
    </w:lvl>
  </w:abstractNum>
  <w:abstractNum w:abstractNumId="26">
    <w:nsid w:val="769F043F"/>
    <w:multiLevelType w:val="hybridMultilevel"/>
    <w:tmpl w:val="403E1606"/>
    <w:lvl w:ilvl="0" w:tplc="C554D4AA">
      <w:start w:val="1"/>
      <w:numFmt w:val="decimal"/>
      <w:lvlText w:val="%1."/>
      <w:lvlJc w:val="left"/>
      <w:pPr>
        <w:ind w:left="1211" w:hanging="360"/>
      </w:pPr>
      <w:rPr>
        <w:rFonts w:hint="default"/>
      </w:r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num w:numId="1">
    <w:abstractNumId w:val="24"/>
  </w:num>
  <w:num w:numId="2">
    <w:abstractNumId w:val="11"/>
  </w:num>
  <w:num w:numId="3">
    <w:abstractNumId w:val="4"/>
  </w:num>
  <w:num w:numId="4">
    <w:abstractNumId w:val="14"/>
  </w:num>
  <w:num w:numId="5">
    <w:abstractNumId w:val="18"/>
  </w:num>
  <w:num w:numId="6">
    <w:abstractNumId w:val="25"/>
  </w:num>
  <w:num w:numId="7">
    <w:abstractNumId w:val="5"/>
  </w:num>
  <w:num w:numId="8">
    <w:abstractNumId w:val="23"/>
  </w:num>
  <w:num w:numId="9">
    <w:abstractNumId w:val="9"/>
  </w:num>
  <w:num w:numId="10">
    <w:abstractNumId w:val="21"/>
  </w:num>
  <w:num w:numId="11">
    <w:abstractNumId w:val="20"/>
  </w:num>
  <w:num w:numId="12">
    <w:abstractNumId w:val="19"/>
  </w:num>
  <w:num w:numId="13">
    <w:abstractNumId w:val="3"/>
  </w:num>
  <w:num w:numId="14">
    <w:abstractNumId w:val="22"/>
  </w:num>
  <w:num w:numId="15">
    <w:abstractNumId w:val="17"/>
  </w:num>
  <w:num w:numId="16">
    <w:abstractNumId w:val="15"/>
  </w:num>
  <w:num w:numId="17">
    <w:abstractNumId w:val="2"/>
  </w:num>
  <w:num w:numId="18">
    <w:abstractNumId w:val="8"/>
  </w:num>
  <w:num w:numId="19">
    <w:abstractNumId w:val="10"/>
  </w:num>
  <w:num w:numId="20">
    <w:abstractNumId w:val="12"/>
  </w:num>
  <w:num w:numId="21">
    <w:abstractNumId w:val="16"/>
  </w:num>
  <w:num w:numId="22">
    <w:abstractNumId w:val="0"/>
  </w:num>
  <w:num w:numId="23">
    <w:abstractNumId w:val="13"/>
  </w:num>
  <w:num w:numId="24">
    <w:abstractNumId w:val="1"/>
  </w:num>
  <w:num w:numId="25">
    <w:abstractNumId w:val="26"/>
  </w:num>
  <w:num w:numId="26">
    <w:abstractNumId w:val="6"/>
  </w:num>
  <w:num w:numId="27">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54597"/>
    <w:rsid w:val="00001DE8"/>
    <w:rsid w:val="00001E54"/>
    <w:rsid w:val="00001E90"/>
    <w:rsid w:val="00002133"/>
    <w:rsid w:val="00002347"/>
    <w:rsid w:val="00002A3D"/>
    <w:rsid w:val="00003673"/>
    <w:rsid w:val="0000474F"/>
    <w:rsid w:val="0000575C"/>
    <w:rsid w:val="00005AA1"/>
    <w:rsid w:val="00006516"/>
    <w:rsid w:val="00010F4A"/>
    <w:rsid w:val="0001300B"/>
    <w:rsid w:val="00013889"/>
    <w:rsid w:val="00013991"/>
    <w:rsid w:val="0001554C"/>
    <w:rsid w:val="00016359"/>
    <w:rsid w:val="00021F20"/>
    <w:rsid w:val="00022E01"/>
    <w:rsid w:val="0002533F"/>
    <w:rsid w:val="00025700"/>
    <w:rsid w:val="00027602"/>
    <w:rsid w:val="000304FD"/>
    <w:rsid w:val="00031478"/>
    <w:rsid w:val="000315EA"/>
    <w:rsid w:val="00031A7F"/>
    <w:rsid w:val="0003254B"/>
    <w:rsid w:val="000326F4"/>
    <w:rsid w:val="000329A6"/>
    <w:rsid w:val="00032D7A"/>
    <w:rsid w:val="00033EE3"/>
    <w:rsid w:val="00035515"/>
    <w:rsid w:val="000364EE"/>
    <w:rsid w:val="00036876"/>
    <w:rsid w:val="00036937"/>
    <w:rsid w:val="00036D65"/>
    <w:rsid w:val="00037FA5"/>
    <w:rsid w:val="00041398"/>
    <w:rsid w:val="000424B6"/>
    <w:rsid w:val="00042652"/>
    <w:rsid w:val="00043FA6"/>
    <w:rsid w:val="00045C82"/>
    <w:rsid w:val="0004768C"/>
    <w:rsid w:val="00051454"/>
    <w:rsid w:val="00053F4C"/>
    <w:rsid w:val="000562DD"/>
    <w:rsid w:val="000579EA"/>
    <w:rsid w:val="00060299"/>
    <w:rsid w:val="00062E28"/>
    <w:rsid w:val="0006350D"/>
    <w:rsid w:val="00063779"/>
    <w:rsid w:val="00063FB6"/>
    <w:rsid w:val="000641D7"/>
    <w:rsid w:val="00064737"/>
    <w:rsid w:val="000647D5"/>
    <w:rsid w:val="0006543C"/>
    <w:rsid w:val="00066B1C"/>
    <w:rsid w:val="00066B5E"/>
    <w:rsid w:val="00067A17"/>
    <w:rsid w:val="00070FA7"/>
    <w:rsid w:val="000745FA"/>
    <w:rsid w:val="000760F8"/>
    <w:rsid w:val="00077B07"/>
    <w:rsid w:val="000800CD"/>
    <w:rsid w:val="00080734"/>
    <w:rsid w:val="00082342"/>
    <w:rsid w:val="000847E2"/>
    <w:rsid w:val="000852F8"/>
    <w:rsid w:val="000870EC"/>
    <w:rsid w:val="00087FF8"/>
    <w:rsid w:val="00090DEF"/>
    <w:rsid w:val="00091173"/>
    <w:rsid w:val="00093683"/>
    <w:rsid w:val="000951CB"/>
    <w:rsid w:val="00096C10"/>
    <w:rsid w:val="000A0827"/>
    <w:rsid w:val="000A162B"/>
    <w:rsid w:val="000A16F6"/>
    <w:rsid w:val="000A239E"/>
    <w:rsid w:val="000A583B"/>
    <w:rsid w:val="000A5883"/>
    <w:rsid w:val="000A7AFD"/>
    <w:rsid w:val="000B02D2"/>
    <w:rsid w:val="000B02DE"/>
    <w:rsid w:val="000B05D6"/>
    <w:rsid w:val="000B1198"/>
    <w:rsid w:val="000B24D0"/>
    <w:rsid w:val="000B26CB"/>
    <w:rsid w:val="000B2E5A"/>
    <w:rsid w:val="000B3729"/>
    <w:rsid w:val="000B47A4"/>
    <w:rsid w:val="000B5077"/>
    <w:rsid w:val="000B516D"/>
    <w:rsid w:val="000B5380"/>
    <w:rsid w:val="000B60E7"/>
    <w:rsid w:val="000B6255"/>
    <w:rsid w:val="000C04B1"/>
    <w:rsid w:val="000C05E0"/>
    <w:rsid w:val="000C11D5"/>
    <w:rsid w:val="000C13A6"/>
    <w:rsid w:val="000C4F07"/>
    <w:rsid w:val="000C517C"/>
    <w:rsid w:val="000C5FFC"/>
    <w:rsid w:val="000C76B6"/>
    <w:rsid w:val="000C77E2"/>
    <w:rsid w:val="000C77FC"/>
    <w:rsid w:val="000D00C1"/>
    <w:rsid w:val="000D0C9C"/>
    <w:rsid w:val="000D0CA3"/>
    <w:rsid w:val="000D176A"/>
    <w:rsid w:val="000D1902"/>
    <w:rsid w:val="000D23DD"/>
    <w:rsid w:val="000D2CC9"/>
    <w:rsid w:val="000D3728"/>
    <w:rsid w:val="000D3BC0"/>
    <w:rsid w:val="000D3E42"/>
    <w:rsid w:val="000D4A5C"/>
    <w:rsid w:val="000D5905"/>
    <w:rsid w:val="000D6EE0"/>
    <w:rsid w:val="000E0781"/>
    <w:rsid w:val="000E1608"/>
    <w:rsid w:val="000E2301"/>
    <w:rsid w:val="000E2983"/>
    <w:rsid w:val="000E3657"/>
    <w:rsid w:val="000E38F2"/>
    <w:rsid w:val="000E4427"/>
    <w:rsid w:val="000E448C"/>
    <w:rsid w:val="000E4A76"/>
    <w:rsid w:val="000E4E74"/>
    <w:rsid w:val="000E4E9F"/>
    <w:rsid w:val="000E5788"/>
    <w:rsid w:val="000E6695"/>
    <w:rsid w:val="000E726D"/>
    <w:rsid w:val="000F018A"/>
    <w:rsid w:val="000F06E4"/>
    <w:rsid w:val="000F1BA6"/>
    <w:rsid w:val="000F4C4B"/>
    <w:rsid w:val="000F534E"/>
    <w:rsid w:val="000F693D"/>
    <w:rsid w:val="000F6C2A"/>
    <w:rsid w:val="000F7C1A"/>
    <w:rsid w:val="00100A31"/>
    <w:rsid w:val="00101CBF"/>
    <w:rsid w:val="001022D3"/>
    <w:rsid w:val="00102429"/>
    <w:rsid w:val="001029E5"/>
    <w:rsid w:val="00103B23"/>
    <w:rsid w:val="00105528"/>
    <w:rsid w:val="001055A1"/>
    <w:rsid w:val="00105A90"/>
    <w:rsid w:val="00106B3B"/>
    <w:rsid w:val="00110532"/>
    <w:rsid w:val="001111A8"/>
    <w:rsid w:val="00112FC0"/>
    <w:rsid w:val="00117927"/>
    <w:rsid w:val="00121128"/>
    <w:rsid w:val="0012189C"/>
    <w:rsid w:val="00122257"/>
    <w:rsid w:val="00122F06"/>
    <w:rsid w:val="0012311B"/>
    <w:rsid w:val="001233F7"/>
    <w:rsid w:val="00123FA2"/>
    <w:rsid w:val="00124EDD"/>
    <w:rsid w:val="001315A1"/>
    <w:rsid w:val="001338B8"/>
    <w:rsid w:val="001346B1"/>
    <w:rsid w:val="00134B24"/>
    <w:rsid w:val="001350B1"/>
    <w:rsid w:val="001350BD"/>
    <w:rsid w:val="001356B2"/>
    <w:rsid w:val="001400CC"/>
    <w:rsid w:val="001401EC"/>
    <w:rsid w:val="00142C28"/>
    <w:rsid w:val="001431B3"/>
    <w:rsid w:val="00145E6D"/>
    <w:rsid w:val="00146077"/>
    <w:rsid w:val="001500DB"/>
    <w:rsid w:val="00150570"/>
    <w:rsid w:val="001518EE"/>
    <w:rsid w:val="001553F5"/>
    <w:rsid w:val="001556DD"/>
    <w:rsid w:val="00156154"/>
    <w:rsid w:val="00160E47"/>
    <w:rsid w:val="001624BE"/>
    <w:rsid w:val="0016345A"/>
    <w:rsid w:val="00163C23"/>
    <w:rsid w:val="00164573"/>
    <w:rsid w:val="00164C49"/>
    <w:rsid w:val="00167409"/>
    <w:rsid w:val="00172EC5"/>
    <w:rsid w:val="00177CF9"/>
    <w:rsid w:val="001806D0"/>
    <w:rsid w:val="00180811"/>
    <w:rsid w:val="00181359"/>
    <w:rsid w:val="001817BE"/>
    <w:rsid w:val="00181A67"/>
    <w:rsid w:val="001820D5"/>
    <w:rsid w:val="00182ACC"/>
    <w:rsid w:val="001837A6"/>
    <w:rsid w:val="0018463C"/>
    <w:rsid w:val="001850CF"/>
    <w:rsid w:val="00185211"/>
    <w:rsid w:val="001853F0"/>
    <w:rsid w:val="00186911"/>
    <w:rsid w:val="001873C6"/>
    <w:rsid w:val="001876E6"/>
    <w:rsid w:val="0019261C"/>
    <w:rsid w:val="001930FF"/>
    <w:rsid w:val="001936DC"/>
    <w:rsid w:val="00194B80"/>
    <w:rsid w:val="00196E3A"/>
    <w:rsid w:val="001A1F6F"/>
    <w:rsid w:val="001A23CE"/>
    <w:rsid w:val="001A2DEE"/>
    <w:rsid w:val="001A5066"/>
    <w:rsid w:val="001A68DF"/>
    <w:rsid w:val="001B1ADB"/>
    <w:rsid w:val="001B2345"/>
    <w:rsid w:val="001B237E"/>
    <w:rsid w:val="001B4E56"/>
    <w:rsid w:val="001B6327"/>
    <w:rsid w:val="001B6C11"/>
    <w:rsid w:val="001B7F97"/>
    <w:rsid w:val="001C1CEF"/>
    <w:rsid w:val="001C2FE6"/>
    <w:rsid w:val="001C6964"/>
    <w:rsid w:val="001C79EA"/>
    <w:rsid w:val="001D3DA3"/>
    <w:rsid w:val="001D4F59"/>
    <w:rsid w:val="001D505F"/>
    <w:rsid w:val="001D62AB"/>
    <w:rsid w:val="001D6BA5"/>
    <w:rsid w:val="001D7EF9"/>
    <w:rsid w:val="001D7FD8"/>
    <w:rsid w:val="001E0054"/>
    <w:rsid w:val="001E0B2D"/>
    <w:rsid w:val="001E0F5D"/>
    <w:rsid w:val="001E11B8"/>
    <w:rsid w:val="001E1523"/>
    <w:rsid w:val="001E2ED9"/>
    <w:rsid w:val="001E3C3C"/>
    <w:rsid w:val="001E3F8C"/>
    <w:rsid w:val="001E4A70"/>
    <w:rsid w:val="001E4BBD"/>
    <w:rsid w:val="001E4D73"/>
    <w:rsid w:val="001E5646"/>
    <w:rsid w:val="001E7422"/>
    <w:rsid w:val="001F1A4E"/>
    <w:rsid w:val="001F1B22"/>
    <w:rsid w:val="001F29F9"/>
    <w:rsid w:val="001F2AAE"/>
    <w:rsid w:val="001F4A68"/>
    <w:rsid w:val="001F4E26"/>
    <w:rsid w:val="001F62BB"/>
    <w:rsid w:val="001F7754"/>
    <w:rsid w:val="001F7B99"/>
    <w:rsid w:val="001F7D0B"/>
    <w:rsid w:val="00203917"/>
    <w:rsid w:val="00203FFD"/>
    <w:rsid w:val="002041DA"/>
    <w:rsid w:val="0020479C"/>
    <w:rsid w:val="002059FB"/>
    <w:rsid w:val="00205E8B"/>
    <w:rsid w:val="002078AD"/>
    <w:rsid w:val="00213ABD"/>
    <w:rsid w:val="00213B8C"/>
    <w:rsid w:val="00214A2A"/>
    <w:rsid w:val="00214DA1"/>
    <w:rsid w:val="00216C17"/>
    <w:rsid w:val="00217A20"/>
    <w:rsid w:val="00222018"/>
    <w:rsid w:val="00222A35"/>
    <w:rsid w:val="00223F92"/>
    <w:rsid w:val="002248BE"/>
    <w:rsid w:val="00224D1F"/>
    <w:rsid w:val="002273A0"/>
    <w:rsid w:val="0023194F"/>
    <w:rsid w:val="00231DB7"/>
    <w:rsid w:val="00232B4B"/>
    <w:rsid w:val="00234110"/>
    <w:rsid w:val="0023432F"/>
    <w:rsid w:val="0023557D"/>
    <w:rsid w:val="00237984"/>
    <w:rsid w:val="00240A24"/>
    <w:rsid w:val="00240CBF"/>
    <w:rsid w:val="00241427"/>
    <w:rsid w:val="00241A1F"/>
    <w:rsid w:val="00241E61"/>
    <w:rsid w:val="002421F9"/>
    <w:rsid w:val="00242283"/>
    <w:rsid w:val="00242C4D"/>
    <w:rsid w:val="00247C62"/>
    <w:rsid w:val="00247DD3"/>
    <w:rsid w:val="002505F5"/>
    <w:rsid w:val="00253768"/>
    <w:rsid w:val="0025388C"/>
    <w:rsid w:val="00253FC2"/>
    <w:rsid w:val="00254597"/>
    <w:rsid w:val="00260AA8"/>
    <w:rsid w:val="002616BE"/>
    <w:rsid w:val="00262A4F"/>
    <w:rsid w:val="00263FAE"/>
    <w:rsid w:val="0026477B"/>
    <w:rsid w:val="002656AB"/>
    <w:rsid w:val="0026635A"/>
    <w:rsid w:val="002664D2"/>
    <w:rsid w:val="00266563"/>
    <w:rsid w:val="00266573"/>
    <w:rsid w:val="0027007B"/>
    <w:rsid w:val="00272238"/>
    <w:rsid w:val="002731B3"/>
    <w:rsid w:val="002731BB"/>
    <w:rsid w:val="0027343A"/>
    <w:rsid w:val="00276738"/>
    <w:rsid w:val="00276BD9"/>
    <w:rsid w:val="002776EF"/>
    <w:rsid w:val="00277B2F"/>
    <w:rsid w:val="0028060F"/>
    <w:rsid w:val="002808E4"/>
    <w:rsid w:val="00280FB6"/>
    <w:rsid w:val="00280FFB"/>
    <w:rsid w:val="002817A0"/>
    <w:rsid w:val="00281B95"/>
    <w:rsid w:val="00282501"/>
    <w:rsid w:val="0028296B"/>
    <w:rsid w:val="00284F86"/>
    <w:rsid w:val="0028504B"/>
    <w:rsid w:val="00285C4C"/>
    <w:rsid w:val="00286BBC"/>
    <w:rsid w:val="00287F2C"/>
    <w:rsid w:val="002917AC"/>
    <w:rsid w:val="002940D1"/>
    <w:rsid w:val="00295086"/>
    <w:rsid w:val="00295A40"/>
    <w:rsid w:val="00295FD0"/>
    <w:rsid w:val="002A0104"/>
    <w:rsid w:val="002A0676"/>
    <w:rsid w:val="002A1783"/>
    <w:rsid w:val="002A1D6D"/>
    <w:rsid w:val="002A27F3"/>
    <w:rsid w:val="002A6A3B"/>
    <w:rsid w:val="002B2492"/>
    <w:rsid w:val="002B270E"/>
    <w:rsid w:val="002B4A79"/>
    <w:rsid w:val="002B505A"/>
    <w:rsid w:val="002B58DD"/>
    <w:rsid w:val="002B7ACF"/>
    <w:rsid w:val="002C02D7"/>
    <w:rsid w:val="002C19A3"/>
    <w:rsid w:val="002C3D2B"/>
    <w:rsid w:val="002C7542"/>
    <w:rsid w:val="002D0AFC"/>
    <w:rsid w:val="002D1782"/>
    <w:rsid w:val="002D30D2"/>
    <w:rsid w:val="002D4750"/>
    <w:rsid w:val="002D4B20"/>
    <w:rsid w:val="002D4B27"/>
    <w:rsid w:val="002D7A8B"/>
    <w:rsid w:val="002E1EEC"/>
    <w:rsid w:val="002E3655"/>
    <w:rsid w:val="002E3761"/>
    <w:rsid w:val="002E4884"/>
    <w:rsid w:val="002E534C"/>
    <w:rsid w:val="002E7EB4"/>
    <w:rsid w:val="002F0F53"/>
    <w:rsid w:val="002F3260"/>
    <w:rsid w:val="002F33E4"/>
    <w:rsid w:val="002F3FB8"/>
    <w:rsid w:val="002F5870"/>
    <w:rsid w:val="003012CE"/>
    <w:rsid w:val="003014D3"/>
    <w:rsid w:val="00302CF4"/>
    <w:rsid w:val="00304432"/>
    <w:rsid w:val="00305F2B"/>
    <w:rsid w:val="00306072"/>
    <w:rsid w:val="0030662D"/>
    <w:rsid w:val="00306DE3"/>
    <w:rsid w:val="003072FE"/>
    <w:rsid w:val="00310351"/>
    <w:rsid w:val="003103BA"/>
    <w:rsid w:val="003105D6"/>
    <w:rsid w:val="00310BC0"/>
    <w:rsid w:val="00310C9F"/>
    <w:rsid w:val="003120EB"/>
    <w:rsid w:val="003133E8"/>
    <w:rsid w:val="0031447A"/>
    <w:rsid w:val="0031502D"/>
    <w:rsid w:val="003161C8"/>
    <w:rsid w:val="003172D3"/>
    <w:rsid w:val="00317E72"/>
    <w:rsid w:val="00321D69"/>
    <w:rsid w:val="00323FC5"/>
    <w:rsid w:val="00324167"/>
    <w:rsid w:val="00330792"/>
    <w:rsid w:val="00330973"/>
    <w:rsid w:val="003317BB"/>
    <w:rsid w:val="00333696"/>
    <w:rsid w:val="00334AF2"/>
    <w:rsid w:val="00335478"/>
    <w:rsid w:val="00336944"/>
    <w:rsid w:val="0033785F"/>
    <w:rsid w:val="003405FF"/>
    <w:rsid w:val="003409FF"/>
    <w:rsid w:val="003423E9"/>
    <w:rsid w:val="0034244D"/>
    <w:rsid w:val="0034267E"/>
    <w:rsid w:val="0034313B"/>
    <w:rsid w:val="00344D78"/>
    <w:rsid w:val="00345C6F"/>
    <w:rsid w:val="00345D8D"/>
    <w:rsid w:val="0034622A"/>
    <w:rsid w:val="00351AAD"/>
    <w:rsid w:val="00351EAD"/>
    <w:rsid w:val="0035238E"/>
    <w:rsid w:val="003540B5"/>
    <w:rsid w:val="00355D4D"/>
    <w:rsid w:val="003565BD"/>
    <w:rsid w:val="003566D0"/>
    <w:rsid w:val="00356E44"/>
    <w:rsid w:val="00360507"/>
    <w:rsid w:val="00361455"/>
    <w:rsid w:val="0036166B"/>
    <w:rsid w:val="00361C7D"/>
    <w:rsid w:val="00361FCE"/>
    <w:rsid w:val="0036328A"/>
    <w:rsid w:val="00364358"/>
    <w:rsid w:val="003647DC"/>
    <w:rsid w:val="00365FC1"/>
    <w:rsid w:val="00373A23"/>
    <w:rsid w:val="00373E85"/>
    <w:rsid w:val="00374C11"/>
    <w:rsid w:val="0037507F"/>
    <w:rsid w:val="0037582D"/>
    <w:rsid w:val="00375862"/>
    <w:rsid w:val="00376031"/>
    <w:rsid w:val="00377661"/>
    <w:rsid w:val="00381439"/>
    <w:rsid w:val="00382F5A"/>
    <w:rsid w:val="00383A2B"/>
    <w:rsid w:val="00383D1C"/>
    <w:rsid w:val="00384933"/>
    <w:rsid w:val="00384A1E"/>
    <w:rsid w:val="003856B3"/>
    <w:rsid w:val="0039320E"/>
    <w:rsid w:val="00394828"/>
    <w:rsid w:val="00394E6E"/>
    <w:rsid w:val="00395185"/>
    <w:rsid w:val="003972E6"/>
    <w:rsid w:val="00397833"/>
    <w:rsid w:val="00397FC8"/>
    <w:rsid w:val="003A031B"/>
    <w:rsid w:val="003A129C"/>
    <w:rsid w:val="003A48FE"/>
    <w:rsid w:val="003A5439"/>
    <w:rsid w:val="003A5837"/>
    <w:rsid w:val="003A74A2"/>
    <w:rsid w:val="003B05B6"/>
    <w:rsid w:val="003B0839"/>
    <w:rsid w:val="003B1B44"/>
    <w:rsid w:val="003B1E0B"/>
    <w:rsid w:val="003B1E88"/>
    <w:rsid w:val="003B2092"/>
    <w:rsid w:val="003B688D"/>
    <w:rsid w:val="003B7A2F"/>
    <w:rsid w:val="003C0571"/>
    <w:rsid w:val="003C1904"/>
    <w:rsid w:val="003C24A8"/>
    <w:rsid w:val="003C2C1B"/>
    <w:rsid w:val="003C329C"/>
    <w:rsid w:val="003C35B5"/>
    <w:rsid w:val="003C3F94"/>
    <w:rsid w:val="003C5376"/>
    <w:rsid w:val="003C5800"/>
    <w:rsid w:val="003C7B38"/>
    <w:rsid w:val="003D05B8"/>
    <w:rsid w:val="003D3AA9"/>
    <w:rsid w:val="003D4F7C"/>
    <w:rsid w:val="003D5D96"/>
    <w:rsid w:val="003D61D1"/>
    <w:rsid w:val="003D7918"/>
    <w:rsid w:val="003E1E1E"/>
    <w:rsid w:val="003E2AF5"/>
    <w:rsid w:val="003E588D"/>
    <w:rsid w:val="003E6236"/>
    <w:rsid w:val="003E66A7"/>
    <w:rsid w:val="003E6B0B"/>
    <w:rsid w:val="003E7675"/>
    <w:rsid w:val="003F1262"/>
    <w:rsid w:val="003F131B"/>
    <w:rsid w:val="003F2188"/>
    <w:rsid w:val="003F6608"/>
    <w:rsid w:val="00400043"/>
    <w:rsid w:val="0040027A"/>
    <w:rsid w:val="00400C98"/>
    <w:rsid w:val="00402745"/>
    <w:rsid w:val="00404383"/>
    <w:rsid w:val="004044BE"/>
    <w:rsid w:val="00404A52"/>
    <w:rsid w:val="00407EBB"/>
    <w:rsid w:val="004114E4"/>
    <w:rsid w:val="00411BF7"/>
    <w:rsid w:val="004135FA"/>
    <w:rsid w:val="004145A8"/>
    <w:rsid w:val="004159AA"/>
    <w:rsid w:val="00415CAC"/>
    <w:rsid w:val="004161C9"/>
    <w:rsid w:val="0041640C"/>
    <w:rsid w:val="004174AB"/>
    <w:rsid w:val="00417EB1"/>
    <w:rsid w:val="004218AF"/>
    <w:rsid w:val="00423C60"/>
    <w:rsid w:val="0042511A"/>
    <w:rsid w:val="00427236"/>
    <w:rsid w:val="00427B67"/>
    <w:rsid w:val="00430CFE"/>
    <w:rsid w:val="00433C96"/>
    <w:rsid w:val="00436333"/>
    <w:rsid w:val="00436907"/>
    <w:rsid w:val="004408FB"/>
    <w:rsid w:val="00442A0E"/>
    <w:rsid w:val="0044376E"/>
    <w:rsid w:val="0044590E"/>
    <w:rsid w:val="0044685C"/>
    <w:rsid w:val="00447019"/>
    <w:rsid w:val="004475BE"/>
    <w:rsid w:val="00452121"/>
    <w:rsid w:val="004538F3"/>
    <w:rsid w:val="004539E1"/>
    <w:rsid w:val="00453ECA"/>
    <w:rsid w:val="0045467E"/>
    <w:rsid w:val="00454A99"/>
    <w:rsid w:val="0045567F"/>
    <w:rsid w:val="00455B57"/>
    <w:rsid w:val="00455E98"/>
    <w:rsid w:val="00455F4F"/>
    <w:rsid w:val="00457836"/>
    <w:rsid w:val="0045790C"/>
    <w:rsid w:val="00457EC2"/>
    <w:rsid w:val="00460363"/>
    <w:rsid w:val="00460BF8"/>
    <w:rsid w:val="00461C61"/>
    <w:rsid w:val="0046249F"/>
    <w:rsid w:val="00463C25"/>
    <w:rsid w:val="004648BC"/>
    <w:rsid w:val="00464B6E"/>
    <w:rsid w:val="00465575"/>
    <w:rsid w:val="00466CE5"/>
    <w:rsid w:val="00466D7B"/>
    <w:rsid w:val="0046754C"/>
    <w:rsid w:val="004679C3"/>
    <w:rsid w:val="0047083A"/>
    <w:rsid w:val="00470CE4"/>
    <w:rsid w:val="00471258"/>
    <w:rsid w:val="00471EC3"/>
    <w:rsid w:val="00472045"/>
    <w:rsid w:val="00476310"/>
    <w:rsid w:val="00480CD8"/>
    <w:rsid w:val="00481FC0"/>
    <w:rsid w:val="00482001"/>
    <w:rsid w:val="004846AF"/>
    <w:rsid w:val="00484C50"/>
    <w:rsid w:val="004865D5"/>
    <w:rsid w:val="00487EF0"/>
    <w:rsid w:val="00492F2B"/>
    <w:rsid w:val="00495393"/>
    <w:rsid w:val="00496187"/>
    <w:rsid w:val="004964B7"/>
    <w:rsid w:val="0049721D"/>
    <w:rsid w:val="0049773E"/>
    <w:rsid w:val="00497E32"/>
    <w:rsid w:val="004A0E22"/>
    <w:rsid w:val="004A0FAC"/>
    <w:rsid w:val="004A2335"/>
    <w:rsid w:val="004A6007"/>
    <w:rsid w:val="004A6B1D"/>
    <w:rsid w:val="004A6BEA"/>
    <w:rsid w:val="004A6DCA"/>
    <w:rsid w:val="004B05FB"/>
    <w:rsid w:val="004B13FE"/>
    <w:rsid w:val="004B34E0"/>
    <w:rsid w:val="004B5D57"/>
    <w:rsid w:val="004B6AFB"/>
    <w:rsid w:val="004B7FC2"/>
    <w:rsid w:val="004C1B57"/>
    <w:rsid w:val="004D076E"/>
    <w:rsid w:val="004D2713"/>
    <w:rsid w:val="004D3216"/>
    <w:rsid w:val="004D53EA"/>
    <w:rsid w:val="004D5547"/>
    <w:rsid w:val="004D6F8D"/>
    <w:rsid w:val="004D787C"/>
    <w:rsid w:val="004E06E9"/>
    <w:rsid w:val="004E1181"/>
    <w:rsid w:val="004E1835"/>
    <w:rsid w:val="004E1BC5"/>
    <w:rsid w:val="004E2D22"/>
    <w:rsid w:val="004E306C"/>
    <w:rsid w:val="004E681D"/>
    <w:rsid w:val="004F0493"/>
    <w:rsid w:val="004F0647"/>
    <w:rsid w:val="004F0668"/>
    <w:rsid w:val="004F0772"/>
    <w:rsid w:val="004F17FE"/>
    <w:rsid w:val="004F2C29"/>
    <w:rsid w:val="004F377E"/>
    <w:rsid w:val="004F4209"/>
    <w:rsid w:val="004F420D"/>
    <w:rsid w:val="004F4C80"/>
    <w:rsid w:val="004F597E"/>
    <w:rsid w:val="004F63F8"/>
    <w:rsid w:val="004F72D3"/>
    <w:rsid w:val="00502A80"/>
    <w:rsid w:val="00503E71"/>
    <w:rsid w:val="00505561"/>
    <w:rsid w:val="005065D7"/>
    <w:rsid w:val="00506BFD"/>
    <w:rsid w:val="00506D6C"/>
    <w:rsid w:val="0050718E"/>
    <w:rsid w:val="0051142D"/>
    <w:rsid w:val="00512B34"/>
    <w:rsid w:val="0051373B"/>
    <w:rsid w:val="0051399C"/>
    <w:rsid w:val="00513F7D"/>
    <w:rsid w:val="005144C5"/>
    <w:rsid w:val="0051508F"/>
    <w:rsid w:val="00527A09"/>
    <w:rsid w:val="005305C4"/>
    <w:rsid w:val="00530680"/>
    <w:rsid w:val="00530A0E"/>
    <w:rsid w:val="0053165F"/>
    <w:rsid w:val="005330EE"/>
    <w:rsid w:val="005366AD"/>
    <w:rsid w:val="00537062"/>
    <w:rsid w:val="00541EF8"/>
    <w:rsid w:val="00543DCC"/>
    <w:rsid w:val="005442EB"/>
    <w:rsid w:val="0054516E"/>
    <w:rsid w:val="00546AFB"/>
    <w:rsid w:val="00546DD9"/>
    <w:rsid w:val="00547F37"/>
    <w:rsid w:val="00551808"/>
    <w:rsid w:val="00554410"/>
    <w:rsid w:val="00555626"/>
    <w:rsid w:val="00556FB2"/>
    <w:rsid w:val="00557434"/>
    <w:rsid w:val="005613BC"/>
    <w:rsid w:val="00564F27"/>
    <w:rsid w:val="00565C3D"/>
    <w:rsid w:val="00565EFB"/>
    <w:rsid w:val="00566690"/>
    <w:rsid w:val="00570692"/>
    <w:rsid w:val="0057113A"/>
    <w:rsid w:val="00572640"/>
    <w:rsid w:val="005764DA"/>
    <w:rsid w:val="005775FC"/>
    <w:rsid w:val="00577B5A"/>
    <w:rsid w:val="00577DBE"/>
    <w:rsid w:val="00577DE4"/>
    <w:rsid w:val="00582310"/>
    <w:rsid w:val="00582611"/>
    <w:rsid w:val="00582EA2"/>
    <w:rsid w:val="00583FEF"/>
    <w:rsid w:val="00587C7C"/>
    <w:rsid w:val="0059008F"/>
    <w:rsid w:val="0059060A"/>
    <w:rsid w:val="00590DC7"/>
    <w:rsid w:val="0059489C"/>
    <w:rsid w:val="00595268"/>
    <w:rsid w:val="00597554"/>
    <w:rsid w:val="00597CD0"/>
    <w:rsid w:val="005A00BA"/>
    <w:rsid w:val="005A0283"/>
    <w:rsid w:val="005A1698"/>
    <w:rsid w:val="005A1EBF"/>
    <w:rsid w:val="005A30EE"/>
    <w:rsid w:val="005A357C"/>
    <w:rsid w:val="005A51BD"/>
    <w:rsid w:val="005A535A"/>
    <w:rsid w:val="005A5BA1"/>
    <w:rsid w:val="005A7616"/>
    <w:rsid w:val="005B0512"/>
    <w:rsid w:val="005B0FF4"/>
    <w:rsid w:val="005B1192"/>
    <w:rsid w:val="005B3598"/>
    <w:rsid w:val="005B4F2F"/>
    <w:rsid w:val="005B60A3"/>
    <w:rsid w:val="005B6D9C"/>
    <w:rsid w:val="005B6E96"/>
    <w:rsid w:val="005B722F"/>
    <w:rsid w:val="005B7483"/>
    <w:rsid w:val="005B7A9A"/>
    <w:rsid w:val="005B7C97"/>
    <w:rsid w:val="005C07CF"/>
    <w:rsid w:val="005C1BE7"/>
    <w:rsid w:val="005C20B7"/>
    <w:rsid w:val="005C30AE"/>
    <w:rsid w:val="005C3472"/>
    <w:rsid w:val="005C5BB4"/>
    <w:rsid w:val="005C6119"/>
    <w:rsid w:val="005C7554"/>
    <w:rsid w:val="005C75BB"/>
    <w:rsid w:val="005D205F"/>
    <w:rsid w:val="005D20BF"/>
    <w:rsid w:val="005D5EA5"/>
    <w:rsid w:val="005D6B47"/>
    <w:rsid w:val="005D7C0F"/>
    <w:rsid w:val="005E0E8B"/>
    <w:rsid w:val="005E115D"/>
    <w:rsid w:val="005E239A"/>
    <w:rsid w:val="005E2BB4"/>
    <w:rsid w:val="005E2DAA"/>
    <w:rsid w:val="005E319F"/>
    <w:rsid w:val="005E3B7A"/>
    <w:rsid w:val="005E464F"/>
    <w:rsid w:val="005E5A73"/>
    <w:rsid w:val="005E7422"/>
    <w:rsid w:val="005F042E"/>
    <w:rsid w:val="005F0AC0"/>
    <w:rsid w:val="005F0D06"/>
    <w:rsid w:val="005F0EDB"/>
    <w:rsid w:val="005F2F4D"/>
    <w:rsid w:val="005F3C8F"/>
    <w:rsid w:val="005F3DF7"/>
    <w:rsid w:val="005F4480"/>
    <w:rsid w:val="005F44B0"/>
    <w:rsid w:val="005F5D9C"/>
    <w:rsid w:val="00600438"/>
    <w:rsid w:val="0060047E"/>
    <w:rsid w:val="006016FB"/>
    <w:rsid w:val="00601E86"/>
    <w:rsid w:val="00602316"/>
    <w:rsid w:val="006030C3"/>
    <w:rsid w:val="00603BB1"/>
    <w:rsid w:val="00606780"/>
    <w:rsid w:val="006120B9"/>
    <w:rsid w:val="00612153"/>
    <w:rsid w:val="006131F7"/>
    <w:rsid w:val="00613884"/>
    <w:rsid w:val="00613DF1"/>
    <w:rsid w:val="00614697"/>
    <w:rsid w:val="00614700"/>
    <w:rsid w:val="00616203"/>
    <w:rsid w:val="0061655A"/>
    <w:rsid w:val="00616A6B"/>
    <w:rsid w:val="006200F1"/>
    <w:rsid w:val="00620C4D"/>
    <w:rsid w:val="00620FA8"/>
    <w:rsid w:val="00621119"/>
    <w:rsid w:val="00622069"/>
    <w:rsid w:val="00623238"/>
    <w:rsid w:val="00623284"/>
    <w:rsid w:val="00623553"/>
    <w:rsid w:val="00624671"/>
    <w:rsid w:val="006246EE"/>
    <w:rsid w:val="00624D0D"/>
    <w:rsid w:val="0062759D"/>
    <w:rsid w:val="00631343"/>
    <w:rsid w:val="00634926"/>
    <w:rsid w:val="0063542F"/>
    <w:rsid w:val="00636B45"/>
    <w:rsid w:val="0064005B"/>
    <w:rsid w:val="006408D1"/>
    <w:rsid w:val="006415A2"/>
    <w:rsid w:val="00642694"/>
    <w:rsid w:val="00645C76"/>
    <w:rsid w:val="00645E4A"/>
    <w:rsid w:val="0064746C"/>
    <w:rsid w:val="00650516"/>
    <w:rsid w:val="00651113"/>
    <w:rsid w:val="0065207F"/>
    <w:rsid w:val="00654171"/>
    <w:rsid w:val="00654FC5"/>
    <w:rsid w:val="00661A43"/>
    <w:rsid w:val="0066204D"/>
    <w:rsid w:val="006624FD"/>
    <w:rsid w:val="00662AF6"/>
    <w:rsid w:val="00662DC5"/>
    <w:rsid w:val="00664816"/>
    <w:rsid w:val="00664EA0"/>
    <w:rsid w:val="00664F3B"/>
    <w:rsid w:val="006653FE"/>
    <w:rsid w:val="006677C5"/>
    <w:rsid w:val="00670541"/>
    <w:rsid w:val="00670FF5"/>
    <w:rsid w:val="006743D3"/>
    <w:rsid w:val="00674486"/>
    <w:rsid w:val="006747FB"/>
    <w:rsid w:val="00674EBD"/>
    <w:rsid w:val="00674FDD"/>
    <w:rsid w:val="006774DC"/>
    <w:rsid w:val="00680313"/>
    <w:rsid w:val="006816A0"/>
    <w:rsid w:val="00683AEA"/>
    <w:rsid w:val="00686B55"/>
    <w:rsid w:val="00686D08"/>
    <w:rsid w:val="00687136"/>
    <w:rsid w:val="00687328"/>
    <w:rsid w:val="00690BBD"/>
    <w:rsid w:val="00691C6E"/>
    <w:rsid w:val="00692620"/>
    <w:rsid w:val="006933DF"/>
    <w:rsid w:val="0069422D"/>
    <w:rsid w:val="00694B0C"/>
    <w:rsid w:val="00695C34"/>
    <w:rsid w:val="006A15FA"/>
    <w:rsid w:val="006A1C08"/>
    <w:rsid w:val="006A39DA"/>
    <w:rsid w:val="006A5B7B"/>
    <w:rsid w:val="006A754C"/>
    <w:rsid w:val="006A75EE"/>
    <w:rsid w:val="006B196E"/>
    <w:rsid w:val="006B1F27"/>
    <w:rsid w:val="006B22B4"/>
    <w:rsid w:val="006B2AAF"/>
    <w:rsid w:val="006B2D05"/>
    <w:rsid w:val="006B31F1"/>
    <w:rsid w:val="006B5876"/>
    <w:rsid w:val="006B7A6C"/>
    <w:rsid w:val="006B7CA2"/>
    <w:rsid w:val="006B7D1B"/>
    <w:rsid w:val="006C15AD"/>
    <w:rsid w:val="006C33FB"/>
    <w:rsid w:val="006C443B"/>
    <w:rsid w:val="006C4A43"/>
    <w:rsid w:val="006C561E"/>
    <w:rsid w:val="006C57F2"/>
    <w:rsid w:val="006C6068"/>
    <w:rsid w:val="006C6CC6"/>
    <w:rsid w:val="006D100D"/>
    <w:rsid w:val="006D6E5B"/>
    <w:rsid w:val="006E090A"/>
    <w:rsid w:val="006E0CF1"/>
    <w:rsid w:val="006E0F8C"/>
    <w:rsid w:val="006E2ABC"/>
    <w:rsid w:val="006E403A"/>
    <w:rsid w:val="006E5961"/>
    <w:rsid w:val="006E6031"/>
    <w:rsid w:val="006F2703"/>
    <w:rsid w:val="006F4EF6"/>
    <w:rsid w:val="006F595F"/>
    <w:rsid w:val="00701D03"/>
    <w:rsid w:val="0070236C"/>
    <w:rsid w:val="00703792"/>
    <w:rsid w:val="0070524B"/>
    <w:rsid w:val="00707484"/>
    <w:rsid w:val="00707E15"/>
    <w:rsid w:val="00712294"/>
    <w:rsid w:val="00712BB9"/>
    <w:rsid w:val="00713F29"/>
    <w:rsid w:val="007177FF"/>
    <w:rsid w:val="00717DAA"/>
    <w:rsid w:val="00723C72"/>
    <w:rsid w:val="00724519"/>
    <w:rsid w:val="0072453E"/>
    <w:rsid w:val="00724C0A"/>
    <w:rsid w:val="00724D07"/>
    <w:rsid w:val="00725321"/>
    <w:rsid w:val="007257C2"/>
    <w:rsid w:val="00726EF3"/>
    <w:rsid w:val="007303C5"/>
    <w:rsid w:val="007313E0"/>
    <w:rsid w:val="007322F7"/>
    <w:rsid w:val="00732854"/>
    <w:rsid w:val="00734131"/>
    <w:rsid w:val="00735AE4"/>
    <w:rsid w:val="00737A93"/>
    <w:rsid w:val="007406DF"/>
    <w:rsid w:val="00742BBC"/>
    <w:rsid w:val="007433CE"/>
    <w:rsid w:val="00744284"/>
    <w:rsid w:val="00745010"/>
    <w:rsid w:val="00746FEC"/>
    <w:rsid w:val="00747A8B"/>
    <w:rsid w:val="00751115"/>
    <w:rsid w:val="007516CC"/>
    <w:rsid w:val="00751BD5"/>
    <w:rsid w:val="007521AB"/>
    <w:rsid w:val="00753132"/>
    <w:rsid w:val="007573E3"/>
    <w:rsid w:val="00761270"/>
    <w:rsid w:val="00763B63"/>
    <w:rsid w:val="00765CDE"/>
    <w:rsid w:val="0076625C"/>
    <w:rsid w:val="00770D34"/>
    <w:rsid w:val="00772CA9"/>
    <w:rsid w:val="00772FAC"/>
    <w:rsid w:val="00772FBA"/>
    <w:rsid w:val="00773671"/>
    <w:rsid w:val="0077394F"/>
    <w:rsid w:val="00775C71"/>
    <w:rsid w:val="00775DDF"/>
    <w:rsid w:val="007768BC"/>
    <w:rsid w:val="007775FE"/>
    <w:rsid w:val="007801C7"/>
    <w:rsid w:val="00781852"/>
    <w:rsid w:val="00781A3E"/>
    <w:rsid w:val="00782154"/>
    <w:rsid w:val="0078222C"/>
    <w:rsid w:val="0079120A"/>
    <w:rsid w:val="007925A0"/>
    <w:rsid w:val="0079375A"/>
    <w:rsid w:val="007957AE"/>
    <w:rsid w:val="0079594F"/>
    <w:rsid w:val="00795DFF"/>
    <w:rsid w:val="0079699E"/>
    <w:rsid w:val="0079750A"/>
    <w:rsid w:val="007A0A7F"/>
    <w:rsid w:val="007A1043"/>
    <w:rsid w:val="007A2AD2"/>
    <w:rsid w:val="007A2D4B"/>
    <w:rsid w:val="007A3FD5"/>
    <w:rsid w:val="007A6623"/>
    <w:rsid w:val="007B25DC"/>
    <w:rsid w:val="007B26EA"/>
    <w:rsid w:val="007B2AF5"/>
    <w:rsid w:val="007B460A"/>
    <w:rsid w:val="007B4CE0"/>
    <w:rsid w:val="007B5273"/>
    <w:rsid w:val="007B5478"/>
    <w:rsid w:val="007C2205"/>
    <w:rsid w:val="007C4BF1"/>
    <w:rsid w:val="007C5471"/>
    <w:rsid w:val="007C5B78"/>
    <w:rsid w:val="007C5EBC"/>
    <w:rsid w:val="007C6076"/>
    <w:rsid w:val="007D1114"/>
    <w:rsid w:val="007D21F4"/>
    <w:rsid w:val="007D333A"/>
    <w:rsid w:val="007D7077"/>
    <w:rsid w:val="007D7A28"/>
    <w:rsid w:val="007D7E4A"/>
    <w:rsid w:val="007E124F"/>
    <w:rsid w:val="007E151D"/>
    <w:rsid w:val="007E1C7B"/>
    <w:rsid w:val="007E211C"/>
    <w:rsid w:val="007E2CAC"/>
    <w:rsid w:val="007E49BA"/>
    <w:rsid w:val="007E4C99"/>
    <w:rsid w:val="007E5395"/>
    <w:rsid w:val="007E5B7C"/>
    <w:rsid w:val="007E5BEA"/>
    <w:rsid w:val="007E6672"/>
    <w:rsid w:val="007E73E8"/>
    <w:rsid w:val="007F12BF"/>
    <w:rsid w:val="007F2276"/>
    <w:rsid w:val="007F3100"/>
    <w:rsid w:val="007F3214"/>
    <w:rsid w:val="007F3D85"/>
    <w:rsid w:val="007F3EE6"/>
    <w:rsid w:val="007F55DD"/>
    <w:rsid w:val="007F5D57"/>
    <w:rsid w:val="00800384"/>
    <w:rsid w:val="00800705"/>
    <w:rsid w:val="00800A7D"/>
    <w:rsid w:val="00800D8C"/>
    <w:rsid w:val="00801B7C"/>
    <w:rsid w:val="00802E1D"/>
    <w:rsid w:val="00804473"/>
    <w:rsid w:val="008052DF"/>
    <w:rsid w:val="00805418"/>
    <w:rsid w:val="00805947"/>
    <w:rsid w:val="00805996"/>
    <w:rsid w:val="00805B66"/>
    <w:rsid w:val="00805C63"/>
    <w:rsid w:val="00805F80"/>
    <w:rsid w:val="00807CDA"/>
    <w:rsid w:val="008130E1"/>
    <w:rsid w:val="00813155"/>
    <w:rsid w:val="00815790"/>
    <w:rsid w:val="0081618C"/>
    <w:rsid w:val="008217F1"/>
    <w:rsid w:val="008227C9"/>
    <w:rsid w:val="00825B96"/>
    <w:rsid w:val="00826219"/>
    <w:rsid w:val="00827019"/>
    <w:rsid w:val="00827931"/>
    <w:rsid w:val="0083209E"/>
    <w:rsid w:val="00834700"/>
    <w:rsid w:val="00834758"/>
    <w:rsid w:val="008350DD"/>
    <w:rsid w:val="0083569D"/>
    <w:rsid w:val="00840829"/>
    <w:rsid w:val="00840A1F"/>
    <w:rsid w:val="008432BD"/>
    <w:rsid w:val="00843319"/>
    <w:rsid w:val="00844C52"/>
    <w:rsid w:val="00845EA2"/>
    <w:rsid w:val="00846D01"/>
    <w:rsid w:val="008470D5"/>
    <w:rsid w:val="00847CE0"/>
    <w:rsid w:val="0085028B"/>
    <w:rsid w:val="008507C4"/>
    <w:rsid w:val="008514B4"/>
    <w:rsid w:val="00852750"/>
    <w:rsid w:val="00852EC2"/>
    <w:rsid w:val="00855D96"/>
    <w:rsid w:val="0086051A"/>
    <w:rsid w:val="00860D4F"/>
    <w:rsid w:val="0086157B"/>
    <w:rsid w:val="008618F6"/>
    <w:rsid w:val="008623C3"/>
    <w:rsid w:val="00862D45"/>
    <w:rsid w:val="008637C8"/>
    <w:rsid w:val="0086520C"/>
    <w:rsid w:val="008664B6"/>
    <w:rsid w:val="00866563"/>
    <w:rsid w:val="0087098F"/>
    <w:rsid w:val="008717C0"/>
    <w:rsid w:val="00871AD9"/>
    <w:rsid w:val="008721FF"/>
    <w:rsid w:val="008728A8"/>
    <w:rsid w:val="00872EAC"/>
    <w:rsid w:val="00872FA3"/>
    <w:rsid w:val="00873C4A"/>
    <w:rsid w:val="00874BEB"/>
    <w:rsid w:val="008757F6"/>
    <w:rsid w:val="0087633D"/>
    <w:rsid w:val="0087703F"/>
    <w:rsid w:val="00881553"/>
    <w:rsid w:val="0089194D"/>
    <w:rsid w:val="00892097"/>
    <w:rsid w:val="00892715"/>
    <w:rsid w:val="008935E5"/>
    <w:rsid w:val="00897688"/>
    <w:rsid w:val="00897B34"/>
    <w:rsid w:val="008A084B"/>
    <w:rsid w:val="008A3405"/>
    <w:rsid w:val="008A3801"/>
    <w:rsid w:val="008A475A"/>
    <w:rsid w:val="008A4F37"/>
    <w:rsid w:val="008A58BE"/>
    <w:rsid w:val="008A5D76"/>
    <w:rsid w:val="008A7060"/>
    <w:rsid w:val="008A7859"/>
    <w:rsid w:val="008A7C5A"/>
    <w:rsid w:val="008B1652"/>
    <w:rsid w:val="008B3F32"/>
    <w:rsid w:val="008C100C"/>
    <w:rsid w:val="008C1020"/>
    <w:rsid w:val="008C4311"/>
    <w:rsid w:val="008C449B"/>
    <w:rsid w:val="008C4658"/>
    <w:rsid w:val="008C57D9"/>
    <w:rsid w:val="008C5F23"/>
    <w:rsid w:val="008C67FE"/>
    <w:rsid w:val="008C7795"/>
    <w:rsid w:val="008D052C"/>
    <w:rsid w:val="008D0583"/>
    <w:rsid w:val="008D0DD6"/>
    <w:rsid w:val="008D34C1"/>
    <w:rsid w:val="008D5CF1"/>
    <w:rsid w:val="008D5FD7"/>
    <w:rsid w:val="008D687F"/>
    <w:rsid w:val="008D6BFB"/>
    <w:rsid w:val="008D7354"/>
    <w:rsid w:val="008D7B59"/>
    <w:rsid w:val="008E2FDC"/>
    <w:rsid w:val="008E3570"/>
    <w:rsid w:val="008E3A18"/>
    <w:rsid w:val="008E42E1"/>
    <w:rsid w:val="008E56C3"/>
    <w:rsid w:val="008F0235"/>
    <w:rsid w:val="008F1AD7"/>
    <w:rsid w:val="008F1CCC"/>
    <w:rsid w:val="008F1FF2"/>
    <w:rsid w:val="008F3043"/>
    <w:rsid w:val="008F42FF"/>
    <w:rsid w:val="008F6848"/>
    <w:rsid w:val="008F747A"/>
    <w:rsid w:val="008F74A0"/>
    <w:rsid w:val="008F7A7F"/>
    <w:rsid w:val="00900D34"/>
    <w:rsid w:val="00902050"/>
    <w:rsid w:val="009020A3"/>
    <w:rsid w:val="0090211B"/>
    <w:rsid w:val="0090323B"/>
    <w:rsid w:val="00903CBE"/>
    <w:rsid w:val="00904FC5"/>
    <w:rsid w:val="00907514"/>
    <w:rsid w:val="00907EC7"/>
    <w:rsid w:val="009104CF"/>
    <w:rsid w:val="009111CE"/>
    <w:rsid w:val="00913BDD"/>
    <w:rsid w:val="00914B2A"/>
    <w:rsid w:val="00914E42"/>
    <w:rsid w:val="0091587B"/>
    <w:rsid w:val="00917462"/>
    <w:rsid w:val="0092440C"/>
    <w:rsid w:val="009249A4"/>
    <w:rsid w:val="00925177"/>
    <w:rsid w:val="00926BB7"/>
    <w:rsid w:val="00930021"/>
    <w:rsid w:val="00930F0A"/>
    <w:rsid w:val="00931416"/>
    <w:rsid w:val="0093183E"/>
    <w:rsid w:val="009324D0"/>
    <w:rsid w:val="00933062"/>
    <w:rsid w:val="009348ED"/>
    <w:rsid w:val="00935132"/>
    <w:rsid w:val="00935A25"/>
    <w:rsid w:val="009406CC"/>
    <w:rsid w:val="00940F55"/>
    <w:rsid w:val="00942082"/>
    <w:rsid w:val="00942624"/>
    <w:rsid w:val="0094292C"/>
    <w:rsid w:val="0094486C"/>
    <w:rsid w:val="00944C50"/>
    <w:rsid w:val="00945328"/>
    <w:rsid w:val="009458C6"/>
    <w:rsid w:val="009466E6"/>
    <w:rsid w:val="009469F4"/>
    <w:rsid w:val="00950729"/>
    <w:rsid w:val="00951D7D"/>
    <w:rsid w:val="00952955"/>
    <w:rsid w:val="009543C0"/>
    <w:rsid w:val="00954DE5"/>
    <w:rsid w:val="0095685E"/>
    <w:rsid w:val="00960F00"/>
    <w:rsid w:val="00960F17"/>
    <w:rsid w:val="00963106"/>
    <w:rsid w:val="009632A0"/>
    <w:rsid w:val="009634C8"/>
    <w:rsid w:val="009639D2"/>
    <w:rsid w:val="009672FD"/>
    <w:rsid w:val="00970FE0"/>
    <w:rsid w:val="00971FF9"/>
    <w:rsid w:val="00973704"/>
    <w:rsid w:val="00975066"/>
    <w:rsid w:val="009773DE"/>
    <w:rsid w:val="009774F8"/>
    <w:rsid w:val="009778FC"/>
    <w:rsid w:val="00977B6D"/>
    <w:rsid w:val="00980AEC"/>
    <w:rsid w:val="00981537"/>
    <w:rsid w:val="0098163F"/>
    <w:rsid w:val="00984944"/>
    <w:rsid w:val="00984D9C"/>
    <w:rsid w:val="00987182"/>
    <w:rsid w:val="00990535"/>
    <w:rsid w:val="00990A65"/>
    <w:rsid w:val="0099120D"/>
    <w:rsid w:val="009955C9"/>
    <w:rsid w:val="009960E6"/>
    <w:rsid w:val="00996EAA"/>
    <w:rsid w:val="009A1437"/>
    <w:rsid w:val="009A1970"/>
    <w:rsid w:val="009A233E"/>
    <w:rsid w:val="009A3E88"/>
    <w:rsid w:val="009A3F2B"/>
    <w:rsid w:val="009A464A"/>
    <w:rsid w:val="009A464F"/>
    <w:rsid w:val="009A6904"/>
    <w:rsid w:val="009A7385"/>
    <w:rsid w:val="009B02EE"/>
    <w:rsid w:val="009B1A5E"/>
    <w:rsid w:val="009B3358"/>
    <w:rsid w:val="009B54C1"/>
    <w:rsid w:val="009B557B"/>
    <w:rsid w:val="009B6E33"/>
    <w:rsid w:val="009B7A44"/>
    <w:rsid w:val="009C0151"/>
    <w:rsid w:val="009C1B2C"/>
    <w:rsid w:val="009C280A"/>
    <w:rsid w:val="009C2B89"/>
    <w:rsid w:val="009C410E"/>
    <w:rsid w:val="009C4426"/>
    <w:rsid w:val="009C54A2"/>
    <w:rsid w:val="009C7473"/>
    <w:rsid w:val="009D106B"/>
    <w:rsid w:val="009D3A4A"/>
    <w:rsid w:val="009D44CC"/>
    <w:rsid w:val="009D4C3E"/>
    <w:rsid w:val="009D4D53"/>
    <w:rsid w:val="009D5B4E"/>
    <w:rsid w:val="009D5D99"/>
    <w:rsid w:val="009D5EAE"/>
    <w:rsid w:val="009D63E6"/>
    <w:rsid w:val="009D6896"/>
    <w:rsid w:val="009E072E"/>
    <w:rsid w:val="009E13C7"/>
    <w:rsid w:val="009E292E"/>
    <w:rsid w:val="009E2B85"/>
    <w:rsid w:val="009E552B"/>
    <w:rsid w:val="009E5A04"/>
    <w:rsid w:val="009F0DE0"/>
    <w:rsid w:val="009F1C82"/>
    <w:rsid w:val="009F422B"/>
    <w:rsid w:val="009F42BC"/>
    <w:rsid w:val="009F456E"/>
    <w:rsid w:val="009F4CC3"/>
    <w:rsid w:val="009F5200"/>
    <w:rsid w:val="00A011AF"/>
    <w:rsid w:val="00A0161F"/>
    <w:rsid w:val="00A01FB5"/>
    <w:rsid w:val="00A0307D"/>
    <w:rsid w:val="00A0429E"/>
    <w:rsid w:val="00A04D2F"/>
    <w:rsid w:val="00A0602F"/>
    <w:rsid w:val="00A06D7C"/>
    <w:rsid w:val="00A07BC4"/>
    <w:rsid w:val="00A127F0"/>
    <w:rsid w:val="00A137D5"/>
    <w:rsid w:val="00A13F38"/>
    <w:rsid w:val="00A146FA"/>
    <w:rsid w:val="00A15CB8"/>
    <w:rsid w:val="00A16FDB"/>
    <w:rsid w:val="00A21F21"/>
    <w:rsid w:val="00A22D22"/>
    <w:rsid w:val="00A232C6"/>
    <w:rsid w:val="00A233A9"/>
    <w:rsid w:val="00A23484"/>
    <w:rsid w:val="00A241BD"/>
    <w:rsid w:val="00A242E0"/>
    <w:rsid w:val="00A24593"/>
    <w:rsid w:val="00A2655A"/>
    <w:rsid w:val="00A30BE6"/>
    <w:rsid w:val="00A32204"/>
    <w:rsid w:val="00A32EF6"/>
    <w:rsid w:val="00A34730"/>
    <w:rsid w:val="00A3522F"/>
    <w:rsid w:val="00A3536D"/>
    <w:rsid w:val="00A37834"/>
    <w:rsid w:val="00A37854"/>
    <w:rsid w:val="00A413C2"/>
    <w:rsid w:val="00A42028"/>
    <w:rsid w:val="00A43BDE"/>
    <w:rsid w:val="00A45606"/>
    <w:rsid w:val="00A465F7"/>
    <w:rsid w:val="00A46C78"/>
    <w:rsid w:val="00A47E24"/>
    <w:rsid w:val="00A50BD7"/>
    <w:rsid w:val="00A5175F"/>
    <w:rsid w:val="00A51D46"/>
    <w:rsid w:val="00A52FF4"/>
    <w:rsid w:val="00A5345B"/>
    <w:rsid w:val="00A53756"/>
    <w:rsid w:val="00A544B4"/>
    <w:rsid w:val="00A60806"/>
    <w:rsid w:val="00A615A0"/>
    <w:rsid w:val="00A62908"/>
    <w:rsid w:val="00A633CB"/>
    <w:rsid w:val="00A65F74"/>
    <w:rsid w:val="00A665FB"/>
    <w:rsid w:val="00A6781A"/>
    <w:rsid w:val="00A708C2"/>
    <w:rsid w:val="00A71458"/>
    <w:rsid w:val="00A7178B"/>
    <w:rsid w:val="00A722F8"/>
    <w:rsid w:val="00A727F0"/>
    <w:rsid w:val="00A74D9F"/>
    <w:rsid w:val="00A753DD"/>
    <w:rsid w:val="00A76157"/>
    <w:rsid w:val="00A77BDB"/>
    <w:rsid w:val="00A80516"/>
    <w:rsid w:val="00A81E86"/>
    <w:rsid w:val="00A836B2"/>
    <w:rsid w:val="00A837B3"/>
    <w:rsid w:val="00A87DD7"/>
    <w:rsid w:val="00A87E43"/>
    <w:rsid w:val="00A87EE2"/>
    <w:rsid w:val="00A911D2"/>
    <w:rsid w:val="00A91943"/>
    <w:rsid w:val="00A9287E"/>
    <w:rsid w:val="00A93641"/>
    <w:rsid w:val="00A94424"/>
    <w:rsid w:val="00A94700"/>
    <w:rsid w:val="00A94947"/>
    <w:rsid w:val="00A953C2"/>
    <w:rsid w:val="00A95E51"/>
    <w:rsid w:val="00A96E12"/>
    <w:rsid w:val="00A977B5"/>
    <w:rsid w:val="00AA43A9"/>
    <w:rsid w:val="00AA6031"/>
    <w:rsid w:val="00AA6D28"/>
    <w:rsid w:val="00AB5014"/>
    <w:rsid w:val="00AB5DDE"/>
    <w:rsid w:val="00AB7341"/>
    <w:rsid w:val="00AB7FBA"/>
    <w:rsid w:val="00AC14FD"/>
    <w:rsid w:val="00AC1D71"/>
    <w:rsid w:val="00AC5C81"/>
    <w:rsid w:val="00AC5EC2"/>
    <w:rsid w:val="00AC627C"/>
    <w:rsid w:val="00AC7E78"/>
    <w:rsid w:val="00AD004B"/>
    <w:rsid w:val="00AD02C3"/>
    <w:rsid w:val="00AD16E9"/>
    <w:rsid w:val="00AD1F04"/>
    <w:rsid w:val="00AD31F2"/>
    <w:rsid w:val="00AD40F1"/>
    <w:rsid w:val="00AD463B"/>
    <w:rsid w:val="00AD4DB1"/>
    <w:rsid w:val="00AD543B"/>
    <w:rsid w:val="00AD5C94"/>
    <w:rsid w:val="00AD5D27"/>
    <w:rsid w:val="00AD6261"/>
    <w:rsid w:val="00AD7ADA"/>
    <w:rsid w:val="00AD7DA9"/>
    <w:rsid w:val="00AE0E23"/>
    <w:rsid w:val="00AE139A"/>
    <w:rsid w:val="00AE13C0"/>
    <w:rsid w:val="00AE1794"/>
    <w:rsid w:val="00AE2BD5"/>
    <w:rsid w:val="00AE3442"/>
    <w:rsid w:val="00AE3A6F"/>
    <w:rsid w:val="00AE40D6"/>
    <w:rsid w:val="00AE42A4"/>
    <w:rsid w:val="00AE4807"/>
    <w:rsid w:val="00AE4BDD"/>
    <w:rsid w:val="00AE5E37"/>
    <w:rsid w:val="00AF0136"/>
    <w:rsid w:val="00AF0D01"/>
    <w:rsid w:val="00AF3AA3"/>
    <w:rsid w:val="00AF3D2F"/>
    <w:rsid w:val="00AF3DD2"/>
    <w:rsid w:val="00AF79F7"/>
    <w:rsid w:val="00B03541"/>
    <w:rsid w:val="00B04A0E"/>
    <w:rsid w:val="00B04FB8"/>
    <w:rsid w:val="00B056E2"/>
    <w:rsid w:val="00B0684E"/>
    <w:rsid w:val="00B10593"/>
    <w:rsid w:val="00B10844"/>
    <w:rsid w:val="00B10953"/>
    <w:rsid w:val="00B11175"/>
    <w:rsid w:val="00B120D7"/>
    <w:rsid w:val="00B1319D"/>
    <w:rsid w:val="00B13D87"/>
    <w:rsid w:val="00B14471"/>
    <w:rsid w:val="00B14A45"/>
    <w:rsid w:val="00B15138"/>
    <w:rsid w:val="00B1544D"/>
    <w:rsid w:val="00B15EDE"/>
    <w:rsid w:val="00B16882"/>
    <w:rsid w:val="00B1713E"/>
    <w:rsid w:val="00B17158"/>
    <w:rsid w:val="00B1762D"/>
    <w:rsid w:val="00B21022"/>
    <w:rsid w:val="00B210B0"/>
    <w:rsid w:val="00B210F4"/>
    <w:rsid w:val="00B21B84"/>
    <w:rsid w:val="00B22865"/>
    <w:rsid w:val="00B23233"/>
    <w:rsid w:val="00B23238"/>
    <w:rsid w:val="00B24245"/>
    <w:rsid w:val="00B24AE2"/>
    <w:rsid w:val="00B25BD5"/>
    <w:rsid w:val="00B26C26"/>
    <w:rsid w:val="00B271F4"/>
    <w:rsid w:val="00B319CE"/>
    <w:rsid w:val="00B345DA"/>
    <w:rsid w:val="00B3669B"/>
    <w:rsid w:val="00B36F86"/>
    <w:rsid w:val="00B37F50"/>
    <w:rsid w:val="00B406F0"/>
    <w:rsid w:val="00B418FD"/>
    <w:rsid w:val="00B41B7A"/>
    <w:rsid w:val="00B42354"/>
    <w:rsid w:val="00B43617"/>
    <w:rsid w:val="00B4374F"/>
    <w:rsid w:val="00B44B00"/>
    <w:rsid w:val="00B46C16"/>
    <w:rsid w:val="00B471AC"/>
    <w:rsid w:val="00B47D51"/>
    <w:rsid w:val="00B51989"/>
    <w:rsid w:val="00B52731"/>
    <w:rsid w:val="00B53A58"/>
    <w:rsid w:val="00B53AAE"/>
    <w:rsid w:val="00B54CCD"/>
    <w:rsid w:val="00B555E1"/>
    <w:rsid w:val="00B55DA3"/>
    <w:rsid w:val="00B5615F"/>
    <w:rsid w:val="00B60352"/>
    <w:rsid w:val="00B61685"/>
    <w:rsid w:val="00B61A1E"/>
    <w:rsid w:val="00B62252"/>
    <w:rsid w:val="00B6311D"/>
    <w:rsid w:val="00B648B7"/>
    <w:rsid w:val="00B650D0"/>
    <w:rsid w:val="00B6556F"/>
    <w:rsid w:val="00B65601"/>
    <w:rsid w:val="00B65871"/>
    <w:rsid w:val="00B665F8"/>
    <w:rsid w:val="00B66A8A"/>
    <w:rsid w:val="00B66C88"/>
    <w:rsid w:val="00B700E8"/>
    <w:rsid w:val="00B71878"/>
    <w:rsid w:val="00B7276F"/>
    <w:rsid w:val="00B73530"/>
    <w:rsid w:val="00B73799"/>
    <w:rsid w:val="00B73924"/>
    <w:rsid w:val="00B747AE"/>
    <w:rsid w:val="00B80E8F"/>
    <w:rsid w:val="00B8177B"/>
    <w:rsid w:val="00B81CBF"/>
    <w:rsid w:val="00B81D81"/>
    <w:rsid w:val="00B83EA4"/>
    <w:rsid w:val="00B842A2"/>
    <w:rsid w:val="00B84E81"/>
    <w:rsid w:val="00B87C84"/>
    <w:rsid w:val="00B91719"/>
    <w:rsid w:val="00B92CC5"/>
    <w:rsid w:val="00B9346C"/>
    <w:rsid w:val="00B95C45"/>
    <w:rsid w:val="00B95D1D"/>
    <w:rsid w:val="00B974DA"/>
    <w:rsid w:val="00BA0011"/>
    <w:rsid w:val="00BA1443"/>
    <w:rsid w:val="00BA25B1"/>
    <w:rsid w:val="00BA3323"/>
    <w:rsid w:val="00BA37CE"/>
    <w:rsid w:val="00BA50A8"/>
    <w:rsid w:val="00BA6BEC"/>
    <w:rsid w:val="00BA76EE"/>
    <w:rsid w:val="00BB11ED"/>
    <w:rsid w:val="00BB2578"/>
    <w:rsid w:val="00BB36C3"/>
    <w:rsid w:val="00BB3D18"/>
    <w:rsid w:val="00BB3D97"/>
    <w:rsid w:val="00BB42F5"/>
    <w:rsid w:val="00BB56BE"/>
    <w:rsid w:val="00BB5FAA"/>
    <w:rsid w:val="00BC062A"/>
    <w:rsid w:val="00BC18B5"/>
    <w:rsid w:val="00BC2FC1"/>
    <w:rsid w:val="00BC2FDA"/>
    <w:rsid w:val="00BC36AE"/>
    <w:rsid w:val="00BC3758"/>
    <w:rsid w:val="00BC3C92"/>
    <w:rsid w:val="00BC681E"/>
    <w:rsid w:val="00BD0BCE"/>
    <w:rsid w:val="00BD1262"/>
    <w:rsid w:val="00BD140F"/>
    <w:rsid w:val="00BD30B8"/>
    <w:rsid w:val="00BD3970"/>
    <w:rsid w:val="00BD45C8"/>
    <w:rsid w:val="00BE023D"/>
    <w:rsid w:val="00BE1AC4"/>
    <w:rsid w:val="00BE33DF"/>
    <w:rsid w:val="00BE47B1"/>
    <w:rsid w:val="00BE4C4A"/>
    <w:rsid w:val="00BE4D70"/>
    <w:rsid w:val="00BE5848"/>
    <w:rsid w:val="00BE59B1"/>
    <w:rsid w:val="00BE5EE1"/>
    <w:rsid w:val="00BE7FBD"/>
    <w:rsid w:val="00BE7FDF"/>
    <w:rsid w:val="00BF0E6A"/>
    <w:rsid w:val="00BF3ACD"/>
    <w:rsid w:val="00BF3C5B"/>
    <w:rsid w:val="00BF480F"/>
    <w:rsid w:val="00BF4BE6"/>
    <w:rsid w:val="00BF6280"/>
    <w:rsid w:val="00BF6694"/>
    <w:rsid w:val="00BF72FE"/>
    <w:rsid w:val="00C008E7"/>
    <w:rsid w:val="00C02289"/>
    <w:rsid w:val="00C0233E"/>
    <w:rsid w:val="00C06232"/>
    <w:rsid w:val="00C06B4D"/>
    <w:rsid w:val="00C1046E"/>
    <w:rsid w:val="00C10D03"/>
    <w:rsid w:val="00C10DBE"/>
    <w:rsid w:val="00C120B9"/>
    <w:rsid w:val="00C128FC"/>
    <w:rsid w:val="00C1318A"/>
    <w:rsid w:val="00C159E5"/>
    <w:rsid w:val="00C15FE6"/>
    <w:rsid w:val="00C16501"/>
    <w:rsid w:val="00C20C92"/>
    <w:rsid w:val="00C22A44"/>
    <w:rsid w:val="00C22A56"/>
    <w:rsid w:val="00C252D0"/>
    <w:rsid w:val="00C26097"/>
    <w:rsid w:val="00C271F9"/>
    <w:rsid w:val="00C27608"/>
    <w:rsid w:val="00C328EA"/>
    <w:rsid w:val="00C32BAF"/>
    <w:rsid w:val="00C342C8"/>
    <w:rsid w:val="00C34372"/>
    <w:rsid w:val="00C34DEA"/>
    <w:rsid w:val="00C353FC"/>
    <w:rsid w:val="00C3668A"/>
    <w:rsid w:val="00C373AC"/>
    <w:rsid w:val="00C4138F"/>
    <w:rsid w:val="00C4207D"/>
    <w:rsid w:val="00C42529"/>
    <w:rsid w:val="00C438C0"/>
    <w:rsid w:val="00C44847"/>
    <w:rsid w:val="00C47A64"/>
    <w:rsid w:val="00C47E28"/>
    <w:rsid w:val="00C51D11"/>
    <w:rsid w:val="00C525F3"/>
    <w:rsid w:val="00C53028"/>
    <w:rsid w:val="00C531AE"/>
    <w:rsid w:val="00C539DB"/>
    <w:rsid w:val="00C546D3"/>
    <w:rsid w:val="00C54825"/>
    <w:rsid w:val="00C5545E"/>
    <w:rsid w:val="00C57374"/>
    <w:rsid w:val="00C57469"/>
    <w:rsid w:val="00C62132"/>
    <w:rsid w:val="00C639E5"/>
    <w:rsid w:val="00C6497D"/>
    <w:rsid w:val="00C66E86"/>
    <w:rsid w:val="00C708AA"/>
    <w:rsid w:val="00C72241"/>
    <w:rsid w:val="00C73130"/>
    <w:rsid w:val="00C73606"/>
    <w:rsid w:val="00C73D41"/>
    <w:rsid w:val="00C74807"/>
    <w:rsid w:val="00C75F38"/>
    <w:rsid w:val="00C76EF7"/>
    <w:rsid w:val="00C8066F"/>
    <w:rsid w:val="00C80AB3"/>
    <w:rsid w:val="00C828D5"/>
    <w:rsid w:val="00C82D8E"/>
    <w:rsid w:val="00C8398E"/>
    <w:rsid w:val="00C83E15"/>
    <w:rsid w:val="00C85295"/>
    <w:rsid w:val="00C85BFF"/>
    <w:rsid w:val="00C85ECE"/>
    <w:rsid w:val="00C86E2B"/>
    <w:rsid w:val="00C90384"/>
    <w:rsid w:val="00C9044F"/>
    <w:rsid w:val="00C921C7"/>
    <w:rsid w:val="00C92A34"/>
    <w:rsid w:val="00C93088"/>
    <w:rsid w:val="00C9342D"/>
    <w:rsid w:val="00C95863"/>
    <w:rsid w:val="00C97C67"/>
    <w:rsid w:val="00C97F54"/>
    <w:rsid w:val="00CA1A29"/>
    <w:rsid w:val="00CA2732"/>
    <w:rsid w:val="00CA2B33"/>
    <w:rsid w:val="00CA3888"/>
    <w:rsid w:val="00CA426D"/>
    <w:rsid w:val="00CA6E7E"/>
    <w:rsid w:val="00CA706F"/>
    <w:rsid w:val="00CA76F9"/>
    <w:rsid w:val="00CB1A38"/>
    <w:rsid w:val="00CB224C"/>
    <w:rsid w:val="00CB4CFB"/>
    <w:rsid w:val="00CB4FCF"/>
    <w:rsid w:val="00CB5753"/>
    <w:rsid w:val="00CC0874"/>
    <w:rsid w:val="00CC099B"/>
    <w:rsid w:val="00CC37C9"/>
    <w:rsid w:val="00CC5492"/>
    <w:rsid w:val="00CC56AE"/>
    <w:rsid w:val="00CC662E"/>
    <w:rsid w:val="00CC6819"/>
    <w:rsid w:val="00CC7894"/>
    <w:rsid w:val="00CD00CE"/>
    <w:rsid w:val="00CD38FA"/>
    <w:rsid w:val="00CD3D2F"/>
    <w:rsid w:val="00CD573B"/>
    <w:rsid w:val="00CD5BA9"/>
    <w:rsid w:val="00CD630F"/>
    <w:rsid w:val="00CE00CA"/>
    <w:rsid w:val="00CE0BE3"/>
    <w:rsid w:val="00CE5088"/>
    <w:rsid w:val="00CE5316"/>
    <w:rsid w:val="00CE5F24"/>
    <w:rsid w:val="00CE7620"/>
    <w:rsid w:val="00CF3290"/>
    <w:rsid w:val="00CF4718"/>
    <w:rsid w:val="00D003D0"/>
    <w:rsid w:val="00D0077F"/>
    <w:rsid w:val="00D007EF"/>
    <w:rsid w:val="00D02FE8"/>
    <w:rsid w:val="00D036F6"/>
    <w:rsid w:val="00D05082"/>
    <w:rsid w:val="00D05AD8"/>
    <w:rsid w:val="00D06D8A"/>
    <w:rsid w:val="00D0734F"/>
    <w:rsid w:val="00D102B4"/>
    <w:rsid w:val="00D1097D"/>
    <w:rsid w:val="00D10BAF"/>
    <w:rsid w:val="00D12584"/>
    <w:rsid w:val="00D13314"/>
    <w:rsid w:val="00D147FC"/>
    <w:rsid w:val="00D150A3"/>
    <w:rsid w:val="00D15C61"/>
    <w:rsid w:val="00D202C4"/>
    <w:rsid w:val="00D209C5"/>
    <w:rsid w:val="00D235F5"/>
    <w:rsid w:val="00D26219"/>
    <w:rsid w:val="00D2679F"/>
    <w:rsid w:val="00D26CB0"/>
    <w:rsid w:val="00D274F8"/>
    <w:rsid w:val="00D304D7"/>
    <w:rsid w:val="00D30E95"/>
    <w:rsid w:val="00D3392D"/>
    <w:rsid w:val="00D3499F"/>
    <w:rsid w:val="00D3553B"/>
    <w:rsid w:val="00D35713"/>
    <w:rsid w:val="00D37794"/>
    <w:rsid w:val="00D377FE"/>
    <w:rsid w:val="00D378C7"/>
    <w:rsid w:val="00D37BC1"/>
    <w:rsid w:val="00D40986"/>
    <w:rsid w:val="00D42AF0"/>
    <w:rsid w:val="00D43A62"/>
    <w:rsid w:val="00D43CBE"/>
    <w:rsid w:val="00D4444E"/>
    <w:rsid w:val="00D4624C"/>
    <w:rsid w:val="00D46870"/>
    <w:rsid w:val="00D46F2A"/>
    <w:rsid w:val="00D47E82"/>
    <w:rsid w:val="00D5100E"/>
    <w:rsid w:val="00D5188B"/>
    <w:rsid w:val="00D530E5"/>
    <w:rsid w:val="00D533FE"/>
    <w:rsid w:val="00D53528"/>
    <w:rsid w:val="00D537D4"/>
    <w:rsid w:val="00D538DB"/>
    <w:rsid w:val="00D5563C"/>
    <w:rsid w:val="00D57FA5"/>
    <w:rsid w:val="00D60015"/>
    <w:rsid w:val="00D61271"/>
    <w:rsid w:val="00D62303"/>
    <w:rsid w:val="00D62C84"/>
    <w:rsid w:val="00D63EB4"/>
    <w:rsid w:val="00D645F2"/>
    <w:rsid w:val="00D65153"/>
    <w:rsid w:val="00D6557D"/>
    <w:rsid w:val="00D71955"/>
    <w:rsid w:val="00D71CC3"/>
    <w:rsid w:val="00D728CF"/>
    <w:rsid w:val="00D735DC"/>
    <w:rsid w:val="00D7473D"/>
    <w:rsid w:val="00D758D9"/>
    <w:rsid w:val="00D75A77"/>
    <w:rsid w:val="00D804E0"/>
    <w:rsid w:val="00D808ED"/>
    <w:rsid w:val="00D81CA7"/>
    <w:rsid w:val="00D82296"/>
    <w:rsid w:val="00D82A08"/>
    <w:rsid w:val="00D84D08"/>
    <w:rsid w:val="00D84E7A"/>
    <w:rsid w:val="00D85111"/>
    <w:rsid w:val="00D866BA"/>
    <w:rsid w:val="00D90606"/>
    <w:rsid w:val="00D92720"/>
    <w:rsid w:val="00D92CB7"/>
    <w:rsid w:val="00D94280"/>
    <w:rsid w:val="00D94FF7"/>
    <w:rsid w:val="00D95782"/>
    <w:rsid w:val="00D97E0E"/>
    <w:rsid w:val="00DA0862"/>
    <w:rsid w:val="00DA16D2"/>
    <w:rsid w:val="00DA22D6"/>
    <w:rsid w:val="00DA3C9F"/>
    <w:rsid w:val="00DA4CEA"/>
    <w:rsid w:val="00DA5C00"/>
    <w:rsid w:val="00DA6B39"/>
    <w:rsid w:val="00DB0170"/>
    <w:rsid w:val="00DB55AC"/>
    <w:rsid w:val="00DB7D6C"/>
    <w:rsid w:val="00DC0628"/>
    <w:rsid w:val="00DC36C5"/>
    <w:rsid w:val="00DC4D1C"/>
    <w:rsid w:val="00DC5CE0"/>
    <w:rsid w:val="00DC6116"/>
    <w:rsid w:val="00DC69CE"/>
    <w:rsid w:val="00DD05F5"/>
    <w:rsid w:val="00DD187F"/>
    <w:rsid w:val="00DD220C"/>
    <w:rsid w:val="00DD249A"/>
    <w:rsid w:val="00DD394E"/>
    <w:rsid w:val="00DD3A9C"/>
    <w:rsid w:val="00DD423E"/>
    <w:rsid w:val="00DD7D73"/>
    <w:rsid w:val="00DE10F2"/>
    <w:rsid w:val="00DE1823"/>
    <w:rsid w:val="00DE2EEC"/>
    <w:rsid w:val="00DE4658"/>
    <w:rsid w:val="00DE4CCB"/>
    <w:rsid w:val="00DE6A1C"/>
    <w:rsid w:val="00DE73B5"/>
    <w:rsid w:val="00DE7893"/>
    <w:rsid w:val="00DE7B90"/>
    <w:rsid w:val="00DF0193"/>
    <w:rsid w:val="00DF0626"/>
    <w:rsid w:val="00DF08E8"/>
    <w:rsid w:val="00DF0FFB"/>
    <w:rsid w:val="00DF1407"/>
    <w:rsid w:val="00DF4F07"/>
    <w:rsid w:val="00DF54AD"/>
    <w:rsid w:val="00E00CB5"/>
    <w:rsid w:val="00E01A98"/>
    <w:rsid w:val="00E032BA"/>
    <w:rsid w:val="00E03C3B"/>
    <w:rsid w:val="00E03F66"/>
    <w:rsid w:val="00E04B6C"/>
    <w:rsid w:val="00E050F1"/>
    <w:rsid w:val="00E060EA"/>
    <w:rsid w:val="00E10434"/>
    <w:rsid w:val="00E10A93"/>
    <w:rsid w:val="00E12471"/>
    <w:rsid w:val="00E12625"/>
    <w:rsid w:val="00E12F23"/>
    <w:rsid w:val="00E13B31"/>
    <w:rsid w:val="00E14EE3"/>
    <w:rsid w:val="00E15083"/>
    <w:rsid w:val="00E1517F"/>
    <w:rsid w:val="00E15B34"/>
    <w:rsid w:val="00E17BCF"/>
    <w:rsid w:val="00E209F9"/>
    <w:rsid w:val="00E20AEA"/>
    <w:rsid w:val="00E25208"/>
    <w:rsid w:val="00E25F14"/>
    <w:rsid w:val="00E27180"/>
    <w:rsid w:val="00E27358"/>
    <w:rsid w:val="00E33505"/>
    <w:rsid w:val="00E33512"/>
    <w:rsid w:val="00E407AE"/>
    <w:rsid w:val="00E41CC4"/>
    <w:rsid w:val="00E42466"/>
    <w:rsid w:val="00E42A60"/>
    <w:rsid w:val="00E431F8"/>
    <w:rsid w:val="00E438A1"/>
    <w:rsid w:val="00E44179"/>
    <w:rsid w:val="00E44742"/>
    <w:rsid w:val="00E45156"/>
    <w:rsid w:val="00E479EB"/>
    <w:rsid w:val="00E50BD6"/>
    <w:rsid w:val="00E518DD"/>
    <w:rsid w:val="00E56174"/>
    <w:rsid w:val="00E62C29"/>
    <w:rsid w:val="00E6463D"/>
    <w:rsid w:val="00E674B4"/>
    <w:rsid w:val="00E71256"/>
    <w:rsid w:val="00E72CE0"/>
    <w:rsid w:val="00E72FA5"/>
    <w:rsid w:val="00E75965"/>
    <w:rsid w:val="00E7725C"/>
    <w:rsid w:val="00E80E55"/>
    <w:rsid w:val="00E83D77"/>
    <w:rsid w:val="00E83E5E"/>
    <w:rsid w:val="00E8563B"/>
    <w:rsid w:val="00E92E1D"/>
    <w:rsid w:val="00E9488A"/>
    <w:rsid w:val="00E948CA"/>
    <w:rsid w:val="00E94EAB"/>
    <w:rsid w:val="00E953CA"/>
    <w:rsid w:val="00E95B58"/>
    <w:rsid w:val="00E95CAF"/>
    <w:rsid w:val="00E97AE1"/>
    <w:rsid w:val="00EA045C"/>
    <w:rsid w:val="00EA1710"/>
    <w:rsid w:val="00EA18F5"/>
    <w:rsid w:val="00EA34FF"/>
    <w:rsid w:val="00EA3ABD"/>
    <w:rsid w:val="00EA6C4A"/>
    <w:rsid w:val="00EB054C"/>
    <w:rsid w:val="00EB3229"/>
    <w:rsid w:val="00EB3E69"/>
    <w:rsid w:val="00EB6711"/>
    <w:rsid w:val="00EB6FAE"/>
    <w:rsid w:val="00EB7635"/>
    <w:rsid w:val="00EB7648"/>
    <w:rsid w:val="00EC0382"/>
    <w:rsid w:val="00EC1E79"/>
    <w:rsid w:val="00EC394C"/>
    <w:rsid w:val="00EC454E"/>
    <w:rsid w:val="00EC548F"/>
    <w:rsid w:val="00EC6749"/>
    <w:rsid w:val="00EC7566"/>
    <w:rsid w:val="00ED2C3F"/>
    <w:rsid w:val="00ED3FE0"/>
    <w:rsid w:val="00ED42C9"/>
    <w:rsid w:val="00ED5AC6"/>
    <w:rsid w:val="00ED6207"/>
    <w:rsid w:val="00ED6D3E"/>
    <w:rsid w:val="00EE1E12"/>
    <w:rsid w:val="00EE21BD"/>
    <w:rsid w:val="00EE4B7C"/>
    <w:rsid w:val="00EE669A"/>
    <w:rsid w:val="00EE67A8"/>
    <w:rsid w:val="00EE7B96"/>
    <w:rsid w:val="00EF11C8"/>
    <w:rsid w:val="00EF1B2E"/>
    <w:rsid w:val="00EF1B47"/>
    <w:rsid w:val="00EF2741"/>
    <w:rsid w:val="00EF2B3D"/>
    <w:rsid w:val="00EF5216"/>
    <w:rsid w:val="00EF56AC"/>
    <w:rsid w:val="00EF6114"/>
    <w:rsid w:val="00F00B57"/>
    <w:rsid w:val="00F01C76"/>
    <w:rsid w:val="00F032B9"/>
    <w:rsid w:val="00F038A7"/>
    <w:rsid w:val="00F041B0"/>
    <w:rsid w:val="00F044A8"/>
    <w:rsid w:val="00F05BF8"/>
    <w:rsid w:val="00F1261E"/>
    <w:rsid w:val="00F1481B"/>
    <w:rsid w:val="00F15AFA"/>
    <w:rsid w:val="00F1702B"/>
    <w:rsid w:val="00F173DB"/>
    <w:rsid w:val="00F203D3"/>
    <w:rsid w:val="00F204A9"/>
    <w:rsid w:val="00F20B34"/>
    <w:rsid w:val="00F20FE1"/>
    <w:rsid w:val="00F21007"/>
    <w:rsid w:val="00F221D4"/>
    <w:rsid w:val="00F226D6"/>
    <w:rsid w:val="00F22AE1"/>
    <w:rsid w:val="00F2360C"/>
    <w:rsid w:val="00F246B5"/>
    <w:rsid w:val="00F26BE7"/>
    <w:rsid w:val="00F26EB4"/>
    <w:rsid w:val="00F271D1"/>
    <w:rsid w:val="00F3148A"/>
    <w:rsid w:val="00F326ED"/>
    <w:rsid w:val="00F32E4E"/>
    <w:rsid w:val="00F335DD"/>
    <w:rsid w:val="00F338DF"/>
    <w:rsid w:val="00F349F9"/>
    <w:rsid w:val="00F36090"/>
    <w:rsid w:val="00F36AFE"/>
    <w:rsid w:val="00F36B04"/>
    <w:rsid w:val="00F36C19"/>
    <w:rsid w:val="00F40737"/>
    <w:rsid w:val="00F40A13"/>
    <w:rsid w:val="00F426D0"/>
    <w:rsid w:val="00F43450"/>
    <w:rsid w:val="00F45129"/>
    <w:rsid w:val="00F4579B"/>
    <w:rsid w:val="00F46587"/>
    <w:rsid w:val="00F50AF3"/>
    <w:rsid w:val="00F51119"/>
    <w:rsid w:val="00F52344"/>
    <w:rsid w:val="00F55336"/>
    <w:rsid w:val="00F556A4"/>
    <w:rsid w:val="00F56AF3"/>
    <w:rsid w:val="00F5774C"/>
    <w:rsid w:val="00F57DA0"/>
    <w:rsid w:val="00F60E91"/>
    <w:rsid w:val="00F6170D"/>
    <w:rsid w:val="00F61C9D"/>
    <w:rsid w:val="00F61CF8"/>
    <w:rsid w:val="00F62E02"/>
    <w:rsid w:val="00F62E98"/>
    <w:rsid w:val="00F63C17"/>
    <w:rsid w:val="00F65E1A"/>
    <w:rsid w:val="00F6695E"/>
    <w:rsid w:val="00F66F9F"/>
    <w:rsid w:val="00F7033F"/>
    <w:rsid w:val="00F7365F"/>
    <w:rsid w:val="00F73801"/>
    <w:rsid w:val="00F73959"/>
    <w:rsid w:val="00F76260"/>
    <w:rsid w:val="00F76278"/>
    <w:rsid w:val="00F776BB"/>
    <w:rsid w:val="00F80736"/>
    <w:rsid w:val="00F80B0A"/>
    <w:rsid w:val="00F82E61"/>
    <w:rsid w:val="00F82E97"/>
    <w:rsid w:val="00F84BFD"/>
    <w:rsid w:val="00F87B37"/>
    <w:rsid w:val="00F915CB"/>
    <w:rsid w:val="00F91C02"/>
    <w:rsid w:val="00F91E1C"/>
    <w:rsid w:val="00F92B19"/>
    <w:rsid w:val="00F9632C"/>
    <w:rsid w:val="00FA0028"/>
    <w:rsid w:val="00FA0FC7"/>
    <w:rsid w:val="00FA1B4F"/>
    <w:rsid w:val="00FA298E"/>
    <w:rsid w:val="00FA2BAF"/>
    <w:rsid w:val="00FA35C3"/>
    <w:rsid w:val="00FA3DDB"/>
    <w:rsid w:val="00FA44C0"/>
    <w:rsid w:val="00FB32FC"/>
    <w:rsid w:val="00FB3B1B"/>
    <w:rsid w:val="00FB4304"/>
    <w:rsid w:val="00FB5A42"/>
    <w:rsid w:val="00FB6650"/>
    <w:rsid w:val="00FB6F04"/>
    <w:rsid w:val="00FB7C65"/>
    <w:rsid w:val="00FB7E4D"/>
    <w:rsid w:val="00FC0131"/>
    <w:rsid w:val="00FC135E"/>
    <w:rsid w:val="00FC1A70"/>
    <w:rsid w:val="00FC34DA"/>
    <w:rsid w:val="00FC354C"/>
    <w:rsid w:val="00FC3F17"/>
    <w:rsid w:val="00FC43F9"/>
    <w:rsid w:val="00FC5D7D"/>
    <w:rsid w:val="00FC787F"/>
    <w:rsid w:val="00FD235F"/>
    <w:rsid w:val="00FD449B"/>
    <w:rsid w:val="00FD6885"/>
    <w:rsid w:val="00FE3FE2"/>
    <w:rsid w:val="00FE5044"/>
    <w:rsid w:val="00FE50CD"/>
    <w:rsid w:val="00FE7648"/>
    <w:rsid w:val="00FE7FBC"/>
    <w:rsid w:val="00FF29C0"/>
    <w:rsid w:val="00FF4352"/>
    <w:rsid w:val="00FF64E8"/>
    <w:rsid w:val="00FF65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8">
      <o:colormru v:ext="edit" colors="#d60093"/>
    </o:shapedefaults>
    <o:shapelayout v:ext="edit">
      <o:idmap v:ext="edit" data="1,2"/>
      <o:rules v:ext="edit">
        <o:r id="V:Rule1" type="connector" idref="#_x0000_s2003"/>
        <o:r id="V:Rule2" type="connector" idref="#_x0000_s2265"/>
        <o:r id="V:Rule3" type="connector" idref="#_x0000_s2404"/>
        <o:r id="V:Rule4" type="connector" idref="#_x0000_s2116"/>
        <o:r id="V:Rule5" type="connector" idref="#_x0000_s2391"/>
        <o:r id="V:Rule6" type="connector" idref="#_x0000_s2245"/>
        <o:r id="V:Rule7" type="connector" idref="#_x0000_s2014"/>
        <o:r id="V:Rule8" type="connector" idref="#_x0000_s2104"/>
        <o:r id="V:Rule9" type="connector" idref="#_x0000_s2123"/>
        <o:r id="V:Rule10" type="connector" idref="#_x0000_s2358"/>
        <o:r id="V:Rule11" type="connector" idref="#_x0000_s2174"/>
        <o:r id="V:Rule12" type="connector" idref="#_x0000_s2379"/>
        <o:r id="V:Rule13" type="connector" idref="#_x0000_s2361"/>
        <o:r id="V:Rule14" type="connector" idref="#_x0000_s2395"/>
        <o:r id="V:Rule15" type="connector" idref="#_x0000_s1993"/>
        <o:r id="V:Rule16" type="connector" idref="#_x0000_s2167"/>
        <o:r id="V:Rule17" type="connector" idref="#_x0000_s2354"/>
        <o:r id="V:Rule18" type="connector" idref="#_x0000_s2356"/>
        <o:r id="V:Rule19" type="connector" idref="#_x0000_s2359"/>
        <o:r id="V:Rule20" type="connector" idref="#_x0000_s2357"/>
        <o:r id="V:Rule21" type="connector" idref="#_x0000_s2401"/>
        <o:r id="V:Rule22" type="connector" idref="#_x0000_s2161"/>
        <o:r id="V:Rule23" type="connector" idref="#_x0000_s2135"/>
        <o:r id="V:Rule24" type="connector" idref="#_x0000_s2184"/>
        <o:r id="V:Rule25" type="connector" idref="#_x0000_s2175"/>
        <o:r id="V:Rule26" type="connector" idref="#_x0000_s2406"/>
        <o:r id="V:Rule27" type="connector" idref="#_x0000_s2363"/>
        <o:r id="V:Rule28" type="connector" idref="#_x0000_s2375"/>
        <o:r id="V:Rule29" type="connector" idref="#_x0000_s2370"/>
        <o:r id="V:Rule30" type="connector" idref="#_x0000_s2385"/>
        <o:r id="V:Rule31" type="connector" idref="#_x0000_s2353"/>
        <o:r id="V:Rule32" type="connector" idref="#_x0000_s2365"/>
        <o:r id="V:Rule33" type="connector" idref="#_x0000_s2374"/>
        <o:r id="V:Rule34" type="connector" idref="#_x0000_s2397"/>
        <o:r id="V:Rule35" type="connector" idref="#_x0000_s2377"/>
        <o:r id="V:Rule36" type="connector" idref="#_x0000_s2012"/>
        <o:r id="V:Rule37" type="connector" idref="#_x0000_s2398"/>
        <o:r id="V:Rule38" type="connector" idref="#_x0000_s2262"/>
        <o:r id="V:Rule39" type="connector" idref="#_x0000_s1992"/>
        <o:r id="V:Rule40" type="connector" idref="#_x0000_s2267"/>
        <o:r id="V:Rule41" type="connector" idref="#_x0000_s2004"/>
        <o:r id="V:Rule42" type="connector" idref="#_x0000_s2272"/>
        <o:r id="V:Rule43" type="connector" idref="#_x0000_s2186"/>
        <o:r id="V:Rule44" type="connector" idref="#_x0000_s2393"/>
        <o:r id="V:Rule45" type="connector" idref="#_x0000_s2293"/>
        <o:r id="V:Rule46" type="connector" idref="#_x0000_s2159"/>
        <o:r id="V:Rule47" type="connector" idref="#_x0000_s2380"/>
        <o:r id="V:Rule48" type="connector" idref="#_x0000_s2373"/>
        <o:r id="V:Rule49" type="connector" idref="#_x0000_s1991"/>
        <o:r id="V:Rule50" type="connector" idref="#_x0000_s2355"/>
        <o:r id="V:Rule51" type="connector" idref="#_x0000_s2263"/>
        <o:r id="V:Rule52" type="connector" idref="#_x0000_s2383"/>
        <o:r id="V:Rule53" type="connector" idref="#_x0000_s2173"/>
        <o:r id="V:Rule54" type="connector" idref="#_x0000_s2294"/>
        <o:r id="V:Rule55" type="connector" idref="#_x0000_s2269"/>
        <o:r id="V:Rule56" type="connector" idref="#_x0000_s2371"/>
        <o:r id="V:Rule57" type="connector" idref="#_x0000_s2102"/>
        <o:r id="V:Rule58" type="connector" idref="#_x0000_s2390"/>
        <o:r id="V:Rule59" type="connector" idref="#_x0000_s2261"/>
        <o:r id="V:Rule60" type="connector" idref="#_x0000_s2258"/>
        <o:r id="V:Rule61" type="connector" idref="#_x0000_s2372"/>
        <o:r id="V:Rule62" type="connector" idref="#_x0000_s1942"/>
        <o:r id="V:Rule63" type="connector" idref="#_x0000_s2109"/>
        <o:r id="V:Rule64" type="connector" idref="#_x0000_s2185"/>
        <o:r id="V:Rule65" type="connector" idref="#_x0000_s2277"/>
        <o:r id="V:Rule66" type="connector" idref="#_x0000_s2013"/>
        <o:r id="V:Rule67" type="connector" idref="#_x0000_s2153"/>
        <o:r id="V:Rule68" type="connector" idref="#_x0000_s2103"/>
        <o:r id="V:Rule69" type="connector" idref="#_x0000_s2285"/>
        <o:r id="V:Rule70" type="connector" idref="#_x0000_s2246"/>
        <o:r id="V:Rule71" type="connector" idref="#_x0000_s2111"/>
        <o:r id="V:Rule72" type="connector" idref="#_x0000_s2254"/>
        <o:r id="V:Rule73" type="connector" idref="#_x0000_s2396"/>
        <o:r id="V:Rule74" type="connector" idref="#_x0000_s2181"/>
        <o:r id="V:Rule75" type="connector" idref="#_x0000_s2125"/>
        <o:r id="V:Rule76" type="connector" idref="#_x0000_s2256"/>
        <o:r id="V:Rule77" type="connector" idref="#_x0000_s2178"/>
        <o:r id="V:Rule78" type="connector" idref="#_x0000_s2388"/>
        <o:r id="V:Rule79" type="connector" idref="#_x0000_s2008"/>
        <o:r id="V:Rule80" type="connector" idref="#_x0000_s2001"/>
        <o:r id="V:Rule81" type="connector" idref="#_x0000_s2158"/>
        <o:r id="V:Rule82" type="connector" idref="#_x0000_s2280"/>
        <o:r id="V:Rule83" type="connector" idref="#_x0000_s2118"/>
        <o:r id="V:Rule84" type="connector" idref="#_x0000_s2394"/>
        <o:r id="V:Rule85" type="connector" idref="#_x0000_s2389"/>
        <o:r id="V:Rule86" type="connector" idref="#_x0000_s2268"/>
        <o:r id="V:Rule87" type="connector" idref="#_x0000_s2360"/>
        <o:r id="V:Rule88" type="connector" idref="#_x0000_s2117"/>
        <o:r id="V:Rule89" type="connector" idref="#_x0000_s2275"/>
        <o:r id="V:Rule90" type="connector" idref="#_x0000_s2110"/>
        <o:r id="V:Rule91" type="connector" idref="#_x0000_s2011"/>
        <o:r id="V:Rule92" type="connector" idref="#_x0000_s2287"/>
        <o:r id="V:Rule93" type="connector" idref="#_x0000_s2286"/>
        <o:r id="V:Rule94" type="connector" idref="#_x0000_s2180"/>
        <o:r id="V:Rule95" type="connector" idref="#_x0000_s2281"/>
        <o:r id="V:Rule96" type="connector" idref="#_x0000_s2376"/>
        <o:r id="V:Rule97" type="connector" idref="#_x0000_s2150"/>
        <o:r id="V:Rule98" type="connector" idref="#_x0000_s2182"/>
        <o:r id="V:Rule99" type="connector" idref="#_x0000_s2168"/>
        <o:r id="V:Rule100" type="connector" idref="#_x0000_s2255"/>
        <o:r id="V:Rule101" type="connector" idref="#_x0000_s2291"/>
        <o:r id="V:Rule102" type="connector" idref="#_x0000_s2369"/>
        <o:r id="V:Rule103" type="connector" idref="#_x0000_s2403"/>
        <o:r id="V:Rule104" type="connector" idref="#_x0000_s2163"/>
        <o:r id="V:Rule105" type="connector" idref="#_x0000_s2171"/>
        <o:r id="V:Rule106" type="connector" idref="#_x0000_s2278"/>
        <o:r id="V:Rule107" type="connector" idref="#_x0000_s2378"/>
        <o:r id="V:Rule108" type="connector" idref="#_x0000_s2270"/>
        <o:r id="V:Rule109" type="connector" idref="#_x0000_s2137"/>
        <o:r id="V:Rule110" type="connector" idref="#_x0000_s2400"/>
        <o:r id="V:Rule111" type="connector" idref="#_x0000_s2179"/>
        <o:r id="V:Rule112" type="connector" idref="#_x0000_s2364"/>
        <o:r id="V:Rule113" type="connector" idref="#_x0000_s2296"/>
        <o:r id="V:Rule114" type="connector" idref="#_x0000_s2264"/>
        <o:r id="V:Rule115" type="connector" idref="#_x0000_s2151"/>
        <o:r id="V:Rule116" type="connector" idref="#_x0000_s2005"/>
        <o:r id="V:Rule117" type="connector" idref="#_x0000_s2399"/>
        <o:r id="V:Rule118" type="connector" idref="#_x0000_s2009"/>
        <o:r id="V:Rule119" type="connector" idref="#_x0000_s2288"/>
        <o:r id="V:Rule120" type="connector" idref="#_x0000_s2290"/>
        <o:r id="V:Rule121" type="connector" idref="#_x0000_s2177"/>
        <o:r id="V:Rule122" type="connector" idref="#_x0000_s2112"/>
        <o:r id="V:Rule123" type="connector" idref="#_x0000_s2183"/>
        <o:r id="V:Rule124" type="connector" idref="#_x0000_s2170"/>
        <o:r id="V:Rule125" type="connector" idref="#_x0000_s2392"/>
        <o:r id="V:Rule126" type="connector" idref="#_x0000_s2249"/>
        <o:r id="V:Rule127" type="connector" idref="#_x0000_s2244"/>
        <o:r id="V:Rule128" type="connector" idref="#_x0000_s2292"/>
        <o:r id="V:Rule129" type="connector" idref="#_x0000_s2279"/>
        <o:r id="V:Rule130" type="connector" idref="#_x0000_s2402"/>
        <o:r id="V:Rule131" type="connector" idref="#_x0000_s1994"/>
        <o:r id="V:Rule132" type="connector" idref="#_x0000_s2176"/>
        <o:r id="V:Rule133" type="connector" idref="#_x0000_s2257"/>
        <o:r id="V:Rule134" type="connector" idref="#_x0000_s1999"/>
        <o:r id="V:Rule135" type="connector" idref="#_x0000_s2284"/>
        <o:r id="V:Rule136" type="connector" idref="#_x0000_s2386"/>
        <o:r id="V:Rule137" type="connector" idref="#_x0000_s2295"/>
        <o:r id="V:Rule138" type="connector" idref="#_x0000_s2259"/>
        <o:r id="V:Rule139" type="connector" idref="#_x0000_s1995"/>
        <o:r id="V:Rule140" type="connector" idref="#_x0000_s1941"/>
        <o:r id="V:Rule141" type="connector" idref="#_x0000_s1997"/>
        <o:r id="V:Rule142" type="connector" idref="#_x0000_s2276"/>
        <o:r id="V:Rule143" type="connector" idref="#_x0000_s2266"/>
        <o:r id="V:Rule144" type="connector" idref="#_x0000_s2172"/>
        <o:r id="V:Rule145" type="connector" idref="#_x0000_s2000"/>
        <o:r id="V:Rule146" type="connector" idref="#_x0000_s2165"/>
        <o:r id="V:Rule147" type="connector" idref="#_x0000_s2105"/>
        <o:r id="V:Rule148" type="connector" idref="#_x0000_s2247"/>
        <o:r id="V:Rule149" type="connector" idref="#_x0000_s2006"/>
        <o:r id="V:Rule150" type="connector" idref="#_x0000_s2387"/>
        <o:r id="V:Rule151" type="connector" idref="#_x0000_s1996"/>
        <o:r id="V:Rule152" type="connector" idref="#_x0000_s2381"/>
        <o:r id="V:Rule153" type="connector" idref="#_x0000_s2164"/>
        <o:r id="V:Rule154" type="connector" idref="#_x0000_s2136"/>
        <o:r id="V:Rule155" type="connector" idref="#_x0000_s2106"/>
        <o:r id="V:Rule156" type="connector" idref="#_x0000_s2107"/>
        <o:r id="V:Rule157" type="connector" idref="#_x0000_s2010"/>
        <o:r id="V:Rule158" type="connector" idref="#_x0000_s2157"/>
        <o:r id="V:Rule159" type="connector" idref="#_x0000_s2124"/>
        <o:r id="V:Rule160" type="connector" idref="#_x0000_s2015"/>
        <o:r id="V:Rule161" type="connector" idref="#_x0000_s2368"/>
        <o:r id="V:Rule162" type="connector" idref="#_x0000_s2260"/>
        <o:r id="V:Rule163" type="connector" idref="#_x0000_s2273"/>
        <o:r id="V:Rule164" type="connector" idref="#_x0000_s2002"/>
        <o:r id="V:Rule165" type="connector" idref="#_x0000_s2274"/>
        <o:r id="V:Rule166" type="connector" idref="#_x0000_s2366"/>
        <o:r id="V:Rule167" type="connector" idref="#_x0000_s2271"/>
        <o:r id="V:Rule168" type="connector" idref="#_x0000_s2162"/>
        <o:r id="V:Rule169" type="connector" idref="#_x0000_s2248"/>
        <o:r id="V:Rule170" type="connector" idref="#_x0000_s2007"/>
        <o:r id="V:Rule171" type="connector" idref="#_x0000_s2152"/>
        <o:r id="V:Rule172" type="connector" idref="#_x0000_s2367"/>
        <o:r id="V:Rule173" type="connector" idref="#_x0000_s2166"/>
        <o:r id="V:Rule174" type="connector" idref="#_x0000_s2156"/>
        <o:r id="V:Rule175" type="connector" idref="#_x0000_s2187"/>
        <o:r id="V:Rule176" type="connector" idref="#_x0000_s2362"/>
        <o:r id="V:Rule177" type="connector" idref="#_x0000_s2405"/>
        <o:r id="V:Rule178" type="connector" idref="#_x0000_s2407"/>
        <o:r id="V:Rule179" type="connector" idref="#_x0000_s238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ind w:left="34"/>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B47"/>
  </w:style>
  <w:style w:type="paragraph" w:styleId="Ttulo1">
    <w:name w:val="heading 1"/>
    <w:basedOn w:val="Normal"/>
    <w:next w:val="Normal"/>
    <w:link w:val="Ttulo1Car"/>
    <w:uiPriority w:val="9"/>
    <w:qFormat/>
    <w:rsid w:val="001D7E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5C75BB"/>
    <w:pPr>
      <w:keepNext/>
      <w:keepLines/>
      <w:spacing w:before="200" w:line="276" w:lineRule="auto"/>
      <w:ind w:left="0"/>
      <w:jc w:val="left"/>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C75BB"/>
    <w:pPr>
      <w:keepNext/>
      <w:keepLines/>
      <w:spacing w:before="200" w:line="276" w:lineRule="auto"/>
      <w:ind w:left="0"/>
      <w:jc w:val="left"/>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7EF9"/>
    <w:rPr>
      <w:rFonts w:asciiTheme="majorHAnsi" w:eastAsiaTheme="majorEastAsia" w:hAnsiTheme="majorHAnsi" w:cstheme="majorBidi"/>
      <w:b/>
      <w:bCs/>
      <w:color w:val="365F91" w:themeColor="accent1" w:themeShade="BF"/>
      <w:sz w:val="28"/>
      <w:szCs w:val="28"/>
    </w:rPr>
  </w:style>
  <w:style w:type="paragraph" w:styleId="Textonotapie">
    <w:name w:val="footnote text"/>
    <w:basedOn w:val="Normal"/>
    <w:link w:val="TextonotapieCar"/>
    <w:uiPriority w:val="99"/>
    <w:unhideWhenUsed/>
    <w:rsid w:val="00254597"/>
    <w:rPr>
      <w:sz w:val="20"/>
      <w:szCs w:val="20"/>
    </w:rPr>
  </w:style>
  <w:style w:type="character" w:customStyle="1" w:styleId="TextonotapieCar">
    <w:name w:val="Texto nota pie Car"/>
    <w:basedOn w:val="Fuentedeprrafopredeter"/>
    <w:link w:val="Textonotapie"/>
    <w:uiPriority w:val="99"/>
    <w:rsid w:val="00254597"/>
    <w:rPr>
      <w:sz w:val="20"/>
      <w:szCs w:val="20"/>
    </w:rPr>
  </w:style>
  <w:style w:type="character" w:styleId="Refdenotaalpie">
    <w:name w:val="footnote reference"/>
    <w:basedOn w:val="Fuentedeprrafopredeter"/>
    <w:uiPriority w:val="99"/>
    <w:semiHidden/>
    <w:unhideWhenUsed/>
    <w:rsid w:val="00254597"/>
    <w:rPr>
      <w:vertAlign w:val="superscript"/>
    </w:rPr>
  </w:style>
  <w:style w:type="paragraph" w:styleId="Encabezado">
    <w:name w:val="header"/>
    <w:basedOn w:val="Normal"/>
    <w:link w:val="EncabezadoCar"/>
    <w:uiPriority w:val="99"/>
    <w:unhideWhenUsed/>
    <w:rsid w:val="00254597"/>
    <w:pPr>
      <w:tabs>
        <w:tab w:val="center" w:pos="4680"/>
        <w:tab w:val="right" w:pos="9360"/>
      </w:tabs>
    </w:pPr>
  </w:style>
  <w:style w:type="character" w:customStyle="1" w:styleId="EncabezadoCar">
    <w:name w:val="Encabezado Car"/>
    <w:basedOn w:val="Fuentedeprrafopredeter"/>
    <w:link w:val="Encabezado"/>
    <w:uiPriority w:val="99"/>
    <w:rsid w:val="00254597"/>
  </w:style>
  <w:style w:type="paragraph" w:styleId="Piedepgina">
    <w:name w:val="footer"/>
    <w:basedOn w:val="Normal"/>
    <w:link w:val="PiedepginaCar"/>
    <w:uiPriority w:val="99"/>
    <w:unhideWhenUsed/>
    <w:rsid w:val="00254597"/>
    <w:pPr>
      <w:tabs>
        <w:tab w:val="center" w:pos="4680"/>
        <w:tab w:val="right" w:pos="9360"/>
      </w:tabs>
    </w:pPr>
  </w:style>
  <w:style w:type="character" w:customStyle="1" w:styleId="PiedepginaCar">
    <w:name w:val="Pie de página Car"/>
    <w:basedOn w:val="Fuentedeprrafopredeter"/>
    <w:link w:val="Piedepgina"/>
    <w:uiPriority w:val="99"/>
    <w:rsid w:val="00254597"/>
  </w:style>
  <w:style w:type="paragraph" w:styleId="Prrafodelista">
    <w:name w:val="List Paragraph"/>
    <w:basedOn w:val="Normal"/>
    <w:link w:val="PrrafodelistaCar"/>
    <w:uiPriority w:val="34"/>
    <w:qFormat/>
    <w:rsid w:val="00D4624C"/>
    <w:pPr>
      <w:ind w:left="720"/>
      <w:contextualSpacing/>
    </w:pPr>
  </w:style>
  <w:style w:type="character" w:customStyle="1" w:styleId="PrrafodelistaCar">
    <w:name w:val="Párrafo de lista Car"/>
    <w:basedOn w:val="Fuentedeprrafopredeter"/>
    <w:link w:val="Prrafodelista"/>
    <w:uiPriority w:val="34"/>
    <w:rsid w:val="00F7365F"/>
  </w:style>
  <w:style w:type="table" w:styleId="Tablaconcuadrcula">
    <w:name w:val="Table Grid"/>
    <w:basedOn w:val="Tablanormal"/>
    <w:uiPriority w:val="59"/>
    <w:rsid w:val="007177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177FF"/>
    <w:rPr>
      <w:rFonts w:ascii="Tahoma" w:hAnsi="Tahoma" w:cs="Tahoma"/>
      <w:sz w:val="16"/>
      <w:szCs w:val="16"/>
    </w:rPr>
  </w:style>
  <w:style w:type="character" w:customStyle="1" w:styleId="TextodegloboCar">
    <w:name w:val="Texto de globo Car"/>
    <w:basedOn w:val="Fuentedeprrafopredeter"/>
    <w:link w:val="Textodeglobo"/>
    <w:uiPriority w:val="99"/>
    <w:semiHidden/>
    <w:rsid w:val="007177FF"/>
    <w:rPr>
      <w:rFonts w:ascii="Tahoma" w:hAnsi="Tahoma" w:cs="Tahoma"/>
      <w:sz w:val="16"/>
      <w:szCs w:val="16"/>
    </w:rPr>
  </w:style>
  <w:style w:type="paragraph" w:customStyle="1" w:styleId="TesisTitulo10">
    <w:name w:val="Tesis_Titulo1"/>
    <w:basedOn w:val="Prrafodelista"/>
    <w:link w:val="TesisTitulo1Car"/>
    <w:qFormat/>
    <w:rsid w:val="00F7365F"/>
    <w:pPr>
      <w:numPr>
        <w:ilvl w:val="1"/>
        <w:numId w:val="1"/>
      </w:numPr>
      <w:spacing w:line="480" w:lineRule="auto"/>
      <w:jc w:val="both"/>
    </w:pPr>
    <w:rPr>
      <w:rFonts w:ascii="Arial" w:hAnsi="Arial" w:cs="Arial"/>
      <w:b/>
      <w:sz w:val="28"/>
      <w:szCs w:val="28"/>
    </w:rPr>
  </w:style>
  <w:style w:type="character" w:customStyle="1" w:styleId="TesisTitulo1Car">
    <w:name w:val="Tesis_Titulo1 Car"/>
    <w:basedOn w:val="PrrafodelistaCar"/>
    <w:link w:val="TesisTitulo10"/>
    <w:rsid w:val="00F7365F"/>
    <w:rPr>
      <w:rFonts w:ascii="Arial" w:hAnsi="Arial" w:cs="Arial"/>
      <w:b/>
      <w:sz w:val="28"/>
      <w:szCs w:val="28"/>
    </w:rPr>
  </w:style>
  <w:style w:type="paragraph" w:customStyle="1" w:styleId="TesisTitulo20">
    <w:name w:val="Tesis_Titulo2"/>
    <w:basedOn w:val="Prrafodelista"/>
    <w:link w:val="TesisTitulo2Car"/>
    <w:qFormat/>
    <w:rsid w:val="00F7365F"/>
    <w:pPr>
      <w:numPr>
        <w:ilvl w:val="2"/>
        <w:numId w:val="1"/>
      </w:numPr>
      <w:spacing w:line="480" w:lineRule="auto"/>
      <w:jc w:val="both"/>
    </w:pPr>
    <w:rPr>
      <w:rFonts w:ascii="Arial" w:hAnsi="Arial" w:cs="Arial"/>
      <w:b/>
      <w:sz w:val="26"/>
      <w:szCs w:val="26"/>
    </w:rPr>
  </w:style>
  <w:style w:type="character" w:customStyle="1" w:styleId="TesisTitulo2Car">
    <w:name w:val="Tesis_Titulo2 Car"/>
    <w:basedOn w:val="PrrafodelistaCar"/>
    <w:link w:val="TesisTitulo20"/>
    <w:rsid w:val="00F7365F"/>
    <w:rPr>
      <w:rFonts w:ascii="Arial" w:hAnsi="Arial" w:cs="Arial"/>
      <w:b/>
      <w:sz w:val="26"/>
      <w:szCs w:val="26"/>
    </w:rPr>
  </w:style>
  <w:style w:type="paragraph" w:customStyle="1" w:styleId="TesisTitulo3">
    <w:name w:val="Tesis_Titulo3"/>
    <w:basedOn w:val="Prrafodelista"/>
    <w:link w:val="TesisTitulo3Car"/>
    <w:qFormat/>
    <w:rsid w:val="00F7365F"/>
    <w:pPr>
      <w:spacing w:line="480" w:lineRule="auto"/>
      <w:ind w:left="2492" w:hanging="1080"/>
      <w:jc w:val="both"/>
    </w:pPr>
    <w:rPr>
      <w:rFonts w:ascii="Arial" w:hAnsi="Arial" w:cs="Arial"/>
      <w:b/>
      <w:sz w:val="24"/>
      <w:szCs w:val="24"/>
    </w:rPr>
  </w:style>
  <w:style w:type="character" w:customStyle="1" w:styleId="TesisTitulo3Car">
    <w:name w:val="Tesis_Titulo3 Car"/>
    <w:basedOn w:val="PrrafodelistaCar"/>
    <w:link w:val="TesisTitulo3"/>
    <w:rsid w:val="00F7365F"/>
    <w:rPr>
      <w:rFonts w:ascii="Arial" w:hAnsi="Arial" w:cs="Arial"/>
      <w:b/>
      <w:sz w:val="24"/>
      <w:szCs w:val="24"/>
    </w:rPr>
  </w:style>
  <w:style w:type="paragraph" w:styleId="TtulodeTDC">
    <w:name w:val="TOC Heading"/>
    <w:basedOn w:val="Ttulo1"/>
    <w:next w:val="Normal"/>
    <w:uiPriority w:val="39"/>
    <w:unhideWhenUsed/>
    <w:qFormat/>
    <w:rsid w:val="001D7EF9"/>
    <w:pPr>
      <w:outlineLvl w:val="9"/>
    </w:pPr>
    <w:rPr>
      <w:lang w:eastAsia="es-EC"/>
    </w:rPr>
  </w:style>
  <w:style w:type="paragraph" w:styleId="TDC2">
    <w:name w:val="toc 2"/>
    <w:basedOn w:val="Normal"/>
    <w:next w:val="Normal"/>
    <w:autoRedefine/>
    <w:uiPriority w:val="39"/>
    <w:unhideWhenUsed/>
    <w:qFormat/>
    <w:rsid w:val="0028060F"/>
    <w:pPr>
      <w:spacing w:before="120"/>
      <w:ind w:left="220"/>
      <w:jc w:val="left"/>
    </w:pPr>
    <w:rPr>
      <w:rFonts w:cstheme="minorHAnsi"/>
      <w:b/>
      <w:bCs/>
    </w:rPr>
  </w:style>
  <w:style w:type="paragraph" w:styleId="TDC1">
    <w:name w:val="toc 1"/>
    <w:basedOn w:val="Normal"/>
    <w:next w:val="Normal"/>
    <w:autoRedefine/>
    <w:uiPriority w:val="39"/>
    <w:unhideWhenUsed/>
    <w:qFormat/>
    <w:rsid w:val="0028060F"/>
    <w:pPr>
      <w:spacing w:before="120"/>
      <w:ind w:left="0"/>
      <w:jc w:val="left"/>
    </w:pPr>
    <w:rPr>
      <w:rFonts w:cstheme="minorHAnsi"/>
      <w:b/>
      <w:bCs/>
      <w:i/>
      <w:iCs/>
      <w:sz w:val="24"/>
      <w:szCs w:val="24"/>
    </w:rPr>
  </w:style>
  <w:style w:type="paragraph" w:styleId="TDC3">
    <w:name w:val="toc 3"/>
    <w:basedOn w:val="Normal"/>
    <w:next w:val="Normal"/>
    <w:autoRedefine/>
    <w:uiPriority w:val="39"/>
    <w:unhideWhenUsed/>
    <w:qFormat/>
    <w:rsid w:val="00002A3D"/>
    <w:pPr>
      <w:ind w:left="440"/>
      <w:jc w:val="left"/>
    </w:pPr>
    <w:rPr>
      <w:rFonts w:cstheme="minorHAnsi"/>
      <w:sz w:val="20"/>
      <w:szCs w:val="20"/>
    </w:rPr>
  </w:style>
  <w:style w:type="character" w:styleId="Hipervnculo">
    <w:name w:val="Hyperlink"/>
    <w:basedOn w:val="Fuentedeprrafopredeter"/>
    <w:uiPriority w:val="99"/>
    <w:unhideWhenUsed/>
    <w:rsid w:val="001D7EF9"/>
    <w:rPr>
      <w:color w:val="0000FF" w:themeColor="hyperlink"/>
      <w:u w:val="single"/>
    </w:rPr>
  </w:style>
  <w:style w:type="paragraph" w:styleId="TDC4">
    <w:name w:val="toc 4"/>
    <w:basedOn w:val="Normal"/>
    <w:next w:val="Normal"/>
    <w:autoRedefine/>
    <w:uiPriority w:val="39"/>
    <w:unhideWhenUsed/>
    <w:rsid w:val="001D7EF9"/>
    <w:pPr>
      <w:ind w:left="660"/>
      <w:jc w:val="left"/>
    </w:pPr>
    <w:rPr>
      <w:rFonts w:cstheme="minorHAnsi"/>
      <w:sz w:val="20"/>
      <w:szCs w:val="20"/>
    </w:rPr>
  </w:style>
  <w:style w:type="paragraph" w:styleId="TDC5">
    <w:name w:val="toc 5"/>
    <w:basedOn w:val="Normal"/>
    <w:next w:val="Normal"/>
    <w:autoRedefine/>
    <w:uiPriority w:val="39"/>
    <w:unhideWhenUsed/>
    <w:rsid w:val="001D7EF9"/>
    <w:pPr>
      <w:ind w:left="880"/>
      <w:jc w:val="left"/>
    </w:pPr>
    <w:rPr>
      <w:rFonts w:cstheme="minorHAnsi"/>
      <w:sz w:val="20"/>
      <w:szCs w:val="20"/>
    </w:rPr>
  </w:style>
  <w:style w:type="paragraph" w:styleId="TDC6">
    <w:name w:val="toc 6"/>
    <w:basedOn w:val="Normal"/>
    <w:next w:val="Normal"/>
    <w:autoRedefine/>
    <w:uiPriority w:val="39"/>
    <w:unhideWhenUsed/>
    <w:rsid w:val="001D7EF9"/>
    <w:pPr>
      <w:ind w:left="1100"/>
      <w:jc w:val="left"/>
    </w:pPr>
    <w:rPr>
      <w:rFonts w:cstheme="minorHAnsi"/>
      <w:sz w:val="20"/>
      <w:szCs w:val="20"/>
    </w:rPr>
  </w:style>
  <w:style w:type="paragraph" w:styleId="TDC7">
    <w:name w:val="toc 7"/>
    <w:basedOn w:val="Normal"/>
    <w:next w:val="Normal"/>
    <w:autoRedefine/>
    <w:uiPriority w:val="39"/>
    <w:unhideWhenUsed/>
    <w:rsid w:val="001D7EF9"/>
    <w:pPr>
      <w:ind w:left="1320"/>
      <w:jc w:val="left"/>
    </w:pPr>
    <w:rPr>
      <w:rFonts w:cstheme="minorHAnsi"/>
      <w:sz w:val="20"/>
      <w:szCs w:val="20"/>
    </w:rPr>
  </w:style>
  <w:style w:type="paragraph" w:styleId="TDC8">
    <w:name w:val="toc 8"/>
    <w:basedOn w:val="Normal"/>
    <w:next w:val="Normal"/>
    <w:autoRedefine/>
    <w:uiPriority w:val="39"/>
    <w:unhideWhenUsed/>
    <w:rsid w:val="001D7EF9"/>
    <w:pPr>
      <w:ind w:left="1540"/>
      <w:jc w:val="left"/>
    </w:pPr>
    <w:rPr>
      <w:rFonts w:cstheme="minorHAnsi"/>
      <w:sz w:val="20"/>
      <w:szCs w:val="20"/>
    </w:rPr>
  </w:style>
  <w:style w:type="paragraph" w:styleId="TDC9">
    <w:name w:val="toc 9"/>
    <w:basedOn w:val="Normal"/>
    <w:next w:val="Normal"/>
    <w:autoRedefine/>
    <w:uiPriority w:val="39"/>
    <w:unhideWhenUsed/>
    <w:rsid w:val="001D7EF9"/>
    <w:pPr>
      <w:ind w:left="1760"/>
      <w:jc w:val="left"/>
    </w:pPr>
    <w:rPr>
      <w:rFonts w:cstheme="minorHAnsi"/>
      <w:sz w:val="20"/>
      <w:szCs w:val="20"/>
    </w:rPr>
  </w:style>
  <w:style w:type="paragraph" w:customStyle="1" w:styleId="Indice1">
    <w:name w:val="Indice1"/>
    <w:basedOn w:val="Normal"/>
    <w:link w:val="Indice1Car"/>
    <w:qFormat/>
    <w:rsid w:val="00664EA0"/>
    <w:pPr>
      <w:spacing w:line="480" w:lineRule="auto"/>
    </w:pPr>
    <w:rPr>
      <w:rFonts w:ascii="Arial" w:hAnsi="Arial" w:cs="Arial"/>
      <w:b/>
      <w:sz w:val="44"/>
      <w:szCs w:val="44"/>
    </w:rPr>
  </w:style>
  <w:style w:type="character" w:customStyle="1" w:styleId="Indice1Car">
    <w:name w:val="Indice1 Car"/>
    <w:basedOn w:val="Fuentedeprrafopredeter"/>
    <w:link w:val="Indice1"/>
    <w:rsid w:val="00664EA0"/>
    <w:rPr>
      <w:rFonts w:ascii="Arial" w:hAnsi="Arial" w:cs="Arial"/>
      <w:b/>
      <w:sz w:val="44"/>
      <w:szCs w:val="44"/>
    </w:rPr>
  </w:style>
  <w:style w:type="paragraph" w:styleId="Epgrafe">
    <w:name w:val="caption"/>
    <w:basedOn w:val="Normal"/>
    <w:next w:val="Normal"/>
    <w:link w:val="EpgrafeCar"/>
    <w:uiPriority w:val="35"/>
    <w:unhideWhenUsed/>
    <w:qFormat/>
    <w:rsid w:val="00D57FA5"/>
    <w:rPr>
      <w:b/>
      <w:bCs/>
      <w:color w:val="4F81BD" w:themeColor="accent1"/>
      <w:sz w:val="18"/>
      <w:szCs w:val="18"/>
    </w:rPr>
  </w:style>
  <w:style w:type="character" w:customStyle="1" w:styleId="EpgrafeCar">
    <w:name w:val="Epígrafe Car"/>
    <w:basedOn w:val="Fuentedeprrafopredeter"/>
    <w:link w:val="Epgrafe"/>
    <w:uiPriority w:val="35"/>
    <w:rsid w:val="009960E6"/>
    <w:rPr>
      <w:b/>
      <w:bCs/>
      <w:color w:val="4F81BD" w:themeColor="accent1"/>
      <w:sz w:val="18"/>
      <w:szCs w:val="18"/>
    </w:rPr>
  </w:style>
  <w:style w:type="paragraph" w:styleId="Tabladeilustraciones">
    <w:name w:val="table of figures"/>
    <w:basedOn w:val="Normal"/>
    <w:next w:val="Normal"/>
    <w:uiPriority w:val="99"/>
    <w:unhideWhenUsed/>
    <w:rsid w:val="001A1F6F"/>
    <w:pPr>
      <w:ind w:left="0"/>
      <w:jc w:val="left"/>
    </w:pPr>
    <w:rPr>
      <w:rFonts w:cstheme="minorHAnsi"/>
      <w:i/>
      <w:iCs/>
      <w:sz w:val="20"/>
      <w:szCs w:val="20"/>
    </w:rPr>
  </w:style>
  <w:style w:type="paragraph" w:customStyle="1" w:styleId="Figuras">
    <w:name w:val="Figuras"/>
    <w:basedOn w:val="Epgrafe"/>
    <w:link w:val="FigurasCar"/>
    <w:qFormat/>
    <w:rsid w:val="009960E6"/>
    <w:pPr>
      <w:keepNext/>
    </w:pPr>
    <w:rPr>
      <w:rFonts w:ascii="Arial" w:hAnsi="Arial" w:cs="Arial"/>
      <w:color w:val="auto"/>
      <w:sz w:val="16"/>
      <w:szCs w:val="16"/>
    </w:rPr>
  </w:style>
  <w:style w:type="character" w:customStyle="1" w:styleId="FigurasCar">
    <w:name w:val="Figuras Car"/>
    <w:basedOn w:val="EpgrafeCar"/>
    <w:link w:val="Figuras"/>
    <w:rsid w:val="009960E6"/>
    <w:rPr>
      <w:rFonts w:ascii="Arial" w:hAnsi="Arial" w:cs="Arial"/>
      <w:b/>
      <w:bCs/>
      <w:color w:val="4F81BD" w:themeColor="accent1"/>
      <w:sz w:val="16"/>
      <w:szCs w:val="16"/>
    </w:rPr>
  </w:style>
  <w:style w:type="table" w:customStyle="1" w:styleId="Tablaconcuadrcula1">
    <w:name w:val="Tabla con cuadrícula1"/>
    <w:basedOn w:val="Tablanormal"/>
    <w:next w:val="Tablaconcuadrcula"/>
    <w:uiPriority w:val="59"/>
    <w:rsid w:val="00674E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A722F8"/>
  </w:style>
  <w:style w:type="character" w:styleId="Textodelmarcadordeposicin">
    <w:name w:val="Placeholder Text"/>
    <w:basedOn w:val="Fuentedeprrafopredeter"/>
    <w:uiPriority w:val="99"/>
    <w:semiHidden/>
    <w:rsid w:val="00A01FB5"/>
    <w:rPr>
      <w:color w:val="808080"/>
    </w:rPr>
  </w:style>
  <w:style w:type="paragraph" w:customStyle="1" w:styleId="TesisTitulo2">
    <w:name w:val="TesisTitulo2"/>
    <w:basedOn w:val="TesisTitulo20"/>
    <w:link w:val="TesisTitulo2Car0"/>
    <w:qFormat/>
    <w:rsid w:val="0030662D"/>
    <w:pPr>
      <w:numPr>
        <w:numId w:val="10"/>
      </w:numPr>
      <w:ind w:left="567" w:hanging="11"/>
    </w:pPr>
  </w:style>
  <w:style w:type="paragraph" w:customStyle="1" w:styleId="TesisTitulo1">
    <w:name w:val="TesisTitulo1"/>
    <w:basedOn w:val="TesisTitulo10"/>
    <w:link w:val="TesisTitulo1Car0"/>
    <w:qFormat/>
    <w:rsid w:val="0030662D"/>
    <w:pPr>
      <w:numPr>
        <w:numId w:val="10"/>
      </w:numPr>
      <w:ind w:left="567" w:hanging="567"/>
    </w:pPr>
  </w:style>
  <w:style w:type="character" w:customStyle="1" w:styleId="TesisTitulo2Car0">
    <w:name w:val="TesisTitulo2 Car"/>
    <w:basedOn w:val="TesisTitulo2Car"/>
    <w:link w:val="TesisTitulo2"/>
    <w:rsid w:val="0030662D"/>
    <w:rPr>
      <w:rFonts w:ascii="Arial" w:hAnsi="Arial" w:cs="Arial"/>
      <w:b/>
      <w:sz w:val="26"/>
      <w:szCs w:val="26"/>
    </w:rPr>
  </w:style>
  <w:style w:type="character" w:customStyle="1" w:styleId="TesisTitulo1Car0">
    <w:name w:val="TesisTitulo1 Car"/>
    <w:basedOn w:val="TesisTitulo1Car"/>
    <w:link w:val="TesisTitulo1"/>
    <w:rsid w:val="0030662D"/>
    <w:rPr>
      <w:rFonts w:ascii="Arial" w:hAnsi="Arial" w:cs="Arial"/>
      <w:b/>
      <w:sz w:val="28"/>
      <w:szCs w:val="28"/>
    </w:rPr>
  </w:style>
  <w:style w:type="paragraph" w:styleId="NormalWeb">
    <w:name w:val="Normal (Web)"/>
    <w:basedOn w:val="Normal"/>
    <w:uiPriority w:val="99"/>
    <w:semiHidden/>
    <w:unhideWhenUsed/>
    <w:rsid w:val="00060299"/>
    <w:pPr>
      <w:spacing w:before="100" w:beforeAutospacing="1" w:after="100" w:afterAutospacing="1"/>
      <w:ind w:left="0"/>
      <w:jc w:val="left"/>
    </w:pPr>
    <w:rPr>
      <w:rFonts w:ascii="Times New Roman" w:eastAsiaTheme="minorEastAsia" w:hAnsi="Times New Roman" w:cs="Times New Roman"/>
      <w:sz w:val="24"/>
      <w:szCs w:val="24"/>
      <w:lang w:eastAsia="es-EC"/>
    </w:rPr>
  </w:style>
  <w:style w:type="paragraph" w:customStyle="1" w:styleId="Estilo41">
    <w:name w:val="Estilo41"/>
    <w:basedOn w:val="TesisTitulo1"/>
    <w:link w:val="Estilo41Car"/>
    <w:qFormat/>
    <w:rsid w:val="00361FCE"/>
    <w:pPr>
      <w:numPr>
        <w:numId w:val="11"/>
      </w:numPr>
      <w:ind w:left="567" w:hanging="567"/>
    </w:pPr>
  </w:style>
  <w:style w:type="paragraph" w:customStyle="1" w:styleId="Estilo42">
    <w:name w:val="Estilo42"/>
    <w:basedOn w:val="TesisTitulo2"/>
    <w:link w:val="Estilo42Car"/>
    <w:qFormat/>
    <w:rsid w:val="00361FCE"/>
    <w:pPr>
      <w:numPr>
        <w:numId w:val="11"/>
      </w:numPr>
      <w:ind w:left="567" w:hanging="11"/>
    </w:pPr>
  </w:style>
  <w:style w:type="character" w:customStyle="1" w:styleId="Estilo41Car">
    <w:name w:val="Estilo41 Car"/>
    <w:basedOn w:val="TesisTitulo1Car0"/>
    <w:link w:val="Estilo41"/>
    <w:rsid w:val="00361FCE"/>
    <w:rPr>
      <w:rFonts w:ascii="Arial" w:hAnsi="Arial" w:cs="Arial"/>
      <w:b/>
      <w:sz w:val="28"/>
      <w:szCs w:val="28"/>
    </w:rPr>
  </w:style>
  <w:style w:type="character" w:customStyle="1" w:styleId="Estilo42Car">
    <w:name w:val="Estilo42 Car"/>
    <w:basedOn w:val="TesisTitulo2Car0"/>
    <w:link w:val="Estilo42"/>
    <w:rsid w:val="00361FCE"/>
    <w:rPr>
      <w:rFonts w:ascii="Arial" w:hAnsi="Arial" w:cs="Arial"/>
      <w:b/>
      <w:sz w:val="26"/>
      <w:szCs w:val="26"/>
    </w:rPr>
  </w:style>
  <w:style w:type="paragraph" w:customStyle="1" w:styleId="51">
    <w:name w:val="5.1"/>
    <w:basedOn w:val="TesisTitulo1"/>
    <w:link w:val="51Car"/>
    <w:qFormat/>
    <w:rsid w:val="0006543C"/>
    <w:pPr>
      <w:numPr>
        <w:numId w:val="12"/>
      </w:numPr>
    </w:pPr>
  </w:style>
  <w:style w:type="paragraph" w:customStyle="1" w:styleId="Cap5">
    <w:name w:val="Cap5"/>
    <w:basedOn w:val="Normal"/>
    <w:link w:val="Cap5Car"/>
    <w:rsid w:val="0006543C"/>
    <w:pPr>
      <w:spacing w:line="480" w:lineRule="auto"/>
      <w:ind w:left="567" w:hanging="567"/>
      <w:contextualSpacing/>
      <w:jc w:val="both"/>
    </w:pPr>
    <w:rPr>
      <w:rFonts w:ascii="Arial" w:hAnsi="Arial" w:cs="Arial"/>
      <w:b/>
      <w:sz w:val="28"/>
      <w:szCs w:val="28"/>
    </w:rPr>
  </w:style>
  <w:style w:type="character" w:customStyle="1" w:styleId="51Car">
    <w:name w:val="5.1 Car"/>
    <w:basedOn w:val="TesisTitulo1Car0"/>
    <w:link w:val="51"/>
    <w:rsid w:val="0006543C"/>
    <w:rPr>
      <w:rFonts w:ascii="Arial" w:hAnsi="Arial" w:cs="Arial"/>
      <w:b/>
      <w:sz w:val="28"/>
      <w:szCs w:val="28"/>
    </w:rPr>
  </w:style>
  <w:style w:type="character" w:customStyle="1" w:styleId="Cap5Car">
    <w:name w:val="Cap5 Car"/>
    <w:basedOn w:val="Fuentedeprrafopredeter"/>
    <w:link w:val="Cap5"/>
    <w:rsid w:val="0006543C"/>
    <w:rPr>
      <w:rFonts w:ascii="Arial" w:hAnsi="Arial" w:cs="Arial"/>
      <w:b/>
      <w:sz w:val="28"/>
      <w:szCs w:val="28"/>
    </w:rPr>
  </w:style>
  <w:style w:type="character" w:customStyle="1" w:styleId="Cap51Car">
    <w:name w:val="Cap5.1. Car"/>
    <w:basedOn w:val="TesisTitulo1Car0"/>
    <w:link w:val="Cap51"/>
    <w:rsid w:val="0006543C"/>
    <w:rPr>
      <w:rFonts w:ascii="Arial" w:hAnsi="Arial" w:cs="Arial"/>
      <w:b/>
      <w:sz w:val="28"/>
      <w:szCs w:val="28"/>
    </w:rPr>
  </w:style>
  <w:style w:type="paragraph" w:customStyle="1" w:styleId="Capi51">
    <w:name w:val="Capi5.1"/>
    <w:basedOn w:val="Normal"/>
    <w:link w:val="Capi51Car"/>
    <w:qFormat/>
    <w:rsid w:val="0006543C"/>
    <w:pPr>
      <w:spacing w:line="480" w:lineRule="auto"/>
      <w:ind w:left="567" w:hanging="567"/>
      <w:contextualSpacing/>
      <w:jc w:val="both"/>
    </w:pPr>
    <w:rPr>
      <w:rFonts w:ascii="Arial" w:hAnsi="Arial" w:cs="Arial"/>
      <w:b/>
      <w:sz w:val="28"/>
      <w:szCs w:val="28"/>
    </w:rPr>
  </w:style>
  <w:style w:type="character" w:customStyle="1" w:styleId="Capi51Car">
    <w:name w:val="Capi5.1 Car"/>
    <w:basedOn w:val="Cap51Car"/>
    <w:link w:val="Capi51"/>
    <w:rsid w:val="0006543C"/>
    <w:rPr>
      <w:rFonts w:ascii="Arial" w:hAnsi="Arial" w:cs="Arial"/>
      <w:b/>
      <w:sz w:val="28"/>
      <w:szCs w:val="28"/>
    </w:rPr>
  </w:style>
  <w:style w:type="paragraph" w:customStyle="1" w:styleId="Cap51">
    <w:name w:val="Cap5.1."/>
    <w:basedOn w:val="TesisTitulo1"/>
    <w:link w:val="Cap51Car"/>
    <w:rsid w:val="0006543C"/>
    <w:pPr>
      <w:numPr>
        <w:numId w:val="13"/>
      </w:numPr>
      <w:ind w:left="567" w:hanging="567"/>
    </w:pPr>
  </w:style>
  <w:style w:type="paragraph" w:customStyle="1" w:styleId="52">
    <w:name w:val="5.2"/>
    <w:basedOn w:val="TesisTitulo20"/>
    <w:link w:val="52Car"/>
    <w:qFormat/>
    <w:rsid w:val="0006543C"/>
    <w:pPr>
      <w:numPr>
        <w:numId w:val="12"/>
      </w:numPr>
      <w:ind w:left="567" w:firstLine="0"/>
    </w:pPr>
  </w:style>
  <w:style w:type="character" w:customStyle="1" w:styleId="52Car">
    <w:name w:val="5.2 Car"/>
    <w:basedOn w:val="TesisTitulo2Car"/>
    <w:link w:val="52"/>
    <w:rsid w:val="0006543C"/>
    <w:rPr>
      <w:rFonts w:ascii="Arial" w:hAnsi="Arial" w:cs="Arial"/>
      <w:b/>
      <w:sz w:val="26"/>
      <w:szCs w:val="26"/>
    </w:rPr>
  </w:style>
  <w:style w:type="character" w:customStyle="1" w:styleId="Ttulo2Car">
    <w:name w:val="Título 2 Car"/>
    <w:basedOn w:val="Fuentedeprrafopredeter"/>
    <w:link w:val="Ttulo2"/>
    <w:uiPriority w:val="9"/>
    <w:semiHidden/>
    <w:rsid w:val="005C75B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C75BB"/>
    <w:rPr>
      <w:rFonts w:asciiTheme="majorHAnsi" w:eastAsiaTheme="majorEastAsia" w:hAnsiTheme="majorHAnsi" w:cstheme="majorBidi"/>
      <w:b/>
      <w:bCs/>
      <w:color w:val="4F81BD" w:themeColor="accent1"/>
    </w:rPr>
  </w:style>
  <w:style w:type="paragraph" w:customStyle="1" w:styleId="61">
    <w:name w:val="6.1"/>
    <w:basedOn w:val="51"/>
    <w:link w:val="61Car"/>
    <w:qFormat/>
    <w:rsid w:val="005C75BB"/>
    <w:pPr>
      <w:numPr>
        <w:numId w:val="14"/>
      </w:numPr>
      <w:ind w:left="567" w:hanging="567"/>
    </w:pPr>
  </w:style>
  <w:style w:type="character" w:customStyle="1" w:styleId="61Car">
    <w:name w:val="6.1 Car"/>
    <w:basedOn w:val="51Car"/>
    <w:link w:val="61"/>
    <w:rsid w:val="005C75BB"/>
    <w:rPr>
      <w:rFonts w:ascii="Arial" w:hAnsi="Arial" w:cs="Arial"/>
      <w:b/>
      <w:sz w:val="28"/>
      <w:szCs w:val="28"/>
    </w:rPr>
  </w:style>
  <w:style w:type="paragraph" w:customStyle="1" w:styleId="62">
    <w:name w:val="6.2"/>
    <w:basedOn w:val="52"/>
    <w:link w:val="62Car"/>
    <w:qFormat/>
    <w:rsid w:val="005C75BB"/>
    <w:pPr>
      <w:numPr>
        <w:numId w:val="14"/>
      </w:numPr>
      <w:ind w:left="1276" w:hanging="709"/>
    </w:pPr>
  </w:style>
  <w:style w:type="paragraph" w:customStyle="1" w:styleId="Default">
    <w:name w:val="Default"/>
    <w:rsid w:val="005C75BB"/>
    <w:pPr>
      <w:autoSpaceDE w:val="0"/>
      <w:autoSpaceDN w:val="0"/>
      <w:adjustRightInd w:val="0"/>
      <w:ind w:left="0"/>
      <w:jc w:val="left"/>
    </w:pPr>
    <w:rPr>
      <w:rFonts w:ascii="Times New Roman" w:hAnsi="Times New Roman" w:cs="Times New Roman"/>
      <w:color w:val="000000"/>
      <w:sz w:val="24"/>
      <w:szCs w:val="24"/>
    </w:rPr>
  </w:style>
  <w:style w:type="character" w:customStyle="1" w:styleId="62Car">
    <w:name w:val="6.2 Car"/>
    <w:basedOn w:val="52Car"/>
    <w:link w:val="62"/>
    <w:rsid w:val="005C75BB"/>
    <w:rPr>
      <w:rFonts w:ascii="Arial" w:hAnsi="Arial" w:cs="Arial"/>
      <w:b/>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945943">
      <w:bodyDiv w:val="1"/>
      <w:marLeft w:val="0"/>
      <w:marRight w:val="0"/>
      <w:marTop w:val="0"/>
      <w:marBottom w:val="0"/>
      <w:divBdr>
        <w:top w:val="none" w:sz="0" w:space="0" w:color="auto"/>
        <w:left w:val="none" w:sz="0" w:space="0" w:color="auto"/>
        <w:bottom w:val="none" w:sz="0" w:space="0" w:color="auto"/>
        <w:right w:val="none" w:sz="0" w:space="0" w:color="auto"/>
      </w:divBdr>
    </w:div>
    <w:div w:id="511073803">
      <w:bodyDiv w:val="1"/>
      <w:marLeft w:val="0"/>
      <w:marRight w:val="0"/>
      <w:marTop w:val="0"/>
      <w:marBottom w:val="0"/>
      <w:divBdr>
        <w:top w:val="none" w:sz="0" w:space="0" w:color="auto"/>
        <w:left w:val="none" w:sz="0" w:space="0" w:color="auto"/>
        <w:bottom w:val="none" w:sz="0" w:space="0" w:color="auto"/>
        <w:right w:val="none" w:sz="0" w:space="0" w:color="auto"/>
      </w:divBdr>
    </w:div>
    <w:div w:id="669605066">
      <w:bodyDiv w:val="1"/>
      <w:marLeft w:val="0"/>
      <w:marRight w:val="0"/>
      <w:marTop w:val="0"/>
      <w:marBottom w:val="0"/>
      <w:divBdr>
        <w:top w:val="none" w:sz="0" w:space="0" w:color="auto"/>
        <w:left w:val="none" w:sz="0" w:space="0" w:color="auto"/>
        <w:bottom w:val="none" w:sz="0" w:space="0" w:color="auto"/>
        <w:right w:val="none" w:sz="0" w:space="0" w:color="auto"/>
      </w:divBdr>
    </w:div>
    <w:div w:id="887451944">
      <w:bodyDiv w:val="1"/>
      <w:marLeft w:val="0"/>
      <w:marRight w:val="0"/>
      <w:marTop w:val="0"/>
      <w:marBottom w:val="0"/>
      <w:divBdr>
        <w:top w:val="none" w:sz="0" w:space="0" w:color="auto"/>
        <w:left w:val="none" w:sz="0" w:space="0" w:color="auto"/>
        <w:bottom w:val="none" w:sz="0" w:space="0" w:color="auto"/>
        <w:right w:val="none" w:sz="0" w:space="0" w:color="auto"/>
      </w:divBdr>
    </w:div>
    <w:div w:id="1922060067">
      <w:bodyDiv w:val="1"/>
      <w:marLeft w:val="0"/>
      <w:marRight w:val="0"/>
      <w:marTop w:val="0"/>
      <w:marBottom w:val="0"/>
      <w:divBdr>
        <w:top w:val="none" w:sz="0" w:space="0" w:color="auto"/>
        <w:left w:val="none" w:sz="0" w:space="0" w:color="auto"/>
        <w:bottom w:val="none" w:sz="0" w:space="0" w:color="auto"/>
        <w:right w:val="none" w:sz="0" w:space="0" w:color="auto"/>
      </w:divBdr>
    </w:div>
    <w:div w:id="205253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3.xml"/><Relationship Id="rId299" Type="http://schemas.openxmlformats.org/officeDocument/2006/relationships/image" Target="media/image28.wmf"/><Relationship Id="rId303" Type="http://schemas.openxmlformats.org/officeDocument/2006/relationships/image" Target="media/image31.png"/><Relationship Id="rId21" Type="http://schemas.openxmlformats.org/officeDocument/2006/relationships/oleObject" Target="embeddings/oleObject1.bin"/><Relationship Id="rId42" Type="http://schemas.openxmlformats.org/officeDocument/2006/relationships/chart" Target="charts/chart13.xml"/><Relationship Id="rId63" Type="http://schemas.openxmlformats.org/officeDocument/2006/relationships/header" Target="header5.xml"/><Relationship Id="rId84" Type="http://schemas.openxmlformats.org/officeDocument/2006/relationships/chart" Target="charts/chart51.xml"/><Relationship Id="rId138" Type="http://schemas.openxmlformats.org/officeDocument/2006/relationships/image" Target="media/image16.emf"/><Relationship Id="rId159" Type="http://schemas.openxmlformats.org/officeDocument/2006/relationships/chart" Target="charts/chart124.xml"/><Relationship Id="rId170" Type="http://schemas.openxmlformats.org/officeDocument/2006/relationships/chart" Target="charts/chart135.xml"/><Relationship Id="rId191" Type="http://schemas.openxmlformats.org/officeDocument/2006/relationships/chart" Target="charts/chart155.xml"/><Relationship Id="rId205" Type="http://schemas.openxmlformats.org/officeDocument/2006/relationships/chart" Target="charts/chart169.xml"/><Relationship Id="rId226" Type="http://schemas.openxmlformats.org/officeDocument/2006/relationships/chart" Target="charts/chart189.xml"/><Relationship Id="rId247" Type="http://schemas.openxmlformats.org/officeDocument/2006/relationships/chart" Target="charts/chart210.xml"/><Relationship Id="rId107" Type="http://schemas.openxmlformats.org/officeDocument/2006/relationships/chart" Target="charts/chart73.xml"/><Relationship Id="rId268" Type="http://schemas.openxmlformats.org/officeDocument/2006/relationships/chart" Target="charts/chart231.xml"/><Relationship Id="rId289" Type="http://schemas.openxmlformats.org/officeDocument/2006/relationships/image" Target="media/image23.wmf"/><Relationship Id="rId11" Type="http://schemas.openxmlformats.org/officeDocument/2006/relationships/header" Target="header2.xml"/><Relationship Id="rId32" Type="http://schemas.openxmlformats.org/officeDocument/2006/relationships/oleObject" Target="embeddings/oleObject3.bin"/><Relationship Id="rId53" Type="http://schemas.openxmlformats.org/officeDocument/2006/relationships/chart" Target="charts/chart24.xml"/><Relationship Id="rId74" Type="http://schemas.openxmlformats.org/officeDocument/2006/relationships/chart" Target="charts/chart41.xml"/><Relationship Id="rId128" Type="http://schemas.openxmlformats.org/officeDocument/2006/relationships/chart" Target="charts/chart94.xml"/><Relationship Id="rId149" Type="http://schemas.openxmlformats.org/officeDocument/2006/relationships/chart" Target="charts/chart114.xml"/><Relationship Id="rId314" Type="http://schemas.openxmlformats.org/officeDocument/2006/relationships/image" Target="media/image42.png"/><Relationship Id="rId5" Type="http://schemas.openxmlformats.org/officeDocument/2006/relationships/settings" Target="settings.xml"/><Relationship Id="rId95" Type="http://schemas.openxmlformats.org/officeDocument/2006/relationships/chart" Target="charts/chart62.xml"/><Relationship Id="rId160" Type="http://schemas.openxmlformats.org/officeDocument/2006/relationships/chart" Target="charts/chart125.xml"/><Relationship Id="rId181" Type="http://schemas.openxmlformats.org/officeDocument/2006/relationships/chart" Target="charts/chart145.xml"/><Relationship Id="rId216" Type="http://schemas.openxmlformats.org/officeDocument/2006/relationships/chart" Target="charts/chart179.xml"/><Relationship Id="rId237" Type="http://schemas.openxmlformats.org/officeDocument/2006/relationships/chart" Target="charts/chart200.xml"/><Relationship Id="rId258" Type="http://schemas.openxmlformats.org/officeDocument/2006/relationships/chart" Target="charts/chart221.xml"/><Relationship Id="rId279" Type="http://schemas.openxmlformats.org/officeDocument/2006/relationships/chart" Target="charts/chart242.xml"/><Relationship Id="rId22" Type="http://schemas.openxmlformats.org/officeDocument/2006/relationships/image" Target="media/image3.wmf"/><Relationship Id="rId43" Type="http://schemas.openxmlformats.org/officeDocument/2006/relationships/chart" Target="charts/chart14.xml"/><Relationship Id="rId64" Type="http://schemas.openxmlformats.org/officeDocument/2006/relationships/chart" Target="charts/chart32.xml"/><Relationship Id="rId118" Type="http://schemas.openxmlformats.org/officeDocument/2006/relationships/chart" Target="charts/chart84.xml"/><Relationship Id="rId139" Type="http://schemas.openxmlformats.org/officeDocument/2006/relationships/chart" Target="charts/chart104.xml"/><Relationship Id="rId290" Type="http://schemas.openxmlformats.org/officeDocument/2006/relationships/oleObject" Target="embeddings/oleObject10.bin"/><Relationship Id="rId304" Type="http://schemas.openxmlformats.org/officeDocument/2006/relationships/image" Target="media/image32.png"/><Relationship Id="rId85" Type="http://schemas.openxmlformats.org/officeDocument/2006/relationships/chart" Target="charts/chart52.xml"/><Relationship Id="rId150" Type="http://schemas.openxmlformats.org/officeDocument/2006/relationships/chart" Target="charts/chart115.xml"/><Relationship Id="rId171" Type="http://schemas.openxmlformats.org/officeDocument/2006/relationships/chart" Target="charts/chart136.xml"/><Relationship Id="rId192" Type="http://schemas.openxmlformats.org/officeDocument/2006/relationships/chart" Target="charts/chart156.xml"/><Relationship Id="rId206" Type="http://schemas.openxmlformats.org/officeDocument/2006/relationships/chart" Target="charts/chart170.xml"/><Relationship Id="rId227" Type="http://schemas.openxmlformats.org/officeDocument/2006/relationships/chart" Target="charts/chart190.xml"/><Relationship Id="rId248" Type="http://schemas.openxmlformats.org/officeDocument/2006/relationships/chart" Target="charts/chart211.xml"/><Relationship Id="rId269" Type="http://schemas.openxmlformats.org/officeDocument/2006/relationships/chart" Target="charts/chart232.xml"/><Relationship Id="rId12" Type="http://schemas.openxmlformats.org/officeDocument/2006/relationships/header" Target="header3.xml"/><Relationship Id="rId33" Type="http://schemas.openxmlformats.org/officeDocument/2006/relationships/chart" Target="charts/chart8.xml"/><Relationship Id="rId108" Type="http://schemas.openxmlformats.org/officeDocument/2006/relationships/chart" Target="charts/chart74.xml"/><Relationship Id="rId129" Type="http://schemas.openxmlformats.org/officeDocument/2006/relationships/chart" Target="charts/chart95.xml"/><Relationship Id="rId280" Type="http://schemas.openxmlformats.org/officeDocument/2006/relationships/chart" Target="charts/chart243.xml"/><Relationship Id="rId315" Type="http://schemas.openxmlformats.org/officeDocument/2006/relationships/image" Target="media/image43.png"/><Relationship Id="rId54" Type="http://schemas.openxmlformats.org/officeDocument/2006/relationships/chart" Target="charts/chart25.xml"/><Relationship Id="rId75" Type="http://schemas.openxmlformats.org/officeDocument/2006/relationships/chart" Target="charts/chart42.xml"/><Relationship Id="rId96" Type="http://schemas.openxmlformats.org/officeDocument/2006/relationships/chart" Target="charts/chart63.xml"/><Relationship Id="rId140" Type="http://schemas.openxmlformats.org/officeDocument/2006/relationships/chart" Target="charts/chart105.xml"/><Relationship Id="rId161" Type="http://schemas.openxmlformats.org/officeDocument/2006/relationships/chart" Target="charts/chart126.xml"/><Relationship Id="rId182" Type="http://schemas.openxmlformats.org/officeDocument/2006/relationships/chart" Target="charts/chart146.xml"/><Relationship Id="rId217" Type="http://schemas.openxmlformats.org/officeDocument/2006/relationships/chart" Target="charts/chart180.xml"/><Relationship Id="rId6" Type="http://schemas.openxmlformats.org/officeDocument/2006/relationships/webSettings" Target="webSettings.xml"/><Relationship Id="rId238" Type="http://schemas.openxmlformats.org/officeDocument/2006/relationships/chart" Target="charts/chart201.xml"/><Relationship Id="rId259" Type="http://schemas.openxmlformats.org/officeDocument/2006/relationships/chart" Target="charts/chart222.xml"/><Relationship Id="rId23" Type="http://schemas.openxmlformats.org/officeDocument/2006/relationships/oleObject" Target="embeddings/oleObject2.bin"/><Relationship Id="rId119" Type="http://schemas.openxmlformats.org/officeDocument/2006/relationships/chart" Target="charts/chart85.xml"/><Relationship Id="rId270" Type="http://schemas.openxmlformats.org/officeDocument/2006/relationships/chart" Target="charts/chart233.xml"/><Relationship Id="rId291" Type="http://schemas.openxmlformats.org/officeDocument/2006/relationships/image" Target="media/image24.wmf"/><Relationship Id="rId305" Type="http://schemas.openxmlformats.org/officeDocument/2006/relationships/image" Target="media/image33.png"/><Relationship Id="rId44" Type="http://schemas.openxmlformats.org/officeDocument/2006/relationships/chart" Target="charts/chart15.xml"/><Relationship Id="rId65" Type="http://schemas.openxmlformats.org/officeDocument/2006/relationships/header" Target="header6.xml"/><Relationship Id="rId86" Type="http://schemas.openxmlformats.org/officeDocument/2006/relationships/chart" Target="charts/chart53.xml"/><Relationship Id="rId130" Type="http://schemas.openxmlformats.org/officeDocument/2006/relationships/chart" Target="charts/chart96.xml"/><Relationship Id="rId151" Type="http://schemas.openxmlformats.org/officeDocument/2006/relationships/chart" Target="charts/chart116.xml"/><Relationship Id="rId172" Type="http://schemas.openxmlformats.org/officeDocument/2006/relationships/chart" Target="charts/chart137.xml"/><Relationship Id="rId193" Type="http://schemas.openxmlformats.org/officeDocument/2006/relationships/chart" Target="charts/chart157.xml"/><Relationship Id="rId207" Type="http://schemas.openxmlformats.org/officeDocument/2006/relationships/chart" Target="charts/chart171.xml"/><Relationship Id="rId228" Type="http://schemas.openxmlformats.org/officeDocument/2006/relationships/chart" Target="charts/chart191.xml"/><Relationship Id="rId249" Type="http://schemas.openxmlformats.org/officeDocument/2006/relationships/chart" Target="charts/chart212.xml"/><Relationship Id="rId13" Type="http://schemas.openxmlformats.org/officeDocument/2006/relationships/chart" Target="charts/chart1.xml"/><Relationship Id="rId109" Type="http://schemas.openxmlformats.org/officeDocument/2006/relationships/chart" Target="charts/chart75.xml"/><Relationship Id="rId260" Type="http://schemas.openxmlformats.org/officeDocument/2006/relationships/chart" Target="charts/chart223.xml"/><Relationship Id="rId281" Type="http://schemas.openxmlformats.org/officeDocument/2006/relationships/image" Target="media/image19.wmf"/><Relationship Id="rId316" Type="http://schemas.openxmlformats.org/officeDocument/2006/relationships/image" Target="media/image44.png"/><Relationship Id="rId34" Type="http://schemas.openxmlformats.org/officeDocument/2006/relationships/chart" Target="charts/chart9.xml"/><Relationship Id="rId55" Type="http://schemas.openxmlformats.org/officeDocument/2006/relationships/chart" Target="charts/chart26.xml"/><Relationship Id="rId76" Type="http://schemas.openxmlformats.org/officeDocument/2006/relationships/chart" Target="charts/chart43.xml"/><Relationship Id="rId97" Type="http://schemas.openxmlformats.org/officeDocument/2006/relationships/chart" Target="charts/chart64.xml"/><Relationship Id="rId120" Type="http://schemas.openxmlformats.org/officeDocument/2006/relationships/chart" Target="charts/chart86.xml"/><Relationship Id="rId141" Type="http://schemas.openxmlformats.org/officeDocument/2006/relationships/chart" Target="charts/chart106.xml"/><Relationship Id="rId7" Type="http://schemas.openxmlformats.org/officeDocument/2006/relationships/footnotes" Target="footnotes.xml"/><Relationship Id="rId162" Type="http://schemas.openxmlformats.org/officeDocument/2006/relationships/chart" Target="charts/chart127.xml"/><Relationship Id="rId183" Type="http://schemas.openxmlformats.org/officeDocument/2006/relationships/chart" Target="charts/chart147.xml"/><Relationship Id="rId218" Type="http://schemas.openxmlformats.org/officeDocument/2006/relationships/chart" Target="charts/chart181.xml"/><Relationship Id="rId239" Type="http://schemas.openxmlformats.org/officeDocument/2006/relationships/chart" Target="charts/chart202.xml"/><Relationship Id="rId250" Type="http://schemas.openxmlformats.org/officeDocument/2006/relationships/chart" Target="charts/chart213.xml"/><Relationship Id="rId271" Type="http://schemas.openxmlformats.org/officeDocument/2006/relationships/chart" Target="charts/chart234.xml"/><Relationship Id="rId292" Type="http://schemas.openxmlformats.org/officeDocument/2006/relationships/oleObject" Target="embeddings/oleObject11.bin"/><Relationship Id="rId306" Type="http://schemas.openxmlformats.org/officeDocument/2006/relationships/image" Target="media/image34.png"/><Relationship Id="rId24" Type="http://schemas.openxmlformats.org/officeDocument/2006/relationships/image" Target="media/image4.png"/><Relationship Id="rId45" Type="http://schemas.openxmlformats.org/officeDocument/2006/relationships/chart" Target="charts/chart16.xml"/><Relationship Id="rId66" Type="http://schemas.openxmlformats.org/officeDocument/2006/relationships/chart" Target="charts/chart33.xml"/><Relationship Id="rId87" Type="http://schemas.openxmlformats.org/officeDocument/2006/relationships/chart" Target="charts/chart54.xml"/><Relationship Id="rId110" Type="http://schemas.openxmlformats.org/officeDocument/2006/relationships/chart" Target="charts/chart76.xml"/><Relationship Id="rId131" Type="http://schemas.openxmlformats.org/officeDocument/2006/relationships/chart" Target="charts/chart97.xml"/><Relationship Id="rId152" Type="http://schemas.openxmlformats.org/officeDocument/2006/relationships/chart" Target="charts/chart117.xml"/><Relationship Id="rId173" Type="http://schemas.openxmlformats.org/officeDocument/2006/relationships/image" Target="media/image17.emf"/><Relationship Id="rId194" Type="http://schemas.openxmlformats.org/officeDocument/2006/relationships/chart" Target="charts/chart158.xml"/><Relationship Id="rId208" Type="http://schemas.openxmlformats.org/officeDocument/2006/relationships/image" Target="media/image18.emf"/><Relationship Id="rId229" Type="http://schemas.openxmlformats.org/officeDocument/2006/relationships/chart" Target="charts/chart192.xml"/><Relationship Id="rId19" Type="http://schemas.openxmlformats.org/officeDocument/2006/relationships/header" Target="header4.xml"/><Relationship Id="rId224" Type="http://schemas.openxmlformats.org/officeDocument/2006/relationships/chart" Target="charts/chart187.xml"/><Relationship Id="rId240" Type="http://schemas.openxmlformats.org/officeDocument/2006/relationships/chart" Target="charts/chart203.xml"/><Relationship Id="rId245" Type="http://schemas.openxmlformats.org/officeDocument/2006/relationships/chart" Target="charts/chart208.xml"/><Relationship Id="rId261" Type="http://schemas.openxmlformats.org/officeDocument/2006/relationships/chart" Target="charts/chart224.xml"/><Relationship Id="rId266" Type="http://schemas.openxmlformats.org/officeDocument/2006/relationships/chart" Target="charts/chart229.xml"/><Relationship Id="rId287" Type="http://schemas.openxmlformats.org/officeDocument/2006/relationships/image" Target="media/image22.wmf"/><Relationship Id="rId14" Type="http://schemas.openxmlformats.org/officeDocument/2006/relationships/chart" Target="charts/chart2.xml"/><Relationship Id="rId30" Type="http://schemas.openxmlformats.org/officeDocument/2006/relationships/chart" Target="charts/chart7.xml"/><Relationship Id="rId35" Type="http://schemas.openxmlformats.org/officeDocument/2006/relationships/chart" Target="charts/chart10.xml"/><Relationship Id="rId56" Type="http://schemas.openxmlformats.org/officeDocument/2006/relationships/chart" Target="charts/chart27.xml"/><Relationship Id="rId77" Type="http://schemas.openxmlformats.org/officeDocument/2006/relationships/chart" Target="charts/chart44.xml"/><Relationship Id="rId100" Type="http://schemas.openxmlformats.org/officeDocument/2006/relationships/chart" Target="charts/chart67.xml"/><Relationship Id="rId105" Type="http://schemas.openxmlformats.org/officeDocument/2006/relationships/chart" Target="charts/chart71.xml"/><Relationship Id="rId126" Type="http://schemas.openxmlformats.org/officeDocument/2006/relationships/chart" Target="charts/chart92.xml"/><Relationship Id="rId147" Type="http://schemas.openxmlformats.org/officeDocument/2006/relationships/chart" Target="charts/chart112.xml"/><Relationship Id="rId168" Type="http://schemas.openxmlformats.org/officeDocument/2006/relationships/chart" Target="charts/chart133.xml"/><Relationship Id="rId282" Type="http://schemas.openxmlformats.org/officeDocument/2006/relationships/oleObject" Target="embeddings/oleObject6.bin"/><Relationship Id="rId312" Type="http://schemas.openxmlformats.org/officeDocument/2006/relationships/image" Target="media/image40.png"/><Relationship Id="rId317"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chart" Target="charts/chart22.xml"/><Relationship Id="rId72" Type="http://schemas.openxmlformats.org/officeDocument/2006/relationships/chart" Target="charts/chart39.xml"/><Relationship Id="rId93" Type="http://schemas.openxmlformats.org/officeDocument/2006/relationships/chart" Target="charts/chart60.xml"/><Relationship Id="rId98" Type="http://schemas.openxmlformats.org/officeDocument/2006/relationships/chart" Target="charts/chart65.xml"/><Relationship Id="rId121" Type="http://schemas.openxmlformats.org/officeDocument/2006/relationships/chart" Target="charts/chart87.xml"/><Relationship Id="rId142" Type="http://schemas.openxmlformats.org/officeDocument/2006/relationships/chart" Target="charts/chart107.xml"/><Relationship Id="rId163" Type="http://schemas.openxmlformats.org/officeDocument/2006/relationships/chart" Target="charts/chart128.xml"/><Relationship Id="rId184" Type="http://schemas.openxmlformats.org/officeDocument/2006/relationships/chart" Target="charts/chart148.xml"/><Relationship Id="rId189" Type="http://schemas.openxmlformats.org/officeDocument/2006/relationships/chart" Target="charts/chart153.xml"/><Relationship Id="rId219" Type="http://schemas.openxmlformats.org/officeDocument/2006/relationships/chart" Target="charts/chart182.xml"/><Relationship Id="rId3" Type="http://schemas.openxmlformats.org/officeDocument/2006/relationships/styles" Target="styles.xml"/><Relationship Id="rId214" Type="http://schemas.openxmlformats.org/officeDocument/2006/relationships/chart" Target="charts/chart177.xml"/><Relationship Id="rId230" Type="http://schemas.openxmlformats.org/officeDocument/2006/relationships/chart" Target="charts/chart193.xml"/><Relationship Id="rId235" Type="http://schemas.openxmlformats.org/officeDocument/2006/relationships/chart" Target="charts/chart198.xml"/><Relationship Id="rId251" Type="http://schemas.openxmlformats.org/officeDocument/2006/relationships/chart" Target="charts/chart214.xml"/><Relationship Id="rId256" Type="http://schemas.openxmlformats.org/officeDocument/2006/relationships/chart" Target="charts/chart219.xml"/><Relationship Id="rId277" Type="http://schemas.openxmlformats.org/officeDocument/2006/relationships/chart" Target="charts/chart240.xml"/><Relationship Id="rId298" Type="http://schemas.openxmlformats.org/officeDocument/2006/relationships/oleObject" Target="embeddings/oleObject14.bin"/><Relationship Id="rId25" Type="http://schemas.openxmlformats.org/officeDocument/2006/relationships/image" Target="media/image5.png"/><Relationship Id="rId46" Type="http://schemas.openxmlformats.org/officeDocument/2006/relationships/chart" Target="charts/chart17.xml"/><Relationship Id="rId67" Type="http://schemas.openxmlformats.org/officeDocument/2006/relationships/chart" Target="charts/chart34.xml"/><Relationship Id="rId116" Type="http://schemas.openxmlformats.org/officeDocument/2006/relationships/chart" Target="charts/chart82.xml"/><Relationship Id="rId137" Type="http://schemas.openxmlformats.org/officeDocument/2006/relationships/chart" Target="charts/chart103.xml"/><Relationship Id="rId158" Type="http://schemas.openxmlformats.org/officeDocument/2006/relationships/chart" Target="charts/chart123.xml"/><Relationship Id="rId272" Type="http://schemas.openxmlformats.org/officeDocument/2006/relationships/chart" Target="charts/chart235.xml"/><Relationship Id="rId293" Type="http://schemas.openxmlformats.org/officeDocument/2006/relationships/image" Target="media/image25.wmf"/><Relationship Id="rId302" Type="http://schemas.openxmlformats.org/officeDocument/2006/relationships/image" Target="media/image30.png"/><Relationship Id="rId307" Type="http://schemas.openxmlformats.org/officeDocument/2006/relationships/image" Target="media/image35.png"/><Relationship Id="rId20" Type="http://schemas.openxmlformats.org/officeDocument/2006/relationships/image" Target="media/image2.wmf"/><Relationship Id="rId41" Type="http://schemas.openxmlformats.org/officeDocument/2006/relationships/chart" Target="charts/chart12.xml"/><Relationship Id="rId62" Type="http://schemas.openxmlformats.org/officeDocument/2006/relationships/chart" Target="charts/chart31.xml"/><Relationship Id="rId83" Type="http://schemas.openxmlformats.org/officeDocument/2006/relationships/chart" Target="charts/chart50.xml"/><Relationship Id="rId88" Type="http://schemas.openxmlformats.org/officeDocument/2006/relationships/chart" Target="charts/chart55.xml"/><Relationship Id="rId111" Type="http://schemas.openxmlformats.org/officeDocument/2006/relationships/chart" Target="charts/chart77.xml"/><Relationship Id="rId132" Type="http://schemas.openxmlformats.org/officeDocument/2006/relationships/chart" Target="charts/chart98.xml"/><Relationship Id="rId153" Type="http://schemas.openxmlformats.org/officeDocument/2006/relationships/chart" Target="charts/chart118.xml"/><Relationship Id="rId174" Type="http://schemas.openxmlformats.org/officeDocument/2006/relationships/chart" Target="charts/chart138.xml"/><Relationship Id="rId179" Type="http://schemas.openxmlformats.org/officeDocument/2006/relationships/chart" Target="charts/chart143.xml"/><Relationship Id="rId195" Type="http://schemas.openxmlformats.org/officeDocument/2006/relationships/chart" Target="charts/chart159.xml"/><Relationship Id="rId209" Type="http://schemas.openxmlformats.org/officeDocument/2006/relationships/chart" Target="charts/chart172.xml"/><Relationship Id="rId190" Type="http://schemas.openxmlformats.org/officeDocument/2006/relationships/chart" Target="charts/chart154.xml"/><Relationship Id="rId204" Type="http://schemas.openxmlformats.org/officeDocument/2006/relationships/chart" Target="charts/chart168.xml"/><Relationship Id="rId220" Type="http://schemas.openxmlformats.org/officeDocument/2006/relationships/chart" Target="charts/chart183.xml"/><Relationship Id="rId225" Type="http://schemas.openxmlformats.org/officeDocument/2006/relationships/chart" Target="charts/chart188.xml"/><Relationship Id="rId241" Type="http://schemas.openxmlformats.org/officeDocument/2006/relationships/chart" Target="charts/chart204.xml"/><Relationship Id="rId246" Type="http://schemas.openxmlformats.org/officeDocument/2006/relationships/chart" Target="charts/chart209.xml"/><Relationship Id="rId267" Type="http://schemas.openxmlformats.org/officeDocument/2006/relationships/chart" Target="charts/chart230.xml"/><Relationship Id="rId288" Type="http://schemas.openxmlformats.org/officeDocument/2006/relationships/oleObject" Target="embeddings/oleObject9.bin"/><Relationship Id="rId15" Type="http://schemas.openxmlformats.org/officeDocument/2006/relationships/chart" Target="charts/chart3.xml"/><Relationship Id="rId36" Type="http://schemas.openxmlformats.org/officeDocument/2006/relationships/image" Target="media/image11.wmf"/><Relationship Id="rId57" Type="http://schemas.openxmlformats.org/officeDocument/2006/relationships/image" Target="media/image13.png"/><Relationship Id="rId106" Type="http://schemas.openxmlformats.org/officeDocument/2006/relationships/chart" Target="charts/chart72.xml"/><Relationship Id="rId127" Type="http://schemas.openxmlformats.org/officeDocument/2006/relationships/chart" Target="charts/chart93.xml"/><Relationship Id="rId262" Type="http://schemas.openxmlformats.org/officeDocument/2006/relationships/chart" Target="charts/chart225.xml"/><Relationship Id="rId283" Type="http://schemas.openxmlformats.org/officeDocument/2006/relationships/image" Target="media/image20.wmf"/><Relationship Id="rId313" Type="http://schemas.openxmlformats.org/officeDocument/2006/relationships/image" Target="media/image41.png"/><Relationship Id="rId318"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10.wmf"/><Relationship Id="rId52" Type="http://schemas.openxmlformats.org/officeDocument/2006/relationships/chart" Target="charts/chart23.xml"/><Relationship Id="rId73" Type="http://schemas.openxmlformats.org/officeDocument/2006/relationships/chart" Target="charts/chart40.xml"/><Relationship Id="rId78" Type="http://schemas.openxmlformats.org/officeDocument/2006/relationships/chart" Target="charts/chart45.xml"/><Relationship Id="rId94" Type="http://schemas.openxmlformats.org/officeDocument/2006/relationships/chart" Target="charts/chart61.xml"/><Relationship Id="rId99" Type="http://schemas.openxmlformats.org/officeDocument/2006/relationships/chart" Target="charts/chart66.xml"/><Relationship Id="rId101" Type="http://schemas.openxmlformats.org/officeDocument/2006/relationships/chart" Target="charts/chart68.xml"/><Relationship Id="rId122" Type="http://schemas.openxmlformats.org/officeDocument/2006/relationships/chart" Target="charts/chart88.xml"/><Relationship Id="rId143" Type="http://schemas.openxmlformats.org/officeDocument/2006/relationships/chart" Target="charts/chart108.xml"/><Relationship Id="rId148" Type="http://schemas.openxmlformats.org/officeDocument/2006/relationships/chart" Target="charts/chart113.xml"/><Relationship Id="rId164" Type="http://schemas.openxmlformats.org/officeDocument/2006/relationships/chart" Target="charts/chart129.xml"/><Relationship Id="rId169" Type="http://schemas.openxmlformats.org/officeDocument/2006/relationships/chart" Target="charts/chart134.xml"/><Relationship Id="rId185" Type="http://schemas.openxmlformats.org/officeDocument/2006/relationships/chart" Target="charts/chart149.xml"/><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chart" Target="charts/chart144.xml"/><Relationship Id="rId210" Type="http://schemas.openxmlformats.org/officeDocument/2006/relationships/chart" Target="charts/chart173.xml"/><Relationship Id="rId215" Type="http://schemas.openxmlformats.org/officeDocument/2006/relationships/chart" Target="charts/chart178.xml"/><Relationship Id="rId236" Type="http://schemas.openxmlformats.org/officeDocument/2006/relationships/chart" Target="charts/chart199.xml"/><Relationship Id="rId257" Type="http://schemas.openxmlformats.org/officeDocument/2006/relationships/chart" Target="charts/chart220.xml"/><Relationship Id="rId278" Type="http://schemas.openxmlformats.org/officeDocument/2006/relationships/chart" Target="charts/chart241.xml"/><Relationship Id="rId26" Type="http://schemas.openxmlformats.org/officeDocument/2006/relationships/image" Target="media/image6.png"/><Relationship Id="rId231" Type="http://schemas.openxmlformats.org/officeDocument/2006/relationships/chart" Target="charts/chart194.xml"/><Relationship Id="rId252" Type="http://schemas.openxmlformats.org/officeDocument/2006/relationships/chart" Target="charts/chart215.xml"/><Relationship Id="rId273" Type="http://schemas.openxmlformats.org/officeDocument/2006/relationships/chart" Target="charts/chart236.xml"/><Relationship Id="rId294" Type="http://schemas.openxmlformats.org/officeDocument/2006/relationships/oleObject" Target="embeddings/oleObject12.bin"/><Relationship Id="rId308" Type="http://schemas.openxmlformats.org/officeDocument/2006/relationships/image" Target="media/image36.png"/><Relationship Id="rId47" Type="http://schemas.openxmlformats.org/officeDocument/2006/relationships/chart" Target="charts/chart18.xml"/><Relationship Id="rId68" Type="http://schemas.openxmlformats.org/officeDocument/2006/relationships/chart" Target="charts/chart35.xml"/><Relationship Id="rId89" Type="http://schemas.openxmlformats.org/officeDocument/2006/relationships/chart" Target="charts/chart56.xml"/><Relationship Id="rId112" Type="http://schemas.openxmlformats.org/officeDocument/2006/relationships/chart" Target="charts/chart78.xml"/><Relationship Id="rId133" Type="http://schemas.openxmlformats.org/officeDocument/2006/relationships/chart" Target="charts/chart99.xml"/><Relationship Id="rId154" Type="http://schemas.openxmlformats.org/officeDocument/2006/relationships/chart" Target="charts/chart119.xml"/><Relationship Id="rId175" Type="http://schemas.openxmlformats.org/officeDocument/2006/relationships/chart" Target="charts/chart139.xml"/><Relationship Id="rId196" Type="http://schemas.openxmlformats.org/officeDocument/2006/relationships/chart" Target="charts/chart160.xml"/><Relationship Id="rId200" Type="http://schemas.openxmlformats.org/officeDocument/2006/relationships/chart" Target="charts/chart164.xml"/><Relationship Id="rId16" Type="http://schemas.openxmlformats.org/officeDocument/2006/relationships/chart" Target="charts/chart4.xml"/><Relationship Id="rId221" Type="http://schemas.openxmlformats.org/officeDocument/2006/relationships/chart" Target="charts/chart184.xml"/><Relationship Id="rId242" Type="http://schemas.openxmlformats.org/officeDocument/2006/relationships/chart" Target="charts/chart205.xml"/><Relationship Id="rId263" Type="http://schemas.openxmlformats.org/officeDocument/2006/relationships/chart" Target="charts/chart226.xml"/><Relationship Id="rId284" Type="http://schemas.openxmlformats.org/officeDocument/2006/relationships/oleObject" Target="embeddings/oleObject7.bin"/><Relationship Id="rId319" Type="http://schemas.openxmlformats.org/officeDocument/2006/relationships/fontTable" Target="fontTable.xml"/><Relationship Id="rId37" Type="http://schemas.openxmlformats.org/officeDocument/2006/relationships/oleObject" Target="embeddings/oleObject4.bin"/><Relationship Id="rId58" Type="http://schemas.openxmlformats.org/officeDocument/2006/relationships/image" Target="media/image14.png"/><Relationship Id="rId79" Type="http://schemas.openxmlformats.org/officeDocument/2006/relationships/chart" Target="charts/chart46.xml"/><Relationship Id="rId102" Type="http://schemas.openxmlformats.org/officeDocument/2006/relationships/chart" Target="charts/chart69.xml"/><Relationship Id="rId123" Type="http://schemas.openxmlformats.org/officeDocument/2006/relationships/chart" Target="charts/chart89.xml"/><Relationship Id="rId144" Type="http://schemas.openxmlformats.org/officeDocument/2006/relationships/chart" Target="charts/chart109.xml"/><Relationship Id="rId90" Type="http://schemas.openxmlformats.org/officeDocument/2006/relationships/chart" Target="charts/chart57.xml"/><Relationship Id="rId165" Type="http://schemas.openxmlformats.org/officeDocument/2006/relationships/chart" Target="charts/chart130.xml"/><Relationship Id="rId186" Type="http://schemas.openxmlformats.org/officeDocument/2006/relationships/chart" Target="charts/chart150.xml"/><Relationship Id="rId211" Type="http://schemas.openxmlformats.org/officeDocument/2006/relationships/chart" Target="charts/chart174.xml"/><Relationship Id="rId232" Type="http://schemas.openxmlformats.org/officeDocument/2006/relationships/chart" Target="charts/chart195.xml"/><Relationship Id="rId253" Type="http://schemas.openxmlformats.org/officeDocument/2006/relationships/chart" Target="charts/chart216.xml"/><Relationship Id="rId274" Type="http://schemas.openxmlformats.org/officeDocument/2006/relationships/chart" Target="charts/chart237.xml"/><Relationship Id="rId295" Type="http://schemas.openxmlformats.org/officeDocument/2006/relationships/image" Target="media/image26.wmf"/><Relationship Id="rId309" Type="http://schemas.openxmlformats.org/officeDocument/2006/relationships/image" Target="media/image37.png"/><Relationship Id="rId27" Type="http://schemas.openxmlformats.org/officeDocument/2006/relationships/image" Target="media/image7.png"/><Relationship Id="rId48" Type="http://schemas.openxmlformats.org/officeDocument/2006/relationships/chart" Target="charts/chart19.xml"/><Relationship Id="rId69" Type="http://schemas.openxmlformats.org/officeDocument/2006/relationships/chart" Target="charts/chart36.xml"/><Relationship Id="rId113" Type="http://schemas.openxmlformats.org/officeDocument/2006/relationships/chart" Target="charts/chart79.xml"/><Relationship Id="rId134" Type="http://schemas.openxmlformats.org/officeDocument/2006/relationships/chart" Target="charts/chart100.xml"/><Relationship Id="rId320" Type="http://schemas.openxmlformats.org/officeDocument/2006/relationships/theme" Target="theme/theme1.xml"/><Relationship Id="rId80" Type="http://schemas.openxmlformats.org/officeDocument/2006/relationships/chart" Target="charts/chart47.xml"/><Relationship Id="rId155" Type="http://schemas.openxmlformats.org/officeDocument/2006/relationships/chart" Target="charts/chart120.xml"/><Relationship Id="rId176" Type="http://schemas.openxmlformats.org/officeDocument/2006/relationships/chart" Target="charts/chart140.xml"/><Relationship Id="rId197" Type="http://schemas.openxmlformats.org/officeDocument/2006/relationships/chart" Target="charts/chart161.xml"/><Relationship Id="rId201" Type="http://schemas.openxmlformats.org/officeDocument/2006/relationships/chart" Target="charts/chart165.xml"/><Relationship Id="rId222" Type="http://schemas.openxmlformats.org/officeDocument/2006/relationships/chart" Target="charts/chart185.xml"/><Relationship Id="rId243" Type="http://schemas.openxmlformats.org/officeDocument/2006/relationships/chart" Target="charts/chart206.xml"/><Relationship Id="rId264" Type="http://schemas.openxmlformats.org/officeDocument/2006/relationships/chart" Target="charts/chart227.xml"/><Relationship Id="rId285" Type="http://schemas.openxmlformats.org/officeDocument/2006/relationships/image" Target="media/image21.wmf"/><Relationship Id="rId17" Type="http://schemas.openxmlformats.org/officeDocument/2006/relationships/chart" Target="charts/chart5.xml"/><Relationship Id="rId38" Type="http://schemas.openxmlformats.org/officeDocument/2006/relationships/image" Target="media/image12.wmf"/><Relationship Id="rId59" Type="http://schemas.openxmlformats.org/officeDocument/2006/relationships/chart" Target="charts/chart28.xml"/><Relationship Id="rId103" Type="http://schemas.openxmlformats.org/officeDocument/2006/relationships/image" Target="media/image15.emf"/><Relationship Id="rId124" Type="http://schemas.openxmlformats.org/officeDocument/2006/relationships/chart" Target="charts/chart90.xml"/><Relationship Id="rId310" Type="http://schemas.openxmlformats.org/officeDocument/2006/relationships/image" Target="media/image38.png"/><Relationship Id="rId70" Type="http://schemas.openxmlformats.org/officeDocument/2006/relationships/chart" Target="charts/chart37.xml"/><Relationship Id="rId91" Type="http://schemas.openxmlformats.org/officeDocument/2006/relationships/chart" Target="charts/chart58.xml"/><Relationship Id="rId145" Type="http://schemas.openxmlformats.org/officeDocument/2006/relationships/chart" Target="charts/chart110.xml"/><Relationship Id="rId166" Type="http://schemas.openxmlformats.org/officeDocument/2006/relationships/chart" Target="charts/chart131.xml"/><Relationship Id="rId187" Type="http://schemas.openxmlformats.org/officeDocument/2006/relationships/chart" Target="charts/chart151.xml"/><Relationship Id="rId1" Type="http://schemas.openxmlformats.org/officeDocument/2006/relationships/customXml" Target="../customXml/item1.xml"/><Relationship Id="rId212" Type="http://schemas.openxmlformats.org/officeDocument/2006/relationships/chart" Target="charts/chart175.xml"/><Relationship Id="rId233" Type="http://schemas.openxmlformats.org/officeDocument/2006/relationships/chart" Target="charts/chart196.xml"/><Relationship Id="rId254" Type="http://schemas.openxmlformats.org/officeDocument/2006/relationships/chart" Target="charts/chart217.xml"/><Relationship Id="rId28" Type="http://schemas.openxmlformats.org/officeDocument/2006/relationships/image" Target="media/image8.png"/><Relationship Id="rId49" Type="http://schemas.openxmlformats.org/officeDocument/2006/relationships/chart" Target="charts/chart20.xml"/><Relationship Id="rId114" Type="http://schemas.openxmlformats.org/officeDocument/2006/relationships/chart" Target="charts/chart80.xml"/><Relationship Id="rId275" Type="http://schemas.openxmlformats.org/officeDocument/2006/relationships/chart" Target="charts/chart238.xml"/><Relationship Id="rId296" Type="http://schemas.openxmlformats.org/officeDocument/2006/relationships/oleObject" Target="embeddings/oleObject13.bin"/><Relationship Id="rId300" Type="http://schemas.openxmlformats.org/officeDocument/2006/relationships/oleObject" Target="embeddings/oleObject15.bin"/><Relationship Id="rId60" Type="http://schemas.openxmlformats.org/officeDocument/2006/relationships/chart" Target="charts/chart29.xml"/><Relationship Id="rId81" Type="http://schemas.openxmlformats.org/officeDocument/2006/relationships/chart" Target="charts/chart48.xml"/><Relationship Id="rId135" Type="http://schemas.openxmlformats.org/officeDocument/2006/relationships/chart" Target="charts/chart101.xml"/><Relationship Id="rId156" Type="http://schemas.openxmlformats.org/officeDocument/2006/relationships/chart" Target="charts/chart121.xml"/><Relationship Id="rId177" Type="http://schemas.openxmlformats.org/officeDocument/2006/relationships/chart" Target="charts/chart141.xml"/><Relationship Id="rId198" Type="http://schemas.openxmlformats.org/officeDocument/2006/relationships/chart" Target="charts/chart162.xml"/><Relationship Id="rId202" Type="http://schemas.openxmlformats.org/officeDocument/2006/relationships/chart" Target="charts/chart166.xml"/><Relationship Id="rId223" Type="http://schemas.openxmlformats.org/officeDocument/2006/relationships/chart" Target="charts/chart186.xml"/><Relationship Id="rId244" Type="http://schemas.openxmlformats.org/officeDocument/2006/relationships/chart" Target="charts/chart207.xml"/><Relationship Id="rId18" Type="http://schemas.openxmlformats.org/officeDocument/2006/relationships/chart" Target="charts/chart6.xml"/><Relationship Id="rId39" Type="http://schemas.openxmlformats.org/officeDocument/2006/relationships/oleObject" Target="embeddings/oleObject5.bin"/><Relationship Id="rId265" Type="http://schemas.openxmlformats.org/officeDocument/2006/relationships/chart" Target="charts/chart228.xml"/><Relationship Id="rId286" Type="http://schemas.openxmlformats.org/officeDocument/2006/relationships/oleObject" Target="embeddings/oleObject8.bin"/><Relationship Id="rId50" Type="http://schemas.openxmlformats.org/officeDocument/2006/relationships/chart" Target="charts/chart21.xml"/><Relationship Id="rId104" Type="http://schemas.openxmlformats.org/officeDocument/2006/relationships/chart" Target="charts/chart70.xml"/><Relationship Id="rId125" Type="http://schemas.openxmlformats.org/officeDocument/2006/relationships/chart" Target="charts/chart91.xml"/><Relationship Id="rId146" Type="http://schemas.openxmlformats.org/officeDocument/2006/relationships/chart" Target="charts/chart111.xml"/><Relationship Id="rId167" Type="http://schemas.openxmlformats.org/officeDocument/2006/relationships/chart" Target="charts/chart132.xml"/><Relationship Id="rId188" Type="http://schemas.openxmlformats.org/officeDocument/2006/relationships/chart" Target="charts/chart152.xml"/><Relationship Id="rId311" Type="http://schemas.openxmlformats.org/officeDocument/2006/relationships/image" Target="media/image39.png"/><Relationship Id="rId71" Type="http://schemas.openxmlformats.org/officeDocument/2006/relationships/chart" Target="charts/chart38.xml"/><Relationship Id="rId92" Type="http://schemas.openxmlformats.org/officeDocument/2006/relationships/chart" Target="charts/chart59.xml"/><Relationship Id="rId213" Type="http://schemas.openxmlformats.org/officeDocument/2006/relationships/chart" Target="charts/chart176.xml"/><Relationship Id="rId234" Type="http://schemas.openxmlformats.org/officeDocument/2006/relationships/chart" Target="charts/chart197.xml"/><Relationship Id="rId2" Type="http://schemas.openxmlformats.org/officeDocument/2006/relationships/numbering" Target="numbering.xml"/><Relationship Id="rId29" Type="http://schemas.openxmlformats.org/officeDocument/2006/relationships/image" Target="media/image9.png"/><Relationship Id="rId255" Type="http://schemas.openxmlformats.org/officeDocument/2006/relationships/chart" Target="charts/chart218.xml"/><Relationship Id="rId276" Type="http://schemas.openxmlformats.org/officeDocument/2006/relationships/chart" Target="charts/chart239.xml"/><Relationship Id="rId297" Type="http://schemas.openxmlformats.org/officeDocument/2006/relationships/image" Target="media/image27.wmf"/><Relationship Id="rId40" Type="http://schemas.openxmlformats.org/officeDocument/2006/relationships/chart" Target="charts/chart11.xml"/><Relationship Id="rId115" Type="http://schemas.openxmlformats.org/officeDocument/2006/relationships/chart" Target="charts/chart81.xml"/><Relationship Id="rId136" Type="http://schemas.openxmlformats.org/officeDocument/2006/relationships/chart" Target="charts/chart102.xml"/><Relationship Id="rId157" Type="http://schemas.openxmlformats.org/officeDocument/2006/relationships/chart" Target="charts/chart122.xml"/><Relationship Id="rId178" Type="http://schemas.openxmlformats.org/officeDocument/2006/relationships/chart" Target="charts/chart142.xml"/><Relationship Id="rId301" Type="http://schemas.openxmlformats.org/officeDocument/2006/relationships/image" Target="media/image29.png"/><Relationship Id="rId61" Type="http://schemas.openxmlformats.org/officeDocument/2006/relationships/chart" Target="charts/chart30.xml"/><Relationship Id="rId82" Type="http://schemas.openxmlformats.org/officeDocument/2006/relationships/chart" Target="charts/chart49.xml"/><Relationship Id="rId199" Type="http://schemas.openxmlformats.org/officeDocument/2006/relationships/chart" Target="charts/chart163.xml"/><Relationship Id="rId203" Type="http://schemas.openxmlformats.org/officeDocument/2006/relationships/chart" Target="charts/chart16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ina\Documents\5_TESIS\RESULTADOS_FINAL\CAPITULO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dreina\Documents\5_TESIS\RESULTADOS_FINAL\CAPITULO2.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PERUANO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PERUANOS.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C:\Users\Andreina\Documents\5_TESIS\RESULTADOS_FINAL\CAPITULO4_PERUANOS.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USA.xlsx" TargetMode="External"/></Relationships>
</file>

<file path=word/charts/_rels/chart144.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45.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46.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47.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48.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49.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ndreina\Documents\5_TESIS\RESULTADOS_FINAL\CAPITULO2.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USA.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ndreina\Documents\5_TESIS\RESULTADOS_FINAL\CAPITULO2.xlsx" TargetMode="External"/></Relationships>
</file>

<file path=word/charts/_rels/chart160.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61.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62.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63.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64.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65.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66.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USA.xlsx" TargetMode="External"/></Relationships>
</file>

<file path=word/charts/_rels/chart167.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68.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69.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170.xml.rels><?xml version="1.0" encoding="UTF-8" standalone="yes"?>
<Relationships xmlns="http://schemas.openxmlformats.org/package/2006/relationships"><Relationship Id="rId1" Type="http://schemas.openxmlformats.org/officeDocument/2006/relationships/oleObject" Target="file:///C:\Users\Andreina\Documents\5_TESIS\RESULTADOS_FINAL\CAPITULO4_USA.xlsx" TargetMode="External"/></Relationships>
</file>

<file path=word/charts/_rels/chart17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73.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74.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75.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76.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77.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78.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79.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180.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81.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8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83.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84.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85.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86.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87.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88.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89.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190.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91.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9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93.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94.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95.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96.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97.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98.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199.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ina\Documents\5_TESIS\RESULTADOS_FINAL\CAPITULO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200.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201.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20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203.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204.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ESPANA.xlsx" TargetMode="External"/></Relationships>
</file>

<file path=word/charts/_rels/chart205.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06.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07.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08.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09.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210.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11.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1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13.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14.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15.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16.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17.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18.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19.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220.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21.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2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23.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24.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25.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26.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27.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28.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29.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230.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31.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3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33.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34.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35.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36.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37.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38.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39.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240.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41.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4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43.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5.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ndreina\Documents\5_TESIS\RESULTADOS_FINAL\CAPITULO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ndreina\Documents\5_TESIS\RESULTADOS_FINAL\CAPITULO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RESULTADOS_FINAL\CAPITULO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RESULTADOS_FINAL\CAPITULO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3.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RESULTADOS_FINAL\CAPITULO1.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dreina\Documents\5_TESIS\RESULTADOS_FINAL\CAPITULO1.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3.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Andreina\Documents\5_TESIS\RESULTADOS_FINAL\CAPITULO3.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2.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COLOMBIA.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Users\Andreina\Documents\5_TESIS\RESULTADOS_FINAL\C&#193;LCULOS\CAPITULO4_COLOMBIA.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Users\Andreina\Documents\5_TESIS\RESULTADOS_FINAL\CAPITULO4_COLOMB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96149579240813"/>
          <c:y val="4.405965104867253E-2"/>
          <c:w val="0.81483684306903492"/>
          <c:h val="0.76211811023622045"/>
        </c:manualLayout>
      </c:layout>
      <c:lineChart>
        <c:grouping val="standard"/>
        <c:varyColors val="0"/>
        <c:ser>
          <c:idx val="1"/>
          <c:order val="0"/>
          <c:spPr>
            <a:ln w="19050">
              <a:solidFill>
                <a:schemeClr val="bg1">
                  <a:lumMod val="65000"/>
                </a:schemeClr>
              </a:solidFill>
            </a:ln>
          </c:spPr>
          <c:marker>
            <c:symbol val="square"/>
            <c:size val="5"/>
            <c:spPr>
              <a:solidFill>
                <a:schemeClr val="bg1">
                  <a:lumMod val="65000"/>
                </a:schemeClr>
              </a:solidFill>
              <a:ln>
                <a:solidFill>
                  <a:schemeClr val="bg1">
                    <a:lumMod val="65000"/>
                  </a:schemeClr>
                </a:solidFill>
              </a:ln>
            </c:spPr>
          </c:marker>
          <c:dLbls>
            <c:dLbl>
              <c:idx val="1"/>
              <c:layout>
                <c:manualLayout>
                  <c:x val="-7.1962080689280922E-2"/>
                  <c:y val="-5.2070703551436934E-3"/>
                </c:manualLayout>
              </c:layout>
              <c:dLblPos val="r"/>
              <c:showLegendKey val="0"/>
              <c:showVal val="1"/>
              <c:showCatName val="0"/>
              <c:showSerName val="0"/>
              <c:showPercent val="0"/>
              <c:showBubbleSize val="0"/>
            </c:dLbl>
            <c:dLbl>
              <c:idx val="2"/>
              <c:layout>
                <c:manualLayout>
                  <c:x val="-4.1097046413502106E-2"/>
                  <c:y val="4.1991034306552391E-2"/>
                </c:manualLayout>
              </c:layout>
              <c:dLblPos val="r"/>
              <c:showLegendKey val="0"/>
              <c:showVal val="1"/>
              <c:showCatName val="0"/>
              <c:showSerName val="0"/>
              <c:showPercent val="0"/>
              <c:showBubbleSize val="0"/>
            </c:dLbl>
            <c:dLbl>
              <c:idx val="5"/>
              <c:tx>
                <c:rich>
                  <a:bodyPr/>
                  <a:lstStyle/>
                  <a:p>
                    <a:r>
                      <a:rPr lang="en-US"/>
                      <a:t>1480*</a:t>
                    </a:r>
                  </a:p>
                </c:rich>
              </c:tx>
              <c:dLblPos val="t"/>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Hoja1!$A$25:$A$30</c:f>
              <c:numCache>
                <c:formatCode>General</c:formatCode>
                <c:ptCount val="6"/>
                <c:pt idx="1">
                  <c:v>2000</c:v>
                </c:pt>
                <c:pt idx="2">
                  <c:v>2001</c:v>
                </c:pt>
                <c:pt idx="3">
                  <c:v>2002</c:v>
                </c:pt>
                <c:pt idx="4">
                  <c:v>2003</c:v>
                </c:pt>
              </c:numCache>
            </c:numRef>
          </c:cat>
          <c:val>
            <c:numRef>
              <c:f>Hoja1!$C$25:$C$30</c:f>
              <c:numCache>
                <c:formatCode>General</c:formatCode>
                <c:ptCount val="6"/>
                <c:pt idx="1">
                  <c:v>2300</c:v>
                </c:pt>
                <c:pt idx="2">
                  <c:v>312</c:v>
                </c:pt>
                <c:pt idx="3">
                  <c:v>1792</c:v>
                </c:pt>
                <c:pt idx="4">
                  <c:v>1884</c:v>
                </c:pt>
              </c:numCache>
            </c:numRef>
          </c:val>
          <c:smooth val="0"/>
        </c:ser>
        <c:dLbls>
          <c:showLegendKey val="0"/>
          <c:showVal val="1"/>
          <c:showCatName val="0"/>
          <c:showSerName val="0"/>
          <c:showPercent val="0"/>
          <c:showBubbleSize val="0"/>
        </c:dLbls>
        <c:marker val="1"/>
        <c:smooth val="0"/>
        <c:axId val="204440704"/>
        <c:axId val="204900992"/>
      </c:lineChart>
      <c:catAx>
        <c:axId val="204440704"/>
        <c:scaling>
          <c:orientation val="minMax"/>
        </c:scaling>
        <c:delete val="0"/>
        <c:axPos val="b"/>
        <c:title>
          <c:tx>
            <c:rich>
              <a:bodyPr/>
              <a:lstStyle/>
              <a:p>
                <a:pPr>
                  <a:defRPr/>
                </a:pPr>
                <a:r>
                  <a:rPr lang="es-EC"/>
                  <a:t>Año</a:t>
                </a:r>
              </a:p>
            </c:rich>
          </c:tx>
          <c:layout>
            <c:manualLayout>
              <c:xMode val="edge"/>
              <c:yMode val="edge"/>
              <c:x val="0.50668416447944009"/>
              <c:y val="0.91438484593589331"/>
            </c:manualLayout>
          </c:layout>
          <c:overlay val="0"/>
        </c:title>
        <c:numFmt formatCode="General" sourceLinked="1"/>
        <c:majorTickMark val="out"/>
        <c:minorTickMark val="none"/>
        <c:tickLblPos val="nextTo"/>
        <c:spPr>
          <a:ln>
            <a:solidFill>
              <a:schemeClr val="tx1"/>
            </a:solidFill>
          </a:ln>
        </c:spPr>
        <c:txPr>
          <a:bodyPr rot="0" vert="horz"/>
          <a:lstStyle/>
          <a:p>
            <a:pPr>
              <a:defRPr/>
            </a:pPr>
            <a:endParaRPr lang="es-EC"/>
          </a:p>
        </c:txPr>
        <c:crossAx val="204900992"/>
        <c:crosses val="autoZero"/>
        <c:auto val="1"/>
        <c:lblAlgn val="ctr"/>
        <c:lblOffset val="100"/>
        <c:noMultiLvlLbl val="0"/>
      </c:catAx>
      <c:valAx>
        <c:axId val="204900992"/>
        <c:scaling>
          <c:orientation val="minMax"/>
        </c:scaling>
        <c:delete val="0"/>
        <c:axPos val="l"/>
        <c:majorGridlines>
          <c:spPr>
            <a:ln>
              <a:prstDash val="dash"/>
            </a:ln>
          </c:spPr>
        </c:majorGridlines>
        <c:title>
          <c:tx>
            <c:rich>
              <a:bodyPr rot="-5400000" vert="horz"/>
              <a:lstStyle/>
              <a:p>
                <a:pPr>
                  <a:defRPr sz="790"/>
                </a:pPr>
                <a:r>
                  <a:rPr lang="es-EC" sz="790"/>
                  <a:t>Número de refugiados</a:t>
                </a:r>
              </a:p>
            </c:rich>
          </c:tx>
          <c:layout>
            <c:manualLayout>
              <c:xMode val="edge"/>
              <c:yMode val="edge"/>
              <c:x val="1.7207104925837768E-2"/>
              <c:y val="5.5912458583643708E-2"/>
            </c:manualLayout>
          </c:layout>
          <c:overlay val="0"/>
        </c:title>
        <c:numFmt formatCode="General" sourceLinked="1"/>
        <c:majorTickMark val="out"/>
        <c:minorTickMark val="none"/>
        <c:tickLblPos val="nextTo"/>
        <c:spPr>
          <a:ln>
            <a:solidFill>
              <a:sysClr val="windowText" lastClr="000000"/>
            </a:solidFill>
          </a:ln>
        </c:spPr>
        <c:crossAx val="204440704"/>
        <c:crosses val="autoZero"/>
        <c:crossBetween val="midCat"/>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6911193062893"/>
          <c:y val="8.8265655305223151E-2"/>
          <c:w val="0.87908944926188071"/>
          <c:h val="0.53686789151356085"/>
        </c:manualLayout>
      </c:layout>
      <c:barChart>
        <c:barDir val="col"/>
        <c:grouping val="stacked"/>
        <c:varyColors val="0"/>
        <c:ser>
          <c:idx val="0"/>
          <c:order val="0"/>
          <c:tx>
            <c:strRef>
              <c:f>Edad_Inmigrantes_Emigrantes!$K$3</c:f>
              <c:strCache>
                <c:ptCount val="1"/>
                <c:pt idx="0">
                  <c:v>Menores de 15 años</c:v>
                </c:pt>
              </c:strCache>
            </c:strRef>
          </c:tx>
          <c:spPr>
            <a:solidFill>
              <a:srgbClr val="00B0F0"/>
            </a:solidFill>
          </c:spPr>
          <c:invertIfNegative val="0"/>
          <c:dLbls>
            <c:numFmt formatCode="#,##0.00" sourceLinked="0"/>
            <c:txPr>
              <a:bodyPr rot="-5400000" vert="horz"/>
              <a:lstStyle/>
              <a:p>
                <a:pPr>
                  <a:defRPr sz="600"/>
                </a:pPr>
                <a:endParaRPr lang="es-EC"/>
              </a:p>
            </c:txPr>
            <c:dLblPos val="ctr"/>
            <c:showLegendKey val="0"/>
            <c:showVal val="1"/>
            <c:showCatName val="0"/>
            <c:showSerName val="0"/>
            <c:showPercent val="0"/>
            <c:showBubbleSize val="0"/>
            <c:showLeaderLines val="0"/>
          </c:dLbls>
          <c:cat>
            <c:strRef>
              <c:f>Edad_Inmigrantes_Emigrantes!$J$34:$J$58</c:f>
              <c:strCache>
                <c:ptCount val="25"/>
                <c:pt idx="0">
                  <c:v>Zonas No Delimitadas</c:v>
                </c:pt>
                <c:pt idx="1">
                  <c:v>Sucumbíos</c:v>
                </c:pt>
                <c:pt idx="2">
                  <c:v>Orellana</c:v>
                </c:pt>
                <c:pt idx="3">
                  <c:v>Pichincha</c:v>
                </c:pt>
                <c:pt idx="4">
                  <c:v>Santo Domingo</c:v>
                </c:pt>
                <c:pt idx="5">
                  <c:v>Galápagos</c:v>
                </c:pt>
                <c:pt idx="6">
                  <c:v>Guayas</c:v>
                </c:pt>
                <c:pt idx="7">
                  <c:v>Pastaza</c:v>
                </c:pt>
                <c:pt idx="8">
                  <c:v>El Oro</c:v>
                </c:pt>
                <c:pt idx="9">
                  <c:v>Morona Santiago</c:v>
                </c:pt>
                <c:pt idx="10">
                  <c:v>Napo</c:v>
                </c:pt>
                <c:pt idx="11">
                  <c:v>Los Ríos</c:v>
                </c:pt>
                <c:pt idx="12">
                  <c:v>Esmeraldas</c:v>
                </c:pt>
                <c:pt idx="13">
                  <c:v>Zamora Chinchipe</c:v>
                </c:pt>
                <c:pt idx="14">
                  <c:v>Imbabura</c:v>
                </c:pt>
                <c:pt idx="15">
                  <c:v>Santa Elena</c:v>
                </c:pt>
                <c:pt idx="16">
                  <c:v>Azuay</c:v>
                </c:pt>
                <c:pt idx="17">
                  <c:v>Cotopaxi</c:v>
                </c:pt>
                <c:pt idx="18">
                  <c:v>Tungurahua</c:v>
                </c:pt>
                <c:pt idx="19">
                  <c:v>Cañar</c:v>
                </c:pt>
                <c:pt idx="20">
                  <c:v>Carchi</c:v>
                </c:pt>
                <c:pt idx="21">
                  <c:v>Chimborazo</c:v>
                </c:pt>
                <c:pt idx="22">
                  <c:v>Manabí</c:v>
                </c:pt>
                <c:pt idx="23">
                  <c:v>Bolívar</c:v>
                </c:pt>
                <c:pt idx="24">
                  <c:v>Loja</c:v>
                </c:pt>
              </c:strCache>
            </c:strRef>
          </c:cat>
          <c:val>
            <c:numRef>
              <c:f>Edad_Inmigrantes_Emigrantes!$K$34:$K$58</c:f>
              <c:numCache>
                <c:formatCode>General</c:formatCode>
                <c:ptCount val="25"/>
                <c:pt idx="0">
                  <c:v>0.38000000000000012</c:v>
                </c:pt>
                <c:pt idx="1">
                  <c:v>0.38000000000000012</c:v>
                </c:pt>
                <c:pt idx="2">
                  <c:v>0.35000000000000009</c:v>
                </c:pt>
                <c:pt idx="3">
                  <c:v>0.34</c:v>
                </c:pt>
                <c:pt idx="4">
                  <c:v>0.31000000000000011</c:v>
                </c:pt>
                <c:pt idx="5">
                  <c:v>0.27</c:v>
                </c:pt>
                <c:pt idx="6">
                  <c:v>0.26</c:v>
                </c:pt>
                <c:pt idx="7">
                  <c:v>0.24000000000000005</c:v>
                </c:pt>
                <c:pt idx="8">
                  <c:v>0.21000000000000005</c:v>
                </c:pt>
                <c:pt idx="9">
                  <c:v>0.19</c:v>
                </c:pt>
                <c:pt idx="10">
                  <c:v>0.19</c:v>
                </c:pt>
                <c:pt idx="11">
                  <c:v>0.18000000000000005</c:v>
                </c:pt>
                <c:pt idx="12">
                  <c:v>0.17</c:v>
                </c:pt>
                <c:pt idx="13">
                  <c:v>0.17</c:v>
                </c:pt>
                <c:pt idx="14">
                  <c:v>0.16</c:v>
                </c:pt>
                <c:pt idx="15">
                  <c:v>0.15000000000000005</c:v>
                </c:pt>
                <c:pt idx="16">
                  <c:v>0.12000000000000002</c:v>
                </c:pt>
                <c:pt idx="17">
                  <c:v>0.11</c:v>
                </c:pt>
                <c:pt idx="18">
                  <c:v>0.11</c:v>
                </c:pt>
                <c:pt idx="19">
                  <c:v>9.0000000000000024E-2</c:v>
                </c:pt>
                <c:pt idx="20">
                  <c:v>9.0000000000000024E-2</c:v>
                </c:pt>
                <c:pt idx="21">
                  <c:v>9.0000000000000024E-2</c:v>
                </c:pt>
                <c:pt idx="22">
                  <c:v>9.0000000000000024E-2</c:v>
                </c:pt>
                <c:pt idx="23">
                  <c:v>7.0000000000000021E-2</c:v>
                </c:pt>
                <c:pt idx="24">
                  <c:v>7.0000000000000021E-2</c:v>
                </c:pt>
              </c:numCache>
            </c:numRef>
          </c:val>
        </c:ser>
        <c:ser>
          <c:idx val="1"/>
          <c:order val="1"/>
          <c:tx>
            <c:strRef>
              <c:f>Edad_Inmigrantes_Emigrantes!$L$3</c:f>
              <c:strCache>
                <c:ptCount val="1"/>
                <c:pt idx="0">
                  <c:v>15 a 64 años</c:v>
                </c:pt>
              </c:strCache>
            </c:strRef>
          </c:tx>
          <c:spPr>
            <a:solidFill>
              <a:srgbClr val="DB15CD"/>
            </a:solidFill>
          </c:spPr>
          <c:invertIfNegative val="0"/>
          <c:dLbls>
            <c:numFmt formatCode="#,##0.00" sourceLinked="0"/>
            <c:txPr>
              <a:bodyPr rot="-5400000" vert="horz"/>
              <a:lstStyle/>
              <a:p>
                <a:pPr>
                  <a:defRPr sz="600">
                    <a:solidFill>
                      <a:schemeClr val="bg1"/>
                    </a:solidFill>
                  </a:defRPr>
                </a:pPr>
                <a:endParaRPr lang="es-EC"/>
              </a:p>
            </c:txPr>
            <c:dLblPos val="ctr"/>
            <c:showLegendKey val="0"/>
            <c:showVal val="1"/>
            <c:showCatName val="0"/>
            <c:showSerName val="0"/>
            <c:showPercent val="0"/>
            <c:showBubbleSize val="0"/>
            <c:showLeaderLines val="0"/>
          </c:dLbls>
          <c:cat>
            <c:strRef>
              <c:f>Edad_Inmigrantes_Emigrantes!$J$34:$J$58</c:f>
              <c:strCache>
                <c:ptCount val="25"/>
                <c:pt idx="0">
                  <c:v>Zonas No Delimitadas</c:v>
                </c:pt>
                <c:pt idx="1">
                  <c:v>Sucumbíos</c:v>
                </c:pt>
                <c:pt idx="2">
                  <c:v>Orellana</c:v>
                </c:pt>
                <c:pt idx="3">
                  <c:v>Pichincha</c:v>
                </c:pt>
                <c:pt idx="4">
                  <c:v>Santo Domingo</c:v>
                </c:pt>
                <c:pt idx="5">
                  <c:v>Galápagos</c:v>
                </c:pt>
                <c:pt idx="6">
                  <c:v>Guayas</c:v>
                </c:pt>
                <c:pt idx="7">
                  <c:v>Pastaza</c:v>
                </c:pt>
                <c:pt idx="8">
                  <c:v>El Oro</c:v>
                </c:pt>
                <c:pt idx="9">
                  <c:v>Morona Santiago</c:v>
                </c:pt>
                <c:pt idx="10">
                  <c:v>Napo</c:v>
                </c:pt>
                <c:pt idx="11">
                  <c:v>Los Ríos</c:v>
                </c:pt>
                <c:pt idx="12">
                  <c:v>Esmeraldas</c:v>
                </c:pt>
                <c:pt idx="13">
                  <c:v>Zamora Chinchipe</c:v>
                </c:pt>
                <c:pt idx="14">
                  <c:v>Imbabura</c:v>
                </c:pt>
                <c:pt idx="15">
                  <c:v>Santa Elena</c:v>
                </c:pt>
                <c:pt idx="16">
                  <c:v>Azuay</c:v>
                </c:pt>
                <c:pt idx="17">
                  <c:v>Cotopaxi</c:v>
                </c:pt>
                <c:pt idx="18">
                  <c:v>Tungurahua</c:v>
                </c:pt>
                <c:pt idx="19">
                  <c:v>Cañar</c:v>
                </c:pt>
                <c:pt idx="20">
                  <c:v>Carchi</c:v>
                </c:pt>
                <c:pt idx="21">
                  <c:v>Chimborazo</c:v>
                </c:pt>
                <c:pt idx="22">
                  <c:v>Manabí</c:v>
                </c:pt>
                <c:pt idx="23">
                  <c:v>Bolívar</c:v>
                </c:pt>
                <c:pt idx="24">
                  <c:v>Loja</c:v>
                </c:pt>
              </c:strCache>
            </c:strRef>
          </c:cat>
          <c:val>
            <c:numRef>
              <c:f>Edad_Inmigrantes_Emigrantes!$L$34:$L$58</c:f>
              <c:numCache>
                <c:formatCode>General</c:formatCode>
                <c:ptCount val="25"/>
                <c:pt idx="0">
                  <c:v>0.6000000000000002</c:v>
                </c:pt>
                <c:pt idx="1">
                  <c:v>0.62000000000000022</c:v>
                </c:pt>
                <c:pt idx="2">
                  <c:v>0.64000000000000024</c:v>
                </c:pt>
                <c:pt idx="3">
                  <c:v>0.6000000000000002</c:v>
                </c:pt>
                <c:pt idx="4">
                  <c:v>0.68</c:v>
                </c:pt>
                <c:pt idx="5">
                  <c:v>0.68</c:v>
                </c:pt>
                <c:pt idx="6">
                  <c:v>0.69000000000000017</c:v>
                </c:pt>
                <c:pt idx="7">
                  <c:v>0.7300000000000002</c:v>
                </c:pt>
                <c:pt idx="8">
                  <c:v>0.7200000000000002</c:v>
                </c:pt>
                <c:pt idx="9">
                  <c:v>0.78</c:v>
                </c:pt>
                <c:pt idx="10">
                  <c:v>0.76000000000000023</c:v>
                </c:pt>
                <c:pt idx="11">
                  <c:v>0.75000000000000022</c:v>
                </c:pt>
                <c:pt idx="12">
                  <c:v>0.79</c:v>
                </c:pt>
                <c:pt idx="13">
                  <c:v>0.81</c:v>
                </c:pt>
                <c:pt idx="14">
                  <c:v>0.74000000000000021</c:v>
                </c:pt>
                <c:pt idx="15">
                  <c:v>0.75000000000000022</c:v>
                </c:pt>
                <c:pt idx="16">
                  <c:v>0.69000000000000017</c:v>
                </c:pt>
                <c:pt idx="17">
                  <c:v>0.77000000000000024</c:v>
                </c:pt>
                <c:pt idx="18">
                  <c:v>0.74000000000000021</c:v>
                </c:pt>
                <c:pt idx="19">
                  <c:v>0.7300000000000002</c:v>
                </c:pt>
                <c:pt idx="20">
                  <c:v>0.78</c:v>
                </c:pt>
                <c:pt idx="21">
                  <c:v>0.78</c:v>
                </c:pt>
                <c:pt idx="22">
                  <c:v>0.83000000000000018</c:v>
                </c:pt>
                <c:pt idx="23">
                  <c:v>0.81</c:v>
                </c:pt>
                <c:pt idx="24">
                  <c:v>0.81</c:v>
                </c:pt>
              </c:numCache>
            </c:numRef>
          </c:val>
        </c:ser>
        <c:ser>
          <c:idx val="2"/>
          <c:order val="2"/>
          <c:tx>
            <c:strRef>
              <c:f>Edad_Inmigrantes_Emigrantes!$M$3</c:f>
              <c:strCache>
                <c:ptCount val="1"/>
                <c:pt idx="0">
                  <c:v>65 años o más</c:v>
                </c:pt>
              </c:strCache>
            </c:strRef>
          </c:tx>
          <c:spPr>
            <a:solidFill>
              <a:srgbClr val="FFC000"/>
            </a:solidFill>
          </c:spPr>
          <c:invertIfNegative val="0"/>
          <c:cat>
            <c:strRef>
              <c:f>Edad_Inmigrantes_Emigrantes!$J$34:$J$58</c:f>
              <c:strCache>
                <c:ptCount val="25"/>
                <c:pt idx="0">
                  <c:v>Zonas No Delimitadas</c:v>
                </c:pt>
                <c:pt idx="1">
                  <c:v>Sucumbíos</c:v>
                </c:pt>
                <c:pt idx="2">
                  <c:v>Orellana</c:v>
                </c:pt>
                <c:pt idx="3">
                  <c:v>Pichincha</c:v>
                </c:pt>
                <c:pt idx="4">
                  <c:v>Santo Domingo</c:v>
                </c:pt>
                <c:pt idx="5">
                  <c:v>Galápagos</c:v>
                </c:pt>
                <c:pt idx="6">
                  <c:v>Guayas</c:v>
                </c:pt>
                <c:pt idx="7">
                  <c:v>Pastaza</c:v>
                </c:pt>
                <c:pt idx="8">
                  <c:v>El Oro</c:v>
                </c:pt>
                <c:pt idx="9">
                  <c:v>Morona Santiago</c:v>
                </c:pt>
                <c:pt idx="10">
                  <c:v>Napo</c:v>
                </c:pt>
                <c:pt idx="11">
                  <c:v>Los Ríos</c:v>
                </c:pt>
                <c:pt idx="12">
                  <c:v>Esmeraldas</c:v>
                </c:pt>
                <c:pt idx="13">
                  <c:v>Zamora Chinchipe</c:v>
                </c:pt>
                <c:pt idx="14">
                  <c:v>Imbabura</c:v>
                </c:pt>
                <c:pt idx="15">
                  <c:v>Santa Elena</c:v>
                </c:pt>
                <c:pt idx="16">
                  <c:v>Azuay</c:v>
                </c:pt>
                <c:pt idx="17">
                  <c:v>Cotopaxi</c:v>
                </c:pt>
                <c:pt idx="18">
                  <c:v>Tungurahua</c:v>
                </c:pt>
                <c:pt idx="19">
                  <c:v>Cañar</c:v>
                </c:pt>
                <c:pt idx="20">
                  <c:v>Carchi</c:v>
                </c:pt>
                <c:pt idx="21">
                  <c:v>Chimborazo</c:v>
                </c:pt>
                <c:pt idx="22">
                  <c:v>Manabí</c:v>
                </c:pt>
                <c:pt idx="23">
                  <c:v>Bolívar</c:v>
                </c:pt>
                <c:pt idx="24">
                  <c:v>Loja</c:v>
                </c:pt>
              </c:strCache>
            </c:strRef>
          </c:cat>
          <c:val>
            <c:numRef>
              <c:f>Edad_Inmigrantes_Emigrantes!$M$34:$M$58</c:f>
              <c:numCache>
                <c:formatCode>General</c:formatCode>
                <c:ptCount val="25"/>
                <c:pt idx="0">
                  <c:v>2.0000000000000007E-2</c:v>
                </c:pt>
                <c:pt idx="1">
                  <c:v>1.0000000000000004E-2</c:v>
                </c:pt>
                <c:pt idx="2">
                  <c:v>1.0000000000000004E-2</c:v>
                </c:pt>
                <c:pt idx="3">
                  <c:v>6.0000000000000019E-2</c:v>
                </c:pt>
                <c:pt idx="4">
                  <c:v>1.0000000000000004E-2</c:v>
                </c:pt>
                <c:pt idx="5">
                  <c:v>0.05</c:v>
                </c:pt>
                <c:pt idx="6">
                  <c:v>0.05</c:v>
                </c:pt>
                <c:pt idx="7">
                  <c:v>3.0000000000000002E-2</c:v>
                </c:pt>
                <c:pt idx="8">
                  <c:v>7.0000000000000021E-2</c:v>
                </c:pt>
                <c:pt idx="9">
                  <c:v>3.0000000000000002E-2</c:v>
                </c:pt>
                <c:pt idx="10">
                  <c:v>0.05</c:v>
                </c:pt>
                <c:pt idx="11">
                  <c:v>7.0000000000000021E-2</c:v>
                </c:pt>
                <c:pt idx="12">
                  <c:v>4.0000000000000015E-2</c:v>
                </c:pt>
                <c:pt idx="13">
                  <c:v>2.0000000000000007E-2</c:v>
                </c:pt>
                <c:pt idx="14">
                  <c:v>0.1</c:v>
                </c:pt>
                <c:pt idx="15">
                  <c:v>0.1</c:v>
                </c:pt>
                <c:pt idx="16">
                  <c:v>0.19</c:v>
                </c:pt>
                <c:pt idx="17">
                  <c:v>0.12000000000000002</c:v>
                </c:pt>
                <c:pt idx="18">
                  <c:v>0.15000000000000005</c:v>
                </c:pt>
                <c:pt idx="19">
                  <c:v>0.18000000000000005</c:v>
                </c:pt>
                <c:pt idx="20">
                  <c:v>0.13</c:v>
                </c:pt>
                <c:pt idx="21">
                  <c:v>0.13</c:v>
                </c:pt>
                <c:pt idx="22">
                  <c:v>8.0000000000000029E-2</c:v>
                </c:pt>
                <c:pt idx="23">
                  <c:v>0.12000000000000002</c:v>
                </c:pt>
                <c:pt idx="24">
                  <c:v>0.12000000000000002</c:v>
                </c:pt>
              </c:numCache>
            </c:numRef>
          </c:val>
        </c:ser>
        <c:dLbls>
          <c:showLegendKey val="0"/>
          <c:showVal val="0"/>
          <c:showCatName val="0"/>
          <c:showSerName val="0"/>
          <c:showPercent val="0"/>
          <c:showBubbleSize val="0"/>
        </c:dLbls>
        <c:gapWidth val="40"/>
        <c:overlap val="100"/>
        <c:axId val="233009152"/>
        <c:axId val="233246720"/>
      </c:barChart>
      <c:catAx>
        <c:axId val="233009152"/>
        <c:scaling>
          <c:orientation val="minMax"/>
        </c:scaling>
        <c:delete val="0"/>
        <c:axPos val="b"/>
        <c:title>
          <c:tx>
            <c:rich>
              <a:bodyPr/>
              <a:lstStyle/>
              <a:p>
                <a:pPr>
                  <a:defRPr/>
                </a:pPr>
                <a:r>
                  <a:rPr lang="es-EC"/>
                  <a:t>Provincia de residencia habitual</a:t>
                </a:r>
              </a:p>
            </c:rich>
          </c:tx>
          <c:overlay val="0"/>
        </c:title>
        <c:majorTickMark val="out"/>
        <c:minorTickMark val="none"/>
        <c:tickLblPos val="nextTo"/>
        <c:spPr>
          <a:ln>
            <a:solidFill>
              <a:schemeClr val="tx1"/>
            </a:solidFill>
          </a:ln>
        </c:spPr>
        <c:txPr>
          <a:bodyPr rot="-5400000" vert="horz"/>
          <a:lstStyle/>
          <a:p>
            <a:pPr>
              <a:defRPr sz="600"/>
            </a:pPr>
            <a:endParaRPr lang="es-EC"/>
          </a:p>
        </c:txPr>
        <c:crossAx val="233246720"/>
        <c:crosses val="autoZero"/>
        <c:auto val="1"/>
        <c:lblAlgn val="ctr"/>
        <c:lblOffset val="100"/>
        <c:noMultiLvlLbl val="0"/>
      </c:catAx>
      <c:valAx>
        <c:axId val="233246720"/>
        <c:scaling>
          <c:orientation val="minMax"/>
          <c:max val="1"/>
          <c:min val="0"/>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nextTo"/>
        <c:spPr>
          <a:ln>
            <a:solidFill>
              <a:schemeClr val="tx1"/>
            </a:solidFill>
          </a:ln>
        </c:spPr>
        <c:crossAx val="233009152"/>
        <c:crosses val="autoZero"/>
        <c:crossBetween val="between"/>
        <c:majorUnit val="0.1"/>
      </c:valAx>
      <c:spPr>
        <a:ln>
          <a:solidFill>
            <a:schemeClr val="tx1"/>
          </a:solidFill>
        </a:ln>
      </c:spPr>
    </c:plotArea>
    <c:legend>
      <c:legendPos val="t"/>
      <c:layout>
        <c:manualLayout>
          <c:xMode val="edge"/>
          <c:yMode val="edge"/>
          <c:x val="7.3175930139292925E-2"/>
          <c:y val="0"/>
          <c:w val="0.88597250527195415"/>
          <c:h val="5.8235145594967661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7188087870339166"/>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'Inmigracion(Perfil)'!$H$936:$H$941</c:f>
              <c:strCache>
                <c:ptCount val="6"/>
                <c:pt idx="0">
                  <c:v>Casa/Villa</c:v>
                </c:pt>
                <c:pt idx="1">
                  <c:v>Departamento en casa o edificio</c:v>
                </c:pt>
                <c:pt idx="2">
                  <c:v>Cuarto(s) en casa de inquilinato</c:v>
                </c:pt>
                <c:pt idx="3">
                  <c:v>Otras viviendas particulares</c:v>
                </c:pt>
                <c:pt idx="4">
                  <c:v>Viviendas colectivas</c:v>
                </c:pt>
                <c:pt idx="5">
                  <c:v>Sin viviendas</c:v>
                </c:pt>
              </c:strCache>
            </c:strRef>
          </c:cat>
          <c:val>
            <c:numRef>
              <c:f>Vivienda!$G$3:$G$8</c:f>
              <c:numCache>
                <c:formatCode>0,000</c:formatCode>
                <c:ptCount val="6"/>
                <c:pt idx="0">
                  <c:v>0.58756353554689966</c:v>
                </c:pt>
                <c:pt idx="1">
                  <c:v>0.21552577727902833</c:v>
                </c:pt>
                <c:pt idx="2">
                  <c:v>0.11050234338900257</c:v>
                </c:pt>
                <c:pt idx="3">
                  <c:v>8.1721565779919694E-2</c:v>
                </c:pt>
                <c:pt idx="4">
                  <c:v>4.6207670473298584E-3</c:v>
                </c:pt>
                <c:pt idx="5">
                  <c:v>6.6010957818998092E-5</c:v>
                </c:pt>
              </c:numCache>
            </c:numRef>
          </c:val>
        </c:ser>
        <c:dLbls>
          <c:showLegendKey val="0"/>
          <c:showVal val="1"/>
          <c:showCatName val="0"/>
          <c:showSerName val="0"/>
          <c:showPercent val="0"/>
          <c:showBubbleSize val="0"/>
        </c:dLbls>
        <c:gapWidth val="50"/>
        <c:axId val="254836736"/>
        <c:axId val="254847616"/>
      </c:barChart>
      <c:catAx>
        <c:axId val="254836736"/>
        <c:scaling>
          <c:orientation val="minMax"/>
        </c:scaling>
        <c:delete val="0"/>
        <c:axPos val="b"/>
        <c:title>
          <c:tx>
            <c:rich>
              <a:bodyPr/>
              <a:lstStyle/>
              <a:p>
                <a:pPr>
                  <a:defRPr/>
                </a:pPr>
                <a:r>
                  <a:rPr lang="es-EC"/>
                  <a:t>Tipo de vivienda</a:t>
                </a:r>
              </a:p>
            </c:rich>
          </c:tx>
          <c:overlay val="0"/>
        </c:title>
        <c:numFmt formatCode="###0" sourceLinked="1"/>
        <c:majorTickMark val="out"/>
        <c:minorTickMark val="none"/>
        <c:tickLblPos val="nextTo"/>
        <c:spPr>
          <a:ln>
            <a:solidFill>
              <a:schemeClr val="tx1"/>
            </a:solidFill>
          </a:ln>
        </c:spPr>
        <c:txPr>
          <a:bodyPr rot="0" vert="horz"/>
          <a:lstStyle/>
          <a:p>
            <a:pPr>
              <a:defRPr sz="700"/>
            </a:pPr>
            <a:endParaRPr lang="es-EC"/>
          </a:p>
        </c:txPr>
        <c:crossAx val="254847616"/>
        <c:crosses val="autoZero"/>
        <c:auto val="1"/>
        <c:lblAlgn val="ctr"/>
        <c:lblOffset val="100"/>
        <c:noMultiLvlLbl val="0"/>
      </c:catAx>
      <c:valAx>
        <c:axId val="254847616"/>
        <c:scaling>
          <c:orientation val="minMax"/>
          <c:max val="1"/>
          <c:min val="0"/>
        </c:scaling>
        <c:delete val="0"/>
        <c:axPos val="l"/>
        <c:title>
          <c:tx>
            <c:rich>
              <a:bodyPr rot="-5400000" vert="horz"/>
              <a:lstStyle/>
              <a:p>
                <a:pPr>
                  <a:defRPr/>
                </a:pPr>
                <a:r>
                  <a:rPr lang="es-EC"/>
                  <a:t>Frecuencia Relativa</a:t>
                </a:r>
              </a:p>
            </c:rich>
          </c:tx>
          <c:layout>
            <c:manualLayout>
              <c:xMode val="edge"/>
              <c:yMode val="edge"/>
              <c:x val="8.7278789722100179E-4"/>
              <c:y val="0.17297085709113946"/>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54836736"/>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59225525462942008"/>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'Inmigracion(Perfil)'!$B$1021:$B$1027</c:f>
              <c:strCache>
                <c:ptCount val="7"/>
                <c:pt idx="0">
                  <c:v>Propia y totalmente pagada</c:v>
                </c:pt>
                <c:pt idx="1">
                  <c:v>Propia y la está pagando</c:v>
                </c:pt>
                <c:pt idx="2">
                  <c:v>Propia (regalada, donada, heredada o por posesión)</c:v>
                </c:pt>
                <c:pt idx="3">
                  <c:v>Prestada o cedida (no pagada)</c:v>
                </c:pt>
                <c:pt idx="4">
                  <c:v>Por servicios</c:v>
                </c:pt>
                <c:pt idx="5">
                  <c:v>Arrendada</c:v>
                </c:pt>
                <c:pt idx="6">
                  <c:v>Anticresis</c:v>
                </c:pt>
              </c:strCache>
            </c:strRef>
          </c:cat>
          <c:val>
            <c:numRef>
              <c:f>Vivienda!$G$25:$G$31</c:f>
              <c:numCache>
                <c:formatCode>0,000</c:formatCode>
                <c:ptCount val="7"/>
                <c:pt idx="0">
                  <c:v>0.22571512252269862</c:v>
                </c:pt>
                <c:pt idx="1">
                  <c:v>4.7837547593478483E-2</c:v>
                </c:pt>
                <c:pt idx="2">
                  <c:v>3.5796804321650555E-2</c:v>
                </c:pt>
                <c:pt idx="3">
                  <c:v>0.10068664779198813</c:v>
                </c:pt>
                <c:pt idx="4">
                  <c:v>3.7749357284649745E-2</c:v>
                </c:pt>
                <c:pt idx="5">
                  <c:v>0.54974128673240263</c:v>
                </c:pt>
                <c:pt idx="6">
                  <c:v>2.4732337531322246E-3</c:v>
                </c:pt>
              </c:numCache>
            </c:numRef>
          </c:val>
        </c:ser>
        <c:dLbls>
          <c:showLegendKey val="0"/>
          <c:showVal val="1"/>
          <c:showCatName val="0"/>
          <c:showSerName val="0"/>
          <c:showPercent val="0"/>
          <c:showBubbleSize val="0"/>
        </c:dLbls>
        <c:gapWidth val="50"/>
        <c:axId val="254855040"/>
        <c:axId val="254878464"/>
      </c:barChart>
      <c:catAx>
        <c:axId val="254855040"/>
        <c:scaling>
          <c:orientation val="minMax"/>
        </c:scaling>
        <c:delete val="0"/>
        <c:axPos val="b"/>
        <c:title>
          <c:tx>
            <c:rich>
              <a:bodyPr/>
              <a:lstStyle/>
              <a:p>
                <a:pPr>
                  <a:defRPr/>
                </a:pPr>
                <a:r>
                  <a:rPr lang="es-EC"/>
                  <a:t>La vivienda que ocupa</a:t>
                </a:r>
                <a:r>
                  <a:rPr lang="es-EC" baseline="0"/>
                  <a:t> este hogar</a:t>
                </a:r>
                <a:endParaRPr lang="es-EC"/>
              </a:p>
            </c:rich>
          </c:tx>
          <c:overlay val="0"/>
        </c:title>
        <c:numFmt formatCode="###0" sourceLinked="1"/>
        <c:majorTickMark val="out"/>
        <c:minorTickMark val="none"/>
        <c:tickLblPos val="nextTo"/>
        <c:spPr>
          <a:ln>
            <a:solidFill>
              <a:schemeClr val="tx1"/>
            </a:solidFill>
          </a:ln>
        </c:spPr>
        <c:txPr>
          <a:bodyPr rot="0" vert="horz"/>
          <a:lstStyle/>
          <a:p>
            <a:pPr>
              <a:defRPr sz="600"/>
            </a:pPr>
            <a:endParaRPr lang="es-EC"/>
          </a:p>
        </c:txPr>
        <c:crossAx val="254878464"/>
        <c:crosses val="autoZero"/>
        <c:auto val="1"/>
        <c:lblAlgn val="ctr"/>
        <c:lblOffset val="100"/>
        <c:noMultiLvlLbl val="0"/>
      </c:catAx>
      <c:valAx>
        <c:axId val="254878464"/>
        <c:scaling>
          <c:orientation val="minMax"/>
          <c:max val="1"/>
          <c:min val="0"/>
        </c:scaling>
        <c:delete val="0"/>
        <c:axPos val="l"/>
        <c:title>
          <c:tx>
            <c:rich>
              <a:bodyPr rot="-5400000" vert="horz"/>
              <a:lstStyle/>
              <a:p>
                <a:pPr>
                  <a:defRPr/>
                </a:pPr>
                <a:r>
                  <a:rPr lang="es-EC"/>
                  <a:t>Frecuencia Relativa</a:t>
                </a:r>
              </a:p>
            </c:rich>
          </c:tx>
          <c:layout>
            <c:manualLayout>
              <c:xMode val="edge"/>
              <c:yMode val="edge"/>
              <c:x val="8.7278789722100179E-4"/>
              <c:y val="2.8379076320868408E-2"/>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54855040"/>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64268032760965144"/>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'Inmigracion(Perfil)'!$B$1035:$B$1039</c:f>
              <c:strCache>
                <c:ptCount val="5"/>
                <c:pt idx="0">
                  <c:v>Viviendas sin dormitorio</c:v>
                </c:pt>
                <c:pt idx="1">
                  <c:v>Menos de 2 personas por dormitorio</c:v>
                </c:pt>
                <c:pt idx="2">
                  <c:v>De 2 a 3 personas por dormitorio</c:v>
                </c:pt>
                <c:pt idx="3">
                  <c:v>De 4 a 5 personas por dormitorio</c:v>
                </c:pt>
                <c:pt idx="4">
                  <c:v>Más de 5 personas por dormitorio</c:v>
                </c:pt>
              </c:strCache>
            </c:strRef>
          </c:cat>
          <c:val>
            <c:numRef>
              <c:f>Vivienda!$G$39:$G$43</c:f>
              <c:numCache>
                <c:formatCode>0,000</c:formatCode>
                <c:ptCount val="5"/>
                <c:pt idx="0">
                  <c:v>3.4155723570765392E-2</c:v>
                </c:pt>
                <c:pt idx="1">
                  <c:v>0.4885926515452978</c:v>
                </c:pt>
                <c:pt idx="2">
                  <c:v>0.33396339037007627</c:v>
                </c:pt>
                <c:pt idx="3">
                  <c:v>0.11191802626343016</c:v>
                </c:pt>
                <c:pt idx="4">
                  <c:v>3.1370208250431089E-2</c:v>
                </c:pt>
              </c:numCache>
            </c:numRef>
          </c:val>
        </c:ser>
        <c:dLbls>
          <c:showLegendKey val="0"/>
          <c:showVal val="1"/>
          <c:showCatName val="0"/>
          <c:showSerName val="0"/>
          <c:showPercent val="0"/>
          <c:showBubbleSize val="0"/>
        </c:dLbls>
        <c:gapWidth val="50"/>
        <c:axId val="254893440"/>
        <c:axId val="254909056"/>
      </c:barChart>
      <c:catAx>
        <c:axId val="254893440"/>
        <c:scaling>
          <c:orientation val="minMax"/>
        </c:scaling>
        <c:delete val="0"/>
        <c:axPos val="b"/>
        <c:title>
          <c:tx>
            <c:rich>
              <a:bodyPr/>
              <a:lstStyle/>
              <a:p>
                <a:pPr>
                  <a:defRPr/>
                </a:pPr>
                <a:r>
                  <a:rPr lang="es-EC"/>
                  <a:t>Número de personas por dormitorio</a:t>
                </a:r>
              </a:p>
            </c:rich>
          </c:tx>
          <c:overlay val="0"/>
        </c:title>
        <c:numFmt formatCode="###0" sourceLinked="1"/>
        <c:majorTickMark val="out"/>
        <c:minorTickMark val="none"/>
        <c:tickLblPos val="nextTo"/>
        <c:spPr>
          <a:ln>
            <a:solidFill>
              <a:schemeClr val="tx1"/>
            </a:solidFill>
          </a:ln>
        </c:spPr>
        <c:txPr>
          <a:bodyPr rot="0" vert="horz"/>
          <a:lstStyle/>
          <a:p>
            <a:pPr>
              <a:defRPr sz="700"/>
            </a:pPr>
            <a:endParaRPr lang="es-EC"/>
          </a:p>
        </c:txPr>
        <c:crossAx val="254909056"/>
        <c:crosses val="autoZero"/>
        <c:auto val="1"/>
        <c:lblAlgn val="ctr"/>
        <c:lblOffset val="100"/>
        <c:noMultiLvlLbl val="0"/>
      </c:catAx>
      <c:valAx>
        <c:axId val="254909056"/>
        <c:scaling>
          <c:orientation val="minMax"/>
          <c:max val="1"/>
          <c:min val="0"/>
        </c:scaling>
        <c:delete val="0"/>
        <c:axPos val="l"/>
        <c:title>
          <c:tx>
            <c:rich>
              <a:bodyPr rot="-5400000" vert="horz"/>
              <a:lstStyle/>
              <a:p>
                <a:pPr>
                  <a:defRPr/>
                </a:pPr>
                <a:r>
                  <a:rPr lang="es-EC"/>
                  <a:t>Frecuencia Relativa</a:t>
                </a:r>
              </a:p>
            </c:rich>
          </c:tx>
          <c:layout>
            <c:manualLayout>
              <c:xMode val="edge"/>
              <c:yMode val="edge"/>
              <c:x val="8.7278789722100179E-4"/>
              <c:y val="4.2901072810966806E-2"/>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54893440"/>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534304818232563"/>
          <c:y val="3.0651337633589532E-2"/>
          <c:w val="0.66798280305459712"/>
          <c:h val="0.87612208140354664"/>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PerfilPeruanos!$B$3:$B$27</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PerfilPeruanos!$G$3:$G$27</c:f>
              <c:numCache>
                <c:formatCode>0,000</c:formatCode>
                <c:ptCount val="25"/>
                <c:pt idx="0">
                  <c:v>0.22850216892064287</c:v>
                </c:pt>
                <c:pt idx="1">
                  <c:v>2.1689206430211823E-3</c:v>
                </c:pt>
                <c:pt idx="2">
                  <c:v>3.2342434294462874E-2</c:v>
                </c:pt>
                <c:pt idx="3">
                  <c:v>1.8499617249298304E-3</c:v>
                </c:pt>
                <c:pt idx="4">
                  <c:v>6.6343454963000816E-3</c:v>
                </c:pt>
                <c:pt idx="5">
                  <c:v>5.8050523092625737E-3</c:v>
                </c:pt>
                <c:pt idx="6">
                  <c:v>0.15112273539168156</c:v>
                </c:pt>
                <c:pt idx="7">
                  <c:v>7.1446797652462415E-3</c:v>
                </c:pt>
                <c:pt idx="8">
                  <c:v>0.19252360295993867</c:v>
                </c:pt>
                <c:pt idx="9">
                  <c:v>9.5687675427405007E-3</c:v>
                </c:pt>
                <c:pt idx="10">
                  <c:v>0.1067874457769841</c:v>
                </c:pt>
                <c:pt idx="11">
                  <c:v>1.0079101811686655E-2</c:v>
                </c:pt>
                <c:pt idx="12">
                  <c:v>1.983924470528196E-2</c:v>
                </c:pt>
                <c:pt idx="13">
                  <c:v>5.6774687420260333E-3</c:v>
                </c:pt>
                <c:pt idx="14">
                  <c:v>1.6585863740750217E-3</c:v>
                </c:pt>
                <c:pt idx="15">
                  <c:v>1.40341923960194E-3</c:v>
                </c:pt>
                <c:pt idx="16">
                  <c:v>0.15443990813983188</c:v>
                </c:pt>
                <c:pt idx="17">
                  <c:v>1.135493748405206E-2</c:v>
                </c:pt>
                <c:pt idx="18">
                  <c:v>1.7096198009696351E-2</c:v>
                </c:pt>
                <c:pt idx="19">
                  <c:v>3.8275070170962054E-4</c:v>
                </c:pt>
                <c:pt idx="20">
                  <c:v>6.0602194437356528E-3</c:v>
                </c:pt>
                <c:pt idx="21">
                  <c:v>4.0188823679510079E-3</c:v>
                </c:pt>
                <c:pt idx="22">
                  <c:v>1.0717019647869372E-2</c:v>
                </c:pt>
                <c:pt idx="23">
                  <c:v>1.2566981372799184E-2</c:v>
                </c:pt>
                <c:pt idx="24">
                  <c:v>2.5516713447307996E-4</c:v>
                </c:pt>
              </c:numCache>
            </c:numRef>
          </c:val>
        </c:ser>
        <c:dLbls>
          <c:showLegendKey val="0"/>
          <c:showVal val="0"/>
          <c:showCatName val="0"/>
          <c:showSerName val="0"/>
          <c:showPercent val="0"/>
          <c:showBubbleSize val="0"/>
        </c:dLbls>
        <c:gapWidth val="40"/>
        <c:axId val="254933632"/>
        <c:axId val="255410944"/>
      </c:barChart>
      <c:catAx>
        <c:axId val="254933632"/>
        <c:scaling>
          <c:orientation val="maxMin"/>
        </c:scaling>
        <c:delete val="0"/>
        <c:axPos val="l"/>
        <c:title>
          <c:tx>
            <c:rich>
              <a:bodyPr rot="-5400000" vert="horz"/>
              <a:lstStyle/>
              <a:p>
                <a:pPr>
                  <a:defRPr/>
                </a:pPr>
                <a:r>
                  <a:rPr lang="es-EC"/>
                  <a:t>Provincia de residencia</a:t>
                </a:r>
                <a:r>
                  <a:rPr lang="es-EC" baseline="0"/>
                  <a:t> habitual</a:t>
                </a:r>
                <a:endParaRPr lang="es-EC"/>
              </a:p>
            </c:rich>
          </c:tx>
          <c:layout>
            <c:manualLayout>
              <c:xMode val="edge"/>
              <c:yMode val="edge"/>
              <c:x val="2.0629208679231862E-3"/>
              <c:y val="0.20997436014139886"/>
            </c:manualLayout>
          </c:layout>
          <c:overlay val="0"/>
        </c:title>
        <c:numFmt formatCode="General" sourceLinked="1"/>
        <c:majorTickMark val="out"/>
        <c:minorTickMark val="none"/>
        <c:tickLblPos val="nextTo"/>
        <c:spPr>
          <a:ln>
            <a:solidFill>
              <a:schemeClr val="tx1"/>
            </a:solidFill>
          </a:ln>
        </c:spPr>
        <c:txPr>
          <a:bodyPr/>
          <a:lstStyle/>
          <a:p>
            <a:pPr>
              <a:defRPr sz="700"/>
            </a:pPr>
            <a:endParaRPr lang="es-EC"/>
          </a:p>
        </c:txPr>
        <c:crossAx val="255410944"/>
        <c:crosses val="autoZero"/>
        <c:auto val="1"/>
        <c:lblAlgn val="ctr"/>
        <c:lblOffset val="100"/>
        <c:noMultiLvlLbl val="0"/>
      </c:catAx>
      <c:valAx>
        <c:axId val="255410944"/>
        <c:scaling>
          <c:orientation val="minMax"/>
          <c:max val="1"/>
          <c:min val="0"/>
        </c:scaling>
        <c:delete val="0"/>
        <c:axPos val="t"/>
        <c:title>
          <c:tx>
            <c:rich>
              <a:bodyPr/>
              <a:lstStyle/>
              <a:p>
                <a:pPr>
                  <a:defRPr/>
                </a:pPr>
                <a:r>
                  <a:rPr lang="es-EC"/>
                  <a:t>Frecuencia Relativa</a:t>
                </a:r>
              </a:p>
            </c:rich>
          </c:tx>
          <c:layout>
            <c:manualLayout>
              <c:xMode val="edge"/>
              <c:yMode val="edge"/>
              <c:x val="0.48692105794468055"/>
              <c:y val="0.95950155763239875"/>
            </c:manualLayout>
          </c:layout>
          <c:overlay val="0"/>
        </c:title>
        <c:numFmt formatCode="#,##0.00" sourceLinked="0"/>
        <c:majorTickMark val="in"/>
        <c:minorTickMark val="none"/>
        <c:tickLblPos val="high"/>
        <c:spPr>
          <a:ln>
            <a:solidFill>
              <a:schemeClr val="tx1"/>
            </a:solidFill>
          </a:ln>
        </c:spPr>
        <c:crossAx val="254933632"/>
        <c:crossesAt val="26"/>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100947562981663E-2"/>
          <c:y val="5.1400554097404488E-2"/>
          <c:w val="0.91778623630992262"/>
          <c:h val="0.62852690288713908"/>
        </c:manualLayout>
      </c:layout>
      <c:lineChart>
        <c:grouping val="standard"/>
        <c:varyColors val="0"/>
        <c:ser>
          <c:idx val="1"/>
          <c:order val="0"/>
          <c:tx>
            <c:v>Tasa a nivel Nacional</c:v>
          </c:tx>
          <c:spPr>
            <a:ln w="19050">
              <a:solidFill>
                <a:srgbClr val="D735B4"/>
              </a:solidFill>
            </a:ln>
          </c:spPr>
          <c:marker>
            <c:symbol val="none"/>
          </c:marker>
          <c:cat>
            <c:strRef>
              <c:f>PerfilPeruanos!$AI$3:$AI$27</c:f>
              <c:strCache>
                <c:ptCount val="25"/>
                <c:pt idx="0">
                  <c:v>Azuay</c:v>
                </c:pt>
                <c:pt idx="1">
                  <c:v>Bolívar</c:v>
                </c:pt>
                <c:pt idx="2">
                  <c:v>Cañar</c:v>
                </c:pt>
                <c:pt idx="3">
                  <c:v>Carchi</c:v>
                </c:pt>
                <c:pt idx="4">
                  <c:v>Chimborazo</c:v>
                </c:pt>
                <c:pt idx="5">
                  <c:v>Cotopaxi</c:v>
                </c:pt>
                <c:pt idx="6">
                  <c:v>El Oro</c:v>
                </c:pt>
                <c:pt idx="7">
                  <c:v>Esmeraldas</c:v>
                </c:pt>
                <c:pt idx="8">
                  <c:v>Galápagos</c:v>
                </c:pt>
                <c:pt idx="9">
                  <c:v>Guayas</c:v>
                </c:pt>
                <c:pt idx="10">
                  <c:v>Imbabura</c:v>
                </c:pt>
                <c:pt idx="11">
                  <c:v>Loja</c:v>
                </c:pt>
                <c:pt idx="12">
                  <c:v>Los Ríos</c:v>
                </c:pt>
                <c:pt idx="13">
                  <c:v>Manabí</c:v>
                </c:pt>
                <c:pt idx="14">
                  <c:v>Morona Santiago</c:v>
                </c:pt>
                <c:pt idx="15">
                  <c:v>Napo</c:v>
                </c:pt>
                <c:pt idx="16">
                  <c:v>Orellana</c:v>
                </c:pt>
                <c:pt idx="17">
                  <c:v>Pastaza</c:v>
                </c:pt>
                <c:pt idx="18">
                  <c:v>Pichincha</c:v>
                </c:pt>
                <c:pt idx="19">
                  <c:v>Santa Elena</c:v>
                </c:pt>
                <c:pt idx="20">
                  <c:v>Santo Domingo</c:v>
                </c:pt>
                <c:pt idx="21">
                  <c:v>Sucumbíos</c:v>
                </c:pt>
                <c:pt idx="22">
                  <c:v>Tungurahua</c:v>
                </c:pt>
                <c:pt idx="23">
                  <c:v>Zamora Chinchipe</c:v>
                </c:pt>
                <c:pt idx="24">
                  <c:v>Zonas No Delimitadas</c:v>
                </c:pt>
              </c:strCache>
            </c:strRef>
          </c:cat>
          <c:val>
            <c:numRef>
              <c:f>PerfilPeruanos!$AK$3:$AK$27</c:f>
              <c:numCache>
                <c:formatCode>0.00</c:formatCode>
                <c:ptCount val="25"/>
                <c:pt idx="0">
                  <c:v>1.0823351456716377</c:v>
                </c:pt>
                <c:pt idx="1">
                  <c:v>1.0823351456716377</c:v>
                </c:pt>
                <c:pt idx="2">
                  <c:v>1.0823351456716377</c:v>
                </c:pt>
                <c:pt idx="3">
                  <c:v>1.0823351456716377</c:v>
                </c:pt>
                <c:pt idx="4">
                  <c:v>1.0823351456716377</c:v>
                </c:pt>
                <c:pt idx="5">
                  <c:v>1.0823351456716377</c:v>
                </c:pt>
                <c:pt idx="6">
                  <c:v>1.0823351456716377</c:v>
                </c:pt>
                <c:pt idx="7">
                  <c:v>1.0823351456716377</c:v>
                </c:pt>
                <c:pt idx="8">
                  <c:v>1.0823351456716377</c:v>
                </c:pt>
                <c:pt idx="9">
                  <c:v>1.0823351456716377</c:v>
                </c:pt>
                <c:pt idx="10">
                  <c:v>1.0823351456716377</c:v>
                </c:pt>
                <c:pt idx="11">
                  <c:v>1.0823351456716377</c:v>
                </c:pt>
                <c:pt idx="12">
                  <c:v>1.0823351456716377</c:v>
                </c:pt>
                <c:pt idx="13">
                  <c:v>1.0823351456716377</c:v>
                </c:pt>
                <c:pt idx="14">
                  <c:v>1.0823351456716377</c:v>
                </c:pt>
                <c:pt idx="15">
                  <c:v>1.0823351456716377</c:v>
                </c:pt>
                <c:pt idx="16">
                  <c:v>1.0823351456716377</c:v>
                </c:pt>
                <c:pt idx="17">
                  <c:v>1.0823351456716377</c:v>
                </c:pt>
                <c:pt idx="18">
                  <c:v>1.0823351456716377</c:v>
                </c:pt>
                <c:pt idx="19">
                  <c:v>1.0823351456716377</c:v>
                </c:pt>
                <c:pt idx="20">
                  <c:v>1.0823351456716377</c:v>
                </c:pt>
                <c:pt idx="21">
                  <c:v>1.0823351456716377</c:v>
                </c:pt>
                <c:pt idx="22">
                  <c:v>1.0823351456716377</c:v>
                </c:pt>
                <c:pt idx="23">
                  <c:v>1.0823351456716377</c:v>
                </c:pt>
                <c:pt idx="24">
                  <c:v>1.0823351456716377</c:v>
                </c:pt>
              </c:numCache>
            </c:numRef>
          </c:val>
          <c:smooth val="0"/>
        </c:ser>
        <c:ser>
          <c:idx val="0"/>
          <c:order val="1"/>
          <c:tx>
            <c:v>Tasa a nivel Provincial</c:v>
          </c:tx>
          <c:spPr>
            <a:ln>
              <a:noFill/>
            </a:ln>
          </c:spPr>
          <c:marker>
            <c:symbol val="circle"/>
            <c:size val="4"/>
            <c:spPr>
              <a:solidFill>
                <a:srgbClr val="002060"/>
              </a:solidFill>
            </c:spPr>
          </c:marker>
          <c:cat>
            <c:strRef>
              <c:f>PerfilPeruanos!$AI$3:$AI$27</c:f>
              <c:strCache>
                <c:ptCount val="25"/>
                <c:pt idx="0">
                  <c:v>Azuay</c:v>
                </c:pt>
                <c:pt idx="1">
                  <c:v>Bolívar</c:v>
                </c:pt>
                <c:pt idx="2">
                  <c:v>Cañar</c:v>
                </c:pt>
                <c:pt idx="3">
                  <c:v>Carchi</c:v>
                </c:pt>
                <c:pt idx="4">
                  <c:v>Chimborazo</c:v>
                </c:pt>
                <c:pt idx="5">
                  <c:v>Cotopaxi</c:v>
                </c:pt>
                <c:pt idx="6">
                  <c:v>El Oro</c:v>
                </c:pt>
                <c:pt idx="7">
                  <c:v>Esmeraldas</c:v>
                </c:pt>
                <c:pt idx="8">
                  <c:v>Galápagos</c:v>
                </c:pt>
                <c:pt idx="9">
                  <c:v>Guayas</c:v>
                </c:pt>
                <c:pt idx="10">
                  <c:v>Imbabura</c:v>
                </c:pt>
                <c:pt idx="11">
                  <c:v>Loja</c:v>
                </c:pt>
                <c:pt idx="12">
                  <c:v>Los Ríos</c:v>
                </c:pt>
                <c:pt idx="13">
                  <c:v>Manabí</c:v>
                </c:pt>
                <c:pt idx="14">
                  <c:v>Morona Santiago</c:v>
                </c:pt>
                <c:pt idx="15">
                  <c:v>Napo</c:v>
                </c:pt>
                <c:pt idx="16">
                  <c:v>Orellana</c:v>
                </c:pt>
                <c:pt idx="17">
                  <c:v>Pastaza</c:v>
                </c:pt>
                <c:pt idx="18">
                  <c:v>Pichincha</c:v>
                </c:pt>
                <c:pt idx="19">
                  <c:v>Santa Elena</c:v>
                </c:pt>
                <c:pt idx="20">
                  <c:v>Santo Domingo</c:v>
                </c:pt>
                <c:pt idx="21">
                  <c:v>Sucumbíos</c:v>
                </c:pt>
                <c:pt idx="22">
                  <c:v>Tungurahua</c:v>
                </c:pt>
                <c:pt idx="23">
                  <c:v>Zamora Chinchipe</c:v>
                </c:pt>
                <c:pt idx="24">
                  <c:v>Zonas No Delimitadas</c:v>
                </c:pt>
              </c:strCache>
            </c:strRef>
          </c:cat>
          <c:val>
            <c:numRef>
              <c:f>PerfilPeruanos!$AJ$3:$AJ$27</c:f>
              <c:numCache>
                <c:formatCode>0.00</c:formatCode>
                <c:ptCount val="25"/>
                <c:pt idx="0">
                  <c:v>5.0396332970344737</c:v>
                </c:pt>
                <c:pt idx="1">
                  <c:v>0.18504206985882402</c:v>
                </c:pt>
                <c:pt idx="2">
                  <c:v>2.2590260790525458</c:v>
                </c:pt>
                <c:pt idx="3">
                  <c:v>0.17665476785126891</c:v>
                </c:pt>
                <c:pt idx="4">
                  <c:v>0.19844731332868121</c:v>
                </c:pt>
                <c:pt idx="5">
                  <c:v>0.25508139303873067</c:v>
                </c:pt>
                <c:pt idx="6">
                  <c:v>3.9615980842521039</c:v>
                </c:pt>
                <c:pt idx="7">
                  <c:v>0.21010965097410211</c:v>
                </c:pt>
                <c:pt idx="8">
                  <c:v>0.25391451544646637</c:v>
                </c:pt>
                <c:pt idx="9">
                  <c:v>0.82956278083297508</c:v>
                </c:pt>
                <c:pt idx="10">
                  <c:v>0.37764445529822582</c:v>
                </c:pt>
                <c:pt idx="11">
                  <c:v>3.717174947040252</c:v>
                </c:pt>
                <c:pt idx="12">
                  <c:v>0.20304959936257846</c:v>
                </c:pt>
                <c:pt idx="13">
                  <c:v>0.2268251768652908</c:v>
                </c:pt>
                <c:pt idx="14">
                  <c:v>0.60275642545122077</c:v>
                </c:pt>
                <c:pt idx="15">
                  <c:v>0.2527682989665665</c:v>
                </c:pt>
                <c:pt idx="16">
                  <c:v>0.46774421073732825</c:v>
                </c:pt>
                <c:pt idx="17">
                  <c:v>0.26354249023694881</c:v>
                </c:pt>
                <c:pt idx="18">
                  <c:v>0.93901666609133638</c:v>
                </c:pt>
                <c:pt idx="19">
                  <c:v>0.64266094252588735</c:v>
                </c:pt>
                <c:pt idx="20">
                  <c:v>0.4573631381645038</c:v>
                </c:pt>
                <c:pt idx="21">
                  <c:v>0.54447189092222059</c:v>
                </c:pt>
                <c:pt idx="22">
                  <c:v>0.35393232734365893</c:v>
                </c:pt>
                <c:pt idx="23">
                  <c:v>2.9643722278142182</c:v>
                </c:pt>
                <c:pt idx="24">
                  <c:v>0.1265582484338417</c:v>
                </c:pt>
              </c:numCache>
            </c:numRef>
          </c:val>
          <c:smooth val="0"/>
        </c:ser>
        <c:dLbls>
          <c:showLegendKey val="0"/>
          <c:showVal val="0"/>
          <c:showCatName val="0"/>
          <c:showSerName val="0"/>
          <c:showPercent val="0"/>
          <c:showBubbleSize val="0"/>
        </c:dLbls>
        <c:marker val="1"/>
        <c:smooth val="0"/>
        <c:axId val="255435520"/>
        <c:axId val="255437824"/>
      </c:lineChart>
      <c:catAx>
        <c:axId val="255435520"/>
        <c:scaling>
          <c:orientation val="minMax"/>
        </c:scaling>
        <c:delete val="0"/>
        <c:axPos val="b"/>
        <c:title>
          <c:tx>
            <c:rich>
              <a:bodyPr/>
              <a:lstStyle/>
              <a:p>
                <a:pPr>
                  <a:defRPr/>
                </a:pPr>
                <a:r>
                  <a:rPr lang="es-EC"/>
                  <a:t>Provincia</a:t>
                </a:r>
              </a:p>
            </c:rich>
          </c:tx>
          <c:overlay val="0"/>
        </c:title>
        <c:numFmt formatCode="General" sourceLinked="1"/>
        <c:majorTickMark val="out"/>
        <c:minorTickMark val="none"/>
        <c:tickLblPos val="nextTo"/>
        <c:spPr>
          <a:ln>
            <a:solidFill>
              <a:schemeClr val="tx1"/>
            </a:solidFill>
          </a:ln>
        </c:spPr>
        <c:txPr>
          <a:bodyPr rot="-5400000" vert="horz"/>
          <a:lstStyle/>
          <a:p>
            <a:pPr>
              <a:defRPr sz="550"/>
            </a:pPr>
            <a:endParaRPr lang="es-EC"/>
          </a:p>
        </c:txPr>
        <c:crossAx val="255437824"/>
        <c:crosses val="autoZero"/>
        <c:auto val="1"/>
        <c:lblAlgn val="ctr"/>
        <c:lblOffset val="100"/>
        <c:noMultiLvlLbl val="0"/>
      </c:catAx>
      <c:valAx>
        <c:axId val="255437824"/>
        <c:scaling>
          <c:orientation val="minMax"/>
          <c:max val="8"/>
        </c:scaling>
        <c:delete val="0"/>
        <c:axPos val="l"/>
        <c:title>
          <c:tx>
            <c:rich>
              <a:bodyPr rot="-5400000" vert="horz"/>
              <a:lstStyle/>
              <a:p>
                <a:pPr>
                  <a:defRPr/>
                </a:pPr>
                <a:r>
                  <a:rPr lang="es-EC"/>
                  <a:t>Tasa de Inmigración</a:t>
                </a:r>
              </a:p>
            </c:rich>
          </c:tx>
          <c:overlay val="0"/>
        </c:title>
        <c:numFmt formatCode="0" sourceLinked="0"/>
        <c:majorTickMark val="out"/>
        <c:minorTickMark val="none"/>
        <c:tickLblPos val="nextTo"/>
        <c:spPr>
          <a:ln>
            <a:solidFill>
              <a:schemeClr val="tx1"/>
            </a:solidFill>
          </a:ln>
        </c:spPr>
        <c:crossAx val="255435520"/>
        <c:crosses val="autoZero"/>
        <c:crossBetween val="between"/>
        <c:majorUnit val="1"/>
      </c:valAx>
      <c:spPr>
        <a:noFill/>
        <a:ln>
          <a:solidFill>
            <a:schemeClr val="tx1"/>
          </a:solidFill>
        </a:ln>
      </c:spPr>
    </c:plotArea>
    <c:legend>
      <c:legendPos val="r"/>
      <c:layout>
        <c:manualLayout>
          <c:xMode val="edge"/>
          <c:yMode val="edge"/>
          <c:x val="0.36702135162616778"/>
          <c:y val="6.9060586176727903E-2"/>
          <c:w val="0.61630148767998216"/>
          <c:h val="7.9471420239136906E-2"/>
        </c:manualLayout>
      </c:layout>
      <c:overlay val="0"/>
      <c:spPr>
        <a:ln>
          <a:noFill/>
        </a:ln>
      </c:spPr>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523279573561839E-2"/>
          <c:y val="5.1400554097404488E-2"/>
          <c:w val="0.91336390429934178"/>
          <c:h val="0.56978967937378011"/>
        </c:manualLayout>
      </c:layout>
      <c:lineChart>
        <c:grouping val="standard"/>
        <c:varyColors val="0"/>
        <c:ser>
          <c:idx val="1"/>
          <c:order val="0"/>
          <c:tx>
            <c:v>Tasa a nivel Nacional</c:v>
          </c:tx>
          <c:spPr>
            <a:ln w="19050">
              <a:solidFill>
                <a:srgbClr val="D735B4"/>
              </a:solidFill>
            </a:ln>
          </c:spPr>
          <c:marker>
            <c:symbol val="none"/>
          </c:marker>
          <c:cat>
            <c:strRef>
              <c:f>PerfilPeruanos!$AS$3:$AS$27</c:f>
              <c:strCache>
                <c:ptCount val="25"/>
                <c:pt idx="0">
                  <c:v>Azuay</c:v>
                </c:pt>
                <c:pt idx="1">
                  <c:v>El Oro</c:v>
                </c:pt>
                <c:pt idx="2">
                  <c:v>Loja</c:v>
                </c:pt>
                <c:pt idx="3">
                  <c:v>Zamora Chinchipe</c:v>
                </c:pt>
                <c:pt idx="4">
                  <c:v>Cañar</c:v>
                </c:pt>
                <c:pt idx="5">
                  <c:v>Pichincha</c:v>
                </c:pt>
                <c:pt idx="6">
                  <c:v>Guayas</c:v>
                </c:pt>
                <c:pt idx="7">
                  <c:v>Santa Elena</c:v>
                </c:pt>
                <c:pt idx="8">
                  <c:v>Morona Santiago</c:v>
                </c:pt>
                <c:pt idx="9">
                  <c:v>Sucumbíos</c:v>
                </c:pt>
                <c:pt idx="10">
                  <c:v>Orellana</c:v>
                </c:pt>
                <c:pt idx="11">
                  <c:v>Santo Domingo</c:v>
                </c:pt>
                <c:pt idx="12">
                  <c:v>Imbabura</c:v>
                </c:pt>
                <c:pt idx="13">
                  <c:v>Tungurahua</c:v>
                </c:pt>
                <c:pt idx="14">
                  <c:v>Pastaza</c:v>
                </c:pt>
                <c:pt idx="15">
                  <c:v>Cotopaxi</c:v>
                </c:pt>
                <c:pt idx="16">
                  <c:v>Galápagos</c:v>
                </c:pt>
                <c:pt idx="17">
                  <c:v>Napo</c:v>
                </c:pt>
                <c:pt idx="18">
                  <c:v>Manabí</c:v>
                </c:pt>
                <c:pt idx="19">
                  <c:v>Esmeraldas</c:v>
                </c:pt>
                <c:pt idx="20">
                  <c:v>Los Ríos</c:v>
                </c:pt>
                <c:pt idx="21">
                  <c:v>Chimborazo</c:v>
                </c:pt>
                <c:pt idx="22">
                  <c:v>Bolívar</c:v>
                </c:pt>
                <c:pt idx="23">
                  <c:v>Carchi</c:v>
                </c:pt>
                <c:pt idx="24">
                  <c:v>Zonas No Delimitadas</c:v>
                </c:pt>
              </c:strCache>
            </c:strRef>
          </c:cat>
          <c:val>
            <c:numRef>
              <c:f>PerfilPeruanos!$AK$3:$AK$27</c:f>
              <c:numCache>
                <c:formatCode>0.00</c:formatCode>
                <c:ptCount val="25"/>
                <c:pt idx="0">
                  <c:v>1.0823351456716377</c:v>
                </c:pt>
                <c:pt idx="1">
                  <c:v>1.0823351456716377</c:v>
                </c:pt>
                <c:pt idx="2">
                  <c:v>1.0823351456716377</c:v>
                </c:pt>
                <c:pt idx="3">
                  <c:v>1.0823351456716377</c:v>
                </c:pt>
                <c:pt idx="4">
                  <c:v>1.0823351456716377</c:v>
                </c:pt>
                <c:pt idx="5">
                  <c:v>1.0823351456716377</c:v>
                </c:pt>
                <c:pt idx="6">
                  <c:v>1.0823351456716377</c:v>
                </c:pt>
                <c:pt idx="7">
                  <c:v>1.0823351456716377</c:v>
                </c:pt>
                <c:pt idx="8">
                  <c:v>1.0823351456716377</c:v>
                </c:pt>
                <c:pt idx="9">
                  <c:v>1.0823351456716377</c:v>
                </c:pt>
                <c:pt idx="10">
                  <c:v>1.0823351456716377</c:v>
                </c:pt>
                <c:pt idx="11">
                  <c:v>1.0823351456716377</c:v>
                </c:pt>
                <c:pt idx="12">
                  <c:v>1.0823351456716377</c:v>
                </c:pt>
                <c:pt idx="13">
                  <c:v>1.0823351456716377</c:v>
                </c:pt>
                <c:pt idx="14">
                  <c:v>1.0823351456716377</c:v>
                </c:pt>
                <c:pt idx="15">
                  <c:v>1.0823351456716377</c:v>
                </c:pt>
                <c:pt idx="16">
                  <c:v>1.0823351456716377</c:v>
                </c:pt>
                <c:pt idx="17">
                  <c:v>1.0823351456716377</c:v>
                </c:pt>
                <c:pt idx="18">
                  <c:v>1.0823351456716377</c:v>
                </c:pt>
                <c:pt idx="19">
                  <c:v>1.0823351456716377</c:v>
                </c:pt>
                <c:pt idx="20">
                  <c:v>1.0823351456716377</c:v>
                </c:pt>
                <c:pt idx="21">
                  <c:v>1.0823351456716377</c:v>
                </c:pt>
                <c:pt idx="22">
                  <c:v>1.0823351456716377</c:v>
                </c:pt>
                <c:pt idx="23">
                  <c:v>1.0823351456716377</c:v>
                </c:pt>
                <c:pt idx="24">
                  <c:v>1.0823351456716377</c:v>
                </c:pt>
              </c:numCache>
            </c:numRef>
          </c:val>
          <c:smooth val="0"/>
        </c:ser>
        <c:ser>
          <c:idx val="0"/>
          <c:order val="1"/>
          <c:tx>
            <c:v>Tasa a nivel Provincial</c:v>
          </c:tx>
          <c:spPr>
            <a:ln>
              <a:noFill/>
            </a:ln>
          </c:spPr>
          <c:marker>
            <c:symbol val="circle"/>
            <c:size val="4"/>
            <c:spPr>
              <a:solidFill>
                <a:srgbClr val="002060"/>
              </a:solidFill>
            </c:spPr>
          </c:marker>
          <c:cat>
            <c:strRef>
              <c:f>PerfilPeruanos!$AS$3:$AS$27</c:f>
              <c:strCache>
                <c:ptCount val="25"/>
                <c:pt idx="0">
                  <c:v>Azuay</c:v>
                </c:pt>
                <c:pt idx="1">
                  <c:v>El Oro</c:v>
                </c:pt>
                <c:pt idx="2">
                  <c:v>Loja</c:v>
                </c:pt>
                <c:pt idx="3">
                  <c:v>Zamora Chinchipe</c:v>
                </c:pt>
                <c:pt idx="4">
                  <c:v>Cañar</c:v>
                </c:pt>
                <c:pt idx="5">
                  <c:v>Pichincha</c:v>
                </c:pt>
                <c:pt idx="6">
                  <c:v>Guayas</c:v>
                </c:pt>
                <c:pt idx="7">
                  <c:v>Santa Elena</c:v>
                </c:pt>
                <c:pt idx="8">
                  <c:v>Morona Santiago</c:v>
                </c:pt>
                <c:pt idx="9">
                  <c:v>Sucumbíos</c:v>
                </c:pt>
                <c:pt idx="10">
                  <c:v>Orellana</c:v>
                </c:pt>
                <c:pt idx="11">
                  <c:v>Santo Domingo</c:v>
                </c:pt>
                <c:pt idx="12">
                  <c:v>Imbabura</c:v>
                </c:pt>
                <c:pt idx="13">
                  <c:v>Tungurahua</c:v>
                </c:pt>
                <c:pt idx="14">
                  <c:v>Pastaza</c:v>
                </c:pt>
                <c:pt idx="15">
                  <c:v>Cotopaxi</c:v>
                </c:pt>
                <c:pt idx="16">
                  <c:v>Galápagos</c:v>
                </c:pt>
                <c:pt idx="17">
                  <c:v>Napo</c:v>
                </c:pt>
                <c:pt idx="18">
                  <c:v>Manabí</c:v>
                </c:pt>
                <c:pt idx="19">
                  <c:v>Esmeraldas</c:v>
                </c:pt>
                <c:pt idx="20">
                  <c:v>Los Ríos</c:v>
                </c:pt>
                <c:pt idx="21">
                  <c:v>Chimborazo</c:v>
                </c:pt>
                <c:pt idx="22">
                  <c:v>Bolívar</c:v>
                </c:pt>
                <c:pt idx="23">
                  <c:v>Carchi</c:v>
                </c:pt>
                <c:pt idx="24">
                  <c:v>Zonas No Delimitadas</c:v>
                </c:pt>
              </c:strCache>
            </c:strRef>
          </c:cat>
          <c:val>
            <c:numRef>
              <c:f>PerfilPeruanos!$AT$3:$AT$27</c:f>
              <c:numCache>
                <c:formatCode>0.00</c:formatCode>
                <c:ptCount val="25"/>
                <c:pt idx="0">
                  <c:v>5.0396332970344737</c:v>
                </c:pt>
                <c:pt idx="1">
                  <c:v>3.9615980842521039</c:v>
                </c:pt>
                <c:pt idx="2">
                  <c:v>3.717174947040252</c:v>
                </c:pt>
                <c:pt idx="3">
                  <c:v>2.9643722278142182</c:v>
                </c:pt>
                <c:pt idx="4">
                  <c:v>2.2590260790525458</c:v>
                </c:pt>
                <c:pt idx="5">
                  <c:v>0.93901666609133638</c:v>
                </c:pt>
                <c:pt idx="6">
                  <c:v>0.82956278083297508</c:v>
                </c:pt>
                <c:pt idx="7">
                  <c:v>0.64266094252588735</c:v>
                </c:pt>
                <c:pt idx="8">
                  <c:v>0.60275642545122077</c:v>
                </c:pt>
                <c:pt idx="9">
                  <c:v>0.54447189092222059</c:v>
                </c:pt>
                <c:pt idx="10">
                  <c:v>0.46774421073732825</c:v>
                </c:pt>
                <c:pt idx="11">
                  <c:v>0.4573631381645038</c:v>
                </c:pt>
                <c:pt idx="12">
                  <c:v>0.37764445529822582</c:v>
                </c:pt>
                <c:pt idx="13">
                  <c:v>0.35393232734365893</c:v>
                </c:pt>
                <c:pt idx="14">
                  <c:v>0.26354249023694881</c:v>
                </c:pt>
                <c:pt idx="15">
                  <c:v>0.25508139303873067</c:v>
                </c:pt>
                <c:pt idx="16">
                  <c:v>0.25391451544646637</c:v>
                </c:pt>
                <c:pt idx="17">
                  <c:v>0.2527682989665665</c:v>
                </c:pt>
                <c:pt idx="18">
                  <c:v>0.2268251768652908</c:v>
                </c:pt>
                <c:pt idx="19">
                  <c:v>0.21010965097410211</c:v>
                </c:pt>
                <c:pt idx="20">
                  <c:v>0.20304959936257846</c:v>
                </c:pt>
                <c:pt idx="21">
                  <c:v>0.19844731332868121</c:v>
                </c:pt>
                <c:pt idx="22">
                  <c:v>0.18504206985882402</c:v>
                </c:pt>
                <c:pt idx="23">
                  <c:v>0.17665476785126891</c:v>
                </c:pt>
                <c:pt idx="24">
                  <c:v>0.1265582484338417</c:v>
                </c:pt>
              </c:numCache>
            </c:numRef>
          </c:val>
          <c:smooth val="0"/>
        </c:ser>
        <c:dLbls>
          <c:showLegendKey val="0"/>
          <c:showVal val="0"/>
          <c:showCatName val="0"/>
          <c:showSerName val="0"/>
          <c:showPercent val="0"/>
          <c:showBubbleSize val="0"/>
        </c:dLbls>
        <c:marker val="1"/>
        <c:smooth val="0"/>
        <c:axId val="255335808"/>
        <c:axId val="255362944"/>
      </c:lineChart>
      <c:catAx>
        <c:axId val="255335808"/>
        <c:scaling>
          <c:orientation val="minMax"/>
        </c:scaling>
        <c:delete val="0"/>
        <c:axPos val="b"/>
        <c:title>
          <c:tx>
            <c:rich>
              <a:bodyPr/>
              <a:lstStyle/>
              <a:p>
                <a:pPr>
                  <a:defRPr/>
                </a:pPr>
                <a:r>
                  <a:rPr lang="es-EC"/>
                  <a:t>Provincia</a:t>
                </a:r>
              </a:p>
            </c:rich>
          </c:tx>
          <c:overlay val="0"/>
        </c:title>
        <c:numFmt formatCode="General" sourceLinked="1"/>
        <c:majorTickMark val="out"/>
        <c:minorTickMark val="none"/>
        <c:tickLblPos val="nextTo"/>
        <c:spPr>
          <a:ln>
            <a:solidFill>
              <a:schemeClr val="tx1"/>
            </a:solidFill>
          </a:ln>
        </c:spPr>
        <c:txPr>
          <a:bodyPr rot="-5400000" vert="horz"/>
          <a:lstStyle/>
          <a:p>
            <a:pPr>
              <a:defRPr sz="550"/>
            </a:pPr>
            <a:endParaRPr lang="es-EC"/>
          </a:p>
        </c:txPr>
        <c:crossAx val="255362944"/>
        <c:crosses val="autoZero"/>
        <c:auto val="1"/>
        <c:lblAlgn val="ctr"/>
        <c:lblOffset val="100"/>
        <c:noMultiLvlLbl val="0"/>
      </c:catAx>
      <c:valAx>
        <c:axId val="255362944"/>
        <c:scaling>
          <c:orientation val="minMax"/>
          <c:max val="8"/>
        </c:scaling>
        <c:delete val="0"/>
        <c:axPos val="l"/>
        <c:title>
          <c:tx>
            <c:rich>
              <a:bodyPr rot="-5400000" vert="horz"/>
              <a:lstStyle/>
              <a:p>
                <a:pPr>
                  <a:defRPr/>
                </a:pPr>
                <a:r>
                  <a:rPr lang="es-EC"/>
                  <a:t>Tasa de Inmigración</a:t>
                </a:r>
              </a:p>
            </c:rich>
          </c:tx>
          <c:overlay val="0"/>
        </c:title>
        <c:numFmt formatCode="0" sourceLinked="0"/>
        <c:majorTickMark val="out"/>
        <c:minorTickMark val="none"/>
        <c:tickLblPos val="nextTo"/>
        <c:spPr>
          <a:ln>
            <a:solidFill>
              <a:schemeClr val="tx1"/>
            </a:solidFill>
          </a:ln>
        </c:spPr>
        <c:crossAx val="255335808"/>
        <c:crosses val="autoZero"/>
        <c:crossBetween val="between"/>
        <c:majorUnit val="1"/>
      </c:valAx>
      <c:spPr>
        <a:noFill/>
        <a:ln>
          <a:solidFill>
            <a:schemeClr val="tx1"/>
          </a:solidFill>
        </a:ln>
      </c:spPr>
    </c:plotArea>
    <c:legend>
      <c:legendPos val="r"/>
      <c:layout>
        <c:manualLayout>
          <c:xMode val="edge"/>
          <c:yMode val="edge"/>
          <c:x val="0.36702135162616778"/>
          <c:y val="6.9060586176727903E-2"/>
          <c:w val="0.61630148767998216"/>
          <c:h val="7.9471420239136906E-2"/>
        </c:manualLayout>
      </c:layout>
      <c:overlay val="0"/>
      <c:spPr>
        <a:ln>
          <a:noFill/>
        </a:ln>
      </c:spPr>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637398169144414E-2"/>
          <c:y val="2.0740887039532366E-2"/>
          <c:w val="0.88733791047283106"/>
          <c:h val="0.63854659090985677"/>
        </c:manualLayout>
      </c:layout>
      <c:lineChart>
        <c:grouping val="standard"/>
        <c:varyColors val="0"/>
        <c:ser>
          <c:idx val="0"/>
          <c:order val="0"/>
          <c:tx>
            <c:strRef>
              <c:f>PerfilPeruanos!$F$34</c:f>
              <c:strCache>
                <c:ptCount val="1"/>
                <c:pt idx="0">
                  <c:v>Área Urbana</c:v>
                </c:pt>
              </c:strCache>
            </c:strRef>
          </c:tx>
          <c:spPr>
            <a:ln>
              <a:noFill/>
            </a:ln>
          </c:spPr>
          <c:marker>
            <c:symbol val="diamond"/>
            <c:size val="5"/>
            <c:spPr>
              <a:solidFill>
                <a:schemeClr val="tx1"/>
              </a:solidFill>
              <a:ln>
                <a:solidFill>
                  <a:schemeClr val="tx1"/>
                </a:solidFill>
              </a:ln>
            </c:spPr>
          </c:marker>
          <c:cat>
            <c:strRef>
              <c:f>PerfilPeruanos!$B$35:$B$59</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PerfilPeruanos!$F$35:$F$59</c:f>
              <c:numCache>
                <c:formatCode>0.00</c:formatCode>
                <c:ptCount val="25"/>
                <c:pt idx="0">
                  <c:v>727.2473478503631</c:v>
                </c:pt>
                <c:pt idx="1">
                  <c:v>794.11764705882342</c:v>
                </c:pt>
                <c:pt idx="2">
                  <c:v>856.01577909270225</c:v>
                </c:pt>
                <c:pt idx="3">
                  <c:v>862.06896551724151</c:v>
                </c:pt>
                <c:pt idx="4">
                  <c:v>673.07692307692309</c:v>
                </c:pt>
                <c:pt idx="5">
                  <c:v>879.12087912087952</c:v>
                </c:pt>
                <c:pt idx="6">
                  <c:v>702.40607851414154</c:v>
                </c:pt>
                <c:pt idx="7">
                  <c:v>892.85714285714289</c:v>
                </c:pt>
                <c:pt idx="8">
                  <c:v>923.45924453280293</c:v>
                </c:pt>
                <c:pt idx="9">
                  <c:v>766.66666666666674</c:v>
                </c:pt>
                <c:pt idx="10">
                  <c:v>587.21624850657179</c:v>
                </c:pt>
                <c:pt idx="11">
                  <c:v>791.13924050632954</c:v>
                </c:pt>
                <c:pt idx="12">
                  <c:v>890.67524115755702</c:v>
                </c:pt>
                <c:pt idx="13">
                  <c:v>696.62921348314546</c:v>
                </c:pt>
                <c:pt idx="14">
                  <c:v>653.84615384615347</c:v>
                </c:pt>
                <c:pt idx="15">
                  <c:v>500</c:v>
                </c:pt>
                <c:pt idx="16">
                  <c:v>778.19083023544056</c:v>
                </c:pt>
                <c:pt idx="17">
                  <c:v>775.28089887640454</c:v>
                </c:pt>
                <c:pt idx="18">
                  <c:v>388.05970149253733</c:v>
                </c:pt>
                <c:pt idx="19">
                  <c:v>1000</c:v>
                </c:pt>
                <c:pt idx="20">
                  <c:v>778.94736842105249</c:v>
                </c:pt>
                <c:pt idx="21">
                  <c:v>777.77777777777885</c:v>
                </c:pt>
                <c:pt idx="22">
                  <c:v>755.95238095238153</c:v>
                </c:pt>
                <c:pt idx="23">
                  <c:v>609.13705583756348</c:v>
                </c:pt>
                <c:pt idx="24">
                  <c:v>0</c:v>
                </c:pt>
              </c:numCache>
            </c:numRef>
          </c:val>
          <c:smooth val="0"/>
        </c:ser>
        <c:ser>
          <c:idx val="1"/>
          <c:order val="1"/>
          <c:tx>
            <c:strRef>
              <c:f>PerfilPeruanos!$G$34</c:f>
              <c:strCache>
                <c:ptCount val="1"/>
                <c:pt idx="0">
                  <c:v>Área Rural</c:v>
                </c:pt>
              </c:strCache>
            </c:strRef>
          </c:tx>
          <c:spPr>
            <a:ln>
              <a:noFill/>
            </a:ln>
          </c:spPr>
          <c:marker>
            <c:symbol val="circle"/>
            <c:size val="5"/>
            <c:spPr>
              <a:solidFill>
                <a:schemeClr val="bg1">
                  <a:lumMod val="50000"/>
                </a:schemeClr>
              </a:solidFill>
              <a:ln>
                <a:solidFill>
                  <a:schemeClr val="bg1">
                    <a:lumMod val="50000"/>
                  </a:schemeClr>
                </a:solidFill>
              </a:ln>
            </c:spPr>
          </c:marker>
          <c:cat>
            <c:strRef>
              <c:f>PerfilPeruanos!$B$35:$B$59</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PerfilPeruanos!$G$35:$G$59</c:f>
              <c:numCache>
                <c:formatCode>0.00</c:formatCode>
                <c:ptCount val="25"/>
                <c:pt idx="0">
                  <c:v>272.75265214963707</c:v>
                </c:pt>
                <c:pt idx="1">
                  <c:v>205.88235294117646</c:v>
                </c:pt>
                <c:pt idx="2">
                  <c:v>143.98422090729807</c:v>
                </c:pt>
                <c:pt idx="3">
                  <c:v>137.93103448275861</c:v>
                </c:pt>
                <c:pt idx="4">
                  <c:v>326.92307692307656</c:v>
                </c:pt>
                <c:pt idx="5">
                  <c:v>120.87912087912088</c:v>
                </c:pt>
                <c:pt idx="6">
                  <c:v>297.59392148585903</c:v>
                </c:pt>
                <c:pt idx="7">
                  <c:v>107.14285714285704</c:v>
                </c:pt>
                <c:pt idx="8">
                  <c:v>76.540755467196831</c:v>
                </c:pt>
                <c:pt idx="9">
                  <c:v>233.33333333333351</c:v>
                </c:pt>
                <c:pt idx="10">
                  <c:v>412.78375149342889</c:v>
                </c:pt>
                <c:pt idx="11">
                  <c:v>208.86075949367088</c:v>
                </c:pt>
                <c:pt idx="12">
                  <c:v>109.32475884244356</c:v>
                </c:pt>
                <c:pt idx="13">
                  <c:v>303.37078651685408</c:v>
                </c:pt>
                <c:pt idx="14">
                  <c:v>346.15384615384693</c:v>
                </c:pt>
                <c:pt idx="15">
                  <c:v>500</c:v>
                </c:pt>
                <c:pt idx="16">
                  <c:v>221.8091697645599</c:v>
                </c:pt>
                <c:pt idx="17">
                  <c:v>224.71910112359524</c:v>
                </c:pt>
                <c:pt idx="18">
                  <c:v>611.94029850746267</c:v>
                </c:pt>
                <c:pt idx="19">
                  <c:v>0</c:v>
                </c:pt>
                <c:pt idx="20">
                  <c:v>221.05263157894737</c:v>
                </c:pt>
                <c:pt idx="21">
                  <c:v>222.2222222222222</c:v>
                </c:pt>
                <c:pt idx="22">
                  <c:v>244.04761904761926</c:v>
                </c:pt>
                <c:pt idx="23">
                  <c:v>390.86294416243697</c:v>
                </c:pt>
                <c:pt idx="24">
                  <c:v>1000</c:v>
                </c:pt>
              </c:numCache>
            </c:numRef>
          </c:val>
          <c:smooth val="0"/>
        </c:ser>
        <c:dLbls>
          <c:showLegendKey val="0"/>
          <c:showVal val="0"/>
          <c:showCatName val="0"/>
          <c:showSerName val="0"/>
          <c:showPercent val="0"/>
          <c:showBubbleSize val="0"/>
        </c:dLbls>
        <c:hiLowLines/>
        <c:marker val="1"/>
        <c:smooth val="0"/>
        <c:axId val="255376384"/>
        <c:axId val="283182208"/>
      </c:lineChart>
      <c:catAx>
        <c:axId val="255376384"/>
        <c:scaling>
          <c:orientation val="minMax"/>
        </c:scaling>
        <c:delete val="0"/>
        <c:axPos val="b"/>
        <c:title>
          <c:tx>
            <c:rich>
              <a:bodyPr/>
              <a:lstStyle/>
              <a:p>
                <a:pPr>
                  <a:defRPr sz="800"/>
                </a:pPr>
                <a:r>
                  <a:rPr lang="es-EC" sz="800"/>
                  <a:t>Provincia de residencia habitual</a:t>
                </a:r>
              </a:p>
            </c:rich>
          </c:tx>
          <c:overlay val="0"/>
        </c:title>
        <c:numFmt formatCode="General" sourceLinked="1"/>
        <c:majorTickMark val="out"/>
        <c:minorTickMark val="none"/>
        <c:tickLblPos val="nextTo"/>
        <c:spPr>
          <a:ln>
            <a:solidFill>
              <a:schemeClr val="tx1"/>
            </a:solidFill>
          </a:ln>
        </c:spPr>
        <c:txPr>
          <a:bodyPr rot="-5400000" vert="horz"/>
          <a:lstStyle/>
          <a:p>
            <a:pPr>
              <a:defRPr sz="600"/>
            </a:pPr>
            <a:endParaRPr lang="es-EC"/>
          </a:p>
        </c:txPr>
        <c:crossAx val="283182208"/>
        <c:crosses val="autoZero"/>
        <c:auto val="1"/>
        <c:lblAlgn val="ctr"/>
        <c:lblOffset val="100"/>
        <c:noMultiLvlLbl val="0"/>
      </c:catAx>
      <c:valAx>
        <c:axId val="283182208"/>
        <c:scaling>
          <c:orientation val="minMax"/>
          <c:max val="1200"/>
          <c:min val="0"/>
        </c:scaling>
        <c:delete val="0"/>
        <c:axPos val="l"/>
        <c:majorGridlines>
          <c:spPr>
            <a:ln>
              <a:solidFill>
                <a:schemeClr val="bg1">
                  <a:lumMod val="65000"/>
                </a:schemeClr>
              </a:solidFill>
              <a:prstDash val="dash"/>
            </a:ln>
          </c:spPr>
        </c:majorGridlines>
        <c:title>
          <c:tx>
            <c:rich>
              <a:bodyPr rot="-5400000" vert="horz"/>
              <a:lstStyle/>
              <a:p>
                <a:pPr>
                  <a:defRPr sz="750"/>
                </a:pPr>
                <a:r>
                  <a:rPr lang="es-EC" sz="750"/>
                  <a:t>Tasa por cada 1000 peruanos</a:t>
                </a:r>
              </a:p>
            </c:rich>
          </c:tx>
          <c:layout>
            <c:manualLayout>
              <c:xMode val="edge"/>
              <c:yMode val="edge"/>
              <c:x val="0"/>
              <c:y val="4.3471684683482363E-3"/>
            </c:manualLayout>
          </c:layout>
          <c:overlay val="0"/>
        </c:title>
        <c:numFmt formatCode="0" sourceLinked="0"/>
        <c:majorTickMark val="out"/>
        <c:minorTickMark val="none"/>
        <c:tickLblPos val="nextTo"/>
        <c:spPr>
          <a:ln>
            <a:solidFill>
              <a:schemeClr val="tx1"/>
            </a:solidFill>
          </a:ln>
        </c:spPr>
        <c:crossAx val="255376384"/>
        <c:crosses val="autoZero"/>
        <c:crossBetween val="between"/>
        <c:majorUnit val="200"/>
      </c:valAx>
      <c:spPr>
        <a:noFill/>
        <a:ln>
          <a:solidFill>
            <a:schemeClr val="tx1"/>
          </a:solidFill>
        </a:ln>
      </c:spPr>
    </c:plotArea>
    <c:legend>
      <c:legendPos val="t"/>
      <c:layout>
        <c:manualLayout>
          <c:xMode val="edge"/>
          <c:yMode val="edge"/>
          <c:x val="0.48364619257757618"/>
          <c:y val="2.5682178657637691E-2"/>
          <c:w val="0.40947370589665366"/>
          <c:h val="6.3544518135595168E-2"/>
        </c:manualLayout>
      </c:layout>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PerfilPeruanos!$G$66</c:f>
              <c:strCache>
                <c:ptCount val="1"/>
                <c:pt idx="0">
                  <c:v>Área Urbana</c:v>
                </c:pt>
              </c:strCache>
            </c:strRef>
          </c:tx>
          <c:spPr>
            <a:ln w="19050">
              <a:solidFill>
                <a:srgbClr val="0070C0"/>
              </a:solidFill>
            </a:ln>
          </c:spPr>
          <c:marker>
            <c:symbol val="none"/>
          </c:marker>
          <c:cat>
            <c:strRef>
              <c:f>PerfilPeruanos!$C$67:$C$88</c:f>
              <c:strCache>
                <c:ptCount val="22"/>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&gt; 100</c:v>
                </c:pt>
              </c:strCache>
            </c:strRef>
          </c:cat>
          <c:val>
            <c:numRef>
              <c:f>PerfilPeruanos!$G$67:$G$86</c:f>
              <c:numCache>
                <c:formatCode>0.00</c:formatCode>
                <c:ptCount val="20"/>
                <c:pt idx="0">
                  <c:v>666.66666666666663</c:v>
                </c:pt>
                <c:pt idx="1">
                  <c:v>712.55060728744866</c:v>
                </c:pt>
                <c:pt idx="2">
                  <c:v>716.1716171617162</c:v>
                </c:pt>
                <c:pt idx="3">
                  <c:v>766.56151419558228</c:v>
                </c:pt>
                <c:pt idx="4">
                  <c:v>705.18518518518511</c:v>
                </c:pt>
                <c:pt idx="5">
                  <c:v>688.98809523809632</c:v>
                </c:pt>
                <c:pt idx="6">
                  <c:v>679.13385826771741</c:v>
                </c:pt>
                <c:pt idx="7">
                  <c:v>717.14534377719872</c:v>
                </c:pt>
                <c:pt idx="8">
                  <c:v>752.89169295478439</c:v>
                </c:pt>
                <c:pt idx="9">
                  <c:v>786.40776699029129</c:v>
                </c:pt>
                <c:pt idx="10">
                  <c:v>797.70992366412304</c:v>
                </c:pt>
                <c:pt idx="11">
                  <c:v>834.15841584158409</c:v>
                </c:pt>
                <c:pt idx="12">
                  <c:v>835.57046979865765</c:v>
                </c:pt>
                <c:pt idx="13">
                  <c:v>859.45945945945948</c:v>
                </c:pt>
                <c:pt idx="14">
                  <c:v>790.90909090909156</c:v>
                </c:pt>
                <c:pt idx="15">
                  <c:v>718.30985915492886</c:v>
                </c:pt>
                <c:pt idx="16">
                  <c:v>696.96969696969768</c:v>
                </c:pt>
                <c:pt idx="17">
                  <c:v>800</c:v>
                </c:pt>
                <c:pt idx="18">
                  <c:v>666.66666666666663</c:v>
                </c:pt>
                <c:pt idx="19">
                  <c:v>1000</c:v>
                </c:pt>
              </c:numCache>
            </c:numRef>
          </c:val>
          <c:smooth val="1"/>
        </c:ser>
        <c:ser>
          <c:idx val="1"/>
          <c:order val="1"/>
          <c:tx>
            <c:strRef>
              <c:f>PerfilPeruanos!$H$66</c:f>
              <c:strCache>
                <c:ptCount val="1"/>
                <c:pt idx="0">
                  <c:v>Área Rural</c:v>
                </c:pt>
              </c:strCache>
            </c:strRef>
          </c:tx>
          <c:spPr>
            <a:ln w="19050">
              <a:solidFill>
                <a:schemeClr val="accent6">
                  <a:lumMod val="75000"/>
                </a:schemeClr>
              </a:solidFill>
            </a:ln>
          </c:spPr>
          <c:marker>
            <c:symbol val="none"/>
          </c:marker>
          <c:cat>
            <c:strRef>
              <c:f>PerfilPeruanos!$C$67:$C$88</c:f>
              <c:strCache>
                <c:ptCount val="22"/>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&gt; 100</c:v>
                </c:pt>
              </c:strCache>
            </c:strRef>
          </c:cat>
          <c:val>
            <c:numRef>
              <c:f>PerfilPeruanos!$H$67:$H$86</c:f>
              <c:numCache>
                <c:formatCode>0.00</c:formatCode>
                <c:ptCount val="20"/>
                <c:pt idx="0">
                  <c:v>333.33333333333331</c:v>
                </c:pt>
                <c:pt idx="1">
                  <c:v>287.4493927125506</c:v>
                </c:pt>
                <c:pt idx="2">
                  <c:v>283.82838283828369</c:v>
                </c:pt>
                <c:pt idx="3">
                  <c:v>233.43848580441644</c:v>
                </c:pt>
                <c:pt idx="4">
                  <c:v>294.81481481481478</c:v>
                </c:pt>
                <c:pt idx="5">
                  <c:v>311.01190476190425</c:v>
                </c:pt>
                <c:pt idx="6">
                  <c:v>320.86614173228304</c:v>
                </c:pt>
                <c:pt idx="7">
                  <c:v>282.85465622280242</c:v>
                </c:pt>
                <c:pt idx="8">
                  <c:v>247.10830704521581</c:v>
                </c:pt>
                <c:pt idx="9">
                  <c:v>213.59223300970874</c:v>
                </c:pt>
                <c:pt idx="10">
                  <c:v>202.29007633587779</c:v>
                </c:pt>
                <c:pt idx="11">
                  <c:v>165.84158415841586</c:v>
                </c:pt>
                <c:pt idx="12">
                  <c:v>164.42953020134198</c:v>
                </c:pt>
                <c:pt idx="13">
                  <c:v>140.54054054054055</c:v>
                </c:pt>
                <c:pt idx="14">
                  <c:v>209.09090909090907</c:v>
                </c:pt>
                <c:pt idx="15">
                  <c:v>281.69014084507029</c:v>
                </c:pt>
                <c:pt idx="16">
                  <c:v>303.03030303030306</c:v>
                </c:pt>
                <c:pt idx="17">
                  <c:v>200</c:v>
                </c:pt>
                <c:pt idx="18">
                  <c:v>333.33333333333331</c:v>
                </c:pt>
                <c:pt idx="19">
                  <c:v>0</c:v>
                </c:pt>
              </c:numCache>
            </c:numRef>
          </c:val>
          <c:smooth val="1"/>
        </c:ser>
        <c:dLbls>
          <c:showLegendKey val="0"/>
          <c:showVal val="0"/>
          <c:showCatName val="0"/>
          <c:showSerName val="0"/>
          <c:showPercent val="0"/>
          <c:showBubbleSize val="0"/>
        </c:dLbls>
        <c:marker val="1"/>
        <c:smooth val="0"/>
        <c:axId val="283211648"/>
        <c:axId val="283217920"/>
      </c:lineChart>
      <c:catAx>
        <c:axId val="283211648"/>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83217920"/>
        <c:crosses val="autoZero"/>
        <c:auto val="1"/>
        <c:lblAlgn val="ctr"/>
        <c:lblOffset val="100"/>
        <c:noMultiLvlLbl val="0"/>
      </c:catAx>
      <c:valAx>
        <c:axId val="283217920"/>
        <c:scaling>
          <c:orientation val="minMax"/>
          <c:max val="1000"/>
          <c:min val="0"/>
        </c:scaling>
        <c:delete val="0"/>
        <c:axPos val="l"/>
        <c:title>
          <c:tx>
            <c:rich>
              <a:bodyPr rot="-5400000" vert="horz"/>
              <a:lstStyle/>
              <a:p>
                <a:pPr>
                  <a:defRPr sz="700"/>
                </a:pPr>
                <a:r>
                  <a:rPr lang="es-EC" sz="700"/>
                  <a:t>Tasa por</a:t>
                </a:r>
                <a:r>
                  <a:rPr lang="es-EC" sz="700" baseline="0"/>
                  <a:t> cada 1000 peruanos</a:t>
                </a:r>
                <a:endParaRPr lang="es-EC" sz="700"/>
              </a:p>
            </c:rich>
          </c:tx>
          <c:layout>
            <c:manualLayout>
              <c:xMode val="edge"/>
              <c:yMode val="edge"/>
              <c:x val="0"/>
              <c:y val="6.59123690619753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3211648"/>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PerfilPeruanos!$G$66</c:f>
              <c:strCache>
                <c:ptCount val="1"/>
                <c:pt idx="0">
                  <c:v>Área Urbana</c:v>
                </c:pt>
              </c:strCache>
            </c:strRef>
          </c:tx>
          <c:spPr>
            <a:ln w="19050">
              <a:solidFill>
                <a:srgbClr val="0070C0"/>
              </a:solidFill>
            </a:ln>
          </c:spPr>
          <c:marker>
            <c:symbol val="none"/>
          </c:marker>
          <c:cat>
            <c:strRef>
              <c:f>PerfilPeruanos!$C$90:$C$110</c:f>
              <c:strCache>
                <c:ptCount val="21"/>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strCache>
            </c:strRef>
          </c:cat>
          <c:val>
            <c:numRef>
              <c:f>PerfilPeruanos!$G$90:$G$109</c:f>
              <c:numCache>
                <c:formatCode>0.00</c:formatCode>
                <c:ptCount val="20"/>
                <c:pt idx="0">
                  <c:v>739.1304347826084</c:v>
                </c:pt>
                <c:pt idx="1">
                  <c:v>671.11111111111109</c:v>
                </c:pt>
                <c:pt idx="2">
                  <c:v>714.72392638036808</c:v>
                </c:pt>
                <c:pt idx="3">
                  <c:v>787.97468354430373</c:v>
                </c:pt>
                <c:pt idx="4">
                  <c:v>741.53297682709456</c:v>
                </c:pt>
                <c:pt idx="5">
                  <c:v>795.37671232876755</c:v>
                </c:pt>
                <c:pt idx="6">
                  <c:v>786.24535315985202</c:v>
                </c:pt>
                <c:pt idx="7">
                  <c:v>787.20787207872172</c:v>
                </c:pt>
                <c:pt idx="8">
                  <c:v>809.09090909090833</c:v>
                </c:pt>
                <c:pt idx="9">
                  <c:v>799.58677685950454</c:v>
                </c:pt>
                <c:pt idx="10">
                  <c:v>827.5862068965514</c:v>
                </c:pt>
                <c:pt idx="11">
                  <c:v>851.14503816793899</c:v>
                </c:pt>
                <c:pt idx="12">
                  <c:v>850</c:v>
                </c:pt>
                <c:pt idx="13">
                  <c:v>897.43589743589757</c:v>
                </c:pt>
                <c:pt idx="14">
                  <c:v>865.67164179104441</c:v>
                </c:pt>
                <c:pt idx="15">
                  <c:v>750</c:v>
                </c:pt>
                <c:pt idx="16">
                  <c:v>916.66666666666663</c:v>
                </c:pt>
                <c:pt idx="17">
                  <c:v>888.8888888888888</c:v>
                </c:pt>
                <c:pt idx="18">
                  <c:v>800</c:v>
                </c:pt>
                <c:pt idx="19">
                  <c:v>1000</c:v>
                </c:pt>
              </c:numCache>
            </c:numRef>
          </c:val>
          <c:smooth val="1"/>
        </c:ser>
        <c:ser>
          <c:idx val="1"/>
          <c:order val="1"/>
          <c:tx>
            <c:strRef>
              <c:f>PerfilPeruanos!$H$66</c:f>
              <c:strCache>
                <c:ptCount val="1"/>
                <c:pt idx="0">
                  <c:v>Área Rural</c:v>
                </c:pt>
              </c:strCache>
            </c:strRef>
          </c:tx>
          <c:spPr>
            <a:ln w="19050">
              <a:solidFill>
                <a:schemeClr val="accent6">
                  <a:lumMod val="75000"/>
                </a:schemeClr>
              </a:solidFill>
            </a:ln>
          </c:spPr>
          <c:marker>
            <c:symbol val="none"/>
          </c:marker>
          <c:cat>
            <c:strRef>
              <c:f>PerfilPeruanos!$C$90:$C$110</c:f>
              <c:strCache>
                <c:ptCount val="21"/>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strCache>
            </c:strRef>
          </c:cat>
          <c:val>
            <c:numRef>
              <c:f>PerfilPeruanos!$H$90:$H$109</c:f>
              <c:numCache>
                <c:formatCode>0.00</c:formatCode>
                <c:ptCount val="20"/>
                <c:pt idx="0">
                  <c:v>260.86956521739131</c:v>
                </c:pt>
                <c:pt idx="1">
                  <c:v>328.88888888888891</c:v>
                </c:pt>
                <c:pt idx="2">
                  <c:v>285.27607361963192</c:v>
                </c:pt>
                <c:pt idx="3">
                  <c:v>212.02531645569661</c:v>
                </c:pt>
                <c:pt idx="4">
                  <c:v>258.46702317290556</c:v>
                </c:pt>
                <c:pt idx="5">
                  <c:v>204.6232876712329</c:v>
                </c:pt>
                <c:pt idx="6">
                  <c:v>213.75464684014858</c:v>
                </c:pt>
                <c:pt idx="7">
                  <c:v>212.79212792127927</c:v>
                </c:pt>
                <c:pt idx="8">
                  <c:v>190.90909090909091</c:v>
                </c:pt>
                <c:pt idx="9">
                  <c:v>200.41322314049586</c:v>
                </c:pt>
                <c:pt idx="10">
                  <c:v>172.41379310344794</c:v>
                </c:pt>
                <c:pt idx="11">
                  <c:v>148.85496183206106</c:v>
                </c:pt>
                <c:pt idx="12">
                  <c:v>150</c:v>
                </c:pt>
                <c:pt idx="13">
                  <c:v>102.56410256410264</c:v>
                </c:pt>
                <c:pt idx="14">
                  <c:v>134.32835820895539</c:v>
                </c:pt>
                <c:pt idx="15">
                  <c:v>250</c:v>
                </c:pt>
                <c:pt idx="16">
                  <c:v>83.333333333333258</c:v>
                </c:pt>
                <c:pt idx="17">
                  <c:v>111.1111111111111</c:v>
                </c:pt>
                <c:pt idx="18">
                  <c:v>200</c:v>
                </c:pt>
                <c:pt idx="19">
                  <c:v>0</c:v>
                </c:pt>
              </c:numCache>
            </c:numRef>
          </c:val>
          <c:smooth val="1"/>
        </c:ser>
        <c:dLbls>
          <c:showLegendKey val="0"/>
          <c:showVal val="0"/>
          <c:showCatName val="0"/>
          <c:showSerName val="0"/>
          <c:showPercent val="0"/>
          <c:showBubbleSize val="0"/>
        </c:dLbls>
        <c:marker val="1"/>
        <c:smooth val="0"/>
        <c:axId val="283246976"/>
        <c:axId val="283248896"/>
      </c:lineChart>
      <c:catAx>
        <c:axId val="283246976"/>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83248896"/>
        <c:crosses val="autoZero"/>
        <c:auto val="1"/>
        <c:lblAlgn val="ctr"/>
        <c:lblOffset val="100"/>
        <c:noMultiLvlLbl val="0"/>
      </c:catAx>
      <c:valAx>
        <c:axId val="283248896"/>
        <c:scaling>
          <c:orientation val="minMax"/>
          <c:max val="1000"/>
          <c:min val="0"/>
        </c:scaling>
        <c:delete val="0"/>
        <c:axPos val="l"/>
        <c:title>
          <c:tx>
            <c:rich>
              <a:bodyPr rot="-5400000" vert="horz"/>
              <a:lstStyle/>
              <a:p>
                <a:pPr>
                  <a:defRPr sz="700"/>
                </a:pPr>
                <a:r>
                  <a:rPr lang="es-EC" sz="700"/>
                  <a:t>Tasa por</a:t>
                </a:r>
                <a:r>
                  <a:rPr lang="es-EC" sz="700" baseline="0"/>
                  <a:t> cada 1000 peruanos</a:t>
                </a:r>
                <a:endParaRPr lang="es-EC" sz="700"/>
              </a:p>
            </c:rich>
          </c:tx>
          <c:layout>
            <c:manualLayout>
              <c:xMode val="edge"/>
              <c:yMode val="edge"/>
              <c:x val="0"/>
              <c:y val="6.59123690619753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3246976"/>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6947817963441"/>
          <c:y val="4.6274540682414614E-2"/>
          <c:w val="0.7878635170603675"/>
          <c:h val="0.58798477690288709"/>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700"/>
                </a:pPr>
                <a:endParaRPr lang="es-EC"/>
              </a:p>
            </c:txPr>
            <c:dLblPos val="outEnd"/>
            <c:showLegendKey val="0"/>
            <c:showVal val="1"/>
            <c:showCatName val="0"/>
            <c:showSerName val="0"/>
            <c:showPercent val="0"/>
            <c:showBubbleSize val="0"/>
            <c:showLeaderLines val="0"/>
          </c:dLbls>
          <c:cat>
            <c:strRef>
              <c:f>AñoLlegó!$I$3:$I$10</c:f>
              <c:strCache>
                <c:ptCount val="8"/>
                <c:pt idx="0">
                  <c:v>Menos de 1</c:v>
                </c:pt>
                <c:pt idx="1">
                  <c:v>[1 - 20)</c:v>
                </c:pt>
                <c:pt idx="2">
                  <c:v>[20 - 40)</c:v>
                </c:pt>
                <c:pt idx="3">
                  <c:v>[40 - 60)</c:v>
                </c:pt>
                <c:pt idx="4">
                  <c:v>[60 - 80)</c:v>
                </c:pt>
                <c:pt idx="5">
                  <c:v>[80 - 100]</c:v>
                </c:pt>
                <c:pt idx="6">
                  <c:v>Más de 100</c:v>
                </c:pt>
                <c:pt idx="7">
                  <c:v>No declarado</c:v>
                </c:pt>
              </c:strCache>
            </c:strRef>
          </c:cat>
          <c:val>
            <c:numRef>
              <c:f>AñoLlegó!$J$3:$J$10</c:f>
              <c:numCache>
                <c:formatCode>0.00%</c:formatCode>
                <c:ptCount val="8"/>
                <c:pt idx="0">
                  <c:v>0.136769584077571</c:v>
                </c:pt>
                <c:pt idx="1">
                  <c:v>0.65042102577188121</c:v>
                </c:pt>
                <c:pt idx="2">
                  <c:v>6.576932891043645E-2</c:v>
                </c:pt>
                <c:pt idx="3">
                  <c:v>9.9515182444501228E-3</c:v>
                </c:pt>
                <c:pt idx="4">
                  <c:v>3.5085480990048484E-3</c:v>
                </c:pt>
                <c:pt idx="5">
                  <c:v>3.1895891809135022E-4</c:v>
                </c:pt>
                <c:pt idx="6">
                  <c:v>6.3791783618270044E-5</c:v>
                </c:pt>
                <c:pt idx="7">
                  <c:v>0.13319724419494774</c:v>
                </c:pt>
              </c:numCache>
            </c:numRef>
          </c:val>
        </c:ser>
        <c:dLbls>
          <c:showLegendKey val="0"/>
          <c:showVal val="1"/>
          <c:showCatName val="0"/>
          <c:showSerName val="0"/>
          <c:showPercent val="0"/>
          <c:showBubbleSize val="0"/>
        </c:dLbls>
        <c:gapWidth val="30"/>
        <c:axId val="283272320"/>
        <c:axId val="283283840"/>
      </c:barChart>
      <c:catAx>
        <c:axId val="283272320"/>
        <c:scaling>
          <c:orientation val="minMax"/>
        </c:scaling>
        <c:delete val="0"/>
        <c:axPos val="b"/>
        <c:title>
          <c:tx>
            <c:rich>
              <a:bodyPr/>
              <a:lstStyle/>
              <a:p>
                <a:pPr>
                  <a:defRPr/>
                </a:pPr>
                <a:r>
                  <a:rPr lang="es-EC"/>
                  <a:t>Años de residencia en Ecuador</a:t>
                </a:r>
              </a:p>
            </c:rich>
          </c:tx>
          <c:overlay val="0"/>
        </c:title>
        <c:numFmt formatCode="General" sourceLinked="1"/>
        <c:majorTickMark val="out"/>
        <c:minorTickMark val="none"/>
        <c:tickLblPos val="low"/>
        <c:spPr>
          <a:ln>
            <a:solidFill>
              <a:schemeClr val="tx1"/>
            </a:solidFill>
          </a:ln>
        </c:spPr>
        <c:txPr>
          <a:bodyPr rot="-5400000" vert="horz"/>
          <a:lstStyle/>
          <a:p>
            <a:pPr>
              <a:defRPr sz="700"/>
            </a:pPr>
            <a:endParaRPr lang="es-EC"/>
          </a:p>
        </c:txPr>
        <c:crossAx val="283283840"/>
        <c:crosses val="autoZero"/>
        <c:auto val="1"/>
        <c:lblAlgn val="ctr"/>
        <c:lblOffset val="100"/>
        <c:noMultiLvlLbl val="0"/>
      </c:catAx>
      <c:valAx>
        <c:axId val="283283840"/>
        <c:scaling>
          <c:orientation val="minMax"/>
          <c:max val="1"/>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low"/>
        <c:spPr>
          <a:ln>
            <a:solidFill>
              <a:schemeClr val="tx1"/>
            </a:solidFill>
          </a:ln>
        </c:spPr>
        <c:crossAx val="283272320"/>
        <c:crossesAt val="1"/>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969816272965883E-2"/>
          <c:y val="5.1400554097404488E-2"/>
          <c:w val="0.9121329833770776"/>
          <c:h val="0.5239797619047617"/>
        </c:manualLayout>
      </c:layout>
      <c:lineChart>
        <c:grouping val="standard"/>
        <c:varyColors val="0"/>
        <c:ser>
          <c:idx val="0"/>
          <c:order val="0"/>
          <c:tx>
            <c:strRef>
              <c:f>Participacion_Economica!$AD$34</c:f>
              <c:strCache>
                <c:ptCount val="1"/>
                <c:pt idx="0">
                  <c:v>Inmigrantes</c:v>
                </c:pt>
              </c:strCache>
            </c:strRef>
          </c:tx>
          <c:spPr>
            <a:ln w="12700">
              <a:noFill/>
            </a:ln>
          </c:spPr>
          <c:marker>
            <c:symbol val="diamond"/>
            <c:size val="5"/>
            <c:spPr>
              <a:solidFill>
                <a:schemeClr val="tx1"/>
              </a:solidFill>
              <a:ln>
                <a:solidFill>
                  <a:schemeClr val="tx1"/>
                </a:solidFill>
              </a:ln>
            </c:spPr>
          </c:marker>
          <c:cat>
            <c:strRef>
              <c:f>Participacion_Economica!$AV$35:$AV$59</c:f>
              <c:strCache>
                <c:ptCount val="25"/>
                <c:pt idx="0">
                  <c:v>Galápagos</c:v>
                </c:pt>
                <c:pt idx="1">
                  <c:v>Zonas No Delimitadas</c:v>
                </c:pt>
                <c:pt idx="2">
                  <c:v>Orellana</c:v>
                </c:pt>
                <c:pt idx="3">
                  <c:v>Sucumbíos</c:v>
                </c:pt>
                <c:pt idx="4">
                  <c:v>Santo Domingo</c:v>
                </c:pt>
                <c:pt idx="5">
                  <c:v>Pastaza</c:v>
                </c:pt>
                <c:pt idx="6">
                  <c:v>Zamora Chinchipe</c:v>
                </c:pt>
                <c:pt idx="7">
                  <c:v>Pichincha</c:v>
                </c:pt>
                <c:pt idx="8">
                  <c:v>Napo</c:v>
                </c:pt>
                <c:pt idx="9">
                  <c:v>El Oro</c:v>
                </c:pt>
                <c:pt idx="10">
                  <c:v>Morona Santiago</c:v>
                </c:pt>
                <c:pt idx="11">
                  <c:v>Esmeraldas</c:v>
                </c:pt>
                <c:pt idx="12">
                  <c:v>Guayas</c:v>
                </c:pt>
                <c:pt idx="13">
                  <c:v>Santa Elena</c:v>
                </c:pt>
                <c:pt idx="14">
                  <c:v>Los Ríos</c:v>
                </c:pt>
                <c:pt idx="15">
                  <c:v>Cañar</c:v>
                </c:pt>
                <c:pt idx="16">
                  <c:v>Imbabura</c:v>
                </c:pt>
                <c:pt idx="17">
                  <c:v>Azuay</c:v>
                </c:pt>
                <c:pt idx="18">
                  <c:v>Tungurahua</c:v>
                </c:pt>
                <c:pt idx="19">
                  <c:v>Cotopaxi</c:v>
                </c:pt>
                <c:pt idx="20">
                  <c:v>Carchi</c:v>
                </c:pt>
                <c:pt idx="21">
                  <c:v>Chimborazo</c:v>
                </c:pt>
                <c:pt idx="22">
                  <c:v>Bolívar</c:v>
                </c:pt>
                <c:pt idx="23">
                  <c:v>Loja</c:v>
                </c:pt>
                <c:pt idx="24">
                  <c:v>Manabí</c:v>
                </c:pt>
              </c:strCache>
            </c:strRef>
          </c:cat>
          <c:val>
            <c:numRef>
              <c:f>Participacion_Economica!$AW$35:$AW$59</c:f>
              <c:numCache>
                <c:formatCode>0.00</c:formatCode>
                <c:ptCount val="25"/>
                <c:pt idx="0">
                  <c:v>54.438971648246024</c:v>
                </c:pt>
                <c:pt idx="1">
                  <c:v>42.864364794499771</c:v>
                </c:pt>
                <c:pt idx="2">
                  <c:v>41.355711459779563</c:v>
                </c:pt>
                <c:pt idx="3">
                  <c:v>39.899485613537621</c:v>
                </c:pt>
                <c:pt idx="4">
                  <c:v>37.649328638188656</c:v>
                </c:pt>
                <c:pt idx="5">
                  <c:v>33.125775915580412</c:v>
                </c:pt>
                <c:pt idx="6">
                  <c:v>29.973791233619522</c:v>
                </c:pt>
                <c:pt idx="7">
                  <c:v>26.422597254744677</c:v>
                </c:pt>
                <c:pt idx="8">
                  <c:v>21.653593930821646</c:v>
                </c:pt>
                <c:pt idx="9">
                  <c:v>19.670945666046507</c:v>
                </c:pt>
                <c:pt idx="10">
                  <c:v>19.537172183247801</c:v>
                </c:pt>
                <c:pt idx="11">
                  <c:v>16.825807218532223</c:v>
                </c:pt>
                <c:pt idx="12">
                  <c:v>15.74222562690087</c:v>
                </c:pt>
                <c:pt idx="13">
                  <c:v>14.513123884926928</c:v>
                </c:pt>
                <c:pt idx="14">
                  <c:v>13.598472025604725</c:v>
                </c:pt>
                <c:pt idx="15">
                  <c:v>12.730997990889378</c:v>
                </c:pt>
                <c:pt idx="16">
                  <c:v>11.936332651165548</c:v>
                </c:pt>
                <c:pt idx="17">
                  <c:v>11.332993531631899</c:v>
                </c:pt>
                <c:pt idx="18">
                  <c:v>10.689872416482336</c:v>
                </c:pt>
                <c:pt idx="19">
                  <c:v>9.2595658267942529</c:v>
                </c:pt>
                <c:pt idx="20">
                  <c:v>6.1919260853588112</c:v>
                </c:pt>
                <c:pt idx="21">
                  <c:v>6.1230798648734766</c:v>
                </c:pt>
                <c:pt idx="22">
                  <c:v>5.4538910203447264</c:v>
                </c:pt>
                <c:pt idx="23">
                  <c:v>5.0441141197596258</c:v>
                </c:pt>
                <c:pt idx="24">
                  <c:v>3.4387550200803201</c:v>
                </c:pt>
              </c:numCache>
            </c:numRef>
          </c:val>
          <c:smooth val="0"/>
        </c:ser>
        <c:ser>
          <c:idx val="1"/>
          <c:order val="1"/>
          <c:tx>
            <c:strRef>
              <c:f>Participacion_Economica!$AE$34</c:f>
              <c:strCache>
                <c:ptCount val="1"/>
                <c:pt idx="0">
                  <c:v>Nativos</c:v>
                </c:pt>
              </c:strCache>
            </c:strRef>
          </c:tx>
          <c:spPr>
            <a:ln w="12700">
              <a:noFill/>
            </a:ln>
          </c:spPr>
          <c:marker>
            <c:symbol val="circle"/>
            <c:size val="5"/>
            <c:spPr>
              <a:solidFill>
                <a:schemeClr val="bg1">
                  <a:lumMod val="50000"/>
                </a:schemeClr>
              </a:solidFill>
              <a:ln>
                <a:solidFill>
                  <a:schemeClr val="bg1">
                    <a:lumMod val="50000"/>
                  </a:schemeClr>
                </a:solidFill>
              </a:ln>
            </c:spPr>
          </c:marker>
          <c:cat>
            <c:strRef>
              <c:f>Participacion_Economica!$AV$35:$AV$59</c:f>
              <c:strCache>
                <c:ptCount val="25"/>
                <c:pt idx="0">
                  <c:v>Galápagos</c:v>
                </c:pt>
                <c:pt idx="1">
                  <c:v>Zonas No Delimitadas</c:v>
                </c:pt>
                <c:pt idx="2">
                  <c:v>Orellana</c:v>
                </c:pt>
                <c:pt idx="3">
                  <c:v>Sucumbíos</c:v>
                </c:pt>
                <c:pt idx="4">
                  <c:v>Santo Domingo</c:v>
                </c:pt>
                <c:pt idx="5">
                  <c:v>Pastaza</c:v>
                </c:pt>
                <c:pt idx="6">
                  <c:v>Zamora Chinchipe</c:v>
                </c:pt>
                <c:pt idx="7">
                  <c:v>Pichincha</c:v>
                </c:pt>
                <c:pt idx="8">
                  <c:v>Napo</c:v>
                </c:pt>
                <c:pt idx="9">
                  <c:v>El Oro</c:v>
                </c:pt>
                <c:pt idx="10">
                  <c:v>Morona Santiago</c:v>
                </c:pt>
                <c:pt idx="11">
                  <c:v>Esmeraldas</c:v>
                </c:pt>
                <c:pt idx="12">
                  <c:v>Guayas</c:v>
                </c:pt>
                <c:pt idx="13">
                  <c:v>Santa Elena</c:v>
                </c:pt>
                <c:pt idx="14">
                  <c:v>Los Ríos</c:v>
                </c:pt>
                <c:pt idx="15">
                  <c:v>Cañar</c:v>
                </c:pt>
                <c:pt idx="16">
                  <c:v>Imbabura</c:v>
                </c:pt>
                <c:pt idx="17">
                  <c:v>Azuay</c:v>
                </c:pt>
                <c:pt idx="18">
                  <c:v>Tungurahua</c:v>
                </c:pt>
                <c:pt idx="19">
                  <c:v>Cotopaxi</c:v>
                </c:pt>
                <c:pt idx="20">
                  <c:v>Carchi</c:v>
                </c:pt>
                <c:pt idx="21">
                  <c:v>Chimborazo</c:v>
                </c:pt>
                <c:pt idx="22">
                  <c:v>Bolívar</c:v>
                </c:pt>
                <c:pt idx="23">
                  <c:v>Loja</c:v>
                </c:pt>
                <c:pt idx="24">
                  <c:v>Manabí</c:v>
                </c:pt>
              </c:strCache>
            </c:strRef>
          </c:cat>
          <c:val>
            <c:numRef>
              <c:f>Participacion_Economica!$AX$35:$AX$59</c:f>
              <c:numCache>
                <c:formatCode>0.00</c:formatCode>
                <c:ptCount val="25"/>
                <c:pt idx="0">
                  <c:v>17.749879865449302</c:v>
                </c:pt>
                <c:pt idx="1">
                  <c:v>13.59890804307163</c:v>
                </c:pt>
                <c:pt idx="2">
                  <c:v>20.152600474265562</c:v>
                </c:pt>
                <c:pt idx="3">
                  <c:v>17.427340640165752</c:v>
                </c:pt>
                <c:pt idx="4">
                  <c:v>21.89412887513986</c:v>
                </c:pt>
                <c:pt idx="5">
                  <c:v>29.851412166356301</c:v>
                </c:pt>
                <c:pt idx="6">
                  <c:v>31.370989606868505</c:v>
                </c:pt>
                <c:pt idx="7">
                  <c:v>38.729726466313906</c:v>
                </c:pt>
                <c:pt idx="8">
                  <c:v>42.424778192104945</c:v>
                </c:pt>
                <c:pt idx="9">
                  <c:v>39.855993831727808</c:v>
                </c:pt>
                <c:pt idx="10">
                  <c:v>44.563067941051848</c:v>
                </c:pt>
                <c:pt idx="11">
                  <c:v>41.008038752433173</c:v>
                </c:pt>
                <c:pt idx="12">
                  <c:v>42.536334414248891</c:v>
                </c:pt>
                <c:pt idx="13">
                  <c:v>37.927063719167144</c:v>
                </c:pt>
                <c:pt idx="14">
                  <c:v>41.798870560718903</c:v>
                </c:pt>
                <c:pt idx="15">
                  <c:v>43.923269214192395</c:v>
                </c:pt>
                <c:pt idx="16">
                  <c:v>48.022885310694754</c:v>
                </c:pt>
                <c:pt idx="17">
                  <c:v>50.353757842744614</c:v>
                </c:pt>
                <c:pt idx="18">
                  <c:v>55.954683844324222</c:v>
                </c:pt>
                <c:pt idx="19">
                  <c:v>52.763338446879857</c:v>
                </c:pt>
                <c:pt idx="20">
                  <c:v>47.306070309902516</c:v>
                </c:pt>
                <c:pt idx="21">
                  <c:v>56.116068583083667</c:v>
                </c:pt>
                <c:pt idx="22">
                  <c:v>52.461081616125256</c:v>
                </c:pt>
                <c:pt idx="23">
                  <c:v>50.840145469632191</c:v>
                </c:pt>
                <c:pt idx="24">
                  <c:v>49.189353982453419</c:v>
                </c:pt>
              </c:numCache>
            </c:numRef>
          </c:val>
          <c:smooth val="0"/>
        </c:ser>
        <c:dLbls>
          <c:showLegendKey val="0"/>
          <c:showVal val="0"/>
          <c:showCatName val="0"/>
          <c:showSerName val="0"/>
          <c:showPercent val="0"/>
          <c:showBubbleSize val="0"/>
        </c:dLbls>
        <c:hiLowLines/>
        <c:marker val="1"/>
        <c:smooth val="0"/>
        <c:axId val="234013440"/>
        <c:axId val="234015360"/>
      </c:lineChart>
      <c:catAx>
        <c:axId val="234013440"/>
        <c:scaling>
          <c:orientation val="minMax"/>
        </c:scaling>
        <c:delete val="0"/>
        <c:axPos val="b"/>
        <c:title>
          <c:tx>
            <c:rich>
              <a:bodyPr/>
              <a:lstStyle/>
              <a:p>
                <a:pPr>
                  <a:defRPr/>
                </a:pPr>
                <a:r>
                  <a:rPr lang="es-EC"/>
                  <a:t>Provincia de residencia</a:t>
                </a:r>
                <a:r>
                  <a:rPr lang="es-EC" baseline="0"/>
                  <a:t> habitual</a:t>
                </a:r>
                <a:endParaRPr lang="es-EC"/>
              </a:p>
            </c:rich>
          </c:tx>
          <c:layout>
            <c:manualLayout>
              <c:xMode val="edge"/>
              <c:yMode val="edge"/>
              <c:x val="0.3558626421697289"/>
              <c:y val="0.93787857142857189"/>
            </c:manualLayout>
          </c:layout>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34015360"/>
        <c:crosses val="autoZero"/>
        <c:auto val="1"/>
        <c:lblAlgn val="ctr"/>
        <c:lblOffset val="100"/>
        <c:noMultiLvlLbl val="0"/>
      </c:catAx>
      <c:valAx>
        <c:axId val="234015360"/>
        <c:scaling>
          <c:orientation val="minMax"/>
          <c:max val="70"/>
          <c:min val="0"/>
        </c:scaling>
        <c:delete val="0"/>
        <c:axPos val="l"/>
        <c:majorGridlines>
          <c:spPr>
            <a:ln>
              <a:prstDash val="dash"/>
            </a:ln>
          </c:spPr>
        </c:majorGridlines>
        <c:title>
          <c:tx>
            <c:rich>
              <a:bodyPr rot="-5400000" vert="horz"/>
              <a:lstStyle/>
              <a:p>
                <a:pPr>
                  <a:defRPr sz="650"/>
                </a:pPr>
                <a:r>
                  <a:rPr lang="es-EC" sz="650"/>
                  <a:t>Tasa de participación económica </a:t>
                </a:r>
              </a:p>
            </c:rich>
          </c:tx>
          <c:layout>
            <c:manualLayout>
              <c:xMode val="edge"/>
              <c:yMode val="edge"/>
              <c:x val="0"/>
              <c:y val="1.6122619047619052E-2"/>
            </c:manualLayout>
          </c:layout>
          <c:overlay val="0"/>
        </c:title>
        <c:numFmt formatCode="0" sourceLinked="0"/>
        <c:majorTickMark val="out"/>
        <c:minorTickMark val="none"/>
        <c:tickLblPos val="nextTo"/>
        <c:spPr>
          <a:ln>
            <a:solidFill>
              <a:schemeClr val="tx1"/>
            </a:solidFill>
          </a:ln>
        </c:spPr>
        <c:crossAx val="234013440"/>
        <c:crosses val="autoZero"/>
        <c:crossBetween val="between"/>
        <c:majorUnit val="10"/>
      </c:valAx>
      <c:spPr>
        <a:noFill/>
        <a:ln>
          <a:solidFill>
            <a:schemeClr val="tx1"/>
          </a:solidFill>
        </a:ln>
      </c:spPr>
    </c:plotArea>
    <c:legend>
      <c:legendPos val="r"/>
      <c:layout>
        <c:manualLayout>
          <c:xMode val="edge"/>
          <c:yMode val="edge"/>
          <c:x val="0.425020207949585"/>
          <c:y val="3.0184823862882168E-2"/>
          <c:w val="0.53028860454943161"/>
          <c:h val="0.11073632351576475"/>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212815990593797E-2"/>
          <c:y val="5.0925925925925923E-2"/>
          <c:w val="0.88745569832871463"/>
          <c:h val="0.54143972003499552"/>
        </c:manualLayout>
      </c:layout>
      <c:barChart>
        <c:barDir val="col"/>
        <c:grouping val="clustered"/>
        <c:varyColors val="0"/>
        <c:ser>
          <c:idx val="0"/>
          <c:order val="0"/>
          <c:tx>
            <c:strRef>
              <c:f>PerfilPeruanos!$F$116</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PerfilPeruanos!$B$118:$B$142</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PerfilPeruanos!$F$118:$F$142</c:f>
              <c:numCache>
                <c:formatCode>0.00</c:formatCode>
                <c:ptCount val="25"/>
                <c:pt idx="0">
                  <c:v>59.483526268922525</c:v>
                </c:pt>
                <c:pt idx="1">
                  <c:v>70</c:v>
                </c:pt>
                <c:pt idx="2">
                  <c:v>40.833333333333336</c:v>
                </c:pt>
                <c:pt idx="3">
                  <c:v>107.14285714285704</c:v>
                </c:pt>
                <c:pt idx="4">
                  <c:v>65.079365079365076</c:v>
                </c:pt>
                <c:pt idx="5">
                  <c:v>62.5</c:v>
                </c:pt>
                <c:pt idx="6">
                  <c:v>96.109271523178748</c:v>
                </c:pt>
                <c:pt idx="7">
                  <c:v>51.35135135135129</c:v>
                </c:pt>
                <c:pt idx="8">
                  <c:v>87.104773713577188</c:v>
                </c:pt>
                <c:pt idx="9">
                  <c:v>50</c:v>
                </c:pt>
                <c:pt idx="10">
                  <c:v>86.622073578595149</c:v>
                </c:pt>
                <c:pt idx="11">
                  <c:v>59.595959595959613</c:v>
                </c:pt>
                <c:pt idx="12">
                  <c:v>62.827225130890049</c:v>
                </c:pt>
                <c:pt idx="13">
                  <c:v>41.269841269841244</c:v>
                </c:pt>
                <c:pt idx="14">
                  <c:v>52.941176470588225</c:v>
                </c:pt>
                <c:pt idx="15">
                  <c:v>100</c:v>
                </c:pt>
                <c:pt idx="16">
                  <c:v>84.386900228484237</c:v>
                </c:pt>
                <c:pt idx="17">
                  <c:v>67.924528301886781</c:v>
                </c:pt>
                <c:pt idx="18">
                  <c:v>77.483443708609272</c:v>
                </c:pt>
                <c:pt idx="19">
                  <c:v>200</c:v>
                </c:pt>
                <c:pt idx="20">
                  <c:v>48.4375</c:v>
                </c:pt>
                <c:pt idx="21">
                  <c:v>110.00000000000001</c:v>
                </c:pt>
                <c:pt idx="22">
                  <c:v>54.128440366972512</c:v>
                </c:pt>
                <c:pt idx="23">
                  <c:v>62.809917355371901</c:v>
                </c:pt>
                <c:pt idx="24">
                  <c:v>33.333333333333329</c:v>
                </c:pt>
              </c:numCache>
            </c:numRef>
          </c:val>
        </c:ser>
        <c:dLbls>
          <c:showLegendKey val="0"/>
          <c:showVal val="0"/>
          <c:showCatName val="0"/>
          <c:showSerName val="0"/>
          <c:showPercent val="0"/>
          <c:showBubbleSize val="0"/>
        </c:dLbls>
        <c:gapWidth val="40"/>
        <c:axId val="186123392"/>
        <c:axId val="186125312"/>
      </c:barChart>
      <c:lineChart>
        <c:grouping val="standard"/>
        <c:varyColors val="0"/>
        <c:ser>
          <c:idx val="1"/>
          <c:order val="1"/>
          <c:tx>
            <c:strRef>
              <c:f>PerfilPeruanos!$G$117</c:f>
              <c:strCache>
                <c:ptCount val="1"/>
                <c:pt idx="0">
                  <c:v>100 Hombres</c:v>
                </c:pt>
              </c:strCache>
            </c:strRef>
          </c:tx>
          <c:spPr>
            <a:ln w="19050">
              <a:solidFill>
                <a:schemeClr val="tx1"/>
              </a:solidFill>
            </a:ln>
          </c:spPr>
          <c:marker>
            <c:symbol val="none"/>
          </c:marker>
          <c:cat>
            <c:strRef>
              <c:f>PerfilPeruanos!$B$118:$B$142</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PerfilPeruanos!$G$118:$G$142</c:f>
              <c:numCache>
                <c:formatCode>###0</c:formatCode>
                <c:ptCount val="2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numCache>
            </c:numRef>
          </c:val>
          <c:smooth val="0"/>
        </c:ser>
        <c:dLbls>
          <c:showLegendKey val="0"/>
          <c:showVal val="0"/>
          <c:showCatName val="0"/>
          <c:showSerName val="0"/>
          <c:showPercent val="0"/>
          <c:showBubbleSize val="0"/>
        </c:dLbls>
        <c:marker val="1"/>
        <c:smooth val="0"/>
        <c:axId val="186123392"/>
        <c:axId val="186125312"/>
      </c:lineChart>
      <c:catAx>
        <c:axId val="186123392"/>
        <c:scaling>
          <c:orientation val="minMax"/>
        </c:scaling>
        <c:delete val="0"/>
        <c:axPos val="b"/>
        <c:title>
          <c:tx>
            <c:rich>
              <a:bodyPr/>
              <a:lstStyle/>
              <a:p>
                <a:pPr>
                  <a:defRPr sz="800"/>
                </a:pPr>
                <a:r>
                  <a:rPr lang="es-EC" sz="800"/>
                  <a:t>Provincia de residencia</a:t>
                </a:r>
                <a:r>
                  <a:rPr lang="es-EC" sz="800" baseline="0"/>
                  <a:t> habitual</a:t>
                </a:r>
                <a:endParaRPr lang="es-EC" sz="800"/>
              </a:p>
            </c:rich>
          </c:tx>
          <c:layout>
            <c:manualLayout>
              <c:xMode val="edge"/>
              <c:yMode val="edge"/>
              <c:x val="0.35589396325459377"/>
              <c:y val="0.9262390919083836"/>
            </c:manualLayout>
          </c:layout>
          <c:overlay val="0"/>
        </c:title>
        <c:numFmt formatCode="General" sourceLinked="1"/>
        <c:majorTickMark val="out"/>
        <c:minorTickMark val="none"/>
        <c:tickLblPos val="nextTo"/>
        <c:spPr>
          <a:ln>
            <a:solidFill>
              <a:schemeClr val="tx1"/>
            </a:solidFill>
          </a:ln>
        </c:spPr>
        <c:txPr>
          <a:bodyPr rot="-5400000" vert="horz"/>
          <a:lstStyle/>
          <a:p>
            <a:pPr>
              <a:defRPr sz="600"/>
            </a:pPr>
            <a:endParaRPr lang="es-EC"/>
          </a:p>
        </c:txPr>
        <c:crossAx val="186125312"/>
        <c:crosses val="autoZero"/>
        <c:auto val="1"/>
        <c:lblAlgn val="ctr"/>
        <c:lblOffset val="100"/>
        <c:noMultiLvlLbl val="0"/>
      </c:catAx>
      <c:valAx>
        <c:axId val="186125312"/>
        <c:scaling>
          <c:orientation val="minMax"/>
          <c:max val="250"/>
          <c:min val="0"/>
        </c:scaling>
        <c:delete val="0"/>
        <c:axPos val="l"/>
        <c:title>
          <c:tx>
            <c:rich>
              <a:bodyPr rot="-5400000" vert="horz"/>
              <a:lstStyle/>
              <a:p>
                <a:pPr>
                  <a:defRPr sz="800"/>
                </a:pPr>
                <a:r>
                  <a:rPr lang="es-EC" sz="800"/>
                  <a:t>Índice de Feminidad</a:t>
                </a:r>
              </a:p>
            </c:rich>
          </c:tx>
          <c:overlay val="0"/>
        </c:title>
        <c:numFmt formatCode="0" sourceLinked="0"/>
        <c:majorTickMark val="out"/>
        <c:minorTickMark val="none"/>
        <c:tickLblPos val="nextTo"/>
        <c:spPr>
          <a:ln>
            <a:solidFill>
              <a:schemeClr val="tx1"/>
            </a:solidFill>
          </a:ln>
        </c:spPr>
        <c:crossAx val="186123392"/>
        <c:crosses val="autoZero"/>
        <c:crossBetween val="between"/>
        <c:majorUnit val="50"/>
      </c:valAx>
      <c:spPr>
        <a:noFill/>
        <a:ln>
          <a:solidFill>
            <a:schemeClr val="tx1"/>
          </a:solidFill>
        </a:ln>
      </c:spPr>
    </c:plotArea>
    <c:legend>
      <c:legendPos val="t"/>
      <c:layout>
        <c:manualLayout>
          <c:xMode val="edge"/>
          <c:yMode val="edge"/>
          <c:x val="0.12975265091863517"/>
          <c:y val="7.8250516557770711E-2"/>
          <c:w val="0.6178361468044008"/>
          <c:h val="6.3619495479731711E-2"/>
        </c:manualLayout>
      </c:layout>
      <c:overlay val="0"/>
      <c:txPr>
        <a:bodyPr/>
        <a:lstStyle/>
        <a:p>
          <a:pPr>
            <a:defRPr sz="800"/>
          </a:pPr>
          <a:endParaRPr lang="es-EC"/>
        </a:p>
      </c:txPr>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19508275751261"/>
          <c:y val="4.5407636738906167E-2"/>
          <c:w val="0.80797857410680862"/>
          <c:h val="0.85883068022070064"/>
        </c:manualLayout>
      </c:layout>
      <c:barChart>
        <c:barDir val="bar"/>
        <c:grouping val="stacked"/>
        <c:varyColors val="0"/>
        <c:ser>
          <c:idx val="0"/>
          <c:order val="0"/>
          <c:spPr>
            <a:solidFill>
              <a:schemeClr val="accent5">
                <a:lumMod val="40000"/>
                <a:lumOff val="60000"/>
              </a:schemeClr>
            </a:solidFill>
            <a:ln>
              <a:solidFill>
                <a:schemeClr val="accent5">
                  <a:lumMod val="75000"/>
                </a:schemeClr>
              </a:solidFill>
            </a:ln>
          </c:spPr>
          <c:invertIfNegative val="0"/>
          <c:cat>
            <c:strRef>
              <c:f>PerfilPeruanos!$B$150:$B$171</c:f>
              <c:strCache>
                <c:ptCount val="22"/>
                <c:pt idx="0">
                  <c:v>Menores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Más de 100</c:v>
                </c:pt>
              </c:strCache>
            </c:strRef>
          </c:cat>
          <c:val>
            <c:numRef>
              <c:f>PerfilPeruanos!$F$150:$F$171</c:f>
              <c:numCache>
                <c:formatCode>0,000</c:formatCode>
                <c:ptCount val="22"/>
                <c:pt idx="0">
                  <c:v>-3.0620056136769582E-3</c:v>
                </c:pt>
                <c:pt idx="1">
                  <c:v>-1.5756570553712702E-2</c:v>
                </c:pt>
                <c:pt idx="2">
                  <c:v>-1.9328910436335819E-2</c:v>
                </c:pt>
                <c:pt idx="3">
                  <c:v>-2.022199540699161E-2</c:v>
                </c:pt>
                <c:pt idx="4">
                  <c:v>-4.3059453942332293E-2</c:v>
                </c:pt>
                <c:pt idx="5">
                  <c:v>-8.5736157182954867E-2</c:v>
                </c:pt>
                <c:pt idx="6">
                  <c:v>-9.7218678234243447E-2</c:v>
                </c:pt>
                <c:pt idx="7">
                  <c:v>-7.329675937739219E-2</c:v>
                </c:pt>
                <c:pt idx="8">
                  <c:v>-6.0665986220974737E-2</c:v>
                </c:pt>
                <c:pt idx="9">
                  <c:v>-4.5993875988772664E-2</c:v>
                </c:pt>
                <c:pt idx="10">
                  <c:v>-3.3426894615973472E-2</c:v>
                </c:pt>
                <c:pt idx="11">
                  <c:v>-2.5771880581781096E-2</c:v>
                </c:pt>
                <c:pt idx="12">
                  <c:v>-1.9009951518244451E-2</c:v>
                </c:pt>
                <c:pt idx="13">
                  <c:v>-1.1801479969379967E-2</c:v>
                </c:pt>
                <c:pt idx="14">
                  <c:v>-7.0170961980097037E-3</c:v>
                </c:pt>
                <c:pt idx="15">
                  <c:v>-4.5292166368971704E-3</c:v>
                </c:pt>
                <c:pt idx="16">
                  <c:v>-2.105128859402916E-3</c:v>
                </c:pt>
                <c:pt idx="17">
                  <c:v>-9.5687675427405007E-4</c:v>
                </c:pt>
                <c:pt idx="18">
                  <c:v>-5.7412605256443143E-4</c:v>
                </c:pt>
                <c:pt idx="19">
                  <c:v>-1.2758356723653993E-4</c:v>
                </c:pt>
                <c:pt idx="20">
                  <c:v>0</c:v>
                </c:pt>
                <c:pt idx="21">
                  <c:v>-6.3791783618270044E-5</c:v>
                </c:pt>
              </c:numCache>
            </c:numRef>
          </c:val>
        </c:ser>
        <c:ser>
          <c:idx val="1"/>
          <c:order val="1"/>
          <c:spPr>
            <a:solidFill>
              <a:schemeClr val="accent6">
                <a:lumMod val="60000"/>
                <a:lumOff val="40000"/>
              </a:schemeClr>
            </a:solidFill>
            <a:ln>
              <a:solidFill>
                <a:schemeClr val="accent6">
                  <a:lumMod val="75000"/>
                </a:schemeClr>
              </a:solidFill>
            </a:ln>
          </c:spPr>
          <c:invertIfNegative val="0"/>
          <c:cat>
            <c:strRef>
              <c:f>PerfilPeruanos!$B$150:$B$171</c:f>
              <c:strCache>
                <c:ptCount val="22"/>
                <c:pt idx="0">
                  <c:v>Menores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Más de 100</c:v>
                </c:pt>
              </c:strCache>
            </c:strRef>
          </c:cat>
          <c:val>
            <c:numRef>
              <c:f>PerfilPeruanos!$G$150:$G$171</c:f>
              <c:numCache>
                <c:formatCode>0,000</c:formatCode>
                <c:ptCount val="22"/>
                <c:pt idx="0">
                  <c:v>1.4672110232202109E-3</c:v>
                </c:pt>
                <c:pt idx="1">
                  <c:v>1.4353151314110763E-2</c:v>
                </c:pt>
                <c:pt idx="2">
                  <c:v>2.0796121459556009E-2</c:v>
                </c:pt>
                <c:pt idx="3">
                  <c:v>2.0158203623373356E-2</c:v>
                </c:pt>
                <c:pt idx="4">
                  <c:v>3.5787190609849452E-2</c:v>
                </c:pt>
                <c:pt idx="5">
                  <c:v>7.4508803266139317E-2</c:v>
                </c:pt>
                <c:pt idx="6">
                  <c:v>6.8639959173258477E-2</c:v>
                </c:pt>
                <c:pt idx="7">
                  <c:v>5.1862720081653504E-2</c:v>
                </c:pt>
                <c:pt idx="8">
                  <c:v>4.2102577188058182E-2</c:v>
                </c:pt>
                <c:pt idx="9">
                  <c:v>3.0875223271242692E-2</c:v>
                </c:pt>
                <c:pt idx="10">
                  <c:v>2.2199540699157951E-2</c:v>
                </c:pt>
                <c:pt idx="11">
                  <c:v>1.6713447307986743E-2</c:v>
                </c:pt>
                <c:pt idx="12">
                  <c:v>1.2758356723653981E-2</c:v>
                </c:pt>
                <c:pt idx="13">
                  <c:v>7.4636386833375982E-3</c:v>
                </c:pt>
                <c:pt idx="14">
                  <c:v>4.2740495024240948E-3</c:v>
                </c:pt>
                <c:pt idx="15">
                  <c:v>3.0620056136769582E-3</c:v>
                </c:pt>
                <c:pt idx="16">
                  <c:v>1.5310028068384806E-3</c:v>
                </c:pt>
                <c:pt idx="17">
                  <c:v>5.7412605256443143E-4</c:v>
                </c:pt>
                <c:pt idx="18">
                  <c:v>6.3791783618270034E-4</c:v>
                </c:pt>
                <c:pt idx="19">
                  <c:v>3.1895891809135022E-4</c:v>
                </c:pt>
                <c:pt idx="20">
                  <c:v>1.9137535085481024E-4</c:v>
                </c:pt>
                <c:pt idx="21">
                  <c:v>0</c:v>
                </c:pt>
              </c:numCache>
            </c:numRef>
          </c:val>
        </c:ser>
        <c:dLbls>
          <c:showLegendKey val="0"/>
          <c:showVal val="0"/>
          <c:showCatName val="0"/>
          <c:showSerName val="0"/>
          <c:showPercent val="0"/>
          <c:showBubbleSize val="0"/>
        </c:dLbls>
        <c:gapWidth val="0"/>
        <c:overlap val="100"/>
        <c:axId val="186348288"/>
        <c:axId val="186350208"/>
      </c:barChart>
      <c:catAx>
        <c:axId val="186348288"/>
        <c:scaling>
          <c:orientation val="minMax"/>
        </c:scaling>
        <c:delete val="0"/>
        <c:axPos val="l"/>
        <c:title>
          <c:tx>
            <c:rich>
              <a:bodyPr rot="-5400000" vert="horz"/>
              <a:lstStyle/>
              <a:p>
                <a:pPr>
                  <a:defRPr sz="800"/>
                </a:pPr>
                <a:r>
                  <a:rPr lang="es-EC" sz="800"/>
                  <a:t>Grupos Etarios</a:t>
                </a:r>
              </a:p>
            </c:rich>
          </c:tx>
          <c:overlay val="0"/>
        </c:title>
        <c:numFmt formatCode="General" sourceLinked="1"/>
        <c:majorTickMark val="out"/>
        <c:minorTickMark val="none"/>
        <c:tickLblPos val="nextTo"/>
        <c:spPr>
          <a:ln>
            <a:solidFill>
              <a:sysClr val="windowText" lastClr="000000"/>
            </a:solidFill>
          </a:ln>
        </c:spPr>
        <c:crossAx val="186350208"/>
        <c:crossesAt val="-15"/>
        <c:auto val="1"/>
        <c:lblAlgn val="ctr"/>
        <c:lblOffset val="100"/>
        <c:noMultiLvlLbl val="0"/>
      </c:catAx>
      <c:valAx>
        <c:axId val="186350208"/>
        <c:scaling>
          <c:orientation val="minMax"/>
          <c:max val="0.1"/>
          <c:min val="-0.1"/>
        </c:scaling>
        <c:delete val="0"/>
        <c:axPos val="b"/>
        <c:majorGridlines>
          <c:spPr>
            <a:ln>
              <a:prstDash val="dash"/>
            </a:ln>
          </c:spPr>
        </c:majorGridlines>
        <c:numFmt formatCode="0%;0%" sourceLinked="0"/>
        <c:majorTickMark val="out"/>
        <c:minorTickMark val="none"/>
        <c:tickLblPos val="nextTo"/>
        <c:spPr>
          <a:ln>
            <a:solidFill>
              <a:schemeClr val="tx1"/>
            </a:solidFill>
          </a:ln>
        </c:spPr>
        <c:txPr>
          <a:bodyPr/>
          <a:lstStyle/>
          <a:p>
            <a:pPr>
              <a:defRPr sz="800"/>
            </a:pPr>
            <a:endParaRPr lang="es-EC"/>
          </a:p>
        </c:txPr>
        <c:crossAx val="186348288"/>
        <c:crosses val="autoZero"/>
        <c:crossBetween val="between"/>
        <c:majorUnit val="4.0000000000000022E-2"/>
      </c:valAx>
      <c:spPr>
        <a:noFill/>
        <a:ln>
          <a:solidFill>
            <a:sysClr val="windowText" lastClr="000000"/>
          </a:solidFill>
        </a:ln>
      </c:spPr>
    </c:plotArea>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43100697068956E-2"/>
          <c:y val="3.1909572624176721E-2"/>
          <c:w val="0.88072541362223966"/>
          <c:h val="0.69640138792785578"/>
        </c:manualLayout>
      </c:layout>
      <c:barChart>
        <c:barDir val="col"/>
        <c:grouping val="clustered"/>
        <c:varyColors val="0"/>
        <c:ser>
          <c:idx val="0"/>
          <c:order val="0"/>
          <c:tx>
            <c:strRef>
              <c:f>PerfilPeruanos!$P$149</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PerfilPeruanos!$O$150:$O$169</c:f>
              <c:strCache>
                <c:ptCount val="20"/>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strCache>
            </c:strRef>
          </c:cat>
          <c:val>
            <c:numRef>
              <c:f>PerfilPeruanos!$P$150:$P$169</c:f>
              <c:numCache>
                <c:formatCode>0.00</c:formatCode>
                <c:ptCount val="20"/>
                <c:pt idx="0">
                  <c:v>47.916666666666544</c:v>
                </c:pt>
                <c:pt idx="1">
                  <c:v>91.093117408906892</c:v>
                </c:pt>
                <c:pt idx="2">
                  <c:v>107.59075907590767</c:v>
                </c:pt>
                <c:pt idx="3">
                  <c:v>99.684542586750638</c:v>
                </c:pt>
                <c:pt idx="4">
                  <c:v>83.111111111111114</c:v>
                </c:pt>
                <c:pt idx="5">
                  <c:v>86.904761904761912</c:v>
                </c:pt>
                <c:pt idx="6">
                  <c:v>70.603674540682348</c:v>
                </c:pt>
                <c:pt idx="7">
                  <c:v>70.757180156657824</c:v>
                </c:pt>
                <c:pt idx="8">
                  <c:v>69.400630914826479</c:v>
                </c:pt>
                <c:pt idx="9">
                  <c:v>67.128987517336853</c:v>
                </c:pt>
                <c:pt idx="10">
                  <c:v>66.4122137404581</c:v>
                </c:pt>
                <c:pt idx="11">
                  <c:v>64.85148514851474</c:v>
                </c:pt>
                <c:pt idx="12">
                  <c:v>67.114093959731562</c:v>
                </c:pt>
                <c:pt idx="13">
                  <c:v>63.243243243243199</c:v>
                </c:pt>
                <c:pt idx="14">
                  <c:v>60.909090909090914</c:v>
                </c:pt>
                <c:pt idx="15">
                  <c:v>67.605633802816769</c:v>
                </c:pt>
                <c:pt idx="16">
                  <c:v>72.727272727272734</c:v>
                </c:pt>
                <c:pt idx="17">
                  <c:v>60</c:v>
                </c:pt>
                <c:pt idx="18">
                  <c:v>111.11111111111111</c:v>
                </c:pt>
                <c:pt idx="19">
                  <c:v>250</c:v>
                </c:pt>
              </c:numCache>
            </c:numRef>
          </c:val>
        </c:ser>
        <c:dLbls>
          <c:showLegendKey val="0"/>
          <c:showVal val="0"/>
          <c:showCatName val="0"/>
          <c:showSerName val="0"/>
          <c:showPercent val="0"/>
          <c:showBubbleSize val="0"/>
        </c:dLbls>
        <c:gapWidth val="0"/>
        <c:axId val="283384064"/>
        <c:axId val="283394432"/>
      </c:barChart>
      <c:lineChart>
        <c:grouping val="standard"/>
        <c:varyColors val="0"/>
        <c:ser>
          <c:idx val="1"/>
          <c:order val="1"/>
          <c:tx>
            <c:strRef>
              <c:f>PerfilPeruanos!$Q$149</c:f>
              <c:strCache>
                <c:ptCount val="1"/>
                <c:pt idx="0">
                  <c:v>100 Hombres</c:v>
                </c:pt>
              </c:strCache>
            </c:strRef>
          </c:tx>
          <c:spPr>
            <a:ln w="19050">
              <a:solidFill>
                <a:schemeClr val="tx1"/>
              </a:solidFill>
            </a:ln>
          </c:spPr>
          <c:marker>
            <c:symbol val="none"/>
          </c:marker>
          <c:val>
            <c:numRef>
              <c:f>PerfilPeruanos!$Q$150:$Q$169</c:f>
              <c:numCache>
                <c:formatCode>General</c:formatCode>
                <c:ptCount val="2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smooth val="0"/>
        </c:ser>
        <c:dLbls>
          <c:showLegendKey val="0"/>
          <c:showVal val="0"/>
          <c:showCatName val="0"/>
          <c:showSerName val="0"/>
          <c:showPercent val="0"/>
          <c:showBubbleSize val="0"/>
        </c:dLbls>
        <c:marker val="1"/>
        <c:smooth val="0"/>
        <c:axId val="283384064"/>
        <c:axId val="283394432"/>
      </c:lineChart>
      <c:catAx>
        <c:axId val="283384064"/>
        <c:scaling>
          <c:orientation val="minMax"/>
        </c:scaling>
        <c:delete val="0"/>
        <c:axPos val="b"/>
        <c:title>
          <c:tx>
            <c:rich>
              <a:bodyPr/>
              <a:lstStyle/>
              <a:p>
                <a:pPr>
                  <a:defRPr/>
                </a:pPr>
                <a:r>
                  <a:rPr lang="es-EC"/>
                  <a:t>Grupos de Edad</a:t>
                </a:r>
              </a:p>
            </c:rich>
          </c:tx>
          <c:overlay val="0"/>
        </c:title>
        <c:numFmt formatCode="General" sourceLinked="1"/>
        <c:majorTickMark val="out"/>
        <c:minorTickMark val="none"/>
        <c:tickLblPos val="nextTo"/>
        <c:spPr>
          <a:ln>
            <a:solidFill>
              <a:schemeClr val="tx1"/>
            </a:solidFill>
          </a:ln>
        </c:spPr>
        <c:txPr>
          <a:bodyPr rot="-5400000" vert="horz"/>
          <a:lstStyle/>
          <a:p>
            <a:pPr>
              <a:defRPr sz="750"/>
            </a:pPr>
            <a:endParaRPr lang="es-EC"/>
          </a:p>
        </c:txPr>
        <c:crossAx val="283394432"/>
        <c:crosses val="autoZero"/>
        <c:auto val="1"/>
        <c:lblAlgn val="ctr"/>
        <c:lblOffset val="100"/>
        <c:noMultiLvlLbl val="0"/>
      </c:catAx>
      <c:valAx>
        <c:axId val="283394432"/>
        <c:scaling>
          <c:orientation val="minMax"/>
          <c:max val="300"/>
          <c:min val="0"/>
        </c:scaling>
        <c:delete val="0"/>
        <c:axPos val="l"/>
        <c:title>
          <c:tx>
            <c:rich>
              <a:bodyPr rot="-5400000" vert="horz"/>
              <a:lstStyle/>
              <a:p>
                <a:pPr>
                  <a:defRPr/>
                </a:pPr>
                <a:r>
                  <a:rPr lang="es-EC"/>
                  <a:t>Índice de Feminidad</a:t>
                </a:r>
              </a:p>
            </c:rich>
          </c:tx>
          <c:overlay val="0"/>
        </c:title>
        <c:numFmt formatCode="0" sourceLinked="0"/>
        <c:majorTickMark val="out"/>
        <c:minorTickMark val="none"/>
        <c:tickLblPos val="nextTo"/>
        <c:spPr>
          <a:ln>
            <a:solidFill>
              <a:schemeClr val="tx1"/>
            </a:solidFill>
          </a:ln>
        </c:spPr>
        <c:crossAx val="283384064"/>
        <c:crosses val="autoZero"/>
        <c:crossBetween val="between"/>
        <c:majorUnit val="50"/>
      </c:valAx>
      <c:spPr>
        <a:noFill/>
        <a:ln>
          <a:solidFill>
            <a:schemeClr val="tx1"/>
          </a:solidFill>
        </a:ln>
      </c:spPr>
    </c:plotArea>
    <c:legend>
      <c:legendPos val="t"/>
      <c:layout>
        <c:manualLayout>
          <c:xMode val="edge"/>
          <c:yMode val="edge"/>
          <c:x val="0.18309124884521738"/>
          <c:y val="5.7066993464052342E-2"/>
          <c:w val="0.67381498278323682"/>
          <c:h val="7.7017565359477139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PerfilPeruanos!$G$178</c:f>
              <c:strCache>
                <c:ptCount val="1"/>
                <c:pt idx="0">
                  <c:v>Alfabeto</c:v>
                </c:pt>
              </c:strCache>
            </c:strRef>
          </c:tx>
          <c:spPr>
            <a:ln w="19050">
              <a:solidFill>
                <a:srgbClr val="0070C0"/>
              </a:solidFill>
            </a:ln>
          </c:spPr>
          <c:marker>
            <c:symbol val="none"/>
          </c:marker>
          <c:cat>
            <c:strRef>
              <c:f>PerfilPeruanos!$C$181:$C$198</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PerfilPeruanos!$G$181:$G$196</c:f>
              <c:numCache>
                <c:formatCode>0.00</c:formatCode>
                <c:ptCount val="16"/>
                <c:pt idx="0">
                  <c:v>991.1111111111112</c:v>
                </c:pt>
                <c:pt idx="1">
                  <c:v>988.09523809523796</c:v>
                </c:pt>
                <c:pt idx="2">
                  <c:v>985.56430446194224</c:v>
                </c:pt>
                <c:pt idx="3">
                  <c:v>993.03742384682289</c:v>
                </c:pt>
                <c:pt idx="4">
                  <c:v>985.2786540483711</c:v>
                </c:pt>
                <c:pt idx="5">
                  <c:v>981.96948682385539</c:v>
                </c:pt>
                <c:pt idx="6">
                  <c:v>980.91603053435153</c:v>
                </c:pt>
                <c:pt idx="7">
                  <c:v>980.19801980198019</c:v>
                </c:pt>
                <c:pt idx="8">
                  <c:v>976.51006711409309</c:v>
                </c:pt>
                <c:pt idx="9">
                  <c:v>972.97297297297303</c:v>
                </c:pt>
                <c:pt idx="10">
                  <c:v>936.3636363636366</c:v>
                </c:pt>
                <c:pt idx="11">
                  <c:v>943.66197183098586</c:v>
                </c:pt>
                <c:pt idx="12">
                  <c:v>909.09090909090821</c:v>
                </c:pt>
                <c:pt idx="13">
                  <c:v>800</c:v>
                </c:pt>
                <c:pt idx="14">
                  <c:v>1000</c:v>
                </c:pt>
                <c:pt idx="15">
                  <c:v>500</c:v>
                </c:pt>
              </c:numCache>
            </c:numRef>
          </c:val>
          <c:smooth val="1"/>
        </c:ser>
        <c:ser>
          <c:idx val="1"/>
          <c:order val="1"/>
          <c:tx>
            <c:strRef>
              <c:f>PerfilPeruanos!$H$178</c:f>
              <c:strCache>
                <c:ptCount val="1"/>
                <c:pt idx="0">
                  <c:v>Analfabeto</c:v>
                </c:pt>
              </c:strCache>
            </c:strRef>
          </c:tx>
          <c:spPr>
            <a:ln w="19050">
              <a:solidFill>
                <a:schemeClr val="accent6">
                  <a:lumMod val="75000"/>
                </a:schemeClr>
              </a:solidFill>
            </a:ln>
          </c:spPr>
          <c:marker>
            <c:symbol val="none"/>
          </c:marker>
          <c:cat>
            <c:strRef>
              <c:f>PerfilPeruanos!$C$181:$C$198</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PerfilPeruanos!$H$181:$H$196</c:f>
              <c:numCache>
                <c:formatCode>0.00</c:formatCode>
                <c:ptCount val="16"/>
                <c:pt idx="0">
                  <c:v>8.8888888888888893</c:v>
                </c:pt>
                <c:pt idx="1">
                  <c:v>11.904761904761903</c:v>
                </c:pt>
                <c:pt idx="2">
                  <c:v>14.435695538057757</c:v>
                </c:pt>
                <c:pt idx="3">
                  <c:v>6.9625761531766752</c:v>
                </c:pt>
                <c:pt idx="4">
                  <c:v>14.721345951629861</c:v>
                </c:pt>
                <c:pt idx="5">
                  <c:v>18.030513176144229</c:v>
                </c:pt>
                <c:pt idx="6">
                  <c:v>19.083969465648877</c:v>
                </c:pt>
                <c:pt idx="7">
                  <c:v>19.801980198019837</c:v>
                </c:pt>
                <c:pt idx="8">
                  <c:v>23.489932885905997</c:v>
                </c:pt>
                <c:pt idx="9">
                  <c:v>27.027027027027028</c:v>
                </c:pt>
                <c:pt idx="10">
                  <c:v>63.636363636363626</c:v>
                </c:pt>
                <c:pt idx="11">
                  <c:v>56.338028169014045</c:v>
                </c:pt>
                <c:pt idx="12">
                  <c:v>90.909090909090907</c:v>
                </c:pt>
                <c:pt idx="13">
                  <c:v>200</c:v>
                </c:pt>
                <c:pt idx="14">
                  <c:v>0</c:v>
                </c:pt>
                <c:pt idx="15">
                  <c:v>500</c:v>
                </c:pt>
              </c:numCache>
            </c:numRef>
          </c:val>
          <c:smooth val="1"/>
        </c:ser>
        <c:dLbls>
          <c:showLegendKey val="0"/>
          <c:showVal val="0"/>
          <c:showCatName val="0"/>
          <c:showSerName val="0"/>
          <c:showPercent val="0"/>
          <c:showBubbleSize val="0"/>
        </c:dLbls>
        <c:marker val="1"/>
        <c:smooth val="0"/>
        <c:axId val="283427968"/>
        <c:axId val="283429888"/>
      </c:lineChart>
      <c:catAx>
        <c:axId val="283427968"/>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83429888"/>
        <c:crosses val="autoZero"/>
        <c:auto val="1"/>
        <c:lblAlgn val="ctr"/>
        <c:lblOffset val="100"/>
        <c:noMultiLvlLbl val="0"/>
      </c:catAx>
      <c:valAx>
        <c:axId val="283429888"/>
        <c:scaling>
          <c:orientation val="minMax"/>
          <c:max val="1000"/>
          <c:min val="0"/>
        </c:scaling>
        <c:delete val="0"/>
        <c:axPos val="l"/>
        <c:title>
          <c:tx>
            <c:rich>
              <a:bodyPr rot="-5400000" vert="horz"/>
              <a:lstStyle/>
              <a:p>
                <a:pPr>
                  <a:defRPr sz="700"/>
                </a:pPr>
                <a:r>
                  <a:rPr lang="es-EC" sz="700"/>
                  <a:t>Tasa por</a:t>
                </a:r>
                <a:r>
                  <a:rPr lang="es-EC" sz="700" baseline="0"/>
                  <a:t> cada 1000 peruanos</a:t>
                </a:r>
                <a:endParaRPr lang="es-EC" sz="700"/>
              </a:p>
            </c:rich>
          </c:tx>
          <c:layout>
            <c:manualLayout>
              <c:xMode val="edge"/>
              <c:yMode val="edge"/>
              <c:x val="0"/>
              <c:y val="8.9936393085999627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3427968"/>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PerfilPeruanos!$G$201</c:f>
              <c:strCache>
                <c:ptCount val="1"/>
                <c:pt idx="0">
                  <c:v>Alfabeto</c:v>
                </c:pt>
              </c:strCache>
            </c:strRef>
          </c:tx>
          <c:spPr>
            <a:ln w="19050">
              <a:solidFill>
                <a:srgbClr val="0070C0"/>
              </a:solidFill>
            </a:ln>
          </c:spPr>
          <c:marker>
            <c:symbol val="none"/>
          </c:marker>
          <c:cat>
            <c:strRef>
              <c:f>PerfilPeruanos!$C$202:$C$218</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strCache>
            </c:strRef>
          </c:cat>
          <c:val>
            <c:numRef>
              <c:f>PerfilPeruanos!$G$202:$G$217</c:f>
              <c:numCache>
                <c:formatCode>0.00</c:formatCode>
                <c:ptCount val="16"/>
                <c:pt idx="0">
                  <c:v>985.73975044563304</c:v>
                </c:pt>
                <c:pt idx="1">
                  <c:v>990.58219178082197</c:v>
                </c:pt>
                <c:pt idx="2">
                  <c:v>992.56505576208178</c:v>
                </c:pt>
                <c:pt idx="3">
                  <c:v>964.32964329643289</c:v>
                </c:pt>
                <c:pt idx="4">
                  <c:v>981.81818181818244</c:v>
                </c:pt>
                <c:pt idx="5">
                  <c:v>954.54545454545439</c:v>
                </c:pt>
                <c:pt idx="6">
                  <c:v>939.65517241379291</c:v>
                </c:pt>
                <c:pt idx="7">
                  <c:v>973.28244274809265</c:v>
                </c:pt>
                <c:pt idx="8">
                  <c:v>950</c:v>
                </c:pt>
                <c:pt idx="9">
                  <c:v>940.17094017094053</c:v>
                </c:pt>
                <c:pt idx="10">
                  <c:v>865.67164179104441</c:v>
                </c:pt>
                <c:pt idx="11">
                  <c:v>791.66666666666663</c:v>
                </c:pt>
                <c:pt idx="12">
                  <c:v>916.66666666666663</c:v>
                </c:pt>
                <c:pt idx="13">
                  <c:v>777.77777777777885</c:v>
                </c:pt>
                <c:pt idx="14">
                  <c:v>800</c:v>
                </c:pt>
                <c:pt idx="15">
                  <c:v>800</c:v>
                </c:pt>
              </c:numCache>
            </c:numRef>
          </c:val>
          <c:smooth val="1"/>
        </c:ser>
        <c:ser>
          <c:idx val="1"/>
          <c:order val="1"/>
          <c:tx>
            <c:strRef>
              <c:f>PerfilPeruanos!$H$201</c:f>
              <c:strCache>
                <c:ptCount val="1"/>
                <c:pt idx="0">
                  <c:v>Analfabeto</c:v>
                </c:pt>
              </c:strCache>
            </c:strRef>
          </c:tx>
          <c:spPr>
            <a:ln w="19050">
              <a:solidFill>
                <a:schemeClr val="accent6">
                  <a:lumMod val="75000"/>
                </a:schemeClr>
              </a:solidFill>
            </a:ln>
          </c:spPr>
          <c:marker>
            <c:symbol val="none"/>
          </c:marker>
          <c:cat>
            <c:strRef>
              <c:f>PerfilPeruanos!$C$202:$C$218</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strCache>
            </c:strRef>
          </c:cat>
          <c:val>
            <c:numRef>
              <c:f>PerfilPeruanos!$H$202:$H$217</c:f>
              <c:numCache>
                <c:formatCode>0.00</c:formatCode>
                <c:ptCount val="16"/>
                <c:pt idx="0">
                  <c:v>14.260249554367222</c:v>
                </c:pt>
                <c:pt idx="1">
                  <c:v>9.4178082191780828</c:v>
                </c:pt>
                <c:pt idx="2">
                  <c:v>7.4349442379182076</c:v>
                </c:pt>
                <c:pt idx="3">
                  <c:v>35.670356703567037</c:v>
                </c:pt>
                <c:pt idx="4">
                  <c:v>18.181818181818208</c:v>
                </c:pt>
                <c:pt idx="5">
                  <c:v>45.454545454545389</c:v>
                </c:pt>
                <c:pt idx="6">
                  <c:v>60.34482758620679</c:v>
                </c:pt>
                <c:pt idx="7">
                  <c:v>26.717557251908396</c:v>
                </c:pt>
                <c:pt idx="8">
                  <c:v>50</c:v>
                </c:pt>
                <c:pt idx="9">
                  <c:v>59.829059829059879</c:v>
                </c:pt>
                <c:pt idx="10">
                  <c:v>134.32835820895539</c:v>
                </c:pt>
                <c:pt idx="11">
                  <c:v>208.33333333333351</c:v>
                </c:pt>
                <c:pt idx="12">
                  <c:v>83.333333333333258</c:v>
                </c:pt>
                <c:pt idx="13">
                  <c:v>222.2222222222222</c:v>
                </c:pt>
                <c:pt idx="14">
                  <c:v>200</c:v>
                </c:pt>
                <c:pt idx="15">
                  <c:v>200</c:v>
                </c:pt>
              </c:numCache>
            </c:numRef>
          </c:val>
          <c:smooth val="1"/>
        </c:ser>
        <c:dLbls>
          <c:showLegendKey val="0"/>
          <c:showVal val="0"/>
          <c:showCatName val="0"/>
          <c:showSerName val="0"/>
          <c:showPercent val="0"/>
          <c:showBubbleSize val="0"/>
        </c:dLbls>
        <c:marker val="1"/>
        <c:smooth val="0"/>
        <c:axId val="283323776"/>
        <c:axId val="283342336"/>
      </c:lineChart>
      <c:catAx>
        <c:axId val="283323776"/>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83342336"/>
        <c:crosses val="autoZero"/>
        <c:auto val="1"/>
        <c:lblAlgn val="ctr"/>
        <c:lblOffset val="100"/>
        <c:noMultiLvlLbl val="0"/>
      </c:catAx>
      <c:valAx>
        <c:axId val="283342336"/>
        <c:scaling>
          <c:orientation val="minMax"/>
          <c:max val="1000"/>
          <c:min val="0"/>
        </c:scaling>
        <c:delete val="0"/>
        <c:axPos val="l"/>
        <c:title>
          <c:tx>
            <c:rich>
              <a:bodyPr rot="-5400000" vert="horz"/>
              <a:lstStyle/>
              <a:p>
                <a:pPr>
                  <a:defRPr sz="700"/>
                </a:pPr>
                <a:r>
                  <a:rPr lang="es-EC" sz="700"/>
                  <a:t>Tasa por</a:t>
                </a:r>
                <a:r>
                  <a:rPr lang="es-EC" sz="700" baseline="0"/>
                  <a:t> cada 1000 peruanos</a:t>
                </a:r>
                <a:endParaRPr lang="es-EC" sz="700"/>
              </a:p>
            </c:rich>
          </c:tx>
          <c:layout>
            <c:manualLayout>
              <c:xMode val="edge"/>
              <c:yMode val="edge"/>
              <c:x val="0"/>
              <c:y val="6.59123690619753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3323776"/>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5064601140739"/>
          <c:y val="3.3409263477600655E-2"/>
          <c:w val="0.69431328212283039"/>
          <c:h val="0.90505192545692559"/>
        </c:manualLayout>
      </c:layout>
      <c:barChart>
        <c:barDir val="bar"/>
        <c:grouping val="stacked"/>
        <c:varyColors val="0"/>
        <c:ser>
          <c:idx val="0"/>
          <c:order val="0"/>
          <c:tx>
            <c:strRef>
              <c:f>PerfilPeruanos!$M$225</c:f>
              <c:strCache>
                <c:ptCount val="1"/>
                <c:pt idx="0">
                  <c:v>Se ignora</c:v>
                </c:pt>
              </c:strCache>
            </c:strRef>
          </c:tx>
          <c:spPr>
            <a:solidFill>
              <a:schemeClr val="bg1">
                <a:lumMod val="65000"/>
              </a:schemeClr>
            </a:solidFill>
            <a:ln>
              <a:noFill/>
            </a:ln>
          </c:spPr>
          <c:invertIfNegative val="0"/>
          <c:cat>
            <c:strRef>
              <c:f>PerfilPeruanos!$C$226:$C$245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PerfilPeruanos!$M$226:$M$245</c:f>
              <c:numCache>
                <c:formatCode>0,000</c:formatCode>
                <c:ptCount val="20"/>
                <c:pt idx="0">
                  <c:v>-1.2555342628692262E-3</c:v>
                </c:pt>
                <c:pt idx="1">
                  <c:v>-3.9648450406396652E-4</c:v>
                </c:pt>
                <c:pt idx="2">
                  <c:v>-9.9121126015991562E-4</c:v>
                </c:pt>
                <c:pt idx="3">
                  <c:v>-1.8502610189651768E-3</c:v>
                </c:pt>
                <c:pt idx="4">
                  <c:v>-1.9163417696425071E-3</c:v>
                </c:pt>
                <c:pt idx="5">
                  <c:v>-9.2513050948258777E-4</c:v>
                </c:pt>
                <c:pt idx="6">
                  <c:v>-7.2688825745060464E-4</c:v>
                </c:pt>
                <c:pt idx="7">
                  <c:v>-1.4537765149012119E-3</c:v>
                </c:pt>
                <c:pt idx="8">
                  <c:v>-5.9472675609594991E-4</c:v>
                </c:pt>
                <c:pt idx="9">
                  <c:v>-2.6432300270931125E-4</c:v>
                </c:pt>
                <c:pt idx="10">
                  <c:v>-5.2864600541862228E-4</c:v>
                </c:pt>
                <c:pt idx="11">
                  <c:v>-3.3040375338663888E-4</c:v>
                </c:pt>
                <c:pt idx="12">
                  <c:v>-6.6080750677327703E-5</c:v>
                </c:pt>
                <c:pt idx="13">
                  <c:v>-1.3216150135465565E-4</c:v>
                </c:pt>
                <c:pt idx="14">
                  <c:v>-6.6080750677327703E-5</c:v>
                </c:pt>
                <c:pt idx="15">
                  <c:v>-6.6080750677327703E-5</c:v>
                </c:pt>
                <c:pt idx="16">
                  <c:v>0</c:v>
                </c:pt>
                <c:pt idx="17">
                  <c:v>0</c:v>
                </c:pt>
                <c:pt idx="18">
                  <c:v>0</c:v>
                </c:pt>
                <c:pt idx="19">
                  <c:v>0</c:v>
                </c:pt>
              </c:numCache>
            </c:numRef>
          </c:val>
        </c:ser>
        <c:ser>
          <c:idx val="2"/>
          <c:order val="1"/>
          <c:tx>
            <c:strRef>
              <c:f>PerfilPeruanos!$N$225</c:f>
              <c:strCache>
                <c:ptCount val="1"/>
                <c:pt idx="0">
                  <c:v>Ninguno</c:v>
                </c:pt>
              </c:strCache>
            </c:strRef>
          </c:tx>
          <c:spPr>
            <a:solidFill>
              <a:srgbClr val="C00000"/>
            </a:solidFill>
            <a:ln>
              <a:noFill/>
            </a:ln>
          </c:spPr>
          <c:invertIfNegative val="0"/>
          <c:cat>
            <c:strRef>
              <c:f>PerfilPeruanos!$C$226:$C$245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PerfilPeruanos!$N$226:$N$245</c:f>
              <c:numCache>
                <c:formatCode>0,000</c:formatCode>
                <c:ptCount val="20"/>
                <c:pt idx="0">
                  <c:v>0</c:v>
                </c:pt>
                <c:pt idx="1">
                  <c:v>0</c:v>
                </c:pt>
                <c:pt idx="2">
                  <c:v>-8.5904975880526208E-4</c:v>
                </c:pt>
                <c:pt idx="3">
                  <c:v>-2.0485032709971623E-3</c:v>
                </c:pt>
                <c:pt idx="4">
                  <c:v>-2.5771492764157826E-3</c:v>
                </c:pt>
                <c:pt idx="5">
                  <c:v>-1.1233727615145724E-3</c:v>
                </c:pt>
                <c:pt idx="6">
                  <c:v>-1.5859380162558661E-3</c:v>
                </c:pt>
                <c:pt idx="7">
                  <c:v>-6.6080750677327701E-4</c:v>
                </c:pt>
                <c:pt idx="8">
                  <c:v>-3.9648450406396652E-4</c:v>
                </c:pt>
                <c:pt idx="9">
                  <c:v>-2.6432300270931125E-4</c:v>
                </c:pt>
                <c:pt idx="10">
                  <c:v>-5.2864600541862228E-4</c:v>
                </c:pt>
                <c:pt idx="11">
                  <c:v>-4.6256525474129388E-4</c:v>
                </c:pt>
                <c:pt idx="12">
                  <c:v>-3.9648450406396652E-4</c:v>
                </c:pt>
                <c:pt idx="13">
                  <c:v>-3.9648450406396652E-4</c:v>
                </c:pt>
                <c:pt idx="14">
                  <c:v>-1.9824225203198358E-4</c:v>
                </c:pt>
                <c:pt idx="15">
                  <c:v>-6.6080750677327703E-5</c:v>
                </c:pt>
                <c:pt idx="16">
                  <c:v>0</c:v>
                </c:pt>
                <c:pt idx="17">
                  <c:v>-6.6080750677327703E-5</c:v>
                </c:pt>
                <c:pt idx="18">
                  <c:v>0</c:v>
                </c:pt>
                <c:pt idx="19">
                  <c:v>0</c:v>
                </c:pt>
              </c:numCache>
            </c:numRef>
          </c:val>
        </c:ser>
        <c:ser>
          <c:idx val="3"/>
          <c:order val="2"/>
          <c:tx>
            <c:strRef>
              <c:f>PerfilPeruanos!$O$225</c:f>
              <c:strCache>
                <c:ptCount val="1"/>
                <c:pt idx="0">
                  <c:v>Centro de Alfabetización</c:v>
                </c:pt>
              </c:strCache>
            </c:strRef>
          </c:tx>
          <c:spPr>
            <a:solidFill>
              <a:schemeClr val="accent3">
                <a:lumMod val="75000"/>
              </a:schemeClr>
            </a:solidFill>
          </c:spPr>
          <c:invertIfNegative val="0"/>
          <c:cat>
            <c:strRef>
              <c:f>PerfilPeruanos!$C$226:$C$245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PerfilPeruanos!$O$226:$O$245</c:f>
              <c:numCache>
                <c:formatCode>0,000</c:formatCode>
                <c:ptCount val="20"/>
                <c:pt idx="0">
                  <c:v>0</c:v>
                </c:pt>
                <c:pt idx="1">
                  <c:v>0</c:v>
                </c:pt>
                <c:pt idx="2">
                  <c:v>-6.6080750677327703E-5</c:v>
                </c:pt>
                <c:pt idx="3">
                  <c:v>-1.9824225203198358E-4</c:v>
                </c:pt>
                <c:pt idx="4">
                  <c:v>-1.3216150135465565E-4</c:v>
                </c:pt>
                <c:pt idx="5">
                  <c:v>0</c:v>
                </c:pt>
                <c:pt idx="6">
                  <c:v>0</c:v>
                </c:pt>
                <c:pt idx="7">
                  <c:v>-6.6080750677327703E-5</c:v>
                </c:pt>
                <c:pt idx="8">
                  <c:v>-6.6080750677327703E-5</c:v>
                </c:pt>
                <c:pt idx="9">
                  <c:v>-6.6080750677327703E-5</c:v>
                </c:pt>
                <c:pt idx="10">
                  <c:v>0</c:v>
                </c:pt>
                <c:pt idx="11">
                  <c:v>0</c:v>
                </c:pt>
                <c:pt idx="12">
                  <c:v>-6.6080750677327703E-5</c:v>
                </c:pt>
                <c:pt idx="13">
                  <c:v>-6.6080750677327703E-5</c:v>
                </c:pt>
                <c:pt idx="14">
                  <c:v>0</c:v>
                </c:pt>
                <c:pt idx="15">
                  <c:v>-6.6080750677327703E-5</c:v>
                </c:pt>
                <c:pt idx="16">
                  <c:v>0</c:v>
                </c:pt>
                <c:pt idx="17">
                  <c:v>0</c:v>
                </c:pt>
                <c:pt idx="18">
                  <c:v>0</c:v>
                </c:pt>
                <c:pt idx="19">
                  <c:v>0</c:v>
                </c:pt>
              </c:numCache>
            </c:numRef>
          </c:val>
        </c:ser>
        <c:ser>
          <c:idx val="4"/>
          <c:order val="3"/>
          <c:tx>
            <c:strRef>
              <c:f>PerfilPeruanos!$P$225</c:f>
              <c:strCache>
                <c:ptCount val="1"/>
                <c:pt idx="0">
                  <c:v>Primaria</c:v>
                </c:pt>
              </c:strCache>
            </c:strRef>
          </c:tx>
          <c:spPr>
            <a:solidFill>
              <a:schemeClr val="accent6">
                <a:lumMod val="75000"/>
              </a:schemeClr>
            </a:solidFill>
          </c:spPr>
          <c:invertIfNegative val="0"/>
          <c:cat>
            <c:strRef>
              <c:f>PerfilPeruanos!$C$226:$C$245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PerfilPeruanos!$P$226:$P$245</c:f>
              <c:numCache>
                <c:formatCode>0,000</c:formatCode>
                <c:ptCount val="20"/>
                <c:pt idx="0">
                  <c:v>-1.8766933192361071E-2</c:v>
                </c:pt>
                <c:pt idx="1">
                  <c:v>-1.2158858124628295E-2</c:v>
                </c:pt>
                <c:pt idx="2">
                  <c:v>-8.8548205907619318E-3</c:v>
                </c:pt>
                <c:pt idx="3">
                  <c:v>-1.652018766933195E-2</c:v>
                </c:pt>
                <c:pt idx="4">
                  <c:v>-2.18727284741955E-2</c:v>
                </c:pt>
                <c:pt idx="5">
                  <c:v>-1.486816890239873E-2</c:v>
                </c:pt>
                <c:pt idx="6">
                  <c:v>-1.1431969867177701E-2</c:v>
                </c:pt>
                <c:pt idx="7">
                  <c:v>-1.0374677856340444E-2</c:v>
                </c:pt>
                <c:pt idx="8">
                  <c:v>-7.0706403224740809E-3</c:v>
                </c:pt>
                <c:pt idx="9">
                  <c:v>-5.6168638075728599E-3</c:v>
                </c:pt>
                <c:pt idx="10">
                  <c:v>-3.7005220379303597E-3</c:v>
                </c:pt>
                <c:pt idx="11">
                  <c:v>-1.9163417696425071E-3</c:v>
                </c:pt>
                <c:pt idx="12">
                  <c:v>-1.8502610189651768E-3</c:v>
                </c:pt>
                <c:pt idx="13">
                  <c:v>-1.1233727615145724E-3</c:v>
                </c:pt>
                <c:pt idx="14">
                  <c:v>-3.9648450406396652E-4</c:v>
                </c:pt>
                <c:pt idx="15">
                  <c:v>-3.9648450406396652E-4</c:v>
                </c:pt>
                <c:pt idx="16">
                  <c:v>-3.3040375338663888E-4</c:v>
                </c:pt>
                <c:pt idx="17">
                  <c:v>0</c:v>
                </c:pt>
                <c:pt idx="18">
                  <c:v>0</c:v>
                </c:pt>
                <c:pt idx="19">
                  <c:v>-6.6080750677327703E-5</c:v>
                </c:pt>
              </c:numCache>
            </c:numRef>
          </c:val>
        </c:ser>
        <c:ser>
          <c:idx val="5"/>
          <c:order val="4"/>
          <c:tx>
            <c:strRef>
              <c:f>PerfilPeruanos!$Q$225</c:f>
              <c:strCache>
                <c:ptCount val="1"/>
                <c:pt idx="0">
                  <c:v>Secundaria</c:v>
                </c:pt>
              </c:strCache>
            </c:strRef>
          </c:tx>
          <c:spPr>
            <a:solidFill>
              <a:srgbClr val="00B0F0"/>
            </a:solidFill>
          </c:spPr>
          <c:invertIfNegative val="0"/>
          <c:cat>
            <c:strRef>
              <c:f>PerfilPeruanos!$C$226:$C$245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PerfilPeruanos!$Q$226:$Q$245</c:f>
              <c:numCache>
                <c:formatCode>0,000</c:formatCode>
                <c:ptCount val="20"/>
                <c:pt idx="0">
                  <c:v>0</c:v>
                </c:pt>
                <c:pt idx="1">
                  <c:v>-8.3922553360206292E-3</c:v>
                </c:pt>
                <c:pt idx="2">
                  <c:v>-3.059538756360276E-2</c:v>
                </c:pt>
                <c:pt idx="3">
                  <c:v>-5.6036476574373884E-2</c:v>
                </c:pt>
                <c:pt idx="4">
                  <c:v>-5.4648780810150004E-2</c:v>
                </c:pt>
                <c:pt idx="5">
                  <c:v>-3.7996431639463431E-2</c:v>
                </c:pt>
                <c:pt idx="6">
                  <c:v>-2.8084319037864292E-2</c:v>
                </c:pt>
                <c:pt idx="7">
                  <c:v>-1.9427740699134364E-2</c:v>
                </c:pt>
                <c:pt idx="8">
                  <c:v>-1.4273442146302778E-2</c:v>
                </c:pt>
                <c:pt idx="9">
                  <c:v>-1.1299808365823043E-2</c:v>
                </c:pt>
                <c:pt idx="10">
                  <c:v>-7.0045595717967354E-3</c:v>
                </c:pt>
                <c:pt idx="11">
                  <c:v>-3.7005220379303597E-3</c:v>
                </c:pt>
                <c:pt idx="12">
                  <c:v>-2.1806647723518198E-3</c:v>
                </c:pt>
                <c:pt idx="13">
                  <c:v>-1.2555342628692262E-3</c:v>
                </c:pt>
                <c:pt idx="14">
                  <c:v>-8.5904975880526208E-4</c:v>
                </c:pt>
                <c:pt idx="15">
                  <c:v>-3.3040375338663888E-4</c:v>
                </c:pt>
                <c:pt idx="16">
                  <c:v>0</c:v>
                </c:pt>
                <c:pt idx="17">
                  <c:v>0</c:v>
                </c:pt>
                <c:pt idx="18">
                  <c:v>0</c:v>
                </c:pt>
                <c:pt idx="19">
                  <c:v>0</c:v>
                </c:pt>
              </c:numCache>
            </c:numRef>
          </c:val>
        </c:ser>
        <c:ser>
          <c:idx val="6"/>
          <c:order val="5"/>
          <c:tx>
            <c:strRef>
              <c:f>PerfilPeruanos!$R$225</c:f>
              <c:strCache>
                <c:ptCount val="1"/>
                <c:pt idx="0">
                  <c:v>Superior</c:v>
                </c:pt>
              </c:strCache>
            </c:strRef>
          </c:tx>
          <c:spPr>
            <a:solidFill>
              <a:srgbClr val="D735B4"/>
            </a:solidFill>
          </c:spPr>
          <c:invertIfNegative val="0"/>
          <c:cat>
            <c:strRef>
              <c:f>PerfilPeruanos!$C$226:$C$245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PerfilPeruanos!$R$226:$R$245</c:f>
              <c:numCache>
                <c:formatCode>0,000</c:formatCode>
                <c:ptCount val="20"/>
                <c:pt idx="0">
                  <c:v>0</c:v>
                </c:pt>
                <c:pt idx="1">
                  <c:v>0</c:v>
                </c:pt>
                <c:pt idx="2">
                  <c:v>-3.2379567831890598E-3</c:v>
                </c:pt>
                <c:pt idx="3">
                  <c:v>-1.2158858124628295E-2</c:v>
                </c:pt>
                <c:pt idx="4">
                  <c:v>-1.9559902200488997E-2</c:v>
                </c:pt>
                <c:pt idx="5">
                  <c:v>-2.1013678715390238E-2</c:v>
                </c:pt>
                <c:pt idx="6">
                  <c:v>-2.1013678715390238E-2</c:v>
                </c:pt>
                <c:pt idx="7">
                  <c:v>-1.5661137910526663E-2</c:v>
                </c:pt>
                <c:pt idx="8">
                  <c:v>-1.2224938875305624E-2</c:v>
                </c:pt>
                <c:pt idx="9">
                  <c:v>-9.1852243441485504E-3</c:v>
                </c:pt>
                <c:pt idx="10">
                  <c:v>-7.929690081279344E-3</c:v>
                </c:pt>
                <c:pt idx="11">
                  <c:v>-5.8151060596048423E-3</c:v>
                </c:pt>
                <c:pt idx="12">
                  <c:v>-2.7093107777704443E-3</c:v>
                </c:pt>
                <c:pt idx="13">
                  <c:v>-1.71809951761052E-3</c:v>
                </c:pt>
                <c:pt idx="14">
                  <c:v>-6.6080750677327701E-4</c:v>
                </c:pt>
                <c:pt idx="15">
                  <c:v>-6.6080750677327703E-5</c:v>
                </c:pt>
                <c:pt idx="16">
                  <c:v>-2.6432300270931125E-4</c:v>
                </c:pt>
                <c:pt idx="17">
                  <c:v>-6.6080750677327703E-5</c:v>
                </c:pt>
                <c:pt idx="18">
                  <c:v>0</c:v>
                </c:pt>
                <c:pt idx="19">
                  <c:v>0</c:v>
                </c:pt>
              </c:numCache>
            </c:numRef>
          </c:val>
        </c:ser>
        <c:ser>
          <c:idx val="1"/>
          <c:order val="6"/>
          <c:tx>
            <c:strRef>
              <c:f>PerfilPeruanos!$M$225</c:f>
              <c:strCache>
                <c:ptCount val="1"/>
                <c:pt idx="0">
                  <c:v>Se ignora</c:v>
                </c:pt>
              </c:strCache>
            </c:strRef>
          </c:tx>
          <c:spPr>
            <a:solidFill>
              <a:schemeClr val="bg1">
                <a:lumMod val="65000"/>
              </a:schemeClr>
            </a:solidFill>
            <a:ln>
              <a:noFill/>
            </a:ln>
          </c:spPr>
          <c:invertIfNegative val="0"/>
          <c:cat>
            <c:strRef>
              <c:f>PerfilPeruanos!$C$226:$C$245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PerfilPeruanos!$M$247:$M$266</c:f>
              <c:numCache>
                <c:formatCode>0,000</c:formatCode>
                <c:ptCount val="20"/>
                <c:pt idx="0">
                  <c:v>7.2688825745060464E-4</c:v>
                </c:pt>
                <c:pt idx="1">
                  <c:v>3.9648450406396652E-4</c:v>
                </c:pt>
                <c:pt idx="2">
                  <c:v>5.9472675609594991E-4</c:v>
                </c:pt>
                <c:pt idx="3">
                  <c:v>8.5904975880526208E-4</c:v>
                </c:pt>
                <c:pt idx="4">
                  <c:v>6.6080750677327701E-4</c:v>
                </c:pt>
                <c:pt idx="5">
                  <c:v>6.6080750677327701E-4</c:v>
                </c:pt>
                <c:pt idx="6">
                  <c:v>9.9121126015991562E-4</c:v>
                </c:pt>
                <c:pt idx="7">
                  <c:v>4.6256525474129388E-4</c:v>
                </c:pt>
                <c:pt idx="8">
                  <c:v>6.6080750677327703E-5</c:v>
                </c:pt>
                <c:pt idx="9">
                  <c:v>1.9824225203198358E-4</c:v>
                </c:pt>
                <c:pt idx="10">
                  <c:v>6.6080750677327703E-5</c:v>
                </c:pt>
                <c:pt idx="11">
                  <c:v>0</c:v>
                </c:pt>
                <c:pt idx="12">
                  <c:v>1.3216150135465565E-4</c:v>
                </c:pt>
                <c:pt idx="13">
                  <c:v>1.3216150135465565E-4</c:v>
                </c:pt>
                <c:pt idx="14">
                  <c:v>1.3216150135465565E-4</c:v>
                </c:pt>
                <c:pt idx="15">
                  <c:v>0</c:v>
                </c:pt>
                <c:pt idx="16">
                  <c:v>0</c:v>
                </c:pt>
                <c:pt idx="17">
                  <c:v>0</c:v>
                </c:pt>
                <c:pt idx="18">
                  <c:v>0</c:v>
                </c:pt>
                <c:pt idx="19">
                  <c:v>0</c:v>
                </c:pt>
              </c:numCache>
            </c:numRef>
          </c:val>
        </c:ser>
        <c:ser>
          <c:idx val="7"/>
          <c:order val="7"/>
          <c:tx>
            <c:strRef>
              <c:f>PerfilPeruanos!$N$225</c:f>
              <c:strCache>
                <c:ptCount val="1"/>
                <c:pt idx="0">
                  <c:v>Ninguno</c:v>
                </c:pt>
              </c:strCache>
            </c:strRef>
          </c:tx>
          <c:spPr>
            <a:solidFill>
              <a:srgbClr val="C00000"/>
            </a:solidFill>
          </c:spPr>
          <c:invertIfNegative val="0"/>
          <c:cat>
            <c:strRef>
              <c:f>PerfilPeruanos!$C$226:$C$245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PerfilPeruanos!$N$247:$N$266</c:f>
              <c:numCache>
                <c:formatCode>0,000</c:formatCode>
                <c:ptCount val="20"/>
                <c:pt idx="0">
                  <c:v>0</c:v>
                </c:pt>
                <c:pt idx="1">
                  <c:v>0</c:v>
                </c:pt>
                <c:pt idx="2">
                  <c:v>8.5904975880526208E-4</c:v>
                </c:pt>
                <c:pt idx="3">
                  <c:v>1.1233727615145724E-3</c:v>
                </c:pt>
                <c:pt idx="4">
                  <c:v>1.4537765149012119E-3</c:v>
                </c:pt>
                <c:pt idx="5">
                  <c:v>1.71809951761052E-3</c:v>
                </c:pt>
                <c:pt idx="6">
                  <c:v>8.5904975880526208E-4</c:v>
                </c:pt>
                <c:pt idx="7">
                  <c:v>1.2555342628692262E-3</c:v>
                </c:pt>
                <c:pt idx="8">
                  <c:v>1.1233727615145724E-3</c:v>
                </c:pt>
                <c:pt idx="9">
                  <c:v>4.6256525474129388E-4</c:v>
                </c:pt>
                <c:pt idx="10">
                  <c:v>5.2864600541862228E-4</c:v>
                </c:pt>
                <c:pt idx="11">
                  <c:v>3.3040375338663888E-4</c:v>
                </c:pt>
                <c:pt idx="12">
                  <c:v>5.2864600541862228E-4</c:v>
                </c:pt>
                <c:pt idx="13">
                  <c:v>7.9296900812793434E-4</c:v>
                </c:pt>
                <c:pt idx="14">
                  <c:v>6.6080750677327703E-5</c:v>
                </c:pt>
                <c:pt idx="15">
                  <c:v>6.6080750677327703E-5</c:v>
                </c:pt>
                <c:pt idx="16">
                  <c:v>6.6080750677327703E-5</c:v>
                </c:pt>
                <c:pt idx="17">
                  <c:v>6.6080750677327703E-5</c:v>
                </c:pt>
                <c:pt idx="18">
                  <c:v>0</c:v>
                </c:pt>
                <c:pt idx="19">
                  <c:v>0</c:v>
                </c:pt>
              </c:numCache>
            </c:numRef>
          </c:val>
        </c:ser>
        <c:ser>
          <c:idx val="8"/>
          <c:order val="8"/>
          <c:tx>
            <c:strRef>
              <c:f>PerfilPeruanos!$O$225</c:f>
              <c:strCache>
                <c:ptCount val="1"/>
                <c:pt idx="0">
                  <c:v>Centro de Alfabetización</c:v>
                </c:pt>
              </c:strCache>
            </c:strRef>
          </c:tx>
          <c:spPr>
            <a:solidFill>
              <a:schemeClr val="accent3">
                <a:lumMod val="75000"/>
              </a:schemeClr>
            </a:solidFill>
          </c:spPr>
          <c:invertIfNegative val="0"/>
          <c:cat>
            <c:strRef>
              <c:f>PerfilPeruanos!$C$226:$C$245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PerfilPeruanos!$O$247:$O$266</c:f>
              <c:numCache>
                <c:formatCode>0,000</c:formatCode>
                <c:ptCount val="20"/>
                <c:pt idx="0">
                  <c:v>0</c:v>
                </c:pt>
                <c:pt idx="1">
                  <c:v>0</c:v>
                </c:pt>
                <c:pt idx="2">
                  <c:v>0</c:v>
                </c:pt>
                <c:pt idx="3">
                  <c:v>6.6080750677327703E-5</c:v>
                </c:pt>
                <c:pt idx="4">
                  <c:v>6.6080750677327703E-5</c:v>
                </c:pt>
                <c:pt idx="5">
                  <c:v>6.6080750677327703E-5</c:v>
                </c:pt>
                <c:pt idx="6">
                  <c:v>6.6080750677327703E-5</c:v>
                </c:pt>
                <c:pt idx="7">
                  <c:v>0</c:v>
                </c:pt>
                <c:pt idx="8">
                  <c:v>6.6080750677327703E-5</c:v>
                </c:pt>
                <c:pt idx="9">
                  <c:v>0</c:v>
                </c:pt>
                <c:pt idx="10">
                  <c:v>6.6080750677327703E-5</c:v>
                </c:pt>
                <c:pt idx="11">
                  <c:v>0</c:v>
                </c:pt>
                <c:pt idx="12">
                  <c:v>0</c:v>
                </c:pt>
                <c:pt idx="13">
                  <c:v>0</c:v>
                </c:pt>
                <c:pt idx="14">
                  <c:v>0</c:v>
                </c:pt>
                <c:pt idx="15">
                  <c:v>0</c:v>
                </c:pt>
                <c:pt idx="16">
                  <c:v>0</c:v>
                </c:pt>
                <c:pt idx="17">
                  <c:v>0</c:v>
                </c:pt>
                <c:pt idx="18">
                  <c:v>0</c:v>
                </c:pt>
                <c:pt idx="19">
                  <c:v>0</c:v>
                </c:pt>
              </c:numCache>
            </c:numRef>
          </c:val>
        </c:ser>
        <c:ser>
          <c:idx val="9"/>
          <c:order val="9"/>
          <c:tx>
            <c:strRef>
              <c:f>PerfilPeruanos!$P$225</c:f>
              <c:strCache>
                <c:ptCount val="1"/>
                <c:pt idx="0">
                  <c:v>Primaria</c:v>
                </c:pt>
              </c:strCache>
            </c:strRef>
          </c:tx>
          <c:spPr>
            <a:solidFill>
              <a:schemeClr val="accent6">
                <a:lumMod val="75000"/>
              </a:schemeClr>
            </a:solidFill>
            <a:ln>
              <a:noFill/>
            </a:ln>
          </c:spPr>
          <c:invertIfNegative val="0"/>
          <c:cat>
            <c:strRef>
              <c:f>PerfilPeruanos!$C$226:$C$245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PerfilPeruanos!$P$247:$P$266</c:f>
              <c:numCache>
                <c:formatCode>0,000</c:formatCode>
                <c:ptCount val="20"/>
                <c:pt idx="0">
                  <c:v>2.0815436463358226E-2</c:v>
                </c:pt>
                <c:pt idx="1">
                  <c:v>1.2819665631401573E-2</c:v>
                </c:pt>
                <c:pt idx="2">
                  <c:v>8.9209013414392468E-3</c:v>
                </c:pt>
                <c:pt idx="3">
                  <c:v>1.4603845899689435E-2</c:v>
                </c:pt>
                <c:pt idx="4">
                  <c:v>1.3282230886142866E-2</c:v>
                </c:pt>
                <c:pt idx="5">
                  <c:v>1.0506839357695119E-2</c:v>
                </c:pt>
                <c:pt idx="6">
                  <c:v>9.0530628427939065E-3</c:v>
                </c:pt>
                <c:pt idx="7">
                  <c:v>6.9384788211194134E-3</c:v>
                </c:pt>
                <c:pt idx="8">
                  <c:v>5.6168638075728599E-3</c:v>
                </c:pt>
                <c:pt idx="9">
                  <c:v>3.7005220379303597E-3</c:v>
                </c:pt>
                <c:pt idx="10">
                  <c:v>3.3701182845437142E-3</c:v>
                </c:pt>
                <c:pt idx="11">
                  <c:v>1.3216150135465553E-3</c:v>
                </c:pt>
                <c:pt idx="12">
                  <c:v>1.2555342628692262E-3</c:v>
                </c:pt>
                <c:pt idx="13">
                  <c:v>7.9296900812793434E-4</c:v>
                </c:pt>
                <c:pt idx="14">
                  <c:v>3.9648450406396652E-4</c:v>
                </c:pt>
                <c:pt idx="15">
                  <c:v>1.9824225203198358E-4</c:v>
                </c:pt>
                <c:pt idx="16">
                  <c:v>1.3216150135465565E-4</c:v>
                </c:pt>
                <c:pt idx="17">
                  <c:v>6.6080750677327703E-5</c:v>
                </c:pt>
                <c:pt idx="18">
                  <c:v>1.3216150135465565E-4</c:v>
                </c:pt>
                <c:pt idx="19">
                  <c:v>0</c:v>
                </c:pt>
              </c:numCache>
            </c:numRef>
          </c:val>
        </c:ser>
        <c:ser>
          <c:idx val="10"/>
          <c:order val="10"/>
          <c:tx>
            <c:strRef>
              <c:f>PerfilPeruanos!$Q$225</c:f>
              <c:strCache>
                <c:ptCount val="1"/>
                <c:pt idx="0">
                  <c:v>Secundaria</c:v>
                </c:pt>
              </c:strCache>
            </c:strRef>
          </c:tx>
          <c:spPr>
            <a:solidFill>
              <a:srgbClr val="00B0F0"/>
            </a:solidFill>
          </c:spPr>
          <c:invertIfNegative val="0"/>
          <c:cat>
            <c:strRef>
              <c:f>PerfilPeruanos!$C$226:$C$245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PerfilPeruanos!$Q$247:$Q$266</c:f>
              <c:numCache>
                <c:formatCode>0,000</c:formatCode>
                <c:ptCount val="20"/>
                <c:pt idx="0">
                  <c:v>0</c:v>
                </c:pt>
                <c:pt idx="1">
                  <c:v>7.6653670785700127E-3</c:v>
                </c:pt>
                <c:pt idx="2">
                  <c:v>2.4251635498579317E-2</c:v>
                </c:pt>
                <c:pt idx="3">
                  <c:v>4.6983413731579986E-2</c:v>
                </c:pt>
                <c:pt idx="4">
                  <c:v>3.8458996894204719E-2</c:v>
                </c:pt>
                <c:pt idx="5">
                  <c:v>2.5639331262803208E-2</c:v>
                </c:pt>
                <c:pt idx="6">
                  <c:v>1.7643560430846493E-2</c:v>
                </c:pt>
                <c:pt idx="7">
                  <c:v>1.3083988634110902E-2</c:v>
                </c:pt>
                <c:pt idx="8">
                  <c:v>8.9209013414392468E-3</c:v>
                </c:pt>
                <c:pt idx="9">
                  <c:v>7.4010440758607134E-3</c:v>
                </c:pt>
                <c:pt idx="10">
                  <c:v>5.1542985528315599E-3</c:v>
                </c:pt>
                <c:pt idx="11">
                  <c:v>3.5022797858983712E-3</c:v>
                </c:pt>
                <c:pt idx="12">
                  <c:v>1.5859380162558661E-3</c:v>
                </c:pt>
                <c:pt idx="13">
                  <c:v>9.2513050948258777E-4</c:v>
                </c:pt>
                <c:pt idx="14">
                  <c:v>8.5904975880526208E-4</c:v>
                </c:pt>
                <c:pt idx="15">
                  <c:v>2.6432300270931125E-4</c:v>
                </c:pt>
                <c:pt idx="16">
                  <c:v>3.9648450406396652E-4</c:v>
                </c:pt>
                <c:pt idx="17">
                  <c:v>6.6080750677327703E-5</c:v>
                </c:pt>
                <c:pt idx="18">
                  <c:v>6.6080750677327703E-5</c:v>
                </c:pt>
                <c:pt idx="19">
                  <c:v>0</c:v>
                </c:pt>
              </c:numCache>
            </c:numRef>
          </c:val>
        </c:ser>
        <c:ser>
          <c:idx val="11"/>
          <c:order val="11"/>
          <c:tx>
            <c:strRef>
              <c:f>PerfilPeruanos!$R$225</c:f>
              <c:strCache>
                <c:ptCount val="1"/>
                <c:pt idx="0">
                  <c:v>Superior</c:v>
                </c:pt>
              </c:strCache>
            </c:strRef>
          </c:tx>
          <c:spPr>
            <a:solidFill>
              <a:srgbClr val="D735B4"/>
            </a:solidFill>
          </c:spPr>
          <c:invertIfNegative val="0"/>
          <c:cat>
            <c:strRef>
              <c:f>PerfilPeruanos!$C$226:$C$245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PerfilPeruanos!$R$247:$R$266</c:f>
              <c:numCache>
                <c:formatCode>0,000</c:formatCode>
                <c:ptCount val="20"/>
                <c:pt idx="0">
                  <c:v>0</c:v>
                </c:pt>
                <c:pt idx="1">
                  <c:v>0</c:v>
                </c:pt>
                <c:pt idx="2">
                  <c:v>2.4449877750611299E-3</c:v>
                </c:pt>
                <c:pt idx="3">
                  <c:v>1.35465538888522E-2</c:v>
                </c:pt>
                <c:pt idx="4">
                  <c:v>1.7180995176105201E-2</c:v>
                </c:pt>
                <c:pt idx="5">
                  <c:v>1.5132491905108042E-2</c:v>
                </c:pt>
                <c:pt idx="6">
                  <c:v>1.5000330403753389E-2</c:v>
                </c:pt>
                <c:pt idx="7">
                  <c:v>1.0242516354985801E-2</c:v>
                </c:pt>
                <c:pt idx="8">
                  <c:v>7.2028018238287257E-3</c:v>
                </c:pt>
                <c:pt idx="9">
                  <c:v>5.5507830568955283E-3</c:v>
                </c:pt>
                <c:pt idx="10">
                  <c:v>4.0309257913169914E-3</c:v>
                </c:pt>
                <c:pt idx="11">
                  <c:v>2.5771492764157826E-3</c:v>
                </c:pt>
                <c:pt idx="12">
                  <c:v>9.2513050948258777E-4</c:v>
                </c:pt>
                <c:pt idx="13">
                  <c:v>5.2864600541862228E-4</c:v>
                </c:pt>
                <c:pt idx="14">
                  <c:v>1.3216150135465565E-4</c:v>
                </c:pt>
                <c:pt idx="15">
                  <c:v>6.6080750677327703E-5</c:v>
                </c:pt>
                <c:pt idx="16">
                  <c:v>6.6080750677327703E-5</c:v>
                </c:pt>
                <c:pt idx="17">
                  <c:v>1.3216150135465565E-4</c:v>
                </c:pt>
                <c:pt idx="18">
                  <c:v>0</c:v>
                </c:pt>
                <c:pt idx="19">
                  <c:v>0</c:v>
                </c:pt>
              </c:numCache>
            </c:numRef>
          </c:val>
        </c:ser>
        <c:dLbls>
          <c:showLegendKey val="0"/>
          <c:showVal val="0"/>
          <c:showCatName val="0"/>
          <c:showSerName val="0"/>
          <c:showPercent val="0"/>
          <c:showBubbleSize val="0"/>
        </c:dLbls>
        <c:gapWidth val="0"/>
        <c:overlap val="100"/>
        <c:axId val="283477888"/>
        <c:axId val="283480064"/>
      </c:barChart>
      <c:catAx>
        <c:axId val="283477888"/>
        <c:scaling>
          <c:orientation val="minMax"/>
        </c:scaling>
        <c:delete val="0"/>
        <c:axPos val="l"/>
        <c:title>
          <c:tx>
            <c:rich>
              <a:bodyPr rot="-5400000" vert="horz"/>
              <a:lstStyle/>
              <a:p>
                <a:pPr>
                  <a:defRPr sz="800"/>
                </a:pPr>
                <a:r>
                  <a:rPr lang="es-EC" sz="800"/>
                  <a:t>Grupos Etarios</a:t>
                </a:r>
              </a:p>
            </c:rich>
          </c:tx>
          <c:overlay val="0"/>
        </c:title>
        <c:numFmt formatCode="General" sourceLinked="1"/>
        <c:majorTickMark val="out"/>
        <c:minorTickMark val="none"/>
        <c:tickLblPos val="nextTo"/>
        <c:spPr>
          <a:ln>
            <a:solidFill>
              <a:sysClr val="windowText" lastClr="000000"/>
            </a:solidFill>
          </a:ln>
        </c:spPr>
        <c:txPr>
          <a:bodyPr/>
          <a:lstStyle/>
          <a:p>
            <a:pPr>
              <a:defRPr sz="680"/>
            </a:pPr>
            <a:endParaRPr lang="es-EC"/>
          </a:p>
        </c:txPr>
        <c:crossAx val="283480064"/>
        <c:crossesAt val="-15"/>
        <c:auto val="1"/>
        <c:lblAlgn val="ctr"/>
        <c:lblOffset val="100"/>
        <c:noMultiLvlLbl val="0"/>
      </c:catAx>
      <c:valAx>
        <c:axId val="283480064"/>
        <c:scaling>
          <c:orientation val="minMax"/>
          <c:max val="0.11000000000000001"/>
          <c:min val="-0.11000000000000001"/>
        </c:scaling>
        <c:delete val="0"/>
        <c:axPos val="b"/>
        <c:majorGridlines>
          <c:spPr>
            <a:ln>
              <a:prstDash val="dash"/>
            </a:ln>
          </c:spPr>
        </c:majorGridlines>
        <c:numFmt formatCode="0%;0%" sourceLinked="0"/>
        <c:majorTickMark val="out"/>
        <c:minorTickMark val="none"/>
        <c:tickLblPos val="nextTo"/>
        <c:spPr>
          <a:ln>
            <a:solidFill>
              <a:schemeClr val="tx1"/>
            </a:solidFill>
          </a:ln>
        </c:spPr>
        <c:txPr>
          <a:bodyPr/>
          <a:lstStyle/>
          <a:p>
            <a:pPr>
              <a:defRPr sz="750"/>
            </a:pPr>
            <a:endParaRPr lang="es-EC"/>
          </a:p>
        </c:txPr>
        <c:crossAx val="283477888"/>
        <c:crosses val="autoZero"/>
        <c:crossBetween val="between"/>
        <c:majorUnit val="2.0000000000000011E-2"/>
      </c:valAx>
      <c:spPr>
        <a:noFill/>
        <a:ln>
          <a:solidFill>
            <a:sysClr val="windowText" lastClr="000000"/>
          </a:solidFill>
        </a:ln>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83593672990468859"/>
          <c:y val="0.20159823985555353"/>
          <c:w val="0.15451203019174575"/>
          <c:h val="0.56848989898989966"/>
        </c:manualLayout>
      </c:layout>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32349081364828"/>
          <c:y val="8.3333333333333343E-2"/>
          <c:w val="0.7613779527559057"/>
          <c:h val="0.71936645998856219"/>
        </c:manualLayout>
      </c:layout>
      <c:barChart>
        <c:barDir val="bar"/>
        <c:grouping val="stacked"/>
        <c:varyColors val="0"/>
        <c:ser>
          <c:idx val="0"/>
          <c:order val="0"/>
          <c:tx>
            <c:strRef>
              <c:f>PerfilPeruanos!$G$272</c:f>
              <c:strCache>
                <c:ptCount val="1"/>
                <c:pt idx="0">
                  <c:v>Hombre</c:v>
                </c:pt>
              </c:strCache>
            </c:strRef>
          </c:tx>
          <c:spPr>
            <a:solidFill>
              <a:srgbClr val="00B0F0"/>
            </a:solidFill>
          </c:spPr>
          <c:invertIfNegative val="0"/>
          <c:dLbls>
            <c:numFmt formatCode="#,##0.000" sourceLinked="0"/>
            <c:dLblPos val="ctr"/>
            <c:showLegendKey val="0"/>
            <c:showVal val="1"/>
            <c:showCatName val="0"/>
            <c:showSerName val="0"/>
            <c:showPercent val="0"/>
            <c:showBubbleSize val="0"/>
            <c:showLeaderLines val="0"/>
          </c:dLbls>
          <c:cat>
            <c:strRef>
              <c:f>PerfilPeruanos!$F$273:$F$278</c:f>
              <c:strCache>
                <c:ptCount val="6"/>
                <c:pt idx="0">
                  <c:v>Se ignora</c:v>
                </c:pt>
                <c:pt idx="1">
                  <c:v>Ninguno</c:v>
                </c:pt>
                <c:pt idx="2">
                  <c:v>Centro de 
Alfabetización</c:v>
                </c:pt>
                <c:pt idx="3">
                  <c:v>Primaria</c:v>
                </c:pt>
                <c:pt idx="4">
                  <c:v>Secundaria</c:v>
                </c:pt>
                <c:pt idx="5">
                  <c:v>Superior</c:v>
                </c:pt>
              </c:strCache>
            </c:strRef>
          </c:cat>
          <c:val>
            <c:numRef>
              <c:f>PerfilPeruanos!$G$273:$G$278</c:f>
              <c:numCache>
                <c:formatCode>0,000</c:formatCode>
                <c:ptCount val="6"/>
                <c:pt idx="0">
                  <c:v>0.65677966101694962</c:v>
                </c:pt>
                <c:pt idx="1">
                  <c:v>0.5185185185185186</c:v>
                </c:pt>
                <c:pt idx="2">
                  <c:v>0.66666666666666663</c:v>
                </c:pt>
                <c:pt idx="3">
                  <c:v>0.54655444502893158</c:v>
                </c:pt>
                <c:pt idx="4">
                  <c:v>0.57643487858719711</c:v>
                </c:pt>
                <c:pt idx="5">
                  <c:v>0.58446827006664637</c:v>
                </c:pt>
              </c:numCache>
            </c:numRef>
          </c:val>
        </c:ser>
        <c:ser>
          <c:idx val="1"/>
          <c:order val="1"/>
          <c:tx>
            <c:strRef>
              <c:f>PerfilPeruanos!$H$272</c:f>
              <c:strCache>
                <c:ptCount val="1"/>
                <c:pt idx="0">
                  <c:v>Mujer</c:v>
                </c:pt>
              </c:strCache>
            </c:strRef>
          </c:tx>
          <c:spPr>
            <a:solidFill>
              <a:srgbClr val="E010C2"/>
            </a:solidFill>
          </c:spPr>
          <c:invertIfNegative val="0"/>
          <c:dLbls>
            <c:numFmt formatCode="#,##0.000" sourceLinked="0"/>
            <c:txPr>
              <a:bodyPr/>
              <a:lstStyle/>
              <a:p>
                <a:pPr>
                  <a:defRPr>
                    <a:solidFill>
                      <a:schemeClr val="bg1"/>
                    </a:solidFill>
                  </a:defRPr>
                </a:pPr>
                <a:endParaRPr lang="es-EC"/>
              </a:p>
            </c:txPr>
            <c:dLblPos val="ctr"/>
            <c:showLegendKey val="0"/>
            <c:showVal val="1"/>
            <c:showCatName val="0"/>
            <c:showSerName val="0"/>
            <c:showPercent val="0"/>
            <c:showBubbleSize val="0"/>
            <c:showLeaderLines val="0"/>
          </c:dLbls>
          <c:cat>
            <c:strRef>
              <c:f>PerfilPeruanos!$F$273:$F$278</c:f>
              <c:strCache>
                <c:ptCount val="6"/>
                <c:pt idx="0">
                  <c:v>Se ignora</c:v>
                </c:pt>
                <c:pt idx="1">
                  <c:v>Ninguno</c:v>
                </c:pt>
                <c:pt idx="2">
                  <c:v>Centro de 
Alfabetización</c:v>
                </c:pt>
                <c:pt idx="3">
                  <c:v>Primaria</c:v>
                </c:pt>
                <c:pt idx="4">
                  <c:v>Secundaria</c:v>
                </c:pt>
                <c:pt idx="5">
                  <c:v>Superior</c:v>
                </c:pt>
              </c:strCache>
            </c:strRef>
          </c:cat>
          <c:val>
            <c:numRef>
              <c:f>PerfilPeruanos!$H$273:$H$278</c:f>
              <c:numCache>
                <c:formatCode>0,000</c:formatCode>
                <c:ptCount val="6"/>
                <c:pt idx="0">
                  <c:v>0.34322033898305082</c:v>
                </c:pt>
                <c:pt idx="1">
                  <c:v>0.48148148148148184</c:v>
                </c:pt>
                <c:pt idx="2">
                  <c:v>0.33333333333333331</c:v>
                </c:pt>
                <c:pt idx="3">
                  <c:v>0.45344555497106775</c:v>
                </c:pt>
                <c:pt idx="4">
                  <c:v>0.42356512141280389</c:v>
                </c:pt>
                <c:pt idx="5">
                  <c:v>0.4155317299333528</c:v>
                </c:pt>
              </c:numCache>
            </c:numRef>
          </c:val>
        </c:ser>
        <c:dLbls>
          <c:showLegendKey val="0"/>
          <c:showVal val="0"/>
          <c:showCatName val="0"/>
          <c:showSerName val="0"/>
          <c:showPercent val="0"/>
          <c:showBubbleSize val="0"/>
        </c:dLbls>
        <c:gapWidth val="40"/>
        <c:overlap val="100"/>
        <c:axId val="283495808"/>
        <c:axId val="283522560"/>
      </c:barChart>
      <c:catAx>
        <c:axId val="283495808"/>
        <c:scaling>
          <c:orientation val="maxMin"/>
        </c:scaling>
        <c:delete val="0"/>
        <c:axPos val="l"/>
        <c:title>
          <c:tx>
            <c:rich>
              <a:bodyPr rot="-5400000" vert="horz"/>
              <a:lstStyle/>
              <a:p>
                <a:pPr>
                  <a:defRPr sz="650"/>
                </a:pPr>
                <a:r>
                  <a:rPr lang="es-EC" sz="650"/>
                  <a:t>Nivel más alto de Instrucción</a:t>
                </a:r>
              </a:p>
            </c:rich>
          </c:tx>
          <c:overlay val="0"/>
        </c:title>
        <c:numFmt formatCode="General" sourceLinked="1"/>
        <c:majorTickMark val="out"/>
        <c:minorTickMark val="none"/>
        <c:tickLblPos val="nextTo"/>
        <c:spPr>
          <a:ln>
            <a:solidFill>
              <a:schemeClr val="tx1"/>
            </a:solidFill>
          </a:ln>
        </c:spPr>
        <c:txPr>
          <a:bodyPr/>
          <a:lstStyle/>
          <a:p>
            <a:pPr>
              <a:defRPr sz="600"/>
            </a:pPr>
            <a:endParaRPr lang="es-EC"/>
          </a:p>
        </c:txPr>
        <c:crossAx val="283522560"/>
        <c:crosses val="autoZero"/>
        <c:auto val="1"/>
        <c:lblAlgn val="ctr"/>
        <c:lblOffset val="100"/>
        <c:noMultiLvlLbl val="0"/>
      </c:catAx>
      <c:valAx>
        <c:axId val="283522560"/>
        <c:scaling>
          <c:orientation val="minMax"/>
          <c:max val="1"/>
        </c:scaling>
        <c:delete val="0"/>
        <c:axPos val="t"/>
        <c:title>
          <c:tx>
            <c:rich>
              <a:bodyPr/>
              <a:lstStyle/>
              <a:p>
                <a:pPr>
                  <a:defRPr/>
                </a:pPr>
                <a:r>
                  <a:rPr lang="es-EC"/>
                  <a:t>Frecuencia Relativa</a:t>
                </a:r>
              </a:p>
            </c:rich>
          </c:tx>
          <c:layout>
            <c:manualLayout>
              <c:xMode val="edge"/>
              <c:yMode val="edge"/>
              <c:x val="0.47106802274715681"/>
              <c:y val="0.91458523782088263"/>
            </c:manualLayout>
          </c:layout>
          <c:overlay val="0"/>
        </c:title>
        <c:numFmt formatCode="#,##0.00" sourceLinked="0"/>
        <c:majorTickMark val="in"/>
        <c:minorTickMark val="none"/>
        <c:tickLblPos val="high"/>
        <c:spPr>
          <a:ln>
            <a:solidFill>
              <a:schemeClr val="tx1"/>
            </a:solidFill>
          </a:ln>
        </c:spPr>
        <c:crossAx val="283495808"/>
        <c:crossesAt val="7"/>
        <c:crossBetween val="between"/>
        <c:majorUnit val="0.2"/>
      </c:valAx>
      <c:spPr>
        <a:noFill/>
        <a:ln>
          <a:solidFill>
            <a:schemeClr val="tx1"/>
          </a:solidFill>
        </a:ln>
      </c:spPr>
    </c:plotArea>
    <c:legend>
      <c:legendPos val="t"/>
      <c:layout>
        <c:manualLayout>
          <c:xMode val="edge"/>
          <c:yMode val="edge"/>
          <c:x val="0.30076137357830285"/>
          <c:y val="8.808655015684067E-4"/>
          <c:w val="0.53458836395450549"/>
          <c:h val="6.8729585885097699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2805861335081925"/>
        </c:manualLayout>
      </c:layout>
      <c:lineChart>
        <c:grouping val="standard"/>
        <c:varyColors val="0"/>
        <c:ser>
          <c:idx val="0"/>
          <c:order val="0"/>
          <c:tx>
            <c:strRef>
              <c:f>PerfilPeruanos!$S$225</c:f>
              <c:strCache>
                <c:ptCount val="1"/>
                <c:pt idx="0">
                  <c:v>Tasa de Universitarios</c:v>
                </c:pt>
              </c:strCache>
            </c:strRef>
          </c:tx>
          <c:spPr>
            <a:ln w="19050">
              <a:solidFill>
                <a:srgbClr val="0070C0"/>
              </a:solidFill>
            </a:ln>
          </c:spPr>
          <c:marker>
            <c:symbol val="none"/>
          </c:marker>
          <c:cat>
            <c:strRef>
              <c:f>PerfilPeruanos!$C$228:$C$245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Más de 100</c:v>
                </c:pt>
              </c:strCache>
            </c:strRef>
          </c:cat>
          <c:val>
            <c:numRef>
              <c:f>PerfilPeruanos!$S$228:$S$243</c:f>
              <c:numCache>
                <c:formatCode>0.00</c:formatCode>
                <c:ptCount val="16"/>
                <c:pt idx="0">
                  <c:v>72.592592592592439</c:v>
                </c:pt>
                <c:pt idx="1">
                  <c:v>136.9047619047617</c:v>
                </c:pt>
                <c:pt idx="2">
                  <c:v>194.22572178477674</c:v>
                </c:pt>
                <c:pt idx="3">
                  <c:v>276.76240208877283</c:v>
                </c:pt>
                <c:pt idx="4">
                  <c:v>334.38485804416405</c:v>
                </c:pt>
                <c:pt idx="5">
                  <c:v>328.71012482662934</c:v>
                </c:pt>
                <c:pt idx="6">
                  <c:v>353.05343511450388</c:v>
                </c:pt>
                <c:pt idx="7">
                  <c:v>344.05940594059399</c:v>
                </c:pt>
                <c:pt idx="8">
                  <c:v>402.68456375838923</c:v>
                </c:pt>
                <c:pt idx="9">
                  <c:v>475.67567567567568</c:v>
                </c:pt>
                <c:pt idx="10">
                  <c:v>372.72727272727218</c:v>
                </c:pt>
                <c:pt idx="11">
                  <c:v>366.19718309859155</c:v>
                </c:pt>
                <c:pt idx="12">
                  <c:v>303.03030303030306</c:v>
                </c:pt>
                <c:pt idx="13">
                  <c:v>66.666666666666671</c:v>
                </c:pt>
                <c:pt idx="14">
                  <c:v>444.4444444444444</c:v>
                </c:pt>
                <c:pt idx="15">
                  <c:v>500</c:v>
                </c:pt>
              </c:numCache>
            </c:numRef>
          </c:val>
          <c:smooth val="1"/>
        </c:ser>
        <c:ser>
          <c:idx val="1"/>
          <c:order val="1"/>
          <c:tx>
            <c:strRef>
              <c:f>PerfilPeruanos!$T$225</c:f>
              <c:strCache>
                <c:ptCount val="1"/>
                <c:pt idx="0">
                  <c:v>No especifica</c:v>
                </c:pt>
              </c:strCache>
            </c:strRef>
          </c:tx>
          <c:spPr>
            <a:ln w="19050">
              <a:solidFill>
                <a:srgbClr val="E010C2"/>
              </a:solidFill>
            </a:ln>
          </c:spPr>
          <c:marker>
            <c:symbol val="none"/>
          </c:marker>
          <c:cat>
            <c:strRef>
              <c:f>PerfilPeruanos!$C$228:$C$245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Más de 100</c:v>
                </c:pt>
              </c:strCache>
            </c:strRef>
          </c:cat>
          <c:val>
            <c:numRef>
              <c:f>PerfilPeruanos!$T$228:$T$243</c:f>
              <c:numCache>
                <c:formatCode>0.00</c:formatCode>
                <c:ptCount val="16"/>
                <c:pt idx="0">
                  <c:v>22.222222222222182</c:v>
                </c:pt>
                <c:pt idx="1">
                  <c:v>20.83333333333329</c:v>
                </c:pt>
                <c:pt idx="2">
                  <c:v>19.02887139107613</c:v>
                </c:pt>
                <c:pt idx="3">
                  <c:v>12.184508268059183</c:v>
                </c:pt>
                <c:pt idx="4">
                  <c:v>11.566771819137752</c:v>
                </c:pt>
                <c:pt idx="5">
                  <c:v>30.513176144244127</c:v>
                </c:pt>
                <c:pt idx="6">
                  <c:v>17.17557251908395</c:v>
                </c:pt>
                <c:pt idx="7">
                  <c:v>9.9009900990099187</c:v>
                </c:pt>
                <c:pt idx="8">
                  <c:v>26.845637583892596</c:v>
                </c:pt>
                <c:pt idx="9">
                  <c:v>27.027027027027028</c:v>
                </c:pt>
                <c:pt idx="10">
                  <c:v>9.0909090909091006</c:v>
                </c:pt>
                <c:pt idx="11">
                  <c:v>28.169014084507026</c:v>
                </c:pt>
                <c:pt idx="12">
                  <c:v>30.303030303030287</c:v>
                </c:pt>
                <c:pt idx="13">
                  <c:v>66.666666666666671</c:v>
                </c:pt>
                <c:pt idx="14">
                  <c:v>0</c:v>
                </c:pt>
                <c:pt idx="15">
                  <c:v>0</c:v>
                </c:pt>
              </c:numCache>
            </c:numRef>
          </c:val>
          <c:smooth val="1"/>
        </c:ser>
        <c:ser>
          <c:idx val="2"/>
          <c:order val="2"/>
          <c:tx>
            <c:strRef>
              <c:f>PerfilPeruanos!$U$225</c:f>
              <c:strCache>
                <c:ptCount val="1"/>
                <c:pt idx="0">
                  <c:v>Tasa de no universitarios</c:v>
                </c:pt>
              </c:strCache>
            </c:strRef>
          </c:tx>
          <c:spPr>
            <a:ln w="19050">
              <a:solidFill>
                <a:schemeClr val="accent6">
                  <a:lumMod val="75000"/>
                </a:schemeClr>
              </a:solidFill>
            </a:ln>
          </c:spPr>
          <c:marker>
            <c:symbol val="none"/>
          </c:marker>
          <c:cat>
            <c:strRef>
              <c:f>PerfilPeruanos!$C$228:$C$245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Más de 100</c:v>
                </c:pt>
              </c:strCache>
            </c:strRef>
          </c:cat>
          <c:val>
            <c:numRef>
              <c:f>PerfilPeruanos!$U$228:$U$243</c:f>
              <c:numCache>
                <c:formatCode>0.00</c:formatCode>
                <c:ptCount val="16"/>
                <c:pt idx="0">
                  <c:v>905.18518518518522</c:v>
                </c:pt>
                <c:pt idx="1">
                  <c:v>842.26190476190447</c:v>
                </c:pt>
                <c:pt idx="2">
                  <c:v>786.74540682414693</c:v>
                </c:pt>
                <c:pt idx="3">
                  <c:v>711.05308964316805</c:v>
                </c:pt>
                <c:pt idx="4">
                  <c:v>654.04837013669919</c:v>
                </c:pt>
                <c:pt idx="5">
                  <c:v>640.77669902912703</c:v>
                </c:pt>
                <c:pt idx="6">
                  <c:v>629.77099236641334</c:v>
                </c:pt>
                <c:pt idx="7">
                  <c:v>646.03960396039679</c:v>
                </c:pt>
                <c:pt idx="8">
                  <c:v>570.46979865771812</c:v>
                </c:pt>
                <c:pt idx="9">
                  <c:v>497.29729729729684</c:v>
                </c:pt>
                <c:pt idx="10">
                  <c:v>618.1818181818179</c:v>
                </c:pt>
                <c:pt idx="11">
                  <c:v>605.63380281690161</c:v>
                </c:pt>
                <c:pt idx="12">
                  <c:v>666.66666666666663</c:v>
                </c:pt>
                <c:pt idx="13">
                  <c:v>866.66666666666674</c:v>
                </c:pt>
                <c:pt idx="14">
                  <c:v>555.55555555555543</c:v>
                </c:pt>
                <c:pt idx="15">
                  <c:v>500</c:v>
                </c:pt>
              </c:numCache>
            </c:numRef>
          </c:val>
          <c:smooth val="0"/>
        </c:ser>
        <c:dLbls>
          <c:showLegendKey val="0"/>
          <c:showVal val="0"/>
          <c:showCatName val="0"/>
          <c:showSerName val="0"/>
          <c:showPercent val="0"/>
          <c:showBubbleSize val="0"/>
        </c:dLbls>
        <c:marker val="1"/>
        <c:smooth val="0"/>
        <c:axId val="283556864"/>
        <c:axId val="283567232"/>
      </c:lineChart>
      <c:catAx>
        <c:axId val="283556864"/>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83567232"/>
        <c:crosses val="autoZero"/>
        <c:auto val="1"/>
        <c:lblAlgn val="ctr"/>
        <c:lblOffset val="100"/>
        <c:noMultiLvlLbl val="0"/>
      </c:catAx>
      <c:valAx>
        <c:axId val="283567232"/>
        <c:scaling>
          <c:orientation val="minMax"/>
          <c:max val="1000"/>
          <c:min val="0"/>
        </c:scaling>
        <c:delete val="0"/>
        <c:axPos val="l"/>
        <c:title>
          <c:tx>
            <c:rich>
              <a:bodyPr rot="-5400000" vert="horz"/>
              <a:lstStyle/>
              <a:p>
                <a:pPr>
                  <a:defRPr sz="650"/>
                </a:pPr>
                <a:r>
                  <a:rPr lang="es-EC" sz="650"/>
                  <a:t>Tasa por</a:t>
                </a:r>
                <a:r>
                  <a:rPr lang="es-EC" sz="650" baseline="0"/>
                  <a:t> cada 1000 peruanos</a:t>
                </a:r>
                <a:endParaRPr lang="es-EC" sz="650"/>
              </a:p>
            </c:rich>
          </c:tx>
          <c:layout>
            <c:manualLayout>
              <c:xMode val="edge"/>
              <c:yMode val="edge"/>
              <c:x val="0"/>
              <c:y val="4.4477908857017454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3556864"/>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2805861335081925"/>
        </c:manualLayout>
      </c:layout>
      <c:lineChart>
        <c:grouping val="standard"/>
        <c:varyColors val="0"/>
        <c:ser>
          <c:idx val="0"/>
          <c:order val="0"/>
          <c:tx>
            <c:strRef>
              <c:f>PerfilPeruanos!$S$225</c:f>
              <c:strCache>
                <c:ptCount val="1"/>
                <c:pt idx="0">
                  <c:v>Tasa de Universitarios</c:v>
                </c:pt>
              </c:strCache>
            </c:strRef>
          </c:tx>
          <c:spPr>
            <a:ln w="19050">
              <a:solidFill>
                <a:srgbClr val="0070C0"/>
              </a:solidFill>
            </a:ln>
          </c:spPr>
          <c:marker>
            <c:symbol val="none"/>
          </c:marker>
          <c:cat>
            <c:strRef>
              <c:f>PerfilPeruanos!$C$228:$C$245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Más de 100</c:v>
                </c:pt>
              </c:strCache>
            </c:strRef>
          </c:cat>
          <c:val>
            <c:numRef>
              <c:f>PerfilPeruanos!$S$249:$S$264</c:f>
              <c:numCache>
                <c:formatCode>0.00</c:formatCode>
                <c:ptCount val="16"/>
                <c:pt idx="0">
                  <c:v>65.953654188948406</c:v>
                </c:pt>
                <c:pt idx="1">
                  <c:v>175.51369863013679</c:v>
                </c:pt>
                <c:pt idx="2">
                  <c:v>241.63568773234175</c:v>
                </c:pt>
                <c:pt idx="3">
                  <c:v>281.67281672816728</c:v>
                </c:pt>
                <c:pt idx="4">
                  <c:v>343.93939393939394</c:v>
                </c:pt>
                <c:pt idx="5">
                  <c:v>320.24793388429725</c:v>
                </c:pt>
                <c:pt idx="6">
                  <c:v>313.21839080459733</c:v>
                </c:pt>
                <c:pt idx="7">
                  <c:v>320.61068702290072</c:v>
                </c:pt>
                <c:pt idx="8">
                  <c:v>305</c:v>
                </c:pt>
                <c:pt idx="9">
                  <c:v>333.33333333333331</c:v>
                </c:pt>
                <c:pt idx="10">
                  <c:v>208.9552238805972</c:v>
                </c:pt>
                <c:pt idx="11">
                  <c:v>166.66666666666652</c:v>
                </c:pt>
                <c:pt idx="12">
                  <c:v>83.333333333333258</c:v>
                </c:pt>
                <c:pt idx="13">
                  <c:v>111.1111111111111</c:v>
                </c:pt>
                <c:pt idx="14">
                  <c:v>100</c:v>
                </c:pt>
                <c:pt idx="15">
                  <c:v>400</c:v>
                </c:pt>
              </c:numCache>
            </c:numRef>
          </c:val>
          <c:smooth val="1"/>
        </c:ser>
        <c:ser>
          <c:idx val="1"/>
          <c:order val="1"/>
          <c:tx>
            <c:strRef>
              <c:f>PerfilPeruanos!$T$225</c:f>
              <c:strCache>
                <c:ptCount val="1"/>
                <c:pt idx="0">
                  <c:v>No especifica</c:v>
                </c:pt>
              </c:strCache>
            </c:strRef>
          </c:tx>
          <c:spPr>
            <a:ln w="19050">
              <a:solidFill>
                <a:srgbClr val="E010C2"/>
              </a:solidFill>
            </a:ln>
          </c:spPr>
          <c:marker>
            <c:symbol val="none"/>
          </c:marker>
          <c:cat>
            <c:strRef>
              <c:f>PerfilPeruanos!$C$228:$C$245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Más de 100</c:v>
                </c:pt>
              </c:strCache>
            </c:strRef>
          </c:cat>
          <c:val>
            <c:numRef>
              <c:f>PerfilPeruanos!$T$249:$T$264</c:f>
              <c:numCache>
                <c:formatCode>0.00</c:formatCode>
                <c:ptCount val="16"/>
                <c:pt idx="0">
                  <c:v>16.042780748663073</c:v>
                </c:pt>
                <c:pt idx="1">
                  <c:v>11.13013698630137</c:v>
                </c:pt>
                <c:pt idx="2">
                  <c:v>9.2936802973977706</c:v>
                </c:pt>
                <c:pt idx="3">
                  <c:v>12.300123001230013</c:v>
                </c:pt>
                <c:pt idx="4">
                  <c:v>22.72727272727273</c:v>
                </c:pt>
                <c:pt idx="5">
                  <c:v>14.462809917355385</c:v>
                </c:pt>
                <c:pt idx="6">
                  <c:v>2.8735632183908044</c:v>
                </c:pt>
                <c:pt idx="7">
                  <c:v>11.450381679389327</c:v>
                </c:pt>
                <c:pt idx="8">
                  <c:v>5</c:v>
                </c:pt>
                <c:pt idx="9">
                  <c:v>0</c:v>
                </c:pt>
                <c:pt idx="10">
                  <c:v>29.850746268656717</c:v>
                </c:pt>
                <c:pt idx="11">
                  <c:v>41.666666666666579</c:v>
                </c:pt>
                <c:pt idx="12">
                  <c:v>83.333333333333258</c:v>
                </c:pt>
                <c:pt idx="13">
                  <c:v>0</c:v>
                </c:pt>
                <c:pt idx="14">
                  <c:v>0</c:v>
                </c:pt>
                <c:pt idx="15">
                  <c:v>0</c:v>
                </c:pt>
              </c:numCache>
            </c:numRef>
          </c:val>
          <c:smooth val="1"/>
        </c:ser>
        <c:ser>
          <c:idx val="2"/>
          <c:order val="2"/>
          <c:tx>
            <c:strRef>
              <c:f>PerfilPeruanos!$U$225</c:f>
              <c:strCache>
                <c:ptCount val="1"/>
                <c:pt idx="0">
                  <c:v>Tasa de no universitarios</c:v>
                </c:pt>
              </c:strCache>
            </c:strRef>
          </c:tx>
          <c:spPr>
            <a:ln w="19050">
              <a:solidFill>
                <a:schemeClr val="accent6">
                  <a:lumMod val="75000"/>
                </a:schemeClr>
              </a:solidFill>
            </a:ln>
          </c:spPr>
          <c:marker>
            <c:symbol val="none"/>
          </c:marker>
          <c:cat>
            <c:strRef>
              <c:f>PerfilPeruanos!$C$228:$C$245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Más de 100</c:v>
                </c:pt>
              </c:strCache>
            </c:strRef>
          </c:cat>
          <c:val>
            <c:numRef>
              <c:f>PerfilPeruanos!$U$249:$U$264</c:f>
              <c:numCache>
                <c:formatCode>0.00</c:formatCode>
                <c:ptCount val="16"/>
                <c:pt idx="0">
                  <c:v>918.00356506238859</c:v>
                </c:pt>
                <c:pt idx="1">
                  <c:v>813.35616438356021</c:v>
                </c:pt>
                <c:pt idx="2">
                  <c:v>749.07063197026105</c:v>
                </c:pt>
                <c:pt idx="3">
                  <c:v>706.02706027060265</c:v>
                </c:pt>
                <c:pt idx="4">
                  <c:v>633.3333333333336</c:v>
                </c:pt>
                <c:pt idx="5">
                  <c:v>665.28925619834752</c:v>
                </c:pt>
                <c:pt idx="6">
                  <c:v>683.90804597701242</c:v>
                </c:pt>
                <c:pt idx="7">
                  <c:v>667.93893129770981</c:v>
                </c:pt>
                <c:pt idx="8">
                  <c:v>690</c:v>
                </c:pt>
                <c:pt idx="9">
                  <c:v>666.66666666666663</c:v>
                </c:pt>
                <c:pt idx="10">
                  <c:v>761.19402985074623</c:v>
                </c:pt>
                <c:pt idx="11">
                  <c:v>791.66666666666663</c:v>
                </c:pt>
                <c:pt idx="12">
                  <c:v>833.3333333333336</c:v>
                </c:pt>
                <c:pt idx="13">
                  <c:v>888.8888888888888</c:v>
                </c:pt>
                <c:pt idx="14">
                  <c:v>900</c:v>
                </c:pt>
                <c:pt idx="15">
                  <c:v>600</c:v>
                </c:pt>
              </c:numCache>
            </c:numRef>
          </c:val>
          <c:smooth val="0"/>
        </c:ser>
        <c:dLbls>
          <c:showLegendKey val="0"/>
          <c:showVal val="0"/>
          <c:showCatName val="0"/>
          <c:showSerName val="0"/>
          <c:showPercent val="0"/>
          <c:showBubbleSize val="0"/>
        </c:dLbls>
        <c:marker val="1"/>
        <c:smooth val="0"/>
        <c:axId val="283588864"/>
        <c:axId val="283599232"/>
      </c:lineChart>
      <c:catAx>
        <c:axId val="283588864"/>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83599232"/>
        <c:crosses val="autoZero"/>
        <c:auto val="1"/>
        <c:lblAlgn val="ctr"/>
        <c:lblOffset val="100"/>
        <c:noMultiLvlLbl val="0"/>
      </c:catAx>
      <c:valAx>
        <c:axId val="283599232"/>
        <c:scaling>
          <c:orientation val="minMax"/>
          <c:max val="1000"/>
          <c:min val="0"/>
        </c:scaling>
        <c:delete val="0"/>
        <c:axPos val="l"/>
        <c:title>
          <c:tx>
            <c:rich>
              <a:bodyPr rot="-5400000" vert="horz"/>
              <a:lstStyle/>
              <a:p>
                <a:pPr>
                  <a:defRPr sz="650"/>
                </a:pPr>
                <a:r>
                  <a:rPr lang="es-EC" sz="650"/>
                  <a:t>Tasa por</a:t>
                </a:r>
                <a:r>
                  <a:rPr lang="es-EC" sz="650" baseline="0"/>
                  <a:t> cada 1000 peruanos</a:t>
                </a:r>
                <a:endParaRPr lang="es-EC" sz="650"/>
              </a:p>
            </c:rich>
          </c:tx>
          <c:layout>
            <c:manualLayout>
              <c:xMode val="edge"/>
              <c:yMode val="edge"/>
              <c:x val="0"/>
              <c:y val="3.7420745836551667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3588864"/>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6947817963441"/>
          <c:y val="4.6274540682414614E-2"/>
          <c:w val="0.7878635170603675"/>
          <c:h val="0.58282771257366439"/>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700"/>
                </a:pPr>
                <a:endParaRPr lang="es-EC"/>
              </a:p>
            </c:txPr>
            <c:dLblPos val="outEnd"/>
            <c:showLegendKey val="0"/>
            <c:showVal val="1"/>
            <c:showCatName val="0"/>
            <c:showSerName val="0"/>
            <c:showPercent val="0"/>
            <c:showBubbleSize val="0"/>
            <c:showLeaderLines val="0"/>
          </c:dLbls>
          <c:cat>
            <c:strRef>
              <c:f>PerfilPeruanos!$H$286:$H$291</c:f>
              <c:strCache>
                <c:ptCount val="6"/>
                <c:pt idx="0">
                  <c:v>Soltero</c:v>
                </c:pt>
                <c:pt idx="1">
                  <c:v>Casado</c:v>
                </c:pt>
                <c:pt idx="2">
                  <c:v>Unido</c:v>
                </c:pt>
                <c:pt idx="3">
                  <c:v>Separado</c:v>
                </c:pt>
                <c:pt idx="4">
                  <c:v>Divorciado</c:v>
                </c:pt>
                <c:pt idx="5">
                  <c:v>Viudo</c:v>
                </c:pt>
              </c:strCache>
            </c:strRef>
          </c:cat>
          <c:val>
            <c:numRef>
              <c:f>PerfilPeruanos!$I$286:$I$291</c:f>
              <c:numCache>
                <c:formatCode>0,000</c:formatCode>
                <c:ptCount val="6"/>
                <c:pt idx="0">
                  <c:v>0.28857082719427568</c:v>
                </c:pt>
                <c:pt idx="1">
                  <c:v>0.24422928506279415</c:v>
                </c:pt>
                <c:pt idx="2">
                  <c:v>0.40033677120606243</c:v>
                </c:pt>
                <c:pt idx="3">
                  <c:v>4.2377043429453462E-2</c:v>
                </c:pt>
                <c:pt idx="4">
                  <c:v>1.0804742861152039E-2</c:v>
                </c:pt>
                <c:pt idx="5">
                  <c:v>1.3681330246263976E-2</c:v>
                </c:pt>
              </c:numCache>
            </c:numRef>
          </c:val>
        </c:ser>
        <c:dLbls>
          <c:showLegendKey val="0"/>
          <c:showVal val="1"/>
          <c:showCatName val="0"/>
          <c:showSerName val="0"/>
          <c:showPercent val="0"/>
          <c:showBubbleSize val="0"/>
        </c:dLbls>
        <c:gapWidth val="30"/>
        <c:axId val="283602304"/>
        <c:axId val="283629824"/>
      </c:barChart>
      <c:catAx>
        <c:axId val="283602304"/>
        <c:scaling>
          <c:orientation val="minMax"/>
        </c:scaling>
        <c:delete val="0"/>
        <c:axPos val="b"/>
        <c:title>
          <c:tx>
            <c:rich>
              <a:bodyPr/>
              <a:lstStyle/>
              <a:p>
                <a:pPr>
                  <a:defRPr/>
                </a:pPr>
                <a:r>
                  <a:rPr lang="es-EC"/>
                  <a:t>Estado Civil</a:t>
                </a:r>
              </a:p>
            </c:rich>
          </c:tx>
          <c:overlay val="0"/>
        </c:title>
        <c:numFmt formatCode="General" sourceLinked="1"/>
        <c:majorTickMark val="out"/>
        <c:minorTickMark val="none"/>
        <c:tickLblPos val="low"/>
        <c:spPr>
          <a:ln>
            <a:solidFill>
              <a:schemeClr val="tx1"/>
            </a:solidFill>
          </a:ln>
        </c:spPr>
        <c:txPr>
          <a:bodyPr rot="-5400000" vert="horz"/>
          <a:lstStyle/>
          <a:p>
            <a:pPr>
              <a:defRPr sz="700"/>
            </a:pPr>
            <a:endParaRPr lang="es-EC"/>
          </a:p>
        </c:txPr>
        <c:crossAx val="283629824"/>
        <c:crosses val="autoZero"/>
        <c:auto val="1"/>
        <c:lblAlgn val="ctr"/>
        <c:lblOffset val="100"/>
        <c:noMultiLvlLbl val="0"/>
      </c:catAx>
      <c:valAx>
        <c:axId val="283629824"/>
        <c:scaling>
          <c:orientation val="minMax"/>
          <c:max val="1"/>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low"/>
        <c:spPr>
          <a:ln>
            <a:solidFill>
              <a:schemeClr val="tx1"/>
            </a:solidFill>
          </a:ln>
        </c:spPr>
        <c:crossAx val="283602304"/>
        <c:crossesAt val="1"/>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40671916010502"/>
          <c:y val="2.8252405949256338E-2"/>
          <c:w val="0.88092661417322871"/>
          <c:h val="0.71012826226910364"/>
        </c:manualLayout>
      </c:layout>
      <c:barChart>
        <c:barDir val="col"/>
        <c:grouping val="clustered"/>
        <c:varyColors val="0"/>
        <c:ser>
          <c:idx val="0"/>
          <c:order val="0"/>
          <c:tx>
            <c:v>Mujeres</c:v>
          </c:tx>
          <c:spPr>
            <a:gradFill>
              <a:gsLst>
                <a:gs pos="0">
                  <a:schemeClr val="bg1">
                    <a:lumMod val="65000"/>
                  </a:schemeClr>
                </a:gs>
                <a:gs pos="50000">
                  <a:schemeClr val="bg1">
                    <a:lumMod val="85000"/>
                  </a:schemeClr>
                </a:gs>
                <a:gs pos="100000">
                  <a:schemeClr val="bg1">
                    <a:lumMod val="85000"/>
                  </a:schemeClr>
                </a:gs>
              </a:gsLst>
              <a:lin ang="12000000" scaled="0"/>
            </a:gradFill>
            <a:ln>
              <a:solidFill>
                <a:schemeClr val="bg1">
                  <a:lumMod val="50000"/>
                </a:schemeClr>
              </a:solidFill>
            </a:ln>
          </c:spPr>
          <c:invertIfNegative val="0"/>
          <c:cat>
            <c:strRef>
              <c:f>'Emigrantes de Manabi'!$F$334:$F$355</c:f>
              <c:strCache>
                <c:ptCount val="22"/>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&gt; 100</c:v>
                </c:pt>
              </c:strCache>
            </c:strRef>
          </c:cat>
          <c:val>
            <c:numRef>
              <c:f>'Emigrantes de Manabi'!$G$334:$G$355</c:f>
              <c:numCache>
                <c:formatCode>0.00</c:formatCode>
                <c:ptCount val="22"/>
                <c:pt idx="0">
                  <c:v>102.96296296296296</c:v>
                </c:pt>
                <c:pt idx="1">
                  <c:v>97.485572959604184</c:v>
                </c:pt>
                <c:pt idx="2">
                  <c:v>99.86287281453528</c:v>
                </c:pt>
                <c:pt idx="3">
                  <c:v>101.25677673730893</c:v>
                </c:pt>
                <c:pt idx="4">
                  <c:v>106.28649948471327</c:v>
                </c:pt>
                <c:pt idx="5">
                  <c:v>105.10302252866182</c:v>
                </c:pt>
                <c:pt idx="6">
                  <c:v>102.17305412880285</c:v>
                </c:pt>
                <c:pt idx="7">
                  <c:v>101.71157080886475</c:v>
                </c:pt>
                <c:pt idx="8">
                  <c:v>101.52143403929574</c:v>
                </c:pt>
                <c:pt idx="9">
                  <c:v>104.2294065544729</c:v>
                </c:pt>
                <c:pt idx="10">
                  <c:v>104.32034143984538</c:v>
                </c:pt>
                <c:pt idx="11">
                  <c:v>101.54385964912296</c:v>
                </c:pt>
                <c:pt idx="12">
                  <c:v>102.51503867086795</c:v>
                </c:pt>
                <c:pt idx="13">
                  <c:v>105.91510090466249</c:v>
                </c:pt>
                <c:pt idx="14">
                  <c:v>112.61030822355785</c:v>
                </c:pt>
                <c:pt idx="15">
                  <c:v>110.47434314935639</c:v>
                </c:pt>
                <c:pt idx="16">
                  <c:v>113.38822811832867</c:v>
                </c:pt>
                <c:pt idx="17">
                  <c:v>131.57084188911705</c:v>
                </c:pt>
                <c:pt idx="18">
                  <c:v>142.25641025641042</c:v>
                </c:pt>
                <c:pt idx="19">
                  <c:v>184.79532163742689</c:v>
                </c:pt>
                <c:pt idx="20">
                  <c:v>200</c:v>
                </c:pt>
                <c:pt idx="21">
                  <c:v>272</c:v>
                </c:pt>
              </c:numCache>
            </c:numRef>
          </c:val>
        </c:ser>
        <c:dLbls>
          <c:showLegendKey val="0"/>
          <c:showVal val="0"/>
          <c:showCatName val="0"/>
          <c:showSerName val="0"/>
          <c:showPercent val="0"/>
          <c:showBubbleSize val="0"/>
        </c:dLbls>
        <c:gapWidth val="0"/>
        <c:axId val="235625472"/>
        <c:axId val="235988480"/>
      </c:barChart>
      <c:lineChart>
        <c:grouping val="stacked"/>
        <c:varyColors val="0"/>
        <c:ser>
          <c:idx val="1"/>
          <c:order val="1"/>
          <c:tx>
            <c:v>Hombres</c:v>
          </c:tx>
          <c:spPr>
            <a:ln w="19050">
              <a:solidFill>
                <a:schemeClr val="tx1"/>
              </a:solidFill>
            </a:ln>
          </c:spPr>
          <c:marker>
            <c:symbol val="none"/>
          </c:marker>
          <c:val>
            <c:numRef>
              <c:f>'Emigrantes de Manabi'!$H$334:$H$355</c:f>
              <c:numCache>
                <c:formatCode>General</c:formatCode>
                <c:ptCount val="22"/>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numCache>
            </c:numRef>
          </c:val>
          <c:smooth val="0"/>
        </c:ser>
        <c:dLbls>
          <c:showLegendKey val="0"/>
          <c:showVal val="0"/>
          <c:showCatName val="0"/>
          <c:showSerName val="0"/>
          <c:showPercent val="0"/>
          <c:showBubbleSize val="0"/>
        </c:dLbls>
        <c:marker val="1"/>
        <c:smooth val="0"/>
        <c:axId val="235625472"/>
        <c:axId val="235988480"/>
      </c:lineChart>
      <c:catAx>
        <c:axId val="235625472"/>
        <c:scaling>
          <c:orientation val="minMax"/>
        </c:scaling>
        <c:delete val="0"/>
        <c:axPos val="b"/>
        <c:title>
          <c:tx>
            <c:rich>
              <a:bodyPr/>
              <a:lstStyle/>
              <a:p>
                <a:pPr>
                  <a:defRPr/>
                </a:pPr>
                <a:r>
                  <a:rPr lang="es-EC"/>
                  <a:t>Grupos de Edad</a:t>
                </a:r>
              </a:p>
            </c:rich>
          </c:tx>
          <c:overlay val="0"/>
        </c:title>
        <c:majorTickMark val="out"/>
        <c:minorTickMark val="none"/>
        <c:tickLblPos val="nextTo"/>
        <c:spPr>
          <a:ln>
            <a:solidFill>
              <a:schemeClr val="tx1"/>
            </a:solidFill>
          </a:ln>
        </c:spPr>
        <c:txPr>
          <a:bodyPr rot="-5400000" vert="horz"/>
          <a:lstStyle/>
          <a:p>
            <a:pPr>
              <a:defRPr sz="650"/>
            </a:pPr>
            <a:endParaRPr lang="es-EC"/>
          </a:p>
        </c:txPr>
        <c:crossAx val="235988480"/>
        <c:crosses val="autoZero"/>
        <c:auto val="1"/>
        <c:lblAlgn val="ctr"/>
        <c:lblOffset val="100"/>
        <c:noMultiLvlLbl val="0"/>
      </c:catAx>
      <c:valAx>
        <c:axId val="235988480"/>
        <c:scaling>
          <c:orientation val="minMax"/>
          <c:max val="300"/>
        </c:scaling>
        <c:delete val="0"/>
        <c:axPos val="l"/>
        <c:title>
          <c:tx>
            <c:rich>
              <a:bodyPr rot="-5400000" vert="horz"/>
              <a:lstStyle/>
              <a:p>
                <a:pPr>
                  <a:defRPr/>
                </a:pPr>
                <a:r>
                  <a:rPr lang="es-EC"/>
                  <a:t>Índice</a:t>
                </a:r>
                <a:r>
                  <a:rPr lang="es-EC" baseline="0"/>
                  <a:t> de Feminidad</a:t>
                </a:r>
                <a:endParaRPr lang="es-EC"/>
              </a:p>
            </c:rich>
          </c:tx>
          <c:layout>
            <c:manualLayout>
              <c:xMode val="edge"/>
              <c:yMode val="edge"/>
              <c:x val="1.034733158355206E-2"/>
              <c:y val="0.21522200349956272"/>
            </c:manualLayout>
          </c:layout>
          <c:overlay val="0"/>
        </c:title>
        <c:numFmt formatCode="0" sourceLinked="0"/>
        <c:majorTickMark val="out"/>
        <c:minorTickMark val="none"/>
        <c:tickLblPos val="nextTo"/>
        <c:spPr>
          <a:ln>
            <a:solidFill>
              <a:schemeClr val="tx1"/>
            </a:solidFill>
          </a:ln>
        </c:spPr>
        <c:crossAx val="235625472"/>
        <c:crosses val="autoZero"/>
        <c:crossBetween val="between"/>
        <c:majorUnit val="50"/>
      </c:valAx>
      <c:spPr>
        <a:noFill/>
        <a:ln>
          <a:solidFill>
            <a:schemeClr val="tx1"/>
          </a:solidFill>
        </a:ln>
      </c:spPr>
    </c:plotArea>
    <c:legend>
      <c:legendPos val="t"/>
      <c:layout>
        <c:manualLayout>
          <c:xMode val="edge"/>
          <c:yMode val="edge"/>
          <c:x val="0.31848293963254676"/>
          <c:y val="4.6296296296296363E-2"/>
          <c:w val="0.47990766481885344"/>
          <c:h val="6.8729585885097699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PerfilPeruanos!$K$300</c:f>
              <c:strCache>
                <c:ptCount val="1"/>
                <c:pt idx="0">
                  <c:v>Soltero</c:v>
                </c:pt>
              </c:strCache>
            </c:strRef>
          </c:tx>
          <c:spPr>
            <a:ln w="19050">
              <a:solidFill>
                <a:srgbClr val="0070C0"/>
              </a:solidFill>
            </a:ln>
          </c:spPr>
          <c:marker>
            <c:symbol val="none"/>
          </c:marker>
          <c:cat>
            <c:strRef>
              <c:f>PerfilPeruanos!$C$301:$C$319</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PerfilPeruanos!$K$301:$K$317</c:f>
              <c:numCache>
                <c:formatCode>0.00</c:formatCode>
                <c:ptCount val="17"/>
                <c:pt idx="0">
                  <c:v>1000</c:v>
                </c:pt>
                <c:pt idx="1">
                  <c:v>880</c:v>
                </c:pt>
                <c:pt idx="2">
                  <c:v>569.19642857142856</c:v>
                </c:pt>
                <c:pt idx="3">
                  <c:v>324.80314960629886</c:v>
                </c:pt>
                <c:pt idx="4">
                  <c:v>247.17145343777196</c:v>
                </c:pt>
                <c:pt idx="5">
                  <c:v>209.25341745531037</c:v>
                </c:pt>
                <c:pt idx="6">
                  <c:v>152.56588072122034</c:v>
                </c:pt>
                <c:pt idx="7">
                  <c:v>101.14503816793879</c:v>
                </c:pt>
                <c:pt idx="8">
                  <c:v>106.43564356435652</c:v>
                </c:pt>
                <c:pt idx="9">
                  <c:v>67.114093959731562</c:v>
                </c:pt>
                <c:pt idx="10">
                  <c:v>59.459459459459389</c:v>
                </c:pt>
                <c:pt idx="11">
                  <c:v>72.72727272727272</c:v>
                </c:pt>
                <c:pt idx="12">
                  <c:v>42.253521126760546</c:v>
                </c:pt>
                <c:pt idx="13">
                  <c:v>90.909090909090907</c:v>
                </c:pt>
                <c:pt idx="14">
                  <c:v>0</c:v>
                </c:pt>
                <c:pt idx="15">
                  <c:v>222.2222222222222</c:v>
                </c:pt>
                <c:pt idx="16">
                  <c:v>0</c:v>
                </c:pt>
              </c:numCache>
            </c:numRef>
          </c:val>
          <c:smooth val="1"/>
        </c:ser>
        <c:ser>
          <c:idx val="1"/>
          <c:order val="1"/>
          <c:tx>
            <c:strRef>
              <c:f>PerfilPeruanos!$M$300</c:f>
              <c:strCache>
                <c:ptCount val="1"/>
                <c:pt idx="0">
                  <c:v>Separado, Divorciado o Viudo</c:v>
                </c:pt>
              </c:strCache>
            </c:strRef>
          </c:tx>
          <c:spPr>
            <a:ln w="19050">
              <a:solidFill>
                <a:srgbClr val="E010C2"/>
              </a:solidFill>
            </a:ln>
          </c:spPr>
          <c:marker>
            <c:symbol val="none"/>
          </c:marker>
          <c:cat>
            <c:strRef>
              <c:f>PerfilPeruanos!$C$301:$C$319</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PerfilPeruanos!$M$301:$M$317</c:f>
              <c:numCache>
                <c:formatCode>0.00</c:formatCode>
                <c:ptCount val="17"/>
                <c:pt idx="0">
                  <c:v>0</c:v>
                </c:pt>
                <c:pt idx="1">
                  <c:v>8.8888888888888893</c:v>
                </c:pt>
                <c:pt idx="2">
                  <c:v>12.648809523809518</c:v>
                </c:pt>
                <c:pt idx="3">
                  <c:v>28.87139107611549</c:v>
                </c:pt>
                <c:pt idx="4">
                  <c:v>40.905134899912966</c:v>
                </c:pt>
                <c:pt idx="5">
                  <c:v>45.215562565720298</c:v>
                </c:pt>
                <c:pt idx="6">
                  <c:v>99.861303744798903</c:v>
                </c:pt>
                <c:pt idx="7">
                  <c:v>85.877862595419771</c:v>
                </c:pt>
                <c:pt idx="8">
                  <c:v>96.534653465346722</c:v>
                </c:pt>
                <c:pt idx="9">
                  <c:v>110.73825503355705</c:v>
                </c:pt>
                <c:pt idx="10">
                  <c:v>113.51351351351352</c:v>
                </c:pt>
                <c:pt idx="11">
                  <c:v>136.36363636363657</c:v>
                </c:pt>
                <c:pt idx="12">
                  <c:v>140.84507042253523</c:v>
                </c:pt>
                <c:pt idx="13">
                  <c:v>212.12121212121212</c:v>
                </c:pt>
                <c:pt idx="14">
                  <c:v>333.33333333333331</c:v>
                </c:pt>
                <c:pt idx="15">
                  <c:v>111.1111111111111</c:v>
                </c:pt>
                <c:pt idx="16">
                  <c:v>1000</c:v>
                </c:pt>
              </c:numCache>
            </c:numRef>
          </c:val>
          <c:smooth val="1"/>
        </c:ser>
        <c:ser>
          <c:idx val="2"/>
          <c:order val="2"/>
          <c:tx>
            <c:strRef>
              <c:f>PerfilPeruanos!$L$300</c:f>
              <c:strCache>
                <c:ptCount val="1"/>
                <c:pt idx="0">
                  <c:v>Casado o Unido</c:v>
                </c:pt>
              </c:strCache>
            </c:strRef>
          </c:tx>
          <c:spPr>
            <a:ln w="19050">
              <a:solidFill>
                <a:schemeClr val="accent6">
                  <a:lumMod val="75000"/>
                </a:schemeClr>
              </a:solidFill>
            </a:ln>
          </c:spPr>
          <c:marker>
            <c:symbol val="none"/>
          </c:marker>
          <c:cat>
            <c:strRef>
              <c:f>PerfilPeruanos!$C$301:$C$319</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PerfilPeruanos!$L$301:$L$317</c:f>
              <c:numCache>
                <c:formatCode>0.00</c:formatCode>
                <c:ptCount val="17"/>
                <c:pt idx="0">
                  <c:v>0</c:v>
                </c:pt>
                <c:pt idx="1">
                  <c:v>111.1111111111111</c:v>
                </c:pt>
                <c:pt idx="2">
                  <c:v>418.15476190476255</c:v>
                </c:pt>
                <c:pt idx="3">
                  <c:v>646.32545931758534</c:v>
                </c:pt>
                <c:pt idx="4">
                  <c:v>711.92341166231552</c:v>
                </c:pt>
                <c:pt idx="5">
                  <c:v>745.53101997896943</c:v>
                </c:pt>
                <c:pt idx="6">
                  <c:v>747.57281553398059</c:v>
                </c:pt>
                <c:pt idx="7">
                  <c:v>812.97709923664206</c:v>
                </c:pt>
                <c:pt idx="8">
                  <c:v>797.02970297029822</c:v>
                </c:pt>
                <c:pt idx="9">
                  <c:v>822.14765100671138</c:v>
                </c:pt>
                <c:pt idx="10">
                  <c:v>827.02702702702697</c:v>
                </c:pt>
                <c:pt idx="11">
                  <c:v>790.90909090909156</c:v>
                </c:pt>
                <c:pt idx="12">
                  <c:v>816.90140845070357</c:v>
                </c:pt>
                <c:pt idx="13">
                  <c:v>696.96969696969768</c:v>
                </c:pt>
                <c:pt idx="14">
                  <c:v>666.66666666666663</c:v>
                </c:pt>
                <c:pt idx="15">
                  <c:v>666.66666666666663</c:v>
                </c:pt>
                <c:pt idx="16">
                  <c:v>0</c:v>
                </c:pt>
              </c:numCache>
            </c:numRef>
          </c:val>
          <c:smooth val="0"/>
        </c:ser>
        <c:dLbls>
          <c:showLegendKey val="0"/>
          <c:showVal val="0"/>
          <c:showCatName val="0"/>
          <c:showSerName val="0"/>
          <c:showPercent val="0"/>
          <c:showBubbleSize val="0"/>
        </c:dLbls>
        <c:marker val="1"/>
        <c:smooth val="0"/>
        <c:axId val="283774336"/>
        <c:axId val="283792896"/>
      </c:lineChart>
      <c:catAx>
        <c:axId val="283774336"/>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3792896"/>
        <c:crosses val="autoZero"/>
        <c:auto val="1"/>
        <c:lblAlgn val="ctr"/>
        <c:lblOffset val="100"/>
        <c:noMultiLvlLbl val="0"/>
      </c:catAx>
      <c:valAx>
        <c:axId val="283792896"/>
        <c:scaling>
          <c:orientation val="minMax"/>
          <c:max val="1000"/>
          <c:min val="0"/>
        </c:scaling>
        <c:delete val="0"/>
        <c:axPos val="l"/>
        <c:title>
          <c:tx>
            <c:rich>
              <a:bodyPr rot="-5400000" vert="horz"/>
              <a:lstStyle/>
              <a:p>
                <a:pPr>
                  <a:defRPr sz="650"/>
                </a:pPr>
                <a:r>
                  <a:rPr lang="es-EC" sz="650"/>
                  <a:t>Tasa por</a:t>
                </a:r>
                <a:r>
                  <a:rPr lang="es-EC" sz="650" baseline="0"/>
                  <a:t> cada 1000 peruanos</a:t>
                </a:r>
                <a:endParaRPr lang="es-EC" sz="650"/>
              </a:p>
            </c:rich>
          </c:tx>
          <c:layout>
            <c:manualLayout>
              <c:xMode val="edge"/>
              <c:yMode val="edge"/>
              <c:x val="0"/>
              <c:y val="8.2678738060538659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3774336"/>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PerfilPeruanos!$K$300</c:f>
              <c:strCache>
                <c:ptCount val="1"/>
                <c:pt idx="0">
                  <c:v>Soltero</c:v>
                </c:pt>
              </c:strCache>
            </c:strRef>
          </c:tx>
          <c:spPr>
            <a:ln w="19050">
              <a:solidFill>
                <a:srgbClr val="0070C0"/>
              </a:solidFill>
            </a:ln>
          </c:spPr>
          <c:marker>
            <c:symbol val="none"/>
          </c:marker>
          <c:cat>
            <c:strRef>
              <c:f>PerfilPeruanos!$C$321:$C$339</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PerfilPeruanos!$K$321:$K$338</c:f>
              <c:numCache>
                <c:formatCode>0.00</c:formatCode>
                <c:ptCount val="18"/>
                <c:pt idx="0">
                  <c:v>988.76404494382052</c:v>
                </c:pt>
                <c:pt idx="1">
                  <c:v>566.84491978609628</c:v>
                </c:pt>
                <c:pt idx="2">
                  <c:v>267.1232876712329</c:v>
                </c:pt>
                <c:pt idx="3">
                  <c:v>155.2044609665424</c:v>
                </c:pt>
                <c:pt idx="4">
                  <c:v>124.23124231242296</c:v>
                </c:pt>
                <c:pt idx="5">
                  <c:v>145.45454545454538</c:v>
                </c:pt>
                <c:pt idx="6">
                  <c:v>97.10743801652869</c:v>
                </c:pt>
                <c:pt idx="7">
                  <c:v>117.81609195402298</c:v>
                </c:pt>
                <c:pt idx="8">
                  <c:v>83.969465648854964</c:v>
                </c:pt>
                <c:pt idx="9">
                  <c:v>75</c:v>
                </c:pt>
                <c:pt idx="10">
                  <c:v>68.376068376068247</c:v>
                </c:pt>
                <c:pt idx="11">
                  <c:v>104.47761194029859</c:v>
                </c:pt>
                <c:pt idx="12">
                  <c:v>62.5</c:v>
                </c:pt>
                <c:pt idx="13">
                  <c:v>83.333333333333258</c:v>
                </c:pt>
                <c:pt idx="14">
                  <c:v>111.1111111111111</c:v>
                </c:pt>
                <c:pt idx="15">
                  <c:v>200</c:v>
                </c:pt>
                <c:pt idx="16">
                  <c:v>0</c:v>
                </c:pt>
                <c:pt idx="17">
                  <c:v>0</c:v>
                </c:pt>
              </c:numCache>
            </c:numRef>
          </c:val>
          <c:smooth val="1"/>
        </c:ser>
        <c:ser>
          <c:idx val="1"/>
          <c:order val="1"/>
          <c:tx>
            <c:strRef>
              <c:f>PerfilPeruanos!$M$300</c:f>
              <c:strCache>
                <c:ptCount val="1"/>
                <c:pt idx="0">
                  <c:v>Separado, Divorciado o Viudo</c:v>
                </c:pt>
              </c:strCache>
            </c:strRef>
          </c:tx>
          <c:spPr>
            <a:ln w="19050">
              <a:solidFill>
                <a:srgbClr val="E010C2"/>
              </a:solidFill>
            </a:ln>
          </c:spPr>
          <c:marker>
            <c:symbol val="none"/>
          </c:marker>
          <c:cat>
            <c:strRef>
              <c:f>PerfilPeruanos!$C$321:$C$339</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PerfilPeruanos!$M$321:$M$338</c:f>
              <c:numCache>
                <c:formatCode>0.00</c:formatCode>
                <c:ptCount val="18"/>
                <c:pt idx="0">
                  <c:v>0</c:v>
                </c:pt>
                <c:pt idx="1">
                  <c:v>24.955436720142586</c:v>
                </c:pt>
                <c:pt idx="2">
                  <c:v>30.82191780821919</c:v>
                </c:pt>
                <c:pt idx="3">
                  <c:v>49.256505576208177</c:v>
                </c:pt>
                <c:pt idx="4">
                  <c:v>67.650676506764881</c:v>
                </c:pt>
                <c:pt idx="5">
                  <c:v>69.696969696969703</c:v>
                </c:pt>
                <c:pt idx="6">
                  <c:v>132.23140495867781</c:v>
                </c:pt>
                <c:pt idx="7">
                  <c:v>166.66666666666652</c:v>
                </c:pt>
                <c:pt idx="8">
                  <c:v>225.19083969465638</c:v>
                </c:pt>
                <c:pt idx="9">
                  <c:v>255</c:v>
                </c:pt>
                <c:pt idx="10">
                  <c:v>282.05128205128199</c:v>
                </c:pt>
                <c:pt idx="11">
                  <c:v>343.28358208955228</c:v>
                </c:pt>
                <c:pt idx="12">
                  <c:v>354.16666666666708</c:v>
                </c:pt>
                <c:pt idx="13">
                  <c:v>708.3333333333336</c:v>
                </c:pt>
                <c:pt idx="14">
                  <c:v>666.66666666666663</c:v>
                </c:pt>
                <c:pt idx="15">
                  <c:v>700</c:v>
                </c:pt>
                <c:pt idx="16">
                  <c:v>1000</c:v>
                </c:pt>
                <c:pt idx="17">
                  <c:v>666.66666666666663</c:v>
                </c:pt>
              </c:numCache>
            </c:numRef>
          </c:val>
          <c:smooth val="1"/>
        </c:ser>
        <c:ser>
          <c:idx val="2"/>
          <c:order val="2"/>
          <c:tx>
            <c:strRef>
              <c:f>PerfilPeruanos!$L$300</c:f>
              <c:strCache>
                <c:ptCount val="1"/>
                <c:pt idx="0">
                  <c:v>Casado o Unido</c:v>
                </c:pt>
              </c:strCache>
            </c:strRef>
          </c:tx>
          <c:spPr>
            <a:ln w="19050">
              <a:solidFill>
                <a:schemeClr val="accent6">
                  <a:lumMod val="75000"/>
                </a:schemeClr>
              </a:solidFill>
            </a:ln>
          </c:spPr>
          <c:marker>
            <c:symbol val="none"/>
          </c:marker>
          <c:cat>
            <c:strRef>
              <c:f>PerfilPeruanos!$C$321:$C$339</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PerfilPeruanos!$L$321:$L$338</c:f>
              <c:numCache>
                <c:formatCode>0.00</c:formatCode>
                <c:ptCount val="18"/>
                <c:pt idx="0">
                  <c:v>11.235955056179773</c:v>
                </c:pt>
                <c:pt idx="1">
                  <c:v>408.19964349376193</c:v>
                </c:pt>
                <c:pt idx="2">
                  <c:v>702.05479452054851</c:v>
                </c:pt>
                <c:pt idx="3">
                  <c:v>795.53903345724905</c:v>
                </c:pt>
                <c:pt idx="4">
                  <c:v>808.11808118081183</c:v>
                </c:pt>
                <c:pt idx="5">
                  <c:v>784.84848484848476</c:v>
                </c:pt>
                <c:pt idx="6">
                  <c:v>770.66115702479271</c:v>
                </c:pt>
                <c:pt idx="7">
                  <c:v>715.51724137931035</c:v>
                </c:pt>
                <c:pt idx="8">
                  <c:v>690.8396946564884</c:v>
                </c:pt>
                <c:pt idx="9">
                  <c:v>670</c:v>
                </c:pt>
                <c:pt idx="10">
                  <c:v>649.57264957264965</c:v>
                </c:pt>
                <c:pt idx="11">
                  <c:v>552.23880597015057</c:v>
                </c:pt>
                <c:pt idx="12">
                  <c:v>583.3333333333336</c:v>
                </c:pt>
                <c:pt idx="13">
                  <c:v>208.33333333333351</c:v>
                </c:pt>
                <c:pt idx="14">
                  <c:v>222.2222222222222</c:v>
                </c:pt>
                <c:pt idx="15">
                  <c:v>100</c:v>
                </c:pt>
                <c:pt idx="16">
                  <c:v>0</c:v>
                </c:pt>
                <c:pt idx="17">
                  <c:v>333.33333333333331</c:v>
                </c:pt>
              </c:numCache>
            </c:numRef>
          </c:val>
          <c:smooth val="0"/>
        </c:ser>
        <c:dLbls>
          <c:showLegendKey val="0"/>
          <c:showVal val="0"/>
          <c:showCatName val="0"/>
          <c:showSerName val="0"/>
          <c:showPercent val="0"/>
          <c:showBubbleSize val="0"/>
        </c:dLbls>
        <c:marker val="1"/>
        <c:smooth val="0"/>
        <c:axId val="283835008"/>
        <c:axId val="283644672"/>
      </c:lineChart>
      <c:catAx>
        <c:axId val="283835008"/>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3644672"/>
        <c:crosses val="autoZero"/>
        <c:auto val="1"/>
        <c:lblAlgn val="ctr"/>
        <c:lblOffset val="100"/>
        <c:noMultiLvlLbl val="0"/>
      </c:catAx>
      <c:valAx>
        <c:axId val="283644672"/>
        <c:scaling>
          <c:orientation val="minMax"/>
          <c:max val="1000"/>
          <c:min val="0"/>
        </c:scaling>
        <c:delete val="0"/>
        <c:axPos val="l"/>
        <c:title>
          <c:tx>
            <c:rich>
              <a:bodyPr rot="-5400000" vert="horz"/>
              <a:lstStyle/>
              <a:p>
                <a:pPr>
                  <a:defRPr sz="650"/>
                </a:pPr>
                <a:r>
                  <a:rPr lang="es-EC" sz="650"/>
                  <a:t>Tasa por</a:t>
                </a:r>
                <a:r>
                  <a:rPr lang="es-EC" sz="650" baseline="0"/>
                  <a:t> cada 1000 peruanos</a:t>
                </a:r>
                <a:endParaRPr lang="es-EC" sz="650"/>
              </a:p>
            </c:rich>
          </c:tx>
          <c:layout>
            <c:manualLayout>
              <c:xMode val="edge"/>
              <c:yMode val="edge"/>
              <c:x val="3.0151660906640072E-3"/>
              <c:y val="7.3939209662706937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3835008"/>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79832131509877091"/>
        </c:manualLayout>
      </c:layout>
      <c:barChart>
        <c:barDir val="bar"/>
        <c:grouping val="clustered"/>
        <c:varyColors val="0"/>
        <c:ser>
          <c:idx val="0"/>
          <c:order val="0"/>
          <c:tx>
            <c:v>Teléfono Celular</c:v>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dLbl>
              <c:idx val="0"/>
              <c:numFmt formatCode="#,##0.000" sourceLinked="0"/>
              <c:spPr>
                <a:solidFill>
                  <a:schemeClr val="bg1"/>
                </a:solidFill>
              </c:spPr>
              <c:txPr>
                <a:bodyPr/>
                <a:lstStyle/>
                <a:p>
                  <a:pPr>
                    <a:defRPr sz="650"/>
                  </a:pPr>
                  <a:endParaRPr lang="es-EC"/>
                </a:p>
              </c:txPr>
              <c:dLblPos val="outEnd"/>
              <c:showLegendKey val="0"/>
              <c:showVal val="1"/>
              <c:showCatName val="0"/>
              <c:showSerName val="0"/>
              <c:showPercent val="0"/>
              <c:showBubbleSize val="0"/>
            </c:dLbl>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PerfilPeruanos!$B$345:$B$347</c:f>
              <c:strCache>
                <c:ptCount val="3"/>
                <c:pt idx="0">
                  <c:v>Sí</c:v>
                </c:pt>
                <c:pt idx="1">
                  <c:v>No</c:v>
                </c:pt>
                <c:pt idx="2">
                  <c:v>Se ignora</c:v>
                </c:pt>
              </c:strCache>
            </c:strRef>
          </c:cat>
          <c:val>
            <c:numRef>
              <c:f>PerfilPeruanos!$G$345:$G$347</c:f>
              <c:numCache>
                <c:formatCode>0,000</c:formatCode>
                <c:ptCount val="3"/>
                <c:pt idx="0">
                  <c:v>0.74327628361858333</c:v>
                </c:pt>
                <c:pt idx="1">
                  <c:v>0.23366153439503073</c:v>
                </c:pt>
                <c:pt idx="2">
                  <c:v>2.3062181986387341E-2</c:v>
                </c:pt>
              </c:numCache>
            </c:numRef>
          </c:val>
        </c:ser>
        <c:dLbls>
          <c:showLegendKey val="0"/>
          <c:showVal val="1"/>
          <c:showCatName val="0"/>
          <c:showSerName val="0"/>
          <c:showPercent val="0"/>
          <c:showBubbleSize val="0"/>
        </c:dLbls>
        <c:gapWidth val="50"/>
        <c:axId val="283673728"/>
        <c:axId val="283675648"/>
      </c:barChart>
      <c:catAx>
        <c:axId val="283673728"/>
        <c:scaling>
          <c:orientation val="maxMin"/>
        </c:scaling>
        <c:delete val="0"/>
        <c:axPos val="l"/>
        <c:title>
          <c:tx>
            <c:rich>
              <a:bodyPr rot="-5400000" vert="horz"/>
              <a:lstStyle/>
              <a:p>
                <a:pPr>
                  <a:defRPr sz="700"/>
                </a:pPr>
                <a:r>
                  <a:rPr lang="es-EC" sz="700"/>
                  <a:t>Teléfono Celular</a:t>
                </a:r>
              </a:p>
            </c:rich>
          </c:tx>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83675648"/>
        <c:crosses val="autoZero"/>
        <c:auto val="1"/>
        <c:lblAlgn val="ctr"/>
        <c:lblOffset val="100"/>
        <c:noMultiLvlLbl val="0"/>
      </c:catAx>
      <c:valAx>
        <c:axId val="283675648"/>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83673728"/>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80234485906653052"/>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PerfilPeruanos!$B$345:$B$347</c:f>
              <c:strCache>
                <c:ptCount val="3"/>
                <c:pt idx="0">
                  <c:v>Sí</c:v>
                </c:pt>
                <c:pt idx="1">
                  <c:v>No</c:v>
                </c:pt>
                <c:pt idx="2">
                  <c:v>Se ignora</c:v>
                </c:pt>
              </c:strCache>
            </c:strRef>
          </c:cat>
          <c:val>
            <c:numRef>
              <c:f>PerfilPeruanos!$O$345:$O$347</c:f>
              <c:numCache>
                <c:formatCode>0,000</c:formatCode>
                <c:ptCount val="3"/>
                <c:pt idx="0">
                  <c:v>0.33218793365492694</c:v>
                </c:pt>
                <c:pt idx="1">
                  <c:v>0.59327297958104719</c:v>
                </c:pt>
                <c:pt idx="2">
                  <c:v>7.4539086764025639E-2</c:v>
                </c:pt>
              </c:numCache>
            </c:numRef>
          </c:val>
        </c:ser>
        <c:dLbls>
          <c:showLegendKey val="0"/>
          <c:showVal val="1"/>
          <c:showCatName val="0"/>
          <c:showSerName val="0"/>
          <c:showPercent val="0"/>
          <c:showBubbleSize val="0"/>
        </c:dLbls>
        <c:gapWidth val="50"/>
        <c:axId val="283686784"/>
        <c:axId val="283817088"/>
      </c:barChart>
      <c:catAx>
        <c:axId val="283686784"/>
        <c:scaling>
          <c:orientation val="maxMin"/>
        </c:scaling>
        <c:delete val="0"/>
        <c:axPos val="l"/>
        <c:title>
          <c:tx>
            <c:rich>
              <a:bodyPr rot="-5400000" vert="horz"/>
              <a:lstStyle/>
              <a:p>
                <a:pPr>
                  <a:defRPr sz="700"/>
                </a:pPr>
                <a:r>
                  <a:rPr lang="es-EC" sz="700"/>
                  <a:t>Internet</a:t>
                </a:r>
              </a:p>
            </c:rich>
          </c:tx>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83817088"/>
        <c:crosses val="autoZero"/>
        <c:auto val="1"/>
        <c:lblAlgn val="ctr"/>
        <c:lblOffset val="100"/>
        <c:noMultiLvlLbl val="0"/>
      </c:catAx>
      <c:valAx>
        <c:axId val="283817088"/>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83686784"/>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80234485906653052"/>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PerfilPeruanos!$R$345:$R$347</c:f>
              <c:strCache>
                <c:ptCount val="3"/>
                <c:pt idx="0">
                  <c:v>Sí</c:v>
                </c:pt>
                <c:pt idx="1">
                  <c:v>No</c:v>
                </c:pt>
                <c:pt idx="2">
                  <c:v>Se ignora</c:v>
                </c:pt>
              </c:strCache>
            </c:strRef>
          </c:cat>
          <c:val>
            <c:numRef>
              <c:f>PerfilPeruanos!$W$345:$W$347</c:f>
              <c:numCache>
                <c:formatCode>0,000</c:formatCode>
                <c:ptCount val="3"/>
                <c:pt idx="0">
                  <c:v>0.35511795413995934</c:v>
                </c:pt>
                <c:pt idx="1">
                  <c:v>0.57034295909601529</c:v>
                </c:pt>
                <c:pt idx="2">
                  <c:v>7.4539086764025639E-2</c:v>
                </c:pt>
              </c:numCache>
            </c:numRef>
          </c:val>
        </c:ser>
        <c:dLbls>
          <c:showLegendKey val="0"/>
          <c:showVal val="1"/>
          <c:showCatName val="0"/>
          <c:showSerName val="0"/>
          <c:showPercent val="0"/>
          <c:showBubbleSize val="0"/>
        </c:dLbls>
        <c:gapWidth val="50"/>
        <c:axId val="283865088"/>
        <c:axId val="283868160"/>
      </c:barChart>
      <c:catAx>
        <c:axId val="283865088"/>
        <c:scaling>
          <c:orientation val="maxMin"/>
        </c:scaling>
        <c:delete val="0"/>
        <c:axPos val="l"/>
        <c:title>
          <c:tx>
            <c:rich>
              <a:bodyPr rot="-5400000" vert="horz"/>
              <a:lstStyle/>
              <a:p>
                <a:pPr>
                  <a:defRPr sz="700"/>
                </a:pPr>
                <a:r>
                  <a:rPr lang="es-EC" sz="700"/>
                  <a:t>Computadora</a:t>
                </a:r>
              </a:p>
            </c:rich>
          </c:tx>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83868160"/>
        <c:crosses val="autoZero"/>
        <c:auto val="1"/>
        <c:lblAlgn val="ctr"/>
        <c:lblOffset val="100"/>
        <c:noMultiLvlLbl val="0"/>
      </c:catAx>
      <c:valAx>
        <c:axId val="283868160"/>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83865088"/>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056882821387982E-2"/>
          <c:y val="3.6166365280289346E-2"/>
          <c:w val="0.89988623435722359"/>
          <c:h val="0.86121157323689035"/>
        </c:manualLayout>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EstructuraEconomica!$M$1:$M$3</c:f>
              <c:numCache>
                <c:formatCode>###0</c:formatCode>
                <c:ptCount val="3"/>
                <c:pt idx="0" formatCode="General">
                  <c:v>15676</c:v>
                </c:pt>
                <c:pt idx="1">
                  <c:v>14504</c:v>
                </c:pt>
                <c:pt idx="2">
                  <c:v>10523</c:v>
                </c:pt>
              </c:numCache>
            </c:numRef>
          </c:val>
        </c:ser>
        <c:ser>
          <c:idx val="1"/>
          <c:order val="1"/>
          <c:spPr>
            <a:solidFill>
              <a:srgbClr val="00B0F0"/>
            </a:solidFill>
          </c:spPr>
          <c:invertIfNegative val="0"/>
          <c:val>
            <c:numRef>
              <c:f>EstructuraEconomica!$O$1:$O$3</c:f>
              <c:numCache>
                <c:formatCode>General</c:formatCode>
                <c:ptCount val="3"/>
                <c:pt idx="2" formatCode="###0">
                  <c:v>3981</c:v>
                </c:pt>
              </c:numCache>
            </c:numRef>
          </c:val>
        </c:ser>
        <c:dLbls>
          <c:showLegendKey val="0"/>
          <c:showVal val="1"/>
          <c:showCatName val="0"/>
          <c:showSerName val="0"/>
          <c:showPercent val="0"/>
          <c:showBubbleSize val="0"/>
        </c:dLbls>
        <c:gapWidth val="30"/>
        <c:overlap val="100"/>
        <c:axId val="283907968"/>
        <c:axId val="283909504"/>
      </c:barChart>
      <c:catAx>
        <c:axId val="283907968"/>
        <c:scaling>
          <c:orientation val="minMax"/>
        </c:scaling>
        <c:delete val="0"/>
        <c:axPos val="b"/>
        <c:majorTickMark val="none"/>
        <c:minorTickMark val="none"/>
        <c:tickLblPos val="none"/>
        <c:spPr>
          <a:ln>
            <a:solidFill>
              <a:schemeClr val="tx1"/>
            </a:solidFill>
          </a:ln>
        </c:spPr>
        <c:crossAx val="283909504"/>
        <c:crosses val="autoZero"/>
        <c:auto val="1"/>
        <c:lblAlgn val="ctr"/>
        <c:lblOffset val="100"/>
        <c:noMultiLvlLbl val="0"/>
      </c:catAx>
      <c:valAx>
        <c:axId val="283909504"/>
        <c:scaling>
          <c:orientation val="minMax"/>
        </c:scaling>
        <c:delete val="1"/>
        <c:axPos val="l"/>
        <c:numFmt formatCode="General" sourceLinked="1"/>
        <c:majorTickMark val="out"/>
        <c:minorTickMark val="none"/>
        <c:tickLblPos val="none"/>
        <c:crossAx val="283907968"/>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EstructuraEconomica!$N$58:$N$60</c:f>
              <c:numCache>
                <c:formatCode>###0</c:formatCode>
                <c:ptCount val="3"/>
                <c:pt idx="0" formatCode="General">
                  <c:v>8931</c:v>
                </c:pt>
                <c:pt idx="1">
                  <c:v>8333</c:v>
                </c:pt>
                <c:pt idx="2">
                  <c:v>7407</c:v>
                </c:pt>
              </c:numCache>
            </c:numRef>
          </c:val>
        </c:ser>
        <c:ser>
          <c:idx val="1"/>
          <c:order val="1"/>
          <c:spPr>
            <a:solidFill>
              <a:srgbClr val="00B0F0"/>
            </a:solidFill>
          </c:spPr>
          <c:invertIfNegative val="0"/>
          <c:val>
            <c:numRef>
              <c:f>EstructuraEconomica!$P$58:$P$60</c:f>
              <c:numCache>
                <c:formatCode>General</c:formatCode>
                <c:ptCount val="3"/>
                <c:pt idx="2" formatCode="###0">
                  <c:v>926</c:v>
                </c:pt>
              </c:numCache>
            </c:numRef>
          </c:val>
        </c:ser>
        <c:dLbls>
          <c:showLegendKey val="0"/>
          <c:showVal val="1"/>
          <c:showCatName val="0"/>
          <c:showSerName val="0"/>
          <c:showPercent val="0"/>
          <c:showBubbleSize val="0"/>
        </c:dLbls>
        <c:gapWidth val="30"/>
        <c:overlap val="100"/>
        <c:axId val="283940736"/>
        <c:axId val="283942272"/>
      </c:barChart>
      <c:catAx>
        <c:axId val="283940736"/>
        <c:scaling>
          <c:orientation val="minMax"/>
        </c:scaling>
        <c:delete val="0"/>
        <c:axPos val="b"/>
        <c:majorTickMark val="none"/>
        <c:minorTickMark val="none"/>
        <c:tickLblPos val="none"/>
        <c:spPr>
          <a:ln>
            <a:solidFill>
              <a:schemeClr val="tx1"/>
            </a:solidFill>
          </a:ln>
        </c:spPr>
        <c:crossAx val="283942272"/>
        <c:crosses val="autoZero"/>
        <c:auto val="1"/>
        <c:lblAlgn val="ctr"/>
        <c:lblOffset val="100"/>
        <c:noMultiLvlLbl val="0"/>
      </c:catAx>
      <c:valAx>
        <c:axId val="283942272"/>
        <c:scaling>
          <c:orientation val="minMax"/>
          <c:max val="10000"/>
          <c:min val="0"/>
        </c:scaling>
        <c:delete val="1"/>
        <c:axPos val="l"/>
        <c:numFmt formatCode="General" sourceLinked="1"/>
        <c:majorTickMark val="out"/>
        <c:minorTickMark val="none"/>
        <c:tickLblPos val="none"/>
        <c:crossAx val="283940736"/>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EstructuraEconomica!$R$58:$R$60</c:f>
              <c:numCache>
                <c:formatCode>###0</c:formatCode>
                <c:ptCount val="3"/>
                <c:pt idx="0" formatCode="General">
                  <c:v>6745</c:v>
                </c:pt>
                <c:pt idx="1">
                  <c:v>6171</c:v>
                </c:pt>
                <c:pt idx="2">
                  <c:v>3116</c:v>
                </c:pt>
              </c:numCache>
            </c:numRef>
          </c:val>
        </c:ser>
        <c:ser>
          <c:idx val="1"/>
          <c:order val="1"/>
          <c:spPr>
            <a:solidFill>
              <a:srgbClr val="00B0F0"/>
            </a:solidFill>
          </c:spPr>
          <c:invertIfNegative val="0"/>
          <c:val>
            <c:numRef>
              <c:f>EstructuraEconomica!$T$58:$T$60</c:f>
              <c:numCache>
                <c:formatCode>General</c:formatCode>
                <c:ptCount val="3"/>
                <c:pt idx="2" formatCode="###0">
                  <c:v>3055</c:v>
                </c:pt>
              </c:numCache>
            </c:numRef>
          </c:val>
        </c:ser>
        <c:dLbls>
          <c:showLegendKey val="0"/>
          <c:showVal val="1"/>
          <c:showCatName val="0"/>
          <c:showSerName val="0"/>
          <c:showPercent val="0"/>
          <c:showBubbleSize val="0"/>
        </c:dLbls>
        <c:gapWidth val="30"/>
        <c:overlap val="100"/>
        <c:axId val="283973504"/>
        <c:axId val="283975040"/>
      </c:barChart>
      <c:catAx>
        <c:axId val="283973504"/>
        <c:scaling>
          <c:orientation val="minMax"/>
        </c:scaling>
        <c:delete val="0"/>
        <c:axPos val="b"/>
        <c:majorTickMark val="none"/>
        <c:minorTickMark val="none"/>
        <c:tickLblPos val="none"/>
        <c:spPr>
          <a:ln>
            <a:solidFill>
              <a:schemeClr val="tx1"/>
            </a:solidFill>
          </a:ln>
        </c:spPr>
        <c:crossAx val="283975040"/>
        <c:crosses val="autoZero"/>
        <c:auto val="1"/>
        <c:lblAlgn val="ctr"/>
        <c:lblOffset val="100"/>
        <c:noMultiLvlLbl val="0"/>
      </c:catAx>
      <c:valAx>
        <c:axId val="283975040"/>
        <c:scaling>
          <c:orientation val="minMax"/>
          <c:max val="10000"/>
        </c:scaling>
        <c:delete val="1"/>
        <c:axPos val="l"/>
        <c:numFmt formatCode="General" sourceLinked="1"/>
        <c:majorTickMark val="out"/>
        <c:minorTickMark val="none"/>
        <c:tickLblPos val="none"/>
        <c:crossAx val="283973504"/>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784017563842322"/>
          <c:y val="3.8244236399205218E-2"/>
          <c:w val="0.43190280460225555"/>
          <c:h val="0.84084069251206395"/>
        </c:manualLayout>
      </c:layout>
      <c:barChart>
        <c:barDir val="bar"/>
        <c:grouping val="clustered"/>
        <c:varyColors val="0"/>
        <c:ser>
          <c:idx val="0"/>
          <c:order val="0"/>
          <c:spPr>
            <a:gradFill>
              <a:gsLst>
                <a:gs pos="0">
                  <a:schemeClr val="bg1">
                    <a:lumMod val="65000"/>
                  </a:schemeClr>
                </a:gs>
                <a:gs pos="50000">
                  <a:schemeClr val="bg1">
                    <a:lumMod val="95000"/>
                  </a:schemeClr>
                </a:gs>
                <a:gs pos="100000">
                  <a:schemeClr val="bg1">
                    <a:lumMod val="65000"/>
                  </a:schemeClr>
                </a:gs>
              </a:gsLst>
              <a:lin ang="13200000" scaled="0"/>
            </a:gradFill>
            <a:ln>
              <a:solidFill>
                <a:schemeClr val="bg1">
                  <a:lumMod val="50000"/>
                </a:schemeClr>
              </a:solidFill>
            </a:ln>
          </c:spPr>
          <c:invertIfNegative val="0"/>
          <c:dLbls>
            <c:numFmt formatCode="#,##0.000" sourceLinked="0"/>
            <c:dLblPos val="outEnd"/>
            <c:showLegendKey val="0"/>
            <c:showVal val="1"/>
            <c:showCatName val="0"/>
            <c:showSerName val="0"/>
            <c:showPercent val="0"/>
            <c:showBubbleSize val="0"/>
            <c:showLeaderLines val="0"/>
          </c:dLbls>
          <c:cat>
            <c:strRef>
              <c:f>EstructuraEconomica!$H$146:$H$154</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Trabajador no remunerado</c:v>
                </c:pt>
                <c:pt idx="7">
                  <c:v>Empleado doméstico</c:v>
                </c:pt>
                <c:pt idx="8">
                  <c:v>Se ignora</c:v>
                </c:pt>
              </c:strCache>
            </c:strRef>
          </c:cat>
          <c:val>
            <c:numRef>
              <c:f>EstructuraEconomica!$I$146:$I$154</c:f>
              <c:numCache>
                <c:formatCode>#.##0000_);\(#.##0000\)</c:formatCode>
                <c:ptCount val="9"/>
                <c:pt idx="0">
                  <c:v>3.6042195741355774E-2</c:v>
                </c:pt>
                <c:pt idx="1">
                  <c:v>0.38005469818323923</c:v>
                </c:pt>
                <c:pt idx="2">
                  <c:v>0.14573158820082049</c:v>
                </c:pt>
                <c:pt idx="3">
                  <c:v>3.5163117796444619E-2</c:v>
                </c:pt>
                <c:pt idx="4">
                  <c:v>1.3576870482516136E-2</c:v>
                </c:pt>
                <c:pt idx="5">
                  <c:v>0.29996092986911566</c:v>
                </c:pt>
                <c:pt idx="6">
                  <c:v>2.0609494041805038E-2</c:v>
                </c:pt>
                <c:pt idx="7">
                  <c:v>4.5223676499316329E-2</c:v>
                </c:pt>
                <c:pt idx="8">
                  <c:v>2.3637429185387776E-2</c:v>
                </c:pt>
              </c:numCache>
            </c:numRef>
          </c:val>
        </c:ser>
        <c:dLbls>
          <c:showLegendKey val="0"/>
          <c:showVal val="1"/>
          <c:showCatName val="0"/>
          <c:showSerName val="0"/>
          <c:showPercent val="0"/>
          <c:showBubbleSize val="0"/>
        </c:dLbls>
        <c:gapWidth val="40"/>
        <c:axId val="283982080"/>
        <c:axId val="284009600"/>
      </c:barChart>
      <c:catAx>
        <c:axId val="283982080"/>
        <c:scaling>
          <c:orientation val="maxMin"/>
        </c:scaling>
        <c:delete val="0"/>
        <c:axPos val="l"/>
        <c:title>
          <c:tx>
            <c:rich>
              <a:bodyPr rot="-5400000" vert="horz"/>
              <a:lstStyle/>
              <a:p>
                <a:pPr>
                  <a:defRPr/>
                </a:pPr>
                <a:r>
                  <a:rPr lang="es-EC"/>
                  <a:t>En el lugar</a:t>
                </a:r>
                <a:r>
                  <a:rPr lang="es-EC" baseline="0"/>
                  <a:t> indicado trabaja como</a:t>
                </a:r>
                <a:endParaRPr lang="es-EC"/>
              </a:p>
            </c:rich>
          </c:tx>
          <c:overlay val="0"/>
        </c:title>
        <c:majorTickMark val="out"/>
        <c:minorTickMark val="none"/>
        <c:tickLblPos val="nextTo"/>
        <c:spPr>
          <a:ln>
            <a:solidFill>
              <a:schemeClr val="tx1"/>
            </a:solidFill>
          </a:ln>
        </c:spPr>
        <c:txPr>
          <a:bodyPr/>
          <a:lstStyle/>
          <a:p>
            <a:pPr>
              <a:defRPr sz="800"/>
            </a:pPr>
            <a:endParaRPr lang="es-EC"/>
          </a:p>
        </c:txPr>
        <c:crossAx val="284009600"/>
        <c:crosses val="autoZero"/>
        <c:auto val="1"/>
        <c:lblAlgn val="ctr"/>
        <c:lblOffset val="100"/>
        <c:noMultiLvlLbl val="0"/>
      </c:catAx>
      <c:valAx>
        <c:axId val="284009600"/>
        <c:scaling>
          <c:orientation val="minMax"/>
          <c:max val="1"/>
          <c:min val="0"/>
        </c:scaling>
        <c:delete val="0"/>
        <c:axPos val="t"/>
        <c:title>
          <c:tx>
            <c:rich>
              <a:bodyPr/>
              <a:lstStyle/>
              <a:p>
                <a:pPr>
                  <a:defRPr/>
                </a:pPr>
                <a:r>
                  <a:rPr lang="es-EC"/>
                  <a:t>Frecuencia</a:t>
                </a:r>
                <a:r>
                  <a:rPr lang="es-EC" baseline="0"/>
                  <a:t> Relativa</a:t>
                </a:r>
                <a:endParaRPr lang="es-EC"/>
              </a:p>
            </c:rich>
          </c:tx>
          <c:layout>
            <c:manualLayout>
              <c:xMode val="edge"/>
              <c:yMode val="edge"/>
              <c:x val="0.64144868683867451"/>
              <c:y val="0.94579601116739453"/>
            </c:manualLayout>
          </c:layout>
          <c:overlay val="0"/>
        </c:title>
        <c:numFmt formatCode="#,##0.00" sourceLinked="0"/>
        <c:majorTickMark val="in"/>
        <c:minorTickMark val="none"/>
        <c:tickLblPos val="high"/>
        <c:spPr>
          <a:ln>
            <a:solidFill>
              <a:schemeClr val="tx1"/>
            </a:solidFill>
          </a:ln>
        </c:spPr>
        <c:crossAx val="283982080"/>
        <c:crossesAt val="10"/>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78530067333589"/>
          <c:y val="6.885900563421854E-2"/>
          <c:w val="0.51294869959436884"/>
          <c:h val="0.8192216881980664"/>
        </c:manualLayout>
      </c:layout>
      <c:barChart>
        <c:barDir val="bar"/>
        <c:grouping val="stacked"/>
        <c:varyColors val="0"/>
        <c:ser>
          <c:idx val="0"/>
          <c:order val="0"/>
          <c:tx>
            <c:strRef>
              <c:f>EstructuraEconomica!$F$163</c:f>
              <c:strCache>
                <c:ptCount val="1"/>
                <c:pt idx="0">
                  <c:v>Hombre</c:v>
                </c:pt>
              </c:strCache>
            </c:strRef>
          </c:tx>
          <c:spPr>
            <a:solidFill>
              <a:srgbClr val="00B0F0"/>
            </a:solidFill>
          </c:spPr>
          <c:invertIfNegative val="0"/>
          <c:dLbls>
            <c:dLbl>
              <c:idx val="0"/>
              <c:layout>
                <c:manualLayout>
                  <c:x val="-4.1048937618939525E-2"/>
                  <c:y val="0"/>
                </c:manualLayout>
              </c:layout>
              <c:dLblPos val="ctr"/>
              <c:showLegendKey val="0"/>
              <c:showVal val="1"/>
              <c:showCatName val="0"/>
              <c:showSerName val="0"/>
              <c:showPercent val="0"/>
              <c:showBubbleSize val="0"/>
            </c:dLbl>
            <c:dLbl>
              <c:idx val="1"/>
              <c:layout>
                <c:manualLayout>
                  <c:x val="-8.0398065541142219E-2"/>
                  <c:y val="5.1973701307138633E-7"/>
                </c:manualLayout>
              </c:layout>
              <c:dLblPos val="ctr"/>
              <c:showLegendKey val="0"/>
              <c:showVal val="1"/>
              <c:showCatName val="0"/>
              <c:showSerName val="0"/>
              <c:showPercent val="0"/>
              <c:showBubbleSize val="0"/>
            </c:dLbl>
            <c:dLbl>
              <c:idx val="2"/>
              <c:layout>
                <c:manualLayout>
                  <c:x val="-5.2852628454702621E-2"/>
                  <c:y val="0"/>
                </c:manualLayout>
              </c:layout>
              <c:dLblPos val="ctr"/>
              <c:showLegendKey val="0"/>
              <c:showVal val="1"/>
              <c:showCatName val="0"/>
              <c:showSerName val="0"/>
              <c:showPercent val="0"/>
              <c:showBubbleSize val="0"/>
            </c:dLbl>
            <c:dLbl>
              <c:idx val="3"/>
              <c:layout>
                <c:manualLayout>
                  <c:x val="-3.9949950823774547E-2"/>
                  <c:y val="0"/>
                </c:manualLayout>
              </c:layout>
              <c:dLblPos val="ctr"/>
              <c:showLegendKey val="0"/>
              <c:showVal val="1"/>
              <c:showCatName val="0"/>
              <c:showSerName val="0"/>
              <c:showPercent val="0"/>
              <c:showBubbleSize val="0"/>
            </c:dLbl>
            <c:dLbl>
              <c:idx val="4"/>
              <c:layout>
                <c:manualLayout>
                  <c:x val="-3.91943246562029E-2"/>
                  <c:y val="0"/>
                </c:manualLayout>
              </c:layout>
              <c:dLblPos val="ctr"/>
              <c:showLegendKey val="0"/>
              <c:showVal val="1"/>
              <c:showCatName val="0"/>
              <c:showSerName val="0"/>
              <c:showPercent val="0"/>
              <c:showBubbleSize val="0"/>
            </c:dLbl>
            <c:dLbl>
              <c:idx val="5"/>
              <c:layout>
                <c:manualLayout>
                  <c:x val="-6.3942129185071375E-2"/>
                  <c:y val="0"/>
                </c:manualLayout>
              </c:layout>
              <c:dLblPos val="ctr"/>
              <c:showLegendKey val="0"/>
              <c:showVal val="1"/>
              <c:showCatName val="0"/>
              <c:showSerName val="0"/>
              <c:showPercent val="0"/>
              <c:showBubbleSize val="0"/>
            </c:dLbl>
            <c:dLbl>
              <c:idx val="6"/>
              <c:layout>
                <c:manualLayout>
                  <c:x val="-3.6704901909434276E-2"/>
                  <c:y val="0"/>
                </c:manualLayout>
              </c:layout>
              <c:dLblPos val="ctr"/>
              <c:showLegendKey val="0"/>
              <c:showVal val="1"/>
              <c:showCatName val="0"/>
              <c:showSerName val="0"/>
              <c:showPercent val="0"/>
              <c:showBubbleSize val="0"/>
            </c:dLbl>
            <c:dLbl>
              <c:idx val="8"/>
              <c:layout>
                <c:manualLayout>
                  <c:x val="-3.8389580459870454E-2"/>
                  <c:y val="0"/>
                </c:manualLayout>
              </c:layout>
              <c:dLblPos val="ctr"/>
              <c:showLegendKey val="0"/>
              <c:showVal val="1"/>
              <c:showCatName val="0"/>
              <c:showSerName val="0"/>
              <c:showPercent val="0"/>
              <c:showBubbleSize val="0"/>
            </c:dLbl>
            <c:numFmt formatCode="0.000;0.000" sourceLinked="0"/>
            <c:dLblPos val="inEnd"/>
            <c:showLegendKey val="0"/>
            <c:showVal val="1"/>
            <c:showCatName val="0"/>
            <c:showSerName val="0"/>
            <c:showPercent val="0"/>
            <c:showBubbleSize val="0"/>
            <c:showLeaderLines val="0"/>
          </c:dLbls>
          <c:cat>
            <c:strRef>
              <c:f>EstructuraEconomica!$H$146:$H$154</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Trabajador no remunerado</c:v>
                </c:pt>
                <c:pt idx="7">
                  <c:v>Empleado doméstico</c:v>
                </c:pt>
                <c:pt idx="8">
                  <c:v>Se ignora</c:v>
                </c:pt>
              </c:strCache>
            </c:strRef>
          </c:cat>
          <c:val>
            <c:numRef>
              <c:f>EstructuraEconomica!$F$164:$F$172</c:f>
              <c:numCache>
                <c:formatCode>0.00%</c:formatCode>
                <c:ptCount val="9"/>
                <c:pt idx="0">
                  <c:v>-3.3907649896623031E-2</c:v>
                </c:pt>
                <c:pt idx="1">
                  <c:v>-0.39048931771192291</c:v>
                </c:pt>
                <c:pt idx="2">
                  <c:v>-0.19048931771192293</c:v>
                </c:pt>
                <c:pt idx="3">
                  <c:v>-3.4872501722949686E-2</c:v>
                </c:pt>
                <c:pt idx="4">
                  <c:v>-1.3232253618194349E-2</c:v>
                </c:pt>
                <c:pt idx="5">
                  <c:v>-0.29345279117849782</c:v>
                </c:pt>
                <c:pt idx="6">
                  <c:v>-2.0537560303239145E-2</c:v>
                </c:pt>
                <c:pt idx="7">
                  <c:v>-4.4107512060647834E-3</c:v>
                </c:pt>
                <c:pt idx="8">
                  <c:v>-1.860785665058581E-2</c:v>
                </c:pt>
              </c:numCache>
            </c:numRef>
          </c:val>
        </c:ser>
        <c:ser>
          <c:idx val="1"/>
          <c:order val="1"/>
          <c:tx>
            <c:strRef>
              <c:f>EstructuraEconomica!$G$163</c:f>
              <c:strCache>
                <c:ptCount val="1"/>
                <c:pt idx="0">
                  <c:v>Mujer</c:v>
                </c:pt>
              </c:strCache>
            </c:strRef>
          </c:tx>
          <c:spPr>
            <a:solidFill>
              <a:srgbClr val="D735B4"/>
            </a:solidFill>
          </c:spPr>
          <c:invertIfNegative val="0"/>
          <c:dLbls>
            <c:dLbl>
              <c:idx val="0"/>
              <c:layout>
                <c:manualLayout>
                  <c:x val="3.7239613341015311E-2"/>
                  <c:y val="0"/>
                </c:manualLayout>
              </c:layout>
              <c:dLblPos val="ctr"/>
              <c:showLegendKey val="0"/>
              <c:showVal val="1"/>
              <c:showCatName val="0"/>
              <c:showSerName val="0"/>
              <c:showPercent val="0"/>
              <c:showBubbleSize val="0"/>
            </c:dLbl>
            <c:dLbl>
              <c:idx val="1"/>
              <c:layout>
                <c:manualLayout>
                  <c:x val="8.484173402936615E-2"/>
                  <c:y val="1.0394740261427725E-6"/>
                </c:manualLayout>
              </c:layout>
              <c:dLblPos val="ctr"/>
              <c:showLegendKey val="0"/>
              <c:showVal val="1"/>
              <c:showCatName val="0"/>
              <c:showSerName val="0"/>
              <c:showPercent val="0"/>
              <c:showBubbleSize val="0"/>
            </c:dLbl>
            <c:dLbl>
              <c:idx val="3"/>
              <c:layout>
                <c:manualLayout>
                  <c:x val="3.8627255850224945E-2"/>
                  <c:y val="0"/>
                </c:manualLayout>
              </c:layout>
              <c:dLblPos val="ctr"/>
              <c:showLegendKey val="0"/>
              <c:showVal val="1"/>
              <c:showCatName val="0"/>
              <c:showSerName val="0"/>
              <c:showPercent val="0"/>
              <c:showBubbleSize val="0"/>
            </c:dLbl>
            <c:dLbl>
              <c:idx val="4"/>
              <c:layout>
                <c:manualLayout>
                  <c:x val="3.4724118465236195E-2"/>
                  <c:y val="-3.0755437748499876E-3"/>
                </c:manualLayout>
              </c:layout>
              <c:dLblPos val="ctr"/>
              <c:showLegendKey val="0"/>
              <c:showVal val="1"/>
              <c:showCatName val="0"/>
              <c:showSerName val="0"/>
              <c:showPercent val="0"/>
              <c:showBubbleSize val="0"/>
            </c:dLbl>
            <c:dLbl>
              <c:idx val="5"/>
              <c:layout>
                <c:manualLayout>
                  <c:x val="6.3422041941727014E-2"/>
                  <c:y val="2.8298349492176786E-7"/>
                </c:manualLayout>
              </c:layout>
              <c:dLblPos val="ctr"/>
              <c:showLegendKey val="0"/>
              <c:showVal val="1"/>
              <c:showCatName val="0"/>
              <c:showSerName val="0"/>
              <c:showPercent val="0"/>
              <c:showBubbleSize val="0"/>
            </c:dLbl>
            <c:dLbl>
              <c:idx val="7"/>
              <c:layout>
                <c:manualLayout>
                  <c:x val="4.2769465346765137E-2"/>
                  <c:y val="0"/>
                </c:manualLayout>
              </c:layout>
              <c:dLblPos val="ctr"/>
              <c:showLegendKey val="0"/>
              <c:showVal val="1"/>
              <c:showCatName val="0"/>
              <c:showSerName val="0"/>
              <c:showPercent val="0"/>
              <c:showBubbleSize val="0"/>
            </c:dLbl>
            <c:dLbl>
              <c:idx val="8"/>
              <c:layout>
                <c:manualLayout>
                  <c:x val="3.4269252928749772E-2"/>
                  <c:y val="5.1973701307138633E-7"/>
                </c:manualLayout>
              </c:layout>
              <c:dLblPos val="ctr"/>
              <c:showLegendKey val="0"/>
              <c:showVal val="1"/>
              <c:showCatName val="0"/>
              <c:showSerName val="0"/>
              <c:showPercent val="0"/>
              <c:showBubbleSize val="0"/>
            </c:dLbl>
            <c:dLbl>
              <c:idx val="10"/>
              <c:layout>
                <c:manualLayout>
                  <c:x val="3.6013292130058022E-2"/>
                  <c:y val="0"/>
                </c:manualLayout>
              </c:layout>
              <c:dLblPos val="ctr"/>
              <c:showLegendKey val="0"/>
              <c:showVal val="1"/>
              <c:showCatName val="0"/>
              <c:showSerName val="0"/>
              <c:showPercent val="0"/>
              <c:showBubbleSize val="0"/>
            </c:dLbl>
            <c:numFmt formatCode="#,##0.000" sourceLinked="0"/>
            <c:dLblPos val="inBase"/>
            <c:showLegendKey val="0"/>
            <c:showVal val="1"/>
            <c:showCatName val="0"/>
            <c:showSerName val="0"/>
            <c:showPercent val="0"/>
            <c:showBubbleSize val="0"/>
            <c:showLeaderLines val="0"/>
          </c:dLbls>
          <c:cat>
            <c:strRef>
              <c:f>EstructuraEconomica!$H$146:$H$154</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Trabajador no remunerado</c:v>
                </c:pt>
                <c:pt idx="7">
                  <c:v>Empleado doméstico</c:v>
                </c:pt>
                <c:pt idx="8">
                  <c:v>Se ignora</c:v>
                </c:pt>
              </c:strCache>
            </c:strRef>
          </c:cat>
          <c:val>
            <c:numRef>
              <c:f>EstructuraEconomica!$G$164:$G$172</c:f>
              <c:numCache>
                <c:formatCode>0.00%</c:formatCode>
                <c:ptCount val="9"/>
                <c:pt idx="0">
                  <c:v>4.1233657391887363E-2</c:v>
                </c:pt>
                <c:pt idx="1">
                  <c:v>0.35467650016761665</c:v>
                </c:pt>
                <c:pt idx="2">
                  <c:v>3.6875628561850497E-2</c:v>
                </c:pt>
                <c:pt idx="3">
                  <c:v>3.5869929601072756E-2</c:v>
                </c:pt>
                <c:pt idx="4">
                  <c:v>1.441501843781428E-2</c:v>
                </c:pt>
                <c:pt idx="5">
                  <c:v>0.31578947368421073</c:v>
                </c:pt>
                <c:pt idx="6">
                  <c:v>2.0784445189406642E-2</c:v>
                </c:pt>
                <c:pt idx="7">
                  <c:v>0.14448541736506879</c:v>
                </c:pt>
                <c:pt idx="8">
                  <c:v>3.5869929601072756E-2</c:v>
                </c:pt>
              </c:numCache>
            </c:numRef>
          </c:val>
        </c:ser>
        <c:dLbls>
          <c:showLegendKey val="0"/>
          <c:showVal val="0"/>
          <c:showCatName val="0"/>
          <c:showSerName val="0"/>
          <c:showPercent val="0"/>
          <c:showBubbleSize val="0"/>
        </c:dLbls>
        <c:gapWidth val="40"/>
        <c:overlap val="100"/>
        <c:axId val="284039424"/>
        <c:axId val="284070272"/>
      </c:barChart>
      <c:catAx>
        <c:axId val="284039424"/>
        <c:scaling>
          <c:orientation val="maxMin"/>
        </c:scaling>
        <c:delete val="0"/>
        <c:axPos val="l"/>
        <c:title>
          <c:tx>
            <c:rich>
              <a:bodyPr rot="-5400000" vert="horz"/>
              <a:lstStyle/>
              <a:p>
                <a:pPr>
                  <a:defRPr/>
                </a:pPr>
                <a:r>
                  <a:rPr lang="es-EC"/>
                  <a:t>En el lugar indicado trabaja como</a:t>
                </a:r>
              </a:p>
            </c:rich>
          </c:tx>
          <c:overlay val="0"/>
        </c:title>
        <c:numFmt formatCode="General" sourceLinked="1"/>
        <c:majorTickMark val="out"/>
        <c:minorTickMark val="none"/>
        <c:tickLblPos val="nextTo"/>
        <c:spPr>
          <a:ln>
            <a:solidFill>
              <a:schemeClr val="tx1"/>
            </a:solidFill>
          </a:ln>
        </c:spPr>
        <c:txPr>
          <a:bodyPr/>
          <a:lstStyle/>
          <a:p>
            <a:pPr>
              <a:defRPr sz="650"/>
            </a:pPr>
            <a:endParaRPr lang="es-EC"/>
          </a:p>
        </c:txPr>
        <c:crossAx val="284070272"/>
        <c:crossesAt val="-1"/>
        <c:auto val="1"/>
        <c:lblAlgn val="ctr"/>
        <c:lblOffset val="100"/>
        <c:noMultiLvlLbl val="0"/>
      </c:catAx>
      <c:valAx>
        <c:axId val="284070272"/>
        <c:scaling>
          <c:orientation val="minMax"/>
          <c:max val="1"/>
          <c:min val="-1"/>
        </c:scaling>
        <c:delete val="0"/>
        <c:axPos val="t"/>
        <c:title>
          <c:tx>
            <c:rich>
              <a:bodyPr/>
              <a:lstStyle/>
              <a:p>
                <a:pPr>
                  <a:defRPr/>
                </a:pPr>
                <a:r>
                  <a:rPr lang="es-EC"/>
                  <a:t>Frecuencia Relativa</a:t>
                </a:r>
              </a:p>
            </c:rich>
          </c:tx>
          <c:layout>
            <c:manualLayout>
              <c:xMode val="edge"/>
              <c:yMode val="edge"/>
              <c:x val="0.61379060950714515"/>
              <c:y val="0.95709570957095713"/>
            </c:manualLayout>
          </c:layout>
          <c:overlay val="0"/>
        </c:title>
        <c:numFmt formatCode="0.00;0.00" sourceLinked="0"/>
        <c:majorTickMark val="in"/>
        <c:minorTickMark val="none"/>
        <c:tickLblPos val="high"/>
        <c:spPr>
          <a:ln>
            <a:solidFill>
              <a:schemeClr val="tx1"/>
            </a:solidFill>
          </a:ln>
        </c:spPr>
        <c:crossAx val="284039424"/>
        <c:crossesAt val="10"/>
        <c:crossBetween val="between"/>
        <c:majorUnit val="0.4"/>
      </c:valAx>
      <c:spPr>
        <a:noFill/>
        <a:ln>
          <a:solidFill>
            <a:schemeClr val="tx1"/>
          </a:solidFill>
        </a:ln>
      </c:spPr>
    </c:plotArea>
    <c:legend>
      <c:legendPos val="t"/>
      <c:layout>
        <c:manualLayout>
          <c:xMode val="edge"/>
          <c:yMode val="edge"/>
          <c:x val="0.4513073892370994"/>
          <c:y val="4.1300901743717708E-3"/>
          <c:w val="0.49547753315757942"/>
          <c:h val="4.8188607266301912E-2"/>
        </c:manualLayout>
      </c:layout>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8873658431765"/>
          <c:y val="4.9695764035141456E-2"/>
          <c:w val="0.86616405980926559"/>
          <c:h val="0.66335208098987652"/>
        </c:manualLayout>
      </c:layout>
      <c:lineChart>
        <c:grouping val="standard"/>
        <c:varyColors val="0"/>
        <c:ser>
          <c:idx val="0"/>
          <c:order val="0"/>
          <c:spPr>
            <a:ln w="19050">
              <a:solidFill>
                <a:srgbClr val="0070C0"/>
              </a:solidFill>
            </a:ln>
          </c:spPr>
          <c:marker>
            <c:symbol val="none"/>
          </c:marker>
          <c:cat>
            <c:strRef>
              <c:f>'Emigrantes de Manabi'!$G$364:$G$384</c:f>
              <c:strCache>
                <c:ptCount val="21"/>
                <c:pt idx="0">
                  <c:v>&lt; 5</c:v>
                </c:pt>
                <c:pt idx="1">
                  <c:v>  5 a 9 </c:v>
                </c:pt>
                <c:pt idx="2">
                  <c:v>  10 a 14 </c:v>
                </c:pt>
                <c:pt idx="3">
                  <c:v>  15 a 19 </c:v>
                </c:pt>
                <c:pt idx="4">
                  <c:v>  20 a 24 </c:v>
                </c:pt>
                <c:pt idx="5">
                  <c:v>  25 a 29 </c:v>
                </c:pt>
                <c:pt idx="6">
                  <c:v>  30 a 34 </c:v>
                </c:pt>
                <c:pt idx="7">
                  <c:v>  35 a 39 </c:v>
                </c:pt>
                <c:pt idx="8">
                  <c:v>  40 a 44 </c:v>
                </c:pt>
                <c:pt idx="9">
                  <c:v>  45 a 49 </c:v>
                </c:pt>
                <c:pt idx="10">
                  <c:v>  50 a 54 </c:v>
                </c:pt>
                <c:pt idx="11">
                  <c:v>  55 a 59 </c:v>
                </c:pt>
                <c:pt idx="12">
                  <c:v>  60 a 64 </c:v>
                </c:pt>
                <c:pt idx="13">
                  <c:v>  65 a 69 </c:v>
                </c:pt>
                <c:pt idx="14">
                  <c:v>  70 a 74 </c:v>
                </c:pt>
                <c:pt idx="15">
                  <c:v>  75 a 79 </c:v>
                </c:pt>
                <c:pt idx="16">
                  <c:v>  80 a 84 </c:v>
                </c:pt>
                <c:pt idx="17">
                  <c:v>  85 a 89 </c:v>
                </c:pt>
                <c:pt idx="18">
                  <c:v>  90 a 94 </c:v>
                </c:pt>
                <c:pt idx="19">
                  <c:v>  95 a 99 </c:v>
                </c:pt>
                <c:pt idx="20">
                  <c:v>&gt; 100</c:v>
                </c:pt>
              </c:strCache>
            </c:strRef>
          </c:cat>
          <c:val>
            <c:numRef>
              <c:f>'Emigrantes de Manabi'!$H$364:$H$384</c:f>
              <c:numCache>
                <c:formatCode>0.00</c:formatCode>
                <c:ptCount val="21"/>
                <c:pt idx="0">
                  <c:v>550.38899945721005</c:v>
                </c:pt>
                <c:pt idx="1">
                  <c:v>579.59090389669802</c:v>
                </c:pt>
                <c:pt idx="2">
                  <c:v>616.88845079678003</c:v>
                </c:pt>
                <c:pt idx="3">
                  <c:v>648.51711897400639</c:v>
                </c:pt>
                <c:pt idx="4">
                  <c:v>671.49041930570036</c:v>
                </c:pt>
                <c:pt idx="5">
                  <c:v>690.14223627024899</c:v>
                </c:pt>
                <c:pt idx="6">
                  <c:v>710.95110219258027</c:v>
                </c:pt>
                <c:pt idx="7">
                  <c:v>721.70834396529835</c:v>
                </c:pt>
                <c:pt idx="8">
                  <c:v>726.67552406259301</c:v>
                </c:pt>
                <c:pt idx="9">
                  <c:v>727.69367047833896</c:v>
                </c:pt>
                <c:pt idx="10">
                  <c:v>734.92397660818824</c:v>
                </c:pt>
                <c:pt idx="11">
                  <c:v>722.65826410770546</c:v>
                </c:pt>
                <c:pt idx="12">
                  <c:v>693.63256784968689</c:v>
                </c:pt>
                <c:pt idx="13">
                  <c:v>677.70814682184425</c:v>
                </c:pt>
                <c:pt idx="14">
                  <c:v>668.31246693704816</c:v>
                </c:pt>
                <c:pt idx="15">
                  <c:v>681.91521805428397</c:v>
                </c:pt>
                <c:pt idx="16">
                  <c:v>709.95893223819394</c:v>
                </c:pt>
                <c:pt idx="17">
                  <c:v>754.87179487179492</c:v>
                </c:pt>
                <c:pt idx="18">
                  <c:v>792.39766081871255</c:v>
                </c:pt>
                <c:pt idx="19">
                  <c:v>779.81651376146749</c:v>
                </c:pt>
                <c:pt idx="20">
                  <c:v>680</c:v>
                </c:pt>
              </c:numCache>
            </c:numRef>
          </c:val>
          <c:smooth val="1"/>
        </c:ser>
        <c:ser>
          <c:idx val="1"/>
          <c:order val="1"/>
          <c:spPr>
            <a:ln w="19050">
              <a:solidFill>
                <a:schemeClr val="accent6">
                  <a:lumMod val="75000"/>
                </a:schemeClr>
              </a:solidFill>
            </a:ln>
          </c:spPr>
          <c:marker>
            <c:symbol val="none"/>
          </c:marker>
          <c:cat>
            <c:strRef>
              <c:f>'Emigrantes de Manabi'!$G$364:$G$384</c:f>
              <c:strCache>
                <c:ptCount val="21"/>
                <c:pt idx="0">
                  <c:v>&lt; 5</c:v>
                </c:pt>
                <c:pt idx="1">
                  <c:v>  5 a 9 </c:v>
                </c:pt>
                <c:pt idx="2">
                  <c:v>  10 a 14 </c:v>
                </c:pt>
                <c:pt idx="3">
                  <c:v>  15 a 19 </c:v>
                </c:pt>
                <c:pt idx="4">
                  <c:v>  20 a 24 </c:v>
                </c:pt>
                <c:pt idx="5">
                  <c:v>  25 a 29 </c:v>
                </c:pt>
                <c:pt idx="6">
                  <c:v>  30 a 34 </c:v>
                </c:pt>
                <c:pt idx="7">
                  <c:v>  35 a 39 </c:v>
                </c:pt>
                <c:pt idx="8">
                  <c:v>  40 a 44 </c:v>
                </c:pt>
                <c:pt idx="9">
                  <c:v>  45 a 49 </c:v>
                </c:pt>
                <c:pt idx="10">
                  <c:v>  50 a 54 </c:v>
                </c:pt>
                <c:pt idx="11">
                  <c:v>  55 a 59 </c:v>
                </c:pt>
                <c:pt idx="12">
                  <c:v>  60 a 64 </c:v>
                </c:pt>
                <c:pt idx="13">
                  <c:v>  65 a 69 </c:v>
                </c:pt>
                <c:pt idx="14">
                  <c:v>  70 a 74 </c:v>
                </c:pt>
                <c:pt idx="15">
                  <c:v>  75 a 79 </c:v>
                </c:pt>
                <c:pt idx="16">
                  <c:v>  80 a 84 </c:v>
                </c:pt>
                <c:pt idx="17">
                  <c:v>  85 a 89 </c:v>
                </c:pt>
                <c:pt idx="18">
                  <c:v>  90 a 94 </c:v>
                </c:pt>
                <c:pt idx="19">
                  <c:v>  95 a 99 </c:v>
                </c:pt>
                <c:pt idx="20">
                  <c:v>&gt; 100</c:v>
                </c:pt>
              </c:strCache>
            </c:strRef>
          </c:cat>
          <c:val>
            <c:numRef>
              <c:f>'Emigrantes de Manabi'!$I$364:$I$384</c:f>
              <c:numCache>
                <c:formatCode>0.00</c:formatCode>
                <c:ptCount val="21"/>
                <c:pt idx="0">
                  <c:v>449.61100054278955</c:v>
                </c:pt>
                <c:pt idx="1">
                  <c:v>420.40909610330272</c:v>
                </c:pt>
                <c:pt idx="2">
                  <c:v>383.11154920321962</c:v>
                </c:pt>
                <c:pt idx="3">
                  <c:v>351.48288102599332</c:v>
                </c:pt>
                <c:pt idx="4">
                  <c:v>328.5095806942997</c:v>
                </c:pt>
                <c:pt idx="5">
                  <c:v>309.85776372975192</c:v>
                </c:pt>
                <c:pt idx="6">
                  <c:v>289.04889780741877</c:v>
                </c:pt>
                <c:pt idx="7">
                  <c:v>278.29165603470273</c:v>
                </c:pt>
                <c:pt idx="8">
                  <c:v>273.32447593740773</c:v>
                </c:pt>
                <c:pt idx="9">
                  <c:v>272.30632952166195</c:v>
                </c:pt>
                <c:pt idx="10">
                  <c:v>265.07602339181284</c:v>
                </c:pt>
                <c:pt idx="11">
                  <c:v>277.34173589229397</c:v>
                </c:pt>
                <c:pt idx="12">
                  <c:v>306.3674321503135</c:v>
                </c:pt>
                <c:pt idx="13">
                  <c:v>322.29185317815569</c:v>
                </c:pt>
                <c:pt idx="14">
                  <c:v>331.68753306295184</c:v>
                </c:pt>
                <c:pt idx="15">
                  <c:v>318.08478194571518</c:v>
                </c:pt>
                <c:pt idx="16">
                  <c:v>290.04106776180697</c:v>
                </c:pt>
                <c:pt idx="17">
                  <c:v>245.12820512820514</c:v>
                </c:pt>
                <c:pt idx="18">
                  <c:v>207.60233918128671</c:v>
                </c:pt>
                <c:pt idx="19">
                  <c:v>220.18348623853211</c:v>
                </c:pt>
                <c:pt idx="20">
                  <c:v>320</c:v>
                </c:pt>
              </c:numCache>
            </c:numRef>
          </c:val>
          <c:smooth val="1"/>
        </c:ser>
        <c:dLbls>
          <c:showLegendKey val="0"/>
          <c:showVal val="0"/>
          <c:showCatName val="0"/>
          <c:showSerName val="0"/>
          <c:showPercent val="0"/>
          <c:showBubbleSize val="0"/>
        </c:dLbls>
        <c:marker val="1"/>
        <c:smooth val="0"/>
        <c:axId val="249221504"/>
        <c:axId val="249224192"/>
      </c:lineChart>
      <c:catAx>
        <c:axId val="249221504"/>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49224192"/>
        <c:crosses val="autoZero"/>
        <c:auto val="1"/>
        <c:lblAlgn val="r"/>
        <c:lblOffset val="100"/>
        <c:noMultiLvlLbl val="0"/>
      </c:catAx>
      <c:valAx>
        <c:axId val="249224192"/>
        <c:scaling>
          <c:orientation val="minMax"/>
          <c:max val="1000"/>
          <c:min val="0"/>
        </c:scaling>
        <c:delete val="0"/>
        <c:axPos val="l"/>
        <c:title>
          <c:tx>
            <c:rich>
              <a:bodyPr rot="-5400000" vert="horz"/>
              <a:lstStyle/>
              <a:p>
                <a:pPr>
                  <a:defRPr sz="600"/>
                </a:pPr>
                <a:r>
                  <a:rPr lang="es-EC" sz="600"/>
                  <a:t>Tasa por cada 100 Emigrantes</a:t>
                </a:r>
              </a:p>
            </c:rich>
          </c:tx>
          <c:layout>
            <c:manualLayout>
              <c:xMode val="edge"/>
              <c:yMode val="edge"/>
              <c:x val="1.0650704860987405E-2"/>
              <c:y val="3.4505637395184453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49221504"/>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6951006124234"/>
          <c:y val="2.9901457894059801E-2"/>
          <c:w val="0.49485433070866192"/>
          <c:h val="0.8832776075404366"/>
        </c:manualLayout>
      </c:layout>
      <c:barChart>
        <c:barDir val="bar"/>
        <c:grouping val="stacked"/>
        <c:varyColors val="0"/>
        <c:ser>
          <c:idx val="0"/>
          <c:order val="0"/>
          <c:tx>
            <c:strRef>
              <c:f>EstructuraEconomica!$N$178</c:f>
              <c:strCache>
                <c:ptCount val="1"/>
                <c:pt idx="0">
                  <c:v>Empleado u obrero del Estado, Gobierno, Municipio, Consejo Provincial, Juntas Parroquiales</c:v>
                </c:pt>
              </c:strCache>
            </c:strRef>
          </c:tx>
          <c:spPr>
            <a:solidFill>
              <a:srgbClr val="0070C0"/>
            </a:solidFill>
          </c:spPr>
          <c:invertIfNegative val="0"/>
          <c:cat>
            <c:strRef>
              <c:f>EstructuraEconomica!$M$179:$M$195</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EstructuraEconomica!$N$179:$N$195</c:f>
              <c:numCache>
                <c:formatCode>0,000</c:formatCode>
                <c:ptCount val="17"/>
                <c:pt idx="0">
                  <c:v>0</c:v>
                </c:pt>
                <c:pt idx="1">
                  <c:v>0</c:v>
                </c:pt>
                <c:pt idx="2">
                  <c:v>1.8867924528301886E-2</c:v>
                </c:pt>
                <c:pt idx="3">
                  <c:v>3.6158861885002974E-2</c:v>
                </c:pt>
                <c:pt idx="4">
                  <c:v>4.16452442159383E-2</c:v>
                </c:pt>
                <c:pt idx="5">
                  <c:v>3.6160420775805391E-2</c:v>
                </c:pt>
                <c:pt idx="6">
                  <c:v>3.3562166285278409E-2</c:v>
                </c:pt>
                <c:pt idx="7">
                  <c:v>4.2467138523761404E-2</c:v>
                </c:pt>
                <c:pt idx="8">
                  <c:v>4.0277777777777767E-2</c:v>
                </c:pt>
                <c:pt idx="9">
                  <c:v>2.6022304832713779E-2</c:v>
                </c:pt>
                <c:pt idx="10">
                  <c:v>3.71352785145889E-2</c:v>
                </c:pt>
                <c:pt idx="11">
                  <c:v>4.5454545454545463E-2</c:v>
                </c:pt>
                <c:pt idx="12">
                  <c:v>5.8823529411764705E-2</c:v>
                </c:pt>
                <c:pt idx="13">
                  <c:v>0</c:v>
                </c:pt>
                <c:pt idx="14">
                  <c:v>0</c:v>
                </c:pt>
                <c:pt idx="15">
                  <c:v>0</c:v>
                </c:pt>
                <c:pt idx="16">
                  <c:v>0</c:v>
                </c:pt>
              </c:numCache>
            </c:numRef>
          </c:val>
        </c:ser>
        <c:ser>
          <c:idx val="1"/>
          <c:order val="1"/>
          <c:tx>
            <c:strRef>
              <c:f>EstructuraEconomica!$O$178</c:f>
              <c:strCache>
                <c:ptCount val="1"/>
                <c:pt idx="0">
                  <c:v>Empleado u obrero privado</c:v>
                </c:pt>
              </c:strCache>
            </c:strRef>
          </c:tx>
          <c:spPr>
            <a:solidFill>
              <a:srgbClr val="D735B4"/>
            </a:solidFill>
          </c:spPr>
          <c:invertIfNegative val="0"/>
          <c:dLbls>
            <c:dLbl>
              <c:idx val="0"/>
              <c:delete val="1"/>
            </c:dLbl>
            <c:dLbl>
              <c:idx val="15"/>
              <c:delete val="1"/>
            </c:dLbl>
            <c:dLbl>
              <c:idx val="16"/>
              <c:delete val="1"/>
            </c:dLbl>
            <c:dLbl>
              <c:idx val="17"/>
              <c:delete val="1"/>
            </c:dLbl>
            <c:dLbl>
              <c:idx val="18"/>
              <c:delete val="1"/>
            </c:dLbl>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EstructuraEconomica!$M$179:$M$195</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EstructuraEconomica!$O$179:$O$195</c:f>
              <c:numCache>
                <c:formatCode>0,000</c:formatCode>
                <c:ptCount val="17"/>
                <c:pt idx="0">
                  <c:v>0</c:v>
                </c:pt>
                <c:pt idx="1">
                  <c:v>0.25</c:v>
                </c:pt>
                <c:pt idx="2">
                  <c:v>0.40203193033381712</c:v>
                </c:pt>
                <c:pt idx="3">
                  <c:v>0.42205097806757602</c:v>
                </c:pt>
                <c:pt idx="4">
                  <c:v>0.39434447300771286</c:v>
                </c:pt>
                <c:pt idx="5">
                  <c:v>0.38658777120315657</c:v>
                </c:pt>
                <c:pt idx="6">
                  <c:v>0.40961098398169393</c:v>
                </c:pt>
                <c:pt idx="7">
                  <c:v>0.32457027300303393</c:v>
                </c:pt>
                <c:pt idx="8">
                  <c:v>0.31527777777777838</c:v>
                </c:pt>
                <c:pt idx="9">
                  <c:v>0.36245353159851301</c:v>
                </c:pt>
                <c:pt idx="10">
                  <c:v>0.33156498673740142</c:v>
                </c:pt>
                <c:pt idx="11">
                  <c:v>0.35000000000000031</c:v>
                </c:pt>
                <c:pt idx="12">
                  <c:v>0.24509803921568626</c:v>
                </c:pt>
                <c:pt idx="13">
                  <c:v>0.34</c:v>
                </c:pt>
                <c:pt idx="14">
                  <c:v>0.36842105263157893</c:v>
                </c:pt>
                <c:pt idx="15">
                  <c:v>0</c:v>
                </c:pt>
                <c:pt idx="16">
                  <c:v>0.66666666666666663</c:v>
                </c:pt>
              </c:numCache>
            </c:numRef>
          </c:val>
        </c:ser>
        <c:ser>
          <c:idx val="2"/>
          <c:order val="2"/>
          <c:tx>
            <c:strRef>
              <c:f>EstructuraEconomica!$P$178</c:f>
              <c:strCache>
                <c:ptCount val="1"/>
                <c:pt idx="0">
                  <c:v>Jornalero o peón</c:v>
                </c:pt>
              </c:strCache>
            </c:strRef>
          </c:tx>
          <c:spPr>
            <a:solidFill>
              <a:srgbClr val="00B0F0"/>
            </a:solidFill>
          </c:spPr>
          <c:invertIfNegative val="0"/>
          <c:cat>
            <c:strRef>
              <c:f>EstructuraEconomica!$M$179:$M$195</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EstructuraEconomica!$P$179:$P$195</c:f>
              <c:numCache>
                <c:formatCode>0,000</c:formatCode>
                <c:ptCount val="17"/>
                <c:pt idx="0">
                  <c:v>0</c:v>
                </c:pt>
                <c:pt idx="1">
                  <c:v>0.14285714285714307</c:v>
                </c:pt>
                <c:pt idx="2">
                  <c:v>0.21770682148040657</c:v>
                </c:pt>
                <c:pt idx="3">
                  <c:v>0.1819798458802612</c:v>
                </c:pt>
                <c:pt idx="4">
                  <c:v>0.19742930591259641</c:v>
                </c:pt>
                <c:pt idx="5">
                  <c:v>0.14858645627876396</c:v>
                </c:pt>
                <c:pt idx="6">
                  <c:v>0.10983981693363846</c:v>
                </c:pt>
                <c:pt idx="7">
                  <c:v>0.11526794742163816</c:v>
                </c:pt>
                <c:pt idx="8">
                  <c:v>9.4444444444444525E-2</c:v>
                </c:pt>
                <c:pt idx="9">
                  <c:v>8.7360594795539037E-2</c:v>
                </c:pt>
                <c:pt idx="10">
                  <c:v>6.1007957559681768E-2</c:v>
                </c:pt>
                <c:pt idx="11">
                  <c:v>0.05</c:v>
                </c:pt>
                <c:pt idx="12">
                  <c:v>5.8823529411764705E-2</c:v>
                </c:pt>
                <c:pt idx="13">
                  <c:v>4.0000000000000022E-2</c:v>
                </c:pt>
                <c:pt idx="14">
                  <c:v>0.10526315789473686</c:v>
                </c:pt>
                <c:pt idx="15">
                  <c:v>0</c:v>
                </c:pt>
                <c:pt idx="16">
                  <c:v>0</c:v>
                </c:pt>
              </c:numCache>
            </c:numRef>
          </c:val>
        </c:ser>
        <c:ser>
          <c:idx val="3"/>
          <c:order val="3"/>
          <c:tx>
            <c:strRef>
              <c:f>EstructuraEconomica!$Q$178</c:f>
              <c:strCache>
                <c:ptCount val="1"/>
                <c:pt idx="0">
                  <c:v>Patrón</c:v>
                </c:pt>
              </c:strCache>
            </c:strRef>
          </c:tx>
          <c:spPr>
            <a:solidFill>
              <a:srgbClr val="7030A0"/>
            </a:solidFill>
          </c:spPr>
          <c:invertIfNegative val="0"/>
          <c:cat>
            <c:strRef>
              <c:f>EstructuraEconomica!$M$179:$M$195</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EstructuraEconomica!$Q$179:$Q$195</c:f>
              <c:numCache>
                <c:formatCode>0,000</c:formatCode>
                <c:ptCount val="17"/>
                <c:pt idx="0">
                  <c:v>0</c:v>
                </c:pt>
                <c:pt idx="1">
                  <c:v>0</c:v>
                </c:pt>
                <c:pt idx="2">
                  <c:v>4.3541364296081284E-3</c:v>
                </c:pt>
                <c:pt idx="3">
                  <c:v>1.6597510373443983E-2</c:v>
                </c:pt>
                <c:pt idx="4">
                  <c:v>2.5706940874036001E-2</c:v>
                </c:pt>
                <c:pt idx="5">
                  <c:v>2.5641025641025685E-2</c:v>
                </c:pt>
                <c:pt idx="6">
                  <c:v>3.8138825324180017E-2</c:v>
                </c:pt>
                <c:pt idx="7">
                  <c:v>5.0556117290192097E-2</c:v>
                </c:pt>
                <c:pt idx="8">
                  <c:v>7.5000000000000011E-2</c:v>
                </c:pt>
                <c:pt idx="9">
                  <c:v>6.5055762081784388E-2</c:v>
                </c:pt>
                <c:pt idx="10">
                  <c:v>5.0397877984084904E-2</c:v>
                </c:pt>
                <c:pt idx="11">
                  <c:v>7.7272727272727312E-2</c:v>
                </c:pt>
                <c:pt idx="12">
                  <c:v>8.8235294117647176E-2</c:v>
                </c:pt>
                <c:pt idx="13">
                  <c:v>8.0000000000000043E-2</c:v>
                </c:pt>
                <c:pt idx="14">
                  <c:v>5.2631578947368432E-2</c:v>
                </c:pt>
                <c:pt idx="15">
                  <c:v>0.2</c:v>
                </c:pt>
                <c:pt idx="16">
                  <c:v>0</c:v>
                </c:pt>
              </c:numCache>
            </c:numRef>
          </c:val>
        </c:ser>
        <c:ser>
          <c:idx val="4"/>
          <c:order val="4"/>
          <c:tx>
            <c:strRef>
              <c:f>EstructuraEconomica!$R$178</c:f>
              <c:strCache>
                <c:ptCount val="1"/>
                <c:pt idx="0">
                  <c:v>Socio</c:v>
                </c:pt>
              </c:strCache>
            </c:strRef>
          </c:tx>
          <c:spPr>
            <a:solidFill>
              <a:srgbClr val="00B050"/>
            </a:solidFill>
          </c:spPr>
          <c:invertIfNegative val="0"/>
          <c:cat>
            <c:strRef>
              <c:f>EstructuraEconomica!$M$179:$M$195</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EstructuraEconomica!$R$179:$R$195</c:f>
              <c:numCache>
                <c:formatCode>0,000</c:formatCode>
                <c:ptCount val="17"/>
                <c:pt idx="0">
                  <c:v>0</c:v>
                </c:pt>
                <c:pt idx="1">
                  <c:v>0</c:v>
                </c:pt>
                <c:pt idx="2">
                  <c:v>4.3541364296081284E-3</c:v>
                </c:pt>
                <c:pt idx="3">
                  <c:v>1.0077059869590991E-2</c:v>
                </c:pt>
                <c:pt idx="4">
                  <c:v>1.0282776349614416E-2</c:v>
                </c:pt>
                <c:pt idx="5">
                  <c:v>1.5121630506245891E-2</c:v>
                </c:pt>
                <c:pt idx="6">
                  <c:v>1.1441647597254004E-2</c:v>
                </c:pt>
                <c:pt idx="7">
                  <c:v>2.2244691607684552E-2</c:v>
                </c:pt>
                <c:pt idx="8">
                  <c:v>1.6666666666666687E-2</c:v>
                </c:pt>
                <c:pt idx="9">
                  <c:v>1.4869888475836441E-2</c:v>
                </c:pt>
                <c:pt idx="10">
                  <c:v>1.8567639257294429E-2</c:v>
                </c:pt>
                <c:pt idx="11">
                  <c:v>4.0909090909090923E-2</c:v>
                </c:pt>
                <c:pt idx="12">
                  <c:v>9.8039215686274508E-3</c:v>
                </c:pt>
                <c:pt idx="13">
                  <c:v>2.0000000000000011E-2</c:v>
                </c:pt>
                <c:pt idx="14">
                  <c:v>5.2631578947368432E-2</c:v>
                </c:pt>
                <c:pt idx="15">
                  <c:v>0</c:v>
                </c:pt>
                <c:pt idx="16">
                  <c:v>0</c:v>
                </c:pt>
              </c:numCache>
            </c:numRef>
          </c:val>
        </c:ser>
        <c:ser>
          <c:idx val="5"/>
          <c:order val="5"/>
          <c:tx>
            <c:strRef>
              <c:f>EstructuraEconomica!$S$178</c:f>
              <c:strCache>
                <c:ptCount val="1"/>
                <c:pt idx="0">
                  <c:v>Cuenta propia</c:v>
                </c:pt>
              </c:strCache>
            </c:strRef>
          </c:tx>
          <c:spPr>
            <a:solidFill>
              <a:schemeClr val="accent6">
                <a:lumMod val="75000"/>
              </a:schemeClr>
            </a:solidFill>
          </c:spPr>
          <c:invertIfNegative val="0"/>
          <c:dLbls>
            <c:dLbl>
              <c:idx val="19"/>
              <c:delete val="1"/>
            </c:dLbl>
            <c:numFmt formatCode="#,##0.000" sourceLinked="0"/>
            <c:txPr>
              <a:bodyPr/>
              <a:lstStyle/>
              <a:p>
                <a:pPr>
                  <a:defRPr sz="700"/>
                </a:pPr>
                <a:endParaRPr lang="es-EC"/>
              </a:p>
            </c:txPr>
            <c:dLblPos val="ctr"/>
            <c:showLegendKey val="0"/>
            <c:showVal val="1"/>
            <c:showCatName val="0"/>
            <c:showSerName val="0"/>
            <c:showPercent val="0"/>
            <c:showBubbleSize val="0"/>
            <c:showLeaderLines val="0"/>
          </c:dLbls>
          <c:cat>
            <c:strRef>
              <c:f>EstructuraEconomica!$M$179:$M$195</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EstructuraEconomica!$S$179:$S$195</c:f>
              <c:numCache>
                <c:formatCode>0,000</c:formatCode>
                <c:ptCount val="17"/>
                <c:pt idx="0">
                  <c:v>0.33333333333333331</c:v>
                </c:pt>
                <c:pt idx="1">
                  <c:v>0.32142857142857217</c:v>
                </c:pt>
                <c:pt idx="2">
                  <c:v>0.23802612481857766</c:v>
                </c:pt>
                <c:pt idx="3">
                  <c:v>0.22110254890337858</c:v>
                </c:pt>
                <c:pt idx="4">
                  <c:v>0.26478149100257081</c:v>
                </c:pt>
                <c:pt idx="5">
                  <c:v>0.29848783694937592</c:v>
                </c:pt>
                <c:pt idx="6">
                  <c:v>0.32951945080091538</c:v>
                </c:pt>
                <c:pt idx="7">
                  <c:v>0.33771486349848406</c:v>
                </c:pt>
                <c:pt idx="8">
                  <c:v>0.37500000000000033</c:v>
                </c:pt>
                <c:pt idx="9">
                  <c:v>0.34200743494423791</c:v>
                </c:pt>
                <c:pt idx="10">
                  <c:v>0.42970822281167131</c:v>
                </c:pt>
                <c:pt idx="11">
                  <c:v>0.38636363636363674</c:v>
                </c:pt>
                <c:pt idx="12">
                  <c:v>0.44117647058823528</c:v>
                </c:pt>
                <c:pt idx="13">
                  <c:v>0.44</c:v>
                </c:pt>
                <c:pt idx="14">
                  <c:v>0.36842105263157893</c:v>
                </c:pt>
                <c:pt idx="15">
                  <c:v>0.60000000000000064</c:v>
                </c:pt>
                <c:pt idx="16">
                  <c:v>0.33333333333333331</c:v>
                </c:pt>
              </c:numCache>
            </c:numRef>
          </c:val>
        </c:ser>
        <c:ser>
          <c:idx val="6"/>
          <c:order val="6"/>
          <c:tx>
            <c:strRef>
              <c:f>EstructuraEconomica!$T$178</c:f>
              <c:strCache>
                <c:ptCount val="1"/>
                <c:pt idx="0">
                  <c:v>Trabajador no remunerado</c:v>
                </c:pt>
              </c:strCache>
            </c:strRef>
          </c:tx>
          <c:spPr>
            <a:solidFill>
              <a:srgbClr val="FFFF00"/>
            </a:solidFill>
          </c:spPr>
          <c:invertIfNegative val="0"/>
          <c:cat>
            <c:strRef>
              <c:f>EstructuraEconomica!$M$179:$M$195</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EstructuraEconomica!$T$179:$T$195</c:f>
              <c:numCache>
                <c:formatCode>0,000</c:formatCode>
                <c:ptCount val="17"/>
                <c:pt idx="0">
                  <c:v>0</c:v>
                </c:pt>
                <c:pt idx="1">
                  <c:v>8.9285714285714135E-2</c:v>
                </c:pt>
                <c:pt idx="2">
                  <c:v>2.4673439767779432E-2</c:v>
                </c:pt>
                <c:pt idx="3">
                  <c:v>2.8452874925903992E-2</c:v>
                </c:pt>
                <c:pt idx="4">
                  <c:v>1.3367609254498721E-2</c:v>
                </c:pt>
                <c:pt idx="5">
                  <c:v>1.8408941485864562E-2</c:v>
                </c:pt>
                <c:pt idx="6">
                  <c:v>1.6018306636155607E-2</c:v>
                </c:pt>
                <c:pt idx="7">
                  <c:v>2.1233569261880688E-2</c:v>
                </c:pt>
                <c:pt idx="8">
                  <c:v>1.5277777777777781E-2</c:v>
                </c:pt>
                <c:pt idx="9">
                  <c:v>3.5315985130111541E-2</c:v>
                </c:pt>
                <c:pt idx="10">
                  <c:v>1.5915119363395243E-2</c:v>
                </c:pt>
                <c:pt idx="11">
                  <c:v>9.0909090909091078E-3</c:v>
                </c:pt>
                <c:pt idx="12">
                  <c:v>3.9215686274509803E-2</c:v>
                </c:pt>
                <c:pt idx="13">
                  <c:v>2.0000000000000011E-2</c:v>
                </c:pt>
                <c:pt idx="14">
                  <c:v>5.2631578947368432E-2</c:v>
                </c:pt>
                <c:pt idx="15">
                  <c:v>0.2</c:v>
                </c:pt>
                <c:pt idx="16">
                  <c:v>0</c:v>
                </c:pt>
              </c:numCache>
            </c:numRef>
          </c:val>
        </c:ser>
        <c:ser>
          <c:idx val="7"/>
          <c:order val="7"/>
          <c:tx>
            <c:strRef>
              <c:f>EstructuraEconomica!$U$178</c:f>
              <c:strCache>
                <c:ptCount val="1"/>
                <c:pt idx="0">
                  <c:v>Empleado doméstico</c:v>
                </c:pt>
              </c:strCache>
            </c:strRef>
          </c:tx>
          <c:spPr>
            <a:solidFill>
              <a:srgbClr val="FF0000"/>
            </a:solidFill>
          </c:spPr>
          <c:invertIfNegative val="0"/>
          <c:cat>
            <c:strRef>
              <c:f>EstructuraEconomica!$M$179:$M$195</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EstructuraEconomica!$U$179:$U$195</c:f>
              <c:numCache>
                <c:formatCode>0,000</c:formatCode>
                <c:ptCount val="17"/>
                <c:pt idx="0">
                  <c:v>0</c:v>
                </c:pt>
                <c:pt idx="1">
                  <c:v>7.1428571428571425E-2</c:v>
                </c:pt>
                <c:pt idx="2">
                  <c:v>5.5152394775036376E-2</c:v>
                </c:pt>
                <c:pt idx="3">
                  <c:v>6.1055127445168916E-2</c:v>
                </c:pt>
                <c:pt idx="4">
                  <c:v>3.5475578406169744E-2</c:v>
                </c:pt>
                <c:pt idx="5">
                  <c:v>4.2735042735042736E-2</c:v>
                </c:pt>
                <c:pt idx="6">
                  <c:v>2.9748283752860413E-2</c:v>
                </c:pt>
                <c:pt idx="7">
                  <c:v>6.167846309403438E-2</c:v>
                </c:pt>
                <c:pt idx="8">
                  <c:v>5.1388888888888887E-2</c:v>
                </c:pt>
                <c:pt idx="9">
                  <c:v>4.6468401486988893E-2</c:v>
                </c:pt>
                <c:pt idx="10">
                  <c:v>2.9177718832891251E-2</c:v>
                </c:pt>
                <c:pt idx="11">
                  <c:v>2.7272727272727313E-2</c:v>
                </c:pt>
                <c:pt idx="12">
                  <c:v>3.9215686274509803E-2</c:v>
                </c:pt>
                <c:pt idx="13">
                  <c:v>2.0000000000000011E-2</c:v>
                </c:pt>
                <c:pt idx="14">
                  <c:v>0</c:v>
                </c:pt>
                <c:pt idx="15">
                  <c:v>0</c:v>
                </c:pt>
                <c:pt idx="16">
                  <c:v>0</c:v>
                </c:pt>
              </c:numCache>
            </c:numRef>
          </c:val>
        </c:ser>
        <c:ser>
          <c:idx val="8"/>
          <c:order val="8"/>
          <c:tx>
            <c:strRef>
              <c:f>EstructuraEconomica!$V$178</c:f>
              <c:strCache>
                <c:ptCount val="1"/>
                <c:pt idx="0">
                  <c:v>Se ignora</c:v>
                </c:pt>
              </c:strCache>
            </c:strRef>
          </c:tx>
          <c:spPr>
            <a:solidFill>
              <a:schemeClr val="bg1">
                <a:lumMod val="65000"/>
              </a:schemeClr>
            </a:solidFill>
          </c:spPr>
          <c:invertIfNegative val="0"/>
          <c:cat>
            <c:strRef>
              <c:f>EstructuraEconomica!$M$179:$M$195</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EstructuraEconomica!$V$179:$V$195</c:f>
              <c:numCache>
                <c:formatCode>0,000</c:formatCode>
                <c:ptCount val="17"/>
                <c:pt idx="0">
                  <c:v>0.66666666666666663</c:v>
                </c:pt>
                <c:pt idx="1">
                  <c:v>0.125</c:v>
                </c:pt>
                <c:pt idx="2">
                  <c:v>3.4833091436865068E-2</c:v>
                </c:pt>
                <c:pt idx="3">
                  <c:v>2.2525192649674019E-2</c:v>
                </c:pt>
                <c:pt idx="4">
                  <c:v>1.6966580976863772E-2</c:v>
                </c:pt>
                <c:pt idx="5">
                  <c:v>2.8270874424720635E-2</c:v>
                </c:pt>
                <c:pt idx="6">
                  <c:v>2.2120518688024452E-2</c:v>
                </c:pt>
                <c:pt idx="7">
                  <c:v>2.4266936299292188E-2</c:v>
                </c:pt>
                <c:pt idx="8">
                  <c:v>1.6666666666666687E-2</c:v>
                </c:pt>
                <c:pt idx="9">
                  <c:v>2.0446096654275096E-2</c:v>
                </c:pt>
                <c:pt idx="10">
                  <c:v>2.6525198938992037E-2</c:v>
                </c:pt>
                <c:pt idx="11">
                  <c:v>1.3636363636363641E-2</c:v>
                </c:pt>
                <c:pt idx="12">
                  <c:v>1.9607843137254902E-2</c:v>
                </c:pt>
                <c:pt idx="13">
                  <c:v>4.0000000000000022E-2</c:v>
                </c:pt>
                <c:pt idx="14">
                  <c:v>0</c:v>
                </c:pt>
                <c:pt idx="15">
                  <c:v>0</c:v>
                </c:pt>
                <c:pt idx="16">
                  <c:v>0</c:v>
                </c:pt>
              </c:numCache>
            </c:numRef>
          </c:val>
        </c:ser>
        <c:dLbls>
          <c:showLegendKey val="0"/>
          <c:showVal val="0"/>
          <c:showCatName val="0"/>
          <c:showSerName val="0"/>
          <c:showPercent val="0"/>
          <c:showBubbleSize val="0"/>
        </c:dLbls>
        <c:gapWidth val="0"/>
        <c:overlap val="100"/>
        <c:axId val="284200320"/>
        <c:axId val="284227072"/>
      </c:barChart>
      <c:catAx>
        <c:axId val="284200320"/>
        <c:scaling>
          <c:orientation val="maxMin"/>
        </c:scaling>
        <c:delete val="0"/>
        <c:axPos val="l"/>
        <c:title>
          <c:tx>
            <c:rich>
              <a:bodyPr rot="-5400000" vert="horz"/>
              <a:lstStyle/>
              <a:p>
                <a:pPr>
                  <a:defRPr/>
                </a:pPr>
                <a:r>
                  <a:rPr lang="es-EC"/>
                  <a:t>Grupos Etarios</a:t>
                </a:r>
              </a:p>
            </c:rich>
          </c:tx>
          <c:overlay val="0"/>
        </c:title>
        <c:numFmt formatCode="General" sourceLinked="1"/>
        <c:majorTickMark val="out"/>
        <c:minorTickMark val="none"/>
        <c:tickLblPos val="nextTo"/>
        <c:spPr>
          <a:ln>
            <a:solidFill>
              <a:schemeClr val="tx1"/>
            </a:solidFill>
          </a:ln>
        </c:spPr>
        <c:crossAx val="284227072"/>
        <c:crosses val="autoZero"/>
        <c:auto val="1"/>
        <c:lblAlgn val="ctr"/>
        <c:lblOffset val="100"/>
        <c:noMultiLvlLbl val="0"/>
      </c:catAx>
      <c:valAx>
        <c:axId val="284227072"/>
        <c:scaling>
          <c:orientation val="minMax"/>
          <c:max val="1"/>
          <c:min val="0"/>
        </c:scaling>
        <c:delete val="0"/>
        <c:axPos val="t"/>
        <c:title>
          <c:tx>
            <c:rich>
              <a:bodyPr/>
              <a:lstStyle/>
              <a:p>
                <a:pPr>
                  <a:defRPr/>
                </a:pPr>
                <a:r>
                  <a:rPr lang="es-EC"/>
                  <a:t>Frecuencia Relativa</a:t>
                </a:r>
              </a:p>
            </c:rich>
          </c:tx>
          <c:layout>
            <c:manualLayout>
              <c:xMode val="edge"/>
              <c:yMode val="edge"/>
              <c:x val="0.28706889763779575"/>
              <c:y val="0.95232690253341046"/>
            </c:manualLayout>
          </c:layout>
          <c:overlay val="0"/>
        </c:title>
        <c:numFmt formatCode="#,##0.00" sourceLinked="0"/>
        <c:majorTickMark val="in"/>
        <c:minorTickMark val="none"/>
        <c:tickLblPos val="high"/>
        <c:spPr>
          <a:ln>
            <a:solidFill>
              <a:schemeClr val="tx1"/>
            </a:solidFill>
          </a:ln>
        </c:spPr>
        <c:crossAx val="284200320"/>
        <c:crossesAt val="21"/>
        <c:crossBetween val="between"/>
        <c:majorUnit val="0.2"/>
      </c:valAx>
      <c:spPr>
        <a:noFill/>
        <a:ln>
          <a:solidFill>
            <a:schemeClr val="tx1"/>
          </a:solidFill>
        </a:ln>
      </c:spPr>
    </c:plotArea>
    <c:legend>
      <c:legendPos val="r"/>
      <c:layout>
        <c:manualLayout>
          <c:xMode val="edge"/>
          <c:yMode val="edge"/>
          <c:x val="0.65050021872265951"/>
          <c:y val="4.8660823503701732E-2"/>
          <c:w val="0.332833114610674"/>
          <c:h val="0.88093183816055365"/>
        </c:manualLayout>
      </c:layout>
      <c:overlay val="0"/>
      <c:txPr>
        <a:bodyPr/>
        <a:lstStyle/>
        <a:p>
          <a:pPr>
            <a:defRPr sz="800"/>
          </a:pPr>
          <a:endParaRPr lang="es-EC"/>
        </a:p>
      </c:txPr>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332492752131482"/>
          <c:y val="3.8244236399205218E-2"/>
          <c:w val="0.49864306177414147"/>
          <c:h val="0.84558101517587203"/>
        </c:manualLayout>
      </c:layout>
      <c:barChart>
        <c:barDir val="bar"/>
        <c:grouping val="clustered"/>
        <c:varyColors val="0"/>
        <c:ser>
          <c:idx val="0"/>
          <c:order val="0"/>
          <c:spPr>
            <a:gradFill>
              <a:gsLst>
                <a:gs pos="0">
                  <a:schemeClr val="bg1">
                    <a:lumMod val="65000"/>
                  </a:schemeClr>
                </a:gs>
                <a:gs pos="50000">
                  <a:schemeClr val="bg1">
                    <a:lumMod val="95000"/>
                  </a:schemeClr>
                </a:gs>
                <a:gs pos="100000">
                  <a:schemeClr val="bg1">
                    <a:lumMod val="65000"/>
                  </a:schemeClr>
                </a:gs>
              </a:gsLst>
              <a:lin ang="13200000" scaled="0"/>
            </a:gradFill>
            <a:ln>
              <a:solidFill>
                <a:schemeClr val="bg1">
                  <a:lumMod val="50000"/>
                </a:schemeClr>
              </a:solidFill>
            </a:ln>
          </c:spPr>
          <c:invertIfNegative val="0"/>
          <c:dLbls>
            <c:numFmt formatCode="#,##0.000" sourceLinked="0"/>
            <c:dLblPos val="outEnd"/>
            <c:showLegendKey val="0"/>
            <c:showVal val="1"/>
            <c:showCatName val="0"/>
            <c:showSerName val="0"/>
            <c:showPercent val="0"/>
            <c:showBubbleSize val="0"/>
            <c:showLeaderLines val="0"/>
          </c:dLbls>
          <c:cat>
            <c:strRef>
              <c:f>EstructuraEconomica!$H$200:$H$211</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EstructuraEconomica!$I$200:$I$211</c:f>
              <c:numCache>
                <c:formatCode>0,000</c:formatCode>
                <c:ptCount val="12"/>
                <c:pt idx="0">
                  <c:v>3.590084528445249E-2</c:v>
                </c:pt>
                <c:pt idx="1">
                  <c:v>5.4136195270206112E-2</c:v>
                </c:pt>
                <c:pt idx="2">
                  <c:v>3.7325482002089475E-2</c:v>
                </c:pt>
                <c:pt idx="3">
                  <c:v>3.7705385126792695E-2</c:v>
                </c:pt>
                <c:pt idx="4">
                  <c:v>0.24370785449710358</c:v>
                </c:pt>
                <c:pt idx="5">
                  <c:v>7.7025358533573896E-2</c:v>
                </c:pt>
                <c:pt idx="6">
                  <c:v>0.1432234780131067</c:v>
                </c:pt>
                <c:pt idx="7">
                  <c:v>5.2711558552569086E-2</c:v>
                </c:pt>
                <c:pt idx="8">
                  <c:v>0.25358533573938646</c:v>
                </c:pt>
                <c:pt idx="9">
                  <c:v>9.497578117580032E-5</c:v>
                </c:pt>
                <c:pt idx="10">
                  <c:v>2.7637952322157894E-2</c:v>
                </c:pt>
                <c:pt idx="11">
                  <c:v>3.6945578877386281E-2</c:v>
                </c:pt>
              </c:numCache>
            </c:numRef>
          </c:val>
        </c:ser>
        <c:dLbls>
          <c:showLegendKey val="0"/>
          <c:showVal val="1"/>
          <c:showCatName val="0"/>
          <c:showSerName val="0"/>
          <c:showPercent val="0"/>
          <c:showBubbleSize val="0"/>
        </c:dLbls>
        <c:gapWidth val="40"/>
        <c:axId val="284099712"/>
        <c:axId val="284131328"/>
      </c:barChart>
      <c:catAx>
        <c:axId val="284099712"/>
        <c:scaling>
          <c:orientation val="maxMin"/>
        </c:scaling>
        <c:delete val="0"/>
        <c:axPos val="l"/>
        <c:title>
          <c:tx>
            <c:rich>
              <a:bodyPr rot="-5400000" vert="horz"/>
              <a:lstStyle/>
              <a:p>
                <a:pPr>
                  <a:defRPr/>
                </a:pPr>
                <a:r>
                  <a:rPr lang="es-EC"/>
                  <a:t>Ocupación</a:t>
                </a:r>
              </a:p>
            </c:rich>
          </c:tx>
          <c:overlay val="0"/>
        </c:title>
        <c:majorTickMark val="out"/>
        <c:minorTickMark val="none"/>
        <c:tickLblPos val="nextTo"/>
        <c:spPr>
          <a:ln>
            <a:solidFill>
              <a:schemeClr val="tx1"/>
            </a:solidFill>
          </a:ln>
        </c:spPr>
        <c:txPr>
          <a:bodyPr/>
          <a:lstStyle/>
          <a:p>
            <a:pPr>
              <a:defRPr sz="800"/>
            </a:pPr>
            <a:endParaRPr lang="es-EC"/>
          </a:p>
        </c:txPr>
        <c:crossAx val="284131328"/>
        <c:crossesAt val="0"/>
        <c:auto val="1"/>
        <c:lblAlgn val="ctr"/>
        <c:lblOffset val="100"/>
        <c:noMultiLvlLbl val="0"/>
      </c:catAx>
      <c:valAx>
        <c:axId val="284131328"/>
        <c:scaling>
          <c:orientation val="minMax"/>
          <c:max val="1"/>
          <c:min val="0"/>
        </c:scaling>
        <c:delete val="0"/>
        <c:axPos val="t"/>
        <c:title>
          <c:tx>
            <c:rich>
              <a:bodyPr/>
              <a:lstStyle/>
              <a:p>
                <a:pPr>
                  <a:defRPr/>
                </a:pPr>
                <a:r>
                  <a:rPr lang="es-EC"/>
                  <a:t>Frecuencia</a:t>
                </a:r>
                <a:r>
                  <a:rPr lang="es-EC" baseline="0"/>
                  <a:t> Relativa</a:t>
                </a:r>
                <a:endParaRPr lang="es-EC"/>
              </a:p>
            </c:rich>
          </c:tx>
          <c:layout>
            <c:manualLayout>
              <c:xMode val="edge"/>
              <c:yMode val="edge"/>
              <c:x val="0.6117971854825337"/>
              <c:y val="0.95056682384615887"/>
            </c:manualLayout>
          </c:layout>
          <c:overlay val="0"/>
        </c:title>
        <c:numFmt formatCode="#,##0.00" sourceLinked="0"/>
        <c:majorTickMark val="in"/>
        <c:minorTickMark val="none"/>
        <c:tickLblPos val="high"/>
        <c:spPr>
          <a:ln>
            <a:solidFill>
              <a:schemeClr val="tx1"/>
            </a:solidFill>
          </a:ln>
        </c:spPr>
        <c:crossAx val="284099712"/>
        <c:crossesAt val="13"/>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78530067333589"/>
          <c:y val="5.9357646083713252E-2"/>
          <c:w val="0.51184667541557338"/>
          <c:h val="0.8428643459041304"/>
        </c:manualLayout>
      </c:layout>
      <c:barChart>
        <c:barDir val="bar"/>
        <c:grouping val="stacked"/>
        <c:varyColors val="0"/>
        <c:ser>
          <c:idx val="0"/>
          <c:order val="0"/>
          <c:tx>
            <c:strRef>
              <c:f>EstructuraEconomica!$I$219</c:f>
              <c:strCache>
                <c:ptCount val="1"/>
                <c:pt idx="0">
                  <c:v>Hombre</c:v>
                </c:pt>
              </c:strCache>
            </c:strRef>
          </c:tx>
          <c:spPr>
            <a:solidFill>
              <a:srgbClr val="00B0F0"/>
            </a:solidFill>
          </c:spPr>
          <c:invertIfNegative val="0"/>
          <c:dLbls>
            <c:dLbl>
              <c:idx val="0"/>
              <c:layout>
                <c:manualLayout>
                  <c:x val="-4.1048937618939525E-2"/>
                  <c:y val="0"/>
                </c:manualLayout>
              </c:layout>
              <c:dLblPos val="ctr"/>
              <c:showLegendKey val="0"/>
              <c:showVal val="1"/>
              <c:showCatName val="0"/>
              <c:showSerName val="0"/>
              <c:showPercent val="0"/>
              <c:showBubbleSize val="0"/>
            </c:dLbl>
            <c:dLbl>
              <c:idx val="1"/>
              <c:layout>
                <c:manualLayout>
                  <c:x val="-4.1964953937298877E-2"/>
                  <c:y val="2.4218423051288809E-7"/>
                </c:manualLayout>
              </c:layout>
              <c:dLblPos val="ctr"/>
              <c:showLegendKey val="0"/>
              <c:showVal val="1"/>
              <c:showCatName val="0"/>
              <c:showSerName val="0"/>
              <c:showPercent val="0"/>
              <c:showBubbleSize val="0"/>
            </c:dLbl>
            <c:dLbl>
              <c:idx val="4"/>
              <c:layout>
                <c:manualLayout>
                  <c:x val="-5.1019897457385464E-2"/>
                  <c:y val="0"/>
                </c:manualLayout>
              </c:layout>
              <c:dLblPos val="ctr"/>
              <c:showLegendKey val="0"/>
              <c:showVal val="1"/>
              <c:showCatName val="0"/>
              <c:showSerName val="0"/>
              <c:showPercent val="0"/>
              <c:showBubbleSize val="0"/>
            </c:dLbl>
            <c:dLbl>
              <c:idx val="5"/>
              <c:layout>
                <c:manualLayout>
                  <c:x val="-4.0290983582706288E-2"/>
                  <c:y val="-5.6387910273132978E-17"/>
                </c:manualLayout>
              </c:layout>
              <c:dLblPos val="ctr"/>
              <c:showLegendKey val="0"/>
              <c:showVal val="1"/>
              <c:showCatName val="0"/>
              <c:showSerName val="0"/>
              <c:showPercent val="0"/>
              <c:showBubbleSize val="0"/>
            </c:dLbl>
            <c:dLbl>
              <c:idx val="6"/>
              <c:layout>
                <c:manualLayout>
                  <c:x val="-4.8530474710616833E-2"/>
                  <c:y val="0"/>
                </c:manualLayout>
              </c:layout>
              <c:dLblPos val="ctr"/>
              <c:showLegendKey val="0"/>
              <c:showVal val="1"/>
              <c:showCatName val="0"/>
              <c:showSerName val="0"/>
              <c:showPercent val="0"/>
              <c:showBubbleSize val="0"/>
            </c:dLbl>
            <c:dLbl>
              <c:idx val="8"/>
              <c:layout>
                <c:manualLayout>
                  <c:x val="-5.3171546461348647E-2"/>
                  <c:y val="0"/>
                </c:manualLayout>
              </c:layout>
              <c:dLblPos val="ctr"/>
              <c:showLegendKey val="0"/>
              <c:showVal val="1"/>
              <c:showCatName val="0"/>
              <c:showSerName val="0"/>
              <c:showPercent val="0"/>
              <c:showBubbleSize val="0"/>
            </c:dLbl>
            <c:numFmt formatCode="0.000;0.000" sourceLinked="0"/>
            <c:txPr>
              <a:bodyPr/>
              <a:lstStyle/>
              <a:p>
                <a:pPr>
                  <a:defRPr sz="700"/>
                </a:pPr>
                <a:endParaRPr lang="es-EC"/>
              </a:p>
            </c:txPr>
            <c:dLblPos val="inEnd"/>
            <c:showLegendKey val="0"/>
            <c:showVal val="1"/>
            <c:showCatName val="0"/>
            <c:showSerName val="0"/>
            <c:showPercent val="0"/>
            <c:showBubbleSize val="0"/>
            <c:showLeaderLines val="0"/>
          </c:dLbls>
          <c:cat>
            <c:strRef>
              <c:f>EstructuraEconomica!$H$220:$H$231</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EstructuraEconomica!$I$220:$I$231</c:f>
              <c:numCache>
                <c:formatCode>0.00%</c:formatCode>
                <c:ptCount val="12"/>
                <c:pt idx="0">
                  <c:v>-3.522742610338777E-2</c:v>
                </c:pt>
                <c:pt idx="1">
                  <c:v>-5.2098798758266986E-2</c:v>
                </c:pt>
                <c:pt idx="2">
                  <c:v>-3.5632339047104888E-2</c:v>
                </c:pt>
                <c:pt idx="3">
                  <c:v>-2.9558644891348351E-2</c:v>
                </c:pt>
                <c:pt idx="4">
                  <c:v>-0.21392900526386829</c:v>
                </c:pt>
                <c:pt idx="5">
                  <c:v>-9.4344715886084507E-2</c:v>
                </c:pt>
                <c:pt idx="6">
                  <c:v>-0.18180591172897828</c:v>
                </c:pt>
                <c:pt idx="7">
                  <c:v>-6.7755432581994873E-2</c:v>
                </c:pt>
                <c:pt idx="8">
                  <c:v>-0.23916857875556755</c:v>
                </c:pt>
                <c:pt idx="9">
                  <c:v>-1.3497098123903362E-4</c:v>
                </c:pt>
                <c:pt idx="10">
                  <c:v>-2.0785531110811183E-2</c:v>
                </c:pt>
                <c:pt idx="11">
                  <c:v>-2.9558644891348351E-2</c:v>
                </c:pt>
              </c:numCache>
            </c:numRef>
          </c:val>
        </c:ser>
        <c:ser>
          <c:idx val="1"/>
          <c:order val="1"/>
          <c:tx>
            <c:strRef>
              <c:f>EstructuraEconomica!$J$219</c:f>
              <c:strCache>
                <c:ptCount val="1"/>
                <c:pt idx="0">
                  <c:v>Mujer</c:v>
                </c:pt>
              </c:strCache>
            </c:strRef>
          </c:tx>
          <c:spPr>
            <a:solidFill>
              <a:srgbClr val="D735B4"/>
            </a:solidFill>
          </c:spPr>
          <c:invertIfNegative val="0"/>
          <c:dLbls>
            <c:dLbl>
              <c:idx val="0"/>
              <c:layout>
                <c:manualLayout>
                  <c:x val="3.7239613341015311E-2"/>
                  <c:y val="0"/>
                </c:manualLayout>
              </c:layout>
              <c:dLblPos val="ctr"/>
              <c:showLegendKey val="0"/>
              <c:showVal val="1"/>
              <c:showCatName val="0"/>
              <c:showSerName val="0"/>
              <c:showPercent val="0"/>
              <c:showBubbleSize val="0"/>
            </c:dLbl>
            <c:dLbl>
              <c:idx val="1"/>
              <c:layout>
                <c:manualLayout>
                  <c:x val="4.6408622425522766E-2"/>
                  <c:y val="0"/>
                </c:manualLayout>
              </c:layout>
              <c:dLblPos val="ctr"/>
              <c:showLegendKey val="0"/>
              <c:showVal val="1"/>
              <c:showCatName val="0"/>
              <c:showSerName val="0"/>
              <c:showPercent val="0"/>
              <c:showBubbleSize val="0"/>
            </c:dLbl>
            <c:dLbl>
              <c:idx val="3"/>
              <c:layout>
                <c:manualLayout>
                  <c:x val="3.8627255850224945E-2"/>
                  <c:y val="0"/>
                </c:manualLayout>
              </c:layout>
              <c:dLblPos val="ctr"/>
              <c:showLegendKey val="0"/>
              <c:showVal val="1"/>
              <c:showCatName val="0"/>
              <c:showSerName val="0"/>
              <c:showPercent val="0"/>
              <c:showBubbleSize val="0"/>
            </c:dLbl>
            <c:dLbl>
              <c:idx val="4"/>
              <c:layout>
                <c:manualLayout>
                  <c:x val="6.4288050468192567E-2"/>
                  <c:y val="-3.07573972751368E-3"/>
                </c:manualLayout>
              </c:layout>
              <c:dLblPos val="ctr"/>
              <c:showLegendKey val="0"/>
              <c:showVal val="1"/>
              <c:showCatName val="0"/>
              <c:showSerName val="0"/>
              <c:showPercent val="0"/>
              <c:showBubbleSize val="0"/>
            </c:dLbl>
            <c:dLbl>
              <c:idx val="8"/>
              <c:layout>
                <c:manualLayout>
                  <c:x val="4.9051218930227979E-2"/>
                  <c:y val="0"/>
                </c:manualLayout>
              </c:layout>
              <c:dLblPos val="ctr"/>
              <c:showLegendKey val="0"/>
              <c:showVal val="1"/>
              <c:showCatName val="0"/>
              <c:showSerName val="0"/>
              <c:showPercent val="0"/>
              <c:showBubbleSize val="0"/>
            </c:dLbl>
            <c:dLbl>
              <c:idx val="10"/>
              <c:layout>
                <c:manualLayout>
                  <c:x val="3.6013292130058022E-2"/>
                  <c:y val="0"/>
                </c:manualLayout>
              </c:layout>
              <c:dLblPos val="ctr"/>
              <c:showLegendKey val="0"/>
              <c:showVal val="1"/>
              <c:showCatName val="0"/>
              <c:showSerName val="0"/>
              <c:showPercent val="0"/>
              <c:showBubbleSize val="0"/>
            </c:dLbl>
            <c:dLbl>
              <c:idx val="11"/>
              <c:layout>
                <c:manualLayout>
                  <c:x val="3.6013292130058022E-2"/>
                  <c:y val="1.1277582054626588E-16"/>
                </c:manualLayout>
              </c:layout>
              <c:dLblPos val="ctr"/>
              <c:showLegendKey val="0"/>
              <c:showVal val="1"/>
              <c:showCatName val="0"/>
              <c:showSerName val="0"/>
              <c:showPercent val="0"/>
              <c:showBubbleSize val="0"/>
            </c:dLbl>
            <c:numFmt formatCode="#,##0.000" sourceLinked="0"/>
            <c:txPr>
              <a:bodyPr/>
              <a:lstStyle/>
              <a:p>
                <a:pPr>
                  <a:defRPr sz="700"/>
                </a:pPr>
                <a:endParaRPr lang="es-EC"/>
              </a:p>
            </c:txPr>
            <c:dLblPos val="inBase"/>
            <c:showLegendKey val="0"/>
            <c:showVal val="1"/>
            <c:showCatName val="0"/>
            <c:showSerName val="0"/>
            <c:showPercent val="0"/>
            <c:showBubbleSize val="0"/>
            <c:showLeaderLines val="0"/>
          </c:dLbls>
          <c:cat>
            <c:strRef>
              <c:f>EstructuraEconomica!$H$220:$H$231</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EstructuraEconomica!$J$220:$J$231</c:f>
              <c:numCache>
                <c:formatCode>0.00%</c:formatCode>
                <c:ptCount val="12"/>
                <c:pt idx="0">
                  <c:v>3.7500000000000006E-2</c:v>
                </c:pt>
                <c:pt idx="1">
                  <c:v>5.8974358974358952E-2</c:v>
                </c:pt>
                <c:pt idx="2">
                  <c:v>4.1346153846153852E-2</c:v>
                </c:pt>
                <c:pt idx="3">
                  <c:v>5.7051282051282071E-2</c:v>
                </c:pt>
                <c:pt idx="4">
                  <c:v>0.31442307692307703</c:v>
                </c:pt>
                <c:pt idx="5">
                  <c:v>3.5897435897435895E-2</c:v>
                </c:pt>
                <c:pt idx="6">
                  <c:v>5.1602564102564086E-2</c:v>
                </c:pt>
                <c:pt idx="7">
                  <c:v>1.6987179487179493E-2</c:v>
                </c:pt>
                <c:pt idx="8">
                  <c:v>0.28782051282051291</c:v>
                </c:pt>
                <c:pt idx="9">
                  <c:v>0</c:v>
                </c:pt>
                <c:pt idx="10">
                  <c:v>4.3910256410256407E-2</c:v>
                </c:pt>
                <c:pt idx="11">
                  <c:v>5.4487179487179488E-2</c:v>
                </c:pt>
              </c:numCache>
            </c:numRef>
          </c:val>
        </c:ser>
        <c:dLbls>
          <c:showLegendKey val="0"/>
          <c:showVal val="0"/>
          <c:showCatName val="0"/>
          <c:showSerName val="0"/>
          <c:showPercent val="0"/>
          <c:showBubbleSize val="0"/>
        </c:dLbls>
        <c:gapWidth val="40"/>
        <c:overlap val="100"/>
        <c:axId val="284161152"/>
        <c:axId val="284163072"/>
      </c:barChart>
      <c:catAx>
        <c:axId val="284161152"/>
        <c:scaling>
          <c:orientation val="maxMin"/>
        </c:scaling>
        <c:delete val="0"/>
        <c:axPos val="l"/>
        <c:title>
          <c:tx>
            <c:rich>
              <a:bodyPr rot="-5400000" vert="horz"/>
              <a:lstStyle/>
              <a:p>
                <a:pPr>
                  <a:defRPr/>
                </a:pPr>
                <a:r>
                  <a:rPr lang="es-EC"/>
                  <a:t>Ocupación</a:t>
                </a:r>
              </a:p>
            </c:rich>
          </c:tx>
          <c:overlay val="0"/>
        </c:title>
        <c:majorTickMark val="out"/>
        <c:minorTickMark val="none"/>
        <c:tickLblPos val="nextTo"/>
        <c:spPr>
          <a:ln>
            <a:solidFill>
              <a:schemeClr val="tx1"/>
            </a:solidFill>
          </a:ln>
        </c:spPr>
        <c:crossAx val="284163072"/>
        <c:crossesAt val="-1"/>
        <c:auto val="1"/>
        <c:lblAlgn val="ctr"/>
        <c:lblOffset val="100"/>
        <c:noMultiLvlLbl val="0"/>
      </c:catAx>
      <c:valAx>
        <c:axId val="284163072"/>
        <c:scaling>
          <c:orientation val="minMax"/>
          <c:max val="1"/>
          <c:min val="-1"/>
        </c:scaling>
        <c:delete val="0"/>
        <c:axPos val="t"/>
        <c:title>
          <c:tx>
            <c:rich>
              <a:bodyPr/>
              <a:lstStyle/>
              <a:p>
                <a:pPr>
                  <a:defRPr/>
                </a:pPr>
                <a:r>
                  <a:rPr lang="es-EC"/>
                  <a:t>Frecuencia Relativa</a:t>
                </a:r>
              </a:p>
            </c:rich>
          </c:tx>
          <c:layout>
            <c:manualLayout>
              <c:xMode val="edge"/>
              <c:yMode val="edge"/>
              <c:x val="0.62047134733158382"/>
              <c:y val="0.96035351239293698"/>
            </c:manualLayout>
          </c:layout>
          <c:overlay val="0"/>
        </c:title>
        <c:numFmt formatCode="0.00;0.00" sourceLinked="0"/>
        <c:majorTickMark val="in"/>
        <c:minorTickMark val="none"/>
        <c:tickLblPos val="high"/>
        <c:spPr>
          <a:ln>
            <a:solidFill>
              <a:schemeClr val="tx1"/>
            </a:solidFill>
          </a:ln>
        </c:spPr>
        <c:crossAx val="284161152"/>
        <c:crossesAt val="13"/>
        <c:crossBetween val="between"/>
        <c:majorUnit val="0.4"/>
      </c:valAx>
      <c:spPr>
        <a:noFill/>
        <a:ln>
          <a:solidFill>
            <a:schemeClr val="tx1"/>
          </a:solidFill>
        </a:ln>
      </c:spPr>
    </c:plotArea>
    <c:legend>
      <c:legendPos val="t"/>
      <c:layout>
        <c:manualLayout>
          <c:xMode val="edge"/>
          <c:yMode val="edge"/>
          <c:x val="0.44835099603680373"/>
          <c:y val="0"/>
          <c:w val="0.49843392635787498"/>
          <c:h val="4.8188607266301912E-2"/>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6951006124234"/>
          <c:y val="2.9901457894059801E-2"/>
          <c:w val="0.46985433070866173"/>
          <c:h val="0.8832125984251965"/>
        </c:manualLayout>
      </c:layout>
      <c:barChart>
        <c:barDir val="bar"/>
        <c:grouping val="stacked"/>
        <c:varyColors val="0"/>
        <c:ser>
          <c:idx val="0"/>
          <c:order val="0"/>
          <c:tx>
            <c:strRef>
              <c:f>EstructuraEconomica!$R$237</c:f>
              <c:strCache>
                <c:ptCount val="1"/>
                <c:pt idx="0">
                  <c:v>Directores y gerentes</c:v>
                </c:pt>
              </c:strCache>
            </c:strRef>
          </c:tx>
          <c:spPr>
            <a:solidFill>
              <a:srgbClr val="0070C0"/>
            </a:solidFill>
          </c:spPr>
          <c:invertIfNegative val="0"/>
          <c:cat>
            <c:strRef>
              <c:f>EstructuraEconomica!$Q$238:$Q$254</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EstructuraEconomica!$R$238:$R$254</c:f>
              <c:numCache>
                <c:formatCode>0,000</c:formatCode>
                <c:ptCount val="17"/>
                <c:pt idx="0">
                  <c:v>0</c:v>
                </c:pt>
                <c:pt idx="1">
                  <c:v>0</c:v>
                </c:pt>
                <c:pt idx="2">
                  <c:v>0</c:v>
                </c:pt>
                <c:pt idx="3">
                  <c:v>5.6753688989784334E-3</c:v>
                </c:pt>
                <c:pt idx="4">
                  <c:v>1.4940239043824705E-2</c:v>
                </c:pt>
                <c:pt idx="5">
                  <c:v>3.2092426187419802E-2</c:v>
                </c:pt>
                <c:pt idx="6">
                  <c:v>4.7940074906367064E-2</c:v>
                </c:pt>
                <c:pt idx="7">
                  <c:v>5.5118110236220513E-2</c:v>
                </c:pt>
                <c:pt idx="8">
                  <c:v>8.1190798376184065E-2</c:v>
                </c:pt>
                <c:pt idx="9">
                  <c:v>7.3937153419593352E-2</c:v>
                </c:pt>
                <c:pt idx="10">
                  <c:v>8.9005235602094265E-2</c:v>
                </c:pt>
                <c:pt idx="11">
                  <c:v>9.5022624434389164E-2</c:v>
                </c:pt>
                <c:pt idx="12">
                  <c:v>5.8823529411764705E-2</c:v>
                </c:pt>
                <c:pt idx="13">
                  <c:v>8.0000000000000043E-2</c:v>
                </c:pt>
                <c:pt idx="14">
                  <c:v>0.10526315789473686</c:v>
                </c:pt>
                <c:pt idx="15">
                  <c:v>0.2</c:v>
                </c:pt>
                <c:pt idx="16">
                  <c:v>0</c:v>
                </c:pt>
              </c:numCache>
            </c:numRef>
          </c:val>
        </c:ser>
        <c:ser>
          <c:idx val="1"/>
          <c:order val="1"/>
          <c:tx>
            <c:strRef>
              <c:f>EstructuraEconomica!$S$237</c:f>
              <c:strCache>
                <c:ptCount val="1"/>
                <c:pt idx="0">
                  <c:v>Profesionales científicos e intelectuales</c:v>
                </c:pt>
              </c:strCache>
            </c:strRef>
          </c:tx>
          <c:spPr>
            <a:solidFill>
              <a:srgbClr val="D735B4"/>
            </a:solidFill>
          </c:spPr>
          <c:invertIfNegative val="0"/>
          <c:cat>
            <c:strRef>
              <c:f>EstructuraEconomica!$Q$238:$Q$254</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EstructuraEconomica!$S$238:$S$254</c:f>
              <c:numCache>
                <c:formatCode>0,000</c:formatCode>
                <c:ptCount val="17"/>
                <c:pt idx="0">
                  <c:v>0</c:v>
                </c:pt>
                <c:pt idx="1">
                  <c:v>0</c:v>
                </c:pt>
                <c:pt idx="2">
                  <c:v>0</c:v>
                </c:pt>
                <c:pt idx="3">
                  <c:v>2.2701475595913789E-2</c:v>
                </c:pt>
                <c:pt idx="4">
                  <c:v>3.884462151394423E-2</c:v>
                </c:pt>
                <c:pt idx="5">
                  <c:v>5.58408215661104E-2</c:v>
                </c:pt>
                <c:pt idx="6">
                  <c:v>9.0636704119850225E-2</c:v>
                </c:pt>
                <c:pt idx="7">
                  <c:v>7.0866141732283491E-2</c:v>
                </c:pt>
                <c:pt idx="8">
                  <c:v>7.4424898511502025E-2</c:v>
                </c:pt>
                <c:pt idx="9">
                  <c:v>8.5027726432532397E-2</c:v>
                </c:pt>
                <c:pt idx="10">
                  <c:v>6.8062827225130934E-2</c:v>
                </c:pt>
                <c:pt idx="11">
                  <c:v>0.10407239819004509</c:v>
                </c:pt>
                <c:pt idx="12">
                  <c:v>0.10784313725490199</c:v>
                </c:pt>
                <c:pt idx="13">
                  <c:v>0.1</c:v>
                </c:pt>
                <c:pt idx="14">
                  <c:v>0.26315789473684231</c:v>
                </c:pt>
                <c:pt idx="15">
                  <c:v>0</c:v>
                </c:pt>
                <c:pt idx="16">
                  <c:v>0.33333333333333331</c:v>
                </c:pt>
              </c:numCache>
            </c:numRef>
          </c:val>
        </c:ser>
        <c:ser>
          <c:idx val="2"/>
          <c:order val="2"/>
          <c:tx>
            <c:strRef>
              <c:f>EstructuraEconomica!$T$237</c:f>
              <c:strCache>
                <c:ptCount val="1"/>
                <c:pt idx="0">
                  <c:v>Técnicos y profesionales del nivel medio</c:v>
                </c:pt>
              </c:strCache>
            </c:strRef>
          </c:tx>
          <c:spPr>
            <a:solidFill>
              <a:srgbClr val="00B0F0"/>
            </a:solidFill>
          </c:spPr>
          <c:invertIfNegative val="0"/>
          <c:cat>
            <c:strRef>
              <c:f>EstructuraEconomica!$Q$238:$Q$254</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EstructuraEconomica!$T$238:$T$254</c:f>
              <c:numCache>
                <c:formatCode>0,000</c:formatCode>
                <c:ptCount val="17"/>
                <c:pt idx="0">
                  <c:v>0</c:v>
                </c:pt>
                <c:pt idx="1">
                  <c:v>0</c:v>
                </c:pt>
                <c:pt idx="2">
                  <c:v>0</c:v>
                </c:pt>
                <c:pt idx="3">
                  <c:v>1.9863791146424538E-2</c:v>
                </c:pt>
                <c:pt idx="4">
                  <c:v>3.2370517928286852E-2</c:v>
                </c:pt>
                <c:pt idx="5">
                  <c:v>3.8510911424903774E-2</c:v>
                </c:pt>
                <c:pt idx="6">
                  <c:v>4.7940074906367064E-2</c:v>
                </c:pt>
                <c:pt idx="7">
                  <c:v>5.2165354330708714E-2</c:v>
                </c:pt>
                <c:pt idx="8">
                  <c:v>3.5182679296346407E-2</c:v>
                </c:pt>
                <c:pt idx="9">
                  <c:v>6.0998151571164456E-2</c:v>
                </c:pt>
                <c:pt idx="10">
                  <c:v>6.8062827225130934E-2</c:v>
                </c:pt>
                <c:pt idx="11">
                  <c:v>8.1447963800904979E-2</c:v>
                </c:pt>
                <c:pt idx="12">
                  <c:v>7.8431372549019607E-2</c:v>
                </c:pt>
                <c:pt idx="13">
                  <c:v>8.0000000000000043E-2</c:v>
                </c:pt>
                <c:pt idx="14">
                  <c:v>5.2631578947368432E-2</c:v>
                </c:pt>
                <c:pt idx="15">
                  <c:v>0</c:v>
                </c:pt>
                <c:pt idx="16">
                  <c:v>0</c:v>
                </c:pt>
              </c:numCache>
            </c:numRef>
          </c:val>
        </c:ser>
        <c:ser>
          <c:idx val="3"/>
          <c:order val="3"/>
          <c:tx>
            <c:strRef>
              <c:f>EstructuraEconomica!$U$237</c:f>
              <c:strCache>
                <c:ptCount val="1"/>
                <c:pt idx="0">
                  <c:v>Personal de apoyo administrativo</c:v>
                </c:pt>
              </c:strCache>
            </c:strRef>
          </c:tx>
          <c:spPr>
            <a:solidFill>
              <a:srgbClr val="7030A0"/>
            </a:solidFill>
          </c:spPr>
          <c:invertIfNegative val="0"/>
          <c:cat>
            <c:strRef>
              <c:f>EstructuraEconomica!$Q$238:$Q$254</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EstructuraEconomica!$U$238:$U$254</c:f>
              <c:numCache>
                <c:formatCode>0,000</c:formatCode>
                <c:ptCount val="17"/>
                <c:pt idx="0">
                  <c:v>0</c:v>
                </c:pt>
                <c:pt idx="1">
                  <c:v>1.7543859649122844E-2</c:v>
                </c:pt>
                <c:pt idx="2">
                  <c:v>3.310344827586207E-2</c:v>
                </c:pt>
                <c:pt idx="3">
                  <c:v>4.6538024971623203E-2</c:v>
                </c:pt>
                <c:pt idx="4">
                  <c:v>3.7848605577689293E-2</c:v>
                </c:pt>
                <c:pt idx="5">
                  <c:v>3.5943517329910198E-2</c:v>
                </c:pt>
                <c:pt idx="6">
                  <c:v>3.6704119850187268E-2</c:v>
                </c:pt>
                <c:pt idx="7">
                  <c:v>2.8543307086614244E-2</c:v>
                </c:pt>
                <c:pt idx="8">
                  <c:v>3.6535859269282815E-2</c:v>
                </c:pt>
                <c:pt idx="9">
                  <c:v>3.5120147874306853E-2</c:v>
                </c:pt>
                <c:pt idx="10">
                  <c:v>4.9738219895288038E-2</c:v>
                </c:pt>
                <c:pt idx="11">
                  <c:v>3.1674208144796392E-2</c:v>
                </c:pt>
                <c:pt idx="12">
                  <c:v>2.9411764705882353E-2</c:v>
                </c:pt>
                <c:pt idx="13">
                  <c:v>0.1</c:v>
                </c:pt>
                <c:pt idx="14">
                  <c:v>0</c:v>
                </c:pt>
                <c:pt idx="15">
                  <c:v>0</c:v>
                </c:pt>
                <c:pt idx="16">
                  <c:v>0</c:v>
                </c:pt>
              </c:numCache>
            </c:numRef>
          </c:val>
        </c:ser>
        <c:ser>
          <c:idx val="4"/>
          <c:order val="4"/>
          <c:tx>
            <c:strRef>
              <c:f>EstructuraEconomica!$V$237</c:f>
              <c:strCache>
                <c:ptCount val="1"/>
                <c:pt idx="0">
                  <c:v>Trabajadores de los servicios y vendedores</c:v>
                </c:pt>
              </c:strCache>
            </c:strRef>
          </c:tx>
          <c:spPr>
            <a:solidFill>
              <a:srgbClr val="00B050"/>
            </a:solidFill>
          </c:spPr>
          <c:invertIfNegative val="0"/>
          <c:dLbls>
            <c:dLbl>
              <c:idx val="16"/>
              <c:delete val="1"/>
            </c:dLbl>
            <c:dLbl>
              <c:idx val="18"/>
              <c:delete val="1"/>
            </c:dLbl>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EstructuraEconomica!$Q$238:$Q$254</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EstructuraEconomica!$V$238:$V$254</c:f>
              <c:numCache>
                <c:formatCode>0,000</c:formatCode>
                <c:ptCount val="17"/>
                <c:pt idx="0">
                  <c:v>0.16666666666666666</c:v>
                </c:pt>
                <c:pt idx="1">
                  <c:v>0.33333333333333331</c:v>
                </c:pt>
                <c:pt idx="2">
                  <c:v>0.2</c:v>
                </c:pt>
                <c:pt idx="3">
                  <c:v>0.20942111237230443</c:v>
                </c:pt>
                <c:pt idx="4">
                  <c:v>0.22758964143426294</c:v>
                </c:pt>
                <c:pt idx="5">
                  <c:v>0.25288831835686826</c:v>
                </c:pt>
                <c:pt idx="6">
                  <c:v>0.27265917602996281</c:v>
                </c:pt>
                <c:pt idx="7">
                  <c:v>0.24606299212598445</c:v>
                </c:pt>
                <c:pt idx="8">
                  <c:v>0.28416779431664457</c:v>
                </c:pt>
                <c:pt idx="9">
                  <c:v>0.27911275415896486</c:v>
                </c:pt>
                <c:pt idx="10">
                  <c:v>0.27486910994764469</c:v>
                </c:pt>
                <c:pt idx="11">
                  <c:v>0.24886877828054288</c:v>
                </c:pt>
                <c:pt idx="12">
                  <c:v>0.31372549019607848</c:v>
                </c:pt>
                <c:pt idx="13">
                  <c:v>0.16</c:v>
                </c:pt>
                <c:pt idx="14">
                  <c:v>0.21052631578947387</c:v>
                </c:pt>
                <c:pt idx="15">
                  <c:v>0.4</c:v>
                </c:pt>
                <c:pt idx="16">
                  <c:v>0</c:v>
                </c:pt>
              </c:numCache>
            </c:numRef>
          </c:val>
        </c:ser>
        <c:ser>
          <c:idx val="5"/>
          <c:order val="5"/>
          <c:tx>
            <c:strRef>
              <c:f>EstructuraEconomica!$W$237</c:f>
              <c:strCache>
                <c:ptCount val="1"/>
                <c:pt idx="0">
                  <c:v>Agricultores y trabajadores calificados</c:v>
                </c:pt>
              </c:strCache>
            </c:strRef>
          </c:tx>
          <c:spPr>
            <a:solidFill>
              <a:schemeClr val="accent6">
                <a:lumMod val="75000"/>
              </a:schemeClr>
            </a:solidFill>
          </c:spPr>
          <c:invertIfNegative val="0"/>
          <c:cat>
            <c:strRef>
              <c:f>EstructuraEconomica!$Q$238:$Q$254</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EstructuraEconomica!$W$238:$W$254</c:f>
              <c:numCache>
                <c:formatCode>0,000</c:formatCode>
                <c:ptCount val="17"/>
                <c:pt idx="0">
                  <c:v>0</c:v>
                </c:pt>
                <c:pt idx="1">
                  <c:v>0</c:v>
                </c:pt>
                <c:pt idx="2">
                  <c:v>7.5862068965517324E-2</c:v>
                </c:pt>
                <c:pt idx="3">
                  <c:v>9.8751418842224881E-2</c:v>
                </c:pt>
                <c:pt idx="4">
                  <c:v>8.9143426294820721E-2</c:v>
                </c:pt>
                <c:pt idx="5">
                  <c:v>6.8035943517329917E-2</c:v>
                </c:pt>
                <c:pt idx="6">
                  <c:v>7.415730337078652E-2</c:v>
                </c:pt>
                <c:pt idx="7">
                  <c:v>6.2992125984251982E-2</c:v>
                </c:pt>
                <c:pt idx="8">
                  <c:v>7.7131258457374827E-2</c:v>
                </c:pt>
                <c:pt idx="9">
                  <c:v>4.9907578558225522E-2</c:v>
                </c:pt>
                <c:pt idx="10">
                  <c:v>4.4502617801047271E-2</c:v>
                </c:pt>
                <c:pt idx="11">
                  <c:v>6.3348416289592771E-2</c:v>
                </c:pt>
                <c:pt idx="12">
                  <c:v>5.8823529411764705E-2</c:v>
                </c:pt>
                <c:pt idx="13">
                  <c:v>0.2</c:v>
                </c:pt>
                <c:pt idx="14">
                  <c:v>0.10526315789473686</c:v>
                </c:pt>
                <c:pt idx="15">
                  <c:v>0.2</c:v>
                </c:pt>
                <c:pt idx="16">
                  <c:v>0</c:v>
                </c:pt>
              </c:numCache>
            </c:numRef>
          </c:val>
        </c:ser>
        <c:ser>
          <c:idx val="6"/>
          <c:order val="6"/>
          <c:tx>
            <c:strRef>
              <c:f>EstructuraEconomica!$X$237</c:f>
              <c:strCache>
                <c:ptCount val="1"/>
                <c:pt idx="0">
                  <c:v>Oficiales, operarios y artesanos</c:v>
                </c:pt>
              </c:strCache>
            </c:strRef>
          </c:tx>
          <c:spPr>
            <a:solidFill>
              <a:srgbClr val="FFFF00"/>
            </a:solidFill>
          </c:spPr>
          <c:invertIfNegative val="0"/>
          <c:cat>
            <c:strRef>
              <c:f>EstructuraEconomica!$Q$238:$Q$254</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EstructuraEconomica!$X$238:$X$254</c:f>
              <c:numCache>
                <c:formatCode>0,000</c:formatCode>
                <c:ptCount val="17"/>
                <c:pt idx="0">
                  <c:v>0</c:v>
                </c:pt>
                <c:pt idx="1">
                  <c:v>8.771929824561403E-2</c:v>
                </c:pt>
                <c:pt idx="2">
                  <c:v>0.12689655172413788</c:v>
                </c:pt>
                <c:pt idx="3">
                  <c:v>0.141884222474461</c:v>
                </c:pt>
                <c:pt idx="4">
                  <c:v>0.1563745019920319</c:v>
                </c:pt>
                <c:pt idx="5">
                  <c:v>0.14890885750962796</c:v>
                </c:pt>
                <c:pt idx="6">
                  <c:v>0.12134831460674141</c:v>
                </c:pt>
                <c:pt idx="7">
                  <c:v>0.13976377952755906</c:v>
                </c:pt>
                <c:pt idx="8">
                  <c:v>0.13937753721244925</c:v>
                </c:pt>
                <c:pt idx="9">
                  <c:v>0.17190388170055454</c:v>
                </c:pt>
                <c:pt idx="10">
                  <c:v>0.13089005235602094</c:v>
                </c:pt>
                <c:pt idx="11">
                  <c:v>0.19457013574660634</c:v>
                </c:pt>
                <c:pt idx="12">
                  <c:v>0.11764705882352942</c:v>
                </c:pt>
                <c:pt idx="13">
                  <c:v>0.12000000000000002</c:v>
                </c:pt>
                <c:pt idx="14">
                  <c:v>0.15789473684210562</c:v>
                </c:pt>
                <c:pt idx="15">
                  <c:v>0</c:v>
                </c:pt>
                <c:pt idx="16">
                  <c:v>0.33333333333333331</c:v>
                </c:pt>
              </c:numCache>
            </c:numRef>
          </c:val>
        </c:ser>
        <c:ser>
          <c:idx val="7"/>
          <c:order val="7"/>
          <c:tx>
            <c:strRef>
              <c:f>EstructuraEconomica!$Y$237</c:f>
              <c:strCache>
                <c:ptCount val="1"/>
                <c:pt idx="0">
                  <c:v>Operadores de instalaciones y maquinaria</c:v>
                </c:pt>
              </c:strCache>
            </c:strRef>
          </c:tx>
          <c:spPr>
            <a:solidFill>
              <a:srgbClr val="FF0000"/>
            </a:solidFill>
          </c:spPr>
          <c:invertIfNegative val="0"/>
          <c:cat>
            <c:strRef>
              <c:f>EstructuraEconomica!$Q$238:$Q$254</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EstructuraEconomica!$Y$238:$Y$254</c:f>
              <c:numCache>
                <c:formatCode>0,000</c:formatCode>
                <c:ptCount val="17"/>
                <c:pt idx="0">
                  <c:v>0</c:v>
                </c:pt>
                <c:pt idx="1">
                  <c:v>0</c:v>
                </c:pt>
                <c:pt idx="2">
                  <c:v>7.3103448275862057E-2</c:v>
                </c:pt>
                <c:pt idx="3">
                  <c:v>7.6049943246311008E-2</c:v>
                </c:pt>
                <c:pt idx="4">
                  <c:v>6.5737051792828766E-2</c:v>
                </c:pt>
                <c:pt idx="5">
                  <c:v>5.58408215661104E-2</c:v>
                </c:pt>
                <c:pt idx="6">
                  <c:v>4.49438202247191E-2</c:v>
                </c:pt>
                <c:pt idx="7">
                  <c:v>2.755905511811026E-2</c:v>
                </c:pt>
                <c:pt idx="8">
                  <c:v>2.3004059539918787E-2</c:v>
                </c:pt>
                <c:pt idx="9">
                  <c:v>3.5120147874306853E-2</c:v>
                </c:pt>
                <c:pt idx="10">
                  <c:v>3.4031413612565495E-2</c:v>
                </c:pt>
                <c:pt idx="11">
                  <c:v>3.1674208144796392E-2</c:v>
                </c:pt>
                <c:pt idx="12">
                  <c:v>2.9411764705882353E-2</c:v>
                </c:pt>
                <c:pt idx="13">
                  <c:v>4.0000000000000022E-2</c:v>
                </c:pt>
                <c:pt idx="14">
                  <c:v>0</c:v>
                </c:pt>
                <c:pt idx="15">
                  <c:v>0</c:v>
                </c:pt>
                <c:pt idx="16">
                  <c:v>0</c:v>
                </c:pt>
              </c:numCache>
            </c:numRef>
          </c:val>
        </c:ser>
        <c:ser>
          <c:idx val="8"/>
          <c:order val="8"/>
          <c:tx>
            <c:strRef>
              <c:f>EstructuraEconomica!$Z$237</c:f>
              <c:strCache>
                <c:ptCount val="1"/>
                <c:pt idx="0">
                  <c:v>Ocupaciones elementales</c:v>
                </c:pt>
              </c:strCache>
            </c:strRef>
          </c:tx>
          <c:spPr>
            <a:solidFill>
              <a:srgbClr val="00F0EA"/>
            </a:solidFill>
          </c:spPr>
          <c:invertIfNegative val="0"/>
          <c:dLbls>
            <c:dLbl>
              <c:idx val="16"/>
              <c:delete val="1"/>
            </c:dLbl>
            <c:dLbl>
              <c:idx val="19"/>
              <c:delete val="1"/>
            </c:dLbl>
            <c:numFmt formatCode="#,##0.000" sourceLinked="0"/>
            <c:txPr>
              <a:bodyPr/>
              <a:lstStyle/>
              <a:p>
                <a:pPr>
                  <a:defRPr sz="700"/>
                </a:pPr>
                <a:endParaRPr lang="es-EC"/>
              </a:p>
            </c:txPr>
            <c:dLblPos val="ctr"/>
            <c:showLegendKey val="0"/>
            <c:showVal val="1"/>
            <c:showCatName val="0"/>
            <c:showSerName val="0"/>
            <c:showPercent val="0"/>
            <c:showBubbleSize val="0"/>
            <c:showLeaderLines val="0"/>
          </c:dLbls>
          <c:cat>
            <c:strRef>
              <c:f>EstructuraEconomica!$Q$238:$Q$254</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EstructuraEconomica!$Z$238:$Z$254</c:f>
              <c:numCache>
                <c:formatCode>0,000</c:formatCode>
                <c:ptCount val="17"/>
                <c:pt idx="0">
                  <c:v>0.16666666666666666</c:v>
                </c:pt>
                <c:pt idx="1">
                  <c:v>0.40350877192982543</c:v>
                </c:pt>
                <c:pt idx="2">
                  <c:v>0.39586206896551801</c:v>
                </c:pt>
                <c:pt idx="3">
                  <c:v>0.30476730987514222</c:v>
                </c:pt>
                <c:pt idx="4">
                  <c:v>0.28237051792828743</c:v>
                </c:pt>
                <c:pt idx="5">
                  <c:v>0.24711168164313221</c:v>
                </c:pt>
                <c:pt idx="6">
                  <c:v>0.20149812734082417</c:v>
                </c:pt>
                <c:pt idx="7">
                  <c:v>0.25196850393700843</c:v>
                </c:pt>
                <c:pt idx="8">
                  <c:v>0.19079837618403264</c:v>
                </c:pt>
                <c:pt idx="9">
                  <c:v>0.17005545286506496</c:v>
                </c:pt>
                <c:pt idx="10">
                  <c:v>0.17015706806282724</c:v>
                </c:pt>
                <c:pt idx="11">
                  <c:v>0.12217194570135757</c:v>
                </c:pt>
                <c:pt idx="12">
                  <c:v>0.14705882352941191</c:v>
                </c:pt>
                <c:pt idx="13">
                  <c:v>6.0000000000000032E-2</c:v>
                </c:pt>
                <c:pt idx="14">
                  <c:v>5.2631578947368432E-2</c:v>
                </c:pt>
                <c:pt idx="15">
                  <c:v>0.2</c:v>
                </c:pt>
                <c:pt idx="16">
                  <c:v>0</c:v>
                </c:pt>
              </c:numCache>
            </c:numRef>
          </c:val>
        </c:ser>
        <c:ser>
          <c:idx val="9"/>
          <c:order val="9"/>
          <c:tx>
            <c:strRef>
              <c:f>EstructuraEconomica!$AA$237</c:f>
              <c:strCache>
                <c:ptCount val="1"/>
                <c:pt idx="0">
                  <c:v>Ocupaciones militares</c:v>
                </c:pt>
              </c:strCache>
            </c:strRef>
          </c:tx>
          <c:invertIfNegative val="0"/>
          <c:cat>
            <c:strRef>
              <c:f>EstructuraEconomica!$Q$238:$Q$254</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EstructuraEconomica!$AA$238:$AA$254</c:f>
              <c:numCache>
                <c:formatCode>0,000</c:formatCode>
                <c:ptCount val="17"/>
                <c:pt idx="0">
                  <c:v>0</c:v>
                </c:pt>
                <c:pt idx="1">
                  <c:v>0</c:v>
                </c:pt>
                <c:pt idx="2">
                  <c:v>0</c:v>
                </c:pt>
                <c:pt idx="3">
                  <c:v>0</c:v>
                </c:pt>
                <c:pt idx="4">
                  <c:v>0</c:v>
                </c:pt>
                <c:pt idx="5">
                  <c:v>0</c:v>
                </c:pt>
                <c:pt idx="6">
                  <c:v>0</c:v>
                </c:pt>
                <c:pt idx="7">
                  <c:v>0</c:v>
                </c:pt>
                <c:pt idx="8">
                  <c:v>1.3531799729364019E-3</c:v>
                </c:pt>
                <c:pt idx="9">
                  <c:v>0</c:v>
                </c:pt>
                <c:pt idx="10">
                  <c:v>0</c:v>
                </c:pt>
                <c:pt idx="11">
                  <c:v>0</c:v>
                </c:pt>
                <c:pt idx="12">
                  <c:v>0</c:v>
                </c:pt>
                <c:pt idx="13">
                  <c:v>0</c:v>
                </c:pt>
                <c:pt idx="14">
                  <c:v>0</c:v>
                </c:pt>
                <c:pt idx="15">
                  <c:v>0</c:v>
                </c:pt>
                <c:pt idx="16">
                  <c:v>0</c:v>
                </c:pt>
              </c:numCache>
            </c:numRef>
          </c:val>
        </c:ser>
        <c:ser>
          <c:idx val="10"/>
          <c:order val="10"/>
          <c:tx>
            <c:strRef>
              <c:f>EstructuraEconomica!$AB$237</c:f>
              <c:strCache>
                <c:ptCount val="1"/>
                <c:pt idx="0">
                  <c:v>Trabajadores nuevos</c:v>
                </c:pt>
              </c:strCache>
            </c:strRef>
          </c:tx>
          <c:spPr>
            <a:solidFill>
              <a:srgbClr val="C00000"/>
            </a:solidFill>
          </c:spPr>
          <c:invertIfNegative val="0"/>
          <c:cat>
            <c:strRef>
              <c:f>EstructuraEconomica!$Q$238:$Q$254</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EstructuraEconomica!$AB$238:$AB$254</c:f>
              <c:numCache>
                <c:formatCode>0,000</c:formatCode>
                <c:ptCount val="17"/>
                <c:pt idx="0">
                  <c:v>0</c:v>
                </c:pt>
                <c:pt idx="1">
                  <c:v>1.7543859649122844E-2</c:v>
                </c:pt>
                <c:pt idx="2">
                  <c:v>4.9655172413793067E-2</c:v>
                </c:pt>
                <c:pt idx="3">
                  <c:v>4.2565266742338327E-2</c:v>
                </c:pt>
                <c:pt idx="4">
                  <c:v>3.1374501992031838E-2</c:v>
                </c:pt>
                <c:pt idx="5">
                  <c:v>2.3748395378690629E-2</c:v>
                </c:pt>
                <c:pt idx="6">
                  <c:v>1.797752808988767E-2</c:v>
                </c:pt>
                <c:pt idx="7">
                  <c:v>2.6574803149606311E-2</c:v>
                </c:pt>
                <c:pt idx="8">
                  <c:v>2.571041948579161E-2</c:v>
                </c:pt>
                <c:pt idx="9">
                  <c:v>5.5452865064695009E-3</c:v>
                </c:pt>
                <c:pt idx="10">
                  <c:v>1.3089005235602122E-2</c:v>
                </c:pt>
                <c:pt idx="11">
                  <c:v>4.5248868778280426E-3</c:v>
                </c:pt>
                <c:pt idx="12">
                  <c:v>0</c:v>
                </c:pt>
                <c:pt idx="13">
                  <c:v>0</c:v>
                </c:pt>
                <c:pt idx="14">
                  <c:v>0</c:v>
                </c:pt>
                <c:pt idx="15">
                  <c:v>0</c:v>
                </c:pt>
                <c:pt idx="16">
                  <c:v>0</c:v>
                </c:pt>
              </c:numCache>
            </c:numRef>
          </c:val>
        </c:ser>
        <c:ser>
          <c:idx val="11"/>
          <c:order val="11"/>
          <c:tx>
            <c:strRef>
              <c:f>EstructuraEconomica!$AC$237</c:f>
              <c:strCache>
                <c:ptCount val="1"/>
                <c:pt idx="0">
                  <c:v>No declarado</c:v>
                </c:pt>
              </c:strCache>
            </c:strRef>
          </c:tx>
          <c:spPr>
            <a:solidFill>
              <a:schemeClr val="bg1">
                <a:lumMod val="65000"/>
              </a:schemeClr>
            </a:solidFill>
          </c:spPr>
          <c:invertIfNegative val="0"/>
          <c:cat>
            <c:strRef>
              <c:f>EstructuraEconomica!$Q$238:$Q$254</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EstructuraEconomica!$AC$238:$AC$254</c:f>
              <c:numCache>
                <c:formatCode>0,000</c:formatCode>
                <c:ptCount val="17"/>
                <c:pt idx="0">
                  <c:v>0.66666666666666663</c:v>
                </c:pt>
                <c:pt idx="1">
                  <c:v>0.14035087719298245</c:v>
                </c:pt>
                <c:pt idx="2">
                  <c:v>4.5517241379310402E-2</c:v>
                </c:pt>
                <c:pt idx="3">
                  <c:v>3.1782065834279241E-2</c:v>
                </c:pt>
                <c:pt idx="4">
                  <c:v>2.3406374501992032E-2</c:v>
                </c:pt>
                <c:pt idx="5">
                  <c:v>4.1078305519897246E-2</c:v>
                </c:pt>
                <c:pt idx="6">
                  <c:v>4.4194756554307123E-2</c:v>
                </c:pt>
                <c:pt idx="7">
                  <c:v>3.8385826771653551E-2</c:v>
                </c:pt>
                <c:pt idx="8">
                  <c:v>3.1123139377537207E-2</c:v>
                </c:pt>
                <c:pt idx="9">
                  <c:v>3.327171903881701E-2</c:v>
                </c:pt>
                <c:pt idx="10">
                  <c:v>5.7591623036649338E-2</c:v>
                </c:pt>
                <c:pt idx="11">
                  <c:v>2.2624434389140267E-2</c:v>
                </c:pt>
                <c:pt idx="12">
                  <c:v>5.8823529411764705E-2</c:v>
                </c:pt>
                <c:pt idx="13">
                  <c:v>6.0000000000000032E-2</c:v>
                </c:pt>
                <c:pt idx="14">
                  <c:v>5.2631578947368432E-2</c:v>
                </c:pt>
                <c:pt idx="15">
                  <c:v>0</c:v>
                </c:pt>
                <c:pt idx="16">
                  <c:v>0.33333333333333331</c:v>
                </c:pt>
              </c:numCache>
            </c:numRef>
          </c:val>
        </c:ser>
        <c:dLbls>
          <c:showLegendKey val="0"/>
          <c:showVal val="0"/>
          <c:showCatName val="0"/>
          <c:showSerName val="0"/>
          <c:showPercent val="0"/>
          <c:showBubbleSize val="0"/>
        </c:dLbls>
        <c:gapWidth val="0"/>
        <c:overlap val="100"/>
        <c:axId val="284263168"/>
        <c:axId val="284265088"/>
      </c:barChart>
      <c:catAx>
        <c:axId val="284263168"/>
        <c:scaling>
          <c:orientation val="maxMin"/>
        </c:scaling>
        <c:delete val="0"/>
        <c:axPos val="l"/>
        <c:title>
          <c:tx>
            <c:rich>
              <a:bodyPr rot="-5400000" vert="horz"/>
              <a:lstStyle/>
              <a:p>
                <a:pPr>
                  <a:defRPr/>
                </a:pPr>
                <a:r>
                  <a:rPr lang="es-EC"/>
                  <a:t>Grupos Etarios</a:t>
                </a:r>
              </a:p>
            </c:rich>
          </c:tx>
          <c:overlay val="0"/>
        </c:title>
        <c:majorTickMark val="out"/>
        <c:minorTickMark val="none"/>
        <c:tickLblPos val="nextTo"/>
        <c:spPr>
          <a:ln>
            <a:solidFill>
              <a:schemeClr val="tx1"/>
            </a:solidFill>
          </a:ln>
        </c:spPr>
        <c:crossAx val="284265088"/>
        <c:crosses val="autoZero"/>
        <c:auto val="1"/>
        <c:lblAlgn val="ctr"/>
        <c:lblOffset val="100"/>
        <c:noMultiLvlLbl val="0"/>
      </c:catAx>
      <c:valAx>
        <c:axId val="284265088"/>
        <c:scaling>
          <c:orientation val="minMax"/>
          <c:max val="1"/>
          <c:min val="0"/>
        </c:scaling>
        <c:delete val="0"/>
        <c:axPos val="t"/>
        <c:title>
          <c:tx>
            <c:rich>
              <a:bodyPr/>
              <a:lstStyle/>
              <a:p>
                <a:pPr>
                  <a:defRPr/>
                </a:pPr>
                <a:r>
                  <a:rPr lang="es-EC"/>
                  <a:t>Frecuencia Relativa</a:t>
                </a:r>
              </a:p>
            </c:rich>
          </c:tx>
          <c:layout>
            <c:manualLayout>
              <c:xMode val="edge"/>
              <c:yMode val="edge"/>
              <c:x val="0.27318000874890641"/>
              <c:y val="0.95708074114498054"/>
            </c:manualLayout>
          </c:layout>
          <c:overlay val="0"/>
        </c:title>
        <c:numFmt formatCode="#,##0.00" sourceLinked="0"/>
        <c:majorTickMark val="in"/>
        <c:minorTickMark val="none"/>
        <c:tickLblPos val="high"/>
        <c:spPr>
          <a:ln>
            <a:solidFill>
              <a:schemeClr val="tx1"/>
            </a:solidFill>
          </a:ln>
        </c:spPr>
        <c:crossAx val="284263168"/>
        <c:crossesAt val="21"/>
        <c:crossBetween val="between"/>
        <c:majorUnit val="0.2"/>
      </c:valAx>
      <c:spPr>
        <a:noFill/>
        <a:ln>
          <a:solidFill>
            <a:schemeClr val="tx1"/>
          </a:solidFill>
        </a:ln>
      </c:spPr>
    </c:plotArea>
    <c:legend>
      <c:legendPos val="r"/>
      <c:layout>
        <c:manualLayout>
          <c:xMode val="edge"/>
          <c:yMode val="edge"/>
          <c:x val="0.65050021872265951"/>
          <c:y val="4.8660823503701732E-2"/>
          <c:w val="0.34166666666666706"/>
          <c:h val="0.88692546976579967"/>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69217788355683263"/>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'Inmigracion(Perfil)'!$H$936:$H$941</c:f>
              <c:strCache>
                <c:ptCount val="6"/>
                <c:pt idx="0">
                  <c:v>Casa/Villa</c:v>
                </c:pt>
                <c:pt idx="1">
                  <c:v>Departamento en casa o edificio</c:v>
                </c:pt>
                <c:pt idx="2">
                  <c:v>Cuarto(s) en casa de inquilinato</c:v>
                </c:pt>
                <c:pt idx="3">
                  <c:v>Otras viviendas particulares</c:v>
                </c:pt>
                <c:pt idx="4">
                  <c:v>Viviendas colectivas</c:v>
                </c:pt>
                <c:pt idx="5">
                  <c:v>Sin viviendas</c:v>
                </c:pt>
              </c:strCache>
            </c:strRef>
          </c:cat>
          <c:val>
            <c:numRef>
              <c:f>Vivienda!$G$3:$G$8</c:f>
              <c:numCache>
                <c:formatCode>0,000</c:formatCode>
                <c:ptCount val="6"/>
                <c:pt idx="0">
                  <c:v>0.49547310491745139</c:v>
                </c:pt>
                <c:pt idx="1">
                  <c:v>0.21693591336765491</c:v>
                </c:pt>
                <c:pt idx="2">
                  <c:v>0.21320788212320282</c:v>
                </c:pt>
                <c:pt idx="3">
                  <c:v>6.4619208237173792E-2</c:v>
                </c:pt>
                <c:pt idx="4">
                  <c:v>9.5863660571631568E-3</c:v>
                </c:pt>
                <c:pt idx="5">
                  <c:v>1.7752529735487354E-4</c:v>
                </c:pt>
              </c:numCache>
            </c:numRef>
          </c:val>
        </c:ser>
        <c:dLbls>
          <c:showLegendKey val="0"/>
          <c:showVal val="1"/>
          <c:showCatName val="0"/>
          <c:showSerName val="0"/>
          <c:showPercent val="0"/>
          <c:showBubbleSize val="0"/>
        </c:dLbls>
        <c:gapWidth val="50"/>
        <c:axId val="284276992"/>
        <c:axId val="284300416"/>
      </c:barChart>
      <c:catAx>
        <c:axId val="284276992"/>
        <c:scaling>
          <c:orientation val="minMax"/>
        </c:scaling>
        <c:delete val="0"/>
        <c:axPos val="b"/>
        <c:title>
          <c:tx>
            <c:rich>
              <a:bodyPr/>
              <a:lstStyle/>
              <a:p>
                <a:pPr>
                  <a:defRPr/>
                </a:pPr>
                <a:r>
                  <a:rPr lang="es-EC"/>
                  <a:t>Tipo de vivienda</a:t>
                </a:r>
              </a:p>
            </c:rich>
          </c:tx>
          <c:overlay val="0"/>
        </c:title>
        <c:numFmt formatCode="###0" sourceLinked="1"/>
        <c:majorTickMark val="out"/>
        <c:minorTickMark val="none"/>
        <c:tickLblPos val="nextTo"/>
        <c:spPr>
          <a:ln>
            <a:solidFill>
              <a:schemeClr val="tx1"/>
            </a:solidFill>
          </a:ln>
        </c:spPr>
        <c:txPr>
          <a:bodyPr rot="0" vert="horz"/>
          <a:lstStyle/>
          <a:p>
            <a:pPr>
              <a:defRPr sz="700"/>
            </a:pPr>
            <a:endParaRPr lang="es-EC"/>
          </a:p>
        </c:txPr>
        <c:crossAx val="284300416"/>
        <c:crosses val="autoZero"/>
        <c:auto val="1"/>
        <c:lblAlgn val="ctr"/>
        <c:lblOffset val="100"/>
        <c:noMultiLvlLbl val="0"/>
      </c:catAx>
      <c:valAx>
        <c:axId val="284300416"/>
        <c:scaling>
          <c:orientation val="minMax"/>
          <c:max val="1"/>
          <c:min val="0"/>
        </c:scaling>
        <c:delete val="0"/>
        <c:axPos val="l"/>
        <c:title>
          <c:tx>
            <c:rich>
              <a:bodyPr rot="-5400000" vert="horz"/>
              <a:lstStyle/>
              <a:p>
                <a:pPr>
                  <a:defRPr/>
                </a:pPr>
                <a:r>
                  <a:rPr lang="es-EC"/>
                  <a:t>Frecuencia Relativa</a:t>
                </a:r>
              </a:p>
            </c:rich>
          </c:tx>
          <c:layout>
            <c:manualLayout>
              <c:xMode val="edge"/>
              <c:yMode val="edge"/>
              <c:x val="8.7278789722100179E-4"/>
              <c:y val="0.12613575599987417"/>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84276992"/>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57616135944457525"/>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'Inmigracion(Perfil)'!$B$1021:$B$1027</c:f>
              <c:strCache>
                <c:ptCount val="7"/>
                <c:pt idx="0">
                  <c:v>Propia y totalmente pagada</c:v>
                </c:pt>
                <c:pt idx="1">
                  <c:v>Propia y la está pagando</c:v>
                </c:pt>
                <c:pt idx="2">
                  <c:v>Propia (regalada, donada, heredada o por posesión)</c:v>
                </c:pt>
                <c:pt idx="3">
                  <c:v>Prestada o cedida (no pagada)</c:v>
                </c:pt>
                <c:pt idx="4">
                  <c:v>Por servicios</c:v>
                </c:pt>
                <c:pt idx="5">
                  <c:v>Arrendada</c:v>
                </c:pt>
                <c:pt idx="6">
                  <c:v>Anticresis</c:v>
                </c:pt>
              </c:strCache>
            </c:strRef>
          </c:cat>
          <c:val>
            <c:numRef>
              <c:f>Vivienda!$G$24:$G$30</c:f>
              <c:numCache>
                <c:formatCode>0,000</c:formatCode>
                <c:ptCount val="7"/>
                <c:pt idx="0">
                  <c:v>0.13814074717636857</c:v>
                </c:pt>
                <c:pt idx="1">
                  <c:v>3.6490008688097354E-2</c:v>
                </c:pt>
                <c:pt idx="2">
                  <c:v>3.5621198957428352E-2</c:v>
                </c:pt>
                <c:pt idx="3">
                  <c:v>8.7923544743701135E-2</c:v>
                </c:pt>
                <c:pt idx="4">
                  <c:v>4.8305821025195483E-2</c:v>
                </c:pt>
                <c:pt idx="5">
                  <c:v>0.65299739357080933</c:v>
                </c:pt>
                <c:pt idx="6">
                  <c:v>5.2128583840139108E-4</c:v>
                </c:pt>
              </c:numCache>
            </c:numRef>
          </c:val>
        </c:ser>
        <c:dLbls>
          <c:showLegendKey val="0"/>
          <c:showVal val="1"/>
          <c:showCatName val="0"/>
          <c:showSerName val="0"/>
          <c:showPercent val="0"/>
          <c:showBubbleSize val="0"/>
        </c:dLbls>
        <c:gapWidth val="50"/>
        <c:axId val="284303744"/>
        <c:axId val="284314624"/>
      </c:barChart>
      <c:catAx>
        <c:axId val="284303744"/>
        <c:scaling>
          <c:orientation val="minMax"/>
        </c:scaling>
        <c:delete val="0"/>
        <c:axPos val="b"/>
        <c:title>
          <c:tx>
            <c:rich>
              <a:bodyPr/>
              <a:lstStyle/>
              <a:p>
                <a:pPr>
                  <a:defRPr/>
                </a:pPr>
                <a:r>
                  <a:rPr lang="es-EC"/>
                  <a:t>La vivienda que ocupa</a:t>
                </a:r>
                <a:r>
                  <a:rPr lang="es-EC" baseline="0"/>
                  <a:t> este hogar</a:t>
                </a:r>
                <a:endParaRPr lang="es-EC"/>
              </a:p>
            </c:rich>
          </c:tx>
          <c:overlay val="0"/>
        </c:title>
        <c:numFmt formatCode="###0" sourceLinked="1"/>
        <c:majorTickMark val="out"/>
        <c:minorTickMark val="none"/>
        <c:tickLblPos val="nextTo"/>
        <c:spPr>
          <a:ln>
            <a:solidFill>
              <a:schemeClr val="tx1"/>
            </a:solidFill>
          </a:ln>
        </c:spPr>
        <c:txPr>
          <a:bodyPr rot="0" vert="horz"/>
          <a:lstStyle/>
          <a:p>
            <a:pPr>
              <a:defRPr sz="650"/>
            </a:pPr>
            <a:endParaRPr lang="es-EC"/>
          </a:p>
        </c:txPr>
        <c:crossAx val="284314624"/>
        <c:crosses val="autoZero"/>
        <c:auto val="1"/>
        <c:lblAlgn val="ctr"/>
        <c:lblOffset val="100"/>
        <c:noMultiLvlLbl val="0"/>
      </c:catAx>
      <c:valAx>
        <c:axId val="284314624"/>
        <c:scaling>
          <c:orientation val="minMax"/>
          <c:max val="1"/>
          <c:min val="0"/>
        </c:scaling>
        <c:delete val="0"/>
        <c:axPos val="l"/>
        <c:title>
          <c:tx>
            <c:rich>
              <a:bodyPr rot="-5400000" vert="horz"/>
              <a:lstStyle/>
              <a:p>
                <a:pPr>
                  <a:defRPr/>
                </a:pPr>
                <a:r>
                  <a:rPr lang="es-EC"/>
                  <a:t>Frecuencia Relativa</a:t>
                </a:r>
              </a:p>
            </c:rich>
          </c:tx>
          <c:layout>
            <c:manualLayout>
              <c:xMode val="edge"/>
              <c:yMode val="edge"/>
              <c:x val="8.7278789722100179E-4"/>
              <c:y val="5.4761362310304013E-2"/>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84303744"/>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69279981511745015"/>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'Inmigracion(Perfil)'!$B$1035:$B$1039</c:f>
              <c:strCache>
                <c:ptCount val="5"/>
                <c:pt idx="0">
                  <c:v>Viviendas sin dormitorio</c:v>
                </c:pt>
                <c:pt idx="1">
                  <c:v>Menos de 2 personas por dormitorio</c:v>
                </c:pt>
                <c:pt idx="2">
                  <c:v>De 2 a 3 personas por dormitorio</c:v>
                </c:pt>
                <c:pt idx="3">
                  <c:v>De 4 a 5 personas por dormitorio</c:v>
                </c:pt>
                <c:pt idx="4">
                  <c:v>Más de 5 personas por dormitorio</c:v>
                </c:pt>
              </c:strCache>
            </c:strRef>
          </c:cat>
          <c:val>
            <c:numRef>
              <c:f>Vivienda!$G$38:$G$42</c:f>
              <c:numCache>
                <c:formatCode>0,000</c:formatCode>
                <c:ptCount val="5"/>
                <c:pt idx="0">
                  <c:v>6.45392613840087E-2</c:v>
                </c:pt>
                <c:pt idx="1">
                  <c:v>0.42237361061312301</c:v>
                </c:pt>
                <c:pt idx="2">
                  <c:v>0.35568304051631378</c:v>
                </c:pt>
                <c:pt idx="3">
                  <c:v>0.12818214413768375</c:v>
                </c:pt>
                <c:pt idx="4">
                  <c:v>2.9221943348870599E-2</c:v>
                </c:pt>
              </c:numCache>
            </c:numRef>
          </c:val>
        </c:ser>
        <c:dLbls>
          <c:showLegendKey val="0"/>
          <c:showVal val="1"/>
          <c:showCatName val="0"/>
          <c:showSerName val="0"/>
          <c:showPercent val="0"/>
          <c:showBubbleSize val="0"/>
        </c:dLbls>
        <c:gapWidth val="50"/>
        <c:axId val="284333952"/>
        <c:axId val="284353664"/>
      </c:barChart>
      <c:catAx>
        <c:axId val="284333952"/>
        <c:scaling>
          <c:orientation val="minMax"/>
        </c:scaling>
        <c:delete val="0"/>
        <c:axPos val="b"/>
        <c:title>
          <c:tx>
            <c:rich>
              <a:bodyPr/>
              <a:lstStyle/>
              <a:p>
                <a:pPr>
                  <a:defRPr/>
                </a:pPr>
                <a:r>
                  <a:rPr lang="es-EC"/>
                  <a:t>Número de personas por dormitorio</a:t>
                </a:r>
              </a:p>
            </c:rich>
          </c:tx>
          <c:overlay val="0"/>
        </c:title>
        <c:numFmt formatCode="###0" sourceLinked="1"/>
        <c:majorTickMark val="out"/>
        <c:minorTickMark val="none"/>
        <c:tickLblPos val="nextTo"/>
        <c:spPr>
          <a:ln>
            <a:solidFill>
              <a:schemeClr val="tx1"/>
            </a:solidFill>
          </a:ln>
        </c:spPr>
        <c:txPr>
          <a:bodyPr rot="0" vert="horz"/>
          <a:lstStyle/>
          <a:p>
            <a:pPr>
              <a:defRPr sz="600"/>
            </a:pPr>
            <a:endParaRPr lang="es-EC"/>
          </a:p>
        </c:txPr>
        <c:crossAx val="284353664"/>
        <c:crosses val="autoZero"/>
        <c:auto val="1"/>
        <c:lblAlgn val="ctr"/>
        <c:lblOffset val="100"/>
        <c:noMultiLvlLbl val="0"/>
      </c:catAx>
      <c:valAx>
        <c:axId val="284353664"/>
        <c:scaling>
          <c:orientation val="minMax"/>
          <c:max val="1"/>
          <c:min val="0"/>
        </c:scaling>
        <c:delete val="0"/>
        <c:axPos val="l"/>
        <c:title>
          <c:tx>
            <c:rich>
              <a:bodyPr rot="-5400000" vert="horz"/>
              <a:lstStyle/>
              <a:p>
                <a:pPr>
                  <a:defRPr sz="700"/>
                </a:pPr>
                <a:r>
                  <a:rPr lang="es-EC" sz="700"/>
                  <a:t>Frecuencia Relativa</a:t>
                </a:r>
              </a:p>
            </c:rich>
          </c:tx>
          <c:layout>
            <c:manualLayout>
              <c:xMode val="edge"/>
              <c:yMode val="edge"/>
              <c:x val="8.7278789722100179E-4"/>
              <c:y val="6.6156944577643886E-2"/>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84333952"/>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534304818232563"/>
          <c:y val="3.0651337633589532E-2"/>
          <c:w val="0.66798280305459712"/>
          <c:h val="0.88385207946567668"/>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Perfil!$B$3:$B$27</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Perfil!$G$3:$G$27</c:f>
              <c:numCache>
                <c:formatCode>0,000</c:formatCode>
                <c:ptCount val="25"/>
                <c:pt idx="0">
                  <c:v>0.21788639541852586</c:v>
                </c:pt>
                <c:pt idx="1">
                  <c:v>5.9932076979423473E-4</c:v>
                </c:pt>
                <c:pt idx="2">
                  <c:v>5.2407271758673567E-2</c:v>
                </c:pt>
                <c:pt idx="3">
                  <c:v>8.6568555636944795E-4</c:v>
                </c:pt>
                <c:pt idx="4">
                  <c:v>3.9288806019844233E-3</c:v>
                </c:pt>
                <c:pt idx="5">
                  <c:v>2.0177132583072577E-2</c:v>
                </c:pt>
                <c:pt idx="6">
                  <c:v>1.5648931211293869E-2</c:v>
                </c:pt>
                <c:pt idx="7">
                  <c:v>5.2607045348604916E-3</c:v>
                </c:pt>
                <c:pt idx="8">
                  <c:v>0.21555570353599282</c:v>
                </c:pt>
                <c:pt idx="9">
                  <c:v>2.2641006858893302E-2</c:v>
                </c:pt>
                <c:pt idx="10">
                  <c:v>2.1109409336085763E-2</c:v>
                </c:pt>
                <c:pt idx="11">
                  <c:v>4.7279749617100617E-3</c:v>
                </c:pt>
                <c:pt idx="12">
                  <c:v>4.3417460211760003E-2</c:v>
                </c:pt>
                <c:pt idx="13">
                  <c:v>2.1508956515948589E-2</c:v>
                </c:pt>
                <c:pt idx="14">
                  <c:v>2.6636478657521517E-3</c:v>
                </c:pt>
                <c:pt idx="15">
                  <c:v>9.4559499234201441E-3</c:v>
                </c:pt>
                <c:pt idx="16">
                  <c:v>0.28580941599520604</c:v>
                </c:pt>
                <c:pt idx="17">
                  <c:v>2.9899447293067857E-2</c:v>
                </c:pt>
                <c:pt idx="18">
                  <c:v>1.8645535060265077E-3</c:v>
                </c:pt>
                <c:pt idx="19">
                  <c:v>4.6613837650662593E-3</c:v>
                </c:pt>
                <c:pt idx="20">
                  <c:v>9.3227675301325288E-4</c:v>
                </c:pt>
                <c:pt idx="21">
                  <c:v>6.6591196643803771E-4</c:v>
                </c:pt>
                <c:pt idx="22">
                  <c:v>7.9909435972564512E-3</c:v>
                </c:pt>
                <c:pt idx="23">
                  <c:v>1.0055270693214361E-2</c:v>
                </c:pt>
                <c:pt idx="24">
                  <c:v>2.6636478657521539E-4</c:v>
                </c:pt>
              </c:numCache>
            </c:numRef>
          </c:val>
        </c:ser>
        <c:dLbls>
          <c:showLegendKey val="0"/>
          <c:showVal val="0"/>
          <c:showCatName val="0"/>
          <c:showSerName val="0"/>
          <c:showPercent val="0"/>
          <c:showBubbleSize val="0"/>
        </c:dLbls>
        <c:gapWidth val="40"/>
        <c:axId val="284443776"/>
        <c:axId val="284445696"/>
      </c:barChart>
      <c:catAx>
        <c:axId val="284443776"/>
        <c:scaling>
          <c:orientation val="maxMin"/>
        </c:scaling>
        <c:delete val="0"/>
        <c:axPos val="l"/>
        <c:title>
          <c:tx>
            <c:rich>
              <a:bodyPr rot="-5400000" vert="horz"/>
              <a:lstStyle/>
              <a:p>
                <a:pPr>
                  <a:defRPr/>
                </a:pPr>
                <a:r>
                  <a:rPr lang="es-EC"/>
                  <a:t>Provincia de residencia</a:t>
                </a:r>
                <a:r>
                  <a:rPr lang="es-EC" baseline="0"/>
                  <a:t> habitual</a:t>
                </a:r>
                <a:endParaRPr lang="es-EC"/>
              </a:p>
            </c:rich>
          </c:tx>
          <c:overlay val="0"/>
        </c:title>
        <c:majorTickMark val="out"/>
        <c:minorTickMark val="none"/>
        <c:tickLblPos val="nextTo"/>
        <c:spPr>
          <a:ln>
            <a:solidFill>
              <a:schemeClr val="tx1"/>
            </a:solidFill>
          </a:ln>
        </c:spPr>
        <c:txPr>
          <a:bodyPr/>
          <a:lstStyle/>
          <a:p>
            <a:pPr>
              <a:defRPr sz="700"/>
            </a:pPr>
            <a:endParaRPr lang="es-EC"/>
          </a:p>
        </c:txPr>
        <c:crossAx val="284445696"/>
        <c:crosses val="autoZero"/>
        <c:auto val="1"/>
        <c:lblAlgn val="ctr"/>
        <c:lblOffset val="100"/>
        <c:noMultiLvlLbl val="0"/>
      </c:catAx>
      <c:valAx>
        <c:axId val="284445696"/>
        <c:scaling>
          <c:orientation val="minMax"/>
          <c:max val="1"/>
          <c:min val="0"/>
        </c:scaling>
        <c:delete val="0"/>
        <c:axPos val="t"/>
        <c:title>
          <c:tx>
            <c:rich>
              <a:bodyPr/>
              <a:lstStyle/>
              <a:p>
                <a:pPr>
                  <a:defRPr/>
                </a:pPr>
                <a:r>
                  <a:rPr lang="es-EC"/>
                  <a:t>Frecuencia Relativa</a:t>
                </a:r>
              </a:p>
            </c:rich>
          </c:tx>
          <c:layout>
            <c:manualLayout>
              <c:xMode val="edge"/>
              <c:yMode val="edge"/>
              <c:x val="0.48692105794468055"/>
              <c:y val="0.95950155763239875"/>
            </c:manualLayout>
          </c:layout>
          <c:overlay val="0"/>
        </c:title>
        <c:numFmt formatCode="#,##0.00" sourceLinked="0"/>
        <c:majorTickMark val="in"/>
        <c:minorTickMark val="none"/>
        <c:tickLblPos val="high"/>
        <c:spPr>
          <a:ln>
            <a:solidFill>
              <a:schemeClr val="tx1"/>
            </a:solidFill>
          </a:ln>
        </c:spPr>
        <c:crossAx val="284443776"/>
        <c:crossesAt val="26"/>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100947562981663E-2"/>
          <c:y val="5.1400554097404488E-2"/>
          <c:w val="0.91778623630992262"/>
          <c:h val="0.53721928594542101"/>
        </c:manualLayout>
      </c:layout>
      <c:lineChart>
        <c:grouping val="standard"/>
        <c:varyColors val="0"/>
        <c:ser>
          <c:idx val="1"/>
          <c:order val="0"/>
          <c:tx>
            <c:v>Tasa a nivel Nacional</c:v>
          </c:tx>
          <c:spPr>
            <a:ln w="19050">
              <a:solidFill>
                <a:srgbClr val="D735B4"/>
              </a:solidFill>
            </a:ln>
          </c:spPr>
          <c:marker>
            <c:symbol val="none"/>
          </c:marker>
          <c:cat>
            <c:strRef>
              <c:f>Perfil!$AI$3:$AI$27</c:f>
              <c:strCache>
                <c:ptCount val="25"/>
                <c:pt idx="0">
                  <c:v>Azuay</c:v>
                </c:pt>
                <c:pt idx="1">
                  <c:v>Bolívar</c:v>
                </c:pt>
                <c:pt idx="2">
                  <c:v>Cañar</c:v>
                </c:pt>
                <c:pt idx="3">
                  <c:v>Carchi</c:v>
                </c:pt>
                <c:pt idx="4">
                  <c:v>Chimborazo</c:v>
                </c:pt>
                <c:pt idx="5">
                  <c:v>Cotopaxi</c:v>
                </c:pt>
                <c:pt idx="6">
                  <c:v>El Oro</c:v>
                </c:pt>
                <c:pt idx="7">
                  <c:v>Esmeraldas</c:v>
                </c:pt>
                <c:pt idx="8">
                  <c:v>Galápagos</c:v>
                </c:pt>
                <c:pt idx="9">
                  <c:v>Guayas</c:v>
                </c:pt>
                <c:pt idx="10">
                  <c:v>Imbabura</c:v>
                </c:pt>
                <c:pt idx="11">
                  <c:v>Loja</c:v>
                </c:pt>
                <c:pt idx="12">
                  <c:v>Los Ríos</c:v>
                </c:pt>
                <c:pt idx="13">
                  <c:v>Manabí</c:v>
                </c:pt>
                <c:pt idx="14">
                  <c:v>Morona Santiago</c:v>
                </c:pt>
                <c:pt idx="15">
                  <c:v>Napo</c:v>
                </c:pt>
                <c:pt idx="16">
                  <c:v>Orellana</c:v>
                </c:pt>
                <c:pt idx="17">
                  <c:v>Pastaza</c:v>
                </c:pt>
                <c:pt idx="18">
                  <c:v>Pichincha</c:v>
                </c:pt>
                <c:pt idx="19">
                  <c:v>Santa Elena</c:v>
                </c:pt>
                <c:pt idx="20">
                  <c:v>Santo Domingo</c:v>
                </c:pt>
                <c:pt idx="21">
                  <c:v>Sucumbíos</c:v>
                </c:pt>
                <c:pt idx="22">
                  <c:v>Tungurahua</c:v>
                </c:pt>
                <c:pt idx="23">
                  <c:v>Zamora Chinchipe</c:v>
                </c:pt>
                <c:pt idx="24">
                  <c:v>Zonas No Delimitadas</c:v>
                </c:pt>
              </c:strCache>
            </c:strRef>
          </c:cat>
          <c:val>
            <c:numRef>
              <c:f>Perfil!$AK$3:$AK$27</c:f>
              <c:numCache>
                <c:formatCode>0.00</c:formatCode>
                <c:ptCount val="25"/>
                <c:pt idx="0">
                  <c:v>1.0368350907470634</c:v>
                </c:pt>
                <c:pt idx="1">
                  <c:v>1.0368350907470634</c:v>
                </c:pt>
                <c:pt idx="2">
                  <c:v>1.0368350907470634</c:v>
                </c:pt>
                <c:pt idx="3">
                  <c:v>1.0368350907470634</c:v>
                </c:pt>
                <c:pt idx="4">
                  <c:v>1.0368350907470634</c:v>
                </c:pt>
                <c:pt idx="5">
                  <c:v>1.0368350907470634</c:v>
                </c:pt>
                <c:pt idx="6">
                  <c:v>1.0368350907470634</c:v>
                </c:pt>
                <c:pt idx="7">
                  <c:v>1.0368350907470634</c:v>
                </c:pt>
                <c:pt idx="8">
                  <c:v>1.0368350907470634</c:v>
                </c:pt>
                <c:pt idx="9">
                  <c:v>1.0368350907470634</c:v>
                </c:pt>
                <c:pt idx="10">
                  <c:v>1.0368350907470634</c:v>
                </c:pt>
                <c:pt idx="11">
                  <c:v>1.0368350907470634</c:v>
                </c:pt>
                <c:pt idx="12">
                  <c:v>1.0368350907470634</c:v>
                </c:pt>
                <c:pt idx="13">
                  <c:v>1.0368350907470634</c:v>
                </c:pt>
                <c:pt idx="14">
                  <c:v>1.0368350907470634</c:v>
                </c:pt>
                <c:pt idx="15">
                  <c:v>1.0368350907470634</c:v>
                </c:pt>
                <c:pt idx="16">
                  <c:v>1.0368350907470634</c:v>
                </c:pt>
                <c:pt idx="17">
                  <c:v>1.0368350907470634</c:v>
                </c:pt>
                <c:pt idx="18">
                  <c:v>1.0368350907470634</c:v>
                </c:pt>
                <c:pt idx="19">
                  <c:v>1.0368350907470634</c:v>
                </c:pt>
                <c:pt idx="20">
                  <c:v>1.0368350907470634</c:v>
                </c:pt>
                <c:pt idx="21">
                  <c:v>1.0368350907470634</c:v>
                </c:pt>
                <c:pt idx="22">
                  <c:v>1.0368350907470634</c:v>
                </c:pt>
                <c:pt idx="23">
                  <c:v>1.0368350907470634</c:v>
                </c:pt>
                <c:pt idx="24">
                  <c:v>1.0368350907470634</c:v>
                </c:pt>
              </c:numCache>
            </c:numRef>
          </c:val>
          <c:smooth val="0"/>
        </c:ser>
        <c:ser>
          <c:idx val="0"/>
          <c:order val="1"/>
          <c:tx>
            <c:v>Tasa a nivel Provincial</c:v>
          </c:tx>
          <c:spPr>
            <a:ln>
              <a:noFill/>
            </a:ln>
          </c:spPr>
          <c:marker>
            <c:symbol val="circle"/>
            <c:size val="4"/>
            <c:spPr>
              <a:solidFill>
                <a:srgbClr val="002060"/>
              </a:solidFill>
            </c:spPr>
          </c:marker>
          <c:cat>
            <c:strRef>
              <c:f>Perfil!$AI$3:$AI$27</c:f>
              <c:strCache>
                <c:ptCount val="25"/>
                <c:pt idx="0">
                  <c:v>Azuay</c:v>
                </c:pt>
                <c:pt idx="1">
                  <c:v>Bolívar</c:v>
                </c:pt>
                <c:pt idx="2">
                  <c:v>Cañar</c:v>
                </c:pt>
                <c:pt idx="3">
                  <c:v>Carchi</c:v>
                </c:pt>
                <c:pt idx="4">
                  <c:v>Chimborazo</c:v>
                </c:pt>
                <c:pt idx="5">
                  <c:v>Cotopaxi</c:v>
                </c:pt>
                <c:pt idx="6">
                  <c:v>El Oro</c:v>
                </c:pt>
                <c:pt idx="7">
                  <c:v>Esmeraldas</c:v>
                </c:pt>
                <c:pt idx="8">
                  <c:v>Galápagos</c:v>
                </c:pt>
                <c:pt idx="9">
                  <c:v>Guayas</c:v>
                </c:pt>
                <c:pt idx="10">
                  <c:v>Imbabura</c:v>
                </c:pt>
                <c:pt idx="11">
                  <c:v>Loja</c:v>
                </c:pt>
                <c:pt idx="12">
                  <c:v>Los Ríos</c:v>
                </c:pt>
                <c:pt idx="13">
                  <c:v>Manabí</c:v>
                </c:pt>
                <c:pt idx="14">
                  <c:v>Morona Santiago</c:v>
                </c:pt>
                <c:pt idx="15">
                  <c:v>Napo</c:v>
                </c:pt>
                <c:pt idx="16">
                  <c:v>Orellana</c:v>
                </c:pt>
                <c:pt idx="17">
                  <c:v>Pastaza</c:v>
                </c:pt>
                <c:pt idx="18">
                  <c:v>Pichincha</c:v>
                </c:pt>
                <c:pt idx="19">
                  <c:v>Santa Elena</c:v>
                </c:pt>
                <c:pt idx="20">
                  <c:v>Santo Domingo</c:v>
                </c:pt>
                <c:pt idx="21">
                  <c:v>Sucumbíos</c:v>
                </c:pt>
                <c:pt idx="22">
                  <c:v>Tungurahua</c:v>
                </c:pt>
                <c:pt idx="23">
                  <c:v>Zamora Chinchipe</c:v>
                </c:pt>
                <c:pt idx="24">
                  <c:v>Zonas No Delimitadas</c:v>
                </c:pt>
              </c:strCache>
            </c:strRef>
          </c:cat>
          <c:val>
            <c:numRef>
              <c:f>Perfil!$AJ$3:$AJ$27</c:f>
              <c:numCache>
                <c:formatCode>0.00</c:formatCode>
                <c:ptCount val="25"/>
                <c:pt idx="0">
                  <c:v>4.6034841283910541</c:v>
                </c:pt>
                <c:pt idx="1">
                  <c:v>4.8981724374394506E-2</c:v>
                </c:pt>
                <c:pt idx="2">
                  <c:v>3.5066144461821582</c:v>
                </c:pt>
                <c:pt idx="3">
                  <c:v>7.9190068347120612E-2</c:v>
                </c:pt>
                <c:pt idx="4">
                  <c:v>0.66076413119330146</c:v>
                </c:pt>
                <c:pt idx="5">
                  <c:v>0.14470963643543402</c:v>
                </c:pt>
                <c:pt idx="6">
                  <c:v>0.39298250308115079</c:v>
                </c:pt>
                <c:pt idx="7">
                  <c:v>0.14820234309780453</c:v>
                </c:pt>
                <c:pt idx="8">
                  <c:v>2.9623360135421075</c:v>
                </c:pt>
                <c:pt idx="9">
                  <c:v>0.88975968242423664</c:v>
                </c:pt>
                <c:pt idx="10">
                  <c:v>0.85599409867597975</c:v>
                </c:pt>
                <c:pt idx="11">
                  <c:v>0.70390947324477993</c:v>
                </c:pt>
                <c:pt idx="12">
                  <c:v>9.124380730850043E-2</c:v>
                </c:pt>
                <c:pt idx="13">
                  <c:v>0.47553059587192781</c:v>
                </c:pt>
                <c:pt idx="14">
                  <c:v>2.1875317463005062</c:v>
                </c:pt>
                <c:pt idx="15">
                  <c:v>0.38887430610241086</c:v>
                </c:pt>
                <c:pt idx="16">
                  <c:v>7.4245112815448919E-2</c:v>
                </c:pt>
                <c:pt idx="17">
                  <c:v>1.7010469824384855</c:v>
                </c:pt>
                <c:pt idx="18">
                  <c:v>1.6647086042395767</c:v>
                </c:pt>
                <c:pt idx="19">
                  <c:v>0.49259798132694865</c:v>
                </c:pt>
                <c:pt idx="20">
                  <c:v>0.32668795583178872</c:v>
                </c:pt>
                <c:pt idx="21">
                  <c:v>8.0237962872748328E-2</c:v>
                </c:pt>
                <c:pt idx="22">
                  <c:v>0.89278435380507071</c:v>
                </c:pt>
                <c:pt idx="23">
                  <c:v>0.30971053126417253</c:v>
                </c:pt>
                <c:pt idx="24">
                  <c:v>0.1265582484338417</c:v>
                </c:pt>
              </c:numCache>
            </c:numRef>
          </c:val>
          <c:smooth val="0"/>
        </c:ser>
        <c:dLbls>
          <c:showLegendKey val="0"/>
          <c:showVal val="0"/>
          <c:showCatName val="0"/>
          <c:showSerName val="0"/>
          <c:showPercent val="0"/>
          <c:showBubbleSize val="0"/>
        </c:dLbls>
        <c:marker val="1"/>
        <c:smooth val="0"/>
        <c:axId val="284462080"/>
        <c:axId val="284497408"/>
      </c:lineChart>
      <c:catAx>
        <c:axId val="284462080"/>
        <c:scaling>
          <c:orientation val="minMax"/>
        </c:scaling>
        <c:delete val="0"/>
        <c:axPos val="b"/>
        <c:title>
          <c:tx>
            <c:rich>
              <a:bodyPr/>
              <a:lstStyle/>
              <a:p>
                <a:pPr>
                  <a:defRPr/>
                </a:pPr>
                <a:r>
                  <a:rPr lang="es-EC"/>
                  <a:t>Provincia</a:t>
                </a:r>
              </a:p>
            </c:rich>
          </c:tx>
          <c:overlay val="0"/>
        </c:title>
        <c:numFmt formatCode="General" sourceLinked="1"/>
        <c:majorTickMark val="out"/>
        <c:minorTickMark val="none"/>
        <c:tickLblPos val="nextTo"/>
        <c:spPr>
          <a:ln>
            <a:solidFill>
              <a:schemeClr val="tx1"/>
            </a:solidFill>
          </a:ln>
        </c:spPr>
        <c:txPr>
          <a:bodyPr rot="-5400000" vert="horz"/>
          <a:lstStyle/>
          <a:p>
            <a:pPr>
              <a:defRPr sz="600"/>
            </a:pPr>
            <a:endParaRPr lang="es-EC"/>
          </a:p>
        </c:txPr>
        <c:crossAx val="284497408"/>
        <c:crosses val="autoZero"/>
        <c:auto val="1"/>
        <c:lblAlgn val="ctr"/>
        <c:lblOffset val="100"/>
        <c:noMultiLvlLbl val="0"/>
      </c:catAx>
      <c:valAx>
        <c:axId val="284497408"/>
        <c:scaling>
          <c:orientation val="minMax"/>
          <c:max val="6"/>
        </c:scaling>
        <c:delete val="0"/>
        <c:axPos val="l"/>
        <c:title>
          <c:tx>
            <c:rich>
              <a:bodyPr rot="-5400000" vert="horz"/>
              <a:lstStyle/>
              <a:p>
                <a:pPr>
                  <a:defRPr/>
                </a:pPr>
                <a:r>
                  <a:rPr lang="es-EC"/>
                  <a:t>Tasa de Inmigración</a:t>
                </a:r>
              </a:p>
            </c:rich>
          </c:tx>
          <c:overlay val="0"/>
        </c:title>
        <c:numFmt formatCode="0" sourceLinked="0"/>
        <c:majorTickMark val="out"/>
        <c:minorTickMark val="none"/>
        <c:tickLblPos val="nextTo"/>
        <c:spPr>
          <a:ln>
            <a:solidFill>
              <a:schemeClr val="tx1"/>
            </a:solidFill>
          </a:ln>
        </c:spPr>
        <c:crossAx val="284462080"/>
        <c:crosses val="autoZero"/>
        <c:crossBetween val="between"/>
        <c:majorUnit val="1"/>
      </c:valAx>
      <c:spPr>
        <a:noFill/>
        <a:ln>
          <a:solidFill>
            <a:schemeClr val="tx1"/>
          </a:solidFill>
        </a:ln>
      </c:spPr>
    </c:plotArea>
    <c:legend>
      <c:legendPos val="r"/>
      <c:layout>
        <c:manualLayout>
          <c:xMode val="edge"/>
          <c:yMode val="edge"/>
          <c:x val="0.36702135162616778"/>
          <c:y val="6.9060586176727903E-2"/>
          <c:w val="0.61630148767998216"/>
          <c:h val="7.9471420239136906E-2"/>
        </c:manualLayout>
      </c:layout>
      <c:overlay val="0"/>
      <c:spPr>
        <a:ln>
          <a:noFill/>
        </a:ln>
      </c:spPr>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523279573561839E-2"/>
          <c:y val="5.1400554097404488E-2"/>
          <c:w val="0.91336390429934178"/>
          <c:h val="0.54502957325320434"/>
        </c:manualLayout>
      </c:layout>
      <c:lineChart>
        <c:grouping val="standard"/>
        <c:varyColors val="0"/>
        <c:ser>
          <c:idx val="1"/>
          <c:order val="0"/>
          <c:tx>
            <c:v>Tasa a nivel Nacional</c:v>
          </c:tx>
          <c:spPr>
            <a:ln w="19050">
              <a:solidFill>
                <a:srgbClr val="D735B4"/>
              </a:solidFill>
            </a:ln>
          </c:spPr>
          <c:marker>
            <c:symbol val="none"/>
          </c:marker>
          <c:cat>
            <c:strRef>
              <c:f>Perfil!$AT$3:$AT$27</c:f>
              <c:strCache>
                <c:ptCount val="25"/>
                <c:pt idx="0">
                  <c:v>Azuay</c:v>
                </c:pt>
                <c:pt idx="1">
                  <c:v>Cañar</c:v>
                </c:pt>
                <c:pt idx="2">
                  <c:v>Galápagos</c:v>
                </c:pt>
                <c:pt idx="3">
                  <c:v>Morona Santiago</c:v>
                </c:pt>
                <c:pt idx="4">
                  <c:v>Pastaza</c:v>
                </c:pt>
                <c:pt idx="5">
                  <c:v>Pichincha</c:v>
                </c:pt>
                <c:pt idx="6">
                  <c:v>Tungurahua</c:v>
                </c:pt>
                <c:pt idx="7">
                  <c:v>Guayas</c:v>
                </c:pt>
                <c:pt idx="8">
                  <c:v>Imbabura</c:v>
                </c:pt>
                <c:pt idx="9">
                  <c:v>Loja</c:v>
                </c:pt>
                <c:pt idx="10">
                  <c:v>Chimborazo</c:v>
                </c:pt>
                <c:pt idx="11">
                  <c:v>Santa Elena</c:v>
                </c:pt>
                <c:pt idx="12">
                  <c:v>Manabí</c:v>
                </c:pt>
                <c:pt idx="13">
                  <c:v>El Oro</c:v>
                </c:pt>
                <c:pt idx="14">
                  <c:v>Napo</c:v>
                </c:pt>
                <c:pt idx="15">
                  <c:v>Santo Domingo</c:v>
                </c:pt>
                <c:pt idx="16">
                  <c:v>Zamora Chinchipe</c:v>
                </c:pt>
                <c:pt idx="17">
                  <c:v>Esmeraldas</c:v>
                </c:pt>
                <c:pt idx="18">
                  <c:v>Cotopaxi</c:v>
                </c:pt>
                <c:pt idx="19">
                  <c:v>Zonas No Delimitadas</c:v>
                </c:pt>
                <c:pt idx="20">
                  <c:v>Los Ríos</c:v>
                </c:pt>
                <c:pt idx="21">
                  <c:v>Sucumbíos</c:v>
                </c:pt>
                <c:pt idx="22">
                  <c:v>Carchi</c:v>
                </c:pt>
                <c:pt idx="23">
                  <c:v>Orellana</c:v>
                </c:pt>
                <c:pt idx="24">
                  <c:v>Bolívar</c:v>
                </c:pt>
              </c:strCache>
            </c:strRef>
          </c:cat>
          <c:val>
            <c:numRef>
              <c:f>Perfil!$AV$3:$AV$27</c:f>
              <c:numCache>
                <c:formatCode>0.00</c:formatCode>
                <c:ptCount val="25"/>
                <c:pt idx="0">
                  <c:v>1.0368350907470634</c:v>
                </c:pt>
                <c:pt idx="1">
                  <c:v>1.0368350907470634</c:v>
                </c:pt>
                <c:pt idx="2">
                  <c:v>1.0368350907470634</c:v>
                </c:pt>
                <c:pt idx="3">
                  <c:v>1.0368350907470634</c:v>
                </c:pt>
                <c:pt idx="4">
                  <c:v>1.0368350907470634</c:v>
                </c:pt>
                <c:pt idx="5">
                  <c:v>1.0368350907470634</c:v>
                </c:pt>
                <c:pt idx="6">
                  <c:v>1.0368350907470634</c:v>
                </c:pt>
                <c:pt idx="7">
                  <c:v>1.0368350907470634</c:v>
                </c:pt>
                <c:pt idx="8">
                  <c:v>1.0368350907470634</c:v>
                </c:pt>
                <c:pt idx="9">
                  <c:v>1.0368350907470634</c:v>
                </c:pt>
                <c:pt idx="10">
                  <c:v>1.0368350907470634</c:v>
                </c:pt>
                <c:pt idx="11">
                  <c:v>1.0368350907470634</c:v>
                </c:pt>
                <c:pt idx="12">
                  <c:v>1.0368350907470634</c:v>
                </c:pt>
                <c:pt idx="13">
                  <c:v>1.0368350907470634</c:v>
                </c:pt>
                <c:pt idx="14">
                  <c:v>1.0368350907470634</c:v>
                </c:pt>
                <c:pt idx="15">
                  <c:v>1.0368350907470634</c:v>
                </c:pt>
                <c:pt idx="16">
                  <c:v>1.0368350907470634</c:v>
                </c:pt>
                <c:pt idx="17">
                  <c:v>1.0368350907470634</c:v>
                </c:pt>
                <c:pt idx="18">
                  <c:v>1.0368350907470634</c:v>
                </c:pt>
                <c:pt idx="19">
                  <c:v>1.0368350907470634</c:v>
                </c:pt>
                <c:pt idx="20">
                  <c:v>1.0368350907470634</c:v>
                </c:pt>
                <c:pt idx="21">
                  <c:v>1.0368350907470634</c:v>
                </c:pt>
                <c:pt idx="22">
                  <c:v>1.0368350907470634</c:v>
                </c:pt>
                <c:pt idx="23">
                  <c:v>1.0368350907470634</c:v>
                </c:pt>
                <c:pt idx="24">
                  <c:v>1.0368350907470634</c:v>
                </c:pt>
              </c:numCache>
            </c:numRef>
          </c:val>
          <c:smooth val="0"/>
        </c:ser>
        <c:ser>
          <c:idx val="0"/>
          <c:order val="1"/>
          <c:tx>
            <c:v>Tasa a nivel Provincial</c:v>
          </c:tx>
          <c:spPr>
            <a:ln>
              <a:noFill/>
            </a:ln>
          </c:spPr>
          <c:marker>
            <c:symbol val="circle"/>
            <c:size val="4"/>
            <c:spPr>
              <a:solidFill>
                <a:srgbClr val="002060"/>
              </a:solidFill>
            </c:spPr>
          </c:marker>
          <c:cat>
            <c:strRef>
              <c:f>Perfil!$AT$3:$AT$27</c:f>
              <c:strCache>
                <c:ptCount val="25"/>
                <c:pt idx="0">
                  <c:v>Azuay</c:v>
                </c:pt>
                <c:pt idx="1">
                  <c:v>Cañar</c:v>
                </c:pt>
                <c:pt idx="2">
                  <c:v>Galápagos</c:v>
                </c:pt>
                <c:pt idx="3">
                  <c:v>Morona Santiago</c:v>
                </c:pt>
                <c:pt idx="4">
                  <c:v>Pastaza</c:v>
                </c:pt>
                <c:pt idx="5">
                  <c:v>Pichincha</c:v>
                </c:pt>
                <c:pt idx="6">
                  <c:v>Tungurahua</c:v>
                </c:pt>
                <c:pt idx="7">
                  <c:v>Guayas</c:v>
                </c:pt>
                <c:pt idx="8">
                  <c:v>Imbabura</c:v>
                </c:pt>
                <c:pt idx="9">
                  <c:v>Loja</c:v>
                </c:pt>
                <c:pt idx="10">
                  <c:v>Chimborazo</c:v>
                </c:pt>
                <c:pt idx="11">
                  <c:v>Santa Elena</c:v>
                </c:pt>
                <c:pt idx="12">
                  <c:v>Manabí</c:v>
                </c:pt>
                <c:pt idx="13">
                  <c:v>El Oro</c:v>
                </c:pt>
                <c:pt idx="14">
                  <c:v>Napo</c:v>
                </c:pt>
                <c:pt idx="15">
                  <c:v>Santo Domingo</c:v>
                </c:pt>
                <c:pt idx="16">
                  <c:v>Zamora Chinchipe</c:v>
                </c:pt>
                <c:pt idx="17">
                  <c:v>Esmeraldas</c:v>
                </c:pt>
                <c:pt idx="18">
                  <c:v>Cotopaxi</c:v>
                </c:pt>
                <c:pt idx="19">
                  <c:v>Zonas No Delimitadas</c:v>
                </c:pt>
                <c:pt idx="20">
                  <c:v>Los Ríos</c:v>
                </c:pt>
                <c:pt idx="21">
                  <c:v>Sucumbíos</c:v>
                </c:pt>
                <c:pt idx="22">
                  <c:v>Carchi</c:v>
                </c:pt>
                <c:pt idx="23">
                  <c:v>Orellana</c:v>
                </c:pt>
                <c:pt idx="24">
                  <c:v>Bolívar</c:v>
                </c:pt>
              </c:strCache>
            </c:strRef>
          </c:cat>
          <c:val>
            <c:numRef>
              <c:f>Perfil!$AU$3:$AU$27</c:f>
              <c:numCache>
                <c:formatCode>0.00</c:formatCode>
                <c:ptCount val="25"/>
                <c:pt idx="0">
                  <c:v>4.6034841283910541</c:v>
                </c:pt>
                <c:pt idx="1">
                  <c:v>3.5066144461821582</c:v>
                </c:pt>
                <c:pt idx="2">
                  <c:v>2.9623360135421075</c:v>
                </c:pt>
                <c:pt idx="3">
                  <c:v>2.1875317463005062</c:v>
                </c:pt>
                <c:pt idx="4">
                  <c:v>1.7010469824384855</c:v>
                </c:pt>
                <c:pt idx="5">
                  <c:v>1.6647086042395767</c:v>
                </c:pt>
                <c:pt idx="6">
                  <c:v>0.89278435380507071</c:v>
                </c:pt>
                <c:pt idx="7">
                  <c:v>0.88975968242423664</c:v>
                </c:pt>
                <c:pt idx="8">
                  <c:v>0.85599409867597975</c:v>
                </c:pt>
                <c:pt idx="9">
                  <c:v>0.70390947324477993</c:v>
                </c:pt>
                <c:pt idx="10">
                  <c:v>0.66076413119330146</c:v>
                </c:pt>
                <c:pt idx="11">
                  <c:v>0.49259798132694865</c:v>
                </c:pt>
                <c:pt idx="12">
                  <c:v>0.47553059587192781</c:v>
                </c:pt>
                <c:pt idx="13">
                  <c:v>0.39298250308115079</c:v>
                </c:pt>
                <c:pt idx="14">
                  <c:v>0.38887430610241086</c:v>
                </c:pt>
                <c:pt idx="15">
                  <c:v>0.32668795583178872</c:v>
                </c:pt>
                <c:pt idx="16">
                  <c:v>0.30971053126417253</c:v>
                </c:pt>
                <c:pt idx="17">
                  <c:v>0.14820234309780453</c:v>
                </c:pt>
                <c:pt idx="18">
                  <c:v>0.14470963643543402</c:v>
                </c:pt>
                <c:pt idx="19">
                  <c:v>0.1265582484338417</c:v>
                </c:pt>
                <c:pt idx="20">
                  <c:v>9.124380730850043E-2</c:v>
                </c:pt>
                <c:pt idx="21">
                  <c:v>8.0237962872748328E-2</c:v>
                </c:pt>
                <c:pt idx="22">
                  <c:v>7.9190068347120612E-2</c:v>
                </c:pt>
                <c:pt idx="23">
                  <c:v>7.4245112815448919E-2</c:v>
                </c:pt>
                <c:pt idx="24">
                  <c:v>4.8981724374394506E-2</c:v>
                </c:pt>
              </c:numCache>
            </c:numRef>
          </c:val>
          <c:smooth val="0"/>
        </c:ser>
        <c:dLbls>
          <c:showLegendKey val="0"/>
          <c:showVal val="0"/>
          <c:showCatName val="0"/>
          <c:showSerName val="0"/>
          <c:showPercent val="0"/>
          <c:showBubbleSize val="0"/>
        </c:dLbls>
        <c:marker val="1"/>
        <c:smooth val="0"/>
        <c:axId val="284522368"/>
        <c:axId val="284533120"/>
      </c:lineChart>
      <c:catAx>
        <c:axId val="284522368"/>
        <c:scaling>
          <c:orientation val="minMax"/>
        </c:scaling>
        <c:delete val="0"/>
        <c:axPos val="b"/>
        <c:title>
          <c:tx>
            <c:rich>
              <a:bodyPr/>
              <a:lstStyle/>
              <a:p>
                <a:pPr>
                  <a:defRPr/>
                </a:pPr>
                <a:r>
                  <a:rPr lang="es-EC"/>
                  <a:t>Provincia</a:t>
                </a:r>
              </a:p>
            </c:rich>
          </c:tx>
          <c:overlay val="0"/>
        </c:title>
        <c:numFmt formatCode="General" sourceLinked="1"/>
        <c:majorTickMark val="out"/>
        <c:minorTickMark val="none"/>
        <c:tickLblPos val="nextTo"/>
        <c:spPr>
          <a:ln>
            <a:solidFill>
              <a:schemeClr val="tx1"/>
            </a:solidFill>
          </a:ln>
        </c:spPr>
        <c:txPr>
          <a:bodyPr rot="-5400000" vert="horz"/>
          <a:lstStyle/>
          <a:p>
            <a:pPr>
              <a:defRPr sz="600"/>
            </a:pPr>
            <a:endParaRPr lang="es-EC"/>
          </a:p>
        </c:txPr>
        <c:crossAx val="284533120"/>
        <c:crosses val="autoZero"/>
        <c:auto val="1"/>
        <c:lblAlgn val="ctr"/>
        <c:lblOffset val="100"/>
        <c:noMultiLvlLbl val="0"/>
      </c:catAx>
      <c:valAx>
        <c:axId val="284533120"/>
        <c:scaling>
          <c:orientation val="minMax"/>
          <c:max val="6"/>
        </c:scaling>
        <c:delete val="0"/>
        <c:axPos val="l"/>
        <c:title>
          <c:tx>
            <c:rich>
              <a:bodyPr rot="-5400000" vert="horz"/>
              <a:lstStyle/>
              <a:p>
                <a:pPr>
                  <a:defRPr/>
                </a:pPr>
                <a:r>
                  <a:rPr lang="es-EC"/>
                  <a:t>Tasa de Inmigración</a:t>
                </a:r>
              </a:p>
            </c:rich>
          </c:tx>
          <c:overlay val="0"/>
        </c:title>
        <c:numFmt formatCode="0" sourceLinked="0"/>
        <c:majorTickMark val="out"/>
        <c:minorTickMark val="none"/>
        <c:tickLblPos val="nextTo"/>
        <c:spPr>
          <a:ln>
            <a:solidFill>
              <a:schemeClr val="tx1"/>
            </a:solidFill>
          </a:ln>
        </c:spPr>
        <c:crossAx val="284522368"/>
        <c:crosses val="autoZero"/>
        <c:crossBetween val="between"/>
        <c:majorUnit val="1"/>
      </c:valAx>
      <c:spPr>
        <a:noFill/>
        <a:ln>
          <a:solidFill>
            <a:schemeClr val="tx1"/>
          </a:solidFill>
        </a:ln>
      </c:spPr>
    </c:plotArea>
    <c:legend>
      <c:legendPos val="r"/>
      <c:layout>
        <c:manualLayout>
          <c:xMode val="edge"/>
          <c:yMode val="edge"/>
          <c:x val="0.36702135162616778"/>
          <c:y val="6.9060586176727903E-2"/>
          <c:w val="0.61630148767998216"/>
          <c:h val="7.9471420239136906E-2"/>
        </c:manualLayout>
      </c:layout>
      <c:overlay val="0"/>
      <c:spPr>
        <a:ln>
          <a:noFill/>
        </a:ln>
      </c:spPr>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8873658431765"/>
          <c:y val="4.9705453484981094E-2"/>
          <c:w val="0.86616405980926559"/>
          <c:h val="0.67063839242316992"/>
        </c:manualLayout>
      </c:layout>
      <c:lineChart>
        <c:grouping val="standard"/>
        <c:varyColors val="0"/>
        <c:ser>
          <c:idx val="0"/>
          <c:order val="0"/>
          <c:spPr>
            <a:ln w="19050">
              <a:solidFill>
                <a:srgbClr val="0070C0"/>
              </a:solidFill>
            </a:ln>
          </c:spPr>
          <c:marker>
            <c:symbol val="none"/>
          </c:marker>
          <c:cat>
            <c:strRef>
              <c:f>'Emigrantes de Manabi'!$G$364:$G$384</c:f>
              <c:strCache>
                <c:ptCount val="21"/>
                <c:pt idx="0">
                  <c:v>&lt; 5</c:v>
                </c:pt>
                <c:pt idx="1">
                  <c:v>  5 a 9 </c:v>
                </c:pt>
                <c:pt idx="2">
                  <c:v>  10 a 14 </c:v>
                </c:pt>
                <c:pt idx="3">
                  <c:v>  15 a 19 </c:v>
                </c:pt>
                <c:pt idx="4">
                  <c:v>  20 a 24 </c:v>
                </c:pt>
                <c:pt idx="5">
                  <c:v>  25 a 29 </c:v>
                </c:pt>
                <c:pt idx="6">
                  <c:v>  30 a 34 </c:v>
                </c:pt>
                <c:pt idx="7">
                  <c:v>  35 a 39 </c:v>
                </c:pt>
                <c:pt idx="8">
                  <c:v>  40 a 44 </c:v>
                </c:pt>
                <c:pt idx="9">
                  <c:v>  45 a 49 </c:v>
                </c:pt>
                <c:pt idx="10">
                  <c:v>  50 a 54 </c:v>
                </c:pt>
                <c:pt idx="11">
                  <c:v>  55 a 59 </c:v>
                </c:pt>
                <c:pt idx="12">
                  <c:v>  60 a 64 </c:v>
                </c:pt>
                <c:pt idx="13">
                  <c:v>  65 a 69 </c:v>
                </c:pt>
                <c:pt idx="14">
                  <c:v>  70 a 74 </c:v>
                </c:pt>
                <c:pt idx="15">
                  <c:v>  75 a 79 </c:v>
                </c:pt>
                <c:pt idx="16">
                  <c:v>  80 a 84 </c:v>
                </c:pt>
                <c:pt idx="17">
                  <c:v>  85 a 89 </c:v>
                </c:pt>
                <c:pt idx="18">
                  <c:v>  90 a 94 </c:v>
                </c:pt>
                <c:pt idx="19">
                  <c:v>  95 a 99 </c:v>
                </c:pt>
                <c:pt idx="20">
                  <c:v>&gt; 100</c:v>
                </c:pt>
              </c:strCache>
            </c:strRef>
          </c:cat>
          <c:val>
            <c:numRef>
              <c:f>'Emigrantes de Manabi'!$K$364:$K$384</c:f>
              <c:numCache>
                <c:formatCode>0.00</c:formatCode>
                <c:ptCount val="21"/>
                <c:pt idx="0">
                  <c:v>550.96774193548322</c:v>
                </c:pt>
                <c:pt idx="1">
                  <c:v>599.72536903535877</c:v>
                </c:pt>
                <c:pt idx="2">
                  <c:v>636.81349882371956</c:v>
                </c:pt>
                <c:pt idx="3">
                  <c:v>677.22473604826655</c:v>
                </c:pt>
                <c:pt idx="4">
                  <c:v>716.92284221366185</c:v>
                </c:pt>
                <c:pt idx="5">
                  <c:v>738.33462232534146</c:v>
                </c:pt>
                <c:pt idx="6">
                  <c:v>764.26727014245432</c:v>
                </c:pt>
                <c:pt idx="7">
                  <c:v>769.2670206415529</c:v>
                </c:pt>
                <c:pt idx="8">
                  <c:v>784.4699383896326</c:v>
                </c:pt>
                <c:pt idx="9">
                  <c:v>790.53610714423485</c:v>
                </c:pt>
                <c:pt idx="10">
                  <c:v>790.04837595024321</c:v>
                </c:pt>
                <c:pt idx="11">
                  <c:v>785.51469766402158</c:v>
                </c:pt>
                <c:pt idx="12">
                  <c:v>777.8416557161629</c:v>
                </c:pt>
                <c:pt idx="13">
                  <c:v>766.95059625212957</c:v>
                </c:pt>
                <c:pt idx="14">
                  <c:v>779.72865123703207</c:v>
                </c:pt>
                <c:pt idx="15">
                  <c:v>789.13394298009769</c:v>
                </c:pt>
                <c:pt idx="16">
                  <c:v>818.1818181818179</c:v>
                </c:pt>
                <c:pt idx="17">
                  <c:v>834.89545782263849</c:v>
                </c:pt>
                <c:pt idx="18">
                  <c:v>849.68354430379804</c:v>
                </c:pt>
                <c:pt idx="19">
                  <c:v>848.62385321100953</c:v>
                </c:pt>
                <c:pt idx="20">
                  <c:v>897.05882352941182</c:v>
                </c:pt>
              </c:numCache>
            </c:numRef>
          </c:val>
          <c:smooth val="1"/>
        </c:ser>
        <c:ser>
          <c:idx val="1"/>
          <c:order val="1"/>
          <c:spPr>
            <a:ln w="19050">
              <a:solidFill>
                <a:schemeClr val="accent6">
                  <a:lumMod val="75000"/>
                </a:schemeClr>
              </a:solidFill>
            </a:ln>
          </c:spPr>
          <c:marker>
            <c:symbol val="none"/>
          </c:marker>
          <c:cat>
            <c:strRef>
              <c:f>'Emigrantes de Manabi'!$G$364:$G$384</c:f>
              <c:strCache>
                <c:ptCount val="21"/>
                <c:pt idx="0">
                  <c:v>&lt; 5</c:v>
                </c:pt>
                <c:pt idx="1">
                  <c:v>  5 a 9 </c:v>
                </c:pt>
                <c:pt idx="2">
                  <c:v>  10 a 14 </c:v>
                </c:pt>
                <c:pt idx="3">
                  <c:v>  15 a 19 </c:v>
                </c:pt>
                <c:pt idx="4">
                  <c:v>  20 a 24 </c:v>
                </c:pt>
                <c:pt idx="5">
                  <c:v>  25 a 29 </c:v>
                </c:pt>
                <c:pt idx="6">
                  <c:v>  30 a 34 </c:v>
                </c:pt>
                <c:pt idx="7">
                  <c:v>  35 a 39 </c:v>
                </c:pt>
                <c:pt idx="8">
                  <c:v>  40 a 44 </c:v>
                </c:pt>
                <c:pt idx="9">
                  <c:v>  45 a 49 </c:v>
                </c:pt>
                <c:pt idx="10">
                  <c:v>  50 a 54 </c:v>
                </c:pt>
                <c:pt idx="11">
                  <c:v>  55 a 59 </c:v>
                </c:pt>
                <c:pt idx="12">
                  <c:v>  60 a 64 </c:v>
                </c:pt>
                <c:pt idx="13">
                  <c:v>  65 a 69 </c:v>
                </c:pt>
                <c:pt idx="14">
                  <c:v>  70 a 74 </c:v>
                </c:pt>
                <c:pt idx="15">
                  <c:v>  75 a 79 </c:v>
                </c:pt>
                <c:pt idx="16">
                  <c:v>  80 a 84 </c:v>
                </c:pt>
                <c:pt idx="17">
                  <c:v>  85 a 89 </c:v>
                </c:pt>
                <c:pt idx="18">
                  <c:v>  90 a 94 </c:v>
                </c:pt>
                <c:pt idx="19">
                  <c:v>  95 a 99 </c:v>
                </c:pt>
                <c:pt idx="20">
                  <c:v>&gt; 100</c:v>
                </c:pt>
              </c:strCache>
            </c:strRef>
          </c:cat>
          <c:val>
            <c:numRef>
              <c:f>'Emigrantes de Manabi'!$L$364:$L$384</c:f>
              <c:numCache>
                <c:formatCode>0.00</c:formatCode>
                <c:ptCount val="21"/>
                <c:pt idx="0">
                  <c:v>449.03225806451616</c:v>
                </c:pt>
                <c:pt idx="1">
                  <c:v>400.27463096464135</c:v>
                </c:pt>
                <c:pt idx="2">
                  <c:v>363.18650117627919</c:v>
                </c:pt>
                <c:pt idx="3">
                  <c:v>322.77526395173459</c:v>
                </c:pt>
                <c:pt idx="4">
                  <c:v>283.07715778633815</c:v>
                </c:pt>
                <c:pt idx="5">
                  <c:v>261.66537767465871</c:v>
                </c:pt>
                <c:pt idx="6">
                  <c:v>235.73272985754508</c:v>
                </c:pt>
                <c:pt idx="7">
                  <c:v>230.73297935844681</c:v>
                </c:pt>
                <c:pt idx="8">
                  <c:v>215.53006161036737</c:v>
                </c:pt>
                <c:pt idx="9">
                  <c:v>209.46389285576441</c:v>
                </c:pt>
                <c:pt idx="10">
                  <c:v>209.95162404975812</c:v>
                </c:pt>
                <c:pt idx="11">
                  <c:v>214.48530233597864</c:v>
                </c:pt>
                <c:pt idx="12">
                  <c:v>222.15834428383704</c:v>
                </c:pt>
                <c:pt idx="13">
                  <c:v>233.04940374787037</c:v>
                </c:pt>
                <c:pt idx="14">
                  <c:v>220.2713487629689</c:v>
                </c:pt>
                <c:pt idx="15">
                  <c:v>210.86605701990337</c:v>
                </c:pt>
                <c:pt idx="16">
                  <c:v>181.81818181818181</c:v>
                </c:pt>
                <c:pt idx="17">
                  <c:v>165.10454217736103</c:v>
                </c:pt>
                <c:pt idx="18">
                  <c:v>150.3164556962023</c:v>
                </c:pt>
                <c:pt idx="19">
                  <c:v>151.37614678899106</c:v>
                </c:pt>
                <c:pt idx="20">
                  <c:v>102.94117647058823</c:v>
                </c:pt>
              </c:numCache>
            </c:numRef>
          </c:val>
          <c:smooth val="1"/>
        </c:ser>
        <c:dLbls>
          <c:showLegendKey val="0"/>
          <c:showVal val="0"/>
          <c:showCatName val="0"/>
          <c:showSerName val="0"/>
          <c:showPercent val="0"/>
          <c:showBubbleSize val="0"/>
        </c:dLbls>
        <c:marker val="1"/>
        <c:smooth val="0"/>
        <c:axId val="250341632"/>
        <c:axId val="251097472"/>
      </c:lineChart>
      <c:catAx>
        <c:axId val="250341632"/>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51097472"/>
        <c:crosses val="autoZero"/>
        <c:auto val="1"/>
        <c:lblAlgn val="r"/>
        <c:lblOffset val="100"/>
        <c:noMultiLvlLbl val="0"/>
      </c:catAx>
      <c:valAx>
        <c:axId val="251097472"/>
        <c:scaling>
          <c:orientation val="minMax"/>
          <c:max val="1000"/>
          <c:min val="0"/>
        </c:scaling>
        <c:delete val="0"/>
        <c:axPos val="l"/>
        <c:title>
          <c:tx>
            <c:rich>
              <a:bodyPr rot="-5400000" vert="horz"/>
              <a:lstStyle/>
              <a:p>
                <a:pPr>
                  <a:defRPr sz="600"/>
                </a:pPr>
                <a:r>
                  <a:rPr lang="es-EC" sz="600"/>
                  <a:t>Tasa por cada 100 Emigrantes</a:t>
                </a:r>
              </a:p>
            </c:rich>
          </c:tx>
          <c:layout>
            <c:manualLayout>
              <c:xMode val="edge"/>
              <c:yMode val="edge"/>
              <c:x val="1.3667296112872771E-2"/>
              <c:y val="3.81731394373162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50341632"/>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637398169144414E-2"/>
          <c:y val="2.0740887039532366E-2"/>
          <c:w val="0.88733791047283106"/>
          <c:h val="0.63854659090985677"/>
        </c:manualLayout>
      </c:layout>
      <c:lineChart>
        <c:grouping val="standard"/>
        <c:varyColors val="0"/>
        <c:ser>
          <c:idx val="0"/>
          <c:order val="0"/>
          <c:tx>
            <c:strRef>
              <c:f>Perfil!$F$34</c:f>
              <c:strCache>
                <c:ptCount val="1"/>
                <c:pt idx="0">
                  <c:v>Área Urbana</c:v>
                </c:pt>
              </c:strCache>
            </c:strRef>
          </c:tx>
          <c:spPr>
            <a:ln>
              <a:noFill/>
            </a:ln>
          </c:spPr>
          <c:marker>
            <c:symbol val="diamond"/>
            <c:size val="5"/>
            <c:spPr>
              <a:solidFill>
                <a:schemeClr val="tx1"/>
              </a:solidFill>
              <a:ln>
                <a:solidFill>
                  <a:schemeClr val="tx1"/>
                </a:solidFill>
              </a:ln>
            </c:spPr>
          </c:marker>
          <c:cat>
            <c:strRef>
              <c:f>Perfil!$B$35:$B$59</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Perfil!$F$35:$F$59</c:f>
              <c:numCache>
                <c:formatCode>0.00</c:formatCode>
                <c:ptCount val="25"/>
                <c:pt idx="0">
                  <c:v>787.89731051344745</c:v>
                </c:pt>
                <c:pt idx="1">
                  <c:v>777.77777777777885</c:v>
                </c:pt>
                <c:pt idx="2">
                  <c:v>592.12198221092763</c:v>
                </c:pt>
                <c:pt idx="3">
                  <c:v>692.30769230769261</c:v>
                </c:pt>
                <c:pt idx="4">
                  <c:v>796.61016949152474</c:v>
                </c:pt>
                <c:pt idx="5">
                  <c:v>821.78217821782289</c:v>
                </c:pt>
                <c:pt idx="6">
                  <c:v>970.21276595744746</c:v>
                </c:pt>
                <c:pt idx="7">
                  <c:v>721.51898734177291</c:v>
                </c:pt>
                <c:pt idx="8">
                  <c:v>981.15539079394421</c:v>
                </c:pt>
                <c:pt idx="9">
                  <c:v>791.17647058823604</c:v>
                </c:pt>
                <c:pt idx="10">
                  <c:v>662.46056782334267</c:v>
                </c:pt>
                <c:pt idx="11">
                  <c:v>901.4084507042254</c:v>
                </c:pt>
                <c:pt idx="12">
                  <c:v>817.48466257668849</c:v>
                </c:pt>
                <c:pt idx="13">
                  <c:v>783.28173374613175</c:v>
                </c:pt>
                <c:pt idx="14">
                  <c:v>525</c:v>
                </c:pt>
                <c:pt idx="15">
                  <c:v>309.85915492957724</c:v>
                </c:pt>
                <c:pt idx="16">
                  <c:v>717.38117427772681</c:v>
                </c:pt>
                <c:pt idx="17">
                  <c:v>812.91759465478799</c:v>
                </c:pt>
                <c:pt idx="18">
                  <c:v>607.14285714285711</c:v>
                </c:pt>
                <c:pt idx="19">
                  <c:v>828.57142857142867</c:v>
                </c:pt>
                <c:pt idx="20">
                  <c:v>357.14285714285751</c:v>
                </c:pt>
                <c:pt idx="21">
                  <c:v>900</c:v>
                </c:pt>
                <c:pt idx="22">
                  <c:v>875</c:v>
                </c:pt>
                <c:pt idx="23">
                  <c:v>635.76158940397272</c:v>
                </c:pt>
                <c:pt idx="24">
                  <c:v>0</c:v>
                </c:pt>
              </c:numCache>
            </c:numRef>
          </c:val>
          <c:smooth val="0"/>
        </c:ser>
        <c:ser>
          <c:idx val="1"/>
          <c:order val="1"/>
          <c:tx>
            <c:strRef>
              <c:f>Perfil!$G$34</c:f>
              <c:strCache>
                <c:ptCount val="1"/>
                <c:pt idx="0">
                  <c:v>Área Rural</c:v>
                </c:pt>
              </c:strCache>
            </c:strRef>
          </c:tx>
          <c:spPr>
            <a:ln>
              <a:noFill/>
            </a:ln>
          </c:spPr>
          <c:marker>
            <c:symbol val="circle"/>
            <c:size val="5"/>
            <c:spPr>
              <a:solidFill>
                <a:schemeClr val="bg1">
                  <a:lumMod val="50000"/>
                </a:schemeClr>
              </a:solidFill>
              <a:ln>
                <a:solidFill>
                  <a:schemeClr val="bg1">
                    <a:lumMod val="50000"/>
                  </a:schemeClr>
                </a:solidFill>
              </a:ln>
            </c:spPr>
          </c:marker>
          <c:cat>
            <c:strRef>
              <c:f>Perfil!$B$35:$B$59</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Perfil!$G$35:$G$59</c:f>
              <c:numCache>
                <c:formatCode>0.00</c:formatCode>
                <c:ptCount val="25"/>
                <c:pt idx="0">
                  <c:v>212.10268948655255</c:v>
                </c:pt>
                <c:pt idx="1">
                  <c:v>222.2222222222222</c:v>
                </c:pt>
                <c:pt idx="2">
                  <c:v>407.87801778907198</c:v>
                </c:pt>
                <c:pt idx="3">
                  <c:v>307.69230769230774</c:v>
                </c:pt>
                <c:pt idx="4">
                  <c:v>203.3898305084748</c:v>
                </c:pt>
                <c:pt idx="5">
                  <c:v>178.21782178217805</c:v>
                </c:pt>
                <c:pt idx="6">
                  <c:v>29.78723404255317</c:v>
                </c:pt>
                <c:pt idx="7">
                  <c:v>278.48101265822703</c:v>
                </c:pt>
                <c:pt idx="8">
                  <c:v>18.844609206054987</c:v>
                </c:pt>
                <c:pt idx="9">
                  <c:v>208.82352941176481</c:v>
                </c:pt>
                <c:pt idx="10">
                  <c:v>337.53943217665631</c:v>
                </c:pt>
                <c:pt idx="11">
                  <c:v>98.591549295774726</c:v>
                </c:pt>
                <c:pt idx="12">
                  <c:v>182.51533742331279</c:v>
                </c:pt>
                <c:pt idx="13">
                  <c:v>216.71826625386998</c:v>
                </c:pt>
                <c:pt idx="14">
                  <c:v>475</c:v>
                </c:pt>
                <c:pt idx="15">
                  <c:v>690.14084507042253</c:v>
                </c:pt>
                <c:pt idx="16">
                  <c:v>282.61882572227393</c:v>
                </c:pt>
                <c:pt idx="17">
                  <c:v>187.08240534521184</c:v>
                </c:pt>
                <c:pt idx="18">
                  <c:v>392.85714285714283</c:v>
                </c:pt>
                <c:pt idx="19">
                  <c:v>171.42857142857142</c:v>
                </c:pt>
                <c:pt idx="20">
                  <c:v>642.85714285714289</c:v>
                </c:pt>
                <c:pt idx="21">
                  <c:v>100</c:v>
                </c:pt>
                <c:pt idx="22">
                  <c:v>125</c:v>
                </c:pt>
                <c:pt idx="23">
                  <c:v>364.23841059602643</c:v>
                </c:pt>
                <c:pt idx="24">
                  <c:v>1000</c:v>
                </c:pt>
              </c:numCache>
            </c:numRef>
          </c:val>
          <c:smooth val="0"/>
        </c:ser>
        <c:dLbls>
          <c:showLegendKey val="0"/>
          <c:showVal val="0"/>
          <c:showCatName val="0"/>
          <c:showSerName val="0"/>
          <c:showPercent val="0"/>
          <c:showBubbleSize val="0"/>
        </c:dLbls>
        <c:hiLowLines/>
        <c:marker val="1"/>
        <c:smooth val="0"/>
        <c:axId val="284575232"/>
        <c:axId val="284577152"/>
      </c:lineChart>
      <c:catAx>
        <c:axId val="284575232"/>
        <c:scaling>
          <c:orientation val="minMax"/>
        </c:scaling>
        <c:delete val="0"/>
        <c:axPos val="b"/>
        <c:title>
          <c:tx>
            <c:rich>
              <a:bodyPr/>
              <a:lstStyle/>
              <a:p>
                <a:pPr>
                  <a:defRPr sz="800"/>
                </a:pPr>
                <a:r>
                  <a:rPr lang="es-EC" sz="800"/>
                  <a:t>Provincia de residencia habitual</a:t>
                </a:r>
              </a:p>
            </c:rich>
          </c:tx>
          <c:overlay val="0"/>
        </c:title>
        <c:numFmt formatCode="General" sourceLinked="1"/>
        <c:majorTickMark val="out"/>
        <c:minorTickMark val="none"/>
        <c:tickLblPos val="nextTo"/>
        <c:spPr>
          <a:ln>
            <a:solidFill>
              <a:schemeClr val="tx1"/>
            </a:solidFill>
          </a:ln>
        </c:spPr>
        <c:txPr>
          <a:bodyPr rot="-5400000" vert="horz"/>
          <a:lstStyle/>
          <a:p>
            <a:pPr>
              <a:defRPr sz="600"/>
            </a:pPr>
            <a:endParaRPr lang="es-EC"/>
          </a:p>
        </c:txPr>
        <c:crossAx val="284577152"/>
        <c:crosses val="autoZero"/>
        <c:auto val="1"/>
        <c:lblAlgn val="ctr"/>
        <c:lblOffset val="100"/>
        <c:noMultiLvlLbl val="0"/>
      </c:catAx>
      <c:valAx>
        <c:axId val="284577152"/>
        <c:scaling>
          <c:orientation val="minMax"/>
          <c:max val="1200"/>
          <c:min val="0"/>
        </c:scaling>
        <c:delete val="0"/>
        <c:axPos val="l"/>
        <c:majorGridlines>
          <c:spPr>
            <a:ln>
              <a:solidFill>
                <a:schemeClr val="bg1">
                  <a:lumMod val="65000"/>
                </a:schemeClr>
              </a:solidFill>
              <a:prstDash val="dash"/>
            </a:ln>
          </c:spPr>
        </c:majorGridlines>
        <c:title>
          <c:tx>
            <c:rich>
              <a:bodyPr rot="-5400000" vert="horz"/>
              <a:lstStyle/>
              <a:p>
                <a:pPr>
                  <a:defRPr sz="500"/>
                </a:pPr>
                <a:r>
                  <a:rPr lang="es-EC" sz="500"/>
                  <a:t>Tasa por cada 1000 estadounidenses</a:t>
                </a:r>
              </a:p>
            </c:rich>
          </c:tx>
          <c:layout>
            <c:manualLayout>
              <c:xMode val="edge"/>
              <c:yMode val="edge"/>
              <c:x val="0"/>
              <c:y val="2.1367802562284191E-3"/>
            </c:manualLayout>
          </c:layout>
          <c:overlay val="0"/>
        </c:title>
        <c:numFmt formatCode="0" sourceLinked="0"/>
        <c:majorTickMark val="out"/>
        <c:minorTickMark val="none"/>
        <c:tickLblPos val="nextTo"/>
        <c:spPr>
          <a:ln>
            <a:solidFill>
              <a:schemeClr val="tx1"/>
            </a:solidFill>
          </a:ln>
        </c:spPr>
        <c:crossAx val="284575232"/>
        <c:crosses val="autoZero"/>
        <c:crossBetween val="between"/>
        <c:majorUnit val="200"/>
      </c:valAx>
      <c:spPr>
        <a:noFill/>
        <a:ln>
          <a:solidFill>
            <a:schemeClr val="tx1"/>
          </a:solidFill>
        </a:ln>
      </c:spPr>
    </c:plotArea>
    <c:legend>
      <c:legendPos val="t"/>
      <c:layout>
        <c:manualLayout>
          <c:xMode val="edge"/>
          <c:yMode val="edge"/>
          <c:x val="0.48364619257757618"/>
          <c:y val="2.5682178657637691E-2"/>
          <c:w val="0.40947370589665366"/>
          <c:h val="6.3544518135595168E-2"/>
        </c:manualLayout>
      </c:layout>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Perfil!$G$65</c:f>
              <c:strCache>
                <c:ptCount val="1"/>
                <c:pt idx="0">
                  <c:v>Área Urbana</c:v>
                </c:pt>
              </c:strCache>
            </c:strRef>
          </c:tx>
          <c:spPr>
            <a:ln w="19050">
              <a:solidFill>
                <a:srgbClr val="0070C0"/>
              </a:solidFill>
            </a:ln>
          </c:spPr>
          <c:marker>
            <c:symbol val="none"/>
          </c:marker>
          <c:cat>
            <c:strRef>
              <c:f>Perfil!$C$66:$C$86</c:f>
              <c:strCache>
                <c:ptCount val="21"/>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strCache>
            </c:strRef>
          </c:cat>
          <c:val>
            <c:numRef>
              <c:f>Perfil!$G$66:$G$86</c:f>
              <c:numCache>
                <c:formatCode>0.00</c:formatCode>
                <c:ptCount val="21"/>
                <c:pt idx="0">
                  <c:v>888</c:v>
                </c:pt>
                <c:pt idx="1">
                  <c:v>760</c:v>
                </c:pt>
                <c:pt idx="2">
                  <c:v>774.79892761394103</c:v>
                </c:pt>
                <c:pt idx="3">
                  <c:v>783.01886792452831</c:v>
                </c:pt>
                <c:pt idx="4">
                  <c:v>850.94066570188136</c:v>
                </c:pt>
                <c:pt idx="5">
                  <c:v>864.97064579256346</c:v>
                </c:pt>
                <c:pt idx="6">
                  <c:v>817.9012345679015</c:v>
                </c:pt>
                <c:pt idx="7">
                  <c:v>786.20689655172453</c:v>
                </c:pt>
                <c:pt idx="8">
                  <c:v>793.81443298969134</c:v>
                </c:pt>
                <c:pt idx="9">
                  <c:v>773.3333333333336</c:v>
                </c:pt>
                <c:pt idx="10">
                  <c:v>793.4272300469479</c:v>
                </c:pt>
                <c:pt idx="11">
                  <c:v>742.69005847953292</c:v>
                </c:pt>
                <c:pt idx="12">
                  <c:v>707.44680851063833</c:v>
                </c:pt>
                <c:pt idx="13">
                  <c:v>695.18716577540044</c:v>
                </c:pt>
                <c:pt idx="14">
                  <c:v>793.93939393939468</c:v>
                </c:pt>
                <c:pt idx="15">
                  <c:v>688.31168831168827</c:v>
                </c:pt>
                <c:pt idx="16">
                  <c:v>717.3913043478268</c:v>
                </c:pt>
                <c:pt idx="17">
                  <c:v>718.75</c:v>
                </c:pt>
                <c:pt idx="18">
                  <c:v>909.09090909090821</c:v>
                </c:pt>
                <c:pt idx="19">
                  <c:v>1000</c:v>
                </c:pt>
                <c:pt idx="20">
                  <c:v>1000</c:v>
                </c:pt>
              </c:numCache>
            </c:numRef>
          </c:val>
          <c:smooth val="1"/>
        </c:ser>
        <c:ser>
          <c:idx val="1"/>
          <c:order val="1"/>
          <c:tx>
            <c:strRef>
              <c:f>Perfil!$H$65</c:f>
              <c:strCache>
                <c:ptCount val="1"/>
                <c:pt idx="0">
                  <c:v>Área Rural</c:v>
                </c:pt>
              </c:strCache>
            </c:strRef>
          </c:tx>
          <c:spPr>
            <a:ln w="19050">
              <a:solidFill>
                <a:schemeClr val="accent6">
                  <a:lumMod val="75000"/>
                </a:schemeClr>
              </a:solidFill>
            </a:ln>
          </c:spPr>
          <c:marker>
            <c:symbol val="none"/>
          </c:marker>
          <c:cat>
            <c:strRef>
              <c:f>Perfil!$C$66:$C$86</c:f>
              <c:strCache>
                <c:ptCount val="21"/>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strCache>
            </c:strRef>
          </c:cat>
          <c:val>
            <c:numRef>
              <c:f>Perfil!$H$66:$H$86</c:f>
              <c:numCache>
                <c:formatCode>0.00</c:formatCode>
                <c:ptCount val="21"/>
                <c:pt idx="0">
                  <c:v>112</c:v>
                </c:pt>
                <c:pt idx="1">
                  <c:v>240</c:v>
                </c:pt>
                <c:pt idx="2">
                  <c:v>225.201072386059</c:v>
                </c:pt>
                <c:pt idx="3">
                  <c:v>216.98113207547192</c:v>
                </c:pt>
                <c:pt idx="4">
                  <c:v>149.05933429811842</c:v>
                </c:pt>
                <c:pt idx="5">
                  <c:v>135.0293542074364</c:v>
                </c:pt>
                <c:pt idx="6">
                  <c:v>182.09876543209876</c:v>
                </c:pt>
                <c:pt idx="7">
                  <c:v>213.79310344827582</c:v>
                </c:pt>
                <c:pt idx="8">
                  <c:v>206.18556701030926</c:v>
                </c:pt>
                <c:pt idx="9">
                  <c:v>226.66666666666652</c:v>
                </c:pt>
                <c:pt idx="10">
                  <c:v>206.57276995305165</c:v>
                </c:pt>
                <c:pt idx="11">
                  <c:v>257.30994152046839</c:v>
                </c:pt>
                <c:pt idx="12">
                  <c:v>292.55319148936172</c:v>
                </c:pt>
                <c:pt idx="13">
                  <c:v>304.81283422459904</c:v>
                </c:pt>
                <c:pt idx="14">
                  <c:v>206.06060606060606</c:v>
                </c:pt>
                <c:pt idx="15">
                  <c:v>311.68831168831167</c:v>
                </c:pt>
                <c:pt idx="16">
                  <c:v>282.60869565217365</c:v>
                </c:pt>
                <c:pt idx="17">
                  <c:v>281.25</c:v>
                </c:pt>
                <c:pt idx="18">
                  <c:v>90.909090909090907</c:v>
                </c:pt>
                <c:pt idx="19">
                  <c:v>0</c:v>
                </c:pt>
                <c:pt idx="20">
                  <c:v>0</c:v>
                </c:pt>
              </c:numCache>
            </c:numRef>
          </c:val>
          <c:smooth val="1"/>
        </c:ser>
        <c:dLbls>
          <c:showLegendKey val="0"/>
          <c:showVal val="0"/>
          <c:showCatName val="0"/>
          <c:showSerName val="0"/>
          <c:showPercent val="0"/>
          <c:showBubbleSize val="0"/>
        </c:dLbls>
        <c:marker val="1"/>
        <c:smooth val="0"/>
        <c:axId val="284607616"/>
        <c:axId val="284609536"/>
      </c:lineChart>
      <c:catAx>
        <c:axId val="284607616"/>
        <c:scaling>
          <c:orientation val="minMax"/>
        </c:scaling>
        <c:delete val="0"/>
        <c:axPos val="b"/>
        <c:title>
          <c:tx>
            <c:rich>
              <a:bodyPr/>
              <a:lstStyle/>
              <a:p>
                <a:pPr>
                  <a:defRPr sz="750"/>
                </a:pPr>
                <a:r>
                  <a:rPr lang="es-EC" sz="750"/>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4609536"/>
        <c:crosses val="autoZero"/>
        <c:auto val="1"/>
        <c:lblAlgn val="ctr"/>
        <c:lblOffset val="100"/>
        <c:noMultiLvlLbl val="0"/>
      </c:catAx>
      <c:valAx>
        <c:axId val="284609536"/>
        <c:scaling>
          <c:orientation val="minMax"/>
          <c:max val="1000"/>
          <c:min val="0"/>
        </c:scaling>
        <c:delete val="0"/>
        <c:axPos val="l"/>
        <c:title>
          <c:tx>
            <c:rich>
              <a:bodyPr rot="-5400000" vert="horz"/>
              <a:lstStyle/>
              <a:p>
                <a:pPr>
                  <a:defRPr sz="550"/>
                </a:pPr>
                <a:r>
                  <a:rPr lang="es-EC" sz="550"/>
                  <a:t>Tasa por</a:t>
                </a:r>
                <a:r>
                  <a:rPr lang="es-EC" sz="550" baseline="0"/>
                  <a:t> cada 1000 estadounidenses</a:t>
                </a:r>
                <a:endParaRPr lang="es-EC" sz="550"/>
              </a:p>
            </c:rich>
          </c:tx>
          <c:layout>
            <c:manualLayout>
              <c:xMode val="edge"/>
              <c:yMode val="edge"/>
              <c:x val="0"/>
              <c:y val="3.3675573456981391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4607616"/>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Perfil!$G$65</c:f>
              <c:strCache>
                <c:ptCount val="1"/>
                <c:pt idx="0">
                  <c:v>Área Urbana</c:v>
                </c:pt>
              </c:strCache>
            </c:strRef>
          </c:tx>
          <c:spPr>
            <a:ln w="19050">
              <a:solidFill>
                <a:srgbClr val="0070C0"/>
              </a:solidFill>
            </a:ln>
          </c:spPr>
          <c:marker>
            <c:symbol val="none"/>
          </c:marker>
          <c:cat>
            <c:strRef>
              <c:f>Perfil!$C$88:$C$107</c:f>
              <c:strCache>
                <c:ptCount val="20"/>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strCache>
            </c:strRef>
          </c:cat>
          <c:val>
            <c:numRef>
              <c:f>Perfil!$G$88:$G$107</c:f>
              <c:numCache>
                <c:formatCode>0.00</c:formatCode>
                <c:ptCount val="20"/>
                <c:pt idx="0">
                  <c:v>881.88976377952804</c:v>
                </c:pt>
                <c:pt idx="1">
                  <c:v>760.41666666666663</c:v>
                </c:pt>
                <c:pt idx="2">
                  <c:v>799.3348115299334</c:v>
                </c:pt>
                <c:pt idx="3">
                  <c:v>810.36269430051721</c:v>
                </c:pt>
                <c:pt idx="4">
                  <c:v>879.87987987988083</c:v>
                </c:pt>
                <c:pt idx="5">
                  <c:v>866.97247706422024</c:v>
                </c:pt>
                <c:pt idx="6">
                  <c:v>844.15584415584408</c:v>
                </c:pt>
                <c:pt idx="7">
                  <c:v>804.6875</c:v>
                </c:pt>
                <c:pt idx="8">
                  <c:v>809.70149253731415</c:v>
                </c:pt>
                <c:pt idx="9">
                  <c:v>798.28326180257511</c:v>
                </c:pt>
                <c:pt idx="10">
                  <c:v>694.3005181347138</c:v>
                </c:pt>
                <c:pt idx="11">
                  <c:v>682.63473053892335</c:v>
                </c:pt>
                <c:pt idx="12">
                  <c:v>730.76923076923072</c:v>
                </c:pt>
                <c:pt idx="13">
                  <c:v>781.95488721804554</c:v>
                </c:pt>
                <c:pt idx="14">
                  <c:v>772.72727272727275</c:v>
                </c:pt>
                <c:pt idx="15">
                  <c:v>703.7037037037037</c:v>
                </c:pt>
                <c:pt idx="16">
                  <c:v>842.10526315789468</c:v>
                </c:pt>
                <c:pt idx="17">
                  <c:v>769.23076923076951</c:v>
                </c:pt>
                <c:pt idx="18">
                  <c:v>1000</c:v>
                </c:pt>
                <c:pt idx="19">
                  <c:v>666.66666666666663</c:v>
                </c:pt>
              </c:numCache>
            </c:numRef>
          </c:val>
          <c:smooth val="1"/>
        </c:ser>
        <c:ser>
          <c:idx val="1"/>
          <c:order val="1"/>
          <c:tx>
            <c:strRef>
              <c:f>Perfil!$H$65</c:f>
              <c:strCache>
                <c:ptCount val="1"/>
                <c:pt idx="0">
                  <c:v>Área Rural</c:v>
                </c:pt>
              </c:strCache>
            </c:strRef>
          </c:tx>
          <c:spPr>
            <a:ln w="19050">
              <a:solidFill>
                <a:schemeClr val="accent6">
                  <a:lumMod val="75000"/>
                </a:schemeClr>
              </a:solidFill>
            </a:ln>
          </c:spPr>
          <c:marker>
            <c:symbol val="none"/>
          </c:marker>
          <c:cat>
            <c:strRef>
              <c:f>Perfil!$C$88:$C$107</c:f>
              <c:strCache>
                <c:ptCount val="20"/>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strCache>
            </c:strRef>
          </c:cat>
          <c:val>
            <c:numRef>
              <c:f>Perfil!$H$88:$H$107</c:f>
              <c:numCache>
                <c:formatCode>0.00</c:formatCode>
                <c:ptCount val="20"/>
                <c:pt idx="0">
                  <c:v>118.11023622047244</c:v>
                </c:pt>
                <c:pt idx="1">
                  <c:v>239.58333333333351</c:v>
                </c:pt>
                <c:pt idx="2">
                  <c:v>200.66518847006651</c:v>
                </c:pt>
                <c:pt idx="3">
                  <c:v>189.63730569948169</c:v>
                </c:pt>
                <c:pt idx="4">
                  <c:v>120.12012012012011</c:v>
                </c:pt>
                <c:pt idx="5">
                  <c:v>133.02752293577981</c:v>
                </c:pt>
                <c:pt idx="6">
                  <c:v>155.84415584415558</c:v>
                </c:pt>
                <c:pt idx="7">
                  <c:v>195.3125</c:v>
                </c:pt>
                <c:pt idx="8">
                  <c:v>190.29850746268664</c:v>
                </c:pt>
                <c:pt idx="9">
                  <c:v>201.71673819742489</c:v>
                </c:pt>
                <c:pt idx="10">
                  <c:v>305.69948186528495</c:v>
                </c:pt>
                <c:pt idx="11">
                  <c:v>317.3652694610775</c:v>
                </c:pt>
                <c:pt idx="12">
                  <c:v>269.23076923076928</c:v>
                </c:pt>
                <c:pt idx="13">
                  <c:v>218.04511278195471</c:v>
                </c:pt>
                <c:pt idx="14">
                  <c:v>227.27272727272725</c:v>
                </c:pt>
                <c:pt idx="15">
                  <c:v>296.29629629629574</c:v>
                </c:pt>
                <c:pt idx="16">
                  <c:v>157.89473684210546</c:v>
                </c:pt>
                <c:pt idx="17">
                  <c:v>230.76923076923075</c:v>
                </c:pt>
                <c:pt idx="18">
                  <c:v>0</c:v>
                </c:pt>
                <c:pt idx="19">
                  <c:v>333.33333333333331</c:v>
                </c:pt>
              </c:numCache>
            </c:numRef>
          </c:val>
          <c:smooth val="1"/>
        </c:ser>
        <c:dLbls>
          <c:showLegendKey val="0"/>
          <c:showVal val="0"/>
          <c:showCatName val="0"/>
          <c:showSerName val="0"/>
          <c:showPercent val="0"/>
          <c:showBubbleSize val="0"/>
        </c:dLbls>
        <c:marker val="1"/>
        <c:smooth val="0"/>
        <c:axId val="284633728"/>
        <c:axId val="284644096"/>
      </c:lineChart>
      <c:catAx>
        <c:axId val="284633728"/>
        <c:scaling>
          <c:orientation val="minMax"/>
        </c:scaling>
        <c:delete val="0"/>
        <c:axPos val="b"/>
        <c:title>
          <c:tx>
            <c:rich>
              <a:bodyPr/>
              <a:lstStyle/>
              <a:p>
                <a:pPr>
                  <a:defRPr sz="750"/>
                </a:pPr>
                <a:r>
                  <a:rPr lang="es-EC" sz="750"/>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4644096"/>
        <c:crosses val="autoZero"/>
        <c:auto val="1"/>
        <c:lblAlgn val="ctr"/>
        <c:lblOffset val="100"/>
        <c:noMultiLvlLbl val="0"/>
      </c:catAx>
      <c:valAx>
        <c:axId val="284644096"/>
        <c:scaling>
          <c:orientation val="minMax"/>
          <c:max val="1000"/>
          <c:min val="0"/>
        </c:scaling>
        <c:delete val="0"/>
        <c:axPos val="l"/>
        <c:title>
          <c:tx>
            <c:rich>
              <a:bodyPr rot="-5400000" vert="horz"/>
              <a:lstStyle/>
              <a:p>
                <a:pPr>
                  <a:defRPr sz="550"/>
                </a:pPr>
                <a:r>
                  <a:rPr lang="es-EC" sz="550"/>
                  <a:t>Tasa por</a:t>
                </a:r>
                <a:r>
                  <a:rPr lang="es-EC" sz="550" baseline="0"/>
                  <a:t> cada 1000 estadounidenses</a:t>
                </a:r>
                <a:endParaRPr lang="es-EC" sz="550"/>
              </a:p>
            </c:rich>
          </c:tx>
          <c:layout>
            <c:manualLayout>
              <c:xMode val="edge"/>
              <c:yMode val="edge"/>
              <c:x val="6.033065405494603E-3"/>
              <c:y val="3.2422117562996407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4633728"/>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6947817963441"/>
          <c:y val="4.6274540682414614E-2"/>
          <c:w val="0.7878635170603675"/>
          <c:h val="0.58798477690288709"/>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700"/>
                </a:pPr>
                <a:endParaRPr lang="es-EC"/>
              </a:p>
            </c:txPr>
            <c:dLblPos val="outEnd"/>
            <c:showLegendKey val="0"/>
            <c:showVal val="1"/>
            <c:showCatName val="0"/>
            <c:showSerName val="0"/>
            <c:showPercent val="0"/>
            <c:showBubbleSize val="0"/>
            <c:showLeaderLines val="0"/>
          </c:dLbls>
          <c:cat>
            <c:strRef>
              <c:f>AñoLlegada!$I$4:$I$10</c:f>
              <c:strCache>
                <c:ptCount val="7"/>
                <c:pt idx="0">
                  <c:v>Menos de 1</c:v>
                </c:pt>
                <c:pt idx="1">
                  <c:v>[1 - 20)</c:v>
                </c:pt>
                <c:pt idx="2">
                  <c:v>[20 - 40)</c:v>
                </c:pt>
                <c:pt idx="3">
                  <c:v>[40 - 60)</c:v>
                </c:pt>
                <c:pt idx="4">
                  <c:v>[60 - 80)</c:v>
                </c:pt>
                <c:pt idx="5">
                  <c:v>[80 - 90]</c:v>
                </c:pt>
                <c:pt idx="6">
                  <c:v>No declarado</c:v>
                </c:pt>
              </c:strCache>
            </c:strRef>
          </c:cat>
          <c:val>
            <c:numRef>
              <c:f>AñoLlegada!$J$4:$J$10</c:f>
              <c:numCache>
                <c:formatCode>0.00%</c:formatCode>
                <c:ptCount val="7"/>
                <c:pt idx="0">
                  <c:v>0.16095092228807337</c:v>
                </c:pt>
                <c:pt idx="1">
                  <c:v>0.62302723579942765</c:v>
                </c:pt>
                <c:pt idx="2">
                  <c:v>8.6235599653725709E-2</c:v>
                </c:pt>
                <c:pt idx="3">
                  <c:v>2.5304654724645399E-2</c:v>
                </c:pt>
                <c:pt idx="4">
                  <c:v>3.4627422254777948E-3</c:v>
                </c:pt>
                <c:pt idx="5">
                  <c:v>2.6636478657521539E-4</c:v>
                </c:pt>
                <c:pt idx="6">
                  <c:v>0.10075248052207499</c:v>
                </c:pt>
              </c:numCache>
            </c:numRef>
          </c:val>
        </c:ser>
        <c:dLbls>
          <c:showLegendKey val="0"/>
          <c:showVal val="1"/>
          <c:showCatName val="0"/>
          <c:showSerName val="0"/>
          <c:showPercent val="0"/>
          <c:showBubbleSize val="0"/>
        </c:dLbls>
        <c:gapWidth val="30"/>
        <c:axId val="284650880"/>
        <c:axId val="284666496"/>
      </c:barChart>
      <c:catAx>
        <c:axId val="284650880"/>
        <c:scaling>
          <c:orientation val="minMax"/>
        </c:scaling>
        <c:delete val="0"/>
        <c:axPos val="b"/>
        <c:title>
          <c:tx>
            <c:rich>
              <a:bodyPr/>
              <a:lstStyle/>
              <a:p>
                <a:pPr>
                  <a:defRPr/>
                </a:pPr>
                <a:r>
                  <a:rPr lang="es-EC"/>
                  <a:t>Años de residencia en Ecuador</a:t>
                </a:r>
              </a:p>
            </c:rich>
          </c:tx>
          <c:overlay val="0"/>
        </c:title>
        <c:numFmt formatCode="General" sourceLinked="1"/>
        <c:majorTickMark val="out"/>
        <c:minorTickMark val="none"/>
        <c:tickLblPos val="low"/>
        <c:spPr>
          <a:ln>
            <a:solidFill>
              <a:schemeClr val="tx1"/>
            </a:solidFill>
          </a:ln>
        </c:spPr>
        <c:txPr>
          <a:bodyPr rot="-5400000" vert="horz"/>
          <a:lstStyle/>
          <a:p>
            <a:pPr>
              <a:defRPr sz="700"/>
            </a:pPr>
            <a:endParaRPr lang="es-EC"/>
          </a:p>
        </c:txPr>
        <c:crossAx val="284666496"/>
        <c:crosses val="autoZero"/>
        <c:auto val="1"/>
        <c:lblAlgn val="ctr"/>
        <c:lblOffset val="100"/>
        <c:noMultiLvlLbl val="0"/>
      </c:catAx>
      <c:valAx>
        <c:axId val="284666496"/>
        <c:scaling>
          <c:orientation val="minMax"/>
          <c:max val="1"/>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low"/>
        <c:spPr>
          <a:ln>
            <a:solidFill>
              <a:schemeClr val="tx1"/>
            </a:solidFill>
          </a:ln>
        </c:spPr>
        <c:crossAx val="284650880"/>
        <c:crossesAt val="1"/>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212815990593797E-2"/>
          <c:y val="5.0925925925925923E-2"/>
          <c:w val="0.88745569832871463"/>
          <c:h val="0.57106955380577462"/>
        </c:manualLayout>
      </c:layout>
      <c:barChart>
        <c:barDir val="col"/>
        <c:grouping val="clustered"/>
        <c:varyColors val="0"/>
        <c:ser>
          <c:idx val="0"/>
          <c:order val="0"/>
          <c:tx>
            <c:strRef>
              <c:f>Perfil!$F$114</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Perfil!$B$115:$B$139</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Perfil!$F$115:$F$139</c:f>
              <c:numCache>
                <c:formatCode>0.00</c:formatCode>
                <c:ptCount val="25"/>
                <c:pt idx="0">
                  <c:v>96.280743851229758</c:v>
                </c:pt>
                <c:pt idx="1">
                  <c:v>125</c:v>
                </c:pt>
                <c:pt idx="2">
                  <c:v>89.638554216867448</c:v>
                </c:pt>
                <c:pt idx="3">
                  <c:v>18.181818181818208</c:v>
                </c:pt>
                <c:pt idx="4">
                  <c:v>73.529411764705884</c:v>
                </c:pt>
                <c:pt idx="5">
                  <c:v>96.753246753246756</c:v>
                </c:pt>
                <c:pt idx="6">
                  <c:v>94.214876033057848</c:v>
                </c:pt>
                <c:pt idx="7">
                  <c:v>61.224489795918345</c:v>
                </c:pt>
                <c:pt idx="8">
                  <c:v>91.199054932073238</c:v>
                </c:pt>
                <c:pt idx="9">
                  <c:v>95.402298850574567</c:v>
                </c:pt>
                <c:pt idx="10">
                  <c:v>89.820359281437121</c:v>
                </c:pt>
                <c:pt idx="11">
                  <c:v>102.85714285714285</c:v>
                </c:pt>
                <c:pt idx="12">
                  <c:v>91.764705882352942</c:v>
                </c:pt>
                <c:pt idx="13">
                  <c:v>103.1446540880504</c:v>
                </c:pt>
                <c:pt idx="14">
                  <c:v>122.22222222222223</c:v>
                </c:pt>
                <c:pt idx="15">
                  <c:v>105.79710144927553</c:v>
                </c:pt>
                <c:pt idx="16">
                  <c:v>101.69172932330829</c:v>
                </c:pt>
                <c:pt idx="17">
                  <c:v>95.217391304347913</c:v>
                </c:pt>
                <c:pt idx="18">
                  <c:v>86.666666666666671</c:v>
                </c:pt>
                <c:pt idx="19">
                  <c:v>180</c:v>
                </c:pt>
                <c:pt idx="20">
                  <c:v>27.272727272727202</c:v>
                </c:pt>
                <c:pt idx="21">
                  <c:v>66.666666666666657</c:v>
                </c:pt>
                <c:pt idx="22">
                  <c:v>87.5</c:v>
                </c:pt>
                <c:pt idx="23">
                  <c:v>73.563218390804579</c:v>
                </c:pt>
                <c:pt idx="24">
                  <c:v>300</c:v>
                </c:pt>
              </c:numCache>
            </c:numRef>
          </c:val>
        </c:ser>
        <c:dLbls>
          <c:showLegendKey val="0"/>
          <c:showVal val="0"/>
          <c:showCatName val="0"/>
          <c:showSerName val="0"/>
          <c:showPercent val="0"/>
          <c:showBubbleSize val="0"/>
        </c:dLbls>
        <c:gapWidth val="40"/>
        <c:axId val="284679552"/>
        <c:axId val="284771840"/>
      </c:barChart>
      <c:lineChart>
        <c:grouping val="standard"/>
        <c:varyColors val="0"/>
        <c:ser>
          <c:idx val="1"/>
          <c:order val="1"/>
          <c:tx>
            <c:strRef>
              <c:f>Perfil!$G$114</c:f>
              <c:strCache>
                <c:ptCount val="1"/>
                <c:pt idx="0">
                  <c:v>100 Hombres</c:v>
                </c:pt>
              </c:strCache>
            </c:strRef>
          </c:tx>
          <c:spPr>
            <a:ln w="19050">
              <a:solidFill>
                <a:schemeClr val="tx1"/>
              </a:solidFill>
            </a:ln>
          </c:spPr>
          <c:marker>
            <c:symbol val="none"/>
          </c:marker>
          <c:cat>
            <c:strRef>
              <c:f>Perfil!$B$115:$B$139</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Perfil!$G$115:$G$139</c:f>
              <c:numCache>
                <c:formatCode>###0</c:formatCode>
                <c:ptCount val="2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numCache>
            </c:numRef>
          </c:val>
          <c:smooth val="0"/>
        </c:ser>
        <c:dLbls>
          <c:showLegendKey val="0"/>
          <c:showVal val="0"/>
          <c:showCatName val="0"/>
          <c:showSerName val="0"/>
          <c:showPercent val="0"/>
          <c:showBubbleSize val="0"/>
        </c:dLbls>
        <c:marker val="1"/>
        <c:smooth val="0"/>
        <c:axId val="284679552"/>
        <c:axId val="284771840"/>
      </c:lineChart>
      <c:catAx>
        <c:axId val="284679552"/>
        <c:scaling>
          <c:orientation val="minMax"/>
        </c:scaling>
        <c:delete val="0"/>
        <c:axPos val="b"/>
        <c:title>
          <c:tx>
            <c:rich>
              <a:bodyPr/>
              <a:lstStyle/>
              <a:p>
                <a:pPr>
                  <a:defRPr sz="800"/>
                </a:pPr>
                <a:r>
                  <a:rPr lang="es-EC" sz="800"/>
                  <a:t>Provincia de residencia</a:t>
                </a:r>
                <a:r>
                  <a:rPr lang="es-EC" sz="800" baseline="0"/>
                  <a:t> habitual</a:t>
                </a:r>
                <a:endParaRPr lang="es-EC" sz="800"/>
              </a:p>
            </c:rich>
          </c:tx>
          <c:overlay val="0"/>
        </c:title>
        <c:numFmt formatCode="General" sourceLinked="1"/>
        <c:majorTickMark val="out"/>
        <c:minorTickMark val="none"/>
        <c:tickLblPos val="nextTo"/>
        <c:spPr>
          <a:ln>
            <a:solidFill>
              <a:schemeClr val="tx1"/>
            </a:solidFill>
          </a:ln>
        </c:spPr>
        <c:txPr>
          <a:bodyPr rot="-5400000" vert="horz"/>
          <a:lstStyle/>
          <a:p>
            <a:pPr>
              <a:defRPr sz="550"/>
            </a:pPr>
            <a:endParaRPr lang="es-EC"/>
          </a:p>
        </c:txPr>
        <c:crossAx val="284771840"/>
        <c:crosses val="autoZero"/>
        <c:auto val="1"/>
        <c:lblAlgn val="ctr"/>
        <c:lblOffset val="100"/>
        <c:noMultiLvlLbl val="0"/>
      </c:catAx>
      <c:valAx>
        <c:axId val="284771840"/>
        <c:scaling>
          <c:orientation val="minMax"/>
          <c:max val="350"/>
          <c:min val="0"/>
        </c:scaling>
        <c:delete val="0"/>
        <c:axPos val="l"/>
        <c:title>
          <c:tx>
            <c:rich>
              <a:bodyPr rot="-5400000" vert="horz"/>
              <a:lstStyle/>
              <a:p>
                <a:pPr>
                  <a:defRPr sz="800"/>
                </a:pPr>
                <a:r>
                  <a:rPr lang="es-EC" sz="800"/>
                  <a:t>Índice de Feminidad</a:t>
                </a:r>
              </a:p>
            </c:rich>
          </c:tx>
          <c:overlay val="0"/>
        </c:title>
        <c:numFmt formatCode="0" sourceLinked="0"/>
        <c:majorTickMark val="out"/>
        <c:minorTickMark val="none"/>
        <c:tickLblPos val="nextTo"/>
        <c:spPr>
          <a:ln>
            <a:solidFill>
              <a:schemeClr val="tx1"/>
            </a:solidFill>
          </a:ln>
        </c:spPr>
        <c:crossAx val="284679552"/>
        <c:crosses val="autoZero"/>
        <c:crossBetween val="between"/>
        <c:majorUnit val="50"/>
      </c:valAx>
      <c:spPr>
        <a:noFill/>
        <a:ln>
          <a:solidFill>
            <a:schemeClr val="tx1"/>
          </a:solidFill>
        </a:ln>
      </c:spPr>
    </c:plotArea>
    <c:legend>
      <c:legendPos val="t"/>
      <c:layout>
        <c:manualLayout>
          <c:xMode val="edge"/>
          <c:yMode val="edge"/>
          <c:x val="0.12708595783992621"/>
          <c:y val="5.5555555555555483E-2"/>
          <c:w val="0.6178361468044008"/>
          <c:h val="6.3619495479731711E-2"/>
        </c:manualLayout>
      </c:layout>
      <c:overlay val="0"/>
      <c:txPr>
        <a:bodyPr/>
        <a:lstStyle/>
        <a:p>
          <a:pPr>
            <a:defRPr sz="750"/>
          </a:pPr>
          <a:endParaRPr lang="es-EC"/>
        </a:p>
      </c:txPr>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19508275751261"/>
          <c:y val="4.5407636738906167E-2"/>
          <c:w val="0.80797857410680862"/>
          <c:h val="0.85883068022070064"/>
        </c:manualLayout>
      </c:layout>
      <c:barChart>
        <c:barDir val="bar"/>
        <c:grouping val="stacked"/>
        <c:varyColors val="0"/>
        <c:ser>
          <c:idx val="0"/>
          <c:order val="0"/>
          <c:spPr>
            <a:solidFill>
              <a:schemeClr val="accent5">
                <a:lumMod val="40000"/>
                <a:lumOff val="60000"/>
              </a:schemeClr>
            </a:solidFill>
            <a:ln>
              <a:solidFill>
                <a:schemeClr val="accent5">
                  <a:lumMod val="75000"/>
                </a:schemeClr>
              </a:solidFill>
            </a:ln>
          </c:spPr>
          <c:invertIfNegative val="0"/>
          <c:cat>
            <c:strRef>
              <c:f>Perfil!$G$147:$G$167</c:f>
              <c:strCache>
                <c:ptCount val="21"/>
                <c:pt idx="0">
                  <c:v>Menos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strCache>
            </c:strRef>
          </c:cat>
          <c:val>
            <c:numRef>
              <c:f>Perfil!$H$147:$H$167</c:f>
              <c:numCache>
                <c:formatCode>0,000</c:formatCode>
                <c:ptCount val="21"/>
                <c:pt idx="0">
                  <c:v>-8.3238995804754707E-3</c:v>
                </c:pt>
                <c:pt idx="1">
                  <c:v>-7.9909435972564433E-2</c:v>
                </c:pt>
                <c:pt idx="2">
                  <c:v>-0.12419258174069407</c:v>
                </c:pt>
                <c:pt idx="3">
                  <c:v>-7.0586668442431999E-2</c:v>
                </c:pt>
                <c:pt idx="4">
                  <c:v>-4.6014516880868384E-2</c:v>
                </c:pt>
                <c:pt idx="5">
                  <c:v>-3.402810148498369E-2</c:v>
                </c:pt>
                <c:pt idx="6">
                  <c:v>-2.1575547712592427E-2</c:v>
                </c:pt>
                <c:pt idx="7">
                  <c:v>-1.9311447026703069E-2</c:v>
                </c:pt>
                <c:pt idx="8">
                  <c:v>-1.9378038223346872E-2</c:v>
                </c:pt>
                <c:pt idx="9">
                  <c:v>-1.4983019244855856E-2</c:v>
                </c:pt>
                <c:pt idx="10">
                  <c:v>-1.4183924885130185E-2</c:v>
                </c:pt>
                <c:pt idx="11">
                  <c:v>-1.1387094626090433E-2</c:v>
                </c:pt>
                <c:pt idx="12">
                  <c:v>-1.2519144969035093E-2</c:v>
                </c:pt>
                <c:pt idx="13">
                  <c:v>-1.245255377239129E-2</c:v>
                </c:pt>
                <c:pt idx="14">
                  <c:v>-1.0987547446227626E-2</c:v>
                </c:pt>
                <c:pt idx="15">
                  <c:v>-5.1275221415728895E-3</c:v>
                </c:pt>
                <c:pt idx="16">
                  <c:v>-3.063195045614977E-3</c:v>
                </c:pt>
                <c:pt idx="17">
                  <c:v>-2.1309182926017214E-3</c:v>
                </c:pt>
                <c:pt idx="18">
                  <c:v>-7.3250316308184058E-4</c:v>
                </c:pt>
                <c:pt idx="19">
                  <c:v>-2.6636478657521539E-4</c:v>
                </c:pt>
                <c:pt idx="20">
                  <c:v>-6.6591196643803766E-5</c:v>
                </c:pt>
              </c:numCache>
            </c:numRef>
          </c:val>
        </c:ser>
        <c:ser>
          <c:idx val="1"/>
          <c:order val="1"/>
          <c:spPr>
            <a:solidFill>
              <a:schemeClr val="accent6">
                <a:lumMod val="60000"/>
                <a:lumOff val="40000"/>
              </a:schemeClr>
            </a:solidFill>
            <a:ln>
              <a:solidFill>
                <a:schemeClr val="accent6">
                  <a:lumMod val="75000"/>
                </a:schemeClr>
              </a:solidFill>
            </a:ln>
          </c:spPr>
          <c:invertIfNegative val="0"/>
          <c:cat>
            <c:strRef>
              <c:f>Perfil!$G$147:$G$167</c:f>
              <c:strCache>
                <c:ptCount val="21"/>
                <c:pt idx="0">
                  <c:v>Menos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strCache>
            </c:strRef>
          </c:cat>
          <c:val>
            <c:numRef>
              <c:f>Perfil!$I$147:$I$167</c:f>
              <c:numCache>
                <c:formatCode>0,000</c:formatCode>
                <c:ptCount val="21"/>
                <c:pt idx="0">
                  <c:v>8.4570819737630823E-3</c:v>
                </c:pt>
                <c:pt idx="1">
                  <c:v>7.6713058533661879E-2</c:v>
                </c:pt>
                <c:pt idx="2">
                  <c:v>0.12013051874542192</c:v>
                </c:pt>
                <c:pt idx="3">
                  <c:v>6.4260504761270557E-2</c:v>
                </c:pt>
                <c:pt idx="4">
                  <c:v>4.4349736964773324E-2</c:v>
                </c:pt>
                <c:pt idx="5">
                  <c:v>4.355064260504761E-2</c:v>
                </c:pt>
                <c:pt idx="6">
                  <c:v>2.563761070786448E-2</c:v>
                </c:pt>
                <c:pt idx="7">
                  <c:v>1.7047346340813743E-2</c:v>
                </c:pt>
                <c:pt idx="8">
                  <c:v>1.7846440700539389E-2</c:v>
                </c:pt>
                <c:pt idx="9">
                  <c:v>1.5515748818006261E-2</c:v>
                </c:pt>
                <c:pt idx="10">
                  <c:v>1.2852100952254112E-2</c:v>
                </c:pt>
                <c:pt idx="11">
                  <c:v>1.112072983951525E-2</c:v>
                </c:pt>
                <c:pt idx="12">
                  <c:v>8.6568555636944797E-3</c:v>
                </c:pt>
                <c:pt idx="13">
                  <c:v>8.8566291536259188E-3</c:v>
                </c:pt>
                <c:pt idx="14">
                  <c:v>7.3250316308184054E-3</c:v>
                </c:pt>
                <c:pt idx="15">
                  <c:v>3.5959246187654051E-3</c:v>
                </c:pt>
                <c:pt idx="16">
                  <c:v>1.2652327362322701E-3</c:v>
                </c:pt>
                <c:pt idx="17">
                  <c:v>8.6568555636944795E-4</c:v>
                </c:pt>
                <c:pt idx="18">
                  <c:v>5.3272957315042991E-4</c:v>
                </c:pt>
                <c:pt idx="19">
                  <c:v>1.997735899314113E-4</c:v>
                </c:pt>
                <c:pt idx="20">
                  <c:v>0</c:v>
                </c:pt>
              </c:numCache>
            </c:numRef>
          </c:val>
        </c:ser>
        <c:dLbls>
          <c:showLegendKey val="0"/>
          <c:showVal val="0"/>
          <c:showCatName val="0"/>
          <c:showSerName val="0"/>
          <c:showPercent val="0"/>
          <c:showBubbleSize val="0"/>
        </c:dLbls>
        <c:gapWidth val="0"/>
        <c:overlap val="100"/>
        <c:axId val="284818432"/>
        <c:axId val="284689536"/>
      </c:barChart>
      <c:catAx>
        <c:axId val="284818432"/>
        <c:scaling>
          <c:orientation val="minMax"/>
        </c:scaling>
        <c:delete val="0"/>
        <c:axPos val="l"/>
        <c:title>
          <c:tx>
            <c:rich>
              <a:bodyPr rot="-5400000" vert="horz"/>
              <a:lstStyle/>
              <a:p>
                <a:pPr>
                  <a:defRPr sz="750"/>
                </a:pPr>
                <a:r>
                  <a:rPr lang="es-EC" sz="750"/>
                  <a:t>Grupos Etarios</a:t>
                </a:r>
              </a:p>
            </c:rich>
          </c:tx>
          <c:overlay val="0"/>
        </c:title>
        <c:numFmt formatCode="General" sourceLinked="1"/>
        <c:majorTickMark val="out"/>
        <c:minorTickMark val="none"/>
        <c:tickLblPos val="nextTo"/>
        <c:spPr>
          <a:ln>
            <a:solidFill>
              <a:sysClr val="windowText" lastClr="000000"/>
            </a:solidFill>
          </a:ln>
        </c:spPr>
        <c:txPr>
          <a:bodyPr/>
          <a:lstStyle/>
          <a:p>
            <a:pPr>
              <a:defRPr sz="650"/>
            </a:pPr>
            <a:endParaRPr lang="es-EC"/>
          </a:p>
        </c:txPr>
        <c:crossAx val="284689536"/>
        <c:crossesAt val="-15"/>
        <c:auto val="1"/>
        <c:lblAlgn val="ctr"/>
        <c:lblOffset val="100"/>
        <c:noMultiLvlLbl val="0"/>
      </c:catAx>
      <c:valAx>
        <c:axId val="284689536"/>
        <c:scaling>
          <c:orientation val="minMax"/>
          <c:max val="0.14000000000000001"/>
          <c:min val="-0.14000000000000001"/>
        </c:scaling>
        <c:delete val="0"/>
        <c:axPos val="b"/>
        <c:majorGridlines>
          <c:spPr>
            <a:ln>
              <a:prstDash val="dash"/>
            </a:ln>
          </c:spPr>
        </c:majorGridlines>
        <c:numFmt formatCode="0%;0%" sourceLinked="0"/>
        <c:majorTickMark val="out"/>
        <c:minorTickMark val="none"/>
        <c:tickLblPos val="nextTo"/>
        <c:spPr>
          <a:ln>
            <a:solidFill>
              <a:schemeClr val="tx1"/>
            </a:solidFill>
          </a:ln>
        </c:spPr>
        <c:txPr>
          <a:bodyPr/>
          <a:lstStyle/>
          <a:p>
            <a:pPr>
              <a:defRPr sz="800"/>
            </a:pPr>
            <a:endParaRPr lang="es-EC"/>
          </a:p>
        </c:txPr>
        <c:crossAx val="284818432"/>
        <c:crosses val="autoZero"/>
        <c:crossBetween val="between"/>
        <c:majorUnit val="4.0000000000000022E-2"/>
      </c:valAx>
      <c:spPr>
        <a:noFill/>
        <a:ln>
          <a:solidFill>
            <a:sysClr val="windowText" lastClr="000000"/>
          </a:solidFill>
        </a:ln>
      </c:spPr>
    </c:plotArea>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43100697068956E-2"/>
          <c:y val="5.7066993464052342E-2"/>
          <c:w val="0.88072541362223966"/>
          <c:h val="0.66909139166592968"/>
        </c:manualLayout>
      </c:layout>
      <c:barChart>
        <c:barDir val="col"/>
        <c:grouping val="clustered"/>
        <c:varyColors val="0"/>
        <c:ser>
          <c:idx val="0"/>
          <c:order val="0"/>
          <c:tx>
            <c:strRef>
              <c:f>Perfil!$F$114</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Perfil!$C$66:$C$86</c:f>
              <c:strCache>
                <c:ptCount val="21"/>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strCache>
            </c:strRef>
          </c:cat>
          <c:val>
            <c:numRef>
              <c:f>Perfil!$J$147:$J$167</c:f>
              <c:numCache>
                <c:formatCode>0.00</c:formatCode>
                <c:ptCount val="21"/>
                <c:pt idx="0">
                  <c:v>101.6</c:v>
                </c:pt>
                <c:pt idx="1">
                  <c:v>96</c:v>
                </c:pt>
                <c:pt idx="2">
                  <c:v>96.729222520107328</c:v>
                </c:pt>
                <c:pt idx="3">
                  <c:v>91.037735849056588</c:v>
                </c:pt>
                <c:pt idx="4">
                  <c:v>96.382054992763997</c:v>
                </c:pt>
                <c:pt idx="5">
                  <c:v>127.98434442270059</c:v>
                </c:pt>
                <c:pt idx="6">
                  <c:v>118.82716049382719</c:v>
                </c:pt>
                <c:pt idx="7">
                  <c:v>88.275862068965509</c:v>
                </c:pt>
                <c:pt idx="8">
                  <c:v>92.096219931271577</c:v>
                </c:pt>
                <c:pt idx="9">
                  <c:v>103.55555555555547</c:v>
                </c:pt>
                <c:pt idx="10">
                  <c:v>90.610328638497649</c:v>
                </c:pt>
                <c:pt idx="11">
                  <c:v>97.660818713450084</c:v>
                </c:pt>
                <c:pt idx="12">
                  <c:v>69.148936170212778</c:v>
                </c:pt>
                <c:pt idx="13">
                  <c:v>71.122994652406277</c:v>
                </c:pt>
                <c:pt idx="14">
                  <c:v>66.666666666666657</c:v>
                </c:pt>
                <c:pt idx="15">
                  <c:v>70.129870129870028</c:v>
                </c:pt>
                <c:pt idx="16">
                  <c:v>41.304347826086946</c:v>
                </c:pt>
                <c:pt idx="17">
                  <c:v>40.625000000000043</c:v>
                </c:pt>
                <c:pt idx="18">
                  <c:v>72.727272727272734</c:v>
                </c:pt>
                <c:pt idx="19">
                  <c:v>75</c:v>
                </c:pt>
                <c:pt idx="20">
                  <c:v>0</c:v>
                </c:pt>
              </c:numCache>
            </c:numRef>
          </c:val>
        </c:ser>
        <c:dLbls>
          <c:showLegendKey val="0"/>
          <c:showVal val="0"/>
          <c:showCatName val="0"/>
          <c:showSerName val="0"/>
          <c:showPercent val="0"/>
          <c:showBubbleSize val="0"/>
        </c:dLbls>
        <c:gapWidth val="0"/>
        <c:axId val="284726784"/>
        <c:axId val="284728704"/>
      </c:barChart>
      <c:lineChart>
        <c:grouping val="standard"/>
        <c:varyColors val="0"/>
        <c:ser>
          <c:idx val="1"/>
          <c:order val="1"/>
          <c:tx>
            <c:strRef>
              <c:f>Perfil!$G$114</c:f>
              <c:strCache>
                <c:ptCount val="1"/>
                <c:pt idx="0">
                  <c:v>100 Hombres</c:v>
                </c:pt>
              </c:strCache>
            </c:strRef>
          </c:tx>
          <c:spPr>
            <a:ln w="19050">
              <a:solidFill>
                <a:schemeClr val="tx1"/>
              </a:solidFill>
            </a:ln>
          </c:spPr>
          <c:marker>
            <c:symbol val="none"/>
          </c:marker>
          <c:cat>
            <c:strRef>
              <c:f>Perfil!$C$66:$C$86</c:f>
              <c:strCache>
                <c:ptCount val="21"/>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strCache>
            </c:strRef>
          </c:cat>
          <c:val>
            <c:numRef>
              <c:f>Perfil!$G$115:$G$135</c:f>
              <c:numCache>
                <c:formatCode>###0</c:formatCode>
                <c:ptCount val="2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numCache>
            </c:numRef>
          </c:val>
          <c:smooth val="0"/>
        </c:ser>
        <c:dLbls>
          <c:showLegendKey val="0"/>
          <c:showVal val="0"/>
          <c:showCatName val="0"/>
          <c:showSerName val="0"/>
          <c:showPercent val="0"/>
          <c:showBubbleSize val="0"/>
        </c:dLbls>
        <c:marker val="1"/>
        <c:smooth val="0"/>
        <c:axId val="284726784"/>
        <c:axId val="284728704"/>
      </c:lineChart>
      <c:catAx>
        <c:axId val="284726784"/>
        <c:scaling>
          <c:orientation val="minMax"/>
        </c:scaling>
        <c:delete val="0"/>
        <c:axPos val="b"/>
        <c:title>
          <c:tx>
            <c:rich>
              <a:bodyPr/>
              <a:lstStyle/>
              <a:p>
                <a:pPr>
                  <a:defRPr/>
                </a:pPr>
                <a:r>
                  <a:rPr lang="es-EC"/>
                  <a:t>Grupos Etarios</a:t>
                </a:r>
              </a:p>
            </c:rich>
          </c:tx>
          <c:overlay val="0"/>
        </c:title>
        <c:majorTickMark val="out"/>
        <c:minorTickMark val="none"/>
        <c:tickLblPos val="nextTo"/>
        <c:spPr>
          <a:ln>
            <a:solidFill>
              <a:schemeClr val="tx1"/>
            </a:solidFill>
          </a:ln>
        </c:spPr>
        <c:txPr>
          <a:bodyPr rot="-5400000" vert="horz"/>
          <a:lstStyle/>
          <a:p>
            <a:pPr>
              <a:defRPr sz="600"/>
            </a:pPr>
            <a:endParaRPr lang="es-EC"/>
          </a:p>
        </c:txPr>
        <c:crossAx val="284728704"/>
        <c:crosses val="autoZero"/>
        <c:auto val="1"/>
        <c:lblAlgn val="ctr"/>
        <c:lblOffset val="100"/>
        <c:noMultiLvlLbl val="0"/>
      </c:catAx>
      <c:valAx>
        <c:axId val="284728704"/>
        <c:scaling>
          <c:orientation val="minMax"/>
          <c:max val="180"/>
          <c:min val="0"/>
        </c:scaling>
        <c:delete val="0"/>
        <c:axPos val="l"/>
        <c:title>
          <c:tx>
            <c:rich>
              <a:bodyPr rot="-5400000" vert="horz"/>
              <a:lstStyle/>
              <a:p>
                <a:pPr>
                  <a:defRPr sz="750"/>
                </a:pPr>
                <a:r>
                  <a:rPr lang="es-EC" sz="750"/>
                  <a:t>Índice de Feminidad</a:t>
                </a:r>
              </a:p>
            </c:rich>
          </c:tx>
          <c:overlay val="0"/>
        </c:title>
        <c:numFmt formatCode="0" sourceLinked="0"/>
        <c:majorTickMark val="out"/>
        <c:minorTickMark val="none"/>
        <c:tickLblPos val="nextTo"/>
        <c:spPr>
          <a:ln>
            <a:solidFill>
              <a:schemeClr val="tx1"/>
            </a:solidFill>
          </a:ln>
        </c:spPr>
        <c:crossAx val="284726784"/>
        <c:crosses val="autoZero"/>
        <c:crossBetween val="between"/>
        <c:majorUnit val="20"/>
      </c:valAx>
      <c:spPr>
        <a:noFill/>
        <a:ln>
          <a:solidFill>
            <a:schemeClr val="tx1"/>
          </a:solidFill>
        </a:ln>
      </c:spPr>
    </c:plotArea>
    <c:legend>
      <c:legendPos val="t"/>
      <c:layout>
        <c:manualLayout>
          <c:xMode val="edge"/>
          <c:yMode val="edge"/>
          <c:x val="0.18309124884521738"/>
          <c:y val="5.7066993464052342E-2"/>
          <c:w val="0.67381498278323682"/>
          <c:h val="7.7017565359477139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210140399116777"/>
        </c:manualLayout>
      </c:layout>
      <c:lineChart>
        <c:grouping val="standard"/>
        <c:varyColors val="0"/>
        <c:ser>
          <c:idx val="0"/>
          <c:order val="0"/>
          <c:tx>
            <c:strRef>
              <c:f>Perfil!$G$174</c:f>
              <c:strCache>
                <c:ptCount val="1"/>
                <c:pt idx="0">
                  <c:v>Alfabeto</c:v>
                </c:pt>
              </c:strCache>
            </c:strRef>
          </c:tx>
          <c:spPr>
            <a:ln w="19050">
              <a:solidFill>
                <a:srgbClr val="0070C0"/>
              </a:solidFill>
            </a:ln>
          </c:spPr>
          <c:marker>
            <c:symbol val="none"/>
          </c:marker>
          <c:cat>
            <c:strRef>
              <c:f>Perfil!$C$177:$C$193</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strCache>
            </c:strRef>
          </c:cat>
          <c:val>
            <c:numRef>
              <c:f>Perfil!$G$177:$G$193</c:f>
              <c:numCache>
                <c:formatCode>0.00</c:formatCode>
                <c:ptCount val="17"/>
                <c:pt idx="0">
                  <c:v>994.21128798842267</c:v>
                </c:pt>
                <c:pt idx="1">
                  <c:v>998.04305283757333</c:v>
                </c:pt>
                <c:pt idx="2">
                  <c:v>996.91358024691351</c:v>
                </c:pt>
                <c:pt idx="3">
                  <c:v>996.55172413793048</c:v>
                </c:pt>
                <c:pt idx="4">
                  <c:v>1000</c:v>
                </c:pt>
                <c:pt idx="5">
                  <c:v>1000</c:v>
                </c:pt>
                <c:pt idx="6">
                  <c:v>995.30516431924809</c:v>
                </c:pt>
                <c:pt idx="7">
                  <c:v>1000</c:v>
                </c:pt>
                <c:pt idx="8">
                  <c:v>994.68085106383046</c:v>
                </c:pt>
                <c:pt idx="9">
                  <c:v>1000</c:v>
                </c:pt>
                <c:pt idx="10">
                  <c:v>1000</c:v>
                </c:pt>
                <c:pt idx="11">
                  <c:v>1000</c:v>
                </c:pt>
                <c:pt idx="12">
                  <c:v>1000</c:v>
                </c:pt>
                <c:pt idx="13">
                  <c:v>1000</c:v>
                </c:pt>
                <c:pt idx="14">
                  <c:v>1000</c:v>
                </c:pt>
                <c:pt idx="15">
                  <c:v>1000</c:v>
                </c:pt>
                <c:pt idx="16">
                  <c:v>1000</c:v>
                </c:pt>
              </c:numCache>
            </c:numRef>
          </c:val>
          <c:smooth val="1"/>
        </c:ser>
        <c:ser>
          <c:idx val="1"/>
          <c:order val="1"/>
          <c:tx>
            <c:strRef>
              <c:f>Perfil!$H$174</c:f>
              <c:strCache>
                <c:ptCount val="1"/>
                <c:pt idx="0">
                  <c:v>Analfabeto</c:v>
                </c:pt>
              </c:strCache>
            </c:strRef>
          </c:tx>
          <c:spPr>
            <a:ln w="19050">
              <a:solidFill>
                <a:schemeClr val="accent6">
                  <a:lumMod val="75000"/>
                </a:schemeClr>
              </a:solidFill>
            </a:ln>
          </c:spPr>
          <c:marker>
            <c:symbol val="none"/>
          </c:marker>
          <c:cat>
            <c:strRef>
              <c:f>Perfil!$C$177:$C$193</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strCache>
            </c:strRef>
          </c:cat>
          <c:val>
            <c:numRef>
              <c:f>Perfil!$H$177:$H$193</c:f>
              <c:numCache>
                <c:formatCode>0.00</c:formatCode>
                <c:ptCount val="17"/>
                <c:pt idx="0">
                  <c:v>5.7887120115774238</c:v>
                </c:pt>
                <c:pt idx="1">
                  <c:v>1.9569471624266168</c:v>
                </c:pt>
                <c:pt idx="2">
                  <c:v>3.0864197530864201</c:v>
                </c:pt>
                <c:pt idx="3">
                  <c:v>3.4482758620689653</c:v>
                </c:pt>
                <c:pt idx="4">
                  <c:v>0</c:v>
                </c:pt>
                <c:pt idx="5">
                  <c:v>0</c:v>
                </c:pt>
                <c:pt idx="6">
                  <c:v>4.694835680751174</c:v>
                </c:pt>
                <c:pt idx="7">
                  <c:v>0</c:v>
                </c:pt>
                <c:pt idx="8">
                  <c:v>5.3191489361702073</c:v>
                </c:pt>
                <c:pt idx="9">
                  <c:v>0</c:v>
                </c:pt>
                <c:pt idx="10">
                  <c:v>0</c:v>
                </c:pt>
                <c:pt idx="11">
                  <c:v>0</c:v>
                </c:pt>
                <c:pt idx="12">
                  <c:v>0</c:v>
                </c:pt>
                <c:pt idx="13">
                  <c:v>0</c:v>
                </c:pt>
                <c:pt idx="14">
                  <c:v>0</c:v>
                </c:pt>
                <c:pt idx="15">
                  <c:v>0</c:v>
                </c:pt>
                <c:pt idx="16">
                  <c:v>0</c:v>
                </c:pt>
              </c:numCache>
            </c:numRef>
          </c:val>
          <c:smooth val="1"/>
        </c:ser>
        <c:dLbls>
          <c:showLegendKey val="0"/>
          <c:showVal val="0"/>
          <c:showCatName val="0"/>
          <c:showSerName val="0"/>
          <c:showPercent val="0"/>
          <c:showBubbleSize val="0"/>
        </c:dLbls>
        <c:marker val="1"/>
        <c:smooth val="0"/>
        <c:axId val="284736896"/>
        <c:axId val="284800512"/>
      </c:lineChart>
      <c:catAx>
        <c:axId val="284736896"/>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84800512"/>
        <c:crosses val="autoZero"/>
        <c:auto val="1"/>
        <c:lblAlgn val="ctr"/>
        <c:lblOffset val="100"/>
        <c:noMultiLvlLbl val="0"/>
      </c:catAx>
      <c:valAx>
        <c:axId val="284800512"/>
        <c:scaling>
          <c:orientation val="minMax"/>
          <c:max val="1000"/>
          <c:min val="0"/>
        </c:scaling>
        <c:delete val="0"/>
        <c:axPos val="l"/>
        <c:title>
          <c:tx>
            <c:rich>
              <a:bodyPr rot="-5400000" vert="horz"/>
              <a:lstStyle/>
              <a:p>
                <a:pPr>
                  <a:defRPr sz="550"/>
                </a:pPr>
                <a:r>
                  <a:rPr lang="es-EC" sz="550"/>
                  <a:t>Tasa por</a:t>
                </a:r>
                <a:r>
                  <a:rPr lang="es-EC" sz="550" baseline="0"/>
                  <a:t> cada 1000 estadounidenses</a:t>
                </a:r>
                <a:endParaRPr lang="es-EC" sz="550"/>
              </a:p>
            </c:rich>
          </c:tx>
          <c:layout>
            <c:manualLayout>
              <c:xMode val="edge"/>
              <c:yMode val="edge"/>
              <c:x val="9.0497737556561059E-3"/>
              <c:y val="1.6517651242783087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4736896"/>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3512338735435869"/>
        </c:manualLayout>
      </c:layout>
      <c:lineChart>
        <c:grouping val="standard"/>
        <c:varyColors val="0"/>
        <c:ser>
          <c:idx val="0"/>
          <c:order val="0"/>
          <c:tx>
            <c:strRef>
              <c:f>Perfil!$G$174</c:f>
              <c:strCache>
                <c:ptCount val="1"/>
                <c:pt idx="0">
                  <c:v>Alfabeto</c:v>
                </c:pt>
              </c:strCache>
            </c:strRef>
          </c:tx>
          <c:spPr>
            <a:ln w="19050">
              <a:solidFill>
                <a:srgbClr val="0070C0"/>
              </a:solidFill>
            </a:ln>
          </c:spPr>
          <c:marker>
            <c:symbol val="none"/>
          </c:marker>
          <c:cat>
            <c:strRef>
              <c:f>Perfil!$C$197:$C$212</c:f>
              <c:strCache>
                <c:ptCount val="16"/>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strCache>
            </c:strRef>
          </c:cat>
          <c:val>
            <c:numRef>
              <c:f>Perfil!$G$197:$G$212</c:f>
              <c:numCache>
                <c:formatCode>0.00</c:formatCode>
                <c:ptCount val="16"/>
                <c:pt idx="0">
                  <c:v>996.99699699699693</c:v>
                </c:pt>
                <c:pt idx="1">
                  <c:v>1000</c:v>
                </c:pt>
                <c:pt idx="2">
                  <c:v>997.40259740259739</c:v>
                </c:pt>
                <c:pt idx="3">
                  <c:v>992.1875</c:v>
                </c:pt>
                <c:pt idx="4">
                  <c:v>992.53731343283539</c:v>
                </c:pt>
                <c:pt idx="5">
                  <c:v>991.41630901287556</c:v>
                </c:pt>
                <c:pt idx="6">
                  <c:v>1000</c:v>
                </c:pt>
                <c:pt idx="7">
                  <c:v>1000</c:v>
                </c:pt>
                <c:pt idx="8">
                  <c:v>992.30769230769261</c:v>
                </c:pt>
                <c:pt idx="9">
                  <c:v>1000</c:v>
                </c:pt>
                <c:pt idx="10">
                  <c:v>1000</c:v>
                </c:pt>
                <c:pt idx="11">
                  <c:v>1000</c:v>
                </c:pt>
                <c:pt idx="12">
                  <c:v>1000</c:v>
                </c:pt>
                <c:pt idx="13">
                  <c:v>1000</c:v>
                </c:pt>
                <c:pt idx="14">
                  <c:v>1000</c:v>
                </c:pt>
                <c:pt idx="15">
                  <c:v>1000</c:v>
                </c:pt>
              </c:numCache>
            </c:numRef>
          </c:val>
          <c:smooth val="1"/>
        </c:ser>
        <c:ser>
          <c:idx val="1"/>
          <c:order val="1"/>
          <c:tx>
            <c:strRef>
              <c:f>Perfil!$H$174</c:f>
              <c:strCache>
                <c:ptCount val="1"/>
                <c:pt idx="0">
                  <c:v>Analfabeto</c:v>
                </c:pt>
              </c:strCache>
            </c:strRef>
          </c:tx>
          <c:spPr>
            <a:ln w="19050">
              <a:solidFill>
                <a:schemeClr val="accent6">
                  <a:lumMod val="75000"/>
                </a:schemeClr>
              </a:solidFill>
            </a:ln>
          </c:spPr>
          <c:marker>
            <c:symbol val="none"/>
          </c:marker>
          <c:cat>
            <c:strRef>
              <c:f>Perfil!$C$197:$C$212</c:f>
              <c:strCache>
                <c:ptCount val="16"/>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strCache>
            </c:strRef>
          </c:cat>
          <c:val>
            <c:numRef>
              <c:f>Perfil!$H$197:$H$212</c:f>
              <c:numCache>
                <c:formatCode>0.00</c:formatCode>
                <c:ptCount val="16"/>
                <c:pt idx="0">
                  <c:v>3.0030030030030028</c:v>
                </c:pt>
                <c:pt idx="1">
                  <c:v>0</c:v>
                </c:pt>
                <c:pt idx="2">
                  <c:v>2.5974025974025992</c:v>
                </c:pt>
                <c:pt idx="3">
                  <c:v>7.8124999999999956</c:v>
                </c:pt>
                <c:pt idx="4">
                  <c:v>7.4626865671641776</c:v>
                </c:pt>
                <c:pt idx="5">
                  <c:v>8.5836909871244647</c:v>
                </c:pt>
                <c:pt idx="6">
                  <c:v>0</c:v>
                </c:pt>
                <c:pt idx="7">
                  <c:v>0</c:v>
                </c:pt>
                <c:pt idx="8">
                  <c:v>7.6923076923076925</c:v>
                </c:pt>
                <c:pt idx="9">
                  <c:v>0</c:v>
                </c:pt>
                <c:pt idx="10">
                  <c:v>0</c:v>
                </c:pt>
                <c:pt idx="11">
                  <c:v>0</c:v>
                </c:pt>
                <c:pt idx="12">
                  <c:v>0</c:v>
                </c:pt>
                <c:pt idx="13">
                  <c:v>0</c:v>
                </c:pt>
                <c:pt idx="14">
                  <c:v>0</c:v>
                </c:pt>
                <c:pt idx="15">
                  <c:v>0</c:v>
                </c:pt>
              </c:numCache>
            </c:numRef>
          </c:val>
          <c:smooth val="1"/>
        </c:ser>
        <c:dLbls>
          <c:showLegendKey val="0"/>
          <c:showVal val="0"/>
          <c:showCatName val="0"/>
          <c:showSerName val="0"/>
          <c:showPercent val="0"/>
          <c:showBubbleSize val="0"/>
        </c:dLbls>
        <c:marker val="1"/>
        <c:smooth val="0"/>
        <c:axId val="284845952"/>
        <c:axId val="284852224"/>
      </c:lineChart>
      <c:catAx>
        <c:axId val="284845952"/>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84852224"/>
        <c:crosses val="autoZero"/>
        <c:auto val="1"/>
        <c:lblAlgn val="ctr"/>
        <c:lblOffset val="100"/>
        <c:noMultiLvlLbl val="0"/>
      </c:catAx>
      <c:valAx>
        <c:axId val="284852224"/>
        <c:scaling>
          <c:orientation val="minMax"/>
          <c:max val="1000"/>
          <c:min val="0"/>
        </c:scaling>
        <c:delete val="0"/>
        <c:axPos val="l"/>
        <c:title>
          <c:tx>
            <c:rich>
              <a:bodyPr rot="-5400000" vert="horz"/>
              <a:lstStyle/>
              <a:p>
                <a:pPr>
                  <a:defRPr sz="550"/>
                </a:pPr>
                <a:r>
                  <a:rPr lang="es-EC" sz="550"/>
                  <a:t>Tasa por</a:t>
                </a:r>
                <a:r>
                  <a:rPr lang="es-EC" sz="550" baseline="0"/>
                  <a:t> cada 1000 estadounidenses</a:t>
                </a:r>
                <a:endParaRPr lang="es-EC" sz="550"/>
              </a:p>
            </c:rich>
          </c:tx>
          <c:layout>
            <c:manualLayout>
              <c:xMode val="edge"/>
              <c:yMode val="edge"/>
              <c:x val="6.033182503770741E-3"/>
              <c:y val="1.6548769441928443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4845952"/>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5064601140739"/>
          <c:y val="3.3409263477600655E-2"/>
          <c:w val="0.69431328212283039"/>
          <c:h val="0.90505192545692559"/>
        </c:manualLayout>
      </c:layout>
      <c:barChart>
        <c:barDir val="bar"/>
        <c:grouping val="stacked"/>
        <c:varyColors val="0"/>
        <c:ser>
          <c:idx val="0"/>
          <c:order val="0"/>
          <c:tx>
            <c:strRef>
              <c:f>Perfil!$M$219</c:f>
              <c:strCache>
                <c:ptCount val="1"/>
                <c:pt idx="0">
                  <c:v>Se ignora</c:v>
                </c:pt>
              </c:strCache>
            </c:strRef>
          </c:tx>
          <c:spPr>
            <a:solidFill>
              <a:schemeClr val="bg1">
                <a:lumMod val="65000"/>
              </a:schemeClr>
            </a:solidFill>
            <a:ln>
              <a:noFill/>
            </a:ln>
          </c:spPr>
          <c:invertIfNegative val="0"/>
          <c:cat>
            <c:strRef>
              <c:f>Perfil!$C$240:$C$258</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strCache>
            </c:strRef>
          </c:cat>
          <c:val>
            <c:numRef>
              <c:f>Perfil!$M$220:$M$238</c:f>
              <c:numCache>
                <c:formatCode>0,000</c:formatCode>
                <c:ptCount val="19"/>
                <c:pt idx="0">
                  <c:v>-1.6112140497865168E-3</c:v>
                </c:pt>
                <c:pt idx="1">
                  <c:v>-8.8616772738258482E-4</c:v>
                </c:pt>
                <c:pt idx="2">
                  <c:v>-3.2224280995730282E-4</c:v>
                </c:pt>
                <c:pt idx="3">
                  <c:v>-4.0280351244662861E-4</c:v>
                </c:pt>
                <c:pt idx="4">
                  <c:v>-4.0280351244662861E-4</c:v>
                </c:pt>
                <c:pt idx="5">
                  <c:v>-5.6392491742528184E-4</c:v>
                </c:pt>
                <c:pt idx="6">
                  <c:v>-4.8336421493595544E-4</c:v>
                </c:pt>
                <c:pt idx="7">
                  <c:v>-2.4168210746797715E-4</c:v>
                </c:pt>
                <c:pt idx="8">
                  <c:v>-2.4168210746797715E-4</c:v>
                </c:pt>
                <c:pt idx="9">
                  <c:v>-1.6112140497865176E-4</c:v>
                </c:pt>
                <c:pt idx="10">
                  <c:v>-4.0280351244662861E-4</c:v>
                </c:pt>
                <c:pt idx="11">
                  <c:v>-1.6112140497865176E-4</c:v>
                </c:pt>
                <c:pt idx="12">
                  <c:v>-2.4168210746797715E-4</c:v>
                </c:pt>
                <c:pt idx="13">
                  <c:v>0</c:v>
                </c:pt>
                <c:pt idx="14">
                  <c:v>-1.6112140497865176E-4</c:v>
                </c:pt>
                <c:pt idx="15">
                  <c:v>-2.4168210746797715E-4</c:v>
                </c:pt>
                <c:pt idx="16">
                  <c:v>0</c:v>
                </c:pt>
                <c:pt idx="17">
                  <c:v>0</c:v>
                </c:pt>
                <c:pt idx="18">
                  <c:v>0</c:v>
                </c:pt>
              </c:numCache>
            </c:numRef>
          </c:val>
        </c:ser>
        <c:ser>
          <c:idx val="2"/>
          <c:order val="1"/>
          <c:tx>
            <c:strRef>
              <c:f>Perfil!$N$219</c:f>
              <c:strCache>
                <c:ptCount val="1"/>
                <c:pt idx="0">
                  <c:v>Ninguno</c:v>
                </c:pt>
              </c:strCache>
            </c:strRef>
          </c:tx>
          <c:spPr>
            <a:solidFill>
              <a:srgbClr val="C00000"/>
            </a:solidFill>
            <a:ln>
              <a:noFill/>
            </a:ln>
          </c:spPr>
          <c:invertIfNegative val="0"/>
          <c:cat>
            <c:strRef>
              <c:f>Perfil!$C$240:$C$258</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strCache>
            </c:strRef>
          </c:cat>
          <c:val>
            <c:numRef>
              <c:f>Perfil!$N$220:$N$238</c:f>
              <c:numCache>
                <c:formatCode>0,000</c:formatCode>
                <c:ptCount val="19"/>
                <c:pt idx="0">
                  <c:v>0</c:v>
                </c:pt>
                <c:pt idx="1">
                  <c:v>0</c:v>
                </c:pt>
                <c:pt idx="2">
                  <c:v>-5.6392491742528184E-4</c:v>
                </c:pt>
                <c:pt idx="3">
                  <c:v>-4.8336421493595544E-4</c:v>
                </c:pt>
                <c:pt idx="4">
                  <c:v>0</c:v>
                </c:pt>
                <c:pt idx="5">
                  <c:v>-2.4168210746797715E-4</c:v>
                </c:pt>
                <c:pt idx="6">
                  <c:v>-8.0560702489325745E-5</c:v>
                </c:pt>
                <c:pt idx="7">
                  <c:v>0</c:v>
                </c:pt>
                <c:pt idx="8">
                  <c:v>-8.0560702489325745E-5</c:v>
                </c:pt>
                <c:pt idx="9">
                  <c:v>0</c:v>
                </c:pt>
                <c:pt idx="10">
                  <c:v>-1.6112140497865176E-4</c:v>
                </c:pt>
                <c:pt idx="11">
                  <c:v>-8.0560702489325745E-5</c:v>
                </c:pt>
                <c:pt idx="12">
                  <c:v>-3.2224280995730282E-4</c:v>
                </c:pt>
                <c:pt idx="13">
                  <c:v>-8.0560702489325745E-5</c:v>
                </c:pt>
                <c:pt idx="14">
                  <c:v>0</c:v>
                </c:pt>
                <c:pt idx="15">
                  <c:v>-8.0560702489325745E-5</c:v>
                </c:pt>
                <c:pt idx="16">
                  <c:v>0</c:v>
                </c:pt>
                <c:pt idx="17">
                  <c:v>0</c:v>
                </c:pt>
                <c:pt idx="18">
                  <c:v>0</c:v>
                </c:pt>
              </c:numCache>
            </c:numRef>
          </c:val>
        </c:ser>
        <c:ser>
          <c:idx val="4"/>
          <c:order val="2"/>
          <c:tx>
            <c:strRef>
              <c:f>Perfil!$O$219</c:f>
              <c:strCache>
                <c:ptCount val="1"/>
                <c:pt idx="0">
                  <c:v>Primaria</c:v>
                </c:pt>
              </c:strCache>
            </c:strRef>
          </c:tx>
          <c:spPr>
            <a:solidFill>
              <a:schemeClr val="accent6">
                <a:lumMod val="75000"/>
              </a:schemeClr>
            </a:solidFill>
          </c:spPr>
          <c:invertIfNegative val="0"/>
          <c:cat>
            <c:strRef>
              <c:f>Perfil!$C$240:$C$258</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strCache>
            </c:strRef>
          </c:cat>
          <c:val>
            <c:numRef>
              <c:f>Perfil!$O$220:$O$238</c:f>
              <c:numCache>
                <c:formatCode>0,000</c:formatCode>
                <c:ptCount val="19"/>
                <c:pt idx="0">
                  <c:v>-0.14863449609280618</c:v>
                </c:pt>
                <c:pt idx="1">
                  <c:v>-4.5516796906469079E-2</c:v>
                </c:pt>
                <c:pt idx="2">
                  <c:v>-2.1751389672117986E-3</c:v>
                </c:pt>
                <c:pt idx="3">
                  <c:v>-3.2224280995730282E-4</c:v>
                </c:pt>
                <c:pt idx="4">
                  <c:v>-4.0280351244662861E-4</c:v>
                </c:pt>
                <c:pt idx="5">
                  <c:v>-3.2224280995730282E-4</c:v>
                </c:pt>
                <c:pt idx="6">
                  <c:v>-3.2224280995730282E-4</c:v>
                </c:pt>
                <c:pt idx="7">
                  <c:v>-8.0560702489325745E-5</c:v>
                </c:pt>
                <c:pt idx="8">
                  <c:v>-1.6112140497865176E-4</c:v>
                </c:pt>
                <c:pt idx="9">
                  <c:v>-3.2224280995730282E-4</c:v>
                </c:pt>
                <c:pt idx="10">
                  <c:v>-4.8336421493595544E-4</c:v>
                </c:pt>
                <c:pt idx="11">
                  <c:v>-3.2224280995730282E-4</c:v>
                </c:pt>
                <c:pt idx="12">
                  <c:v>-2.4168210746797715E-4</c:v>
                </c:pt>
                <c:pt idx="13">
                  <c:v>-2.4168210746797715E-4</c:v>
                </c:pt>
                <c:pt idx="14">
                  <c:v>0</c:v>
                </c:pt>
                <c:pt idx="15">
                  <c:v>0</c:v>
                </c:pt>
                <c:pt idx="16">
                  <c:v>0</c:v>
                </c:pt>
                <c:pt idx="17">
                  <c:v>0</c:v>
                </c:pt>
                <c:pt idx="18">
                  <c:v>0</c:v>
                </c:pt>
              </c:numCache>
            </c:numRef>
          </c:val>
        </c:ser>
        <c:ser>
          <c:idx val="5"/>
          <c:order val="3"/>
          <c:tx>
            <c:strRef>
              <c:f>Perfil!$P$219</c:f>
              <c:strCache>
                <c:ptCount val="1"/>
                <c:pt idx="0">
                  <c:v>Secundaria</c:v>
                </c:pt>
              </c:strCache>
            </c:strRef>
          </c:tx>
          <c:spPr>
            <a:solidFill>
              <a:srgbClr val="00B0F0"/>
            </a:solidFill>
          </c:spPr>
          <c:invertIfNegative val="0"/>
          <c:cat>
            <c:strRef>
              <c:f>Perfil!$C$240:$C$258</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strCache>
            </c:strRef>
          </c:cat>
          <c:val>
            <c:numRef>
              <c:f>Perfil!$P$220:$P$238</c:f>
              <c:numCache>
                <c:formatCode>0,000</c:formatCode>
                <c:ptCount val="19"/>
                <c:pt idx="0">
                  <c:v>0</c:v>
                </c:pt>
                <c:pt idx="1">
                  <c:v>-3.899138000483364E-2</c:v>
                </c:pt>
                <c:pt idx="2">
                  <c:v>-4.2455490211874704E-2</c:v>
                </c:pt>
                <c:pt idx="3">
                  <c:v>-1.0634012728590977E-2</c:v>
                </c:pt>
                <c:pt idx="4">
                  <c:v>-4.5919600418915718E-3</c:v>
                </c:pt>
                <c:pt idx="5">
                  <c:v>-4.3502779344235945E-3</c:v>
                </c:pt>
                <c:pt idx="6">
                  <c:v>-4.8336421493595533E-3</c:v>
                </c:pt>
                <c:pt idx="7">
                  <c:v>-3.3029888020623603E-3</c:v>
                </c:pt>
                <c:pt idx="8">
                  <c:v>-3.5446709095303349E-3</c:v>
                </c:pt>
                <c:pt idx="9">
                  <c:v>-2.3362603721904453E-3</c:v>
                </c:pt>
                <c:pt idx="10">
                  <c:v>-2.0945782647224715E-3</c:v>
                </c:pt>
                <c:pt idx="11">
                  <c:v>-2.0945782647224715E-3</c:v>
                </c:pt>
                <c:pt idx="12">
                  <c:v>-2.4973817771691033E-3</c:v>
                </c:pt>
                <c:pt idx="13">
                  <c:v>-1.0472891323612355E-3</c:v>
                </c:pt>
                <c:pt idx="14">
                  <c:v>-5.6392491742528184E-4</c:v>
                </c:pt>
                <c:pt idx="15">
                  <c:v>-4.0280351244662861E-4</c:v>
                </c:pt>
                <c:pt idx="16">
                  <c:v>-1.6112140497865176E-4</c:v>
                </c:pt>
                <c:pt idx="17">
                  <c:v>-1.6112140497865176E-4</c:v>
                </c:pt>
                <c:pt idx="18">
                  <c:v>-8.0560702489325745E-5</c:v>
                </c:pt>
              </c:numCache>
            </c:numRef>
          </c:val>
        </c:ser>
        <c:ser>
          <c:idx val="6"/>
          <c:order val="4"/>
          <c:tx>
            <c:strRef>
              <c:f>Perfil!$Q$219</c:f>
              <c:strCache>
                <c:ptCount val="1"/>
                <c:pt idx="0">
                  <c:v>Superior</c:v>
                </c:pt>
              </c:strCache>
            </c:strRef>
          </c:tx>
          <c:spPr>
            <a:solidFill>
              <a:srgbClr val="D735B4"/>
            </a:solidFill>
          </c:spPr>
          <c:invertIfNegative val="0"/>
          <c:cat>
            <c:strRef>
              <c:f>Perfil!$C$240:$C$258</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strCache>
            </c:strRef>
          </c:cat>
          <c:val>
            <c:numRef>
              <c:f>Perfil!$Q$220:$Q$238</c:f>
              <c:numCache>
                <c:formatCode>0,000</c:formatCode>
                <c:ptCount val="19"/>
                <c:pt idx="0">
                  <c:v>0</c:v>
                </c:pt>
                <c:pt idx="1">
                  <c:v>0</c:v>
                </c:pt>
                <c:pt idx="2">
                  <c:v>-1.015064851365504E-2</c:v>
                </c:pt>
                <c:pt idx="3">
                  <c:v>-2.9324095706114581E-2</c:v>
                </c:pt>
                <c:pt idx="4">
                  <c:v>-2.0704100539756711E-2</c:v>
                </c:pt>
                <c:pt idx="5">
                  <c:v>-1.7884475952630329E-2</c:v>
                </c:pt>
                <c:pt idx="6">
                  <c:v>-1.772335454765166E-2</c:v>
                </c:pt>
                <c:pt idx="7">
                  <c:v>-1.4500926448078627E-2</c:v>
                </c:pt>
                <c:pt idx="8">
                  <c:v>-1.3131394505760089E-2</c:v>
                </c:pt>
                <c:pt idx="9">
                  <c:v>-1.09562555385483E-2</c:v>
                </c:pt>
                <c:pt idx="10">
                  <c:v>-1.2003544670909531E-2</c:v>
                </c:pt>
                <c:pt idx="11">
                  <c:v>-1.2406348183356159E-2</c:v>
                </c:pt>
                <c:pt idx="12">
                  <c:v>-9.9895271086763993E-3</c:v>
                </c:pt>
                <c:pt idx="13">
                  <c:v>-4.8336421493595533E-3</c:v>
                </c:pt>
                <c:pt idx="14">
                  <c:v>-2.9807459921050512E-3</c:v>
                </c:pt>
                <c:pt idx="15">
                  <c:v>-1.8528961572544913E-3</c:v>
                </c:pt>
                <c:pt idx="16">
                  <c:v>-7.2504632240393278E-4</c:v>
                </c:pt>
                <c:pt idx="17">
                  <c:v>-1.6112140497865176E-4</c:v>
                </c:pt>
                <c:pt idx="18">
                  <c:v>0</c:v>
                </c:pt>
              </c:numCache>
            </c:numRef>
          </c:val>
        </c:ser>
        <c:ser>
          <c:idx val="1"/>
          <c:order val="5"/>
          <c:tx>
            <c:strRef>
              <c:f>Perfil!$M$219</c:f>
              <c:strCache>
                <c:ptCount val="1"/>
                <c:pt idx="0">
                  <c:v>Se ignora</c:v>
                </c:pt>
              </c:strCache>
            </c:strRef>
          </c:tx>
          <c:spPr>
            <a:solidFill>
              <a:schemeClr val="bg1">
                <a:lumMod val="65000"/>
              </a:schemeClr>
            </a:solidFill>
            <a:ln>
              <a:noFill/>
            </a:ln>
          </c:spPr>
          <c:invertIfNegative val="0"/>
          <c:cat>
            <c:strRef>
              <c:f>Perfil!$C$240:$C$258</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strCache>
            </c:strRef>
          </c:cat>
          <c:val>
            <c:numRef>
              <c:f>Perfil!$M$240:$M$258</c:f>
              <c:numCache>
                <c:formatCode>0,000</c:formatCode>
                <c:ptCount val="19"/>
                <c:pt idx="0">
                  <c:v>1.5306533472971885E-3</c:v>
                </c:pt>
                <c:pt idx="1">
                  <c:v>2.4168210746797715E-4</c:v>
                </c:pt>
                <c:pt idx="2">
                  <c:v>3.2224280995730282E-4</c:v>
                </c:pt>
                <c:pt idx="3">
                  <c:v>6.4448561991460639E-4</c:v>
                </c:pt>
                <c:pt idx="4">
                  <c:v>6.4448561991460639E-4</c:v>
                </c:pt>
                <c:pt idx="5">
                  <c:v>3.2224280995730282E-4</c:v>
                </c:pt>
                <c:pt idx="6">
                  <c:v>3.2224280995730282E-4</c:v>
                </c:pt>
                <c:pt idx="7">
                  <c:v>1.6112140497865176E-4</c:v>
                </c:pt>
                <c:pt idx="8">
                  <c:v>1.6112140497865176E-4</c:v>
                </c:pt>
                <c:pt idx="9">
                  <c:v>3.2224280995730282E-4</c:v>
                </c:pt>
                <c:pt idx="10">
                  <c:v>1.6112140497865176E-4</c:v>
                </c:pt>
                <c:pt idx="11">
                  <c:v>8.0560702489325745E-5</c:v>
                </c:pt>
                <c:pt idx="12">
                  <c:v>8.0560702489325745E-5</c:v>
                </c:pt>
                <c:pt idx="13">
                  <c:v>0</c:v>
                </c:pt>
                <c:pt idx="14">
                  <c:v>0</c:v>
                </c:pt>
                <c:pt idx="15">
                  <c:v>0</c:v>
                </c:pt>
                <c:pt idx="16">
                  <c:v>0</c:v>
                </c:pt>
                <c:pt idx="17">
                  <c:v>0</c:v>
                </c:pt>
                <c:pt idx="18">
                  <c:v>0</c:v>
                </c:pt>
              </c:numCache>
            </c:numRef>
          </c:val>
        </c:ser>
        <c:ser>
          <c:idx val="7"/>
          <c:order val="6"/>
          <c:tx>
            <c:strRef>
              <c:f>Perfil!$N$219</c:f>
              <c:strCache>
                <c:ptCount val="1"/>
                <c:pt idx="0">
                  <c:v>Ninguno</c:v>
                </c:pt>
              </c:strCache>
            </c:strRef>
          </c:tx>
          <c:spPr>
            <a:solidFill>
              <a:srgbClr val="C00000"/>
            </a:solidFill>
          </c:spPr>
          <c:invertIfNegative val="0"/>
          <c:cat>
            <c:strRef>
              <c:f>Perfil!$C$240:$C$258</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strCache>
            </c:strRef>
          </c:cat>
          <c:val>
            <c:numRef>
              <c:f>Perfil!$N$240:$N$258</c:f>
              <c:numCache>
                <c:formatCode>0,000</c:formatCode>
                <c:ptCount val="19"/>
                <c:pt idx="0">
                  <c:v>0</c:v>
                </c:pt>
                <c:pt idx="1">
                  <c:v>0</c:v>
                </c:pt>
                <c:pt idx="2">
                  <c:v>2.4168210746797715E-4</c:v>
                </c:pt>
                <c:pt idx="3">
                  <c:v>2.4168210746797715E-4</c:v>
                </c:pt>
                <c:pt idx="4">
                  <c:v>1.6112140497865176E-4</c:v>
                </c:pt>
                <c:pt idx="5">
                  <c:v>4.0280351244662861E-4</c:v>
                </c:pt>
                <c:pt idx="6">
                  <c:v>8.0560702489325745E-5</c:v>
                </c:pt>
                <c:pt idx="7">
                  <c:v>8.0560702489325745E-5</c:v>
                </c:pt>
                <c:pt idx="8">
                  <c:v>0</c:v>
                </c:pt>
                <c:pt idx="9">
                  <c:v>0</c:v>
                </c:pt>
                <c:pt idx="10">
                  <c:v>8.0560702489325745E-5</c:v>
                </c:pt>
                <c:pt idx="11">
                  <c:v>1.6112140497865176E-4</c:v>
                </c:pt>
                <c:pt idx="12">
                  <c:v>8.0560702489325745E-5</c:v>
                </c:pt>
                <c:pt idx="13">
                  <c:v>0</c:v>
                </c:pt>
                <c:pt idx="14">
                  <c:v>0</c:v>
                </c:pt>
                <c:pt idx="15">
                  <c:v>0</c:v>
                </c:pt>
                <c:pt idx="16">
                  <c:v>0</c:v>
                </c:pt>
                <c:pt idx="17">
                  <c:v>0</c:v>
                </c:pt>
                <c:pt idx="18">
                  <c:v>0</c:v>
                </c:pt>
              </c:numCache>
            </c:numRef>
          </c:val>
        </c:ser>
        <c:ser>
          <c:idx val="9"/>
          <c:order val="7"/>
          <c:tx>
            <c:strRef>
              <c:f>Perfil!$O$219</c:f>
              <c:strCache>
                <c:ptCount val="1"/>
                <c:pt idx="0">
                  <c:v>Primaria</c:v>
                </c:pt>
              </c:strCache>
            </c:strRef>
          </c:tx>
          <c:spPr>
            <a:solidFill>
              <a:schemeClr val="accent6">
                <a:lumMod val="75000"/>
              </a:schemeClr>
            </a:solidFill>
            <a:ln>
              <a:noFill/>
            </a:ln>
          </c:spPr>
          <c:invertIfNegative val="0"/>
          <c:cat>
            <c:strRef>
              <c:f>Perfil!$C$240:$C$258</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strCache>
            </c:strRef>
          </c:cat>
          <c:val>
            <c:numRef>
              <c:f>Perfil!$O$240:$O$258</c:f>
              <c:numCache>
                <c:formatCode>0,000</c:formatCode>
                <c:ptCount val="19"/>
                <c:pt idx="0">
                  <c:v>0.14380085394344638</c:v>
                </c:pt>
                <c:pt idx="1">
                  <c:v>4.1488761782002725E-2</c:v>
                </c:pt>
                <c:pt idx="2">
                  <c:v>2.4973817771691033E-3</c:v>
                </c:pt>
                <c:pt idx="3">
                  <c:v>4.0280351244662861E-4</c:v>
                </c:pt>
                <c:pt idx="4">
                  <c:v>6.4448561991460639E-4</c:v>
                </c:pt>
                <c:pt idx="5">
                  <c:v>0</c:v>
                </c:pt>
                <c:pt idx="6">
                  <c:v>1.6112140497865176E-4</c:v>
                </c:pt>
                <c:pt idx="7">
                  <c:v>5.6392491742528184E-4</c:v>
                </c:pt>
                <c:pt idx="8">
                  <c:v>2.4168210746797715E-4</c:v>
                </c:pt>
                <c:pt idx="9">
                  <c:v>2.4168210746797715E-4</c:v>
                </c:pt>
                <c:pt idx="10">
                  <c:v>2.4168210746797715E-4</c:v>
                </c:pt>
                <c:pt idx="11">
                  <c:v>1.6112140497865176E-4</c:v>
                </c:pt>
                <c:pt idx="12">
                  <c:v>1.6112140497865176E-4</c:v>
                </c:pt>
                <c:pt idx="13">
                  <c:v>2.4168210746797715E-4</c:v>
                </c:pt>
                <c:pt idx="14">
                  <c:v>0</c:v>
                </c:pt>
                <c:pt idx="15">
                  <c:v>1.6112140497865176E-4</c:v>
                </c:pt>
                <c:pt idx="16">
                  <c:v>0</c:v>
                </c:pt>
                <c:pt idx="17">
                  <c:v>0</c:v>
                </c:pt>
                <c:pt idx="18">
                  <c:v>0</c:v>
                </c:pt>
              </c:numCache>
            </c:numRef>
          </c:val>
        </c:ser>
        <c:ser>
          <c:idx val="10"/>
          <c:order val="8"/>
          <c:tx>
            <c:strRef>
              <c:f>Perfil!$P$219</c:f>
              <c:strCache>
                <c:ptCount val="1"/>
                <c:pt idx="0">
                  <c:v>Secundaria</c:v>
                </c:pt>
              </c:strCache>
            </c:strRef>
          </c:tx>
          <c:spPr>
            <a:solidFill>
              <a:srgbClr val="00B0F0"/>
            </a:solidFill>
          </c:spPr>
          <c:invertIfNegative val="0"/>
          <c:cat>
            <c:strRef>
              <c:f>Perfil!$C$240:$C$258</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strCache>
            </c:strRef>
          </c:cat>
          <c:val>
            <c:numRef>
              <c:f>Perfil!$P$240:$P$258</c:f>
              <c:numCache>
                <c:formatCode>0,000</c:formatCode>
                <c:ptCount val="19"/>
                <c:pt idx="0">
                  <c:v>0</c:v>
                </c:pt>
                <c:pt idx="1">
                  <c:v>3.6010634012728596E-2</c:v>
                </c:pt>
                <c:pt idx="2">
                  <c:v>4.1569322484492001E-2</c:v>
                </c:pt>
                <c:pt idx="3">
                  <c:v>8.458873761379198E-3</c:v>
                </c:pt>
                <c:pt idx="4">
                  <c:v>5.2364456618061812E-3</c:v>
                </c:pt>
                <c:pt idx="5">
                  <c:v>3.7863530169983126E-3</c:v>
                </c:pt>
                <c:pt idx="6">
                  <c:v>4.5919600418915718E-3</c:v>
                </c:pt>
                <c:pt idx="7">
                  <c:v>4.9142028518488739E-3</c:v>
                </c:pt>
                <c:pt idx="8">
                  <c:v>3.3835495045516821E-3</c:v>
                </c:pt>
                <c:pt idx="9">
                  <c:v>3.3835495045516821E-3</c:v>
                </c:pt>
                <c:pt idx="10">
                  <c:v>1.9334568597438205E-3</c:v>
                </c:pt>
                <c:pt idx="11">
                  <c:v>2.4973817771691033E-3</c:v>
                </c:pt>
                <c:pt idx="12">
                  <c:v>2.6585031821477526E-3</c:v>
                </c:pt>
                <c:pt idx="13">
                  <c:v>1.2084105373398868E-3</c:v>
                </c:pt>
                <c:pt idx="14">
                  <c:v>7.2504632240393278E-4</c:v>
                </c:pt>
                <c:pt idx="15">
                  <c:v>3.2224280995730282E-4</c:v>
                </c:pt>
                <c:pt idx="16">
                  <c:v>3.2224280995730282E-4</c:v>
                </c:pt>
                <c:pt idx="17">
                  <c:v>2.4168210746797715E-4</c:v>
                </c:pt>
                <c:pt idx="18">
                  <c:v>0</c:v>
                </c:pt>
              </c:numCache>
            </c:numRef>
          </c:val>
        </c:ser>
        <c:ser>
          <c:idx val="11"/>
          <c:order val="9"/>
          <c:tx>
            <c:strRef>
              <c:f>Perfil!$Q$219</c:f>
              <c:strCache>
                <c:ptCount val="1"/>
                <c:pt idx="0">
                  <c:v>Superior</c:v>
                </c:pt>
              </c:strCache>
            </c:strRef>
          </c:tx>
          <c:spPr>
            <a:solidFill>
              <a:srgbClr val="D735B4"/>
            </a:solidFill>
          </c:spPr>
          <c:invertIfNegative val="0"/>
          <c:cat>
            <c:strRef>
              <c:f>Perfil!$C$240:$C$258</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strCache>
            </c:strRef>
          </c:cat>
          <c:val>
            <c:numRef>
              <c:f>Perfil!$Q$240:$Q$258</c:f>
              <c:numCache>
                <c:formatCode>0,000</c:formatCode>
                <c:ptCount val="19"/>
                <c:pt idx="0">
                  <c:v>0</c:v>
                </c:pt>
                <c:pt idx="1">
                  <c:v>0</c:v>
                </c:pt>
                <c:pt idx="2">
                  <c:v>9.0227986788044973E-3</c:v>
                </c:pt>
                <c:pt idx="3">
                  <c:v>4.2938854426810599E-2</c:v>
                </c:pt>
                <c:pt idx="4">
                  <c:v>2.4329332151776392E-2</c:v>
                </c:pt>
                <c:pt idx="5">
                  <c:v>1.6112140497865166E-2</c:v>
                </c:pt>
                <c:pt idx="6">
                  <c:v>1.6434383307822445E-2</c:v>
                </c:pt>
                <c:pt idx="7">
                  <c:v>1.3050833803270764E-2</c:v>
                </c:pt>
                <c:pt idx="8">
                  <c:v>1.1761862563441553E-2</c:v>
                </c:pt>
                <c:pt idx="9">
                  <c:v>9.5061628937404465E-3</c:v>
                </c:pt>
                <c:pt idx="10">
                  <c:v>8.0560702489325727E-3</c:v>
                </c:pt>
                <c:pt idx="11">
                  <c:v>7.8143881414645937E-3</c:v>
                </c:pt>
                <c:pt idx="12">
                  <c:v>5.8809312817207793E-3</c:v>
                </c:pt>
                <c:pt idx="13">
                  <c:v>2.9001852896157255E-3</c:v>
                </c:pt>
                <c:pt idx="14">
                  <c:v>8.0560702489325723E-4</c:v>
                </c:pt>
                <c:pt idx="15">
                  <c:v>5.6392491742528184E-4</c:v>
                </c:pt>
                <c:pt idx="16">
                  <c:v>3.2224280995730282E-4</c:v>
                </c:pt>
                <c:pt idx="17">
                  <c:v>0</c:v>
                </c:pt>
                <c:pt idx="18">
                  <c:v>0</c:v>
                </c:pt>
              </c:numCache>
            </c:numRef>
          </c:val>
        </c:ser>
        <c:dLbls>
          <c:showLegendKey val="0"/>
          <c:showVal val="0"/>
          <c:showCatName val="0"/>
          <c:showSerName val="0"/>
          <c:showPercent val="0"/>
          <c:showBubbleSize val="0"/>
        </c:dLbls>
        <c:gapWidth val="0"/>
        <c:overlap val="100"/>
        <c:axId val="284990080"/>
        <c:axId val="285000448"/>
      </c:barChart>
      <c:catAx>
        <c:axId val="284990080"/>
        <c:scaling>
          <c:orientation val="minMax"/>
        </c:scaling>
        <c:delete val="0"/>
        <c:axPos val="l"/>
        <c:title>
          <c:tx>
            <c:rich>
              <a:bodyPr rot="-5400000" vert="horz"/>
              <a:lstStyle/>
              <a:p>
                <a:pPr>
                  <a:defRPr sz="750"/>
                </a:pPr>
                <a:r>
                  <a:rPr lang="es-EC" sz="750"/>
                  <a:t>Grupos Etarios</a:t>
                </a:r>
              </a:p>
            </c:rich>
          </c:tx>
          <c:overlay val="0"/>
        </c:title>
        <c:numFmt formatCode="General" sourceLinked="1"/>
        <c:majorTickMark val="out"/>
        <c:minorTickMark val="none"/>
        <c:tickLblPos val="nextTo"/>
        <c:spPr>
          <a:ln>
            <a:solidFill>
              <a:sysClr val="windowText" lastClr="000000"/>
            </a:solidFill>
          </a:ln>
        </c:spPr>
        <c:crossAx val="285000448"/>
        <c:crossesAt val="-15"/>
        <c:auto val="1"/>
        <c:lblAlgn val="ctr"/>
        <c:lblOffset val="100"/>
        <c:noMultiLvlLbl val="0"/>
      </c:catAx>
      <c:valAx>
        <c:axId val="285000448"/>
        <c:scaling>
          <c:orientation val="minMax"/>
          <c:max val="0.16000000000000003"/>
          <c:min val="-0.16000000000000003"/>
        </c:scaling>
        <c:delete val="0"/>
        <c:axPos val="b"/>
        <c:majorGridlines>
          <c:spPr>
            <a:ln>
              <a:prstDash val="dash"/>
            </a:ln>
          </c:spPr>
        </c:majorGridlines>
        <c:numFmt formatCode="0%;0%" sourceLinked="0"/>
        <c:majorTickMark val="out"/>
        <c:minorTickMark val="none"/>
        <c:tickLblPos val="nextTo"/>
        <c:spPr>
          <a:ln>
            <a:solidFill>
              <a:schemeClr val="tx1"/>
            </a:solidFill>
          </a:ln>
        </c:spPr>
        <c:txPr>
          <a:bodyPr/>
          <a:lstStyle/>
          <a:p>
            <a:pPr>
              <a:defRPr sz="750"/>
            </a:pPr>
            <a:endParaRPr lang="es-EC"/>
          </a:p>
        </c:txPr>
        <c:crossAx val="284990080"/>
        <c:crosses val="autoZero"/>
        <c:crossBetween val="between"/>
        <c:majorUnit val="4.0000000000000022E-2"/>
      </c:valAx>
      <c:spPr>
        <a:noFill/>
        <a:ln>
          <a:solidFill>
            <a:sysClr val="windowText" lastClr="000000"/>
          </a:solidFill>
        </a:ln>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3593672990468859"/>
          <c:y val="0.20159823985555353"/>
          <c:w val="0.15451203019174575"/>
          <c:h val="0.56848989898989966"/>
        </c:manualLayout>
      </c:layout>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82860007667582"/>
          <c:y val="5.2948255114320095E-2"/>
          <c:w val="0.81874074729422874"/>
          <c:h val="0.83538739967973319"/>
        </c:manualLayout>
      </c:layout>
      <c:barChart>
        <c:barDir val="bar"/>
        <c:grouping val="stacked"/>
        <c:varyColors val="0"/>
        <c:ser>
          <c:idx val="0"/>
          <c:order val="0"/>
          <c:spPr>
            <a:solidFill>
              <a:schemeClr val="accent5">
                <a:lumMod val="40000"/>
                <a:lumOff val="60000"/>
              </a:schemeClr>
            </a:solidFill>
            <a:ln>
              <a:solidFill>
                <a:schemeClr val="accent5">
                  <a:lumMod val="75000"/>
                </a:schemeClr>
              </a:solidFill>
            </a:ln>
          </c:spPr>
          <c:invertIfNegative val="0"/>
          <c:cat>
            <c:strRef>
              <c:f>Inmigrantes_Guayaquil!$G$36:$G$57</c:f>
              <c:strCache>
                <c:ptCount val="22"/>
                <c:pt idx="0">
                  <c:v>Menores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Más de 100</c:v>
                </c:pt>
              </c:strCache>
            </c:strRef>
          </c:cat>
          <c:val>
            <c:numRef>
              <c:f>Inmigrantes_Guayaquil!$H$36:$H$57</c:f>
              <c:numCache>
                <c:formatCode>0,000%</c:formatCode>
                <c:ptCount val="22"/>
                <c:pt idx="0">
                  <c:v>-1.01513563974762E-3</c:v>
                </c:pt>
                <c:pt idx="1">
                  <c:v>-7.4144070922402593E-3</c:v>
                </c:pt>
                <c:pt idx="2">
                  <c:v>-1.2447651968416561E-2</c:v>
                </c:pt>
                <c:pt idx="3">
                  <c:v>-1.6454336848770904E-2</c:v>
                </c:pt>
                <c:pt idx="4">
                  <c:v>-2.3712067057706048E-2</c:v>
                </c:pt>
                <c:pt idx="5">
                  <c:v>-3.618093568740359E-2</c:v>
                </c:pt>
                <c:pt idx="6">
                  <c:v>-4.3301573623446749E-2</c:v>
                </c:pt>
                <c:pt idx="7">
                  <c:v>-4.8294017227929004E-2</c:v>
                </c:pt>
                <c:pt idx="8">
                  <c:v>-4.8142236497227153E-2</c:v>
                </c:pt>
                <c:pt idx="9">
                  <c:v>-4.5805139654592764E-2</c:v>
                </c:pt>
                <c:pt idx="10">
                  <c:v>-4.4527243825135614E-2</c:v>
                </c:pt>
                <c:pt idx="11">
                  <c:v>-3.9343850269125215E-2</c:v>
                </c:pt>
                <c:pt idx="12">
                  <c:v>-3.3925441388157188E-2</c:v>
                </c:pt>
                <c:pt idx="13">
                  <c:v>-2.3731651668119202E-2</c:v>
                </c:pt>
                <c:pt idx="14">
                  <c:v>-1.766858269438544E-2</c:v>
                </c:pt>
                <c:pt idx="15">
                  <c:v>-1.2659818581225538E-2</c:v>
                </c:pt>
                <c:pt idx="16">
                  <c:v>-8.7380003459947789E-3</c:v>
                </c:pt>
                <c:pt idx="17">
                  <c:v>-5.7595075123301519E-3</c:v>
                </c:pt>
                <c:pt idx="18">
                  <c:v>-3.0290864105652444E-3</c:v>
                </c:pt>
                <c:pt idx="19">
                  <c:v>-1.1881330317303359E-3</c:v>
                </c:pt>
                <c:pt idx="20">
                  <c:v>-3.8516400479170193E-4</c:v>
                </c:pt>
                <c:pt idx="21">
                  <c:v>-5.8753831239412193E-5</c:v>
                </c:pt>
              </c:numCache>
            </c:numRef>
          </c:val>
        </c:ser>
        <c:ser>
          <c:idx val="1"/>
          <c:order val="1"/>
          <c:spPr>
            <a:solidFill>
              <a:schemeClr val="accent6">
                <a:lumMod val="60000"/>
                <a:lumOff val="40000"/>
              </a:schemeClr>
            </a:solidFill>
            <a:ln>
              <a:solidFill>
                <a:schemeClr val="accent6">
                  <a:lumMod val="75000"/>
                </a:schemeClr>
              </a:solidFill>
            </a:ln>
          </c:spPr>
          <c:invertIfNegative val="0"/>
          <c:cat>
            <c:strRef>
              <c:f>Inmigrantes_Guayaquil!$G$36:$G$57</c:f>
              <c:strCache>
                <c:ptCount val="22"/>
                <c:pt idx="0">
                  <c:v>Menores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Más de 100</c:v>
                </c:pt>
              </c:strCache>
            </c:strRef>
          </c:cat>
          <c:val>
            <c:numRef>
              <c:f>Inmigrantes_Guayaquil!$I$36:$I$57</c:f>
              <c:numCache>
                <c:formatCode>0,000%</c:formatCode>
                <c:ptCount val="22"/>
                <c:pt idx="0">
                  <c:v>1.1081625392100251E-3</c:v>
                </c:pt>
                <c:pt idx="1">
                  <c:v>7.2006084285635126E-3</c:v>
                </c:pt>
                <c:pt idx="2">
                  <c:v>1.2666346784696574E-2</c:v>
                </c:pt>
                <c:pt idx="3">
                  <c:v>1.6932527753025027E-2</c:v>
                </c:pt>
                <c:pt idx="4">
                  <c:v>2.7296050763310202E-2</c:v>
                </c:pt>
                <c:pt idx="5">
                  <c:v>4.0636434556392362E-2</c:v>
                </c:pt>
                <c:pt idx="6">
                  <c:v>4.721686365520647E-2</c:v>
                </c:pt>
                <c:pt idx="7">
                  <c:v>5.2867023759396649E-2</c:v>
                </c:pt>
                <c:pt idx="8">
                  <c:v>5.1876368882665336E-2</c:v>
                </c:pt>
                <c:pt idx="9">
                  <c:v>5.0254110320110457E-2</c:v>
                </c:pt>
                <c:pt idx="10">
                  <c:v>4.9598025871270414E-2</c:v>
                </c:pt>
                <c:pt idx="11">
                  <c:v>4.2487180240433825E-2</c:v>
                </c:pt>
                <c:pt idx="12">
                  <c:v>3.6970848307400085E-2</c:v>
                </c:pt>
                <c:pt idx="13">
                  <c:v>2.675257782434565E-2</c:v>
                </c:pt>
                <c:pt idx="14">
                  <c:v>2.093268442990831E-2</c:v>
                </c:pt>
                <c:pt idx="15">
                  <c:v>1.5607302448402721E-2</c:v>
                </c:pt>
                <c:pt idx="16">
                  <c:v>1.0658924217350022E-2</c:v>
                </c:pt>
                <c:pt idx="17">
                  <c:v>7.8371082669904651E-3</c:v>
                </c:pt>
                <c:pt idx="18">
                  <c:v>4.4261219533690424E-3</c:v>
                </c:pt>
                <c:pt idx="19">
                  <c:v>2.0351674320985241E-3</c:v>
                </c:pt>
                <c:pt idx="20">
                  <c:v>6.6261265231114719E-4</c:v>
                </c:pt>
                <c:pt idx="21">
                  <c:v>1.942140532636126E-4</c:v>
                </c:pt>
              </c:numCache>
            </c:numRef>
          </c:val>
        </c:ser>
        <c:dLbls>
          <c:showLegendKey val="0"/>
          <c:showVal val="0"/>
          <c:showCatName val="0"/>
          <c:showSerName val="0"/>
          <c:showPercent val="0"/>
          <c:showBubbleSize val="0"/>
        </c:dLbls>
        <c:gapWidth val="0"/>
        <c:overlap val="100"/>
        <c:axId val="233035648"/>
        <c:axId val="233140224"/>
      </c:barChart>
      <c:catAx>
        <c:axId val="233035648"/>
        <c:scaling>
          <c:orientation val="minMax"/>
        </c:scaling>
        <c:delete val="0"/>
        <c:axPos val="l"/>
        <c:title>
          <c:tx>
            <c:rich>
              <a:bodyPr rot="-5400000" vert="horz"/>
              <a:lstStyle/>
              <a:p>
                <a:pPr>
                  <a:defRPr sz="800">
                    <a:latin typeface="Arial" pitchFamily="34" charset="0"/>
                    <a:cs typeface="Arial" pitchFamily="34" charset="0"/>
                  </a:defRPr>
                </a:pPr>
                <a:r>
                  <a:rPr lang="es-EC" sz="800">
                    <a:latin typeface="Arial" pitchFamily="34" charset="0"/>
                    <a:cs typeface="Arial" pitchFamily="34" charset="0"/>
                  </a:rPr>
                  <a:t>Grupos</a:t>
                </a:r>
                <a:r>
                  <a:rPr lang="es-EC" sz="800" baseline="0">
                    <a:latin typeface="Arial" pitchFamily="34" charset="0"/>
                    <a:cs typeface="Arial" pitchFamily="34" charset="0"/>
                  </a:rPr>
                  <a:t> Etarios</a:t>
                </a:r>
                <a:endParaRPr lang="es-EC" sz="800">
                  <a:latin typeface="Arial" pitchFamily="34" charset="0"/>
                  <a:cs typeface="Arial" pitchFamily="34" charset="0"/>
                </a:endParaRPr>
              </a:p>
            </c:rich>
          </c:tx>
          <c:overlay val="0"/>
        </c:title>
        <c:majorTickMark val="out"/>
        <c:minorTickMark val="none"/>
        <c:tickLblPos val="nextTo"/>
        <c:spPr>
          <a:ln>
            <a:solidFill>
              <a:sysClr val="windowText" lastClr="000000"/>
            </a:solidFill>
          </a:ln>
        </c:spPr>
        <c:txPr>
          <a:bodyPr/>
          <a:lstStyle/>
          <a:p>
            <a:pPr>
              <a:defRPr lang="es-EC" sz="600"/>
            </a:pPr>
            <a:endParaRPr lang="es-EC"/>
          </a:p>
        </c:txPr>
        <c:crossAx val="233140224"/>
        <c:crossesAt val="-15"/>
        <c:auto val="1"/>
        <c:lblAlgn val="ctr"/>
        <c:lblOffset val="100"/>
        <c:noMultiLvlLbl val="0"/>
      </c:catAx>
      <c:valAx>
        <c:axId val="233140224"/>
        <c:scaling>
          <c:orientation val="minMax"/>
          <c:max val="7.0000000000000021E-2"/>
          <c:min val="-7.0000000000000021E-2"/>
        </c:scaling>
        <c:delete val="0"/>
        <c:axPos val="b"/>
        <c:majorGridlines>
          <c:spPr>
            <a:ln>
              <a:prstDash val="dash"/>
            </a:ln>
          </c:spPr>
        </c:majorGridlines>
        <c:numFmt formatCode="0%;0%" sourceLinked="0"/>
        <c:majorTickMark val="out"/>
        <c:minorTickMark val="none"/>
        <c:tickLblPos val="nextTo"/>
        <c:spPr>
          <a:ln>
            <a:solidFill>
              <a:schemeClr val="tx1"/>
            </a:solidFill>
          </a:ln>
        </c:spPr>
        <c:txPr>
          <a:bodyPr/>
          <a:lstStyle/>
          <a:p>
            <a:pPr>
              <a:defRPr lang="es-EC" sz="900"/>
            </a:pPr>
            <a:endParaRPr lang="es-EC"/>
          </a:p>
        </c:txPr>
        <c:crossAx val="233035648"/>
        <c:crosses val="autoZero"/>
        <c:crossBetween val="between"/>
        <c:majorUnit val="2.0000000000000011E-2"/>
      </c:valAx>
      <c:spPr>
        <a:noFill/>
        <a:ln>
          <a:solidFill>
            <a:sysClr val="windowText" lastClr="000000"/>
          </a:solidFill>
        </a:ln>
      </c:spPr>
    </c:plotArea>
    <c:plotVisOnly val="1"/>
    <c:dispBlanksAs val="gap"/>
    <c:showDLblsOverMax val="0"/>
  </c:chart>
  <c:spPr>
    <a:noFill/>
    <a:ln>
      <a:noFill/>
    </a:ln>
  </c:sp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21237970253743"/>
          <c:y val="8.3333333333333343E-2"/>
          <c:w val="0.77248906386701666"/>
          <c:h val="0.73595484299402381"/>
        </c:manualLayout>
      </c:layout>
      <c:barChart>
        <c:barDir val="bar"/>
        <c:grouping val="stacked"/>
        <c:varyColors val="0"/>
        <c:ser>
          <c:idx val="0"/>
          <c:order val="0"/>
          <c:tx>
            <c:strRef>
              <c:f>Perfil!$G$265</c:f>
              <c:strCache>
                <c:ptCount val="1"/>
                <c:pt idx="0">
                  <c:v>Hombre</c:v>
                </c:pt>
              </c:strCache>
            </c:strRef>
          </c:tx>
          <c:spPr>
            <a:solidFill>
              <a:srgbClr val="00B0F0"/>
            </a:solidFill>
          </c:spPr>
          <c:invertIfNegative val="0"/>
          <c:dLbls>
            <c:numFmt formatCode="#,##0.000" sourceLinked="0"/>
            <c:dLblPos val="ctr"/>
            <c:showLegendKey val="0"/>
            <c:showVal val="1"/>
            <c:showCatName val="0"/>
            <c:showSerName val="0"/>
            <c:showPercent val="0"/>
            <c:showBubbleSize val="0"/>
            <c:showLeaderLines val="0"/>
          </c:dLbls>
          <c:cat>
            <c:strRef>
              <c:f>Perfil!$F$266:$F$270</c:f>
              <c:strCache>
                <c:ptCount val="5"/>
                <c:pt idx="0">
                  <c:v>Se ignora</c:v>
                </c:pt>
                <c:pt idx="1">
                  <c:v>Ninguno</c:v>
                </c:pt>
                <c:pt idx="2">
                  <c:v>Primaria</c:v>
                </c:pt>
                <c:pt idx="3">
                  <c:v>Secundaria</c:v>
                </c:pt>
                <c:pt idx="4">
                  <c:v>Superior</c:v>
                </c:pt>
              </c:strCache>
            </c:strRef>
          </c:cat>
          <c:val>
            <c:numRef>
              <c:f>Perfil!$G$266:$G$270</c:f>
              <c:numCache>
                <c:formatCode>0,000</c:formatCode>
                <c:ptCount val="5"/>
                <c:pt idx="0">
                  <c:v>0.55140186915887923</c:v>
                </c:pt>
                <c:pt idx="1">
                  <c:v>0.59756097560975519</c:v>
                </c:pt>
                <c:pt idx="2">
                  <c:v>0.51093234323432346</c:v>
                </c:pt>
                <c:pt idx="3">
                  <c:v>0.50590938936309915</c:v>
                </c:pt>
                <c:pt idx="4">
                  <c:v>0.51408775981524135</c:v>
                </c:pt>
              </c:numCache>
            </c:numRef>
          </c:val>
        </c:ser>
        <c:ser>
          <c:idx val="1"/>
          <c:order val="1"/>
          <c:tx>
            <c:strRef>
              <c:f>Perfil!$H$265</c:f>
              <c:strCache>
                <c:ptCount val="1"/>
                <c:pt idx="0">
                  <c:v>Mujer</c:v>
                </c:pt>
              </c:strCache>
            </c:strRef>
          </c:tx>
          <c:spPr>
            <a:solidFill>
              <a:srgbClr val="E010C2"/>
            </a:solidFill>
          </c:spPr>
          <c:invertIfNegative val="0"/>
          <c:dLbls>
            <c:numFmt formatCode="#,##0.000" sourceLinked="0"/>
            <c:txPr>
              <a:bodyPr/>
              <a:lstStyle/>
              <a:p>
                <a:pPr>
                  <a:defRPr>
                    <a:solidFill>
                      <a:schemeClr val="bg1"/>
                    </a:solidFill>
                  </a:defRPr>
                </a:pPr>
                <a:endParaRPr lang="es-EC"/>
              </a:p>
            </c:txPr>
            <c:dLblPos val="ctr"/>
            <c:showLegendKey val="0"/>
            <c:showVal val="1"/>
            <c:showCatName val="0"/>
            <c:showSerName val="0"/>
            <c:showPercent val="0"/>
            <c:showBubbleSize val="0"/>
            <c:showLeaderLines val="0"/>
          </c:dLbls>
          <c:cat>
            <c:strRef>
              <c:f>Perfil!$F$266:$F$270</c:f>
              <c:strCache>
                <c:ptCount val="5"/>
                <c:pt idx="0">
                  <c:v>Se ignora</c:v>
                </c:pt>
                <c:pt idx="1">
                  <c:v>Ninguno</c:v>
                </c:pt>
                <c:pt idx="2">
                  <c:v>Primaria</c:v>
                </c:pt>
                <c:pt idx="3">
                  <c:v>Secundaria</c:v>
                </c:pt>
                <c:pt idx="4">
                  <c:v>Superior</c:v>
                </c:pt>
              </c:strCache>
            </c:strRef>
          </c:cat>
          <c:val>
            <c:numRef>
              <c:f>Perfil!$H$266:$H$270</c:f>
              <c:numCache>
                <c:formatCode>0,000</c:formatCode>
                <c:ptCount val="5"/>
                <c:pt idx="0">
                  <c:v>0.4485981308411211</c:v>
                </c:pt>
                <c:pt idx="1">
                  <c:v>0.40243902439024398</c:v>
                </c:pt>
                <c:pt idx="2">
                  <c:v>0.48906765676567682</c:v>
                </c:pt>
                <c:pt idx="3">
                  <c:v>0.49409061063690085</c:v>
                </c:pt>
                <c:pt idx="4">
                  <c:v>0.48591224018475804</c:v>
                </c:pt>
              </c:numCache>
            </c:numRef>
          </c:val>
        </c:ser>
        <c:dLbls>
          <c:showLegendKey val="0"/>
          <c:showVal val="0"/>
          <c:showCatName val="0"/>
          <c:showSerName val="0"/>
          <c:showPercent val="0"/>
          <c:showBubbleSize val="0"/>
        </c:dLbls>
        <c:gapWidth val="40"/>
        <c:overlap val="100"/>
        <c:axId val="284889088"/>
        <c:axId val="284891008"/>
      </c:barChart>
      <c:catAx>
        <c:axId val="284889088"/>
        <c:scaling>
          <c:orientation val="maxMin"/>
        </c:scaling>
        <c:delete val="0"/>
        <c:axPos val="l"/>
        <c:title>
          <c:tx>
            <c:rich>
              <a:bodyPr rot="-5400000" vert="horz"/>
              <a:lstStyle/>
              <a:p>
                <a:pPr>
                  <a:defRPr sz="550"/>
                </a:pPr>
                <a:r>
                  <a:rPr lang="es-EC" sz="550"/>
                  <a:t>Nivel más alto de Instrucción</a:t>
                </a:r>
              </a:p>
            </c:rich>
          </c:tx>
          <c:overlay val="0"/>
        </c:title>
        <c:numFmt formatCode="0.00" sourceLinked="1"/>
        <c:majorTickMark val="out"/>
        <c:minorTickMark val="none"/>
        <c:tickLblPos val="nextTo"/>
        <c:spPr>
          <a:ln>
            <a:solidFill>
              <a:schemeClr val="tx1"/>
            </a:solidFill>
          </a:ln>
        </c:spPr>
        <c:crossAx val="284891008"/>
        <c:crosses val="autoZero"/>
        <c:auto val="1"/>
        <c:lblAlgn val="ctr"/>
        <c:lblOffset val="100"/>
        <c:noMultiLvlLbl val="0"/>
      </c:catAx>
      <c:valAx>
        <c:axId val="284891008"/>
        <c:scaling>
          <c:orientation val="minMax"/>
          <c:max val="1"/>
        </c:scaling>
        <c:delete val="0"/>
        <c:axPos val="t"/>
        <c:title>
          <c:tx>
            <c:rich>
              <a:bodyPr/>
              <a:lstStyle/>
              <a:p>
                <a:pPr>
                  <a:defRPr sz="750"/>
                </a:pPr>
                <a:r>
                  <a:rPr lang="es-EC" sz="750"/>
                  <a:t>Frecuencia Relativa</a:t>
                </a:r>
              </a:p>
            </c:rich>
          </c:tx>
          <c:layout>
            <c:manualLayout>
              <c:xMode val="edge"/>
              <c:yMode val="edge"/>
              <c:x val="0.46412357830271256"/>
              <c:y val="0.91458523782088263"/>
            </c:manualLayout>
          </c:layout>
          <c:overlay val="0"/>
        </c:title>
        <c:numFmt formatCode="#,##0.00" sourceLinked="0"/>
        <c:majorTickMark val="in"/>
        <c:minorTickMark val="none"/>
        <c:tickLblPos val="high"/>
        <c:spPr>
          <a:ln>
            <a:solidFill>
              <a:schemeClr val="tx1"/>
            </a:solidFill>
          </a:ln>
        </c:spPr>
        <c:txPr>
          <a:bodyPr/>
          <a:lstStyle/>
          <a:p>
            <a:pPr>
              <a:defRPr sz="700"/>
            </a:pPr>
            <a:endParaRPr lang="es-EC"/>
          </a:p>
        </c:txPr>
        <c:crossAx val="284889088"/>
        <c:crossesAt val="6"/>
        <c:crossBetween val="between"/>
        <c:majorUnit val="0.2"/>
      </c:valAx>
      <c:spPr>
        <a:noFill/>
        <a:ln>
          <a:solidFill>
            <a:schemeClr val="tx1"/>
          </a:solidFill>
        </a:ln>
      </c:spPr>
    </c:plotArea>
    <c:legend>
      <c:legendPos val="t"/>
      <c:layout>
        <c:manualLayout>
          <c:xMode val="edge"/>
          <c:yMode val="edge"/>
          <c:x val="0.31187248468941459"/>
          <c:y val="8.808655015684067E-4"/>
          <c:w val="0.51792169728783966"/>
          <c:h val="6.8729585885097699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Perfil!$Y$219</c:f>
              <c:strCache>
                <c:ptCount val="1"/>
                <c:pt idx="0">
                  <c:v>Universitarios</c:v>
                </c:pt>
              </c:strCache>
            </c:strRef>
          </c:tx>
          <c:spPr>
            <a:ln w="19050">
              <a:solidFill>
                <a:srgbClr val="0070C0"/>
              </a:solidFill>
            </a:ln>
          </c:spPr>
          <c:marker>
            <c:symbol val="none"/>
          </c:marker>
          <c:cat>
            <c:strRef>
              <c:f>Perfil!$X$222:$X$238</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strCache>
            </c:strRef>
          </c:cat>
          <c:val>
            <c:numRef>
              <c:f>Perfil!$Y$222:$Y$238</c:f>
              <c:numCache>
                <c:formatCode>0.00</c:formatCode>
                <c:ptCount val="17"/>
                <c:pt idx="0">
                  <c:v>182.34442836468887</c:v>
                </c:pt>
                <c:pt idx="1">
                  <c:v>712.32876712328766</c:v>
                </c:pt>
                <c:pt idx="2">
                  <c:v>793.20987654321073</c:v>
                </c:pt>
                <c:pt idx="3">
                  <c:v>765.51724137931035</c:v>
                </c:pt>
                <c:pt idx="4">
                  <c:v>756.01374570446751</c:v>
                </c:pt>
                <c:pt idx="5">
                  <c:v>800</c:v>
                </c:pt>
                <c:pt idx="6">
                  <c:v>765.25821596244134</c:v>
                </c:pt>
                <c:pt idx="7">
                  <c:v>795.32163742689988</c:v>
                </c:pt>
                <c:pt idx="8">
                  <c:v>792.55319148936167</c:v>
                </c:pt>
                <c:pt idx="9">
                  <c:v>823.52941176470586</c:v>
                </c:pt>
                <c:pt idx="10">
                  <c:v>751.5151515151515</c:v>
                </c:pt>
                <c:pt idx="11">
                  <c:v>779.22077922078029</c:v>
                </c:pt>
                <c:pt idx="12">
                  <c:v>804.34782608695537</c:v>
                </c:pt>
                <c:pt idx="13">
                  <c:v>718.75</c:v>
                </c:pt>
                <c:pt idx="14">
                  <c:v>818.1818181818179</c:v>
                </c:pt>
                <c:pt idx="15">
                  <c:v>500</c:v>
                </c:pt>
                <c:pt idx="16">
                  <c:v>0</c:v>
                </c:pt>
              </c:numCache>
            </c:numRef>
          </c:val>
          <c:smooth val="1"/>
        </c:ser>
        <c:ser>
          <c:idx val="1"/>
          <c:order val="1"/>
          <c:tx>
            <c:strRef>
              <c:f>Perfil!$AA$219</c:f>
              <c:strCache>
                <c:ptCount val="1"/>
                <c:pt idx="0">
                  <c:v>Se ignora</c:v>
                </c:pt>
              </c:strCache>
            </c:strRef>
          </c:tx>
          <c:spPr>
            <a:ln w="19050">
              <a:solidFill>
                <a:srgbClr val="E010C2"/>
              </a:solidFill>
            </a:ln>
          </c:spPr>
          <c:marker>
            <c:symbol val="none"/>
          </c:marker>
          <c:cat>
            <c:strRef>
              <c:f>Perfil!$X$222:$X$238</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strCache>
            </c:strRef>
          </c:cat>
          <c:val>
            <c:numRef>
              <c:f>Perfil!$AA$222:$AA$238</c:f>
              <c:numCache>
                <c:formatCode>0.00</c:formatCode>
                <c:ptCount val="17"/>
                <c:pt idx="0">
                  <c:v>5.7887120115774238</c:v>
                </c:pt>
                <c:pt idx="1">
                  <c:v>9.7847358121330714</c:v>
                </c:pt>
                <c:pt idx="2">
                  <c:v>15.432098765432098</c:v>
                </c:pt>
                <c:pt idx="3">
                  <c:v>24.137931034482794</c:v>
                </c:pt>
                <c:pt idx="4">
                  <c:v>20.618556701030933</c:v>
                </c:pt>
                <c:pt idx="5">
                  <c:v>13.333333333333334</c:v>
                </c:pt>
                <c:pt idx="6">
                  <c:v>14.084507042253518</c:v>
                </c:pt>
                <c:pt idx="7">
                  <c:v>11.695906432748536</c:v>
                </c:pt>
                <c:pt idx="8">
                  <c:v>26.595744680851027</c:v>
                </c:pt>
                <c:pt idx="9">
                  <c:v>10.695187165775401</c:v>
                </c:pt>
                <c:pt idx="10">
                  <c:v>18.181818181818208</c:v>
                </c:pt>
                <c:pt idx="11">
                  <c:v>0</c:v>
                </c:pt>
                <c:pt idx="12">
                  <c:v>43.478260869565204</c:v>
                </c:pt>
                <c:pt idx="13">
                  <c:v>93.75</c:v>
                </c:pt>
                <c:pt idx="14">
                  <c:v>0</c:v>
                </c:pt>
                <c:pt idx="15">
                  <c:v>0</c:v>
                </c:pt>
                <c:pt idx="16">
                  <c:v>0</c:v>
                </c:pt>
              </c:numCache>
            </c:numRef>
          </c:val>
          <c:smooth val="1"/>
        </c:ser>
        <c:ser>
          <c:idx val="2"/>
          <c:order val="2"/>
          <c:tx>
            <c:strRef>
              <c:f>Perfil!$Z$219</c:f>
              <c:strCache>
                <c:ptCount val="1"/>
                <c:pt idx="0">
                  <c:v>No Universitarios</c:v>
                </c:pt>
              </c:strCache>
            </c:strRef>
          </c:tx>
          <c:spPr>
            <a:ln w="19050">
              <a:solidFill>
                <a:schemeClr val="accent6">
                  <a:lumMod val="75000"/>
                </a:schemeClr>
              </a:solidFill>
            </a:ln>
          </c:spPr>
          <c:marker>
            <c:symbol val="none"/>
          </c:marker>
          <c:cat>
            <c:strRef>
              <c:f>Perfil!$X$222:$X$238</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strCache>
            </c:strRef>
          </c:cat>
          <c:val>
            <c:numRef>
              <c:f>Perfil!$Z$222:$Z$238</c:f>
              <c:numCache>
                <c:formatCode>0.00</c:formatCode>
                <c:ptCount val="17"/>
                <c:pt idx="0">
                  <c:v>811.86685962373281</c:v>
                </c:pt>
                <c:pt idx="1">
                  <c:v>277.88649706457892</c:v>
                </c:pt>
                <c:pt idx="2">
                  <c:v>191.35802469135785</c:v>
                </c:pt>
                <c:pt idx="3">
                  <c:v>210.34482758620689</c:v>
                </c:pt>
                <c:pt idx="4">
                  <c:v>223.36769759450172</c:v>
                </c:pt>
                <c:pt idx="5">
                  <c:v>186.66666666666652</c:v>
                </c:pt>
                <c:pt idx="6">
                  <c:v>220.65727699530521</c:v>
                </c:pt>
                <c:pt idx="7">
                  <c:v>192.98245614035105</c:v>
                </c:pt>
                <c:pt idx="8">
                  <c:v>180.85106382978725</c:v>
                </c:pt>
                <c:pt idx="9">
                  <c:v>165.77540106951849</c:v>
                </c:pt>
                <c:pt idx="10">
                  <c:v>230.30303030303048</c:v>
                </c:pt>
                <c:pt idx="11">
                  <c:v>220.77922077922059</c:v>
                </c:pt>
                <c:pt idx="12">
                  <c:v>152.17391304347811</c:v>
                </c:pt>
                <c:pt idx="13">
                  <c:v>187.5</c:v>
                </c:pt>
                <c:pt idx="14">
                  <c:v>181.81818181818181</c:v>
                </c:pt>
                <c:pt idx="15">
                  <c:v>500</c:v>
                </c:pt>
                <c:pt idx="16">
                  <c:v>1000</c:v>
                </c:pt>
              </c:numCache>
            </c:numRef>
          </c:val>
          <c:smooth val="0"/>
        </c:ser>
        <c:dLbls>
          <c:showLegendKey val="0"/>
          <c:showVal val="0"/>
          <c:showCatName val="0"/>
          <c:showSerName val="0"/>
          <c:showPercent val="0"/>
          <c:showBubbleSize val="0"/>
        </c:dLbls>
        <c:marker val="1"/>
        <c:smooth val="0"/>
        <c:axId val="284917120"/>
        <c:axId val="284935680"/>
      </c:lineChart>
      <c:catAx>
        <c:axId val="284917120"/>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00"/>
            </a:pPr>
            <a:endParaRPr lang="es-EC"/>
          </a:p>
        </c:txPr>
        <c:crossAx val="284935680"/>
        <c:crosses val="autoZero"/>
        <c:auto val="1"/>
        <c:lblAlgn val="ctr"/>
        <c:lblOffset val="100"/>
        <c:noMultiLvlLbl val="0"/>
      </c:catAx>
      <c:valAx>
        <c:axId val="284935680"/>
        <c:scaling>
          <c:orientation val="minMax"/>
          <c:max val="1000"/>
          <c:min val="0"/>
        </c:scaling>
        <c:delete val="0"/>
        <c:axPos val="l"/>
        <c:title>
          <c:tx>
            <c:rich>
              <a:bodyPr rot="-5400000" vert="horz"/>
              <a:lstStyle/>
              <a:p>
                <a:pPr>
                  <a:defRPr sz="500"/>
                </a:pPr>
                <a:r>
                  <a:rPr lang="es-EC" sz="500"/>
                  <a:t>Tasa por</a:t>
                </a:r>
                <a:r>
                  <a:rPr lang="es-EC" sz="500" baseline="0"/>
                  <a:t> cada 1000 estadounidenses</a:t>
                </a:r>
                <a:endParaRPr lang="es-EC" sz="500"/>
              </a:p>
            </c:rich>
          </c:tx>
          <c:layout>
            <c:manualLayout>
              <c:xMode val="edge"/>
              <c:yMode val="edge"/>
              <c:x val="6.033182503770741E-3"/>
              <c:y val="3.6366319700665867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491712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Perfil!$Y$219</c:f>
              <c:strCache>
                <c:ptCount val="1"/>
                <c:pt idx="0">
                  <c:v>Universitarios</c:v>
                </c:pt>
              </c:strCache>
            </c:strRef>
          </c:tx>
          <c:spPr>
            <a:ln w="19050">
              <a:solidFill>
                <a:srgbClr val="0070C0"/>
              </a:solidFill>
            </a:ln>
          </c:spPr>
          <c:marker>
            <c:symbol val="none"/>
          </c:marker>
          <c:cat>
            <c:strRef>
              <c:f>Perfil!$X$242:$X$257</c:f>
              <c:strCache>
                <c:ptCount val="16"/>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strCache>
            </c:strRef>
          </c:cat>
          <c:val>
            <c:numRef>
              <c:f>Perfil!$Y$242:$Y$257</c:f>
              <c:numCache>
                <c:formatCode>0.00</c:formatCode>
                <c:ptCount val="16"/>
                <c:pt idx="0">
                  <c:v>168.16816816816802</c:v>
                </c:pt>
                <c:pt idx="1">
                  <c:v>814.98470948012255</c:v>
                </c:pt>
                <c:pt idx="2">
                  <c:v>784.41558441558448</c:v>
                </c:pt>
                <c:pt idx="3">
                  <c:v>781.25</c:v>
                </c:pt>
                <c:pt idx="4">
                  <c:v>761.19402985074623</c:v>
                </c:pt>
                <c:pt idx="5">
                  <c:v>695.27896995708306</c:v>
                </c:pt>
                <c:pt idx="6">
                  <c:v>756.47668393782385</c:v>
                </c:pt>
                <c:pt idx="7">
                  <c:v>706.58682634730553</c:v>
                </c:pt>
                <c:pt idx="8">
                  <c:v>769.23076923076951</c:v>
                </c:pt>
                <c:pt idx="9">
                  <c:v>729.32330827067813</c:v>
                </c:pt>
                <c:pt idx="10">
                  <c:v>663.63636363636374</c:v>
                </c:pt>
                <c:pt idx="11">
                  <c:v>666.66666666666663</c:v>
                </c:pt>
                <c:pt idx="12">
                  <c:v>526.3157894736845</c:v>
                </c:pt>
                <c:pt idx="13">
                  <c:v>538.46153846153788</c:v>
                </c:pt>
                <c:pt idx="14">
                  <c:v>500</c:v>
                </c:pt>
                <c:pt idx="15">
                  <c:v>0</c:v>
                </c:pt>
              </c:numCache>
            </c:numRef>
          </c:val>
          <c:smooth val="1"/>
        </c:ser>
        <c:ser>
          <c:idx val="1"/>
          <c:order val="1"/>
          <c:tx>
            <c:strRef>
              <c:f>Perfil!$AA$219</c:f>
              <c:strCache>
                <c:ptCount val="1"/>
                <c:pt idx="0">
                  <c:v>Se ignora</c:v>
                </c:pt>
              </c:strCache>
            </c:strRef>
          </c:tx>
          <c:spPr>
            <a:ln w="19050">
              <a:solidFill>
                <a:srgbClr val="E010C2"/>
              </a:solidFill>
            </a:ln>
          </c:spPr>
          <c:marker>
            <c:symbol val="none"/>
          </c:marker>
          <c:cat>
            <c:strRef>
              <c:f>Perfil!$X$242:$X$257</c:f>
              <c:strCache>
                <c:ptCount val="16"/>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strCache>
            </c:strRef>
          </c:cat>
          <c:val>
            <c:numRef>
              <c:f>Perfil!$AA$242:$AA$257</c:f>
              <c:numCache>
                <c:formatCode>0.00</c:formatCode>
                <c:ptCount val="16"/>
                <c:pt idx="0">
                  <c:v>6.0060060060060056</c:v>
                </c:pt>
                <c:pt idx="1">
                  <c:v>12.232415902140673</c:v>
                </c:pt>
                <c:pt idx="2">
                  <c:v>20.779220779220779</c:v>
                </c:pt>
                <c:pt idx="3">
                  <c:v>15.625</c:v>
                </c:pt>
                <c:pt idx="4">
                  <c:v>14.925373134328359</c:v>
                </c:pt>
                <c:pt idx="5">
                  <c:v>8.5836909871244647</c:v>
                </c:pt>
                <c:pt idx="6">
                  <c:v>10.362694300518152</c:v>
                </c:pt>
                <c:pt idx="7">
                  <c:v>23.952095808383209</c:v>
                </c:pt>
                <c:pt idx="8">
                  <c:v>15.384615384615385</c:v>
                </c:pt>
                <c:pt idx="9">
                  <c:v>7.518796992481203</c:v>
                </c:pt>
                <c:pt idx="10">
                  <c:v>9.0909090909091006</c:v>
                </c:pt>
                <c:pt idx="11">
                  <c:v>0</c:v>
                </c:pt>
                <c:pt idx="12">
                  <c:v>0</c:v>
                </c:pt>
                <c:pt idx="13">
                  <c:v>0</c:v>
                </c:pt>
                <c:pt idx="14">
                  <c:v>0</c:v>
                </c:pt>
                <c:pt idx="15">
                  <c:v>0</c:v>
                </c:pt>
              </c:numCache>
            </c:numRef>
          </c:val>
          <c:smooth val="1"/>
        </c:ser>
        <c:ser>
          <c:idx val="2"/>
          <c:order val="2"/>
          <c:tx>
            <c:strRef>
              <c:f>Perfil!$Z$219</c:f>
              <c:strCache>
                <c:ptCount val="1"/>
                <c:pt idx="0">
                  <c:v>No Universitarios</c:v>
                </c:pt>
              </c:strCache>
            </c:strRef>
          </c:tx>
          <c:spPr>
            <a:ln w="19050">
              <a:solidFill>
                <a:schemeClr val="accent6">
                  <a:lumMod val="75000"/>
                </a:schemeClr>
              </a:solidFill>
            </a:ln>
          </c:spPr>
          <c:marker>
            <c:symbol val="none"/>
          </c:marker>
          <c:cat>
            <c:strRef>
              <c:f>Perfil!$X$242:$X$257</c:f>
              <c:strCache>
                <c:ptCount val="16"/>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strCache>
            </c:strRef>
          </c:cat>
          <c:val>
            <c:numRef>
              <c:f>Perfil!$Z$242:$Z$257</c:f>
              <c:numCache>
                <c:formatCode>0.00</c:formatCode>
                <c:ptCount val="16"/>
                <c:pt idx="0">
                  <c:v>825.82582582582495</c:v>
                </c:pt>
                <c:pt idx="1">
                  <c:v>172.78287461773701</c:v>
                </c:pt>
                <c:pt idx="2">
                  <c:v>194.80519480519484</c:v>
                </c:pt>
                <c:pt idx="3">
                  <c:v>203.125</c:v>
                </c:pt>
                <c:pt idx="4">
                  <c:v>223.88059701492554</c:v>
                </c:pt>
                <c:pt idx="5">
                  <c:v>296.13733905579369</c:v>
                </c:pt>
                <c:pt idx="6">
                  <c:v>233.16062176165778</c:v>
                </c:pt>
                <c:pt idx="7">
                  <c:v>269.46107784431126</c:v>
                </c:pt>
                <c:pt idx="8">
                  <c:v>215.38461538461544</c:v>
                </c:pt>
                <c:pt idx="9">
                  <c:v>263.15789473684254</c:v>
                </c:pt>
                <c:pt idx="10">
                  <c:v>327.27272727272725</c:v>
                </c:pt>
                <c:pt idx="11">
                  <c:v>333.33333333333331</c:v>
                </c:pt>
                <c:pt idx="12">
                  <c:v>473.68421052631578</c:v>
                </c:pt>
                <c:pt idx="13">
                  <c:v>461.53846153846172</c:v>
                </c:pt>
                <c:pt idx="14">
                  <c:v>500</c:v>
                </c:pt>
                <c:pt idx="15">
                  <c:v>1000</c:v>
                </c:pt>
              </c:numCache>
            </c:numRef>
          </c:val>
          <c:smooth val="0"/>
        </c:ser>
        <c:dLbls>
          <c:showLegendKey val="0"/>
          <c:showVal val="0"/>
          <c:showCatName val="0"/>
          <c:showSerName val="0"/>
          <c:showPercent val="0"/>
          <c:showBubbleSize val="0"/>
        </c:dLbls>
        <c:marker val="1"/>
        <c:smooth val="0"/>
        <c:axId val="285088384"/>
        <c:axId val="285090560"/>
      </c:lineChart>
      <c:catAx>
        <c:axId val="285088384"/>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00"/>
            </a:pPr>
            <a:endParaRPr lang="es-EC"/>
          </a:p>
        </c:txPr>
        <c:crossAx val="285090560"/>
        <c:crosses val="autoZero"/>
        <c:auto val="1"/>
        <c:lblAlgn val="ctr"/>
        <c:lblOffset val="100"/>
        <c:noMultiLvlLbl val="0"/>
      </c:catAx>
      <c:valAx>
        <c:axId val="285090560"/>
        <c:scaling>
          <c:orientation val="minMax"/>
          <c:max val="1000"/>
          <c:min val="0"/>
        </c:scaling>
        <c:delete val="0"/>
        <c:axPos val="l"/>
        <c:title>
          <c:tx>
            <c:rich>
              <a:bodyPr rot="-5400000" vert="horz"/>
              <a:lstStyle/>
              <a:p>
                <a:pPr>
                  <a:defRPr sz="550"/>
                </a:pPr>
                <a:r>
                  <a:rPr lang="es-EC" sz="550"/>
                  <a:t>Tasa por</a:t>
                </a:r>
                <a:r>
                  <a:rPr lang="es-EC" sz="550" baseline="0"/>
                  <a:t> cada 1000 estadounidenses</a:t>
                </a:r>
                <a:endParaRPr lang="es-EC" sz="550"/>
              </a:p>
            </c:rich>
          </c:tx>
          <c:layout>
            <c:manualLayout>
              <c:xMode val="edge"/>
              <c:yMode val="edge"/>
              <c:x val="6.033182503770741E-3"/>
              <c:y val="2.1665841935138468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5088384"/>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6947817963441"/>
          <c:y val="4.6274540682414614E-2"/>
          <c:w val="0.7878635170603675"/>
          <c:h val="0.60798477690288777"/>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700"/>
                </a:pPr>
                <a:endParaRPr lang="es-EC"/>
              </a:p>
            </c:txPr>
            <c:dLblPos val="outEnd"/>
            <c:showLegendKey val="0"/>
            <c:showVal val="1"/>
            <c:showCatName val="0"/>
            <c:showSerName val="0"/>
            <c:showPercent val="0"/>
            <c:showBubbleSize val="0"/>
            <c:showLeaderLines val="0"/>
          </c:dLbls>
          <c:cat>
            <c:strRef>
              <c:f>Perfil!$H$278:$H$283</c:f>
              <c:strCache>
                <c:ptCount val="6"/>
                <c:pt idx="0">
                  <c:v>Soltero</c:v>
                </c:pt>
                <c:pt idx="1">
                  <c:v>Casado</c:v>
                </c:pt>
                <c:pt idx="2">
                  <c:v>Unido</c:v>
                </c:pt>
                <c:pt idx="3">
                  <c:v>Separado</c:v>
                </c:pt>
                <c:pt idx="4">
                  <c:v>Divorciado</c:v>
                </c:pt>
                <c:pt idx="5">
                  <c:v>Viudo</c:v>
                </c:pt>
              </c:strCache>
            </c:strRef>
          </c:cat>
          <c:val>
            <c:numRef>
              <c:f>Perfil!$I$278:$I$283</c:f>
              <c:numCache>
                <c:formatCode>0,000</c:formatCode>
                <c:ptCount val="6"/>
                <c:pt idx="0">
                  <c:v>0.54656800204133649</c:v>
                </c:pt>
                <c:pt idx="1">
                  <c:v>0.33720336820617502</c:v>
                </c:pt>
                <c:pt idx="2">
                  <c:v>5.6391936718550709E-2</c:v>
                </c:pt>
                <c:pt idx="3">
                  <c:v>1.3396274559836692E-2</c:v>
                </c:pt>
                <c:pt idx="4">
                  <c:v>3.5468231691758098E-2</c:v>
                </c:pt>
                <c:pt idx="5">
                  <c:v>1.0972186782342437E-2</c:v>
                </c:pt>
              </c:numCache>
            </c:numRef>
          </c:val>
        </c:ser>
        <c:dLbls>
          <c:showLegendKey val="0"/>
          <c:showVal val="1"/>
          <c:showCatName val="0"/>
          <c:showSerName val="0"/>
          <c:showPercent val="0"/>
          <c:showBubbleSize val="0"/>
        </c:dLbls>
        <c:gapWidth val="30"/>
        <c:axId val="285113728"/>
        <c:axId val="285133440"/>
      </c:barChart>
      <c:catAx>
        <c:axId val="285113728"/>
        <c:scaling>
          <c:orientation val="minMax"/>
        </c:scaling>
        <c:delete val="0"/>
        <c:axPos val="b"/>
        <c:title>
          <c:tx>
            <c:rich>
              <a:bodyPr/>
              <a:lstStyle/>
              <a:p>
                <a:pPr>
                  <a:defRPr/>
                </a:pPr>
                <a:r>
                  <a:rPr lang="es-EC"/>
                  <a:t>Estado Civil</a:t>
                </a:r>
              </a:p>
            </c:rich>
          </c:tx>
          <c:overlay val="0"/>
        </c:title>
        <c:numFmt formatCode="General" sourceLinked="1"/>
        <c:majorTickMark val="out"/>
        <c:minorTickMark val="none"/>
        <c:tickLblPos val="low"/>
        <c:spPr>
          <a:ln>
            <a:solidFill>
              <a:schemeClr val="tx1"/>
            </a:solidFill>
          </a:ln>
        </c:spPr>
        <c:txPr>
          <a:bodyPr rot="-5400000" vert="horz"/>
          <a:lstStyle/>
          <a:p>
            <a:pPr>
              <a:defRPr sz="700"/>
            </a:pPr>
            <a:endParaRPr lang="es-EC"/>
          </a:p>
        </c:txPr>
        <c:crossAx val="285133440"/>
        <c:crosses val="autoZero"/>
        <c:auto val="1"/>
        <c:lblAlgn val="ctr"/>
        <c:lblOffset val="100"/>
        <c:noMultiLvlLbl val="0"/>
      </c:catAx>
      <c:valAx>
        <c:axId val="285133440"/>
        <c:scaling>
          <c:orientation val="minMax"/>
          <c:max val="1"/>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low"/>
        <c:spPr>
          <a:ln>
            <a:solidFill>
              <a:schemeClr val="tx1"/>
            </a:solidFill>
          </a:ln>
        </c:spPr>
        <c:crossAx val="285113728"/>
        <c:crossesAt val="1"/>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Perfil!$L$292</c:f>
              <c:strCache>
                <c:ptCount val="1"/>
                <c:pt idx="0">
                  <c:v>Soltero</c:v>
                </c:pt>
              </c:strCache>
            </c:strRef>
          </c:tx>
          <c:spPr>
            <a:ln w="19050">
              <a:solidFill>
                <a:srgbClr val="0070C0"/>
              </a:solidFill>
            </a:ln>
          </c:spPr>
          <c:marker>
            <c:symbol val="none"/>
          </c:marker>
          <c:cat>
            <c:strRef>
              <c:f>Perfil!$C$293:$C$310</c:f>
              <c:strCache>
                <c:ptCount val="18"/>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strCache>
            </c:strRef>
          </c:cat>
          <c:val>
            <c:numRef>
              <c:f>Perfil!$L$293:$L$310</c:f>
              <c:numCache>
                <c:formatCode>0.00</c:formatCode>
                <c:ptCount val="18"/>
                <c:pt idx="0">
                  <c:v>998.29931972789257</c:v>
                </c:pt>
                <c:pt idx="1">
                  <c:v>989.86975397973958</c:v>
                </c:pt>
                <c:pt idx="2">
                  <c:v>857.14285714285711</c:v>
                </c:pt>
                <c:pt idx="3">
                  <c:v>577.16049382716051</c:v>
                </c:pt>
                <c:pt idx="4">
                  <c:v>268.96551724137851</c:v>
                </c:pt>
                <c:pt idx="5">
                  <c:v>171.82130584192464</c:v>
                </c:pt>
                <c:pt idx="6">
                  <c:v>177.7777777777776</c:v>
                </c:pt>
                <c:pt idx="7">
                  <c:v>136.15023474178403</c:v>
                </c:pt>
                <c:pt idx="8">
                  <c:v>111.1111111111111</c:v>
                </c:pt>
                <c:pt idx="9">
                  <c:v>101.06382978723413</c:v>
                </c:pt>
                <c:pt idx="10">
                  <c:v>90.909090909090907</c:v>
                </c:pt>
                <c:pt idx="11">
                  <c:v>84.848484848484716</c:v>
                </c:pt>
                <c:pt idx="12">
                  <c:v>129.87012987013006</c:v>
                </c:pt>
                <c:pt idx="13">
                  <c:v>21.739130434782609</c:v>
                </c:pt>
                <c:pt idx="14">
                  <c:v>93.75</c:v>
                </c:pt>
                <c:pt idx="15">
                  <c:v>181.81818181818181</c:v>
                </c:pt>
                <c:pt idx="16">
                  <c:v>0</c:v>
                </c:pt>
                <c:pt idx="17">
                  <c:v>0</c:v>
                </c:pt>
              </c:numCache>
            </c:numRef>
          </c:val>
          <c:smooth val="1"/>
        </c:ser>
        <c:ser>
          <c:idx val="1"/>
          <c:order val="1"/>
          <c:tx>
            <c:strRef>
              <c:f>Perfil!$N$292</c:f>
              <c:strCache>
                <c:ptCount val="1"/>
                <c:pt idx="0">
                  <c:v>Separado, Divorciado o Viudo</c:v>
                </c:pt>
              </c:strCache>
            </c:strRef>
          </c:tx>
          <c:spPr>
            <a:ln w="19050">
              <a:solidFill>
                <a:srgbClr val="E010C2"/>
              </a:solidFill>
            </a:ln>
          </c:spPr>
          <c:marker>
            <c:symbol val="none"/>
          </c:marker>
          <c:cat>
            <c:strRef>
              <c:f>Perfil!$C$293:$C$310</c:f>
              <c:strCache>
                <c:ptCount val="18"/>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strCache>
            </c:strRef>
          </c:cat>
          <c:val>
            <c:numRef>
              <c:f>Perfil!$N$293:$N$310</c:f>
              <c:numCache>
                <c:formatCode>0.00</c:formatCode>
                <c:ptCount val="18"/>
                <c:pt idx="0">
                  <c:v>0</c:v>
                </c:pt>
                <c:pt idx="1">
                  <c:v>2.8943560057887092</c:v>
                </c:pt>
                <c:pt idx="2">
                  <c:v>3.9138943248532261</c:v>
                </c:pt>
                <c:pt idx="3">
                  <c:v>9.2592592592592755</c:v>
                </c:pt>
                <c:pt idx="4">
                  <c:v>58.620689655172363</c:v>
                </c:pt>
                <c:pt idx="5">
                  <c:v>75.601374570446595</c:v>
                </c:pt>
                <c:pt idx="6">
                  <c:v>102.22222222222223</c:v>
                </c:pt>
                <c:pt idx="7">
                  <c:v>61.032863849765256</c:v>
                </c:pt>
                <c:pt idx="8">
                  <c:v>116.95906432748538</c:v>
                </c:pt>
                <c:pt idx="9">
                  <c:v>117.02127659574468</c:v>
                </c:pt>
                <c:pt idx="10">
                  <c:v>90.909090909090907</c:v>
                </c:pt>
                <c:pt idx="11">
                  <c:v>145.45454545454538</c:v>
                </c:pt>
                <c:pt idx="12">
                  <c:v>194.80519480519484</c:v>
                </c:pt>
                <c:pt idx="13">
                  <c:v>130.43478260869566</c:v>
                </c:pt>
                <c:pt idx="14">
                  <c:v>125</c:v>
                </c:pt>
                <c:pt idx="15">
                  <c:v>0</c:v>
                </c:pt>
                <c:pt idx="16">
                  <c:v>500</c:v>
                </c:pt>
                <c:pt idx="17">
                  <c:v>0</c:v>
                </c:pt>
              </c:numCache>
            </c:numRef>
          </c:val>
          <c:smooth val="1"/>
        </c:ser>
        <c:ser>
          <c:idx val="2"/>
          <c:order val="2"/>
          <c:tx>
            <c:strRef>
              <c:f>Perfil!$M$292</c:f>
              <c:strCache>
                <c:ptCount val="1"/>
                <c:pt idx="0">
                  <c:v>Casado o Unido</c:v>
                </c:pt>
              </c:strCache>
            </c:strRef>
          </c:tx>
          <c:spPr>
            <a:ln w="19050">
              <a:solidFill>
                <a:schemeClr val="accent6">
                  <a:lumMod val="75000"/>
                </a:schemeClr>
              </a:solidFill>
            </a:ln>
          </c:spPr>
          <c:marker>
            <c:symbol val="none"/>
          </c:marker>
          <c:cat>
            <c:strRef>
              <c:f>Perfil!$C$293:$C$310</c:f>
              <c:strCache>
                <c:ptCount val="18"/>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strCache>
            </c:strRef>
          </c:cat>
          <c:val>
            <c:numRef>
              <c:f>Perfil!$M$293:$M$310</c:f>
              <c:numCache>
                <c:formatCode>0.00</c:formatCode>
                <c:ptCount val="18"/>
                <c:pt idx="0">
                  <c:v>1.7006802721088434</c:v>
                </c:pt>
                <c:pt idx="1">
                  <c:v>7.2358900144717824</c:v>
                </c:pt>
                <c:pt idx="2">
                  <c:v>138.94324853228983</c:v>
                </c:pt>
                <c:pt idx="3">
                  <c:v>413.58024691358025</c:v>
                </c:pt>
                <c:pt idx="4">
                  <c:v>672.41379310344826</c:v>
                </c:pt>
                <c:pt idx="5">
                  <c:v>752.57731958762884</c:v>
                </c:pt>
                <c:pt idx="6">
                  <c:v>720</c:v>
                </c:pt>
                <c:pt idx="7">
                  <c:v>802.81690140845046</c:v>
                </c:pt>
                <c:pt idx="8">
                  <c:v>771.92982456140339</c:v>
                </c:pt>
                <c:pt idx="9">
                  <c:v>781.9148936170219</c:v>
                </c:pt>
                <c:pt idx="10">
                  <c:v>818.1818181818179</c:v>
                </c:pt>
                <c:pt idx="11">
                  <c:v>769.6969696969694</c:v>
                </c:pt>
                <c:pt idx="12">
                  <c:v>675.32467532467535</c:v>
                </c:pt>
                <c:pt idx="13">
                  <c:v>847.82608695652175</c:v>
                </c:pt>
                <c:pt idx="14">
                  <c:v>781.25</c:v>
                </c:pt>
                <c:pt idx="15">
                  <c:v>818.1818181818179</c:v>
                </c:pt>
                <c:pt idx="16">
                  <c:v>500</c:v>
                </c:pt>
                <c:pt idx="17">
                  <c:v>1000</c:v>
                </c:pt>
              </c:numCache>
            </c:numRef>
          </c:val>
          <c:smooth val="0"/>
        </c:ser>
        <c:dLbls>
          <c:showLegendKey val="0"/>
          <c:showVal val="0"/>
          <c:showCatName val="0"/>
          <c:showSerName val="0"/>
          <c:showPercent val="0"/>
          <c:showBubbleSize val="0"/>
        </c:dLbls>
        <c:marker val="1"/>
        <c:smooth val="0"/>
        <c:axId val="285048832"/>
        <c:axId val="285050752"/>
      </c:lineChart>
      <c:catAx>
        <c:axId val="285048832"/>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5050752"/>
        <c:crosses val="autoZero"/>
        <c:auto val="1"/>
        <c:lblAlgn val="ctr"/>
        <c:lblOffset val="100"/>
        <c:noMultiLvlLbl val="0"/>
      </c:catAx>
      <c:valAx>
        <c:axId val="285050752"/>
        <c:scaling>
          <c:orientation val="minMax"/>
          <c:max val="1000"/>
          <c:min val="0"/>
        </c:scaling>
        <c:delete val="0"/>
        <c:axPos val="l"/>
        <c:title>
          <c:tx>
            <c:rich>
              <a:bodyPr rot="-5400000" vert="horz"/>
              <a:lstStyle/>
              <a:p>
                <a:pPr>
                  <a:defRPr sz="550"/>
                </a:pPr>
                <a:r>
                  <a:rPr lang="es-EC" sz="550"/>
                  <a:t>Tasa por</a:t>
                </a:r>
                <a:r>
                  <a:rPr lang="es-EC" sz="550" baseline="0"/>
                  <a:t> cada 1000 estadounidenses</a:t>
                </a:r>
                <a:endParaRPr lang="es-EC" sz="550"/>
              </a:p>
            </c:rich>
          </c:tx>
          <c:layout>
            <c:manualLayout>
              <c:xMode val="edge"/>
              <c:yMode val="edge"/>
              <c:x val="6.0305697081982435E-3"/>
              <c:y val="4.4764085152729269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5048832"/>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Perfil!$L$292</c:f>
              <c:strCache>
                <c:ptCount val="1"/>
                <c:pt idx="0">
                  <c:v>Soltero</c:v>
                </c:pt>
              </c:strCache>
            </c:strRef>
          </c:tx>
          <c:spPr>
            <a:ln w="19050">
              <a:solidFill>
                <a:srgbClr val="0070C0"/>
              </a:solidFill>
            </a:ln>
          </c:spPr>
          <c:marker>
            <c:symbol val="none"/>
          </c:marker>
          <c:cat>
            <c:strRef>
              <c:f>Perfil!$C$312:$C$328</c:f>
              <c:strCache>
                <c:ptCount val="17"/>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strCache>
            </c:strRef>
          </c:cat>
          <c:val>
            <c:numRef>
              <c:f>Perfil!$L$312:$L$328</c:f>
              <c:numCache>
                <c:formatCode>0.00</c:formatCode>
                <c:ptCount val="17"/>
                <c:pt idx="0">
                  <c:v>992.46704331450019</c:v>
                </c:pt>
                <c:pt idx="1">
                  <c:v>959.45945945945948</c:v>
                </c:pt>
                <c:pt idx="2">
                  <c:v>811.9266055045872</c:v>
                </c:pt>
                <c:pt idx="3">
                  <c:v>472.72727272727218</c:v>
                </c:pt>
                <c:pt idx="4">
                  <c:v>246.09374999999997</c:v>
                </c:pt>
                <c:pt idx="5">
                  <c:v>182.83582089552237</c:v>
                </c:pt>
                <c:pt idx="6">
                  <c:v>103.00429184549357</c:v>
                </c:pt>
                <c:pt idx="7">
                  <c:v>103.62694300518135</c:v>
                </c:pt>
                <c:pt idx="8">
                  <c:v>131.73652694610772</c:v>
                </c:pt>
                <c:pt idx="9">
                  <c:v>107.69230769230768</c:v>
                </c:pt>
                <c:pt idx="10">
                  <c:v>105.26315789473684</c:v>
                </c:pt>
                <c:pt idx="11">
                  <c:v>81.818181818181642</c:v>
                </c:pt>
                <c:pt idx="12">
                  <c:v>129.62962962962962</c:v>
                </c:pt>
                <c:pt idx="13">
                  <c:v>210.52631578947367</c:v>
                </c:pt>
                <c:pt idx="14">
                  <c:v>76.923076923076849</c:v>
                </c:pt>
                <c:pt idx="15">
                  <c:v>0</c:v>
                </c:pt>
                <c:pt idx="16">
                  <c:v>0</c:v>
                </c:pt>
              </c:numCache>
            </c:numRef>
          </c:val>
          <c:smooth val="1"/>
        </c:ser>
        <c:ser>
          <c:idx val="1"/>
          <c:order val="1"/>
          <c:tx>
            <c:strRef>
              <c:f>Perfil!$N$292</c:f>
              <c:strCache>
                <c:ptCount val="1"/>
                <c:pt idx="0">
                  <c:v>Separado, Divorciado o Viudo</c:v>
                </c:pt>
              </c:strCache>
            </c:strRef>
          </c:tx>
          <c:spPr>
            <a:ln w="19050">
              <a:solidFill>
                <a:srgbClr val="E010C2"/>
              </a:solidFill>
            </a:ln>
          </c:spPr>
          <c:marker>
            <c:symbol val="none"/>
          </c:marker>
          <c:cat>
            <c:strRef>
              <c:f>Perfil!$C$312:$C$328</c:f>
              <c:strCache>
                <c:ptCount val="17"/>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strCache>
            </c:strRef>
          </c:cat>
          <c:val>
            <c:numRef>
              <c:f>Perfil!$N$312:$N$328</c:f>
              <c:numCache>
                <c:formatCode>0.00</c:formatCode>
                <c:ptCount val="17"/>
                <c:pt idx="0">
                  <c:v>1.8832391713747645</c:v>
                </c:pt>
                <c:pt idx="1">
                  <c:v>0</c:v>
                </c:pt>
                <c:pt idx="2">
                  <c:v>6.1162079510703364</c:v>
                </c:pt>
                <c:pt idx="3">
                  <c:v>41.558441558441487</c:v>
                </c:pt>
                <c:pt idx="4">
                  <c:v>101.5625</c:v>
                </c:pt>
                <c:pt idx="5">
                  <c:v>100.74626865671642</c:v>
                </c:pt>
                <c:pt idx="6">
                  <c:v>141.63090128755366</c:v>
                </c:pt>
                <c:pt idx="7">
                  <c:v>160.62176165803106</c:v>
                </c:pt>
                <c:pt idx="8">
                  <c:v>149.70059880239521</c:v>
                </c:pt>
                <c:pt idx="9">
                  <c:v>146.15384615384616</c:v>
                </c:pt>
                <c:pt idx="10">
                  <c:v>180.45112781954887</c:v>
                </c:pt>
                <c:pt idx="11">
                  <c:v>281.81818181818164</c:v>
                </c:pt>
                <c:pt idx="12">
                  <c:v>259.25925925925924</c:v>
                </c:pt>
                <c:pt idx="13">
                  <c:v>473.68421052631578</c:v>
                </c:pt>
                <c:pt idx="14">
                  <c:v>692.30769230769261</c:v>
                </c:pt>
                <c:pt idx="15">
                  <c:v>625</c:v>
                </c:pt>
                <c:pt idx="16">
                  <c:v>1000</c:v>
                </c:pt>
              </c:numCache>
            </c:numRef>
          </c:val>
          <c:smooth val="1"/>
        </c:ser>
        <c:ser>
          <c:idx val="2"/>
          <c:order val="2"/>
          <c:tx>
            <c:strRef>
              <c:f>Perfil!$M$292</c:f>
              <c:strCache>
                <c:ptCount val="1"/>
                <c:pt idx="0">
                  <c:v>Casado o Unido</c:v>
                </c:pt>
              </c:strCache>
            </c:strRef>
          </c:tx>
          <c:spPr>
            <a:ln w="19050">
              <a:solidFill>
                <a:schemeClr val="accent6">
                  <a:lumMod val="75000"/>
                </a:schemeClr>
              </a:solidFill>
            </a:ln>
          </c:spPr>
          <c:marker>
            <c:symbol val="none"/>
          </c:marker>
          <c:cat>
            <c:strRef>
              <c:f>Perfil!$C$312:$C$328</c:f>
              <c:strCache>
                <c:ptCount val="17"/>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strCache>
            </c:strRef>
          </c:cat>
          <c:val>
            <c:numRef>
              <c:f>Perfil!$M$312:$M$328</c:f>
              <c:numCache>
                <c:formatCode>0.00</c:formatCode>
                <c:ptCount val="17"/>
                <c:pt idx="0">
                  <c:v>5.6497175141242941</c:v>
                </c:pt>
                <c:pt idx="1">
                  <c:v>40.54054054054054</c:v>
                </c:pt>
                <c:pt idx="2">
                  <c:v>181.95718654434251</c:v>
                </c:pt>
                <c:pt idx="3">
                  <c:v>485.71428571428567</c:v>
                </c:pt>
                <c:pt idx="4">
                  <c:v>652.34375</c:v>
                </c:pt>
                <c:pt idx="5">
                  <c:v>716.41791044776119</c:v>
                </c:pt>
                <c:pt idx="6">
                  <c:v>755.36480686695279</c:v>
                </c:pt>
                <c:pt idx="7">
                  <c:v>735.75129533678751</c:v>
                </c:pt>
                <c:pt idx="8">
                  <c:v>718.56287425149753</c:v>
                </c:pt>
                <c:pt idx="9">
                  <c:v>746.15384615384653</c:v>
                </c:pt>
                <c:pt idx="10">
                  <c:v>714.28571428571433</c:v>
                </c:pt>
                <c:pt idx="11">
                  <c:v>636.3636363636366</c:v>
                </c:pt>
                <c:pt idx="12">
                  <c:v>611.1111111111112</c:v>
                </c:pt>
                <c:pt idx="13">
                  <c:v>315.78947368421052</c:v>
                </c:pt>
                <c:pt idx="14">
                  <c:v>230.76923076923075</c:v>
                </c:pt>
                <c:pt idx="15">
                  <c:v>375</c:v>
                </c:pt>
                <c:pt idx="16">
                  <c:v>0</c:v>
                </c:pt>
              </c:numCache>
            </c:numRef>
          </c:val>
          <c:smooth val="0"/>
        </c:ser>
        <c:dLbls>
          <c:showLegendKey val="0"/>
          <c:showVal val="0"/>
          <c:showCatName val="0"/>
          <c:showSerName val="0"/>
          <c:showPercent val="0"/>
          <c:showBubbleSize val="0"/>
        </c:dLbls>
        <c:marker val="1"/>
        <c:smooth val="0"/>
        <c:axId val="285076480"/>
        <c:axId val="285123712"/>
      </c:lineChart>
      <c:catAx>
        <c:axId val="285076480"/>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5123712"/>
        <c:crosses val="autoZero"/>
        <c:auto val="1"/>
        <c:lblAlgn val="ctr"/>
        <c:lblOffset val="100"/>
        <c:noMultiLvlLbl val="0"/>
      </c:catAx>
      <c:valAx>
        <c:axId val="285123712"/>
        <c:scaling>
          <c:orientation val="minMax"/>
          <c:max val="1000"/>
          <c:min val="0"/>
        </c:scaling>
        <c:delete val="0"/>
        <c:axPos val="l"/>
        <c:title>
          <c:tx>
            <c:rich>
              <a:bodyPr rot="-5400000" vert="horz"/>
              <a:lstStyle/>
              <a:p>
                <a:pPr>
                  <a:defRPr sz="550"/>
                </a:pPr>
                <a:r>
                  <a:rPr lang="es-EC" sz="550"/>
                  <a:t>Tasa por</a:t>
                </a:r>
                <a:r>
                  <a:rPr lang="es-EC" sz="550" baseline="0"/>
                  <a:t> cada 1000 estadounidenses</a:t>
                </a:r>
                <a:endParaRPr lang="es-EC" sz="550"/>
              </a:p>
            </c:rich>
          </c:tx>
          <c:layout>
            <c:manualLayout>
              <c:xMode val="edge"/>
              <c:yMode val="edge"/>
              <c:x val="6.0305697081982435E-3"/>
              <c:y val="4.4764085152729269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507648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80234485906653052"/>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Perfil!$B$334:$B$336</c:f>
              <c:strCache>
                <c:ptCount val="3"/>
                <c:pt idx="0">
                  <c:v>Sí</c:v>
                </c:pt>
                <c:pt idx="1">
                  <c:v>No</c:v>
                </c:pt>
                <c:pt idx="2">
                  <c:v>Se ignora</c:v>
                </c:pt>
              </c:strCache>
            </c:strRef>
          </c:cat>
          <c:val>
            <c:numRef>
              <c:f>Perfil!$G$334:$G$336</c:f>
              <c:numCache>
                <c:formatCode>0,000</c:formatCode>
                <c:ptCount val="3"/>
                <c:pt idx="0">
                  <c:v>0.67195681946346686</c:v>
                </c:pt>
                <c:pt idx="1">
                  <c:v>0.27148956738902841</c:v>
                </c:pt>
                <c:pt idx="2">
                  <c:v>5.6553613147506746E-2</c:v>
                </c:pt>
              </c:numCache>
            </c:numRef>
          </c:val>
        </c:ser>
        <c:dLbls>
          <c:showLegendKey val="0"/>
          <c:showVal val="1"/>
          <c:showCatName val="0"/>
          <c:showSerName val="0"/>
          <c:showPercent val="0"/>
          <c:showBubbleSize val="0"/>
        </c:dLbls>
        <c:gapWidth val="50"/>
        <c:axId val="285175808"/>
        <c:axId val="285178880"/>
      </c:barChart>
      <c:catAx>
        <c:axId val="285175808"/>
        <c:scaling>
          <c:orientation val="maxMin"/>
        </c:scaling>
        <c:delete val="0"/>
        <c:axPos val="l"/>
        <c:title>
          <c:tx>
            <c:rich>
              <a:bodyPr rot="-5400000" vert="horz"/>
              <a:lstStyle/>
              <a:p>
                <a:pPr>
                  <a:defRPr sz="700"/>
                </a:pPr>
                <a:r>
                  <a:rPr lang="es-EC" sz="700"/>
                  <a:t>Teléfono Celular</a:t>
                </a:r>
              </a:p>
            </c:rich>
          </c:tx>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85178880"/>
        <c:crosses val="autoZero"/>
        <c:auto val="1"/>
        <c:lblAlgn val="ctr"/>
        <c:lblOffset val="100"/>
        <c:noMultiLvlLbl val="0"/>
      </c:catAx>
      <c:valAx>
        <c:axId val="285178880"/>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85175808"/>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80234485906653052"/>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dLbl>
              <c:idx val="0"/>
              <c:numFmt formatCode="#,##0.000" sourceLinked="0"/>
              <c:spPr>
                <a:solidFill>
                  <a:schemeClr val="bg1"/>
                </a:solidFill>
              </c:spPr>
              <c:txPr>
                <a:bodyPr/>
                <a:lstStyle/>
                <a:p>
                  <a:pPr>
                    <a:defRPr sz="650"/>
                  </a:pPr>
                  <a:endParaRPr lang="es-EC"/>
                </a:p>
              </c:txPr>
              <c:dLblPos val="outEnd"/>
              <c:showLegendKey val="0"/>
              <c:showVal val="1"/>
              <c:showCatName val="0"/>
              <c:showSerName val="0"/>
              <c:showPercent val="0"/>
              <c:showBubbleSize val="0"/>
            </c:dLbl>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Perfil!$B$334:$B$336</c:f>
              <c:strCache>
                <c:ptCount val="3"/>
                <c:pt idx="0">
                  <c:v>Sí</c:v>
                </c:pt>
                <c:pt idx="1">
                  <c:v>No</c:v>
                </c:pt>
                <c:pt idx="2">
                  <c:v>Se ignora</c:v>
                </c:pt>
              </c:strCache>
            </c:strRef>
          </c:cat>
          <c:val>
            <c:numRef>
              <c:f>Perfil!$N$334:$N$336</c:f>
              <c:numCache>
                <c:formatCode>0,000</c:formatCode>
                <c:ptCount val="3"/>
                <c:pt idx="0">
                  <c:v>0.75267864335777157</c:v>
                </c:pt>
                <c:pt idx="1">
                  <c:v>0.2020462418432292</c:v>
                </c:pt>
                <c:pt idx="2">
                  <c:v>4.5275114799000996E-2</c:v>
                </c:pt>
              </c:numCache>
            </c:numRef>
          </c:val>
        </c:ser>
        <c:dLbls>
          <c:showLegendKey val="0"/>
          <c:showVal val="1"/>
          <c:showCatName val="0"/>
          <c:showSerName val="0"/>
          <c:showPercent val="0"/>
          <c:showBubbleSize val="0"/>
        </c:dLbls>
        <c:gapWidth val="50"/>
        <c:axId val="285191552"/>
        <c:axId val="285222400"/>
      </c:barChart>
      <c:catAx>
        <c:axId val="285191552"/>
        <c:scaling>
          <c:orientation val="maxMin"/>
        </c:scaling>
        <c:delete val="0"/>
        <c:axPos val="l"/>
        <c:title>
          <c:tx>
            <c:rich>
              <a:bodyPr rot="-5400000" vert="horz"/>
              <a:lstStyle/>
              <a:p>
                <a:pPr>
                  <a:defRPr sz="700"/>
                </a:pPr>
                <a:r>
                  <a:rPr lang="es-EC" sz="700"/>
                  <a:t>Internet</a:t>
                </a:r>
              </a:p>
            </c:rich>
          </c:tx>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85222400"/>
        <c:crosses val="autoZero"/>
        <c:auto val="1"/>
        <c:lblAlgn val="ctr"/>
        <c:lblOffset val="100"/>
        <c:noMultiLvlLbl val="0"/>
      </c:catAx>
      <c:valAx>
        <c:axId val="285222400"/>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85191552"/>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80234485906653052"/>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dLbl>
              <c:idx val="0"/>
              <c:numFmt formatCode="#,##0.000" sourceLinked="0"/>
              <c:spPr>
                <a:solidFill>
                  <a:schemeClr val="bg1"/>
                </a:solidFill>
              </c:spPr>
              <c:txPr>
                <a:bodyPr/>
                <a:lstStyle/>
                <a:p>
                  <a:pPr>
                    <a:defRPr sz="650"/>
                  </a:pPr>
                  <a:endParaRPr lang="es-EC"/>
                </a:p>
              </c:txPr>
              <c:dLblPos val="outEnd"/>
              <c:showLegendKey val="0"/>
              <c:showVal val="1"/>
              <c:showCatName val="0"/>
              <c:showSerName val="0"/>
              <c:showPercent val="0"/>
              <c:showBubbleSize val="0"/>
            </c:dLbl>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Perfil!$P$334:$P$336</c:f>
              <c:strCache>
                <c:ptCount val="3"/>
                <c:pt idx="0">
                  <c:v>Sí</c:v>
                </c:pt>
                <c:pt idx="1">
                  <c:v>No</c:v>
                </c:pt>
                <c:pt idx="2">
                  <c:v>Se ignora</c:v>
                </c:pt>
              </c:strCache>
            </c:strRef>
          </c:cat>
          <c:val>
            <c:numRef>
              <c:f>Perfil!$U$334:$U$336</c:f>
              <c:numCache>
                <c:formatCode>0,000</c:formatCode>
                <c:ptCount val="3"/>
                <c:pt idx="0">
                  <c:v>0.81986626923386752</c:v>
                </c:pt>
                <c:pt idx="1">
                  <c:v>0.13953113671151221</c:v>
                </c:pt>
                <c:pt idx="2">
                  <c:v>4.0602594054620245E-2</c:v>
                </c:pt>
              </c:numCache>
            </c:numRef>
          </c:val>
        </c:ser>
        <c:dLbls>
          <c:showLegendKey val="0"/>
          <c:showVal val="1"/>
          <c:showCatName val="0"/>
          <c:showSerName val="0"/>
          <c:showPercent val="0"/>
          <c:showBubbleSize val="0"/>
        </c:dLbls>
        <c:gapWidth val="50"/>
        <c:axId val="285243264"/>
        <c:axId val="285249536"/>
      </c:barChart>
      <c:catAx>
        <c:axId val="285243264"/>
        <c:scaling>
          <c:orientation val="maxMin"/>
        </c:scaling>
        <c:delete val="0"/>
        <c:axPos val="l"/>
        <c:title>
          <c:tx>
            <c:rich>
              <a:bodyPr rot="-5400000" vert="horz"/>
              <a:lstStyle/>
              <a:p>
                <a:pPr>
                  <a:defRPr sz="700"/>
                </a:pPr>
                <a:r>
                  <a:rPr lang="es-EC" sz="700"/>
                  <a:t>Computadora</a:t>
                </a:r>
              </a:p>
            </c:rich>
          </c:tx>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85249536"/>
        <c:crosses val="autoZero"/>
        <c:auto val="1"/>
        <c:lblAlgn val="ctr"/>
        <c:lblOffset val="100"/>
        <c:noMultiLvlLbl val="0"/>
      </c:catAx>
      <c:valAx>
        <c:axId val="285249536"/>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85243264"/>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056882821387982E-2"/>
          <c:y val="3.6166365280289346E-2"/>
          <c:w val="0.89988623435722359"/>
          <c:h val="0.86121157323689035"/>
        </c:manualLayout>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Economía!$M$1:$M$3</c:f>
              <c:numCache>
                <c:formatCode>###0</c:formatCode>
                <c:ptCount val="3"/>
                <c:pt idx="0" formatCode="General">
                  <c:v>15017</c:v>
                </c:pt>
                <c:pt idx="1">
                  <c:v>8744</c:v>
                </c:pt>
                <c:pt idx="2">
                  <c:v>3422</c:v>
                </c:pt>
              </c:numCache>
            </c:numRef>
          </c:val>
        </c:ser>
        <c:ser>
          <c:idx val="1"/>
          <c:order val="1"/>
          <c:spPr>
            <a:solidFill>
              <a:srgbClr val="00B0F0"/>
            </a:solidFill>
          </c:spPr>
          <c:invertIfNegative val="0"/>
          <c:val>
            <c:numRef>
              <c:f>Economía!$O$1:$O$3</c:f>
              <c:numCache>
                <c:formatCode>General</c:formatCode>
                <c:ptCount val="3"/>
                <c:pt idx="2" formatCode="###0">
                  <c:v>5322</c:v>
                </c:pt>
              </c:numCache>
            </c:numRef>
          </c:val>
        </c:ser>
        <c:dLbls>
          <c:showLegendKey val="0"/>
          <c:showVal val="1"/>
          <c:showCatName val="0"/>
          <c:showSerName val="0"/>
          <c:showPercent val="0"/>
          <c:showBubbleSize val="0"/>
        </c:dLbls>
        <c:gapWidth val="30"/>
        <c:overlap val="100"/>
        <c:axId val="285284992"/>
        <c:axId val="285294976"/>
      </c:barChart>
      <c:catAx>
        <c:axId val="285284992"/>
        <c:scaling>
          <c:orientation val="minMax"/>
        </c:scaling>
        <c:delete val="0"/>
        <c:axPos val="b"/>
        <c:majorTickMark val="none"/>
        <c:minorTickMark val="none"/>
        <c:tickLblPos val="none"/>
        <c:spPr>
          <a:ln>
            <a:solidFill>
              <a:schemeClr val="tx1"/>
            </a:solidFill>
          </a:ln>
        </c:spPr>
        <c:crossAx val="285294976"/>
        <c:crosses val="autoZero"/>
        <c:auto val="1"/>
        <c:lblAlgn val="ctr"/>
        <c:lblOffset val="100"/>
        <c:noMultiLvlLbl val="0"/>
      </c:catAx>
      <c:valAx>
        <c:axId val="285294976"/>
        <c:scaling>
          <c:orientation val="minMax"/>
          <c:max val="16000"/>
          <c:min val="0"/>
        </c:scaling>
        <c:delete val="1"/>
        <c:axPos val="l"/>
        <c:numFmt formatCode="General" sourceLinked="1"/>
        <c:majorTickMark val="out"/>
        <c:minorTickMark val="none"/>
        <c:tickLblPos val="none"/>
        <c:crossAx val="285284992"/>
        <c:crosses val="autoZero"/>
        <c:crossBetween val="between"/>
        <c:majorUnit val="10000"/>
      </c:valAx>
      <c:spPr>
        <a:noFill/>
        <a:ln>
          <a:noFill/>
        </a:ln>
      </c:spPr>
    </c:plotArea>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90099973458372"/>
          <c:y val="5.2948255114320095E-2"/>
          <c:w val="0.82282709265658505"/>
          <c:h val="0.83538739967973319"/>
        </c:manualLayout>
      </c:layout>
      <c:barChart>
        <c:barDir val="bar"/>
        <c:grouping val="stacked"/>
        <c:varyColors val="0"/>
        <c:ser>
          <c:idx val="0"/>
          <c:order val="0"/>
          <c:spPr>
            <a:solidFill>
              <a:schemeClr val="accent5">
                <a:lumMod val="40000"/>
                <a:lumOff val="60000"/>
              </a:schemeClr>
            </a:solidFill>
            <a:ln>
              <a:solidFill>
                <a:schemeClr val="accent5">
                  <a:lumMod val="75000"/>
                </a:schemeClr>
              </a:solidFill>
            </a:ln>
          </c:spPr>
          <c:invertIfNegative val="0"/>
          <c:cat>
            <c:strRef>
              <c:f>Inmigrantes_Guayaquil!$G$63:$G$84</c:f>
              <c:strCache>
                <c:ptCount val="22"/>
                <c:pt idx="0">
                  <c:v>Menores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Más de 100</c:v>
                </c:pt>
              </c:strCache>
            </c:strRef>
          </c:cat>
          <c:val>
            <c:numRef>
              <c:f>Inmigrantes_Guayaquil!$H$63:$H$84</c:f>
              <c:numCache>
                <c:formatCode>0,000%</c:formatCode>
                <c:ptCount val="22"/>
                <c:pt idx="0">
                  <c:v>-1.1240211806739465E-2</c:v>
                </c:pt>
                <c:pt idx="1">
                  <c:v>-5.1229370845390976E-2</c:v>
                </c:pt>
                <c:pt idx="2">
                  <c:v>-6.0969916332257977E-2</c:v>
                </c:pt>
                <c:pt idx="3">
                  <c:v>-6.2303471147597503E-2</c:v>
                </c:pt>
                <c:pt idx="4">
                  <c:v>-5.3681992638637537E-2</c:v>
                </c:pt>
                <c:pt idx="5">
                  <c:v>-4.8314551076373412E-2</c:v>
                </c:pt>
                <c:pt idx="6">
                  <c:v>-4.3043279332523172E-2</c:v>
                </c:pt>
                <c:pt idx="7">
                  <c:v>-3.7569176698927308E-2</c:v>
                </c:pt>
                <c:pt idx="8">
                  <c:v>-2.868133693533019E-2</c:v>
                </c:pt>
                <c:pt idx="9">
                  <c:v>-2.427501070982075E-2</c:v>
                </c:pt>
                <c:pt idx="10">
                  <c:v>-2.1604986842220328E-2</c:v>
                </c:pt>
                <c:pt idx="11">
                  <c:v>-1.7118810525058065E-2</c:v>
                </c:pt>
                <c:pt idx="12">
                  <c:v>-1.322364145560306E-2</c:v>
                </c:pt>
                <c:pt idx="13">
                  <c:v>-8.8820112897538481E-3</c:v>
                </c:pt>
                <c:pt idx="14">
                  <c:v>-6.2417126387541173E-3</c:v>
                </c:pt>
                <c:pt idx="15">
                  <c:v>-4.2577001425061906E-3</c:v>
                </c:pt>
                <c:pt idx="16">
                  <c:v>-3.0232293825023454E-3</c:v>
                </c:pt>
                <c:pt idx="17">
                  <c:v>-2.0393829977589542E-3</c:v>
                </c:pt>
                <c:pt idx="18">
                  <c:v>-1.0077431275007801E-3</c:v>
                </c:pt>
                <c:pt idx="19">
                  <c:v>-3.7477086812203733E-4</c:v>
                </c:pt>
                <c:pt idx="20">
                  <c:v>-1.1015815563773703E-4</c:v>
                </c:pt>
                <c:pt idx="21">
                  <c:v>-2.6810979679026026E-5</c:v>
                </c:pt>
              </c:numCache>
            </c:numRef>
          </c:val>
        </c:ser>
        <c:ser>
          <c:idx val="1"/>
          <c:order val="1"/>
          <c:spPr>
            <a:solidFill>
              <a:schemeClr val="accent6">
                <a:lumMod val="60000"/>
                <a:lumOff val="40000"/>
              </a:schemeClr>
            </a:solidFill>
            <a:ln>
              <a:solidFill>
                <a:schemeClr val="accent6">
                  <a:lumMod val="75000"/>
                </a:schemeClr>
              </a:solidFill>
            </a:ln>
          </c:spPr>
          <c:invertIfNegative val="0"/>
          <c:cat>
            <c:strRef>
              <c:f>Inmigrantes_Guayaquil!$G$63:$G$84</c:f>
              <c:strCache>
                <c:ptCount val="22"/>
                <c:pt idx="0">
                  <c:v>Menores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Más de 100</c:v>
                </c:pt>
              </c:strCache>
            </c:strRef>
          </c:cat>
          <c:val>
            <c:numRef>
              <c:f>Inmigrantes_Guayaquil!$I$63:$I$84</c:f>
              <c:numCache>
                <c:formatCode>0,000%</c:formatCode>
                <c:ptCount val="22"/>
                <c:pt idx="0">
                  <c:v>1.0769853967587872E-2</c:v>
                </c:pt>
                <c:pt idx="1">
                  <c:v>4.9531536414847518E-2</c:v>
                </c:pt>
                <c:pt idx="2">
                  <c:v>5.9376411583509002E-2</c:v>
                </c:pt>
                <c:pt idx="3">
                  <c:v>6.0126536167137333E-2</c:v>
                </c:pt>
                <c:pt idx="4">
                  <c:v>5.3480327443660512E-2</c:v>
                </c:pt>
                <c:pt idx="5">
                  <c:v>4.8207307157657302E-2</c:v>
                </c:pt>
                <c:pt idx="6">
                  <c:v>4.3052604890672475E-2</c:v>
                </c:pt>
                <c:pt idx="7">
                  <c:v>3.7369842893487555E-2</c:v>
                </c:pt>
                <c:pt idx="8">
                  <c:v>2.9163351722168312E-2</c:v>
                </c:pt>
                <c:pt idx="9">
                  <c:v>2.4739540075129077E-2</c:v>
                </c:pt>
                <c:pt idx="10">
                  <c:v>2.26558606761613E-2</c:v>
                </c:pt>
                <c:pt idx="11">
                  <c:v>1.7883506293294642E-2</c:v>
                </c:pt>
                <c:pt idx="12">
                  <c:v>1.3918978385104757E-2</c:v>
                </c:pt>
                <c:pt idx="13">
                  <c:v>9.6985804751954733E-3</c:v>
                </c:pt>
                <c:pt idx="14">
                  <c:v>7.0034941700690446E-3</c:v>
                </c:pt>
                <c:pt idx="15">
                  <c:v>5.0002477101383476E-3</c:v>
                </c:pt>
                <c:pt idx="16">
                  <c:v>3.6946695692466436E-3</c:v>
                </c:pt>
                <c:pt idx="17">
                  <c:v>2.7492911118688164E-3</c:v>
                </c:pt>
                <c:pt idx="18">
                  <c:v>1.4827637457269999E-3</c:v>
                </c:pt>
                <c:pt idx="19">
                  <c:v>6.3763503845335812E-4</c:v>
                </c:pt>
                <c:pt idx="20">
                  <c:v>1.9350533159644828E-4</c:v>
                </c:pt>
                <c:pt idx="21">
                  <c:v>4.4879248593152074E-5</c:v>
                </c:pt>
              </c:numCache>
            </c:numRef>
          </c:val>
        </c:ser>
        <c:dLbls>
          <c:showLegendKey val="0"/>
          <c:showVal val="0"/>
          <c:showCatName val="0"/>
          <c:showSerName val="0"/>
          <c:showPercent val="0"/>
          <c:showBubbleSize val="0"/>
        </c:dLbls>
        <c:gapWidth val="0"/>
        <c:overlap val="100"/>
        <c:axId val="233545728"/>
        <c:axId val="233547648"/>
      </c:barChart>
      <c:catAx>
        <c:axId val="233545728"/>
        <c:scaling>
          <c:orientation val="minMax"/>
        </c:scaling>
        <c:delete val="0"/>
        <c:axPos val="l"/>
        <c:title>
          <c:tx>
            <c:rich>
              <a:bodyPr rot="-5400000" vert="horz"/>
              <a:lstStyle/>
              <a:p>
                <a:pPr>
                  <a:defRPr sz="800">
                    <a:latin typeface="Arial" pitchFamily="34" charset="0"/>
                    <a:cs typeface="Arial" pitchFamily="34" charset="0"/>
                  </a:defRPr>
                </a:pPr>
                <a:r>
                  <a:rPr lang="es-EC" sz="800">
                    <a:latin typeface="Arial" pitchFamily="34" charset="0"/>
                    <a:cs typeface="Arial" pitchFamily="34" charset="0"/>
                  </a:rPr>
                  <a:t>Grupos</a:t>
                </a:r>
                <a:r>
                  <a:rPr lang="es-EC" sz="800" baseline="0">
                    <a:latin typeface="Arial" pitchFamily="34" charset="0"/>
                    <a:cs typeface="Arial" pitchFamily="34" charset="0"/>
                  </a:rPr>
                  <a:t> Etarios</a:t>
                </a:r>
                <a:endParaRPr lang="es-EC" sz="800">
                  <a:latin typeface="Arial" pitchFamily="34" charset="0"/>
                  <a:cs typeface="Arial" pitchFamily="34" charset="0"/>
                </a:endParaRPr>
              </a:p>
            </c:rich>
          </c:tx>
          <c:overlay val="0"/>
        </c:title>
        <c:majorTickMark val="out"/>
        <c:minorTickMark val="none"/>
        <c:tickLblPos val="nextTo"/>
        <c:spPr>
          <a:ln>
            <a:solidFill>
              <a:sysClr val="windowText" lastClr="000000"/>
            </a:solidFill>
          </a:ln>
        </c:spPr>
        <c:txPr>
          <a:bodyPr/>
          <a:lstStyle/>
          <a:p>
            <a:pPr>
              <a:defRPr lang="es-EC" sz="600"/>
            </a:pPr>
            <a:endParaRPr lang="es-EC"/>
          </a:p>
        </c:txPr>
        <c:crossAx val="233547648"/>
        <c:crossesAt val="-15"/>
        <c:auto val="1"/>
        <c:lblAlgn val="ctr"/>
        <c:lblOffset val="100"/>
        <c:noMultiLvlLbl val="0"/>
      </c:catAx>
      <c:valAx>
        <c:axId val="233547648"/>
        <c:scaling>
          <c:orientation val="minMax"/>
          <c:max val="7.0000000000000021E-2"/>
          <c:min val="-7.0000000000000021E-2"/>
        </c:scaling>
        <c:delete val="0"/>
        <c:axPos val="b"/>
        <c:majorGridlines>
          <c:spPr>
            <a:ln>
              <a:prstDash val="dash"/>
            </a:ln>
          </c:spPr>
        </c:majorGridlines>
        <c:numFmt formatCode="0%;0%" sourceLinked="0"/>
        <c:majorTickMark val="out"/>
        <c:minorTickMark val="none"/>
        <c:tickLblPos val="nextTo"/>
        <c:spPr>
          <a:ln>
            <a:solidFill>
              <a:schemeClr val="tx1"/>
            </a:solidFill>
          </a:ln>
        </c:spPr>
        <c:txPr>
          <a:bodyPr/>
          <a:lstStyle/>
          <a:p>
            <a:pPr>
              <a:defRPr lang="es-EC" sz="900"/>
            </a:pPr>
            <a:endParaRPr lang="es-EC"/>
          </a:p>
        </c:txPr>
        <c:crossAx val="233545728"/>
        <c:crosses val="autoZero"/>
        <c:crossBetween val="between"/>
        <c:majorUnit val="2.0000000000000011E-2"/>
      </c:valAx>
      <c:spPr>
        <a:noFill/>
        <a:ln>
          <a:solidFill>
            <a:sysClr val="windowText" lastClr="000000"/>
          </a:solidFill>
        </a:ln>
      </c:spPr>
    </c:plotArea>
    <c:plotVisOnly val="1"/>
    <c:dispBlanksAs val="gap"/>
    <c:showDLblsOverMax val="0"/>
  </c:chart>
  <c:spPr>
    <a:noFill/>
    <a:ln>
      <a:noFill/>
    </a:ln>
  </c:sp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Economía!$N$58:$N$60</c:f>
              <c:numCache>
                <c:formatCode>###0</c:formatCode>
                <c:ptCount val="3"/>
                <c:pt idx="0">
                  <c:v>7677</c:v>
                </c:pt>
                <c:pt idx="1">
                  <c:v>4487</c:v>
                </c:pt>
                <c:pt idx="2">
                  <c:v>1867</c:v>
                </c:pt>
              </c:numCache>
            </c:numRef>
          </c:val>
        </c:ser>
        <c:ser>
          <c:idx val="1"/>
          <c:order val="1"/>
          <c:spPr>
            <a:solidFill>
              <a:srgbClr val="00B0F0"/>
            </a:solidFill>
          </c:spPr>
          <c:invertIfNegative val="0"/>
          <c:val>
            <c:numRef>
              <c:f>Economía!$P$58:$P$60</c:f>
              <c:numCache>
                <c:formatCode>General</c:formatCode>
                <c:ptCount val="3"/>
                <c:pt idx="2" formatCode="###0">
                  <c:v>2620</c:v>
                </c:pt>
              </c:numCache>
            </c:numRef>
          </c:val>
        </c:ser>
        <c:dLbls>
          <c:showLegendKey val="0"/>
          <c:showVal val="1"/>
          <c:showCatName val="0"/>
          <c:showSerName val="0"/>
          <c:showPercent val="0"/>
          <c:showBubbleSize val="0"/>
        </c:dLbls>
        <c:gapWidth val="30"/>
        <c:overlap val="100"/>
        <c:axId val="285334144"/>
        <c:axId val="285335936"/>
      </c:barChart>
      <c:catAx>
        <c:axId val="285334144"/>
        <c:scaling>
          <c:orientation val="minMax"/>
        </c:scaling>
        <c:delete val="0"/>
        <c:axPos val="b"/>
        <c:majorTickMark val="none"/>
        <c:minorTickMark val="none"/>
        <c:tickLblPos val="none"/>
        <c:spPr>
          <a:ln>
            <a:solidFill>
              <a:schemeClr val="tx1"/>
            </a:solidFill>
          </a:ln>
        </c:spPr>
        <c:crossAx val="285335936"/>
        <c:crosses val="autoZero"/>
        <c:auto val="1"/>
        <c:lblAlgn val="ctr"/>
        <c:lblOffset val="100"/>
        <c:noMultiLvlLbl val="0"/>
      </c:catAx>
      <c:valAx>
        <c:axId val="285335936"/>
        <c:scaling>
          <c:orientation val="minMax"/>
          <c:max val="8000"/>
          <c:min val="0"/>
        </c:scaling>
        <c:delete val="1"/>
        <c:axPos val="l"/>
        <c:numFmt formatCode="###0" sourceLinked="1"/>
        <c:majorTickMark val="out"/>
        <c:minorTickMark val="none"/>
        <c:tickLblPos val="none"/>
        <c:crossAx val="285334144"/>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Economía!$S$58:$S$60</c:f>
              <c:numCache>
                <c:formatCode>###0</c:formatCode>
                <c:ptCount val="3"/>
                <c:pt idx="0" formatCode="General">
                  <c:v>7340</c:v>
                </c:pt>
                <c:pt idx="1">
                  <c:v>4257</c:v>
                </c:pt>
                <c:pt idx="2">
                  <c:v>1555</c:v>
                </c:pt>
              </c:numCache>
            </c:numRef>
          </c:val>
        </c:ser>
        <c:ser>
          <c:idx val="1"/>
          <c:order val="1"/>
          <c:spPr>
            <a:solidFill>
              <a:srgbClr val="00B0F0"/>
            </a:solidFill>
          </c:spPr>
          <c:invertIfNegative val="0"/>
          <c:val>
            <c:numRef>
              <c:f>Economía!$U$58:$U$60</c:f>
              <c:numCache>
                <c:formatCode>General</c:formatCode>
                <c:ptCount val="3"/>
                <c:pt idx="2" formatCode="###0">
                  <c:v>2702</c:v>
                </c:pt>
              </c:numCache>
            </c:numRef>
          </c:val>
        </c:ser>
        <c:dLbls>
          <c:showLegendKey val="0"/>
          <c:showVal val="1"/>
          <c:showCatName val="0"/>
          <c:showSerName val="0"/>
          <c:showPercent val="0"/>
          <c:showBubbleSize val="0"/>
        </c:dLbls>
        <c:gapWidth val="30"/>
        <c:overlap val="100"/>
        <c:axId val="285424256"/>
        <c:axId val="285446528"/>
      </c:barChart>
      <c:catAx>
        <c:axId val="285424256"/>
        <c:scaling>
          <c:orientation val="minMax"/>
        </c:scaling>
        <c:delete val="0"/>
        <c:axPos val="b"/>
        <c:majorTickMark val="none"/>
        <c:minorTickMark val="none"/>
        <c:tickLblPos val="none"/>
        <c:spPr>
          <a:ln>
            <a:solidFill>
              <a:schemeClr val="tx1"/>
            </a:solidFill>
          </a:ln>
        </c:spPr>
        <c:crossAx val="285446528"/>
        <c:crosses val="autoZero"/>
        <c:auto val="1"/>
        <c:lblAlgn val="ctr"/>
        <c:lblOffset val="100"/>
        <c:noMultiLvlLbl val="0"/>
      </c:catAx>
      <c:valAx>
        <c:axId val="285446528"/>
        <c:scaling>
          <c:orientation val="minMax"/>
        </c:scaling>
        <c:delete val="1"/>
        <c:axPos val="l"/>
        <c:numFmt formatCode="General" sourceLinked="1"/>
        <c:majorTickMark val="out"/>
        <c:minorTickMark val="none"/>
        <c:tickLblPos val="none"/>
        <c:crossAx val="285424256"/>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784017563842322"/>
          <c:y val="3.8244236399205218E-2"/>
          <c:w val="0.43190280460225555"/>
          <c:h val="0.85889043281354593"/>
        </c:manualLayout>
      </c:layout>
      <c:barChart>
        <c:barDir val="bar"/>
        <c:grouping val="clustered"/>
        <c:varyColors val="0"/>
        <c:ser>
          <c:idx val="0"/>
          <c:order val="0"/>
          <c:spPr>
            <a:gradFill>
              <a:gsLst>
                <a:gs pos="0">
                  <a:schemeClr val="bg1">
                    <a:lumMod val="65000"/>
                  </a:schemeClr>
                </a:gs>
                <a:gs pos="50000">
                  <a:schemeClr val="bg1">
                    <a:lumMod val="95000"/>
                  </a:schemeClr>
                </a:gs>
                <a:gs pos="100000">
                  <a:schemeClr val="bg1">
                    <a:lumMod val="65000"/>
                  </a:schemeClr>
                </a:gs>
              </a:gsLst>
              <a:lin ang="13200000" scaled="0"/>
            </a:gradFill>
            <a:ln>
              <a:solidFill>
                <a:schemeClr val="bg1">
                  <a:lumMod val="50000"/>
                </a:schemeClr>
              </a:solidFill>
            </a:ln>
          </c:spPr>
          <c:invertIfNegative val="0"/>
          <c:dLbls>
            <c:numFmt formatCode="#,##0.000" sourceLinked="0"/>
            <c:dLblPos val="outEnd"/>
            <c:showLegendKey val="0"/>
            <c:showVal val="1"/>
            <c:showCatName val="0"/>
            <c:showSerName val="0"/>
            <c:showPercent val="0"/>
            <c:showBubbleSize val="0"/>
            <c:showLeaderLines val="0"/>
          </c:dLbls>
          <c:cat>
            <c:strRef>
              <c:f>Economía!$H$145:$H$153</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Trabajador no remunerado</c:v>
                </c:pt>
                <c:pt idx="7">
                  <c:v>Empleado doméstico</c:v>
                </c:pt>
                <c:pt idx="8">
                  <c:v>Se ignora</c:v>
                </c:pt>
              </c:strCache>
            </c:strRef>
          </c:cat>
          <c:val>
            <c:numRef>
              <c:f>Economía!$I$145:$I$153</c:f>
              <c:numCache>
                <c:formatCode>#.##0000_);\(#.##0000\)</c:formatCode>
                <c:ptCount val="9"/>
                <c:pt idx="0">
                  <c:v>7.2612232600180834E-2</c:v>
                </c:pt>
                <c:pt idx="1">
                  <c:v>0.5369087074420007</c:v>
                </c:pt>
                <c:pt idx="2">
                  <c:v>3.0129557095510697E-3</c:v>
                </c:pt>
                <c:pt idx="3">
                  <c:v>8.1048508586923793E-2</c:v>
                </c:pt>
                <c:pt idx="4">
                  <c:v>4.0373606507984362E-2</c:v>
                </c:pt>
                <c:pt idx="5">
                  <c:v>0.17203977101536624</c:v>
                </c:pt>
                <c:pt idx="6">
                  <c:v>4.8508586923772232E-2</c:v>
                </c:pt>
                <c:pt idx="7">
                  <c:v>3.6155468514612872E-3</c:v>
                </c:pt>
                <c:pt idx="8">
                  <c:v>4.1880084362759855E-2</c:v>
                </c:pt>
              </c:numCache>
            </c:numRef>
          </c:val>
        </c:ser>
        <c:dLbls>
          <c:showLegendKey val="0"/>
          <c:showVal val="1"/>
          <c:showCatName val="0"/>
          <c:showSerName val="0"/>
          <c:showPercent val="0"/>
          <c:showBubbleSize val="0"/>
        </c:dLbls>
        <c:gapWidth val="40"/>
        <c:axId val="285452928"/>
        <c:axId val="285468544"/>
      </c:barChart>
      <c:catAx>
        <c:axId val="285452928"/>
        <c:scaling>
          <c:orientation val="maxMin"/>
        </c:scaling>
        <c:delete val="0"/>
        <c:axPos val="l"/>
        <c:title>
          <c:tx>
            <c:rich>
              <a:bodyPr rot="-5400000" vert="horz"/>
              <a:lstStyle/>
              <a:p>
                <a:pPr>
                  <a:defRPr/>
                </a:pPr>
                <a:r>
                  <a:rPr lang="es-EC"/>
                  <a:t>En el lugar</a:t>
                </a:r>
                <a:r>
                  <a:rPr lang="es-EC" baseline="0"/>
                  <a:t> indicado trabaja como</a:t>
                </a:r>
                <a:endParaRPr lang="es-EC"/>
              </a:p>
            </c:rich>
          </c:tx>
          <c:overlay val="0"/>
        </c:title>
        <c:majorTickMark val="out"/>
        <c:minorTickMark val="none"/>
        <c:tickLblPos val="nextTo"/>
        <c:spPr>
          <a:ln>
            <a:solidFill>
              <a:schemeClr val="tx1"/>
            </a:solidFill>
          </a:ln>
        </c:spPr>
        <c:txPr>
          <a:bodyPr/>
          <a:lstStyle/>
          <a:p>
            <a:pPr>
              <a:defRPr sz="800"/>
            </a:pPr>
            <a:endParaRPr lang="es-EC"/>
          </a:p>
        </c:txPr>
        <c:crossAx val="285468544"/>
        <c:crosses val="autoZero"/>
        <c:auto val="1"/>
        <c:lblAlgn val="ctr"/>
        <c:lblOffset val="100"/>
        <c:noMultiLvlLbl val="0"/>
      </c:catAx>
      <c:valAx>
        <c:axId val="285468544"/>
        <c:scaling>
          <c:orientation val="minMax"/>
          <c:max val="1"/>
          <c:min val="0"/>
        </c:scaling>
        <c:delete val="0"/>
        <c:axPos val="t"/>
        <c:title>
          <c:tx>
            <c:rich>
              <a:bodyPr/>
              <a:lstStyle/>
              <a:p>
                <a:pPr>
                  <a:defRPr/>
                </a:pPr>
                <a:r>
                  <a:rPr lang="es-EC"/>
                  <a:t>Frecuencia</a:t>
                </a:r>
                <a:r>
                  <a:rPr lang="es-EC" baseline="0"/>
                  <a:t> Relativa</a:t>
                </a:r>
                <a:endParaRPr lang="es-EC"/>
              </a:p>
            </c:rich>
          </c:tx>
          <c:layout>
            <c:manualLayout>
              <c:xMode val="edge"/>
              <c:yMode val="edge"/>
              <c:x val="0.64144868683867451"/>
              <c:y val="0.94579601116739453"/>
            </c:manualLayout>
          </c:layout>
          <c:overlay val="0"/>
        </c:title>
        <c:numFmt formatCode="#,##0.00" sourceLinked="0"/>
        <c:majorTickMark val="in"/>
        <c:minorTickMark val="none"/>
        <c:tickLblPos val="high"/>
        <c:spPr>
          <a:ln>
            <a:solidFill>
              <a:schemeClr val="tx1"/>
            </a:solidFill>
          </a:ln>
        </c:spPr>
        <c:crossAx val="285452928"/>
        <c:crossesAt val="10"/>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78530067333567"/>
          <c:y val="0"/>
          <c:w val="0.51294869959436884"/>
          <c:h val="0.86201634229683555"/>
        </c:manualLayout>
      </c:layout>
      <c:barChart>
        <c:barDir val="bar"/>
        <c:grouping val="stacked"/>
        <c:varyColors val="0"/>
        <c:ser>
          <c:idx val="0"/>
          <c:order val="0"/>
          <c:tx>
            <c:strRef>
              <c:f>Economía!$F$163</c:f>
              <c:strCache>
                <c:ptCount val="1"/>
                <c:pt idx="0">
                  <c:v>Hombre</c:v>
                </c:pt>
              </c:strCache>
            </c:strRef>
          </c:tx>
          <c:spPr>
            <a:solidFill>
              <a:srgbClr val="00B0F0"/>
            </a:solidFill>
          </c:spPr>
          <c:invertIfNegative val="0"/>
          <c:dLbls>
            <c:dLbl>
              <c:idx val="0"/>
              <c:layout>
                <c:manualLayout>
                  <c:x val="-4.1048937618939525E-2"/>
                  <c:y val="0"/>
                </c:manualLayout>
              </c:layout>
              <c:dLblPos val="ctr"/>
              <c:showLegendKey val="0"/>
              <c:showVal val="1"/>
              <c:showCatName val="0"/>
              <c:showSerName val="0"/>
              <c:showPercent val="0"/>
              <c:showBubbleSize val="0"/>
            </c:dLbl>
            <c:dLbl>
              <c:idx val="1"/>
              <c:layout>
                <c:manualLayout>
                  <c:x val="-9.6559717914048618E-2"/>
                  <c:y val="-4.2459501479512511E-3"/>
                </c:manualLayout>
              </c:layout>
              <c:dLblPos val="ctr"/>
              <c:showLegendKey val="0"/>
              <c:showVal val="1"/>
              <c:showCatName val="0"/>
              <c:showSerName val="0"/>
              <c:showPercent val="0"/>
              <c:showBubbleSize val="0"/>
            </c:dLbl>
            <c:dLbl>
              <c:idx val="2"/>
              <c:layout>
                <c:manualLayout>
                  <c:x val="-3.3997507887271711E-2"/>
                  <c:y val="0"/>
                </c:manualLayout>
              </c:layout>
              <c:dLblPos val="ctr"/>
              <c:showLegendKey val="0"/>
              <c:showVal val="1"/>
              <c:showCatName val="0"/>
              <c:showSerName val="0"/>
              <c:showPercent val="0"/>
              <c:showBubbleSize val="0"/>
            </c:dLbl>
            <c:dLbl>
              <c:idx val="3"/>
              <c:layout>
                <c:manualLayout>
                  <c:x val="-3.9949950823774595E-2"/>
                  <c:y val="0"/>
                </c:manualLayout>
              </c:layout>
              <c:dLblPos val="ctr"/>
              <c:showLegendKey val="0"/>
              <c:showVal val="1"/>
              <c:showCatName val="0"/>
              <c:showSerName val="0"/>
              <c:showPercent val="0"/>
              <c:showBubbleSize val="0"/>
            </c:dLbl>
            <c:dLbl>
              <c:idx val="4"/>
              <c:layout>
                <c:manualLayout>
                  <c:x val="-3.91943246562029E-2"/>
                  <c:y val="0"/>
                </c:manualLayout>
              </c:layout>
              <c:dLblPos val="ctr"/>
              <c:showLegendKey val="0"/>
              <c:showVal val="1"/>
              <c:showCatName val="0"/>
              <c:showSerName val="0"/>
              <c:showPercent val="0"/>
              <c:showBubbleSize val="0"/>
            </c:dLbl>
            <c:dLbl>
              <c:idx val="5"/>
              <c:layout>
                <c:manualLayout>
                  <c:x val="-6.3942129185071375E-2"/>
                  <c:y val="0"/>
                </c:manualLayout>
              </c:layout>
              <c:dLblPos val="ctr"/>
              <c:showLegendKey val="0"/>
              <c:showVal val="1"/>
              <c:showCatName val="0"/>
              <c:showSerName val="0"/>
              <c:showPercent val="0"/>
              <c:showBubbleSize val="0"/>
            </c:dLbl>
            <c:dLbl>
              <c:idx val="6"/>
              <c:layout>
                <c:manualLayout>
                  <c:x val="-3.6704901909434276E-2"/>
                  <c:y val="0"/>
                </c:manualLayout>
              </c:layout>
              <c:dLblPos val="ctr"/>
              <c:showLegendKey val="0"/>
              <c:showVal val="1"/>
              <c:showCatName val="0"/>
              <c:showSerName val="0"/>
              <c:showPercent val="0"/>
              <c:showBubbleSize val="0"/>
            </c:dLbl>
            <c:dLbl>
              <c:idx val="8"/>
              <c:layout>
                <c:manualLayout>
                  <c:x val="-3.8389580459870454E-2"/>
                  <c:y val="0"/>
                </c:manualLayout>
              </c:layout>
              <c:dLblPos val="ctr"/>
              <c:showLegendKey val="0"/>
              <c:showVal val="1"/>
              <c:showCatName val="0"/>
              <c:showSerName val="0"/>
              <c:showPercent val="0"/>
              <c:showBubbleSize val="0"/>
            </c:dLbl>
            <c:numFmt formatCode="0.000;0.000" sourceLinked="0"/>
            <c:txPr>
              <a:bodyPr/>
              <a:lstStyle/>
              <a:p>
                <a:pPr>
                  <a:defRPr sz="700"/>
                </a:pPr>
                <a:endParaRPr lang="es-EC"/>
              </a:p>
            </c:txPr>
            <c:dLblPos val="inEnd"/>
            <c:showLegendKey val="0"/>
            <c:showVal val="1"/>
            <c:showCatName val="0"/>
            <c:showSerName val="0"/>
            <c:showPercent val="0"/>
            <c:showBubbleSize val="0"/>
            <c:showLeaderLines val="0"/>
          </c:dLbls>
          <c:cat>
            <c:strRef>
              <c:f>Economía!$H$145:$H$153</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Trabajador no remunerado</c:v>
                </c:pt>
                <c:pt idx="7">
                  <c:v>Empleado doméstico</c:v>
                </c:pt>
                <c:pt idx="8">
                  <c:v>Se ignora</c:v>
                </c:pt>
              </c:strCache>
            </c:strRef>
          </c:cat>
          <c:val>
            <c:numRef>
              <c:f>Economía!$F$164:$F$172</c:f>
              <c:numCache>
                <c:formatCode>0,000</c:formatCode>
                <c:ptCount val="9"/>
                <c:pt idx="0">
                  <c:v>-7.0204532891100083E-2</c:v>
                </c:pt>
                <c:pt idx="1">
                  <c:v>-0.50193477059148761</c:v>
                </c:pt>
                <c:pt idx="2">
                  <c:v>-4.9751243781094526E-3</c:v>
                </c:pt>
                <c:pt idx="3">
                  <c:v>-0.10171365395246006</c:v>
                </c:pt>
                <c:pt idx="4">
                  <c:v>-4.9198452183526871E-2</c:v>
                </c:pt>
                <c:pt idx="5">
                  <c:v>-0.18850193477059177</c:v>
                </c:pt>
                <c:pt idx="6">
                  <c:v>-4.4776119402985093E-2</c:v>
                </c:pt>
                <c:pt idx="7">
                  <c:v>-1.1055831951354339E-3</c:v>
                </c:pt>
                <c:pt idx="8">
                  <c:v>-3.7589828634604798E-2</c:v>
                </c:pt>
              </c:numCache>
            </c:numRef>
          </c:val>
        </c:ser>
        <c:ser>
          <c:idx val="1"/>
          <c:order val="1"/>
          <c:tx>
            <c:strRef>
              <c:f>Economía!$G$163</c:f>
              <c:strCache>
                <c:ptCount val="1"/>
                <c:pt idx="0">
                  <c:v>Mujer</c:v>
                </c:pt>
              </c:strCache>
            </c:strRef>
          </c:tx>
          <c:spPr>
            <a:solidFill>
              <a:srgbClr val="D735B4"/>
            </a:solidFill>
          </c:spPr>
          <c:invertIfNegative val="0"/>
          <c:dLbls>
            <c:dLbl>
              <c:idx val="0"/>
              <c:layout>
                <c:manualLayout>
                  <c:x val="3.7239613341015353E-2"/>
                  <c:y val="0"/>
                </c:manualLayout>
              </c:layout>
              <c:dLblPos val="ctr"/>
              <c:showLegendKey val="0"/>
              <c:showVal val="1"/>
              <c:showCatName val="0"/>
              <c:showSerName val="0"/>
              <c:showPercent val="0"/>
              <c:showBubbleSize val="0"/>
            </c:dLbl>
            <c:dLbl>
              <c:idx val="1"/>
              <c:layout>
                <c:manualLayout>
                  <c:x val="0.10369670457859455"/>
                  <c:y val="4.2479562666131706E-3"/>
                </c:manualLayout>
              </c:layout>
              <c:dLblPos val="ctr"/>
              <c:showLegendKey val="0"/>
              <c:showVal val="1"/>
              <c:showCatName val="0"/>
              <c:showSerName val="0"/>
              <c:showPercent val="0"/>
              <c:showBubbleSize val="0"/>
            </c:dLbl>
            <c:dLbl>
              <c:idx val="3"/>
              <c:layout>
                <c:manualLayout>
                  <c:x val="3.8627255850224952E-2"/>
                  <c:y val="0"/>
                </c:manualLayout>
              </c:layout>
              <c:dLblPos val="ctr"/>
              <c:showLegendKey val="0"/>
              <c:showVal val="1"/>
              <c:showCatName val="0"/>
              <c:showSerName val="0"/>
              <c:showPercent val="0"/>
              <c:showBubbleSize val="0"/>
            </c:dLbl>
            <c:dLbl>
              <c:idx val="4"/>
              <c:layout>
                <c:manualLayout>
                  <c:x val="3.4724118465236195E-2"/>
                  <c:y val="-3.0755437748499893E-3"/>
                </c:manualLayout>
              </c:layout>
              <c:dLblPos val="ctr"/>
              <c:showLegendKey val="0"/>
              <c:showVal val="1"/>
              <c:showCatName val="0"/>
              <c:showSerName val="0"/>
              <c:showPercent val="0"/>
              <c:showBubbleSize val="0"/>
            </c:dLbl>
            <c:dLbl>
              <c:idx val="5"/>
              <c:layout>
                <c:manualLayout>
                  <c:x val="6.3422041941727084E-2"/>
                  <c:y val="2.8298349492176839E-7"/>
                </c:manualLayout>
              </c:layout>
              <c:dLblPos val="ctr"/>
              <c:showLegendKey val="0"/>
              <c:showVal val="1"/>
              <c:showCatName val="0"/>
              <c:showSerName val="0"/>
              <c:showPercent val="0"/>
              <c:showBubbleSize val="0"/>
            </c:dLbl>
            <c:dLbl>
              <c:idx val="6"/>
              <c:layout>
                <c:manualLayout>
                  <c:x val="3.8950343328296083E-2"/>
                  <c:y val="0"/>
                </c:manualLayout>
              </c:layout>
              <c:dLblPos val="ctr"/>
              <c:showLegendKey val="0"/>
              <c:showVal val="1"/>
              <c:showCatName val="0"/>
              <c:showSerName val="0"/>
              <c:showPercent val="0"/>
              <c:showBubbleSize val="0"/>
            </c:dLbl>
            <c:dLbl>
              <c:idx val="7"/>
              <c:layout>
                <c:manualLayout>
                  <c:x val="4.2769465346765137E-2"/>
                  <c:y val="0"/>
                </c:manualLayout>
              </c:layout>
              <c:dLblPos val="ctr"/>
              <c:showLegendKey val="0"/>
              <c:showVal val="1"/>
              <c:showCatName val="0"/>
              <c:showSerName val="0"/>
              <c:showPercent val="0"/>
              <c:showBubbleSize val="0"/>
            </c:dLbl>
            <c:dLbl>
              <c:idx val="8"/>
              <c:layout>
                <c:manualLayout>
                  <c:x val="3.4269252928749792E-2"/>
                  <c:y val="5.1973701307138739E-7"/>
                </c:manualLayout>
              </c:layout>
              <c:dLblPos val="ctr"/>
              <c:showLegendKey val="0"/>
              <c:showVal val="1"/>
              <c:showCatName val="0"/>
              <c:showSerName val="0"/>
              <c:showPercent val="0"/>
              <c:showBubbleSize val="0"/>
            </c:dLbl>
            <c:dLbl>
              <c:idx val="10"/>
              <c:layout>
                <c:manualLayout>
                  <c:x val="3.6013292130058022E-2"/>
                  <c:y val="0"/>
                </c:manualLayout>
              </c:layout>
              <c:dLblPos val="ctr"/>
              <c:showLegendKey val="0"/>
              <c:showVal val="1"/>
              <c:showCatName val="0"/>
              <c:showSerName val="0"/>
              <c:showPercent val="0"/>
              <c:showBubbleSize val="0"/>
            </c:dLbl>
            <c:numFmt formatCode="#,##0.000" sourceLinked="0"/>
            <c:txPr>
              <a:bodyPr/>
              <a:lstStyle/>
              <a:p>
                <a:pPr>
                  <a:defRPr sz="700"/>
                </a:pPr>
                <a:endParaRPr lang="es-EC"/>
              </a:p>
            </c:txPr>
            <c:dLblPos val="inBase"/>
            <c:showLegendKey val="0"/>
            <c:showVal val="1"/>
            <c:showCatName val="0"/>
            <c:showSerName val="0"/>
            <c:showPercent val="0"/>
            <c:showBubbleSize val="0"/>
            <c:showLeaderLines val="0"/>
          </c:dLbls>
          <c:cat>
            <c:strRef>
              <c:f>Economía!$H$145:$H$153</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Trabajador no remunerado</c:v>
                </c:pt>
                <c:pt idx="7">
                  <c:v>Empleado doméstico</c:v>
                </c:pt>
                <c:pt idx="8">
                  <c:v>Se ignora</c:v>
                </c:pt>
              </c:strCache>
            </c:strRef>
          </c:cat>
          <c:val>
            <c:numRef>
              <c:f>Economía!$G$164:$G$172</c:f>
              <c:numCache>
                <c:formatCode>0,000</c:formatCode>
                <c:ptCount val="9"/>
                <c:pt idx="0">
                  <c:v>7.5496688741721996E-2</c:v>
                </c:pt>
                <c:pt idx="1">
                  <c:v>0.5788079470198676</c:v>
                </c:pt>
                <c:pt idx="2">
                  <c:v>6.6225165562913875E-4</c:v>
                </c:pt>
                <c:pt idx="3">
                  <c:v>5.6291390728476817E-2</c:v>
                </c:pt>
                <c:pt idx="4">
                  <c:v>2.9801324503311289E-2</c:v>
                </c:pt>
                <c:pt idx="5">
                  <c:v>0.15231788079470227</c:v>
                </c:pt>
                <c:pt idx="6">
                  <c:v>5.2980132450331133E-2</c:v>
                </c:pt>
                <c:pt idx="7">
                  <c:v>6.622516556291382E-3</c:v>
                </c:pt>
                <c:pt idx="8">
                  <c:v>4.7019867549668873E-2</c:v>
                </c:pt>
              </c:numCache>
            </c:numRef>
          </c:val>
        </c:ser>
        <c:dLbls>
          <c:showLegendKey val="0"/>
          <c:showVal val="0"/>
          <c:showCatName val="0"/>
          <c:showSerName val="0"/>
          <c:showPercent val="0"/>
          <c:showBubbleSize val="0"/>
        </c:dLbls>
        <c:gapWidth val="40"/>
        <c:overlap val="100"/>
        <c:axId val="285379584"/>
        <c:axId val="285398144"/>
      </c:barChart>
      <c:catAx>
        <c:axId val="285379584"/>
        <c:scaling>
          <c:orientation val="maxMin"/>
        </c:scaling>
        <c:delete val="0"/>
        <c:axPos val="l"/>
        <c:title>
          <c:tx>
            <c:rich>
              <a:bodyPr rot="-5400000" vert="horz"/>
              <a:lstStyle/>
              <a:p>
                <a:pPr>
                  <a:defRPr/>
                </a:pPr>
                <a:r>
                  <a:rPr lang="es-EC"/>
                  <a:t>En el lugar indicado trabaja como</a:t>
                </a:r>
              </a:p>
            </c:rich>
          </c:tx>
          <c:overlay val="0"/>
        </c:title>
        <c:numFmt formatCode="General" sourceLinked="1"/>
        <c:majorTickMark val="out"/>
        <c:minorTickMark val="none"/>
        <c:tickLblPos val="nextTo"/>
        <c:spPr>
          <a:ln>
            <a:solidFill>
              <a:schemeClr val="tx1"/>
            </a:solidFill>
          </a:ln>
        </c:spPr>
        <c:txPr>
          <a:bodyPr/>
          <a:lstStyle/>
          <a:p>
            <a:pPr>
              <a:defRPr sz="750"/>
            </a:pPr>
            <a:endParaRPr lang="es-EC"/>
          </a:p>
        </c:txPr>
        <c:crossAx val="285398144"/>
        <c:crossesAt val="-1"/>
        <c:auto val="1"/>
        <c:lblAlgn val="ctr"/>
        <c:lblOffset val="100"/>
        <c:noMultiLvlLbl val="0"/>
      </c:catAx>
      <c:valAx>
        <c:axId val="285398144"/>
        <c:scaling>
          <c:orientation val="minMax"/>
          <c:max val="1"/>
          <c:min val="-1"/>
        </c:scaling>
        <c:delete val="0"/>
        <c:axPos val="t"/>
        <c:title>
          <c:tx>
            <c:rich>
              <a:bodyPr/>
              <a:lstStyle/>
              <a:p>
                <a:pPr>
                  <a:defRPr/>
                </a:pPr>
                <a:r>
                  <a:rPr lang="es-EC"/>
                  <a:t>Frecuencia Relativa</a:t>
                </a:r>
              </a:p>
            </c:rich>
          </c:tx>
          <c:layout>
            <c:manualLayout>
              <c:xMode val="edge"/>
              <c:yMode val="edge"/>
              <c:x val="0.61379060950714581"/>
              <c:y val="0.95709570957095713"/>
            </c:manualLayout>
          </c:layout>
          <c:overlay val="0"/>
        </c:title>
        <c:numFmt formatCode="0.00;0.00" sourceLinked="0"/>
        <c:majorTickMark val="in"/>
        <c:minorTickMark val="none"/>
        <c:tickLblPos val="high"/>
        <c:spPr>
          <a:ln>
            <a:solidFill>
              <a:schemeClr val="tx1"/>
            </a:solidFill>
          </a:ln>
        </c:spPr>
        <c:crossAx val="285379584"/>
        <c:crossesAt val="10"/>
        <c:crossBetween val="between"/>
        <c:majorUnit val="0.4"/>
      </c:valAx>
      <c:spPr>
        <a:noFill/>
        <a:ln>
          <a:solidFill>
            <a:schemeClr val="tx1"/>
          </a:solidFill>
        </a:ln>
      </c:spPr>
    </c:plotArea>
    <c:legend>
      <c:legendPos val="t"/>
      <c:layout>
        <c:manualLayout>
          <c:xMode val="edge"/>
          <c:yMode val="edge"/>
          <c:x val="0.45130738923709962"/>
          <c:y val="4.1300901743717734E-3"/>
          <c:w val="0.49547753315757975"/>
          <c:h val="4.8188607266301912E-2"/>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6951006124234"/>
          <c:y val="2.9901457894059801E-2"/>
          <c:w val="0.49485433070866192"/>
          <c:h val="0.87536468920613408"/>
        </c:manualLayout>
      </c:layout>
      <c:barChart>
        <c:barDir val="bar"/>
        <c:grouping val="stacked"/>
        <c:varyColors val="0"/>
        <c:ser>
          <c:idx val="0"/>
          <c:order val="0"/>
          <c:tx>
            <c:strRef>
              <c:f>Economía!$N$181</c:f>
              <c:strCache>
                <c:ptCount val="1"/>
                <c:pt idx="0">
                  <c:v>Empleado u obrero del Estado, Gobierno, Municipio, Consejo Provincial, Juntas Parroquiales</c:v>
                </c:pt>
              </c:strCache>
            </c:strRef>
          </c:tx>
          <c:spPr>
            <a:solidFill>
              <a:srgbClr val="0070C0"/>
            </a:solidFill>
          </c:spPr>
          <c:invertIfNegative val="0"/>
          <c:cat>
            <c:strRef>
              <c:f>Economía!$B$182:$B$198</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Economía!$N$182:$N$198</c:f>
              <c:numCache>
                <c:formatCode>0,000</c:formatCode>
                <c:ptCount val="17"/>
                <c:pt idx="0">
                  <c:v>0</c:v>
                </c:pt>
                <c:pt idx="1">
                  <c:v>0</c:v>
                </c:pt>
                <c:pt idx="2">
                  <c:v>2.4590163934426229E-2</c:v>
                </c:pt>
                <c:pt idx="3">
                  <c:v>0.11440677966101709</c:v>
                </c:pt>
                <c:pt idx="4">
                  <c:v>9.9029126213592361E-2</c:v>
                </c:pt>
                <c:pt idx="5">
                  <c:v>6.0301507537688495E-2</c:v>
                </c:pt>
                <c:pt idx="6">
                  <c:v>5.8823529411764705E-2</c:v>
                </c:pt>
                <c:pt idx="7">
                  <c:v>6.470588235294128E-2</c:v>
                </c:pt>
                <c:pt idx="8">
                  <c:v>6.2937062937062943E-2</c:v>
                </c:pt>
                <c:pt idx="9">
                  <c:v>7.37327188940093E-2</c:v>
                </c:pt>
                <c:pt idx="10">
                  <c:v>4.6874999999999986E-2</c:v>
                </c:pt>
                <c:pt idx="11">
                  <c:v>6.3829787234042562E-2</c:v>
                </c:pt>
                <c:pt idx="12">
                  <c:v>8.0808080808080843E-2</c:v>
                </c:pt>
                <c:pt idx="13">
                  <c:v>0</c:v>
                </c:pt>
                <c:pt idx="14">
                  <c:v>0.125</c:v>
                </c:pt>
                <c:pt idx="15">
                  <c:v>0</c:v>
                </c:pt>
                <c:pt idx="16">
                  <c:v>0</c:v>
                </c:pt>
              </c:numCache>
            </c:numRef>
          </c:val>
        </c:ser>
        <c:ser>
          <c:idx val="1"/>
          <c:order val="1"/>
          <c:tx>
            <c:strRef>
              <c:f>Economía!$O$181</c:f>
              <c:strCache>
                <c:ptCount val="1"/>
                <c:pt idx="0">
                  <c:v>Empleado u obrero privado</c:v>
                </c:pt>
              </c:strCache>
            </c:strRef>
          </c:tx>
          <c:spPr>
            <a:solidFill>
              <a:srgbClr val="D735B4"/>
            </a:solidFill>
          </c:spPr>
          <c:invertIfNegative val="0"/>
          <c:dLbls>
            <c:dLbl>
              <c:idx val="0"/>
              <c:delete val="1"/>
            </c:dLbl>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Economía!$B$182:$B$198</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Economía!$O$182:$O$198</c:f>
              <c:numCache>
                <c:formatCode>0,000</c:formatCode>
                <c:ptCount val="17"/>
                <c:pt idx="0">
                  <c:v>0</c:v>
                </c:pt>
                <c:pt idx="1">
                  <c:v>4.3478260869565223E-2</c:v>
                </c:pt>
                <c:pt idx="2">
                  <c:v>0.49180327868852458</c:v>
                </c:pt>
                <c:pt idx="3">
                  <c:v>0.5826271186440678</c:v>
                </c:pt>
                <c:pt idx="4">
                  <c:v>0.63495145631068117</c:v>
                </c:pt>
                <c:pt idx="5">
                  <c:v>0.59296482412060258</c:v>
                </c:pt>
                <c:pt idx="6">
                  <c:v>0.56941176470588239</c:v>
                </c:pt>
                <c:pt idx="7">
                  <c:v>0.50588235294117645</c:v>
                </c:pt>
                <c:pt idx="8">
                  <c:v>0.5174825174825175</c:v>
                </c:pt>
                <c:pt idx="9">
                  <c:v>0.49308755760368694</c:v>
                </c:pt>
                <c:pt idx="10">
                  <c:v>0.47916666666666707</c:v>
                </c:pt>
                <c:pt idx="11">
                  <c:v>0.45390070921985898</c:v>
                </c:pt>
                <c:pt idx="12">
                  <c:v>0.34343434343434348</c:v>
                </c:pt>
                <c:pt idx="13">
                  <c:v>0.35897435897435948</c:v>
                </c:pt>
                <c:pt idx="14">
                  <c:v>0.25</c:v>
                </c:pt>
                <c:pt idx="15">
                  <c:v>0.45454545454545453</c:v>
                </c:pt>
                <c:pt idx="16">
                  <c:v>0.16666666666666666</c:v>
                </c:pt>
              </c:numCache>
            </c:numRef>
          </c:val>
        </c:ser>
        <c:ser>
          <c:idx val="2"/>
          <c:order val="2"/>
          <c:tx>
            <c:strRef>
              <c:f>Economía!$P$181</c:f>
              <c:strCache>
                <c:ptCount val="1"/>
                <c:pt idx="0">
                  <c:v>Jornalero o peón</c:v>
                </c:pt>
              </c:strCache>
            </c:strRef>
          </c:tx>
          <c:spPr>
            <a:solidFill>
              <a:srgbClr val="00B0F0"/>
            </a:solidFill>
          </c:spPr>
          <c:invertIfNegative val="0"/>
          <c:cat>
            <c:strRef>
              <c:f>Economía!$B$182:$B$198</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Economía!$P$182:$P$198</c:f>
              <c:numCache>
                <c:formatCode>0,000</c:formatCode>
                <c:ptCount val="17"/>
                <c:pt idx="0">
                  <c:v>5.8823529411764705E-2</c:v>
                </c:pt>
                <c:pt idx="1">
                  <c:v>0</c:v>
                </c:pt>
                <c:pt idx="2">
                  <c:v>8.1967213114754103E-3</c:v>
                </c:pt>
                <c:pt idx="3">
                  <c:v>2.1186440677966132E-3</c:v>
                </c:pt>
                <c:pt idx="4">
                  <c:v>0</c:v>
                </c:pt>
                <c:pt idx="5">
                  <c:v>7.5376884422110636E-3</c:v>
                </c:pt>
                <c:pt idx="6">
                  <c:v>2.352941176470588E-3</c:v>
                </c:pt>
                <c:pt idx="7">
                  <c:v>0</c:v>
                </c:pt>
                <c:pt idx="8">
                  <c:v>0</c:v>
                </c:pt>
                <c:pt idx="9">
                  <c:v>4.608294930875576E-3</c:v>
                </c:pt>
                <c:pt idx="10">
                  <c:v>5.2083333333333443E-3</c:v>
                </c:pt>
                <c:pt idx="11">
                  <c:v>0</c:v>
                </c:pt>
                <c:pt idx="12">
                  <c:v>1.0101010101010105E-2</c:v>
                </c:pt>
                <c:pt idx="13">
                  <c:v>0</c:v>
                </c:pt>
                <c:pt idx="14">
                  <c:v>0</c:v>
                </c:pt>
                <c:pt idx="15">
                  <c:v>0</c:v>
                </c:pt>
                <c:pt idx="16">
                  <c:v>0</c:v>
                </c:pt>
              </c:numCache>
            </c:numRef>
          </c:val>
        </c:ser>
        <c:ser>
          <c:idx val="3"/>
          <c:order val="3"/>
          <c:tx>
            <c:strRef>
              <c:f>Economía!$Q$181</c:f>
              <c:strCache>
                <c:ptCount val="1"/>
                <c:pt idx="0">
                  <c:v>Patrón</c:v>
                </c:pt>
              </c:strCache>
            </c:strRef>
          </c:tx>
          <c:spPr>
            <a:solidFill>
              <a:srgbClr val="7030A0"/>
            </a:solidFill>
          </c:spPr>
          <c:invertIfNegative val="0"/>
          <c:cat>
            <c:strRef>
              <c:f>Economía!$B$182:$B$198</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Economía!$Q$182:$Q$198</c:f>
              <c:numCache>
                <c:formatCode>0,000</c:formatCode>
                <c:ptCount val="17"/>
                <c:pt idx="0">
                  <c:v>0</c:v>
                </c:pt>
                <c:pt idx="1">
                  <c:v>0</c:v>
                </c:pt>
                <c:pt idx="2">
                  <c:v>1.6393442622950821E-2</c:v>
                </c:pt>
                <c:pt idx="3">
                  <c:v>2.3305084745762678E-2</c:v>
                </c:pt>
                <c:pt idx="4">
                  <c:v>3.4951456310679613E-2</c:v>
                </c:pt>
                <c:pt idx="5">
                  <c:v>8.793969849246247E-2</c:v>
                </c:pt>
                <c:pt idx="6">
                  <c:v>7.7647058823529416E-2</c:v>
                </c:pt>
                <c:pt idx="7">
                  <c:v>0.12647058823529411</c:v>
                </c:pt>
                <c:pt idx="8">
                  <c:v>0.12237762237762242</c:v>
                </c:pt>
                <c:pt idx="9">
                  <c:v>9.2165898617511524E-2</c:v>
                </c:pt>
                <c:pt idx="10">
                  <c:v>0.15625000000000017</c:v>
                </c:pt>
                <c:pt idx="11">
                  <c:v>0.10638297872340426</c:v>
                </c:pt>
                <c:pt idx="12">
                  <c:v>0.17171717171717196</c:v>
                </c:pt>
                <c:pt idx="13">
                  <c:v>0.10256410256410264</c:v>
                </c:pt>
                <c:pt idx="14">
                  <c:v>0.31250000000000033</c:v>
                </c:pt>
                <c:pt idx="15">
                  <c:v>0</c:v>
                </c:pt>
                <c:pt idx="16">
                  <c:v>0.16666666666666666</c:v>
                </c:pt>
              </c:numCache>
            </c:numRef>
          </c:val>
        </c:ser>
        <c:ser>
          <c:idx val="4"/>
          <c:order val="4"/>
          <c:tx>
            <c:strRef>
              <c:f>Economía!$R$181</c:f>
              <c:strCache>
                <c:ptCount val="1"/>
                <c:pt idx="0">
                  <c:v>Socio</c:v>
                </c:pt>
              </c:strCache>
            </c:strRef>
          </c:tx>
          <c:spPr>
            <a:solidFill>
              <a:srgbClr val="00B050"/>
            </a:solidFill>
          </c:spPr>
          <c:invertIfNegative val="0"/>
          <c:cat>
            <c:strRef>
              <c:f>Economía!$B$182:$B$198</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Economía!$R$182:$R$198</c:f>
              <c:numCache>
                <c:formatCode>0,000</c:formatCode>
                <c:ptCount val="17"/>
                <c:pt idx="0">
                  <c:v>0</c:v>
                </c:pt>
                <c:pt idx="1">
                  <c:v>0</c:v>
                </c:pt>
                <c:pt idx="2">
                  <c:v>1.6393442622950821E-2</c:v>
                </c:pt>
                <c:pt idx="3">
                  <c:v>1.4830508474576273E-2</c:v>
                </c:pt>
                <c:pt idx="4">
                  <c:v>3.4951456310679613E-2</c:v>
                </c:pt>
                <c:pt idx="5">
                  <c:v>3.015075376884423E-2</c:v>
                </c:pt>
                <c:pt idx="6">
                  <c:v>6.5882352941176531E-2</c:v>
                </c:pt>
                <c:pt idx="7">
                  <c:v>7.0588235294117674E-2</c:v>
                </c:pt>
                <c:pt idx="8">
                  <c:v>4.1958041958042015E-2</c:v>
                </c:pt>
                <c:pt idx="9">
                  <c:v>4.6082949308755762E-2</c:v>
                </c:pt>
                <c:pt idx="10">
                  <c:v>4.6874999999999986E-2</c:v>
                </c:pt>
                <c:pt idx="11">
                  <c:v>4.9645390070921988E-2</c:v>
                </c:pt>
                <c:pt idx="12">
                  <c:v>2.0202020202020211E-2</c:v>
                </c:pt>
                <c:pt idx="13">
                  <c:v>2.5641025641025685E-2</c:v>
                </c:pt>
                <c:pt idx="14">
                  <c:v>0</c:v>
                </c:pt>
                <c:pt idx="15">
                  <c:v>0.18181818181818207</c:v>
                </c:pt>
                <c:pt idx="16">
                  <c:v>0</c:v>
                </c:pt>
              </c:numCache>
            </c:numRef>
          </c:val>
        </c:ser>
        <c:ser>
          <c:idx val="5"/>
          <c:order val="5"/>
          <c:tx>
            <c:strRef>
              <c:f>Economía!$S$181</c:f>
              <c:strCache>
                <c:ptCount val="1"/>
                <c:pt idx="0">
                  <c:v>Cuenta propia</c:v>
                </c:pt>
              </c:strCache>
            </c:strRef>
          </c:tx>
          <c:spPr>
            <a:solidFill>
              <a:schemeClr val="accent6">
                <a:lumMod val="75000"/>
              </a:schemeClr>
            </a:solidFill>
          </c:spPr>
          <c:invertIfNegative val="0"/>
          <c:dLbls>
            <c:dLbl>
              <c:idx val="16"/>
              <c:delete val="1"/>
            </c:dLbl>
            <c:dLbl>
              <c:idx val="19"/>
              <c:delete val="1"/>
            </c:dLbl>
            <c:numFmt formatCode="#,##0.000" sourceLinked="0"/>
            <c:txPr>
              <a:bodyPr/>
              <a:lstStyle/>
              <a:p>
                <a:pPr>
                  <a:defRPr sz="700"/>
                </a:pPr>
                <a:endParaRPr lang="es-EC"/>
              </a:p>
            </c:txPr>
            <c:dLblPos val="ctr"/>
            <c:showLegendKey val="0"/>
            <c:showVal val="1"/>
            <c:showCatName val="0"/>
            <c:showSerName val="0"/>
            <c:showPercent val="0"/>
            <c:showBubbleSize val="0"/>
            <c:showLeaderLines val="0"/>
          </c:dLbls>
          <c:cat>
            <c:strRef>
              <c:f>Economía!$B$182:$B$198</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Economía!$S$182:$S$198</c:f>
              <c:numCache>
                <c:formatCode>0,000</c:formatCode>
                <c:ptCount val="17"/>
                <c:pt idx="0">
                  <c:v>0.11764705882352942</c:v>
                </c:pt>
                <c:pt idx="1">
                  <c:v>0.52173913043478348</c:v>
                </c:pt>
                <c:pt idx="2">
                  <c:v>0.24590163934426251</c:v>
                </c:pt>
                <c:pt idx="3">
                  <c:v>0.16525423728813571</c:v>
                </c:pt>
                <c:pt idx="4">
                  <c:v>0.13203883495145641</c:v>
                </c:pt>
                <c:pt idx="5">
                  <c:v>0.14321608040201045</c:v>
                </c:pt>
                <c:pt idx="6">
                  <c:v>0.17647058823529421</c:v>
                </c:pt>
                <c:pt idx="7">
                  <c:v>0.15294117647058841</c:v>
                </c:pt>
                <c:pt idx="8">
                  <c:v>0.18881118881118908</c:v>
                </c:pt>
                <c:pt idx="9">
                  <c:v>0.17511520737327191</c:v>
                </c:pt>
                <c:pt idx="10">
                  <c:v>0.18229166666666671</c:v>
                </c:pt>
                <c:pt idx="11">
                  <c:v>0.22695035460992921</c:v>
                </c:pt>
                <c:pt idx="12">
                  <c:v>0.21212121212121221</c:v>
                </c:pt>
                <c:pt idx="13">
                  <c:v>0.25641025641025639</c:v>
                </c:pt>
                <c:pt idx="14">
                  <c:v>0.31250000000000033</c:v>
                </c:pt>
                <c:pt idx="15">
                  <c:v>0.18181818181818207</c:v>
                </c:pt>
                <c:pt idx="16">
                  <c:v>0</c:v>
                </c:pt>
              </c:numCache>
            </c:numRef>
          </c:val>
        </c:ser>
        <c:ser>
          <c:idx val="6"/>
          <c:order val="6"/>
          <c:tx>
            <c:strRef>
              <c:f>Economía!$T$181</c:f>
              <c:strCache>
                <c:ptCount val="1"/>
                <c:pt idx="0">
                  <c:v>Trabajador no remunerado</c:v>
                </c:pt>
              </c:strCache>
            </c:strRef>
          </c:tx>
          <c:spPr>
            <a:solidFill>
              <a:srgbClr val="FFFF00"/>
            </a:solidFill>
          </c:spPr>
          <c:invertIfNegative val="0"/>
          <c:cat>
            <c:strRef>
              <c:f>Economía!$B$182:$B$198</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Economía!$T$182:$T$198</c:f>
              <c:numCache>
                <c:formatCode>0,000</c:formatCode>
                <c:ptCount val="17"/>
                <c:pt idx="0">
                  <c:v>0</c:v>
                </c:pt>
                <c:pt idx="1">
                  <c:v>0.1739130434782612</c:v>
                </c:pt>
                <c:pt idx="2">
                  <c:v>0.12295081967213115</c:v>
                </c:pt>
                <c:pt idx="3">
                  <c:v>6.1440677966101767E-2</c:v>
                </c:pt>
                <c:pt idx="4">
                  <c:v>2.9126213592233007E-2</c:v>
                </c:pt>
                <c:pt idx="5">
                  <c:v>2.5125628140703519E-2</c:v>
                </c:pt>
                <c:pt idx="6">
                  <c:v>1.8823529411764742E-2</c:v>
                </c:pt>
                <c:pt idx="7">
                  <c:v>4.4117647058823664E-2</c:v>
                </c:pt>
                <c:pt idx="8">
                  <c:v>3.4965034965034968E-2</c:v>
                </c:pt>
                <c:pt idx="9">
                  <c:v>8.2949308755760398E-2</c:v>
                </c:pt>
                <c:pt idx="10">
                  <c:v>4.6874999999999986E-2</c:v>
                </c:pt>
                <c:pt idx="11">
                  <c:v>7.8014184397163122E-2</c:v>
                </c:pt>
                <c:pt idx="12">
                  <c:v>9.0909090909091064E-2</c:v>
                </c:pt>
                <c:pt idx="13">
                  <c:v>0.10256410256410264</c:v>
                </c:pt>
                <c:pt idx="14">
                  <c:v>0</c:v>
                </c:pt>
                <c:pt idx="15">
                  <c:v>9.0909090909091064E-2</c:v>
                </c:pt>
                <c:pt idx="16">
                  <c:v>0.5</c:v>
                </c:pt>
              </c:numCache>
            </c:numRef>
          </c:val>
        </c:ser>
        <c:ser>
          <c:idx val="7"/>
          <c:order val="7"/>
          <c:tx>
            <c:strRef>
              <c:f>Economía!$U$181</c:f>
              <c:strCache>
                <c:ptCount val="1"/>
                <c:pt idx="0">
                  <c:v>Empleado doméstico</c:v>
                </c:pt>
              </c:strCache>
            </c:strRef>
          </c:tx>
          <c:spPr>
            <a:solidFill>
              <a:srgbClr val="FF0000"/>
            </a:solidFill>
          </c:spPr>
          <c:invertIfNegative val="0"/>
          <c:cat>
            <c:strRef>
              <c:f>Economía!$B$182:$B$198</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Economía!$U$182:$U$198</c:f>
              <c:numCache>
                <c:formatCode>0,000</c:formatCode>
                <c:ptCount val="17"/>
                <c:pt idx="0">
                  <c:v>5.8823529411764705E-2</c:v>
                </c:pt>
                <c:pt idx="1">
                  <c:v>0</c:v>
                </c:pt>
                <c:pt idx="2">
                  <c:v>0</c:v>
                </c:pt>
                <c:pt idx="3">
                  <c:v>4.2372881355932316E-3</c:v>
                </c:pt>
                <c:pt idx="4">
                  <c:v>5.8252427184466091E-3</c:v>
                </c:pt>
                <c:pt idx="5">
                  <c:v>2.5125628140703518E-3</c:v>
                </c:pt>
                <c:pt idx="6">
                  <c:v>7.0588235294117719E-3</c:v>
                </c:pt>
                <c:pt idx="7">
                  <c:v>2.9411764705882379E-3</c:v>
                </c:pt>
                <c:pt idx="8">
                  <c:v>3.4965034965034982E-3</c:v>
                </c:pt>
                <c:pt idx="9">
                  <c:v>0</c:v>
                </c:pt>
                <c:pt idx="10">
                  <c:v>0</c:v>
                </c:pt>
                <c:pt idx="11">
                  <c:v>0</c:v>
                </c:pt>
                <c:pt idx="12">
                  <c:v>0</c:v>
                </c:pt>
                <c:pt idx="13">
                  <c:v>0</c:v>
                </c:pt>
                <c:pt idx="14">
                  <c:v>0</c:v>
                </c:pt>
                <c:pt idx="15">
                  <c:v>0</c:v>
                </c:pt>
                <c:pt idx="16">
                  <c:v>0</c:v>
                </c:pt>
              </c:numCache>
            </c:numRef>
          </c:val>
        </c:ser>
        <c:ser>
          <c:idx val="8"/>
          <c:order val="8"/>
          <c:tx>
            <c:strRef>
              <c:f>Economía!$V$181</c:f>
              <c:strCache>
                <c:ptCount val="1"/>
                <c:pt idx="0">
                  <c:v>Se ignora</c:v>
                </c:pt>
              </c:strCache>
            </c:strRef>
          </c:tx>
          <c:spPr>
            <a:solidFill>
              <a:schemeClr val="bg1">
                <a:lumMod val="65000"/>
              </a:schemeClr>
            </a:solidFill>
          </c:spPr>
          <c:invertIfNegative val="0"/>
          <c:cat>
            <c:strRef>
              <c:f>Economía!$B$182:$B$198</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Economía!$V$182:$V$198</c:f>
              <c:numCache>
                <c:formatCode>0,000</c:formatCode>
                <c:ptCount val="17"/>
                <c:pt idx="0">
                  <c:v>0.7647058823529419</c:v>
                </c:pt>
                <c:pt idx="1">
                  <c:v>0.26086956521739163</c:v>
                </c:pt>
                <c:pt idx="2">
                  <c:v>7.3770491803278826E-2</c:v>
                </c:pt>
                <c:pt idx="3">
                  <c:v>3.1779661016949193E-2</c:v>
                </c:pt>
                <c:pt idx="4">
                  <c:v>2.9126213592233007E-2</c:v>
                </c:pt>
                <c:pt idx="5">
                  <c:v>5.0251256281406982E-2</c:v>
                </c:pt>
                <c:pt idx="6">
                  <c:v>2.3529411764705879E-2</c:v>
                </c:pt>
                <c:pt idx="7">
                  <c:v>3.2352941176470612E-2</c:v>
                </c:pt>
                <c:pt idx="8">
                  <c:v>2.797202797202801E-2</c:v>
                </c:pt>
                <c:pt idx="9">
                  <c:v>3.2258064516129073E-2</c:v>
                </c:pt>
                <c:pt idx="10">
                  <c:v>3.6458333333333336E-2</c:v>
                </c:pt>
                <c:pt idx="11">
                  <c:v>2.1276595744680847E-2</c:v>
                </c:pt>
                <c:pt idx="12">
                  <c:v>7.0707070707070704E-2</c:v>
                </c:pt>
                <c:pt idx="13">
                  <c:v>0.15384615384615413</c:v>
                </c:pt>
                <c:pt idx="14">
                  <c:v>0</c:v>
                </c:pt>
                <c:pt idx="15">
                  <c:v>9.0909090909091064E-2</c:v>
                </c:pt>
                <c:pt idx="16">
                  <c:v>0.16666666666666666</c:v>
                </c:pt>
              </c:numCache>
            </c:numRef>
          </c:val>
        </c:ser>
        <c:dLbls>
          <c:showLegendKey val="0"/>
          <c:showVal val="0"/>
          <c:showCatName val="0"/>
          <c:showSerName val="0"/>
          <c:showPercent val="0"/>
          <c:showBubbleSize val="0"/>
        </c:dLbls>
        <c:gapWidth val="0"/>
        <c:overlap val="100"/>
        <c:axId val="285553024"/>
        <c:axId val="285554944"/>
      </c:barChart>
      <c:catAx>
        <c:axId val="285553024"/>
        <c:scaling>
          <c:orientation val="maxMin"/>
        </c:scaling>
        <c:delete val="0"/>
        <c:axPos val="l"/>
        <c:title>
          <c:tx>
            <c:rich>
              <a:bodyPr rot="-5400000" vert="horz"/>
              <a:lstStyle/>
              <a:p>
                <a:pPr>
                  <a:defRPr/>
                </a:pPr>
                <a:r>
                  <a:rPr lang="es-EC"/>
                  <a:t>Grupos Etarios</a:t>
                </a:r>
              </a:p>
            </c:rich>
          </c:tx>
          <c:overlay val="0"/>
        </c:title>
        <c:numFmt formatCode="General" sourceLinked="1"/>
        <c:majorTickMark val="out"/>
        <c:minorTickMark val="none"/>
        <c:tickLblPos val="nextTo"/>
        <c:spPr>
          <a:ln>
            <a:solidFill>
              <a:schemeClr val="tx1"/>
            </a:solidFill>
          </a:ln>
        </c:spPr>
        <c:crossAx val="285554944"/>
        <c:crosses val="autoZero"/>
        <c:auto val="1"/>
        <c:lblAlgn val="ctr"/>
        <c:lblOffset val="100"/>
        <c:noMultiLvlLbl val="0"/>
      </c:catAx>
      <c:valAx>
        <c:axId val="285554944"/>
        <c:scaling>
          <c:orientation val="minMax"/>
          <c:max val="1"/>
          <c:min val="0"/>
        </c:scaling>
        <c:delete val="0"/>
        <c:axPos val="t"/>
        <c:title>
          <c:tx>
            <c:rich>
              <a:bodyPr/>
              <a:lstStyle/>
              <a:p>
                <a:pPr>
                  <a:defRPr/>
                </a:pPr>
                <a:r>
                  <a:rPr lang="es-EC"/>
                  <a:t>Frecuencia Relativa</a:t>
                </a:r>
              </a:p>
            </c:rich>
          </c:tx>
          <c:layout>
            <c:manualLayout>
              <c:xMode val="edge"/>
              <c:yMode val="edge"/>
              <c:x val="0.28706889763779575"/>
              <c:y val="0.95412384772658165"/>
            </c:manualLayout>
          </c:layout>
          <c:overlay val="0"/>
        </c:title>
        <c:numFmt formatCode="#,##0.00" sourceLinked="0"/>
        <c:majorTickMark val="in"/>
        <c:minorTickMark val="none"/>
        <c:tickLblPos val="high"/>
        <c:spPr>
          <a:ln>
            <a:solidFill>
              <a:schemeClr val="tx1"/>
            </a:solidFill>
          </a:ln>
        </c:spPr>
        <c:crossAx val="285553024"/>
        <c:crossesAt val="21"/>
        <c:crossBetween val="between"/>
        <c:majorUnit val="0.2"/>
      </c:valAx>
      <c:spPr>
        <a:noFill/>
        <a:ln>
          <a:solidFill>
            <a:schemeClr val="tx1"/>
          </a:solidFill>
        </a:ln>
      </c:spPr>
    </c:plotArea>
    <c:legend>
      <c:legendPos val="r"/>
      <c:layout>
        <c:manualLayout>
          <c:xMode val="edge"/>
          <c:yMode val="edge"/>
          <c:x val="0.65050021872265951"/>
          <c:y val="4.8660823503701732E-2"/>
          <c:w val="0.332833114610674"/>
          <c:h val="0.88093183816055365"/>
        </c:manualLayout>
      </c:layout>
      <c:overlay val="0"/>
      <c:txPr>
        <a:bodyPr/>
        <a:lstStyle/>
        <a:p>
          <a:pPr>
            <a:defRPr sz="800"/>
          </a:pPr>
          <a:endParaRPr lang="es-EC"/>
        </a:p>
      </c:txPr>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332492752131482"/>
          <c:y val="3.8244236399205218E-2"/>
          <c:w val="0.49864306177414147"/>
          <c:h val="0.84558101517587203"/>
        </c:manualLayout>
      </c:layout>
      <c:barChart>
        <c:barDir val="bar"/>
        <c:grouping val="clustered"/>
        <c:varyColors val="0"/>
        <c:ser>
          <c:idx val="0"/>
          <c:order val="0"/>
          <c:spPr>
            <a:gradFill>
              <a:gsLst>
                <a:gs pos="0">
                  <a:schemeClr val="bg1">
                    <a:lumMod val="65000"/>
                  </a:schemeClr>
                </a:gs>
                <a:gs pos="50000">
                  <a:schemeClr val="bg1">
                    <a:lumMod val="95000"/>
                  </a:schemeClr>
                </a:gs>
                <a:gs pos="100000">
                  <a:schemeClr val="bg1">
                    <a:lumMod val="65000"/>
                  </a:schemeClr>
                </a:gs>
              </a:gsLst>
              <a:lin ang="13200000" scaled="0"/>
            </a:gradFill>
            <a:ln>
              <a:solidFill>
                <a:schemeClr val="bg1">
                  <a:lumMod val="50000"/>
                </a:schemeClr>
              </a:solidFill>
            </a:ln>
          </c:spPr>
          <c:invertIfNegative val="0"/>
          <c:dLbls>
            <c:numFmt formatCode="#,##0.000" sourceLinked="0"/>
            <c:dLblPos val="outEnd"/>
            <c:showLegendKey val="0"/>
            <c:showVal val="1"/>
            <c:showCatName val="0"/>
            <c:showSerName val="0"/>
            <c:showPercent val="0"/>
            <c:showBubbleSize val="0"/>
            <c:showLeaderLines val="0"/>
          </c:dLbls>
          <c:cat>
            <c:strRef>
              <c:f>Economía!$H$204:$H$215</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Economía!$I$204:$I$215</c:f>
              <c:numCache>
                <c:formatCode>0,000</c:formatCode>
                <c:ptCount val="12"/>
                <c:pt idx="0">
                  <c:v>0.14393719104390834</c:v>
                </c:pt>
                <c:pt idx="1">
                  <c:v>0.37074731026461188</c:v>
                </c:pt>
                <c:pt idx="2">
                  <c:v>9.3341087525443442E-2</c:v>
                </c:pt>
                <c:pt idx="3">
                  <c:v>0.10439081128234952</c:v>
                </c:pt>
                <c:pt idx="4">
                  <c:v>0.11282349520209355</c:v>
                </c:pt>
                <c:pt idx="5">
                  <c:v>1.628380343123003E-2</c:v>
                </c:pt>
                <c:pt idx="6">
                  <c:v>2.0645536493166642E-2</c:v>
                </c:pt>
                <c:pt idx="7">
                  <c:v>7.8511195114858972E-3</c:v>
                </c:pt>
                <c:pt idx="8">
                  <c:v>3.2858389066589166E-2</c:v>
                </c:pt>
                <c:pt idx="9">
                  <c:v>1.4539110206455365E-3</c:v>
                </c:pt>
                <c:pt idx="10">
                  <c:v>3.4893864495492879E-2</c:v>
                </c:pt>
                <c:pt idx="11">
                  <c:v>6.0773480662983423E-2</c:v>
                </c:pt>
              </c:numCache>
            </c:numRef>
          </c:val>
        </c:ser>
        <c:dLbls>
          <c:showLegendKey val="0"/>
          <c:showVal val="1"/>
          <c:showCatName val="0"/>
          <c:showSerName val="0"/>
          <c:showPercent val="0"/>
          <c:showBubbleSize val="0"/>
        </c:dLbls>
        <c:gapWidth val="40"/>
        <c:axId val="285566464"/>
        <c:axId val="285577984"/>
      </c:barChart>
      <c:catAx>
        <c:axId val="285566464"/>
        <c:scaling>
          <c:orientation val="maxMin"/>
        </c:scaling>
        <c:delete val="0"/>
        <c:axPos val="l"/>
        <c:title>
          <c:tx>
            <c:rich>
              <a:bodyPr rot="-5400000" vert="horz"/>
              <a:lstStyle/>
              <a:p>
                <a:pPr>
                  <a:defRPr/>
                </a:pPr>
                <a:r>
                  <a:rPr lang="es-EC"/>
                  <a:t>Ocupación</a:t>
                </a:r>
              </a:p>
            </c:rich>
          </c:tx>
          <c:overlay val="0"/>
        </c:title>
        <c:majorTickMark val="out"/>
        <c:minorTickMark val="none"/>
        <c:tickLblPos val="nextTo"/>
        <c:spPr>
          <a:ln>
            <a:solidFill>
              <a:schemeClr val="tx1"/>
            </a:solidFill>
          </a:ln>
        </c:spPr>
        <c:txPr>
          <a:bodyPr/>
          <a:lstStyle/>
          <a:p>
            <a:pPr>
              <a:defRPr sz="800"/>
            </a:pPr>
            <a:endParaRPr lang="es-EC"/>
          </a:p>
        </c:txPr>
        <c:crossAx val="285577984"/>
        <c:crossesAt val="0"/>
        <c:auto val="1"/>
        <c:lblAlgn val="ctr"/>
        <c:lblOffset val="100"/>
        <c:noMultiLvlLbl val="0"/>
      </c:catAx>
      <c:valAx>
        <c:axId val="285577984"/>
        <c:scaling>
          <c:orientation val="minMax"/>
          <c:max val="1"/>
          <c:min val="0"/>
        </c:scaling>
        <c:delete val="0"/>
        <c:axPos val="t"/>
        <c:title>
          <c:tx>
            <c:rich>
              <a:bodyPr/>
              <a:lstStyle/>
              <a:p>
                <a:pPr>
                  <a:defRPr/>
                </a:pPr>
                <a:r>
                  <a:rPr lang="es-EC"/>
                  <a:t>Frecuencia</a:t>
                </a:r>
                <a:r>
                  <a:rPr lang="es-EC" baseline="0"/>
                  <a:t> Relativa</a:t>
                </a:r>
                <a:endParaRPr lang="es-EC"/>
              </a:p>
            </c:rich>
          </c:tx>
          <c:layout>
            <c:manualLayout>
              <c:xMode val="edge"/>
              <c:yMode val="edge"/>
              <c:x val="0.6117971854825337"/>
              <c:y val="0.95056682384615887"/>
            </c:manualLayout>
          </c:layout>
          <c:overlay val="0"/>
        </c:title>
        <c:numFmt formatCode="#,##0.00" sourceLinked="0"/>
        <c:majorTickMark val="in"/>
        <c:minorTickMark val="none"/>
        <c:tickLblPos val="high"/>
        <c:spPr>
          <a:ln>
            <a:solidFill>
              <a:schemeClr val="tx1"/>
            </a:solidFill>
          </a:ln>
        </c:spPr>
        <c:crossAx val="285566464"/>
        <c:crossesAt val="13"/>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746038583251504"/>
          <c:y val="5.2107792954106967E-2"/>
          <c:w val="0.49434116140296486"/>
          <c:h val="0.83993989881699571"/>
        </c:manualLayout>
      </c:layout>
      <c:barChart>
        <c:barDir val="bar"/>
        <c:grouping val="stacked"/>
        <c:varyColors val="0"/>
        <c:ser>
          <c:idx val="0"/>
          <c:order val="0"/>
          <c:tx>
            <c:strRef>
              <c:f>Economía!$H$224</c:f>
              <c:strCache>
                <c:ptCount val="1"/>
                <c:pt idx="0">
                  <c:v>Hombre</c:v>
                </c:pt>
              </c:strCache>
            </c:strRef>
          </c:tx>
          <c:spPr>
            <a:solidFill>
              <a:srgbClr val="00B0F0"/>
            </a:solidFill>
          </c:spPr>
          <c:invertIfNegative val="0"/>
          <c:dLbls>
            <c:dLbl>
              <c:idx val="0"/>
              <c:layout>
                <c:manualLayout>
                  <c:x val="-4.9801685073829684E-2"/>
                  <c:y val="0"/>
                </c:manualLayout>
              </c:layout>
              <c:dLblPos val="ctr"/>
              <c:showLegendKey val="0"/>
              <c:showVal val="1"/>
              <c:showCatName val="0"/>
              <c:showSerName val="0"/>
              <c:showPercent val="0"/>
              <c:showBubbleSize val="0"/>
            </c:dLbl>
            <c:dLbl>
              <c:idx val="1"/>
              <c:layout>
                <c:manualLayout>
                  <c:x val="-7.6975826599355576E-2"/>
                  <c:y val="3.803872342044204E-7"/>
                </c:manualLayout>
              </c:layout>
              <c:dLblPos val="ctr"/>
              <c:showLegendKey val="0"/>
              <c:showVal val="1"/>
              <c:showCatName val="0"/>
              <c:showSerName val="0"/>
              <c:showPercent val="0"/>
              <c:showBubbleSize val="0"/>
            </c:dLbl>
            <c:dLbl>
              <c:idx val="2"/>
              <c:layout>
                <c:manualLayout>
                  <c:x val="-4.6106698369487185E-2"/>
                  <c:y val="0"/>
                </c:manualLayout>
              </c:layout>
              <c:dLblPos val="ctr"/>
              <c:showLegendKey val="0"/>
              <c:showVal val="1"/>
              <c:showCatName val="0"/>
              <c:showSerName val="0"/>
              <c:showPercent val="0"/>
              <c:showBubbleSize val="0"/>
            </c:dLbl>
            <c:dLbl>
              <c:idx val="3"/>
              <c:layout>
                <c:manualLayout>
                  <c:x val="-4.093063859358937E-2"/>
                  <c:y val="0"/>
                </c:manualLayout>
              </c:layout>
              <c:dLblPos val="ctr"/>
              <c:showLegendKey val="0"/>
              <c:showVal val="1"/>
              <c:showCatName val="0"/>
              <c:showSerName val="0"/>
              <c:showPercent val="0"/>
              <c:showBubbleSize val="0"/>
            </c:dLbl>
            <c:dLbl>
              <c:idx val="4"/>
              <c:layout>
                <c:manualLayout>
                  <c:x val="-5.1019897457385464E-2"/>
                  <c:y val="0"/>
                </c:manualLayout>
              </c:layout>
              <c:dLblPos val="ctr"/>
              <c:showLegendKey val="0"/>
              <c:showVal val="1"/>
              <c:showCatName val="0"/>
              <c:showSerName val="0"/>
              <c:showPercent val="0"/>
              <c:showBubbleSize val="0"/>
            </c:dLbl>
            <c:dLbl>
              <c:idx val="5"/>
              <c:layout>
                <c:manualLayout>
                  <c:x val="-4.0290983582706288E-2"/>
                  <c:y val="-5.6387910273132978E-17"/>
                </c:manualLayout>
              </c:layout>
              <c:dLblPos val="ctr"/>
              <c:showLegendKey val="0"/>
              <c:showVal val="1"/>
              <c:showCatName val="0"/>
              <c:showSerName val="0"/>
              <c:showPercent val="0"/>
              <c:showBubbleSize val="0"/>
            </c:dLbl>
            <c:dLbl>
              <c:idx val="6"/>
              <c:layout>
                <c:manualLayout>
                  <c:x val="-3.9777850525795889E-2"/>
                  <c:y val="0"/>
                </c:manualLayout>
              </c:layout>
              <c:dLblPos val="ctr"/>
              <c:showLegendKey val="0"/>
              <c:showVal val="1"/>
              <c:showCatName val="0"/>
              <c:showSerName val="0"/>
              <c:showPercent val="0"/>
              <c:showBubbleSize val="0"/>
            </c:dLbl>
            <c:dLbl>
              <c:idx val="8"/>
              <c:layout>
                <c:manualLayout>
                  <c:x val="-3.8583710952979904E-2"/>
                  <c:y val="0"/>
                </c:manualLayout>
              </c:layout>
              <c:dLblPos val="ctr"/>
              <c:showLegendKey val="0"/>
              <c:showVal val="1"/>
              <c:showCatName val="0"/>
              <c:showSerName val="0"/>
              <c:showPercent val="0"/>
              <c:showBubbleSize val="0"/>
            </c:dLbl>
            <c:numFmt formatCode="0.000;0.000" sourceLinked="0"/>
            <c:txPr>
              <a:bodyPr/>
              <a:lstStyle/>
              <a:p>
                <a:pPr>
                  <a:defRPr sz="700"/>
                </a:pPr>
                <a:endParaRPr lang="es-EC"/>
              </a:p>
            </c:txPr>
            <c:dLblPos val="inEnd"/>
            <c:showLegendKey val="0"/>
            <c:showVal val="1"/>
            <c:showCatName val="0"/>
            <c:showSerName val="0"/>
            <c:showPercent val="0"/>
            <c:showBubbleSize val="0"/>
            <c:showLeaderLines val="0"/>
          </c:dLbls>
          <c:cat>
            <c:strRef>
              <c:f>Economía!$G$225:$G$236</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Economía!$H$225:$H$236</c:f>
              <c:numCache>
                <c:formatCode>0.00%</c:formatCode>
                <c:ptCount val="12"/>
                <c:pt idx="0">
                  <c:v>-0.17600000000000005</c:v>
                </c:pt>
                <c:pt idx="1">
                  <c:v>-0.32000000000000012</c:v>
                </c:pt>
                <c:pt idx="2">
                  <c:v>-9.8666666666666736E-2</c:v>
                </c:pt>
                <c:pt idx="3">
                  <c:v>-9.3333333333333365E-2</c:v>
                </c:pt>
                <c:pt idx="4">
                  <c:v>-0.11360000000000002</c:v>
                </c:pt>
                <c:pt idx="5">
                  <c:v>-2.0799999999999999E-2</c:v>
                </c:pt>
                <c:pt idx="6">
                  <c:v>-2.9333333333333343E-2</c:v>
                </c:pt>
                <c:pt idx="7">
                  <c:v>-1.1733333333333337E-2</c:v>
                </c:pt>
                <c:pt idx="8">
                  <c:v>-3.8399999999999997E-2</c:v>
                </c:pt>
                <c:pt idx="9">
                  <c:v>-2.1333333333333352E-3</c:v>
                </c:pt>
                <c:pt idx="10">
                  <c:v>-3.5200000000000002E-2</c:v>
                </c:pt>
                <c:pt idx="11">
                  <c:v>-6.0800000000000014E-2</c:v>
                </c:pt>
              </c:numCache>
            </c:numRef>
          </c:val>
        </c:ser>
        <c:ser>
          <c:idx val="1"/>
          <c:order val="1"/>
          <c:tx>
            <c:strRef>
              <c:f>Economía!$I$224</c:f>
              <c:strCache>
                <c:ptCount val="1"/>
                <c:pt idx="0">
                  <c:v>Mujer</c:v>
                </c:pt>
              </c:strCache>
            </c:strRef>
          </c:tx>
          <c:spPr>
            <a:solidFill>
              <a:srgbClr val="D735B4"/>
            </a:solidFill>
          </c:spPr>
          <c:invertIfNegative val="0"/>
          <c:dLbls>
            <c:dLbl>
              <c:idx val="0"/>
              <c:layout>
                <c:manualLayout>
                  <c:x val="4.5992292538924999E-2"/>
                  <c:y val="3.803872342044204E-7"/>
                </c:manualLayout>
              </c:layout>
              <c:dLblPos val="ctr"/>
              <c:showLegendKey val="0"/>
              <c:showVal val="1"/>
              <c:showCatName val="0"/>
              <c:showSerName val="0"/>
              <c:showPercent val="0"/>
              <c:showBubbleSize val="0"/>
            </c:dLbl>
            <c:dLbl>
              <c:idx val="1"/>
              <c:layout>
                <c:manualLayout>
                  <c:x val="8.1419505275188486E-2"/>
                  <c:y val="3.803872342044204E-7"/>
                </c:manualLayout>
              </c:layout>
              <c:dLblPos val="ctr"/>
              <c:showLegendKey val="0"/>
              <c:showVal val="1"/>
              <c:showCatName val="0"/>
              <c:showSerName val="0"/>
              <c:showPercent val="0"/>
              <c:showBubbleSize val="0"/>
            </c:dLbl>
            <c:dLbl>
              <c:idx val="2"/>
              <c:layout>
                <c:manualLayout>
                  <c:x val="4.1718844225434634E-2"/>
                  <c:y val="0"/>
                </c:manualLayout>
              </c:layout>
              <c:dLblPos val="ctr"/>
              <c:showLegendKey val="0"/>
              <c:showVal val="1"/>
              <c:showCatName val="0"/>
              <c:showSerName val="0"/>
              <c:showPercent val="0"/>
              <c:showBubbleSize val="0"/>
            </c:dLbl>
            <c:dLbl>
              <c:idx val="3"/>
              <c:layout>
                <c:manualLayout>
                  <c:x val="4.7380094993596314E-2"/>
                  <c:y val="3.803872342044204E-7"/>
                </c:manualLayout>
              </c:layout>
              <c:dLblPos val="ctr"/>
              <c:showLegendKey val="0"/>
              <c:showVal val="1"/>
              <c:showCatName val="0"/>
              <c:showSerName val="0"/>
              <c:showPercent val="0"/>
              <c:showBubbleSize val="0"/>
            </c:dLbl>
            <c:dLbl>
              <c:idx val="4"/>
              <c:layout>
                <c:manualLayout>
                  <c:x val="4.9700144155941151E-2"/>
                  <c:y val="-3.0754307885427815E-3"/>
                </c:manualLayout>
              </c:layout>
              <c:dLblPos val="ctr"/>
              <c:showLegendKey val="0"/>
              <c:showVal val="1"/>
              <c:showCatName val="0"/>
              <c:showSerName val="0"/>
              <c:showPercent val="0"/>
              <c:showBubbleSize val="0"/>
            </c:dLbl>
            <c:dLbl>
              <c:idx val="8"/>
              <c:layout>
                <c:manualLayout>
                  <c:x val="4.9051218930227979E-2"/>
                  <c:y val="0"/>
                </c:manualLayout>
              </c:layout>
              <c:dLblPos val="ctr"/>
              <c:showLegendKey val="0"/>
              <c:showVal val="1"/>
              <c:showCatName val="0"/>
              <c:showSerName val="0"/>
              <c:showPercent val="0"/>
              <c:showBubbleSize val="0"/>
            </c:dLbl>
            <c:dLbl>
              <c:idx val="10"/>
              <c:layout>
                <c:manualLayout>
                  <c:x val="3.6013292130058022E-2"/>
                  <c:y val="0"/>
                </c:manualLayout>
              </c:layout>
              <c:dLblPos val="ctr"/>
              <c:showLegendKey val="0"/>
              <c:showVal val="1"/>
              <c:showCatName val="0"/>
              <c:showSerName val="0"/>
              <c:showPercent val="0"/>
              <c:showBubbleSize val="0"/>
            </c:dLbl>
            <c:dLbl>
              <c:idx val="11"/>
              <c:layout>
                <c:manualLayout>
                  <c:x val="3.6013292130058022E-2"/>
                  <c:y val="1.1277582054626588E-16"/>
                </c:manualLayout>
              </c:layout>
              <c:dLblPos val="ctr"/>
              <c:showLegendKey val="0"/>
              <c:showVal val="1"/>
              <c:showCatName val="0"/>
              <c:showSerName val="0"/>
              <c:showPercent val="0"/>
              <c:showBubbleSize val="0"/>
            </c:dLbl>
            <c:numFmt formatCode="#,##0.000" sourceLinked="0"/>
            <c:txPr>
              <a:bodyPr/>
              <a:lstStyle/>
              <a:p>
                <a:pPr>
                  <a:defRPr sz="700"/>
                </a:pPr>
                <a:endParaRPr lang="es-EC"/>
              </a:p>
            </c:txPr>
            <c:dLblPos val="inBase"/>
            <c:showLegendKey val="0"/>
            <c:showVal val="1"/>
            <c:showCatName val="0"/>
            <c:showSerName val="0"/>
            <c:showPercent val="0"/>
            <c:showBubbleSize val="0"/>
            <c:showLeaderLines val="0"/>
          </c:dLbls>
          <c:cat>
            <c:strRef>
              <c:f>Economía!$G$225:$G$236</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Economía!$I$225:$I$236</c:f>
              <c:numCache>
                <c:formatCode>0.00%</c:formatCode>
                <c:ptCount val="12"/>
                <c:pt idx="0">
                  <c:v>0.10549872122762154</c:v>
                </c:pt>
                <c:pt idx="1">
                  <c:v>0.43158567774936091</c:v>
                </c:pt>
                <c:pt idx="2">
                  <c:v>8.6956521739130474E-2</c:v>
                </c:pt>
                <c:pt idx="3">
                  <c:v>0.11764705882352942</c:v>
                </c:pt>
                <c:pt idx="4">
                  <c:v>0.1118925831202046</c:v>
                </c:pt>
                <c:pt idx="5">
                  <c:v>1.0869565217391311E-2</c:v>
                </c:pt>
                <c:pt idx="6">
                  <c:v>1.0230179028133E-2</c:v>
                </c:pt>
                <c:pt idx="7">
                  <c:v>3.1969309462915618E-3</c:v>
                </c:pt>
                <c:pt idx="8">
                  <c:v>2.6214833759590796E-2</c:v>
                </c:pt>
                <c:pt idx="9">
                  <c:v>6.3938618925831272E-4</c:v>
                </c:pt>
                <c:pt idx="10">
                  <c:v>3.4526854219948833E-2</c:v>
                </c:pt>
                <c:pt idx="11">
                  <c:v>6.0741687979539667E-2</c:v>
                </c:pt>
              </c:numCache>
            </c:numRef>
          </c:val>
        </c:ser>
        <c:dLbls>
          <c:showLegendKey val="0"/>
          <c:showVal val="0"/>
          <c:showCatName val="0"/>
          <c:showSerName val="0"/>
          <c:showPercent val="0"/>
          <c:showBubbleSize val="0"/>
        </c:dLbls>
        <c:gapWidth val="40"/>
        <c:overlap val="100"/>
        <c:axId val="285599616"/>
        <c:axId val="285614080"/>
      </c:barChart>
      <c:catAx>
        <c:axId val="285599616"/>
        <c:scaling>
          <c:orientation val="maxMin"/>
        </c:scaling>
        <c:delete val="0"/>
        <c:axPos val="l"/>
        <c:title>
          <c:tx>
            <c:rich>
              <a:bodyPr rot="-5400000" vert="horz"/>
              <a:lstStyle/>
              <a:p>
                <a:pPr>
                  <a:defRPr/>
                </a:pPr>
                <a:r>
                  <a:rPr lang="es-EC"/>
                  <a:t>Ocupación</a:t>
                </a:r>
              </a:p>
            </c:rich>
          </c:tx>
          <c:overlay val="0"/>
        </c:title>
        <c:majorTickMark val="out"/>
        <c:minorTickMark val="none"/>
        <c:tickLblPos val="nextTo"/>
        <c:spPr>
          <a:ln>
            <a:solidFill>
              <a:schemeClr val="tx1"/>
            </a:solidFill>
          </a:ln>
        </c:spPr>
        <c:crossAx val="285614080"/>
        <c:crossesAt val="-1"/>
        <c:auto val="1"/>
        <c:lblAlgn val="ctr"/>
        <c:lblOffset val="100"/>
        <c:noMultiLvlLbl val="0"/>
      </c:catAx>
      <c:valAx>
        <c:axId val="285614080"/>
        <c:scaling>
          <c:orientation val="minMax"/>
          <c:max val="1"/>
          <c:min val="-1"/>
        </c:scaling>
        <c:delete val="0"/>
        <c:axPos val="t"/>
        <c:title>
          <c:tx>
            <c:rich>
              <a:bodyPr/>
              <a:lstStyle/>
              <a:p>
                <a:pPr>
                  <a:defRPr/>
                </a:pPr>
                <a:r>
                  <a:rPr lang="es-EC"/>
                  <a:t>Frecuencia Relativa</a:t>
                </a:r>
              </a:p>
            </c:rich>
          </c:tx>
          <c:layout>
            <c:manualLayout>
              <c:xMode val="edge"/>
              <c:yMode val="edge"/>
              <c:x val="0.62047134733158382"/>
              <c:y val="0.96035351239293698"/>
            </c:manualLayout>
          </c:layout>
          <c:overlay val="0"/>
        </c:title>
        <c:numFmt formatCode="0.00;0.00" sourceLinked="0"/>
        <c:majorTickMark val="in"/>
        <c:minorTickMark val="none"/>
        <c:tickLblPos val="high"/>
        <c:spPr>
          <a:ln>
            <a:solidFill>
              <a:schemeClr val="tx1"/>
            </a:solidFill>
          </a:ln>
        </c:spPr>
        <c:crossAx val="285599616"/>
        <c:crossesAt val="13"/>
        <c:crossBetween val="between"/>
        <c:majorUnit val="0.4"/>
      </c:valAx>
      <c:spPr>
        <a:noFill/>
        <a:ln>
          <a:solidFill>
            <a:schemeClr val="tx1"/>
          </a:solidFill>
        </a:ln>
      </c:spPr>
    </c:plotArea>
    <c:legend>
      <c:legendPos val="t"/>
      <c:layout>
        <c:manualLayout>
          <c:xMode val="edge"/>
          <c:yMode val="edge"/>
          <c:x val="0.44835099603680373"/>
          <c:y val="0"/>
          <c:w val="0.49843392635787498"/>
          <c:h val="4.8188607266301912E-2"/>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6951006124234"/>
          <c:y val="2.9901457894059801E-2"/>
          <c:w val="0.46985433070866173"/>
          <c:h val="0.87290575596655073"/>
        </c:manualLayout>
      </c:layout>
      <c:barChart>
        <c:barDir val="bar"/>
        <c:grouping val="stacked"/>
        <c:varyColors val="0"/>
        <c:ser>
          <c:idx val="0"/>
          <c:order val="0"/>
          <c:tx>
            <c:strRef>
              <c:f>Economía!$Q$245</c:f>
              <c:strCache>
                <c:ptCount val="1"/>
                <c:pt idx="0">
                  <c:v>Directores y gerentes</c:v>
                </c:pt>
              </c:strCache>
            </c:strRef>
          </c:tx>
          <c:spPr>
            <a:solidFill>
              <a:srgbClr val="0070C0"/>
            </a:solidFill>
          </c:spPr>
          <c:invertIfNegative val="0"/>
          <c:dLbls>
            <c:dLbl>
              <c:idx val="0"/>
              <c:delete val="1"/>
            </c:dLbl>
            <c:dLbl>
              <c:idx val="1"/>
              <c:delete val="1"/>
            </c:dLbl>
            <c:dLbl>
              <c:idx val="2"/>
              <c:delete val="1"/>
            </c:dLbl>
            <c:dLbl>
              <c:idx val="3"/>
              <c:layout>
                <c:manualLayout>
                  <c:x val="1.9444444444444445E-2"/>
                  <c:y val="0"/>
                </c:manualLayout>
              </c:layout>
              <c:dLblPos val="ctr"/>
              <c:showLegendKey val="0"/>
              <c:showVal val="1"/>
              <c:showCatName val="0"/>
              <c:showSerName val="0"/>
              <c:showPercent val="0"/>
              <c:showBubbleSize val="0"/>
            </c:dLbl>
            <c:dLbl>
              <c:idx val="16"/>
              <c:delete val="1"/>
            </c:dLbl>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Economía!$B$246:$B$262</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Economía!$Q$246:$Q$262</c:f>
              <c:numCache>
                <c:formatCode>0,000</c:formatCode>
                <c:ptCount val="17"/>
                <c:pt idx="0">
                  <c:v>0</c:v>
                </c:pt>
                <c:pt idx="1">
                  <c:v>0</c:v>
                </c:pt>
                <c:pt idx="2">
                  <c:v>0</c:v>
                </c:pt>
                <c:pt idx="3">
                  <c:v>3.6072144288577211E-2</c:v>
                </c:pt>
                <c:pt idx="4">
                  <c:v>9.5864661654135347E-2</c:v>
                </c:pt>
                <c:pt idx="5">
                  <c:v>0.17505995203836941</c:v>
                </c:pt>
                <c:pt idx="6">
                  <c:v>0.22935779816513771</c:v>
                </c:pt>
                <c:pt idx="7">
                  <c:v>0.20461095100864538</c:v>
                </c:pt>
                <c:pt idx="8">
                  <c:v>0.19594594594594594</c:v>
                </c:pt>
                <c:pt idx="9">
                  <c:v>0.17727272727272728</c:v>
                </c:pt>
                <c:pt idx="10">
                  <c:v>0.18181818181818207</c:v>
                </c:pt>
                <c:pt idx="11">
                  <c:v>0.14184397163120571</c:v>
                </c:pt>
                <c:pt idx="12">
                  <c:v>0.16161616161616171</c:v>
                </c:pt>
                <c:pt idx="13">
                  <c:v>0.15384615384615413</c:v>
                </c:pt>
                <c:pt idx="14">
                  <c:v>0.25</c:v>
                </c:pt>
                <c:pt idx="15">
                  <c:v>0.27272727272727282</c:v>
                </c:pt>
                <c:pt idx="16">
                  <c:v>0</c:v>
                </c:pt>
              </c:numCache>
            </c:numRef>
          </c:val>
        </c:ser>
        <c:ser>
          <c:idx val="1"/>
          <c:order val="1"/>
          <c:tx>
            <c:strRef>
              <c:f>Economía!$R$245</c:f>
              <c:strCache>
                <c:ptCount val="1"/>
                <c:pt idx="0">
                  <c:v>Profesionales científicos e intelectuales</c:v>
                </c:pt>
              </c:strCache>
            </c:strRef>
          </c:tx>
          <c:spPr>
            <a:solidFill>
              <a:srgbClr val="D735B4"/>
            </a:solidFill>
          </c:spPr>
          <c:invertIfNegative val="0"/>
          <c:dLbls>
            <c:dLbl>
              <c:idx val="0"/>
              <c:delete val="1"/>
            </c:dLbl>
            <c:dLbl>
              <c:idx val="1"/>
              <c:delete val="1"/>
            </c:dLbl>
            <c:dLbl>
              <c:idx val="2"/>
              <c:delete val="1"/>
            </c:dLbl>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Economía!$B$246:$B$262</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Economía!$R$246:$R$262</c:f>
              <c:numCache>
                <c:formatCode>0,000</c:formatCode>
                <c:ptCount val="17"/>
                <c:pt idx="0">
                  <c:v>0</c:v>
                </c:pt>
                <c:pt idx="1">
                  <c:v>0</c:v>
                </c:pt>
                <c:pt idx="2">
                  <c:v>0</c:v>
                </c:pt>
                <c:pt idx="3">
                  <c:v>0.38076152304609218</c:v>
                </c:pt>
                <c:pt idx="4">
                  <c:v>0.45676691729323332</c:v>
                </c:pt>
                <c:pt idx="5">
                  <c:v>0.30455635491606731</c:v>
                </c:pt>
                <c:pt idx="6">
                  <c:v>0.31651376146789062</c:v>
                </c:pt>
                <c:pt idx="7">
                  <c:v>0.35446685878962586</c:v>
                </c:pt>
                <c:pt idx="8">
                  <c:v>0.43243243243243246</c:v>
                </c:pt>
                <c:pt idx="9">
                  <c:v>0.44090909090909092</c:v>
                </c:pt>
                <c:pt idx="10">
                  <c:v>0.43434343434343436</c:v>
                </c:pt>
                <c:pt idx="11">
                  <c:v>0.49645390070922024</c:v>
                </c:pt>
                <c:pt idx="12">
                  <c:v>0.47474747474747481</c:v>
                </c:pt>
                <c:pt idx="13">
                  <c:v>0.3846153846153848</c:v>
                </c:pt>
                <c:pt idx="14">
                  <c:v>0.37500000000000033</c:v>
                </c:pt>
                <c:pt idx="15">
                  <c:v>0.27272727272727282</c:v>
                </c:pt>
                <c:pt idx="16">
                  <c:v>0.33333333333333331</c:v>
                </c:pt>
              </c:numCache>
            </c:numRef>
          </c:val>
        </c:ser>
        <c:ser>
          <c:idx val="2"/>
          <c:order val="2"/>
          <c:tx>
            <c:strRef>
              <c:f>Economía!$S$245</c:f>
              <c:strCache>
                <c:ptCount val="1"/>
                <c:pt idx="0">
                  <c:v>Técnicos y profesionales del nivel medio</c:v>
                </c:pt>
              </c:strCache>
            </c:strRef>
          </c:tx>
          <c:spPr>
            <a:solidFill>
              <a:srgbClr val="00B0F0"/>
            </a:solidFill>
          </c:spPr>
          <c:invertIfNegative val="0"/>
          <c:cat>
            <c:strRef>
              <c:f>Economía!$B$246:$B$262</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Economía!$S$246:$S$262</c:f>
              <c:numCache>
                <c:formatCode>0,000</c:formatCode>
                <c:ptCount val="17"/>
                <c:pt idx="0">
                  <c:v>0</c:v>
                </c:pt>
                <c:pt idx="1">
                  <c:v>0</c:v>
                </c:pt>
                <c:pt idx="2">
                  <c:v>0</c:v>
                </c:pt>
                <c:pt idx="3">
                  <c:v>0.12424849699398799</c:v>
                </c:pt>
                <c:pt idx="4">
                  <c:v>9.77443609022558E-2</c:v>
                </c:pt>
                <c:pt idx="5">
                  <c:v>0.11990407673860928</c:v>
                </c:pt>
                <c:pt idx="6">
                  <c:v>9.4036697247706524E-2</c:v>
                </c:pt>
                <c:pt idx="7">
                  <c:v>0.11239193083573487</c:v>
                </c:pt>
                <c:pt idx="8">
                  <c:v>7.4324324324324426E-2</c:v>
                </c:pt>
                <c:pt idx="9">
                  <c:v>7.7272727272727312E-2</c:v>
                </c:pt>
                <c:pt idx="10">
                  <c:v>8.0808080808080843E-2</c:v>
                </c:pt>
                <c:pt idx="11">
                  <c:v>7.8014184397163122E-2</c:v>
                </c:pt>
                <c:pt idx="12">
                  <c:v>7.0707070707070704E-2</c:v>
                </c:pt>
                <c:pt idx="13">
                  <c:v>7.6923076923076927E-2</c:v>
                </c:pt>
                <c:pt idx="14">
                  <c:v>0</c:v>
                </c:pt>
                <c:pt idx="15">
                  <c:v>0</c:v>
                </c:pt>
                <c:pt idx="16">
                  <c:v>0.16666666666666666</c:v>
                </c:pt>
              </c:numCache>
            </c:numRef>
          </c:val>
        </c:ser>
        <c:ser>
          <c:idx val="3"/>
          <c:order val="3"/>
          <c:tx>
            <c:strRef>
              <c:f>Economía!$T$245</c:f>
              <c:strCache>
                <c:ptCount val="1"/>
                <c:pt idx="0">
                  <c:v>Personal de apoyo administrativo</c:v>
                </c:pt>
              </c:strCache>
            </c:strRef>
          </c:tx>
          <c:spPr>
            <a:solidFill>
              <a:srgbClr val="7030A0"/>
            </a:solidFill>
          </c:spPr>
          <c:invertIfNegative val="0"/>
          <c:cat>
            <c:strRef>
              <c:f>Economía!$B$246:$B$262</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Economía!$T$246:$T$262</c:f>
              <c:numCache>
                <c:formatCode>0,000</c:formatCode>
                <c:ptCount val="17"/>
                <c:pt idx="0">
                  <c:v>0</c:v>
                </c:pt>
                <c:pt idx="1">
                  <c:v>4.1666666666666664E-2</c:v>
                </c:pt>
                <c:pt idx="2">
                  <c:v>0.17021276595744694</c:v>
                </c:pt>
                <c:pt idx="3">
                  <c:v>0.17835671342685372</c:v>
                </c:pt>
                <c:pt idx="4">
                  <c:v>0.11090225563909764</c:v>
                </c:pt>
                <c:pt idx="5">
                  <c:v>9.3525179856115206E-2</c:v>
                </c:pt>
                <c:pt idx="6">
                  <c:v>7.5688073394495417E-2</c:v>
                </c:pt>
                <c:pt idx="7">
                  <c:v>0.10374639769452441</c:v>
                </c:pt>
                <c:pt idx="8">
                  <c:v>5.4054054054054092E-2</c:v>
                </c:pt>
                <c:pt idx="9">
                  <c:v>9.5454545454545528E-2</c:v>
                </c:pt>
                <c:pt idx="10">
                  <c:v>8.0808080808080843E-2</c:v>
                </c:pt>
                <c:pt idx="11">
                  <c:v>7.092198581560287E-2</c:v>
                </c:pt>
                <c:pt idx="12">
                  <c:v>6.0606060606060622E-2</c:v>
                </c:pt>
                <c:pt idx="13">
                  <c:v>0.10256410256410264</c:v>
                </c:pt>
                <c:pt idx="14">
                  <c:v>0.18750000000000017</c:v>
                </c:pt>
                <c:pt idx="15">
                  <c:v>0</c:v>
                </c:pt>
                <c:pt idx="16">
                  <c:v>0.33333333333333331</c:v>
                </c:pt>
              </c:numCache>
            </c:numRef>
          </c:val>
        </c:ser>
        <c:ser>
          <c:idx val="4"/>
          <c:order val="4"/>
          <c:tx>
            <c:strRef>
              <c:f>Economía!$U$245</c:f>
              <c:strCache>
                <c:ptCount val="1"/>
                <c:pt idx="0">
                  <c:v>Trabajadores de los servicios y vendedores</c:v>
                </c:pt>
              </c:strCache>
            </c:strRef>
          </c:tx>
          <c:spPr>
            <a:solidFill>
              <a:srgbClr val="00B050"/>
            </a:solidFill>
          </c:spPr>
          <c:invertIfNegative val="0"/>
          <c:cat>
            <c:strRef>
              <c:f>Economía!$B$246:$B$262</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Economía!$U$246:$U$262</c:f>
              <c:numCache>
                <c:formatCode>0,000</c:formatCode>
                <c:ptCount val="17"/>
                <c:pt idx="0">
                  <c:v>5.8823529411764705E-2</c:v>
                </c:pt>
                <c:pt idx="1">
                  <c:v>0.29166666666666707</c:v>
                </c:pt>
                <c:pt idx="2">
                  <c:v>0.26950354609929078</c:v>
                </c:pt>
                <c:pt idx="3">
                  <c:v>0.10020040080160322</c:v>
                </c:pt>
                <c:pt idx="4">
                  <c:v>0.10526315789473686</c:v>
                </c:pt>
                <c:pt idx="5">
                  <c:v>0.11990407673860928</c:v>
                </c:pt>
                <c:pt idx="6">
                  <c:v>0.13990825688073424</c:v>
                </c:pt>
                <c:pt idx="7">
                  <c:v>0.11815561959654178</c:v>
                </c:pt>
                <c:pt idx="8">
                  <c:v>0.11148648648648657</c:v>
                </c:pt>
                <c:pt idx="9">
                  <c:v>7.2727272727272724E-2</c:v>
                </c:pt>
                <c:pt idx="10">
                  <c:v>5.5555555555555483E-2</c:v>
                </c:pt>
                <c:pt idx="11">
                  <c:v>9.9290780141844004E-2</c:v>
                </c:pt>
                <c:pt idx="12">
                  <c:v>7.0707070707070704E-2</c:v>
                </c:pt>
                <c:pt idx="13">
                  <c:v>0</c:v>
                </c:pt>
                <c:pt idx="14">
                  <c:v>0.125</c:v>
                </c:pt>
                <c:pt idx="15">
                  <c:v>9.0909090909091064E-2</c:v>
                </c:pt>
                <c:pt idx="16">
                  <c:v>0</c:v>
                </c:pt>
              </c:numCache>
            </c:numRef>
          </c:val>
        </c:ser>
        <c:ser>
          <c:idx val="5"/>
          <c:order val="5"/>
          <c:tx>
            <c:strRef>
              <c:f>Economía!$V$245</c:f>
              <c:strCache>
                <c:ptCount val="1"/>
                <c:pt idx="0">
                  <c:v>Agricultores y trabajadores calificados</c:v>
                </c:pt>
              </c:strCache>
            </c:strRef>
          </c:tx>
          <c:spPr>
            <a:solidFill>
              <a:schemeClr val="accent6">
                <a:lumMod val="75000"/>
              </a:schemeClr>
            </a:solidFill>
          </c:spPr>
          <c:invertIfNegative val="0"/>
          <c:cat>
            <c:strRef>
              <c:f>Economía!$B$246:$B$262</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Economía!$V$246:$V$262</c:f>
              <c:numCache>
                <c:formatCode>0,000</c:formatCode>
                <c:ptCount val="17"/>
                <c:pt idx="0">
                  <c:v>0</c:v>
                </c:pt>
                <c:pt idx="1">
                  <c:v>0</c:v>
                </c:pt>
                <c:pt idx="2">
                  <c:v>1.4184397163120564E-2</c:v>
                </c:pt>
                <c:pt idx="3">
                  <c:v>4.0080160320641357E-3</c:v>
                </c:pt>
                <c:pt idx="4">
                  <c:v>1.5037593984962405E-2</c:v>
                </c:pt>
                <c:pt idx="5">
                  <c:v>2.1582733812949641E-2</c:v>
                </c:pt>
                <c:pt idx="6">
                  <c:v>1.1467889908256881E-2</c:v>
                </c:pt>
                <c:pt idx="7">
                  <c:v>5.763688760806916E-3</c:v>
                </c:pt>
                <c:pt idx="8">
                  <c:v>2.0270270270270313E-2</c:v>
                </c:pt>
                <c:pt idx="9">
                  <c:v>4.5454545454545504E-3</c:v>
                </c:pt>
                <c:pt idx="10">
                  <c:v>3.0303030303030311E-2</c:v>
                </c:pt>
                <c:pt idx="11">
                  <c:v>4.9645390070921988E-2</c:v>
                </c:pt>
                <c:pt idx="12">
                  <c:v>3.0303030303030311E-2</c:v>
                </c:pt>
                <c:pt idx="13">
                  <c:v>7.6923076923076927E-2</c:v>
                </c:pt>
                <c:pt idx="14">
                  <c:v>0</c:v>
                </c:pt>
                <c:pt idx="15">
                  <c:v>0.18181818181818207</c:v>
                </c:pt>
                <c:pt idx="16">
                  <c:v>0</c:v>
                </c:pt>
              </c:numCache>
            </c:numRef>
          </c:val>
        </c:ser>
        <c:ser>
          <c:idx val="6"/>
          <c:order val="6"/>
          <c:tx>
            <c:strRef>
              <c:f>Economía!$W$245</c:f>
              <c:strCache>
                <c:ptCount val="1"/>
                <c:pt idx="0">
                  <c:v>Oficiales, operarios y artesanos</c:v>
                </c:pt>
              </c:strCache>
            </c:strRef>
          </c:tx>
          <c:spPr>
            <a:solidFill>
              <a:srgbClr val="FFFF00"/>
            </a:solidFill>
          </c:spPr>
          <c:invertIfNegative val="0"/>
          <c:cat>
            <c:strRef>
              <c:f>Economía!$B$246:$B$262</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Economía!$W$246:$W$262</c:f>
              <c:numCache>
                <c:formatCode>0,000</c:formatCode>
                <c:ptCount val="17"/>
                <c:pt idx="0">
                  <c:v>0</c:v>
                </c:pt>
                <c:pt idx="1">
                  <c:v>4.1666666666666664E-2</c:v>
                </c:pt>
                <c:pt idx="2">
                  <c:v>2.8368794326241127E-2</c:v>
                </c:pt>
                <c:pt idx="3">
                  <c:v>1.2024048096192385E-2</c:v>
                </c:pt>
                <c:pt idx="4">
                  <c:v>1.6917293233082709E-2</c:v>
                </c:pt>
                <c:pt idx="5">
                  <c:v>2.6378896882494011E-2</c:v>
                </c:pt>
                <c:pt idx="6">
                  <c:v>1.8348623853211021E-2</c:v>
                </c:pt>
                <c:pt idx="7">
                  <c:v>2.5936599423631142E-2</c:v>
                </c:pt>
                <c:pt idx="8">
                  <c:v>2.3648648648648643E-2</c:v>
                </c:pt>
                <c:pt idx="9">
                  <c:v>1.8181818181818202E-2</c:v>
                </c:pt>
                <c:pt idx="10">
                  <c:v>4.5454545454545463E-2</c:v>
                </c:pt>
                <c:pt idx="11">
                  <c:v>1.4184397163120564E-2</c:v>
                </c:pt>
                <c:pt idx="12">
                  <c:v>0</c:v>
                </c:pt>
                <c:pt idx="13">
                  <c:v>0</c:v>
                </c:pt>
                <c:pt idx="14">
                  <c:v>0</c:v>
                </c:pt>
                <c:pt idx="15">
                  <c:v>9.0909090909091064E-2</c:v>
                </c:pt>
                <c:pt idx="16">
                  <c:v>0</c:v>
                </c:pt>
              </c:numCache>
            </c:numRef>
          </c:val>
        </c:ser>
        <c:ser>
          <c:idx val="7"/>
          <c:order val="7"/>
          <c:tx>
            <c:strRef>
              <c:f>Economía!$X$245</c:f>
              <c:strCache>
                <c:ptCount val="1"/>
                <c:pt idx="0">
                  <c:v>Operadores de instalaciones y maquinaria</c:v>
                </c:pt>
              </c:strCache>
            </c:strRef>
          </c:tx>
          <c:spPr>
            <a:solidFill>
              <a:srgbClr val="FF0000"/>
            </a:solidFill>
          </c:spPr>
          <c:invertIfNegative val="0"/>
          <c:cat>
            <c:strRef>
              <c:f>Economía!$B$246:$B$262</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Economía!$X$246:$X$262</c:f>
              <c:numCache>
                <c:formatCode>0,000</c:formatCode>
                <c:ptCount val="17"/>
                <c:pt idx="0">
                  <c:v>0</c:v>
                </c:pt>
                <c:pt idx="1">
                  <c:v>0</c:v>
                </c:pt>
                <c:pt idx="2">
                  <c:v>7.0921985815602887E-3</c:v>
                </c:pt>
                <c:pt idx="3">
                  <c:v>1.002004008016032E-2</c:v>
                </c:pt>
                <c:pt idx="4">
                  <c:v>5.6390977443609106E-3</c:v>
                </c:pt>
                <c:pt idx="5">
                  <c:v>4.7961630695443772E-3</c:v>
                </c:pt>
                <c:pt idx="6">
                  <c:v>1.8348623853211021E-2</c:v>
                </c:pt>
                <c:pt idx="7">
                  <c:v>8.6455331412103754E-3</c:v>
                </c:pt>
                <c:pt idx="8">
                  <c:v>3.3783783783783812E-3</c:v>
                </c:pt>
                <c:pt idx="9">
                  <c:v>1.8181818181818202E-2</c:v>
                </c:pt>
                <c:pt idx="10">
                  <c:v>0</c:v>
                </c:pt>
                <c:pt idx="11">
                  <c:v>0</c:v>
                </c:pt>
                <c:pt idx="12">
                  <c:v>0</c:v>
                </c:pt>
                <c:pt idx="13">
                  <c:v>0</c:v>
                </c:pt>
                <c:pt idx="14">
                  <c:v>0</c:v>
                </c:pt>
                <c:pt idx="15">
                  <c:v>0</c:v>
                </c:pt>
                <c:pt idx="16">
                  <c:v>0</c:v>
                </c:pt>
              </c:numCache>
            </c:numRef>
          </c:val>
        </c:ser>
        <c:ser>
          <c:idx val="8"/>
          <c:order val="8"/>
          <c:tx>
            <c:strRef>
              <c:f>Economía!$Y$245</c:f>
              <c:strCache>
                <c:ptCount val="1"/>
                <c:pt idx="0">
                  <c:v>Ocupaciones elementales</c:v>
                </c:pt>
              </c:strCache>
            </c:strRef>
          </c:tx>
          <c:spPr>
            <a:solidFill>
              <a:srgbClr val="00F0EA"/>
            </a:solidFill>
          </c:spPr>
          <c:invertIfNegative val="0"/>
          <c:cat>
            <c:strRef>
              <c:f>Economía!$B$246:$B$262</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Economía!$Y$246:$Y$262</c:f>
              <c:numCache>
                <c:formatCode>0,000</c:formatCode>
                <c:ptCount val="17"/>
                <c:pt idx="0">
                  <c:v>5.8823529411764705E-2</c:v>
                </c:pt>
                <c:pt idx="1">
                  <c:v>0.33333333333333331</c:v>
                </c:pt>
                <c:pt idx="2">
                  <c:v>0.29078014184397188</c:v>
                </c:pt>
                <c:pt idx="3">
                  <c:v>3.0060120240480961E-2</c:v>
                </c:pt>
                <c:pt idx="4">
                  <c:v>2.0676691729323366E-2</c:v>
                </c:pt>
                <c:pt idx="5">
                  <c:v>1.9184652278177478E-2</c:v>
                </c:pt>
                <c:pt idx="6">
                  <c:v>2.9816513761467892E-2</c:v>
                </c:pt>
                <c:pt idx="7">
                  <c:v>8.6455331412103754E-3</c:v>
                </c:pt>
                <c:pt idx="8">
                  <c:v>6.7567567567567571E-3</c:v>
                </c:pt>
                <c:pt idx="9">
                  <c:v>1.3636363636363641E-2</c:v>
                </c:pt>
                <c:pt idx="10">
                  <c:v>1.5151515151515166E-2</c:v>
                </c:pt>
                <c:pt idx="11">
                  <c:v>7.0921985815602887E-3</c:v>
                </c:pt>
                <c:pt idx="12">
                  <c:v>2.0202020202020211E-2</c:v>
                </c:pt>
                <c:pt idx="13">
                  <c:v>2.5641025641025685E-2</c:v>
                </c:pt>
                <c:pt idx="14">
                  <c:v>0</c:v>
                </c:pt>
                <c:pt idx="15">
                  <c:v>0</c:v>
                </c:pt>
                <c:pt idx="16">
                  <c:v>0.16666666666666666</c:v>
                </c:pt>
              </c:numCache>
            </c:numRef>
          </c:val>
        </c:ser>
        <c:ser>
          <c:idx val="9"/>
          <c:order val="9"/>
          <c:tx>
            <c:strRef>
              <c:f>Economía!$Z$245</c:f>
              <c:strCache>
                <c:ptCount val="1"/>
                <c:pt idx="0">
                  <c:v>Ocupaciones militares</c:v>
                </c:pt>
              </c:strCache>
            </c:strRef>
          </c:tx>
          <c:invertIfNegative val="0"/>
          <c:cat>
            <c:strRef>
              <c:f>Economía!$B$246:$B$262</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Economía!$Z$246:$Z$262</c:f>
              <c:numCache>
                <c:formatCode>0,000</c:formatCode>
                <c:ptCount val="17"/>
                <c:pt idx="0">
                  <c:v>0</c:v>
                </c:pt>
                <c:pt idx="1">
                  <c:v>0</c:v>
                </c:pt>
                <c:pt idx="2">
                  <c:v>7.0921985815602887E-3</c:v>
                </c:pt>
                <c:pt idx="3">
                  <c:v>0</c:v>
                </c:pt>
                <c:pt idx="4">
                  <c:v>0</c:v>
                </c:pt>
                <c:pt idx="5">
                  <c:v>2.3980815347721847E-3</c:v>
                </c:pt>
                <c:pt idx="6">
                  <c:v>2.2935779816513836E-3</c:v>
                </c:pt>
                <c:pt idx="7">
                  <c:v>0</c:v>
                </c:pt>
                <c:pt idx="8">
                  <c:v>6.7567567567567571E-3</c:v>
                </c:pt>
                <c:pt idx="9">
                  <c:v>0</c:v>
                </c:pt>
                <c:pt idx="10">
                  <c:v>0</c:v>
                </c:pt>
                <c:pt idx="11">
                  <c:v>0</c:v>
                </c:pt>
                <c:pt idx="12">
                  <c:v>0</c:v>
                </c:pt>
                <c:pt idx="13">
                  <c:v>0</c:v>
                </c:pt>
                <c:pt idx="14">
                  <c:v>0</c:v>
                </c:pt>
                <c:pt idx="15">
                  <c:v>0</c:v>
                </c:pt>
                <c:pt idx="16">
                  <c:v>0</c:v>
                </c:pt>
              </c:numCache>
            </c:numRef>
          </c:val>
        </c:ser>
        <c:ser>
          <c:idx val="10"/>
          <c:order val="10"/>
          <c:tx>
            <c:strRef>
              <c:f>Economía!$AA$245</c:f>
              <c:strCache>
                <c:ptCount val="1"/>
                <c:pt idx="0">
                  <c:v>Trabajadores nuevos</c:v>
                </c:pt>
              </c:strCache>
            </c:strRef>
          </c:tx>
          <c:spPr>
            <a:solidFill>
              <a:srgbClr val="C00000"/>
            </a:solidFill>
          </c:spPr>
          <c:invertIfNegative val="0"/>
          <c:cat>
            <c:strRef>
              <c:f>Economía!$B$246:$B$262</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Economía!$AA$246:$AA$262</c:f>
              <c:numCache>
                <c:formatCode>0,000</c:formatCode>
                <c:ptCount val="17"/>
                <c:pt idx="0">
                  <c:v>0</c:v>
                </c:pt>
                <c:pt idx="1">
                  <c:v>4.1666666666666664E-2</c:v>
                </c:pt>
                <c:pt idx="2">
                  <c:v>0.13475177304964522</c:v>
                </c:pt>
                <c:pt idx="3">
                  <c:v>5.4108216432865779E-2</c:v>
                </c:pt>
                <c:pt idx="4">
                  <c:v>3.1954887218045111E-2</c:v>
                </c:pt>
                <c:pt idx="5">
                  <c:v>4.5563549160671457E-2</c:v>
                </c:pt>
                <c:pt idx="6">
                  <c:v>2.5229357798165188E-2</c:v>
                </c:pt>
                <c:pt idx="7">
                  <c:v>2.0172910662824256E-2</c:v>
                </c:pt>
                <c:pt idx="8">
                  <c:v>3.3783783783783786E-2</c:v>
                </c:pt>
                <c:pt idx="9">
                  <c:v>1.3636363636363641E-2</c:v>
                </c:pt>
                <c:pt idx="10">
                  <c:v>3.0303030303030311E-2</c:v>
                </c:pt>
                <c:pt idx="11">
                  <c:v>0</c:v>
                </c:pt>
                <c:pt idx="12">
                  <c:v>0</c:v>
                </c:pt>
                <c:pt idx="13">
                  <c:v>0</c:v>
                </c:pt>
                <c:pt idx="14">
                  <c:v>0</c:v>
                </c:pt>
                <c:pt idx="15">
                  <c:v>0</c:v>
                </c:pt>
                <c:pt idx="16">
                  <c:v>0</c:v>
                </c:pt>
              </c:numCache>
            </c:numRef>
          </c:val>
        </c:ser>
        <c:ser>
          <c:idx val="11"/>
          <c:order val="11"/>
          <c:tx>
            <c:strRef>
              <c:f>Economía!$AB$245</c:f>
              <c:strCache>
                <c:ptCount val="1"/>
                <c:pt idx="0">
                  <c:v>No declarado</c:v>
                </c:pt>
              </c:strCache>
            </c:strRef>
          </c:tx>
          <c:spPr>
            <a:solidFill>
              <a:schemeClr val="bg1">
                <a:lumMod val="65000"/>
              </a:schemeClr>
            </a:solidFill>
          </c:spPr>
          <c:invertIfNegative val="0"/>
          <c:cat>
            <c:strRef>
              <c:f>Economía!$B$246:$B$262</c:f>
              <c:strCache>
                <c:ptCount val="17"/>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strCache>
            </c:strRef>
          </c:cat>
          <c:val>
            <c:numRef>
              <c:f>Economía!$AB$246:$AB$262</c:f>
              <c:numCache>
                <c:formatCode>0,000</c:formatCode>
                <c:ptCount val="17"/>
                <c:pt idx="0">
                  <c:v>0.88235294117647056</c:v>
                </c:pt>
                <c:pt idx="1">
                  <c:v>0.25</c:v>
                </c:pt>
                <c:pt idx="2">
                  <c:v>7.8014184397163122E-2</c:v>
                </c:pt>
                <c:pt idx="3">
                  <c:v>7.0140280561122259E-2</c:v>
                </c:pt>
                <c:pt idx="4">
                  <c:v>4.3233082706766915E-2</c:v>
                </c:pt>
                <c:pt idx="5">
                  <c:v>6.7146282973621185E-2</c:v>
                </c:pt>
                <c:pt idx="6">
                  <c:v>3.8990825688073445E-2</c:v>
                </c:pt>
                <c:pt idx="7">
                  <c:v>3.7463976945244996E-2</c:v>
                </c:pt>
                <c:pt idx="8">
                  <c:v>3.7162162162162192E-2</c:v>
                </c:pt>
                <c:pt idx="9">
                  <c:v>6.8181818181818177E-2</c:v>
                </c:pt>
                <c:pt idx="10">
                  <c:v>4.5454545454545463E-2</c:v>
                </c:pt>
                <c:pt idx="11">
                  <c:v>4.2553191489361722E-2</c:v>
                </c:pt>
                <c:pt idx="12">
                  <c:v>0.1111111111111111</c:v>
                </c:pt>
                <c:pt idx="13">
                  <c:v>0.17948717948717977</c:v>
                </c:pt>
                <c:pt idx="14">
                  <c:v>6.25E-2</c:v>
                </c:pt>
                <c:pt idx="15">
                  <c:v>9.0909090909091064E-2</c:v>
                </c:pt>
                <c:pt idx="16">
                  <c:v>0</c:v>
                </c:pt>
              </c:numCache>
            </c:numRef>
          </c:val>
        </c:ser>
        <c:dLbls>
          <c:showLegendKey val="0"/>
          <c:showVal val="0"/>
          <c:showCatName val="0"/>
          <c:showSerName val="0"/>
          <c:showPercent val="0"/>
          <c:showBubbleSize val="0"/>
        </c:dLbls>
        <c:gapWidth val="0"/>
        <c:overlap val="100"/>
        <c:axId val="285709824"/>
        <c:axId val="285711744"/>
      </c:barChart>
      <c:catAx>
        <c:axId val="285709824"/>
        <c:scaling>
          <c:orientation val="maxMin"/>
        </c:scaling>
        <c:delete val="0"/>
        <c:axPos val="l"/>
        <c:title>
          <c:tx>
            <c:rich>
              <a:bodyPr rot="-5400000" vert="horz"/>
              <a:lstStyle/>
              <a:p>
                <a:pPr>
                  <a:defRPr/>
                </a:pPr>
                <a:r>
                  <a:rPr lang="es-EC"/>
                  <a:t>Grupos Etarios</a:t>
                </a:r>
              </a:p>
            </c:rich>
          </c:tx>
          <c:overlay val="0"/>
        </c:title>
        <c:majorTickMark val="out"/>
        <c:minorTickMark val="none"/>
        <c:tickLblPos val="nextTo"/>
        <c:spPr>
          <a:ln>
            <a:solidFill>
              <a:schemeClr val="tx1"/>
            </a:solidFill>
          </a:ln>
        </c:spPr>
        <c:crossAx val="285711744"/>
        <c:crosses val="autoZero"/>
        <c:auto val="1"/>
        <c:lblAlgn val="ctr"/>
        <c:lblOffset val="100"/>
        <c:noMultiLvlLbl val="0"/>
      </c:catAx>
      <c:valAx>
        <c:axId val="285711744"/>
        <c:scaling>
          <c:orientation val="minMax"/>
          <c:max val="1"/>
          <c:min val="0"/>
        </c:scaling>
        <c:delete val="0"/>
        <c:axPos val="t"/>
        <c:title>
          <c:tx>
            <c:rich>
              <a:bodyPr/>
              <a:lstStyle/>
              <a:p>
                <a:pPr>
                  <a:defRPr/>
                </a:pPr>
                <a:r>
                  <a:rPr lang="es-EC"/>
                  <a:t>Frecuencia Relativa</a:t>
                </a:r>
              </a:p>
            </c:rich>
          </c:tx>
          <c:layout>
            <c:manualLayout>
              <c:xMode val="edge"/>
              <c:yMode val="edge"/>
              <c:x val="0.27318000874890641"/>
              <c:y val="0.95708074114498054"/>
            </c:manualLayout>
          </c:layout>
          <c:overlay val="0"/>
        </c:title>
        <c:numFmt formatCode="#,##0.00" sourceLinked="0"/>
        <c:majorTickMark val="in"/>
        <c:minorTickMark val="none"/>
        <c:tickLblPos val="high"/>
        <c:spPr>
          <a:ln>
            <a:solidFill>
              <a:schemeClr val="tx1"/>
            </a:solidFill>
          </a:ln>
        </c:spPr>
        <c:crossAx val="285709824"/>
        <c:crossesAt val="21"/>
        <c:crossBetween val="between"/>
        <c:majorUnit val="0.2"/>
      </c:valAx>
      <c:spPr>
        <a:noFill/>
        <a:ln>
          <a:solidFill>
            <a:schemeClr val="tx1"/>
          </a:solidFill>
        </a:ln>
      </c:spPr>
    </c:plotArea>
    <c:legend>
      <c:legendPos val="r"/>
      <c:layout>
        <c:manualLayout>
          <c:xMode val="edge"/>
          <c:yMode val="edge"/>
          <c:x val="0.65050021872265951"/>
          <c:y val="4.8660823503701732E-2"/>
          <c:w val="0.34166666666666706"/>
          <c:h val="0.88692546976579967"/>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63128242946952073"/>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'Inmigracion(Perfil)'!$H$936:$H$941</c:f>
              <c:strCache>
                <c:ptCount val="6"/>
                <c:pt idx="0">
                  <c:v>Casa/Villa</c:v>
                </c:pt>
                <c:pt idx="1">
                  <c:v>Departamento en casa o edificio</c:v>
                </c:pt>
                <c:pt idx="2">
                  <c:v>Cuarto(s) en casa de inquilinato</c:v>
                </c:pt>
                <c:pt idx="3">
                  <c:v>Otras viviendas particulares</c:v>
                </c:pt>
                <c:pt idx="4">
                  <c:v>Viviendas colectivas</c:v>
                </c:pt>
                <c:pt idx="5">
                  <c:v>Sin viviendas</c:v>
                </c:pt>
              </c:strCache>
            </c:strRef>
          </c:cat>
          <c:val>
            <c:numRef>
              <c:f>Vivienda!$G$3:$G$8</c:f>
              <c:numCache>
                <c:formatCode>0,000</c:formatCode>
                <c:ptCount val="6"/>
                <c:pt idx="0">
                  <c:v>0.54569653948535934</c:v>
                </c:pt>
                <c:pt idx="1">
                  <c:v>0.39884649511978792</c:v>
                </c:pt>
                <c:pt idx="2">
                  <c:v>3.5936113575865201E-2</c:v>
                </c:pt>
                <c:pt idx="3">
                  <c:v>9.7604259094942521E-3</c:v>
                </c:pt>
                <c:pt idx="4">
                  <c:v>9.316770186335404E-3</c:v>
                </c:pt>
                <c:pt idx="5">
                  <c:v>4.4365572315882904E-4</c:v>
                </c:pt>
              </c:numCache>
            </c:numRef>
          </c:val>
        </c:ser>
        <c:dLbls>
          <c:showLegendKey val="0"/>
          <c:showVal val="1"/>
          <c:showCatName val="0"/>
          <c:showSerName val="0"/>
          <c:showPercent val="0"/>
          <c:showBubbleSize val="0"/>
        </c:dLbls>
        <c:gapWidth val="50"/>
        <c:axId val="285731456"/>
        <c:axId val="285747072"/>
      </c:barChart>
      <c:catAx>
        <c:axId val="285731456"/>
        <c:scaling>
          <c:orientation val="minMax"/>
        </c:scaling>
        <c:delete val="0"/>
        <c:axPos val="b"/>
        <c:title>
          <c:tx>
            <c:rich>
              <a:bodyPr/>
              <a:lstStyle/>
              <a:p>
                <a:pPr>
                  <a:defRPr/>
                </a:pPr>
                <a:r>
                  <a:rPr lang="es-EC"/>
                  <a:t>Tipo de vivienda</a:t>
                </a:r>
              </a:p>
            </c:rich>
          </c:tx>
          <c:overlay val="0"/>
        </c:title>
        <c:numFmt formatCode="###0" sourceLinked="1"/>
        <c:majorTickMark val="out"/>
        <c:minorTickMark val="none"/>
        <c:tickLblPos val="nextTo"/>
        <c:spPr>
          <a:ln>
            <a:solidFill>
              <a:schemeClr val="tx1"/>
            </a:solidFill>
          </a:ln>
        </c:spPr>
        <c:txPr>
          <a:bodyPr rot="0" vert="horz"/>
          <a:lstStyle/>
          <a:p>
            <a:pPr>
              <a:defRPr sz="700"/>
            </a:pPr>
            <a:endParaRPr lang="es-EC"/>
          </a:p>
        </c:txPr>
        <c:crossAx val="285747072"/>
        <c:crosses val="autoZero"/>
        <c:auto val="1"/>
        <c:lblAlgn val="ctr"/>
        <c:lblOffset val="100"/>
        <c:noMultiLvlLbl val="0"/>
      </c:catAx>
      <c:valAx>
        <c:axId val="285747072"/>
        <c:scaling>
          <c:orientation val="minMax"/>
          <c:max val="1"/>
          <c:min val="0"/>
        </c:scaling>
        <c:delete val="0"/>
        <c:axPos val="l"/>
        <c:title>
          <c:tx>
            <c:rich>
              <a:bodyPr rot="-5400000" vert="horz"/>
              <a:lstStyle/>
              <a:p>
                <a:pPr>
                  <a:defRPr sz="750"/>
                </a:pPr>
                <a:r>
                  <a:rPr lang="es-EC" sz="750"/>
                  <a:t>Frecuencia Relativa</a:t>
                </a:r>
              </a:p>
            </c:rich>
          </c:tx>
          <c:layout>
            <c:manualLayout>
              <c:xMode val="edge"/>
              <c:yMode val="edge"/>
              <c:x val="3.7340182262624909E-3"/>
              <c:y val="0.10632477397629468"/>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85731456"/>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281290482466478"/>
          <c:h val="0.62843181558826955"/>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'Inmigracion(Perfil)'!$B$1021:$B$1027</c:f>
              <c:strCache>
                <c:ptCount val="7"/>
                <c:pt idx="0">
                  <c:v>Propia y totalmente pagada</c:v>
                </c:pt>
                <c:pt idx="1">
                  <c:v>Propia y la está pagando</c:v>
                </c:pt>
                <c:pt idx="2">
                  <c:v>Propia (regalada, donada, heredada o por posesión)</c:v>
                </c:pt>
                <c:pt idx="3">
                  <c:v>Prestada o cedida (no pagada)</c:v>
                </c:pt>
                <c:pt idx="4">
                  <c:v>Por servicios</c:v>
                </c:pt>
                <c:pt idx="5">
                  <c:v>Arrendada</c:v>
                </c:pt>
                <c:pt idx="6">
                  <c:v>Anticresis</c:v>
                </c:pt>
              </c:strCache>
            </c:strRef>
          </c:cat>
          <c:val>
            <c:numRef>
              <c:f>Vivienda!$G$22:$G$28</c:f>
              <c:numCache>
                <c:formatCode>0,000</c:formatCode>
                <c:ptCount val="7"/>
                <c:pt idx="0">
                  <c:v>0.3268892794376107</c:v>
                </c:pt>
                <c:pt idx="1">
                  <c:v>8.5676625659051084E-2</c:v>
                </c:pt>
                <c:pt idx="2">
                  <c:v>2.3725834797891004E-2</c:v>
                </c:pt>
                <c:pt idx="3">
                  <c:v>4.6572934973638021E-2</c:v>
                </c:pt>
                <c:pt idx="4">
                  <c:v>1.1423550087873484E-2</c:v>
                </c:pt>
                <c:pt idx="5">
                  <c:v>0.5043936731107207</c:v>
                </c:pt>
                <c:pt idx="6">
                  <c:v>1.3181019332161707E-3</c:v>
                </c:pt>
              </c:numCache>
            </c:numRef>
          </c:val>
        </c:ser>
        <c:dLbls>
          <c:showLegendKey val="0"/>
          <c:showVal val="1"/>
          <c:showCatName val="0"/>
          <c:showSerName val="0"/>
          <c:showPercent val="0"/>
          <c:showBubbleSize val="0"/>
        </c:dLbls>
        <c:gapWidth val="50"/>
        <c:axId val="285778688"/>
        <c:axId val="285790208"/>
      </c:barChart>
      <c:catAx>
        <c:axId val="285778688"/>
        <c:scaling>
          <c:orientation val="minMax"/>
        </c:scaling>
        <c:delete val="0"/>
        <c:axPos val="b"/>
        <c:title>
          <c:tx>
            <c:rich>
              <a:bodyPr/>
              <a:lstStyle/>
              <a:p>
                <a:pPr>
                  <a:defRPr/>
                </a:pPr>
                <a:r>
                  <a:rPr lang="es-EC"/>
                  <a:t>La vivienda que ocupa</a:t>
                </a:r>
                <a:r>
                  <a:rPr lang="es-EC" baseline="0"/>
                  <a:t> este hogar</a:t>
                </a:r>
                <a:endParaRPr lang="es-EC"/>
              </a:p>
            </c:rich>
          </c:tx>
          <c:overlay val="0"/>
        </c:title>
        <c:numFmt formatCode="###0" sourceLinked="1"/>
        <c:majorTickMark val="out"/>
        <c:minorTickMark val="none"/>
        <c:tickLblPos val="nextTo"/>
        <c:spPr>
          <a:ln>
            <a:solidFill>
              <a:schemeClr val="tx1"/>
            </a:solidFill>
          </a:ln>
        </c:spPr>
        <c:txPr>
          <a:bodyPr rot="0" vert="horz"/>
          <a:lstStyle/>
          <a:p>
            <a:pPr>
              <a:defRPr sz="550"/>
            </a:pPr>
            <a:endParaRPr lang="es-EC"/>
          </a:p>
        </c:txPr>
        <c:crossAx val="285790208"/>
        <c:crosses val="autoZero"/>
        <c:auto val="1"/>
        <c:lblAlgn val="ctr"/>
        <c:lblOffset val="100"/>
        <c:noMultiLvlLbl val="0"/>
      </c:catAx>
      <c:valAx>
        <c:axId val="285790208"/>
        <c:scaling>
          <c:orientation val="minMax"/>
          <c:max val="1"/>
          <c:min val="0"/>
        </c:scaling>
        <c:delete val="0"/>
        <c:axPos val="l"/>
        <c:title>
          <c:tx>
            <c:rich>
              <a:bodyPr rot="-5400000" vert="horz"/>
              <a:lstStyle/>
              <a:p>
                <a:pPr>
                  <a:defRPr sz="750"/>
                </a:pPr>
                <a:r>
                  <a:rPr lang="es-EC" sz="750"/>
                  <a:t>Frecuencia Relativa</a:t>
                </a:r>
              </a:p>
            </c:rich>
          </c:tx>
          <c:layout>
            <c:manualLayout>
              <c:xMode val="edge"/>
              <c:yMode val="edge"/>
              <c:x val="6.5952485553039805E-3"/>
              <c:y val="8.3073922393434113E-2"/>
            </c:manualLayout>
          </c:layout>
          <c:overlay val="0"/>
        </c:title>
        <c:numFmt formatCode="0.00" sourceLinked="0"/>
        <c:majorTickMark val="out"/>
        <c:minorTickMark val="none"/>
        <c:tickLblPos val="nextTo"/>
        <c:spPr>
          <a:ln>
            <a:solidFill>
              <a:schemeClr val="tx1"/>
            </a:solidFill>
          </a:ln>
        </c:spPr>
        <c:txPr>
          <a:bodyPr/>
          <a:lstStyle/>
          <a:p>
            <a:pPr>
              <a:defRPr sz="700"/>
            </a:pPr>
            <a:endParaRPr lang="es-EC"/>
          </a:p>
        </c:txPr>
        <c:crossAx val="285778688"/>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8873658431765"/>
          <c:y val="7.7924323600695011E-2"/>
          <c:w val="0.86616405980926559"/>
          <c:h val="0.65628725650812125"/>
        </c:manualLayout>
      </c:layout>
      <c:lineChart>
        <c:grouping val="standard"/>
        <c:varyColors val="0"/>
        <c:ser>
          <c:idx val="0"/>
          <c:order val="0"/>
          <c:spPr>
            <a:ln w="19050">
              <a:solidFill>
                <a:srgbClr val="0070C0"/>
              </a:solidFill>
            </a:ln>
          </c:spPr>
          <c:marker>
            <c:symbol val="none"/>
          </c:marker>
          <c:cat>
            <c:strRef>
              <c:f>Inmigrantes_Guayaquil!$J$198:$J$215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Inmigrantes_Guayaquil!$K$198:$K$215</c:f>
              <c:numCache>
                <c:formatCode>0.00</c:formatCode>
                <c:ptCount val="18"/>
                <c:pt idx="0">
                  <c:v>984.44490329685459</c:v>
                </c:pt>
                <c:pt idx="1">
                  <c:v>982.09211060489849</c:v>
                </c:pt>
                <c:pt idx="2">
                  <c:v>977.91346298808992</c:v>
                </c:pt>
                <c:pt idx="3">
                  <c:v>975.22895474975553</c:v>
                </c:pt>
                <c:pt idx="4">
                  <c:v>973.55752932402106</c:v>
                </c:pt>
                <c:pt idx="5">
                  <c:v>967.36264519347094</c:v>
                </c:pt>
                <c:pt idx="6">
                  <c:v>963.0905692189275</c:v>
                </c:pt>
                <c:pt idx="7">
                  <c:v>953.49898369768232</c:v>
                </c:pt>
                <c:pt idx="8">
                  <c:v>942.60836099485255</c:v>
                </c:pt>
                <c:pt idx="9">
                  <c:v>932.19173371845216</c:v>
                </c:pt>
                <c:pt idx="10">
                  <c:v>907.81452059855906</c:v>
                </c:pt>
                <c:pt idx="11">
                  <c:v>885.00709036998842</c:v>
                </c:pt>
                <c:pt idx="12">
                  <c:v>868.32274934628322</c:v>
                </c:pt>
                <c:pt idx="13">
                  <c:v>839.61462170586549</c:v>
                </c:pt>
                <c:pt idx="14">
                  <c:v>831.89655172413791</c:v>
                </c:pt>
                <c:pt idx="15">
                  <c:v>820.05494505494448</c:v>
                </c:pt>
                <c:pt idx="16">
                  <c:v>762.71186440677968</c:v>
                </c:pt>
                <c:pt idx="17">
                  <c:v>861.1111111111112</c:v>
                </c:pt>
              </c:numCache>
            </c:numRef>
          </c:val>
          <c:smooth val="1"/>
        </c:ser>
        <c:ser>
          <c:idx val="1"/>
          <c:order val="1"/>
          <c:spPr>
            <a:ln w="19050">
              <a:solidFill>
                <a:schemeClr val="accent6">
                  <a:lumMod val="75000"/>
                </a:schemeClr>
              </a:solidFill>
            </a:ln>
          </c:spPr>
          <c:marker>
            <c:symbol val="none"/>
          </c:marker>
          <c:cat>
            <c:strRef>
              <c:f>Inmigrantes_Guayaquil!$J$198:$J$215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Inmigrantes_Guayaquil!$L$198:$L$215</c:f>
              <c:numCache>
                <c:formatCode>0.00</c:formatCode>
                <c:ptCount val="18"/>
                <c:pt idx="0">
                  <c:v>15.555096703145452</c:v>
                </c:pt>
                <c:pt idx="1">
                  <c:v>17.907889395101247</c:v>
                </c:pt>
                <c:pt idx="2">
                  <c:v>22.086537011910121</c:v>
                </c:pt>
                <c:pt idx="3">
                  <c:v>24.771045250245006</c:v>
                </c:pt>
                <c:pt idx="4">
                  <c:v>26.442470675978001</c:v>
                </c:pt>
                <c:pt idx="5">
                  <c:v>32.637354806527469</c:v>
                </c:pt>
                <c:pt idx="6">
                  <c:v>36.909430781072444</c:v>
                </c:pt>
                <c:pt idx="7">
                  <c:v>46.501016302318831</c:v>
                </c:pt>
                <c:pt idx="8">
                  <c:v>57.39163900514739</c:v>
                </c:pt>
                <c:pt idx="9">
                  <c:v>67.808266281548725</c:v>
                </c:pt>
                <c:pt idx="10">
                  <c:v>92.185479401440958</c:v>
                </c:pt>
                <c:pt idx="11">
                  <c:v>114.99290963001162</c:v>
                </c:pt>
                <c:pt idx="12">
                  <c:v>131.67725065371678</c:v>
                </c:pt>
                <c:pt idx="13">
                  <c:v>160.38537829413431</c:v>
                </c:pt>
                <c:pt idx="14">
                  <c:v>168.10344827586198</c:v>
                </c:pt>
                <c:pt idx="15">
                  <c:v>179.94505494505495</c:v>
                </c:pt>
                <c:pt idx="16">
                  <c:v>237.28813559322037</c:v>
                </c:pt>
                <c:pt idx="17">
                  <c:v>138.88888888888911</c:v>
                </c:pt>
              </c:numCache>
            </c:numRef>
          </c:val>
          <c:smooth val="1"/>
        </c:ser>
        <c:dLbls>
          <c:showLegendKey val="0"/>
          <c:showVal val="0"/>
          <c:showCatName val="0"/>
          <c:showSerName val="0"/>
          <c:showPercent val="0"/>
          <c:showBubbleSize val="0"/>
        </c:dLbls>
        <c:marker val="1"/>
        <c:smooth val="0"/>
        <c:axId val="234931328"/>
        <c:axId val="234933248"/>
      </c:lineChart>
      <c:catAx>
        <c:axId val="234931328"/>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34933248"/>
        <c:crosses val="autoZero"/>
        <c:auto val="1"/>
        <c:lblAlgn val="ctr"/>
        <c:lblOffset val="100"/>
        <c:noMultiLvlLbl val="0"/>
      </c:catAx>
      <c:valAx>
        <c:axId val="234933248"/>
        <c:scaling>
          <c:orientation val="minMax"/>
          <c:max val="1000"/>
          <c:min val="0"/>
        </c:scaling>
        <c:delete val="0"/>
        <c:axPos val="l"/>
        <c:title>
          <c:tx>
            <c:rich>
              <a:bodyPr rot="-5400000" vert="horz"/>
              <a:lstStyle/>
              <a:p>
                <a:pPr>
                  <a:defRPr sz="600"/>
                </a:pPr>
                <a:r>
                  <a:rPr lang="es-EC" sz="600"/>
                  <a:t>Tasa de Analfabetismo por cada 1000 Inmigrantes</a:t>
                </a:r>
              </a:p>
            </c:rich>
          </c:tx>
          <c:overlay val="0"/>
        </c:title>
        <c:numFmt formatCode="0" sourceLinked="0"/>
        <c:majorTickMark val="out"/>
        <c:minorTickMark val="none"/>
        <c:tickLblPos val="nextTo"/>
        <c:spPr>
          <a:ln>
            <a:solidFill>
              <a:schemeClr val="tx1"/>
            </a:solidFill>
          </a:ln>
        </c:spPr>
        <c:txPr>
          <a:bodyPr/>
          <a:lstStyle/>
          <a:p>
            <a:pPr>
              <a:defRPr sz="700"/>
            </a:pPr>
            <a:endParaRPr lang="es-EC"/>
          </a:p>
        </c:txPr>
        <c:crossAx val="234931328"/>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67480862718247325"/>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'Inmigracion(Perfil)'!$B$1035:$B$1039</c:f>
              <c:strCache>
                <c:ptCount val="5"/>
                <c:pt idx="0">
                  <c:v>Viviendas sin dormitorio</c:v>
                </c:pt>
                <c:pt idx="1">
                  <c:v>Menos de 2 personas por dormitorio</c:v>
                </c:pt>
                <c:pt idx="2">
                  <c:v>De 2 a 3 personas por dormitorio</c:v>
                </c:pt>
                <c:pt idx="3">
                  <c:v>De 4 a 5 personas por dormitorio</c:v>
                </c:pt>
                <c:pt idx="4">
                  <c:v>Más de 5 personas por dormitorio</c:v>
                </c:pt>
              </c:strCache>
            </c:strRef>
          </c:cat>
          <c:val>
            <c:numRef>
              <c:f>Vivienda!$G$38:$G$42</c:f>
              <c:numCache>
                <c:formatCode>0,000</c:formatCode>
                <c:ptCount val="5"/>
                <c:pt idx="0">
                  <c:v>9.4086021505376521E-3</c:v>
                </c:pt>
                <c:pt idx="1">
                  <c:v>0.82482078853046592</c:v>
                </c:pt>
                <c:pt idx="2">
                  <c:v>0.15277777777777779</c:v>
                </c:pt>
                <c:pt idx="3">
                  <c:v>1.2544802867383523E-2</c:v>
                </c:pt>
                <c:pt idx="4">
                  <c:v>4.4802867383512604E-4</c:v>
                </c:pt>
              </c:numCache>
            </c:numRef>
          </c:val>
        </c:ser>
        <c:dLbls>
          <c:showLegendKey val="0"/>
          <c:showVal val="1"/>
          <c:showCatName val="0"/>
          <c:showSerName val="0"/>
          <c:showPercent val="0"/>
          <c:showBubbleSize val="0"/>
        </c:dLbls>
        <c:gapWidth val="50"/>
        <c:axId val="285801088"/>
        <c:axId val="285878144"/>
      </c:barChart>
      <c:catAx>
        <c:axId val="285801088"/>
        <c:scaling>
          <c:orientation val="minMax"/>
        </c:scaling>
        <c:delete val="0"/>
        <c:axPos val="b"/>
        <c:title>
          <c:tx>
            <c:rich>
              <a:bodyPr/>
              <a:lstStyle/>
              <a:p>
                <a:pPr>
                  <a:defRPr/>
                </a:pPr>
                <a:r>
                  <a:rPr lang="es-EC"/>
                  <a:t>Número de personas por dormitorio</a:t>
                </a:r>
              </a:p>
            </c:rich>
          </c:tx>
          <c:overlay val="0"/>
        </c:title>
        <c:numFmt formatCode="###0" sourceLinked="1"/>
        <c:majorTickMark val="out"/>
        <c:minorTickMark val="none"/>
        <c:tickLblPos val="nextTo"/>
        <c:spPr>
          <a:ln>
            <a:solidFill>
              <a:schemeClr val="tx1"/>
            </a:solidFill>
          </a:ln>
        </c:spPr>
        <c:txPr>
          <a:bodyPr rot="0" vert="horz"/>
          <a:lstStyle/>
          <a:p>
            <a:pPr>
              <a:defRPr sz="600"/>
            </a:pPr>
            <a:endParaRPr lang="es-EC"/>
          </a:p>
        </c:txPr>
        <c:crossAx val="285878144"/>
        <c:crosses val="autoZero"/>
        <c:auto val="1"/>
        <c:lblAlgn val="ctr"/>
        <c:lblOffset val="100"/>
        <c:noMultiLvlLbl val="0"/>
      </c:catAx>
      <c:valAx>
        <c:axId val="285878144"/>
        <c:scaling>
          <c:orientation val="minMax"/>
          <c:max val="1"/>
          <c:min val="0"/>
        </c:scaling>
        <c:delete val="0"/>
        <c:axPos val="l"/>
        <c:title>
          <c:tx>
            <c:rich>
              <a:bodyPr rot="-5400000" vert="horz"/>
              <a:lstStyle/>
              <a:p>
                <a:pPr>
                  <a:defRPr sz="750"/>
                </a:pPr>
                <a:r>
                  <a:rPr lang="es-EC" sz="750"/>
                  <a:t>Frecuencia Relativa</a:t>
                </a:r>
              </a:p>
            </c:rich>
          </c:tx>
          <c:layout>
            <c:manualLayout>
              <c:xMode val="edge"/>
              <c:yMode val="edge"/>
              <c:x val="6.5952485553039857E-3"/>
              <c:y val="9.1286632899310979E-2"/>
            </c:manualLayout>
          </c:layout>
          <c:overlay val="0"/>
        </c:title>
        <c:numFmt formatCode="0.00" sourceLinked="0"/>
        <c:majorTickMark val="out"/>
        <c:minorTickMark val="none"/>
        <c:tickLblPos val="nextTo"/>
        <c:spPr>
          <a:ln>
            <a:solidFill>
              <a:schemeClr val="tx1"/>
            </a:solidFill>
          </a:ln>
        </c:spPr>
        <c:txPr>
          <a:bodyPr/>
          <a:lstStyle/>
          <a:p>
            <a:pPr>
              <a:defRPr sz="700"/>
            </a:pPr>
            <a:endParaRPr lang="es-EC"/>
          </a:p>
        </c:txPr>
        <c:crossAx val="285801088"/>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534304818232563"/>
          <c:y val="3.0651337633589532E-2"/>
          <c:w val="0.66798280305459712"/>
          <c:h val="0.87612208140354664"/>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Perfil!$B$3:$B$27</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Perfil!$H$3:$H$27</c:f>
              <c:numCache>
                <c:formatCode>0,000</c:formatCode>
                <c:ptCount val="25"/>
                <c:pt idx="0">
                  <c:v>3.5946544700921887E-2</c:v>
                </c:pt>
                <c:pt idx="1">
                  <c:v>4.7881083398842337E-3</c:v>
                </c:pt>
                <c:pt idx="2">
                  <c:v>2.1510755377688828E-2</c:v>
                </c:pt>
                <c:pt idx="3">
                  <c:v>2.3583220181519378E-3</c:v>
                </c:pt>
                <c:pt idx="4">
                  <c:v>1.3649681983849067E-2</c:v>
                </c:pt>
                <c:pt idx="5">
                  <c:v>3.1944543700421636E-2</c:v>
                </c:pt>
                <c:pt idx="6">
                  <c:v>7.0463803330236649E-2</c:v>
                </c:pt>
                <c:pt idx="7">
                  <c:v>2.1224898163367402E-2</c:v>
                </c:pt>
                <c:pt idx="8">
                  <c:v>0.1651540055742157</c:v>
                </c:pt>
                <c:pt idx="9">
                  <c:v>2.9300364467948259E-2</c:v>
                </c:pt>
                <c:pt idx="10">
                  <c:v>0.10240834703065818</c:v>
                </c:pt>
                <c:pt idx="11">
                  <c:v>2.0724648038304868E-2</c:v>
                </c:pt>
                <c:pt idx="12">
                  <c:v>4.6737654541556532E-2</c:v>
                </c:pt>
                <c:pt idx="13">
                  <c:v>1.5293360966197385E-2</c:v>
                </c:pt>
                <c:pt idx="14">
                  <c:v>4.6451797327235096E-3</c:v>
                </c:pt>
                <c:pt idx="15">
                  <c:v>8.361323518902326E-3</c:v>
                </c:pt>
                <c:pt idx="16">
                  <c:v>0.27670978346316016</c:v>
                </c:pt>
                <c:pt idx="17">
                  <c:v>3.408847280783249E-2</c:v>
                </c:pt>
                <c:pt idx="18">
                  <c:v>2.3583220181519381E-2</c:v>
                </c:pt>
                <c:pt idx="19">
                  <c:v>9.2903594654470095E-4</c:v>
                </c:pt>
                <c:pt idx="20">
                  <c:v>5.2883584649467677E-3</c:v>
                </c:pt>
                <c:pt idx="21">
                  <c:v>3.5732151790180797E-3</c:v>
                </c:pt>
                <c:pt idx="22">
                  <c:v>5.5527763881940993E-2</c:v>
                </c:pt>
                <c:pt idx="23">
                  <c:v>5.0025012506253125E-3</c:v>
                </c:pt>
                <c:pt idx="24">
                  <c:v>7.8610733938397912E-4</c:v>
                </c:pt>
              </c:numCache>
            </c:numRef>
          </c:val>
        </c:ser>
        <c:dLbls>
          <c:showLegendKey val="0"/>
          <c:showVal val="0"/>
          <c:showCatName val="0"/>
          <c:showSerName val="0"/>
          <c:showPercent val="0"/>
          <c:showBubbleSize val="0"/>
        </c:dLbls>
        <c:gapWidth val="40"/>
        <c:axId val="285910912"/>
        <c:axId val="285913088"/>
      </c:barChart>
      <c:catAx>
        <c:axId val="285910912"/>
        <c:scaling>
          <c:orientation val="maxMin"/>
        </c:scaling>
        <c:delete val="0"/>
        <c:axPos val="l"/>
        <c:title>
          <c:tx>
            <c:rich>
              <a:bodyPr rot="-5400000" vert="horz"/>
              <a:lstStyle/>
              <a:p>
                <a:pPr>
                  <a:defRPr/>
                </a:pPr>
                <a:r>
                  <a:rPr lang="es-EC"/>
                  <a:t>Provincia de residencia</a:t>
                </a:r>
                <a:r>
                  <a:rPr lang="es-EC" baseline="0"/>
                  <a:t> habitual</a:t>
                </a:r>
                <a:endParaRPr lang="es-EC"/>
              </a:p>
            </c:rich>
          </c:tx>
          <c:overlay val="0"/>
        </c:title>
        <c:numFmt formatCode="General" sourceLinked="1"/>
        <c:majorTickMark val="out"/>
        <c:minorTickMark val="none"/>
        <c:tickLblPos val="nextTo"/>
        <c:spPr>
          <a:ln>
            <a:solidFill>
              <a:schemeClr val="tx1"/>
            </a:solidFill>
          </a:ln>
        </c:spPr>
        <c:txPr>
          <a:bodyPr/>
          <a:lstStyle/>
          <a:p>
            <a:pPr>
              <a:defRPr sz="700"/>
            </a:pPr>
            <a:endParaRPr lang="es-EC"/>
          </a:p>
        </c:txPr>
        <c:crossAx val="285913088"/>
        <c:crosses val="autoZero"/>
        <c:auto val="1"/>
        <c:lblAlgn val="ctr"/>
        <c:lblOffset val="100"/>
        <c:noMultiLvlLbl val="0"/>
      </c:catAx>
      <c:valAx>
        <c:axId val="285913088"/>
        <c:scaling>
          <c:orientation val="minMax"/>
          <c:max val="1"/>
          <c:min val="0"/>
        </c:scaling>
        <c:delete val="0"/>
        <c:axPos val="t"/>
        <c:title>
          <c:tx>
            <c:rich>
              <a:bodyPr/>
              <a:lstStyle/>
              <a:p>
                <a:pPr>
                  <a:defRPr/>
                </a:pPr>
                <a:r>
                  <a:rPr lang="es-EC"/>
                  <a:t>Frecuencia Relativa</a:t>
                </a:r>
              </a:p>
            </c:rich>
          </c:tx>
          <c:layout>
            <c:manualLayout>
              <c:xMode val="edge"/>
              <c:yMode val="edge"/>
              <c:x val="0.48692105794468055"/>
              <c:y val="0.95950155763239875"/>
            </c:manualLayout>
          </c:layout>
          <c:overlay val="0"/>
        </c:title>
        <c:numFmt formatCode="#,##0.00" sourceLinked="0"/>
        <c:majorTickMark val="in"/>
        <c:minorTickMark val="none"/>
        <c:tickLblPos val="high"/>
        <c:spPr>
          <a:ln>
            <a:solidFill>
              <a:schemeClr val="tx1"/>
            </a:solidFill>
          </a:ln>
        </c:spPr>
        <c:crossAx val="285910912"/>
        <c:crossesAt val="26"/>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100947562981663E-2"/>
          <c:y val="5.1400554097404488E-2"/>
          <c:w val="0.91778623630992262"/>
          <c:h val="0.57278203015320761"/>
        </c:manualLayout>
      </c:layout>
      <c:lineChart>
        <c:grouping val="standard"/>
        <c:varyColors val="0"/>
        <c:ser>
          <c:idx val="1"/>
          <c:order val="0"/>
          <c:tx>
            <c:v>Tasa a nivel Nacional</c:v>
          </c:tx>
          <c:spPr>
            <a:ln w="19050">
              <a:solidFill>
                <a:srgbClr val="D735B4"/>
              </a:solidFill>
            </a:ln>
          </c:spPr>
          <c:marker>
            <c:symbol val="none"/>
          </c:marker>
          <c:cat>
            <c:strRef>
              <c:f>Perfil!$AK$3:$AK$27</c:f>
              <c:strCache>
                <c:ptCount val="25"/>
                <c:pt idx="0">
                  <c:v>Azuay</c:v>
                </c:pt>
                <c:pt idx="1">
                  <c:v>Bolívar</c:v>
                </c:pt>
                <c:pt idx="2">
                  <c:v>Cañar</c:v>
                </c:pt>
                <c:pt idx="3">
                  <c:v>Carchi</c:v>
                </c:pt>
                <c:pt idx="4">
                  <c:v>Chimborazo</c:v>
                </c:pt>
                <c:pt idx="5">
                  <c:v>Cotopaxi</c:v>
                </c:pt>
                <c:pt idx="6">
                  <c:v>El Oro</c:v>
                </c:pt>
                <c:pt idx="7">
                  <c:v>Esmeraldas</c:v>
                </c:pt>
                <c:pt idx="8">
                  <c:v>Galápagos</c:v>
                </c:pt>
                <c:pt idx="9">
                  <c:v>Guayas</c:v>
                </c:pt>
                <c:pt idx="10">
                  <c:v>Imbabura</c:v>
                </c:pt>
                <c:pt idx="11">
                  <c:v>Loja</c:v>
                </c:pt>
                <c:pt idx="12">
                  <c:v>Los Ríos</c:v>
                </c:pt>
                <c:pt idx="13">
                  <c:v>Manabí</c:v>
                </c:pt>
                <c:pt idx="14">
                  <c:v>Morona Santiago</c:v>
                </c:pt>
                <c:pt idx="15">
                  <c:v>Napo</c:v>
                </c:pt>
                <c:pt idx="16">
                  <c:v>Orellana</c:v>
                </c:pt>
                <c:pt idx="17">
                  <c:v>Pastaza</c:v>
                </c:pt>
                <c:pt idx="18">
                  <c:v>Pichincha</c:v>
                </c:pt>
                <c:pt idx="19">
                  <c:v>Santa Elena</c:v>
                </c:pt>
                <c:pt idx="20">
                  <c:v>Santo Domingo</c:v>
                </c:pt>
                <c:pt idx="21">
                  <c:v>Sucumbíos</c:v>
                </c:pt>
                <c:pt idx="22">
                  <c:v>Tungurahua</c:v>
                </c:pt>
                <c:pt idx="23">
                  <c:v>Zamora Chinchipe</c:v>
                </c:pt>
                <c:pt idx="24">
                  <c:v>Zonas No Delimitadas</c:v>
                </c:pt>
              </c:strCache>
            </c:strRef>
          </c:cat>
          <c:val>
            <c:numRef>
              <c:f>Perfil!$AM$3:$AM$27</c:f>
              <c:numCache>
                <c:formatCode>0.00</c:formatCode>
                <c:ptCount val="25"/>
                <c:pt idx="0">
                  <c:v>0.96613394318596557</c:v>
                </c:pt>
                <c:pt idx="1">
                  <c:v>0.96613394318596557</c:v>
                </c:pt>
                <c:pt idx="2">
                  <c:v>0.96613394318596557</c:v>
                </c:pt>
                <c:pt idx="3">
                  <c:v>0.96613394318596557</c:v>
                </c:pt>
                <c:pt idx="4">
                  <c:v>0.96613394318596557</c:v>
                </c:pt>
                <c:pt idx="5">
                  <c:v>0.96613394318596557</c:v>
                </c:pt>
                <c:pt idx="6">
                  <c:v>0.96613394318596557</c:v>
                </c:pt>
                <c:pt idx="7">
                  <c:v>0.96613394318596557</c:v>
                </c:pt>
                <c:pt idx="8">
                  <c:v>0.96613394318596557</c:v>
                </c:pt>
                <c:pt idx="9">
                  <c:v>0.96613394318596557</c:v>
                </c:pt>
                <c:pt idx="10">
                  <c:v>0.96613394318596557</c:v>
                </c:pt>
                <c:pt idx="11">
                  <c:v>0.96613394318596557</c:v>
                </c:pt>
                <c:pt idx="12">
                  <c:v>0.96613394318596557</c:v>
                </c:pt>
                <c:pt idx="13">
                  <c:v>0.96613394318596557</c:v>
                </c:pt>
                <c:pt idx="14">
                  <c:v>0.96613394318596557</c:v>
                </c:pt>
                <c:pt idx="15">
                  <c:v>0.96613394318596557</c:v>
                </c:pt>
                <c:pt idx="16">
                  <c:v>0.96613394318596557</c:v>
                </c:pt>
                <c:pt idx="17">
                  <c:v>0.96613394318596557</c:v>
                </c:pt>
                <c:pt idx="18">
                  <c:v>0.96613394318596557</c:v>
                </c:pt>
                <c:pt idx="19">
                  <c:v>0.96613394318596557</c:v>
                </c:pt>
                <c:pt idx="20">
                  <c:v>0.96613394318596557</c:v>
                </c:pt>
                <c:pt idx="21">
                  <c:v>0.96613394318596557</c:v>
                </c:pt>
                <c:pt idx="22">
                  <c:v>0.96613394318596557</c:v>
                </c:pt>
                <c:pt idx="23">
                  <c:v>0.96613394318596557</c:v>
                </c:pt>
                <c:pt idx="24">
                  <c:v>0.96613394318596557</c:v>
                </c:pt>
              </c:numCache>
            </c:numRef>
          </c:val>
          <c:smooth val="0"/>
        </c:ser>
        <c:ser>
          <c:idx val="0"/>
          <c:order val="1"/>
          <c:tx>
            <c:v>Tasa a nivel Provincial</c:v>
          </c:tx>
          <c:spPr>
            <a:ln>
              <a:noFill/>
            </a:ln>
          </c:spPr>
          <c:marker>
            <c:symbol val="circle"/>
            <c:size val="4"/>
            <c:spPr>
              <a:solidFill>
                <a:srgbClr val="002060"/>
              </a:solidFill>
            </c:spPr>
          </c:marker>
          <c:cat>
            <c:strRef>
              <c:f>Perfil!$AK$3:$AK$27</c:f>
              <c:strCache>
                <c:ptCount val="25"/>
                <c:pt idx="0">
                  <c:v>Azuay</c:v>
                </c:pt>
                <c:pt idx="1">
                  <c:v>Bolívar</c:v>
                </c:pt>
                <c:pt idx="2">
                  <c:v>Cañar</c:v>
                </c:pt>
                <c:pt idx="3">
                  <c:v>Carchi</c:v>
                </c:pt>
                <c:pt idx="4">
                  <c:v>Chimborazo</c:v>
                </c:pt>
                <c:pt idx="5">
                  <c:v>Cotopaxi</c:v>
                </c:pt>
                <c:pt idx="6">
                  <c:v>El Oro</c:v>
                </c:pt>
                <c:pt idx="7">
                  <c:v>Esmeraldas</c:v>
                </c:pt>
                <c:pt idx="8">
                  <c:v>Galápagos</c:v>
                </c:pt>
                <c:pt idx="9">
                  <c:v>Guayas</c:v>
                </c:pt>
                <c:pt idx="10">
                  <c:v>Imbabura</c:v>
                </c:pt>
                <c:pt idx="11">
                  <c:v>Loja</c:v>
                </c:pt>
                <c:pt idx="12">
                  <c:v>Los Ríos</c:v>
                </c:pt>
                <c:pt idx="13">
                  <c:v>Manabí</c:v>
                </c:pt>
                <c:pt idx="14">
                  <c:v>Morona Santiago</c:v>
                </c:pt>
                <c:pt idx="15">
                  <c:v>Napo</c:v>
                </c:pt>
                <c:pt idx="16">
                  <c:v>Orellana</c:v>
                </c:pt>
                <c:pt idx="17">
                  <c:v>Pastaza</c:v>
                </c:pt>
                <c:pt idx="18">
                  <c:v>Pichincha</c:v>
                </c:pt>
                <c:pt idx="19">
                  <c:v>Santa Elena</c:v>
                </c:pt>
                <c:pt idx="20">
                  <c:v>Santo Domingo</c:v>
                </c:pt>
                <c:pt idx="21">
                  <c:v>Sucumbíos</c:v>
                </c:pt>
                <c:pt idx="22">
                  <c:v>Tungurahua</c:v>
                </c:pt>
                <c:pt idx="23">
                  <c:v>Zamora Chinchipe</c:v>
                </c:pt>
                <c:pt idx="24">
                  <c:v>Zonas No Delimitadas</c:v>
                </c:pt>
              </c:strCache>
            </c:strRef>
          </c:cat>
          <c:val>
            <c:numRef>
              <c:f>Perfil!$AL$3:$AL$27</c:f>
              <c:numCache>
                <c:formatCode>0.00</c:formatCode>
                <c:ptCount val="25"/>
                <c:pt idx="0">
                  <c:v>0.70768719944398062</c:v>
                </c:pt>
                <c:pt idx="1">
                  <c:v>0.36464172589827037</c:v>
                </c:pt>
                <c:pt idx="2">
                  <c:v>1.3411574946643321</c:v>
                </c:pt>
                <c:pt idx="3">
                  <c:v>0.20102094272730614</c:v>
                </c:pt>
                <c:pt idx="4">
                  <c:v>0.97479064898813772</c:v>
                </c:pt>
                <c:pt idx="5">
                  <c:v>0.46846678913843853</c:v>
                </c:pt>
                <c:pt idx="6">
                  <c:v>1.6488542469702721</c:v>
                </c:pt>
                <c:pt idx="7">
                  <c:v>0.55716577088668151</c:v>
                </c:pt>
                <c:pt idx="8">
                  <c:v>0.55014811680067777</c:v>
                </c:pt>
                <c:pt idx="9">
                  <c:v>0.63522849122101099</c:v>
                </c:pt>
                <c:pt idx="10">
                  <c:v>1.0322281778151499</c:v>
                </c:pt>
                <c:pt idx="11">
                  <c:v>3.1820261046049447</c:v>
                </c:pt>
                <c:pt idx="12">
                  <c:v>0.37268597351359373</c:v>
                </c:pt>
                <c:pt idx="13">
                  <c:v>0.47698927868135088</c:v>
                </c:pt>
                <c:pt idx="14">
                  <c:v>1.4493244387254052</c:v>
                </c:pt>
                <c:pt idx="15">
                  <c:v>0.63192074741641713</c:v>
                </c:pt>
                <c:pt idx="16">
                  <c:v>0.37122556407724533</c:v>
                </c:pt>
                <c:pt idx="17">
                  <c:v>1.4015668798964998</c:v>
                </c:pt>
                <c:pt idx="18">
                  <c:v>1.501806084719393</c:v>
                </c:pt>
                <c:pt idx="19">
                  <c:v>0.22835668008534021</c:v>
                </c:pt>
                <c:pt idx="20">
                  <c:v>2.1153045140108278</c:v>
                </c:pt>
                <c:pt idx="21">
                  <c:v>0.42411494661309834</c:v>
                </c:pt>
                <c:pt idx="22">
                  <c:v>0.94845910192654459</c:v>
                </c:pt>
                <c:pt idx="23">
                  <c:v>3.6501598327563158</c:v>
                </c:pt>
                <c:pt idx="24">
                  <c:v>0.34803518319306481</c:v>
                </c:pt>
              </c:numCache>
            </c:numRef>
          </c:val>
          <c:smooth val="0"/>
        </c:ser>
        <c:dLbls>
          <c:showLegendKey val="0"/>
          <c:showVal val="0"/>
          <c:showCatName val="0"/>
          <c:showSerName val="0"/>
          <c:showPercent val="0"/>
          <c:showBubbleSize val="0"/>
        </c:dLbls>
        <c:marker val="1"/>
        <c:smooth val="0"/>
        <c:axId val="285814784"/>
        <c:axId val="285817088"/>
      </c:lineChart>
      <c:catAx>
        <c:axId val="285814784"/>
        <c:scaling>
          <c:orientation val="minMax"/>
        </c:scaling>
        <c:delete val="0"/>
        <c:axPos val="b"/>
        <c:title>
          <c:tx>
            <c:rich>
              <a:bodyPr/>
              <a:lstStyle/>
              <a:p>
                <a:pPr>
                  <a:defRPr/>
                </a:pPr>
                <a:r>
                  <a:rPr lang="es-EC"/>
                  <a:t>Provincia</a:t>
                </a:r>
              </a:p>
            </c:rich>
          </c:tx>
          <c:overlay val="0"/>
        </c:title>
        <c:numFmt formatCode="General" sourceLinked="1"/>
        <c:majorTickMark val="out"/>
        <c:minorTickMark val="none"/>
        <c:tickLblPos val="nextTo"/>
        <c:spPr>
          <a:ln>
            <a:solidFill>
              <a:schemeClr val="tx1"/>
            </a:solidFill>
          </a:ln>
        </c:spPr>
        <c:txPr>
          <a:bodyPr rot="-5400000" vert="horz"/>
          <a:lstStyle/>
          <a:p>
            <a:pPr>
              <a:defRPr sz="550"/>
            </a:pPr>
            <a:endParaRPr lang="es-EC"/>
          </a:p>
        </c:txPr>
        <c:crossAx val="285817088"/>
        <c:crosses val="autoZero"/>
        <c:auto val="1"/>
        <c:lblAlgn val="ctr"/>
        <c:lblOffset val="100"/>
        <c:noMultiLvlLbl val="0"/>
      </c:catAx>
      <c:valAx>
        <c:axId val="285817088"/>
        <c:scaling>
          <c:orientation val="minMax"/>
          <c:max val="5"/>
        </c:scaling>
        <c:delete val="0"/>
        <c:axPos val="l"/>
        <c:title>
          <c:tx>
            <c:rich>
              <a:bodyPr rot="-5400000" vert="horz"/>
              <a:lstStyle/>
              <a:p>
                <a:pPr>
                  <a:defRPr/>
                </a:pPr>
                <a:r>
                  <a:rPr lang="es-EC"/>
                  <a:t>Tasa de Inmigración</a:t>
                </a:r>
              </a:p>
            </c:rich>
          </c:tx>
          <c:overlay val="0"/>
        </c:title>
        <c:numFmt formatCode="0" sourceLinked="0"/>
        <c:majorTickMark val="out"/>
        <c:minorTickMark val="none"/>
        <c:tickLblPos val="nextTo"/>
        <c:spPr>
          <a:ln>
            <a:solidFill>
              <a:schemeClr val="tx1"/>
            </a:solidFill>
          </a:ln>
        </c:spPr>
        <c:crossAx val="285814784"/>
        <c:crosses val="autoZero"/>
        <c:crossBetween val="between"/>
        <c:majorUnit val="1"/>
      </c:valAx>
      <c:spPr>
        <a:noFill/>
        <a:ln>
          <a:solidFill>
            <a:schemeClr val="tx1"/>
          </a:solidFill>
        </a:ln>
      </c:spPr>
    </c:plotArea>
    <c:legend>
      <c:legendPos val="r"/>
      <c:layout>
        <c:manualLayout>
          <c:xMode val="edge"/>
          <c:yMode val="edge"/>
          <c:x val="0.36702135162616778"/>
          <c:y val="6.9060586176727903E-2"/>
          <c:w val="0.61630148767998216"/>
          <c:h val="7.9471420239136906E-2"/>
        </c:manualLayout>
      </c:layout>
      <c:overlay val="0"/>
      <c:spPr>
        <a:ln>
          <a:noFill/>
        </a:ln>
      </c:spPr>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523279573561839E-2"/>
          <c:y val="5.1400554097404488E-2"/>
          <c:w val="0.91336390429934178"/>
          <c:h val="0.55121960729839181"/>
        </c:manualLayout>
      </c:layout>
      <c:lineChart>
        <c:grouping val="standard"/>
        <c:varyColors val="0"/>
        <c:ser>
          <c:idx val="1"/>
          <c:order val="0"/>
          <c:tx>
            <c:v>Tasa a nivel Nacional</c:v>
          </c:tx>
          <c:spPr>
            <a:ln w="19050">
              <a:solidFill>
                <a:srgbClr val="D735B4"/>
              </a:solidFill>
            </a:ln>
          </c:spPr>
          <c:marker>
            <c:symbol val="none"/>
          </c:marker>
          <c:cat>
            <c:strRef>
              <c:f>Perfil!$AV$3:$AV$27</c:f>
              <c:strCache>
                <c:ptCount val="25"/>
                <c:pt idx="0">
                  <c:v>Zamora Chinchipe</c:v>
                </c:pt>
                <c:pt idx="1">
                  <c:v>Loja</c:v>
                </c:pt>
                <c:pt idx="2">
                  <c:v>Santo Domingo</c:v>
                </c:pt>
                <c:pt idx="3">
                  <c:v>El Oro</c:v>
                </c:pt>
                <c:pt idx="4">
                  <c:v>Pichincha</c:v>
                </c:pt>
                <c:pt idx="5">
                  <c:v>Morona Santiago</c:v>
                </c:pt>
                <c:pt idx="6">
                  <c:v>Pastaza</c:v>
                </c:pt>
                <c:pt idx="7">
                  <c:v>Cañar</c:v>
                </c:pt>
                <c:pt idx="8">
                  <c:v>Imbabura</c:v>
                </c:pt>
                <c:pt idx="9">
                  <c:v>Chimborazo</c:v>
                </c:pt>
                <c:pt idx="10">
                  <c:v>Tungurahua</c:v>
                </c:pt>
                <c:pt idx="11">
                  <c:v>Azuay</c:v>
                </c:pt>
                <c:pt idx="12">
                  <c:v>Guayas</c:v>
                </c:pt>
                <c:pt idx="13">
                  <c:v>Napo</c:v>
                </c:pt>
                <c:pt idx="14">
                  <c:v>Esmeraldas</c:v>
                </c:pt>
                <c:pt idx="15">
                  <c:v>Galápagos</c:v>
                </c:pt>
                <c:pt idx="16">
                  <c:v>Manabí</c:v>
                </c:pt>
                <c:pt idx="17">
                  <c:v>Cotopaxi</c:v>
                </c:pt>
                <c:pt idx="18">
                  <c:v>Sucumbíos</c:v>
                </c:pt>
                <c:pt idx="19">
                  <c:v>Los Ríos</c:v>
                </c:pt>
                <c:pt idx="20">
                  <c:v>Orellana</c:v>
                </c:pt>
                <c:pt idx="21">
                  <c:v>Bolívar</c:v>
                </c:pt>
                <c:pt idx="22">
                  <c:v>Zonas No Delimitadas</c:v>
                </c:pt>
                <c:pt idx="23">
                  <c:v>Santa Elena</c:v>
                </c:pt>
                <c:pt idx="24">
                  <c:v>Carchi</c:v>
                </c:pt>
              </c:strCache>
            </c:strRef>
          </c:cat>
          <c:val>
            <c:numRef>
              <c:f>Perfil!$AX$3:$AX$27</c:f>
              <c:numCache>
                <c:formatCode>0.00</c:formatCode>
                <c:ptCount val="25"/>
                <c:pt idx="0">
                  <c:v>0.96613394318596557</c:v>
                </c:pt>
                <c:pt idx="1">
                  <c:v>0.96613394318596557</c:v>
                </c:pt>
                <c:pt idx="2">
                  <c:v>0.96613394318596557</c:v>
                </c:pt>
                <c:pt idx="3">
                  <c:v>0.96613394318596557</c:v>
                </c:pt>
                <c:pt idx="4">
                  <c:v>0.96613394318596557</c:v>
                </c:pt>
                <c:pt idx="5">
                  <c:v>0.96613394318596557</c:v>
                </c:pt>
                <c:pt idx="6">
                  <c:v>0.96613394318596557</c:v>
                </c:pt>
                <c:pt idx="7">
                  <c:v>0.96613394318596557</c:v>
                </c:pt>
                <c:pt idx="8">
                  <c:v>0.96613394318596557</c:v>
                </c:pt>
                <c:pt idx="9">
                  <c:v>0.96613394318596557</c:v>
                </c:pt>
                <c:pt idx="10">
                  <c:v>0.96613394318596557</c:v>
                </c:pt>
                <c:pt idx="11">
                  <c:v>0.96613394318596557</c:v>
                </c:pt>
                <c:pt idx="12">
                  <c:v>0.96613394318596557</c:v>
                </c:pt>
                <c:pt idx="13">
                  <c:v>0.96613394318596557</c:v>
                </c:pt>
                <c:pt idx="14">
                  <c:v>0.96613394318596557</c:v>
                </c:pt>
                <c:pt idx="15">
                  <c:v>0.96613394318596557</c:v>
                </c:pt>
                <c:pt idx="16">
                  <c:v>0.96613394318596557</c:v>
                </c:pt>
                <c:pt idx="17">
                  <c:v>0.96613394318596557</c:v>
                </c:pt>
                <c:pt idx="18">
                  <c:v>0.96613394318596557</c:v>
                </c:pt>
                <c:pt idx="19">
                  <c:v>0.96613394318596557</c:v>
                </c:pt>
                <c:pt idx="20">
                  <c:v>0.96613394318596557</c:v>
                </c:pt>
                <c:pt idx="21">
                  <c:v>0.96613394318596557</c:v>
                </c:pt>
                <c:pt idx="22">
                  <c:v>0.96613394318596557</c:v>
                </c:pt>
                <c:pt idx="23">
                  <c:v>0.96613394318596557</c:v>
                </c:pt>
                <c:pt idx="24">
                  <c:v>0.96613394318596557</c:v>
                </c:pt>
              </c:numCache>
            </c:numRef>
          </c:val>
          <c:smooth val="0"/>
        </c:ser>
        <c:ser>
          <c:idx val="0"/>
          <c:order val="1"/>
          <c:tx>
            <c:v>Tasa a nivel Provincial</c:v>
          </c:tx>
          <c:spPr>
            <a:ln>
              <a:noFill/>
            </a:ln>
          </c:spPr>
          <c:marker>
            <c:symbol val="circle"/>
            <c:size val="4"/>
            <c:spPr>
              <a:solidFill>
                <a:srgbClr val="002060"/>
              </a:solidFill>
            </c:spPr>
          </c:marker>
          <c:cat>
            <c:strRef>
              <c:f>Perfil!$AV$3:$AV$27</c:f>
              <c:strCache>
                <c:ptCount val="25"/>
                <c:pt idx="0">
                  <c:v>Zamora Chinchipe</c:v>
                </c:pt>
                <c:pt idx="1">
                  <c:v>Loja</c:v>
                </c:pt>
                <c:pt idx="2">
                  <c:v>Santo Domingo</c:v>
                </c:pt>
                <c:pt idx="3">
                  <c:v>El Oro</c:v>
                </c:pt>
                <c:pt idx="4">
                  <c:v>Pichincha</c:v>
                </c:pt>
                <c:pt idx="5">
                  <c:v>Morona Santiago</c:v>
                </c:pt>
                <c:pt idx="6">
                  <c:v>Pastaza</c:v>
                </c:pt>
                <c:pt idx="7">
                  <c:v>Cañar</c:v>
                </c:pt>
                <c:pt idx="8">
                  <c:v>Imbabura</c:v>
                </c:pt>
                <c:pt idx="9">
                  <c:v>Chimborazo</c:v>
                </c:pt>
                <c:pt idx="10">
                  <c:v>Tungurahua</c:v>
                </c:pt>
                <c:pt idx="11">
                  <c:v>Azuay</c:v>
                </c:pt>
                <c:pt idx="12">
                  <c:v>Guayas</c:v>
                </c:pt>
                <c:pt idx="13">
                  <c:v>Napo</c:v>
                </c:pt>
                <c:pt idx="14">
                  <c:v>Esmeraldas</c:v>
                </c:pt>
                <c:pt idx="15">
                  <c:v>Galápagos</c:v>
                </c:pt>
                <c:pt idx="16">
                  <c:v>Manabí</c:v>
                </c:pt>
                <c:pt idx="17">
                  <c:v>Cotopaxi</c:v>
                </c:pt>
                <c:pt idx="18">
                  <c:v>Sucumbíos</c:v>
                </c:pt>
                <c:pt idx="19">
                  <c:v>Los Ríos</c:v>
                </c:pt>
                <c:pt idx="20">
                  <c:v>Orellana</c:v>
                </c:pt>
                <c:pt idx="21">
                  <c:v>Bolívar</c:v>
                </c:pt>
                <c:pt idx="22">
                  <c:v>Zonas No Delimitadas</c:v>
                </c:pt>
                <c:pt idx="23">
                  <c:v>Santa Elena</c:v>
                </c:pt>
                <c:pt idx="24">
                  <c:v>Carchi</c:v>
                </c:pt>
              </c:strCache>
            </c:strRef>
          </c:cat>
          <c:val>
            <c:numRef>
              <c:f>Perfil!$AW$3:$AW$27</c:f>
              <c:numCache>
                <c:formatCode>0.00</c:formatCode>
                <c:ptCount val="25"/>
                <c:pt idx="0">
                  <c:v>3.6501598327563158</c:v>
                </c:pt>
                <c:pt idx="1">
                  <c:v>3.1820261046049447</c:v>
                </c:pt>
                <c:pt idx="2">
                  <c:v>2.1153045140108278</c:v>
                </c:pt>
                <c:pt idx="3">
                  <c:v>1.6488542469702721</c:v>
                </c:pt>
                <c:pt idx="4">
                  <c:v>1.501806084719393</c:v>
                </c:pt>
                <c:pt idx="5">
                  <c:v>1.4493244387254052</c:v>
                </c:pt>
                <c:pt idx="6">
                  <c:v>1.4015668798964998</c:v>
                </c:pt>
                <c:pt idx="7">
                  <c:v>1.3411574946643321</c:v>
                </c:pt>
                <c:pt idx="8">
                  <c:v>1.0322281778151499</c:v>
                </c:pt>
                <c:pt idx="9">
                  <c:v>0.97479064898813772</c:v>
                </c:pt>
                <c:pt idx="10">
                  <c:v>0.94845910192654459</c:v>
                </c:pt>
                <c:pt idx="11">
                  <c:v>0.70768719944398062</c:v>
                </c:pt>
                <c:pt idx="12">
                  <c:v>0.63522849122101099</c:v>
                </c:pt>
                <c:pt idx="13">
                  <c:v>0.63192074741641713</c:v>
                </c:pt>
                <c:pt idx="14">
                  <c:v>0.55716577088668151</c:v>
                </c:pt>
                <c:pt idx="15">
                  <c:v>0.55014811680067777</c:v>
                </c:pt>
                <c:pt idx="16">
                  <c:v>0.47698927868135088</c:v>
                </c:pt>
                <c:pt idx="17">
                  <c:v>0.46846678913843853</c:v>
                </c:pt>
                <c:pt idx="18">
                  <c:v>0.42411494661309834</c:v>
                </c:pt>
                <c:pt idx="19">
                  <c:v>0.37268597351359373</c:v>
                </c:pt>
                <c:pt idx="20">
                  <c:v>0.37122556407724533</c:v>
                </c:pt>
                <c:pt idx="21">
                  <c:v>0.36464172589827037</c:v>
                </c:pt>
                <c:pt idx="22">
                  <c:v>0.34803518319306481</c:v>
                </c:pt>
                <c:pt idx="23">
                  <c:v>0.22835668008534021</c:v>
                </c:pt>
                <c:pt idx="24">
                  <c:v>0.20102094272730614</c:v>
                </c:pt>
              </c:numCache>
            </c:numRef>
          </c:val>
          <c:smooth val="0"/>
        </c:ser>
        <c:dLbls>
          <c:showLegendKey val="0"/>
          <c:showVal val="0"/>
          <c:showCatName val="0"/>
          <c:showSerName val="0"/>
          <c:showPercent val="0"/>
          <c:showBubbleSize val="0"/>
        </c:dLbls>
        <c:marker val="1"/>
        <c:smooth val="0"/>
        <c:axId val="285829760"/>
        <c:axId val="285860992"/>
      </c:lineChart>
      <c:catAx>
        <c:axId val="285829760"/>
        <c:scaling>
          <c:orientation val="minMax"/>
        </c:scaling>
        <c:delete val="0"/>
        <c:axPos val="b"/>
        <c:title>
          <c:tx>
            <c:rich>
              <a:bodyPr/>
              <a:lstStyle/>
              <a:p>
                <a:pPr>
                  <a:defRPr/>
                </a:pPr>
                <a:r>
                  <a:rPr lang="es-EC"/>
                  <a:t>Provincia</a:t>
                </a:r>
              </a:p>
            </c:rich>
          </c:tx>
          <c:overlay val="0"/>
        </c:title>
        <c:numFmt formatCode="General" sourceLinked="1"/>
        <c:majorTickMark val="out"/>
        <c:minorTickMark val="none"/>
        <c:tickLblPos val="nextTo"/>
        <c:spPr>
          <a:ln>
            <a:solidFill>
              <a:schemeClr val="tx1"/>
            </a:solidFill>
          </a:ln>
        </c:spPr>
        <c:txPr>
          <a:bodyPr rot="-5400000" vert="horz"/>
          <a:lstStyle/>
          <a:p>
            <a:pPr>
              <a:defRPr sz="550"/>
            </a:pPr>
            <a:endParaRPr lang="es-EC"/>
          </a:p>
        </c:txPr>
        <c:crossAx val="285860992"/>
        <c:crosses val="autoZero"/>
        <c:auto val="1"/>
        <c:lblAlgn val="ctr"/>
        <c:lblOffset val="100"/>
        <c:noMultiLvlLbl val="0"/>
      </c:catAx>
      <c:valAx>
        <c:axId val="285860992"/>
        <c:scaling>
          <c:orientation val="minMax"/>
          <c:max val="5"/>
        </c:scaling>
        <c:delete val="0"/>
        <c:axPos val="l"/>
        <c:title>
          <c:tx>
            <c:rich>
              <a:bodyPr rot="-5400000" vert="horz"/>
              <a:lstStyle/>
              <a:p>
                <a:pPr>
                  <a:defRPr/>
                </a:pPr>
                <a:r>
                  <a:rPr lang="es-EC"/>
                  <a:t>Tasa de Inmigración</a:t>
                </a:r>
              </a:p>
            </c:rich>
          </c:tx>
          <c:overlay val="0"/>
        </c:title>
        <c:numFmt formatCode="0" sourceLinked="0"/>
        <c:majorTickMark val="out"/>
        <c:minorTickMark val="none"/>
        <c:tickLblPos val="nextTo"/>
        <c:spPr>
          <a:ln>
            <a:solidFill>
              <a:schemeClr val="tx1"/>
            </a:solidFill>
          </a:ln>
        </c:spPr>
        <c:crossAx val="285829760"/>
        <c:crosses val="autoZero"/>
        <c:crossBetween val="between"/>
        <c:majorUnit val="1"/>
      </c:valAx>
      <c:spPr>
        <a:noFill/>
        <a:ln>
          <a:solidFill>
            <a:schemeClr val="tx1"/>
          </a:solidFill>
        </a:ln>
      </c:spPr>
    </c:plotArea>
    <c:legend>
      <c:legendPos val="r"/>
      <c:layout>
        <c:manualLayout>
          <c:xMode val="edge"/>
          <c:yMode val="edge"/>
          <c:x val="0.36702135162616778"/>
          <c:y val="6.9060586176727903E-2"/>
          <c:w val="0.61630148767998216"/>
          <c:h val="7.9471420239136906E-2"/>
        </c:manualLayout>
      </c:layout>
      <c:overlay val="0"/>
      <c:spPr>
        <a:ln>
          <a:noFill/>
        </a:ln>
      </c:spPr>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637398169144414E-2"/>
          <c:y val="2.0740887039532366E-2"/>
          <c:w val="0.88733791047283106"/>
          <c:h val="0.63854659090985677"/>
        </c:manualLayout>
      </c:layout>
      <c:lineChart>
        <c:grouping val="standard"/>
        <c:varyColors val="0"/>
        <c:ser>
          <c:idx val="0"/>
          <c:order val="0"/>
          <c:tx>
            <c:strRef>
              <c:f>Perfil!$F$34</c:f>
              <c:strCache>
                <c:ptCount val="1"/>
                <c:pt idx="0">
                  <c:v>Área Urbana</c:v>
                </c:pt>
              </c:strCache>
            </c:strRef>
          </c:tx>
          <c:spPr>
            <a:ln>
              <a:noFill/>
            </a:ln>
          </c:spPr>
          <c:marker>
            <c:symbol val="diamond"/>
            <c:size val="5"/>
            <c:spPr>
              <a:solidFill>
                <a:schemeClr val="tx1"/>
              </a:solidFill>
              <a:ln>
                <a:solidFill>
                  <a:schemeClr val="tx1"/>
                </a:solidFill>
              </a:ln>
            </c:spPr>
          </c:marker>
          <c:cat>
            <c:strRef>
              <c:f>Perfil!$B$35:$B$59</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Perfil!$F$35:$F$59</c:f>
              <c:numCache>
                <c:formatCode>0.00</c:formatCode>
                <c:ptCount val="25"/>
                <c:pt idx="0">
                  <c:v>739.56262425447221</c:v>
                </c:pt>
                <c:pt idx="1">
                  <c:v>552.23880597015057</c:v>
                </c:pt>
                <c:pt idx="2">
                  <c:v>478.40531561461762</c:v>
                </c:pt>
                <c:pt idx="3">
                  <c:v>787.87878787878867</c:v>
                </c:pt>
                <c:pt idx="4">
                  <c:v>534.03141361256542</c:v>
                </c:pt>
                <c:pt idx="5">
                  <c:v>838.92617449664431</c:v>
                </c:pt>
                <c:pt idx="6">
                  <c:v>863.08316430020284</c:v>
                </c:pt>
                <c:pt idx="7">
                  <c:v>750.84175084175047</c:v>
                </c:pt>
                <c:pt idx="8">
                  <c:v>939.42016443098157</c:v>
                </c:pt>
                <c:pt idx="9">
                  <c:v>839.02439024390253</c:v>
                </c:pt>
                <c:pt idx="10">
                  <c:v>766.22470341940004</c:v>
                </c:pt>
                <c:pt idx="11">
                  <c:v>827.5862068965514</c:v>
                </c:pt>
                <c:pt idx="12">
                  <c:v>799.6941896024465</c:v>
                </c:pt>
                <c:pt idx="13">
                  <c:v>696.26168224299067</c:v>
                </c:pt>
                <c:pt idx="14">
                  <c:v>784.61538461538464</c:v>
                </c:pt>
                <c:pt idx="15">
                  <c:v>692.30769230769261</c:v>
                </c:pt>
                <c:pt idx="16">
                  <c:v>731.40495867768686</c:v>
                </c:pt>
                <c:pt idx="17">
                  <c:v>578.616352201258</c:v>
                </c:pt>
                <c:pt idx="18">
                  <c:v>642.42424242424249</c:v>
                </c:pt>
                <c:pt idx="19">
                  <c:v>846.15384615384653</c:v>
                </c:pt>
                <c:pt idx="20">
                  <c:v>648.64864864864865</c:v>
                </c:pt>
                <c:pt idx="21">
                  <c:v>800</c:v>
                </c:pt>
                <c:pt idx="22">
                  <c:v>857.14285714285711</c:v>
                </c:pt>
                <c:pt idx="23">
                  <c:v>771.42857142857213</c:v>
                </c:pt>
                <c:pt idx="24">
                  <c:v>0</c:v>
                </c:pt>
              </c:numCache>
            </c:numRef>
          </c:val>
          <c:smooth val="0"/>
        </c:ser>
        <c:ser>
          <c:idx val="1"/>
          <c:order val="1"/>
          <c:tx>
            <c:strRef>
              <c:f>Perfil!$G$34</c:f>
              <c:strCache>
                <c:ptCount val="1"/>
                <c:pt idx="0">
                  <c:v>Área Rural</c:v>
                </c:pt>
              </c:strCache>
            </c:strRef>
          </c:tx>
          <c:spPr>
            <a:ln>
              <a:noFill/>
            </a:ln>
          </c:spPr>
          <c:marker>
            <c:symbol val="circle"/>
            <c:size val="5"/>
            <c:spPr>
              <a:solidFill>
                <a:schemeClr val="bg1">
                  <a:lumMod val="50000"/>
                </a:schemeClr>
              </a:solidFill>
              <a:ln>
                <a:solidFill>
                  <a:schemeClr val="bg1">
                    <a:lumMod val="50000"/>
                  </a:schemeClr>
                </a:solidFill>
              </a:ln>
            </c:spPr>
          </c:marker>
          <c:cat>
            <c:strRef>
              <c:f>Perfil!$B$35:$B$59</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Perfil!$G$35:$G$59</c:f>
              <c:numCache>
                <c:formatCode>0.00</c:formatCode>
                <c:ptCount val="25"/>
                <c:pt idx="0">
                  <c:v>260.43737574552625</c:v>
                </c:pt>
                <c:pt idx="1">
                  <c:v>447.76119402985074</c:v>
                </c:pt>
                <c:pt idx="2">
                  <c:v>521.59468438538204</c:v>
                </c:pt>
                <c:pt idx="3">
                  <c:v>212.12121212121212</c:v>
                </c:pt>
                <c:pt idx="4">
                  <c:v>465.96858638743453</c:v>
                </c:pt>
                <c:pt idx="5">
                  <c:v>161.07382550335544</c:v>
                </c:pt>
                <c:pt idx="6">
                  <c:v>136.91683569979699</c:v>
                </c:pt>
                <c:pt idx="7">
                  <c:v>249.1582491582495</c:v>
                </c:pt>
                <c:pt idx="8">
                  <c:v>60.579835569017725</c:v>
                </c:pt>
                <c:pt idx="9">
                  <c:v>160.97560975609755</c:v>
                </c:pt>
                <c:pt idx="10">
                  <c:v>233.77529658060021</c:v>
                </c:pt>
                <c:pt idx="11">
                  <c:v>172.41379310344794</c:v>
                </c:pt>
                <c:pt idx="12">
                  <c:v>200.30581039755361</c:v>
                </c:pt>
                <c:pt idx="13">
                  <c:v>303.73831775700842</c:v>
                </c:pt>
                <c:pt idx="14">
                  <c:v>215.38461538461544</c:v>
                </c:pt>
                <c:pt idx="15">
                  <c:v>307.69230769230774</c:v>
                </c:pt>
                <c:pt idx="16">
                  <c:v>268.59504132231405</c:v>
                </c:pt>
                <c:pt idx="17">
                  <c:v>421.38364779874217</c:v>
                </c:pt>
                <c:pt idx="18">
                  <c:v>357.57575757575762</c:v>
                </c:pt>
                <c:pt idx="19">
                  <c:v>153.84615384615378</c:v>
                </c:pt>
                <c:pt idx="20">
                  <c:v>351.35135135135135</c:v>
                </c:pt>
                <c:pt idx="21">
                  <c:v>200</c:v>
                </c:pt>
                <c:pt idx="22">
                  <c:v>142.85714285714312</c:v>
                </c:pt>
                <c:pt idx="23">
                  <c:v>228.57142857142861</c:v>
                </c:pt>
                <c:pt idx="24">
                  <c:v>1000</c:v>
                </c:pt>
              </c:numCache>
            </c:numRef>
          </c:val>
          <c:smooth val="0"/>
        </c:ser>
        <c:dLbls>
          <c:showLegendKey val="0"/>
          <c:showVal val="0"/>
          <c:showCatName val="0"/>
          <c:showSerName val="0"/>
          <c:showPercent val="0"/>
          <c:showBubbleSize val="0"/>
        </c:dLbls>
        <c:hiLowLines/>
        <c:marker val="1"/>
        <c:smooth val="0"/>
        <c:axId val="285956352"/>
        <c:axId val="285962624"/>
      </c:lineChart>
      <c:catAx>
        <c:axId val="285956352"/>
        <c:scaling>
          <c:orientation val="minMax"/>
        </c:scaling>
        <c:delete val="0"/>
        <c:axPos val="b"/>
        <c:title>
          <c:tx>
            <c:rich>
              <a:bodyPr/>
              <a:lstStyle/>
              <a:p>
                <a:pPr>
                  <a:defRPr sz="800"/>
                </a:pPr>
                <a:r>
                  <a:rPr lang="es-EC" sz="800"/>
                  <a:t>Provincia de residencia habitual</a:t>
                </a:r>
              </a:p>
            </c:rich>
          </c:tx>
          <c:overlay val="0"/>
        </c:title>
        <c:numFmt formatCode="General" sourceLinked="1"/>
        <c:majorTickMark val="out"/>
        <c:minorTickMark val="none"/>
        <c:tickLblPos val="nextTo"/>
        <c:spPr>
          <a:ln>
            <a:solidFill>
              <a:schemeClr val="tx1"/>
            </a:solidFill>
          </a:ln>
        </c:spPr>
        <c:txPr>
          <a:bodyPr rot="-5400000" vert="horz"/>
          <a:lstStyle/>
          <a:p>
            <a:pPr>
              <a:defRPr sz="600"/>
            </a:pPr>
            <a:endParaRPr lang="es-EC"/>
          </a:p>
        </c:txPr>
        <c:crossAx val="285962624"/>
        <c:crosses val="autoZero"/>
        <c:auto val="1"/>
        <c:lblAlgn val="ctr"/>
        <c:lblOffset val="100"/>
        <c:noMultiLvlLbl val="0"/>
      </c:catAx>
      <c:valAx>
        <c:axId val="285962624"/>
        <c:scaling>
          <c:orientation val="minMax"/>
          <c:max val="1200"/>
          <c:min val="0"/>
        </c:scaling>
        <c:delete val="0"/>
        <c:axPos val="l"/>
        <c:majorGridlines>
          <c:spPr>
            <a:ln>
              <a:solidFill>
                <a:schemeClr val="bg1">
                  <a:lumMod val="65000"/>
                </a:schemeClr>
              </a:solidFill>
              <a:prstDash val="dash"/>
            </a:ln>
          </c:spPr>
        </c:majorGridlines>
        <c:title>
          <c:tx>
            <c:rich>
              <a:bodyPr rot="-5400000" vert="horz"/>
              <a:lstStyle/>
              <a:p>
                <a:pPr>
                  <a:defRPr sz="700"/>
                </a:pPr>
                <a:r>
                  <a:rPr lang="es-EC" sz="700"/>
                  <a:t>Tasa por cada 1000 españoles</a:t>
                </a:r>
              </a:p>
            </c:rich>
          </c:tx>
          <c:layout>
            <c:manualLayout>
              <c:xMode val="edge"/>
              <c:yMode val="edge"/>
              <c:x val="0"/>
              <c:y val="2.1504740478868731E-2"/>
            </c:manualLayout>
          </c:layout>
          <c:overlay val="0"/>
        </c:title>
        <c:numFmt formatCode="0" sourceLinked="0"/>
        <c:majorTickMark val="out"/>
        <c:minorTickMark val="none"/>
        <c:tickLblPos val="nextTo"/>
        <c:spPr>
          <a:ln>
            <a:solidFill>
              <a:schemeClr val="tx1"/>
            </a:solidFill>
          </a:ln>
        </c:spPr>
        <c:crossAx val="285956352"/>
        <c:crosses val="autoZero"/>
        <c:crossBetween val="between"/>
        <c:majorUnit val="200"/>
      </c:valAx>
      <c:spPr>
        <a:noFill/>
        <a:ln>
          <a:solidFill>
            <a:schemeClr val="tx1"/>
          </a:solidFill>
        </a:ln>
      </c:spPr>
    </c:plotArea>
    <c:legend>
      <c:legendPos val="t"/>
      <c:layout>
        <c:manualLayout>
          <c:xMode val="edge"/>
          <c:yMode val="edge"/>
          <c:x val="0.48364619257757618"/>
          <c:y val="2.5682178657637691E-2"/>
          <c:w val="0.40947370589665366"/>
          <c:h val="6.3544518135595168E-2"/>
        </c:manualLayout>
      </c:layout>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Perfil!$G$66</c:f>
              <c:strCache>
                <c:ptCount val="1"/>
                <c:pt idx="0">
                  <c:v>Área Urbana</c:v>
                </c:pt>
              </c:strCache>
            </c:strRef>
          </c:tx>
          <c:spPr>
            <a:ln w="19050">
              <a:solidFill>
                <a:srgbClr val="0070C0"/>
              </a:solidFill>
            </a:ln>
          </c:spPr>
          <c:marker>
            <c:symbol val="none"/>
          </c:marker>
          <c:cat>
            <c:strRef>
              <c:f>Perfil!$C$67:$C$87</c:f>
              <c:strCache>
                <c:ptCount val="21"/>
                <c:pt idx="0">
                  <c:v>&lt; 1 </c:v>
                </c:pt>
                <c:pt idx="1">
                  <c:v>1 a 5</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90 a 95</c:v>
                </c:pt>
                <c:pt idx="20">
                  <c:v>95 a 100</c:v>
                </c:pt>
              </c:strCache>
            </c:strRef>
          </c:cat>
          <c:val>
            <c:numRef>
              <c:f>Perfil!$G$67:$G$87</c:f>
              <c:numCache>
                <c:formatCode>0.00</c:formatCode>
                <c:ptCount val="21"/>
                <c:pt idx="0">
                  <c:v>669.81132075471646</c:v>
                </c:pt>
                <c:pt idx="1">
                  <c:v>780.79534432589833</c:v>
                </c:pt>
                <c:pt idx="2">
                  <c:v>770.52569403425798</c:v>
                </c:pt>
                <c:pt idx="3">
                  <c:v>752.33644859813091</c:v>
                </c:pt>
                <c:pt idx="4">
                  <c:v>678.57142857142856</c:v>
                </c:pt>
                <c:pt idx="5">
                  <c:v>813.55932203389841</c:v>
                </c:pt>
                <c:pt idx="6">
                  <c:v>857.14285714285711</c:v>
                </c:pt>
                <c:pt idx="7">
                  <c:v>860.46511627906978</c:v>
                </c:pt>
                <c:pt idx="8">
                  <c:v>818.84057971014488</c:v>
                </c:pt>
                <c:pt idx="9">
                  <c:v>808.51063829787302</c:v>
                </c:pt>
                <c:pt idx="10">
                  <c:v>789.91596638655449</c:v>
                </c:pt>
                <c:pt idx="11">
                  <c:v>771.92982456140339</c:v>
                </c:pt>
                <c:pt idx="12">
                  <c:v>801.72413793103453</c:v>
                </c:pt>
                <c:pt idx="13">
                  <c:v>846.77419354838867</c:v>
                </c:pt>
                <c:pt idx="14">
                  <c:v>888.8888888888888</c:v>
                </c:pt>
                <c:pt idx="15">
                  <c:v>880.95238095238153</c:v>
                </c:pt>
                <c:pt idx="16">
                  <c:v>829.26829268292647</c:v>
                </c:pt>
                <c:pt idx="17">
                  <c:v>666.66666666666663</c:v>
                </c:pt>
                <c:pt idx="18">
                  <c:v>1000</c:v>
                </c:pt>
                <c:pt idx="19">
                  <c:v>1000</c:v>
                </c:pt>
                <c:pt idx="20">
                  <c:v>1000</c:v>
                </c:pt>
              </c:numCache>
            </c:numRef>
          </c:val>
          <c:smooth val="1"/>
        </c:ser>
        <c:ser>
          <c:idx val="1"/>
          <c:order val="1"/>
          <c:tx>
            <c:strRef>
              <c:f>Perfil!$H$66</c:f>
              <c:strCache>
                <c:ptCount val="1"/>
                <c:pt idx="0">
                  <c:v>Área Rural</c:v>
                </c:pt>
              </c:strCache>
            </c:strRef>
          </c:tx>
          <c:spPr>
            <a:ln w="19050">
              <a:solidFill>
                <a:schemeClr val="accent6">
                  <a:lumMod val="75000"/>
                </a:schemeClr>
              </a:solidFill>
            </a:ln>
          </c:spPr>
          <c:marker>
            <c:symbol val="none"/>
          </c:marker>
          <c:cat>
            <c:strRef>
              <c:f>Perfil!$C$67:$C$87</c:f>
              <c:strCache>
                <c:ptCount val="21"/>
                <c:pt idx="0">
                  <c:v>&lt; 1 </c:v>
                </c:pt>
                <c:pt idx="1">
                  <c:v>1 a 5</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90 a 95</c:v>
                </c:pt>
                <c:pt idx="20">
                  <c:v>95 a 100</c:v>
                </c:pt>
              </c:strCache>
            </c:strRef>
          </c:cat>
          <c:val>
            <c:numRef>
              <c:f>Perfil!$H$67:$H$87</c:f>
              <c:numCache>
                <c:formatCode>0.00</c:formatCode>
                <c:ptCount val="21"/>
                <c:pt idx="0">
                  <c:v>330.18867924528246</c:v>
                </c:pt>
                <c:pt idx="1">
                  <c:v>219.20465567410221</c:v>
                </c:pt>
                <c:pt idx="2">
                  <c:v>229.47430596574111</c:v>
                </c:pt>
                <c:pt idx="3">
                  <c:v>247.66355140186877</c:v>
                </c:pt>
                <c:pt idx="4">
                  <c:v>321.42857142857071</c:v>
                </c:pt>
                <c:pt idx="5">
                  <c:v>186.4406779661015</c:v>
                </c:pt>
                <c:pt idx="6">
                  <c:v>142.85714285714312</c:v>
                </c:pt>
                <c:pt idx="7">
                  <c:v>139.53488372093005</c:v>
                </c:pt>
                <c:pt idx="8">
                  <c:v>181.15942028985498</c:v>
                </c:pt>
                <c:pt idx="9">
                  <c:v>191.48936170212758</c:v>
                </c:pt>
                <c:pt idx="10">
                  <c:v>210.08403361344537</c:v>
                </c:pt>
                <c:pt idx="11">
                  <c:v>228.07017543859638</c:v>
                </c:pt>
                <c:pt idx="12">
                  <c:v>198.2758620689653</c:v>
                </c:pt>
                <c:pt idx="13">
                  <c:v>153.22580645161307</c:v>
                </c:pt>
                <c:pt idx="14">
                  <c:v>111.1111111111111</c:v>
                </c:pt>
                <c:pt idx="15">
                  <c:v>119.04761904761918</c:v>
                </c:pt>
                <c:pt idx="16">
                  <c:v>170.73170731707344</c:v>
                </c:pt>
                <c:pt idx="17">
                  <c:v>333.33333333333331</c:v>
                </c:pt>
                <c:pt idx="18">
                  <c:v>0</c:v>
                </c:pt>
                <c:pt idx="19">
                  <c:v>0</c:v>
                </c:pt>
                <c:pt idx="20">
                  <c:v>0</c:v>
                </c:pt>
              </c:numCache>
            </c:numRef>
          </c:val>
          <c:smooth val="1"/>
        </c:ser>
        <c:dLbls>
          <c:showLegendKey val="0"/>
          <c:showVal val="0"/>
          <c:showCatName val="0"/>
          <c:showSerName val="0"/>
          <c:showPercent val="0"/>
          <c:showBubbleSize val="0"/>
        </c:dLbls>
        <c:marker val="1"/>
        <c:smooth val="0"/>
        <c:axId val="285992832"/>
        <c:axId val="285995008"/>
      </c:lineChart>
      <c:catAx>
        <c:axId val="285992832"/>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5995008"/>
        <c:crosses val="autoZero"/>
        <c:auto val="1"/>
        <c:lblAlgn val="ctr"/>
        <c:lblOffset val="100"/>
        <c:noMultiLvlLbl val="0"/>
      </c:catAx>
      <c:valAx>
        <c:axId val="285995008"/>
        <c:scaling>
          <c:orientation val="minMax"/>
          <c:max val="1000"/>
          <c:min val="0"/>
        </c:scaling>
        <c:delete val="0"/>
        <c:axPos val="l"/>
        <c:title>
          <c:tx>
            <c:rich>
              <a:bodyPr rot="-5400000" vert="horz"/>
              <a:lstStyle/>
              <a:p>
                <a:pPr>
                  <a:defRPr sz="600"/>
                </a:pPr>
                <a:r>
                  <a:rPr lang="es-EC" sz="600"/>
                  <a:t>Tasa por</a:t>
                </a:r>
                <a:r>
                  <a:rPr lang="es-EC" sz="600" baseline="0"/>
                  <a:t> cada 1000 españoles</a:t>
                </a:r>
                <a:endParaRPr lang="es-EC" sz="600"/>
              </a:p>
            </c:rich>
          </c:tx>
          <c:layout>
            <c:manualLayout>
              <c:xMode val="edge"/>
              <c:yMode val="edge"/>
              <c:x val="6.0317573425493799E-3"/>
              <c:y val="7.2706560938880546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5992832"/>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Perfil!$G$66</c:f>
              <c:strCache>
                <c:ptCount val="1"/>
                <c:pt idx="0">
                  <c:v>Área Urbana</c:v>
                </c:pt>
              </c:strCache>
            </c:strRef>
          </c:tx>
          <c:spPr>
            <a:ln w="19050">
              <a:solidFill>
                <a:srgbClr val="0070C0"/>
              </a:solidFill>
            </a:ln>
          </c:spPr>
          <c:marker>
            <c:symbol val="none"/>
          </c:marker>
          <c:cat>
            <c:strRef>
              <c:f>Perfil!$C$89:$C$109</c:f>
              <c:strCache>
                <c:ptCount val="21"/>
                <c:pt idx="0">
                  <c:v>&lt; 1 </c:v>
                </c:pt>
                <c:pt idx="1">
                  <c:v>1 a 5</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90 a 95</c:v>
                </c:pt>
                <c:pt idx="20">
                  <c:v>95 a 100</c:v>
                </c:pt>
              </c:strCache>
            </c:strRef>
          </c:cat>
          <c:val>
            <c:numRef>
              <c:f>Perfil!$G$89:$G$109</c:f>
              <c:numCache>
                <c:formatCode>0.00</c:formatCode>
                <c:ptCount val="21"/>
                <c:pt idx="0">
                  <c:v>764.70588235294179</c:v>
                </c:pt>
                <c:pt idx="1">
                  <c:v>755.81996896016551</c:v>
                </c:pt>
                <c:pt idx="2">
                  <c:v>780.71292170591869</c:v>
                </c:pt>
                <c:pt idx="3">
                  <c:v>822.11538461538453</c:v>
                </c:pt>
                <c:pt idx="4">
                  <c:v>772.72727272727275</c:v>
                </c:pt>
                <c:pt idx="5">
                  <c:v>771.42857142857213</c:v>
                </c:pt>
                <c:pt idx="6">
                  <c:v>826.3888888888888</c:v>
                </c:pt>
                <c:pt idx="7">
                  <c:v>857.14285714285711</c:v>
                </c:pt>
                <c:pt idx="8">
                  <c:v>815.2173913043481</c:v>
                </c:pt>
                <c:pt idx="9">
                  <c:v>746.47887323943803</c:v>
                </c:pt>
                <c:pt idx="10">
                  <c:v>769.23076923076951</c:v>
                </c:pt>
                <c:pt idx="11">
                  <c:v>768.1159420289855</c:v>
                </c:pt>
                <c:pt idx="12">
                  <c:v>891.89189189189187</c:v>
                </c:pt>
                <c:pt idx="13">
                  <c:v>771.92982456140339</c:v>
                </c:pt>
                <c:pt idx="14">
                  <c:v>837.83783783783781</c:v>
                </c:pt>
                <c:pt idx="15">
                  <c:v>860.46511627906978</c:v>
                </c:pt>
                <c:pt idx="16">
                  <c:v>811.32075471698113</c:v>
                </c:pt>
                <c:pt idx="17">
                  <c:v>875</c:v>
                </c:pt>
                <c:pt idx="18">
                  <c:v>1000</c:v>
                </c:pt>
                <c:pt idx="19">
                  <c:v>800</c:v>
                </c:pt>
                <c:pt idx="20">
                  <c:v>1000</c:v>
                </c:pt>
              </c:numCache>
            </c:numRef>
          </c:val>
          <c:smooth val="1"/>
        </c:ser>
        <c:ser>
          <c:idx val="1"/>
          <c:order val="1"/>
          <c:tx>
            <c:strRef>
              <c:f>Perfil!$H$66</c:f>
              <c:strCache>
                <c:ptCount val="1"/>
                <c:pt idx="0">
                  <c:v>Área Rural</c:v>
                </c:pt>
              </c:strCache>
            </c:strRef>
          </c:tx>
          <c:spPr>
            <a:ln w="19050">
              <a:solidFill>
                <a:schemeClr val="accent6">
                  <a:lumMod val="75000"/>
                </a:schemeClr>
              </a:solidFill>
            </a:ln>
          </c:spPr>
          <c:marker>
            <c:symbol val="none"/>
          </c:marker>
          <c:cat>
            <c:strRef>
              <c:f>Perfil!$C$89:$C$109</c:f>
              <c:strCache>
                <c:ptCount val="21"/>
                <c:pt idx="0">
                  <c:v>&lt; 1 </c:v>
                </c:pt>
                <c:pt idx="1">
                  <c:v>1 a 5</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90 a 95</c:v>
                </c:pt>
                <c:pt idx="20">
                  <c:v>95 a 100</c:v>
                </c:pt>
              </c:strCache>
            </c:strRef>
          </c:cat>
          <c:val>
            <c:numRef>
              <c:f>Perfil!$H$89:$H$109</c:f>
              <c:numCache>
                <c:formatCode>0.00</c:formatCode>
                <c:ptCount val="21"/>
                <c:pt idx="0">
                  <c:v>235.29411764705878</c:v>
                </c:pt>
                <c:pt idx="1">
                  <c:v>244.18003103983446</c:v>
                </c:pt>
                <c:pt idx="2">
                  <c:v>219.28707829408015</c:v>
                </c:pt>
                <c:pt idx="3">
                  <c:v>177.88461538461544</c:v>
                </c:pt>
                <c:pt idx="4">
                  <c:v>227.27272727272725</c:v>
                </c:pt>
                <c:pt idx="5">
                  <c:v>228.57142857142861</c:v>
                </c:pt>
                <c:pt idx="6">
                  <c:v>173.61111111111094</c:v>
                </c:pt>
                <c:pt idx="7">
                  <c:v>142.85714285714312</c:v>
                </c:pt>
                <c:pt idx="8">
                  <c:v>184.78260869565216</c:v>
                </c:pt>
                <c:pt idx="9">
                  <c:v>253.52112676056353</c:v>
                </c:pt>
                <c:pt idx="10">
                  <c:v>230.76923076923075</c:v>
                </c:pt>
                <c:pt idx="11">
                  <c:v>231.88405797101461</c:v>
                </c:pt>
                <c:pt idx="12">
                  <c:v>108.10810810810803</c:v>
                </c:pt>
                <c:pt idx="13">
                  <c:v>228.07017543859638</c:v>
                </c:pt>
                <c:pt idx="14">
                  <c:v>162.16216216216199</c:v>
                </c:pt>
                <c:pt idx="15">
                  <c:v>139.53488372093005</c:v>
                </c:pt>
                <c:pt idx="16">
                  <c:v>188.67924528301867</c:v>
                </c:pt>
                <c:pt idx="17">
                  <c:v>125</c:v>
                </c:pt>
                <c:pt idx="18">
                  <c:v>0</c:v>
                </c:pt>
                <c:pt idx="19">
                  <c:v>200</c:v>
                </c:pt>
                <c:pt idx="20">
                  <c:v>0</c:v>
                </c:pt>
              </c:numCache>
            </c:numRef>
          </c:val>
          <c:smooth val="1"/>
        </c:ser>
        <c:dLbls>
          <c:showLegendKey val="0"/>
          <c:showVal val="0"/>
          <c:showCatName val="0"/>
          <c:showSerName val="0"/>
          <c:showPercent val="0"/>
          <c:showBubbleSize val="0"/>
        </c:dLbls>
        <c:marker val="1"/>
        <c:smooth val="0"/>
        <c:axId val="286019968"/>
        <c:axId val="286021888"/>
      </c:lineChart>
      <c:catAx>
        <c:axId val="286019968"/>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6021888"/>
        <c:crosses val="autoZero"/>
        <c:auto val="1"/>
        <c:lblAlgn val="ctr"/>
        <c:lblOffset val="100"/>
        <c:noMultiLvlLbl val="0"/>
      </c:catAx>
      <c:valAx>
        <c:axId val="286021888"/>
        <c:scaling>
          <c:orientation val="minMax"/>
          <c:max val="1000"/>
          <c:min val="0"/>
        </c:scaling>
        <c:delete val="0"/>
        <c:axPos val="l"/>
        <c:title>
          <c:tx>
            <c:rich>
              <a:bodyPr rot="-5400000" vert="horz"/>
              <a:lstStyle/>
              <a:p>
                <a:pPr>
                  <a:defRPr sz="600"/>
                </a:pPr>
                <a:r>
                  <a:rPr lang="es-EC" sz="600"/>
                  <a:t>Tasa por</a:t>
                </a:r>
                <a:r>
                  <a:rPr lang="es-EC" sz="600" baseline="0"/>
                  <a:t> cada 1000 españoles</a:t>
                </a:r>
                <a:endParaRPr lang="es-EC" sz="600"/>
              </a:p>
            </c:rich>
          </c:tx>
          <c:layout>
            <c:manualLayout>
              <c:xMode val="edge"/>
              <c:yMode val="edge"/>
              <c:x val="3.0165912518853723E-3"/>
              <c:y val="5.861279513667003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6019968"/>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6947817963441"/>
          <c:y val="4.6274540682414614E-2"/>
          <c:w val="0.7878635170603675"/>
          <c:h val="0.58798477690288709"/>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700"/>
                </a:pPr>
                <a:endParaRPr lang="es-EC"/>
              </a:p>
            </c:txPr>
            <c:dLblPos val="outEnd"/>
            <c:showLegendKey val="0"/>
            <c:showVal val="1"/>
            <c:showCatName val="0"/>
            <c:showSerName val="0"/>
            <c:showPercent val="0"/>
            <c:showBubbleSize val="0"/>
            <c:showLeaderLines val="0"/>
          </c:dLbls>
          <c:cat>
            <c:strRef>
              <c:f>AñoLLegó!$I$4:$I$9</c:f>
              <c:strCache>
                <c:ptCount val="6"/>
                <c:pt idx="0">
                  <c:v>Menos de 1</c:v>
                </c:pt>
                <c:pt idx="1">
                  <c:v>[1 - 20)</c:v>
                </c:pt>
                <c:pt idx="2">
                  <c:v>[20 - 40)</c:v>
                </c:pt>
                <c:pt idx="3">
                  <c:v>[40 - 60)</c:v>
                </c:pt>
                <c:pt idx="4">
                  <c:v>[60 - 80]</c:v>
                </c:pt>
                <c:pt idx="5">
                  <c:v>No declarado</c:v>
                </c:pt>
              </c:strCache>
            </c:strRef>
          </c:cat>
          <c:val>
            <c:numRef>
              <c:f>AñoLLegó!$J$4:$J$9</c:f>
              <c:numCache>
                <c:formatCode>0,000</c:formatCode>
                <c:ptCount val="6"/>
                <c:pt idx="0">
                  <c:v>0.23375973701136307</c:v>
                </c:pt>
                <c:pt idx="1">
                  <c:v>0.5765740012863575</c:v>
                </c:pt>
                <c:pt idx="2">
                  <c:v>3.2444793825484215E-2</c:v>
                </c:pt>
                <c:pt idx="3">
                  <c:v>1.4578717930393746E-2</c:v>
                </c:pt>
                <c:pt idx="4">
                  <c:v>2.6441792324733843E-3</c:v>
                </c:pt>
                <c:pt idx="5">
                  <c:v>0.13999857071392841</c:v>
                </c:pt>
              </c:numCache>
            </c:numRef>
          </c:val>
        </c:ser>
        <c:dLbls>
          <c:showLegendKey val="0"/>
          <c:showVal val="1"/>
          <c:showCatName val="0"/>
          <c:showSerName val="0"/>
          <c:showPercent val="0"/>
          <c:showBubbleSize val="0"/>
        </c:dLbls>
        <c:gapWidth val="30"/>
        <c:axId val="286069120"/>
        <c:axId val="286072192"/>
      </c:barChart>
      <c:catAx>
        <c:axId val="286069120"/>
        <c:scaling>
          <c:orientation val="minMax"/>
        </c:scaling>
        <c:delete val="0"/>
        <c:axPos val="b"/>
        <c:title>
          <c:tx>
            <c:rich>
              <a:bodyPr/>
              <a:lstStyle/>
              <a:p>
                <a:pPr>
                  <a:defRPr/>
                </a:pPr>
                <a:r>
                  <a:rPr lang="es-EC"/>
                  <a:t>Años de residencia en Ecuador</a:t>
                </a:r>
              </a:p>
            </c:rich>
          </c:tx>
          <c:overlay val="0"/>
        </c:title>
        <c:numFmt formatCode="General" sourceLinked="1"/>
        <c:majorTickMark val="out"/>
        <c:minorTickMark val="none"/>
        <c:tickLblPos val="low"/>
        <c:spPr>
          <a:ln>
            <a:solidFill>
              <a:schemeClr val="tx1"/>
            </a:solidFill>
          </a:ln>
        </c:spPr>
        <c:txPr>
          <a:bodyPr rot="-5400000" vert="horz"/>
          <a:lstStyle/>
          <a:p>
            <a:pPr>
              <a:defRPr sz="700"/>
            </a:pPr>
            <a:endParaRPr lang="es-EC"/>
          </a:p>
        </c:txPr>
        <c:crossAx val="286072192"/>
        <c:crosses val="autoZero"/>
        <c:auto val="1"/>
        <c:lblAlgn val="ctr"/>
        <c:lblOffset val="100"/>
        <c:noMultiLvlLbl val="0"/>
      </c:catAx>
      <c:valAx>
        <c:axId val="286072192"/>
        <c:scaling>
          <c:orientation val="minMax"/>
          <c:max val="1"/>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low"/>
        <c:spPr>
          <a:ln>
            <a:solidFill>
              <a:schemeClr val="tx1"/>
            </a:solidFill>
          </a:ln>
        </c:spPr>
        <c:crossAx val="286069120"/>
        <c:crossesAt val="1"/>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212815990593797E-2"/>
          <c:y val="5.0925925925925923E-2"/>
          <c:w val="0.88745569832871463"/>
          <c:h val="0.57106955380577462"/>
        </c:manualLayout>
      </c:layout>
      <c:barChart>
        <c:barDir val="col"/>
        <c:grouping val="clustered"/>
        <c:varyColors val="0"/>
        <c:ser>
          <c:idx val="0"/>
          <c:order val="0"/>
          <c:tx>
            <c:strRef>
              <c:f>Perfil!$F$116</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Perfil!$B$117:$B$141</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Perfil!$F$117:$F$141</c:f>
              <c:numCache>
                <c:formatCode>0.00</c:formatCode>
                <c:ptCount val="25"/>
                <c:pt idx="0">
                  <c:v>99.603174603174608</c:v>
                </c:pt>
                <c:pt idx="1">
                  <c:v>91.428571428571388</c:v>
                </c:pt>
                <c:pt idx="2">
                  <c:v>78.106508875739507</c:v>
                </c:pt>
                <c:pt idx="3">
                  <c:v>65</c:v>
                </c:pt>
                <c:pt idx="4">
                  <c:v>94.897959183673493</c:v>
                </c:pt>
                <c:pt idx="5">
                  <c:v>96.916299559471426</c:v>
                </c:pt>
                <c:pt idx="6">
                  <c:v>92.954990215264203</c:v>
                </c:pt>
                <c:pt idx="7">
                  <c:v>96.688741721854143</c:v>
                </c:pt>
                <c:pt idx="8">
                  <c:v>85.324779470729624</c:v>
                </c:pt>
                <c:pt idx="9">
                  <c:v>97.115384615384528</c:v>
                </c:pt>
                <c:pt idx="10">
                  <c:v>86.103896103895948</c:v>
                </c:pt>
                <c:pt idx="11">
                  <c:v>83.544303797468373</c:v>
                </c:pt>
                <c:pt idx="12">
                  <c:v>80.165289256198349</c:v>
                </c:pt>
                <c:pt idx="13">
                  <c:v>101.88679245283004</c:v>
                </c:pt>
                <c:pt idx="14">
                  <c:v>62.5</c:v>
                </c:pt>
                <c:pt idx="15">
                  <c:v>91.8032786885245</c:v>
                </c:pt>
                <c:pt idx="16">
                  <c:v>91.304347826086754</c:v>
                </c:pt>
                <c:pt idx="17">
                  <c:v>86.328125</c:v>
                </c:pt>
                <c:pt idx="18">
                  <c:v>87.5</c:v>
                </c:pt>
                <c:pt idx="19">
                  <c:v>225</c:v>
                </c:pt>
                <c:pt idx="20">
                  <c:v>124.24242424242425</c:v>
                </c:pt>
                <c:pt idx="21">
                  <c:v>78.57142857142847</c:v>
                </c:pt>
                <c:pt idx="22">
                  <c:v>103.93700787401573</c:v>
                </c:pt>
                <c:pt idx="23">
                  <c:v>52.173913043478308</c:v>
                </c:pt>
                <c:pt idx="24">
                  <c:v>120</c:v>
                </c:pt>
              </c:numCache>
            </c:numRef>
          </c:val>
        </c:ser>
        <c:dLbls>
          <c:showLegendKey val="0"/>
          <c:showVal val="0"/>
          <c:showCatName val="0"/>
          <c:showSerName val="0"/>
          <c:showPercent val="0"/>
          <c:showBubbleSize val="0"/>
        </c:dLbls>
        <c:gapWidth val="40"/>
        <c:axId val="286093696"/>
        <c:axId val="286095616"/>
      </c:barChart>
      <c:lineChart>
        <c:grouping val="standard"/>
        <c:varyColors val="0"/>
        <c:ser>
          <c:idx val="1"/>
          <c:order val="1"/>
          <c:tx>
            <c:strRef>
              <c:f>Perfil!$G$116</c:f>
              <c:strCache>
                <c:ptCount val="1"/>
                <c:pt idx="0">
                  <c:v>100 Hombres</c:v>
                </c:pt>
              </c:strCache>
            </c:strRef>
          </c:tx>
          <c:spPr>
            <a:ln w="19050">
              <a:solidFill>
                <a:schemeClr val="tx1"/>
              </a:solidFill>
            </a:ln>
          </c:spPr>
          <c:marker>
            <c:symbol val="none"/>
          </c:marker>
          <c:cat>
            <c:strRef>
              <c:f>Perfil!$B$117:$B$141</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Perfil!$G$117:$G$141</c:f>
              <c:numCache>
                <c:formatCode>General</c:formatCode>
                <c:ptCount val="2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numCache>
            </c:numRef>
          </c:val>
          <c:smooth val="0"/>
        </c:ser>
        <c:dLbls>
          <c:showLegendKey val="0"/>
          <c:showVal val="0"/>
          <c:showCatName val="0"/>
          <c:showSerName val="0"/>
          <c:showPercent val="0"/>
          <c:showBubbleSize val="0"/>
        </c:dLbls>
        <c:marker val="1"/>
        <c:smooth val="0"/>
        <c:axId val="286093696"/>
        <c:axId val="286095616"/>
      </c:lineChart>
      <c:catAx>
        <c:axId val="286093696"/>
        <c:scaling>
          <c:orientation val="minMax"/>
        </c:scaling>
        <c:delete val="0"/>
        <c:axPos val="b"/>
        <c:title>
          <c:tx>
            <c:rich>
              <a:bodyPr/>
              <a:lstStyle/>
              <a:p>
                <a:pPr>
                  <a:defRPr sz="800"/>
                </a:pPr>
                <a:r>
                  <a:rPr lang="es-EC" sz="800"/>
                  <a:t>Provincia de residencia</a:t>
                </a:r>
                <a:r>
                  <a:rPr lang="es-EC" sz="800" baseline="0"/>
                  <a:t> habitual</a:t>
                </a:r>
                <a:endParaRPr lang="es-EC" sz="800"/>
              </a:p>
            </c:rich>
          </c:tx>
          <c:overlay val="0"/>
        </c:title>
        <c:numFmt formatCode="General" sourceLinked="1"/>
        <c:majorTickMark val="out"/>
        <c:minorTickMark val="none"/>
        <c:tickLblPos val="nextTo"/>
        <c:spPr>
          <a:ln>
            <a:solidFill>
              <a:schemeClr val="tx1"/>
            </a:solidFill>
          </a:ln>
        </c:spPr>
        <c:txPr>
          <a:bodyPr rot="-5400000" vert="horz"/>
          <a:lstStyle/>
          <a:p>
            <a:pPr>
              <a:defRPr sz="600"/>
            </a:pPr>
            <a:endParaRPr lang="es-EC"/>
          </a:p>
        </c:txPr>
        <c:crossAx val="286095616"/>
        <c:crosses val="autoZero"/>
        <c:auto val="1"/>
        <c:lblAlgn val="ctr"/>
        <c:lblOffset val="100"/>
        <c:noMultiLvlLbl val="0"/>
      </c:catAx>
      <c:valAx>
        <c:axId val="286095616"/>
        <c:scaling>
          <c:orientation val="minMax"/>
          <c:max val="350"/>
          <c:min val="0"/>
        </c:scaling>
        <c:delete val="0"/>
        <c:axPos val="l"/>
        <c:title>
          <c:tx>
            <c:rich>
              <a:bodyPr rot="-5400000" vert="horz"/>
              <a:lstStyle/>
              <a:p>
                <a:pPr>
                  <a:defRPr sz="800"/>
                </a:pPr>
                <a:r>
                  <a:rPr lang="es-EC" sz="800"/>
                  <a:t>Índice de Feminidad</a:t>
                </a:r>
              </a:p>
            </c:rich>
          </c:tx>
          <c:overlay val="0"/>
        </c:title>
        <c:numFmt formatCode="0" sourceLinked="0"/>
        <c:majorTickMark val="out"/>
        <c:minorTickMark val="none"/>
        <c:tickLblPos val="nextTo"/>
        <c:spPr>
          <a:ln>
            <a:solidFill>
              <a:schemeClr val="tx1"/>
            </a:solidFill>
          </a:ln>
        </c:spPr>
        <c:crossAx val="286093696"/>
        <c:crosses val="autoZero"/>
        <c:crossBetween val="between"/>
        <c:majorUnit val="50"/>
      </c:valAx>
      <c:spPr>
        <a:noFill/>
        <a:ln>
          <a:solidFill>
            <a:schemeClr val="tx1"/>
          </a:solidFill>
        </a:ln>
      </c:spPr>
    </c:plotArea>
    <c:legend>
      <c:legendPos val="t"/>
      <c:layout>
        <c:manualLayout>
          <c:xMode val="edge"/>
          <c:yMode val="edge"/>
          <c:x val="0.12708595783992621"/>
          <c:y val="5.5555555555555483E-2"/>
          <c:w val="0.6178361468044008"/>
          <c:h val="6.3619495479731711E-2"/>
        </c:manualLayout>
      </c:layout>
      <c:overlay val="0"/>
      <c:txPr>
        <a:bodyPr/>
        <a:lstStyle/>
        <a:p>
          <a:pPr>
            <a:defRPr sz="750"/>
          </a:pPr>
          <a:endParaRPr lang="es-EC"/>
        </a:p>
      </c:txPr>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19508275751261"/>
          <c:y val="4.5407636738906167E-2"/>
          <c:w val="0.80797857410680862"/>
          <c:h val="0.85883068022070064"/>
        </c:manualLayout>
      </c:layout>
      <c:barChart>
        <c:barDir val="bar"/>
        <c:grouping val="stacked"/>
        <c:varyColors val="0"/>
        <c:ser>
          <c:idx val="0"/>
          <c:order val="0"/>
          <c:spPr>
            <a:solidFill>
              <a:schemeClr val="accent5">
                <a:lumMod val="40000"/>
                <a:lumOff val="60000"/>
              </a:schemeClr>
            </a:solidFill>
            <a:ln>
              <a:solidFill>
                <a:schemeClr val="accent5">
                  <a:lumMod val="75000"/>
                </a:schemeClr>
              </a:solidFill>
            </a:ln>
          </c:spPr>
          <c:invertIfNegative val="0"/>
          <c:cat>
            <c:strRef>
              <c:f>Perfil!$B$149:$B$169</c:f>
              <c:strCache>
                <c:ptCount val="21"/>
                <c:pt idx="0">
                  <c:v>Menos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90 a 95</c:v>
                </c:pt>
                <c:pt idx="20">
                  <c:v>95 a 100</c:v>
                </c:pt>
              </c:strCache>
            </c:strRef>
          </c:cat>
          <c:val>
            <c:numRef>
              <c:f>Perfil!$F$149:$F$169</c:f>
              <c:numCache>
                <c:formatCode>0.00%</c:formatCode>
                <c:ptCount val="21"/>
                <c:pt idx="0">
                  <c:v>-7.5752161795183412E-3</c:v>
                </c:pt>
                <c:pt idx="1">
                  <c:v>-0.14735939398270584</c:v>
                </c:pt>
                <c:pt idx="2">
                  <c:v>-0.24197813192310441</c:v>
                </c:pt>
                <c:pt idx="3">
                  <c:v>-3.058672193239477E-2</c:v>
                </c:pt>
                <c:pt idx="4">
                  <c:v>-4.0020010005002498E-3</c:v>
                </c:pt>
                <c:pt idx="5">
                  <c:v>-4.216393911241346E-3</c:v>
                </c:pt>
                <c:pt idx="6">
                  <c:v>-7.0035017508754413E-3</c:v>
                </c:pt>
                <c:pt idx="7">
                  <c:v>-9.2188951618666498E-3</c:v>
                </c:pt>
                <c:pt idx="8">
                  <c:v>-9.8620738940899295E-3</c:v>
                </c:pt>
                <c:pt idx="9">
                  <c:v>-1.0076466804830988E-2</c:v>
                </c:pt>
                <c:pt idx="10">
                  <c:v>-8.5042521260630336E-3</c:v>
                </c:pt>
                <c:pt idx="11">
                  <c:v>-8.1469306081612246E-3</c:v>
                </c:pt>
                <c:pt idx="12">
                  <c:v>-8.2898592153219652E-3</c:v>
                </c:pt>
                <c:pt idx="13">
                  <c:v>-8.8615736439648495E-3</c:v>
                </c:pt>
                <c:pt idx="14">
                  <c:v>-9.004502251125578E-3</c:v>
                </c:pt>
                <c:pt idx="15">
                  <c:v>-6.003001500750383E-3</c:v>
                </c:pt>
                <c:pt idx="16">
                  <c:v>-2.9300364467948281E-3</c:v>
                </c:pt>
                <c:pt idx="17">
                  <c:v>-1.9295361966697653E-3</c:v>
                </c:pt>
                <c:pt idx="18">
                  <c:v>-9.2903594654470095E-4</c:v>
                </c:pt>
                <c:pt idx="19">
                  <c:v>-7.1464303580361701E-5</c:v>
                </c:pt>
                <c:pt idx="20">
                  <c:v>-7.1464303580361701E-5</c:v>
                </c:pt>
              </c:numCache>
            </c:numRef>
          </c:val>
        </c:ser>
        <c:ser>
          <c:idx val="1"/>
          <c:order val="1"/>
          <c:spPr>
            <a:solidFill>
              <a:schemeClr val="accent6">
                <a:lumMod val="60000"/>
                <a:lumOff val="40000"/>
              </a:schemeClr>
            </a:solidFill>
            <a:ln>
              <a:solidFill>
                <a:schemeClr val="accent6">
                  <a:lumMod val="75000"/>
                </a:schemeClr>
              </a:solidFill>
            </a:ln>
          </c:spPr>
          <c:invertIfNegative val="0"/>
          <c:cat>
            <c:strRef>
              <c:f>Perfil!$B$149:$B$169</c:f>
              <c:strCache>
                <c:ptCount val="21"/>
                <c:pt idx="0">
                  <c:v>Menos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90 a 95</c:v>
                </c:pt>
                <c:pt idx="20">
                  <c:v>95 a 100</c:v>
                </c:pt>
              </c:strCache>
            </c:strRef>
          </c:cat>
          <c:val>
            <c:numRef>
              <c:f>Perfil!$G$149:$G$169</c:f>
              <c:numCache>
                <c:formatCode>0.00%</c:formatCode>
                <c:ptCount val="21"/>
                <c:pt idx="0">
                  <c:v>8.5042521260630336E-3</c:v>
                </c:pt>
                <c:pt idx="1">
                  <c:v>0.13814049882083917</c:v>
                </c:pt>
                <c:pt idx="2">
                  <c:v>0.22454084184949646</c:v>
                </c:pt>
                <c:pt idx="3">
                  <c:v>2.972915028943043E-2</c:v>
                </c:pt>
                <c:pt idx="4">
                  <c:v>4.7166440363038738E-3</c:v>
                </c:pt>
                <c:pt idx="5">
                  <c:v>5.0025012506253125E-3</c:v>
                </c:pt>
                <c:pt idx="6">
                  <c:v>1.0290859715572098E-2</c:v>
                </c:pt>
                <c:pt idx="7">
                  <c:v>9.5047523761881171E-3</c:v>
                </c:pt>
                <c:pt idx="8">
                  <c:v>6.5747159293932734E-3</c:v>
                </c:pt>
                <c:pt idx="9">
                  <c:v>5.0739655542056802E-3</c:v>
                </c:pt>
                <c:pt idx="10">
                  <c:v>4.6451797327235096E-3</c:v>
                </c:pt>
                <c:pt idx="11">
                  <c:v>4.9310369470449561E-3</c:v>
                </c:pt>
                <c:pt idx="12">
                  <c:v>5.2883584649467677E-3</c:v>
                </c:pt>
                <c:pt idx="13">
                  <c:v>4.0734653040806227E-3</c:v>
                </c:pt>
                <c:pt idx="14">
                  <c:v>2.6441792324733843E-3</c:v>
                </c:pt>
                <c:pt idx="15">
                  <c:v>3.0729650539555488E-3</c:v>
                </c:pt>
                <c:pt idx="16">
                  <c:v>3.7876080897591684E-3</c:v>
                </c:pt>
                <c:pt idx="17">
                  <c:v>1.7151432859286787E-3</c:v>
                </c:pt>
                <c:pt idx="18">
                  <c:v>6.4317873222325588E-4</c:v>
                </c:pt>
                <c:pt idx="19">
                  <c:v>3.5732151790180804E-4</c:v>
                </c:pt>
                <c:pt idx="20">
                  <c:v>1.429286071607234E-4</c:v>
                </c:pt>
              </c:numCache>
            </c:numRef>
          </c:val>
        </c:ser>
        <c:dLbls>
          <c:showLegendKey val="0"/>
          <c:showVal val="0"/>
          <c:showCatName val="0"/>
          <c:showSerName val="0"/>
          <c:showPercent val="0"/>
          <c:showBubbleSize val="0"/>
        </c:dLbls>
        <c:gapWidth val="0"/>
        <c:overlap val="100"/>
        <c:axId val="286134272"/>
        <c:axId val="286136192"/>
      </c:barChart>
      <c:catAx>
        <c:axId val="286134272"/>
        <c:scaling>
          <c:orientation val="minMax"/>
        </c:scaling>
        <c:delete val="0"/>
        <c:axPos val="l"/>
        <c:title>
          <c:tx>
            <c:rich>
              <a:bodyPr rot="-5400000" vert="horz"/>
              <a:lstStyle/>
              <a:p>
                <a:pPr>
                  <a:defRPr sz="800"/>
                </a:pPr>
                <a:r>
                  <a:rPr lang="es-EC" sz="800"/>
                  <a:t>Grupos de Edad</a:t>
                </a:r>
              </a:p>
            </c:rich>
          </c:tx>
          <c:overlay val="0"/>
        </c:title>
        <c:numFmt formatCode="0,000" sourceLinked="1"/>
        <c:majorTickMark val="out"/>
        <c:minorTickMark val="none"/>
        <c:tickLblPos val="nextTo"/>
        <c:spPr>
          <a:ln>
            <a:solidFill>
              <a:sysClr val="windowText" lastClr="000000"/>
            </a:solidFill>
          </a:ln>
        </c:spPr>
        <c:txPr>
          <a:bodyPr/>
          <a:lstStyle/>
          <a:p>
            <a:pPr>
              <a:defRPr sz="700"/>
            </a:pPr>
            <a:endParaRPr lang="es-EC"/>
          </a:p>
        </c:txPr>
        <c:crossAx val="286136192"/>
        <c:crossesAt val="-15"/>
        <c:auto val="1"/>
        <c:lblAlgn val="ctr"/>
        <c:lblOffset val="100"/>
        <c:noMultiLvlLbl val="0"/>
      </c:catAx>
      <c:valAx>
        <c:axId val="286136192"/>
        <c:scaling>
          <c:orientation val="minMax"/>
          <c:max val="0.25"/>
          <c:min val="-0.25"/>
        </c:scaling>
        <c:delete val="0"/>
        <c:axPos val="b"/>
        <c:majorGridlines>
          <c:spPr>
            <a:ln>
              <a:prstDash val="dash"/>
            </a:ln>
          </c:spPr>
        </c:majorGridlines>
        <c:numFmt formatCode="0%;0%" sourceLinked="0"/>
        <c:majorTickMark val="out"/>
        <c:minorTickMark val="none"/>
        <c:tickLblPos val="nextTo"/>
        <c:spPr>
          <a:ln>
            <a:solidFill>
              <a:schemeClr val="tx1"/>
            </a:solidFill>
          </a:ln>
        </c:spPr>
        <c:txPr>
          <a:bodyPr/>
          <a:lstStyle/>
          <a:p>
            <a:pPr>
              <a:defRPr sz="800"/>
            </a:pPr>
            <a:endParaRPr lang="es-EC"/>
          </a:p>
        </c:txPr>
        <c:crossAx val="286134272"/>
        <c:crosses val="autoZero"/>
        <c:crossBetween val="between"/>
        <c:majorUnit val="5.0000000000000024E-2"/>
      </c:valAx>
      <c:spPr>
        <a:noFill/>
        <a:ln>
          <a:solidFill>
            <a:sysClr val="windowText" lastClr="000000"/>
          </a:solidFill>
        </a:ln>
      </c:spPr>
    </c:plotArea>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8873658431765"/>
          <c:y val="7.7924323600695011E-2"/>
          <c:w val="0.86616405980926559"/>
          <c:h val="0.65628725650812125"/>
        </c:manualLayout>
      </c:layout>
      <c:lineChart>
        <c:grouping val="standard"/>
        <c:varyColors val="0"/>
        <c:ser>
          <c:idx val="0"/>
          <c:order val="0"/>
          <c:spPr>
            <a:ln w="19050">
              <a:solidFill>
                <a:srgbClr val="0070C0"/>
              </a:solidFill>
            </a:ln>
          </c:spPr>
          <c:marker>
            <c:symbol val="none"/>
          </c:marker>
          <c:cat>
            <c:strRef>
              <c:f>Inmigrantes_Guayaquil!$J$198:$J$215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Inmigrantes_Guayaquil!$M$198:$M$215</c:f>
              <c:numCache>
                <c:formatCode>0.00</c:formatCode>
                <c:ptCount val="18"/>
                <c:pt idx="0">
                  <c:v>988.52017937219819</c:v>
                </c:pt>
                <c:pt idx="1">
                  <c:v>985.94321057070567</c:v>
                </c:pt>
                <c:pt idx="2">
                  <c:v>982.44098026338554</c:v>
                </c:pt>
                <c:pt idx="3">
                  <c:v>978.57561818911449</c:v>
                </c:pt>
                <c:pt idx="4">
                  <c:v>973.16428616371923</c:v>
                </c:pt>
                <c:pt idx="5">
                  <c:v>964.76357495453374</c:v>
                </c:pt>
                <c:pt idx="6">
                  <c:v>951.03652517275316</c:v>
                </c:pt>
                <c:pt idx="7">
                  <c:v>933.81477355664117</c:v>
                </c:pt>
                <c:pt idx="8">
                  <c:v>917.317794552598</c:v>
                </c:pt>
                <c:pt idx="9">
                  <c:v>889.5192776964376</c:v>
                </c:pt>
                <c:pt idx="10">
                  <c:v>857.63293310463121</c:v>
                </c:pt>
                <c:pt idx="11">
                  <c:v>824.84575969883929</c:v>
                </c:pt>
                <c:pt idx="12">
                  <c:v>800.03062318174727</c:v>
                </c:pt>
                <c:pt idx="13">
                  <c:v>769.47105372761359</c:v>
                </c:pt>
                <c:pt idx="14">
                  <c:v>753.68731563421829</c:v>
                </c:pt>
                <c:pt idx="15">
                  <c:v>732.15717722534077</c:v>
                </c:pt>
                <c:pt idx="16">
                  <c:v>689.65517241379291</c:v>
                </c:pt>
                <c:pt idx="17">
                  <c:v>655.46218487394822</c:v>
                </c:pt>
              </c:numCache>
            </c:numRef>
          </c:val>
          <c:smooth val="1"/>
        </c:ser>
        <c:ser>
          <c:idx val="1"/>
          <c:order val="1"/>
          <c:spPr>
            <a:ln w="19050">
              <a:solidFill>
                <a:schemeClr val="accent6">
                  <a:lumMod val="75000"/>
                </a:schemeClr>
              </a:solidFill>
            </a:ln>
          </c:spPr>
          <c:marker>
            <c:symbol val="none"/>
          </c:marker>
          <c:cat>
            <c:strRef>
              <c:f>Inmigrantes_Guayaquil!$J$198:$J$215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Inmigrantes_Guayaquil!$N$198:$N$215</c:f>
              <c:numCache>
                <c:formatCode>0.00</c:formatCode>
                <c:ptCount val="18"/>
                <c:pt idx="0">
                  <c:v>11.479820627802701</c:v>
                </c:pt>
                <c:pt idx="1">
                  <c:v>14.05678942929436</c:v>
                </c:pt>
                <c:pt idx="2">
                  <c:v>17.559019736614704</c:v>
                </c:pt>
                <c:pt idx="3">
                  <c:v>21.424381810885066</c:v>
                </c:pt>
                <c:pt idx="4">
                  <c:v>26.8357138362801</c:v>
                </c:pt>
                <c:pt idx="5">
                  <c:v>35.236425045466355</c:v>
                </c:pt>
                <c:pt idx="6">
                  <c:v>48.963474827245804</c:v>
                </c:pt>
                <c:pt idx="7">
                  <c:v>66.185226443360364</c:v>
                </c:pt>
                <c:pt idx="8">
                  <c:v>82.682205447402112</c:v>
                </c:pt>
                <c:pt idx="9">
                  <c:v>110.48072230356263</c:v>
                </c:pt>
                <c:pt idx="10">
                  <c:v>142.36706689536879</c:v>
                </c:pt>
                <c:pt idx="11">
                  <c:v>175.15424030116071</c:v>
                </c:pt>
                <c:pt idx="12">
                  <c:v>199.96937681825159</c:v>
                </c:pt>
                <c:pt idx="13">
                  <c:v>230.52894627238678</c:v>
                </c:pt>
                <c:pt idx="14">
                  <c:v>246.31268436578171</c:v>
                </c:pt>
                <c:pt idx="15">
                  <c:v>267.84282277465962</c:v>
                </c:pt>
                <c:pt idx="16">
                  <c:v>310.34482758620726</c:v>
                </c:pt>
                <c:pt idx="17">
                  <c:v>344.53781512605042</c:v>
                </c:pt>
              </c:numCache>
            </c:numRef>
          </c:val>
          <c:smooth val="1"/>
        </c:ser>
        <c:dLbls>
          <c:showLegendKey val="0"/>
          <c:showVal val="0"/>
          <c:showCatName val="0"/>
          <c:showSerName val="0"/>
          <c:showPercent val="0"/>
          <c:showBubbleSize val="0"/>
        </c:dLbls>
        <c:marker val="1"/>
        <c:smooth val="0"/>
        <c:axId val="235126144"/>
        <c:axId val="235632128"/>
      </c:lineChart>
      <c:catAx>
        <c:axId val="235126144"/>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35632128"/>
        <c:crosses val="autoZero"/>
        <c:auto val="1"/>
        <c:lblAlgn val="ctr"/>
        <c:lblOffset val="100"/>
        <c:noMultiLvlLbl val="0"/>
      </c:catAx>
      <c:valAx>
        <c:axId val="235632128"/>
        <c:scaling>
          <c:orientation val="minMax"/>
          <c:max val="1000"/>
          <c:min val="0"/>
        </c:scaling>
        <c:delete val="0"/>
        <c:axPos val="l"/>
        <c:title>
          <c:tx>
            <c:rich>
              <a:bodyPr rot="-5400000" vert="horz"/>
              <a:lstStyle/>
              <a:p>
                <a:pPr>
                  <a:defRPr sz="600"/>
                </a:pPr>
                <a:r>
                  <a:rPr lang="es-EC" sz="600"/>
                  <a:t>Tasa de Analfabetismo por cada 1000 Inmigrantes</a:t>
                </a:r>
              </a:p>
            </c:rich>
          </c:tx>
          <c:overlay val="0"/>
        </c:title>
        <c:numFmt formatCode="0" sourceLinked="0"/>
        <c:majorTickMark val="out"/>
        <c:minorTickMark val="none"/>
        <c:tickLblPos val="nextTo"/>
        <c:spPr>
          <a:ln>
            <a:solidFill>
              <a:schemeClr val="tx1"/>
            </a:solidFill>
          </a:ln>
        </c:spPr>
        <c:txPr>
          <a:bodyPr/>
          <a:lstStyle/>
          <a:p>
            <a:pPr>
              <a:defRPr sz="700"/>
            </a:pPr>
            <a:endParaRPr lang="es-EC"/>
          </a:p>
        </c:txPr>
        <c:crossAx val="235126144"/>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43100697068956E-2"/>
          <c:y val="5.7066993464052342E-2"/>
          <c:w val="0.88072541362223966"/>
          <c:h val="0.68407271241830137"/>
        </c:manualLayout>
      </c:layout>
      <c:barChart>
        <c:barDir val="col"/>
        <c:grouping val="clustered"/>
        <c:varyColors val="0"/>
        <c:ser>
          <c:idx val="0"/>
          <c:order val="0"/>
          <c:tx>
            <c:strRef>
              <c:f>Perfil!$N$148</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Perfil!$C$89:$C$109</c:f>
              <c:strCache>
                <c:ptCount val="21"/>
                <c:pt idx="0">
                  <c:v>&lt; 1 </c:v>
                </c:pt>
                <c:pt idx="1">
                  <c:v>1 a 5</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90 a 95</c:v>
                </c:pt>
                <c:pt idx="20">
                  <c:v>95 a 100</c:v>
                </c:pt>
              </c:strCache>
            </c:strRef>
          </c:cat>
          <c:val>
            <c:numRef>
              <c:f>Perfil!$N$149:$N$169</c:f>
              <c:numCache>
                <c:formatCode>0.00</c:formatCode>
                <c:ptCount val="21"/>
                <c:pt idx="0">
                  <c:v>112.26415094339633</c:v>
                </c:pt>
                <c:pt idx="1">
                  <c:v>93.743937924345389</c:v>
                </c:pt>
                <c:pt idx="2">
                  <c:v>92.793857058476078</c:v>
                </c:pt>
                <c:pt idx="3">
                  <c:v>97.196261682243104</c:v>
                </c:pt>
                <c:pt idx="4">
                  <c:v>117.85714285714285</c:v>
                </c:pt>
                <c:pt idx="5">
                  <c:v>118.64406779661016</c:v>
                </c:pt>
                <c:pt idx="6">
                  <c:v>146.93877551020421</c:v>
                </c:pt>
                <c:pt idx="7">
                  <c:v>103.10077519379828</c:v>
                </c:pt>
                <c:pt idx="8">
                  <c:v>66.666666666666657</c:v>
                </c:pt>
                <c:pt idx="9">
                  <c:v>50.354609929077995</c:v>
                </c:pt>
                <c:pt idx="10">
                  <c:v>54.621848739495803</c:v>
                </c:pt>
                <c:pt idx="11">
                  <c:v>60.526315789473749</c:v>
                </c:pt>
                <c:pt idx="12">
                  <c:v>63.79310344827595</c:v>
                </c:pt>
                <c:pt idx="13">
                  <c:v>45.967741935483872</c:v>
                </c:pt>
                <c:pt idx="14">
                  <c:v>29.365079365079346</c:v>
                </c:pt>
                <c:pt idx="15">
                  <c:v>51.190476190476211</c:v>
                </c:pt>
                <c:pt idx="16">
                  <c:v>129.26829268292684</c:v>
                </c:pt>
                <c:pt idx="17">
                  <c:v>88.888888888888715</c:v>
                </c:pt>
                <c:pt idx="18">
                  <c:v>69.230769230769212</c:v>
                </c:pt>
                <c:pt idx="19">
                  <c:v>500</c:v>
                </c:pt>
                <c:pt idx="20">
                  <c:v>200</c:v>
                </c:pt>
              </c:numCache>
            </c:numRef>
          </c:val>
        </c:ser>
        <c:dLbls>
          <c:showLegendKey val="0"/>
          <c:showVal val="0"/>
          <c:showCatName val="0"/>
          <c:showSerName val="0"/>
          <c:showPercent val="0"/>
          <c:showBubbleSize val="0"/>
        </c:dLbls>
        <c:gapWidth val="0"/>
        <c:axId val="286181632"/>
        <c:axId val="286183808"/>
      </c:barChart>
      <c:lineChart>
        <c:grouping val="standard"/>
        <c:varyColors val="0"/>
        <c:ser>
          <c:idx val="1"/>
          <c:order val="1"/>
          <c:tx>
            <c:strRef>
              <c:f>Perfil!$O$148</c:f>
              <c:strCache>
                <c:ptCount val="1"/>
                <c:pt idx="0">
                  <c:v>100 Hombres</c:v>
                </c:pt>
              </c:strCache>
            </c:strRef>
          </c:tx>
          <c:spPr>
            <a:ln w="19050">
              <a:solidFill>
                <a:schemeClr val="tx1"/>
              </a:solidFill>
            </a:ln>
          </c:spPr>
          <c:marker>
            <c:symbol val="none"/>
          </c:marker>
          <c:cat>
            <c:strRef>
              <c:f>Perfil!$C$66:$C$86</c:f>
              <c:strCache>
                <c:ptCount val="21"/>
                <c:pt idx="1">
                  <c:v>&lt; 1 </c:v>
                </c:pt>
                <c:pt idx="2">
                  <c:v>1 a 5</c:v>
                </c:pt>
                <c:pt idx="3">
                  <c:v>  5 a 9 </c:v>
                </c:pt>
                <c:pt idx="4">
                  <c:v>  10 a 14 </c:v>
                </c:pt>
                <c:pt idx="5">
                  <c:v>  15 a 19 </c:v>
                </c:pt>
                <c:pt idx="6">
                  <c:v>  20 a 24 </c:v>
                </c:pt>
                <c:pt idx="7">
                  <c:v>  25 a 29 </c:v>
                </c:pt>
                <c:pt idx="8">
                  <c:v>  30 a 34 </c:v>
                </c:pt>
                <c:pt idx="9">
                  <c:v>  35 a 39 </c:v>
                </c:pt>
                <c:pt idx="10">
                  <c:v>  40 a 44 </c:v>
                </c:pt>
                <c:pt idx="11">
                  <c:v>  45 a 49 </c:v>
                </c:pt>
                <c:pt idx="12">
                  <c:v>  50 a 54 </c:v>
                </c:pt>
                <c:pt idx="13">
                  <c:v>  55 a 59 </c:v>
                </c:pt>
                <c:pt idx="14">
                  <c:v>  60 a 64 </c:v>
                </c:pt>
                <c:pt idx="15">
                  <c:v>  65 a 69 </c:v>
                </c:pt>
                <c:pt idx="16">
                  <c:v>  70 a 74 </c:v>
                </c:pt>
                <c:pt idx="17">
                  <c:v>  75 a 79 </c:v>
                </c:pt>
                <c:pt idx="18">
                  <c:v>  80 a 84 </c:v>
                </c:pt>
                <c:pt idx="19">
                  <c:v>  85 a 89 </c:v>
                </c:pt>
                <c:pt idx="20">
                  <c:v>90 a 95</c:v>
                </c:pt>
              </c:strCache>
            </c:strRef>
          </c:cat>
          <c:val>
            <c:numRef>
              <c:f>Perfil!$O$149:$O$169</c:f>
              <c:numCache>
                <c:formatCode>General</c:formatCode>
                <c:ptCount val="2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numCache>
            </c:numRef>
          </c:val>
          <c:smooth val="0"/>
        </c:ser>
        <c:dLbls>
          <c:showLegendKey val="0"/>
          <c:showVal val="0"/>
          <c:showCatName val="0"/>
          <c:showSerName val="0"/>
          <c:showPercent val="0"/>
          <c:showBubbleSize val="0"/>
        </c:dLbls>
        <c:marker val="1"/>
        <c:smooth val="0"/>
        <c:axId val="286181632"/>
        <c:axId val="286183808"/>
      </c:lineChart>
      <c:catAx>
        <c:axId val="286181632"/>
        <c:scaling>
          <c:orientation val="minMax"/>
        </c:scaling>
        <c:delete val="0"/>
        <c:axPos val="b"/>
        <c:title>
          <c:tx>
            <c:rich>
              <a:bodyPr/>
              <a:lstStyle/>
              <a:p>
                <a:pPr>
                  <a:defRPr/>
                </a:pPr>
                <a:r>
                  <a:rPr lang="es-EC"/>
                  <a:t>Grupos Etarios</a:t>
                </a:r>
              </a:p>
            </c:rich>
          </c:tx>
          <c:overlay val="0"/>
        </c:title>
        <c:majorTickMark val="out"/>
        <c:minorTickMark val="none"/>
        <c:tickLblPos val="nextTo"/>
        <c:spPr>
          <a:ln>
            <a:solidFill>
              <a:schemeClr val="tx1"/>
            </a:solidFill>
          </a:ln>
        </c:spPr>
        <c:txPr>
          <a:bodyPr rot="-5400000" vert="horz"/>
          <a:lstStyle/>
          <a:p>
            <a:pPr>
              <a:defRPr sz="750"/>
            </a:pPr>
            <a:endParaRPr lang="es-EC"/>
          </a:p>
        </c:txPr>
        <c:crossAx val="286183808"/>
        <c:crosses val="autoZero"/>
        <c:auto val="1"/>
        <c:lblAlgn val="ctr"/>
        <c:lblOffset val="100"/>
        <c:noMultiLvlLbl val="0"/>
      </c:catAx>
      <c:valAx>
        <c:axId val="286183808"/>
        <c:scaling>
          <c:orientation val="minMax"/>
          <c:max val="600"/>
          <c:min val="0"/>
        </c:scaling>
        <c:delete val="0"/>
        <c:axPos val="l"/>
        <c:title>
          <c:tx>
            <c:rich>
              <a:bodyPr rot="-5400000" vert="horz"/>
              <a:lstStyle/>
              <a:p>
                <a:pPr>
                  <a:defRPr/>
                </a:pPr>
                <a:r>
                  <a:rPr lang="es-EC"/>
                  <a:t>Índice de Feminidad</a:t>
                </a:r>
              </a:p>
            </c:rich>
          </c:tx>
          <c:overlay val="0"/>
        </c:title>
        <c:numFmt formatCode="0" sourceLinked="0"/>
        <c:majorTickMark val="out"/>
        <c:minorTickMark val="none"/>
        <c:tickLblPos val="nextTo"/>
        <c:spPr>
          <a:ln>
            <a:solidFill>
              <a:schemeClr val="tx1"/>
            </a:solidFill>
          </a:ln>
        </c:spPr>
        <c:crossAx val="286181632"/>
        <c:crosses val="autoZero"/>
        <c:crossBetween val="between"/>
        <c:majorUnit val="100"/>
      </c:valAx>
      <c:spPr>
        <a:noFill/>
        <a:ln>
          <a:solidFill>
            <a:schemeClr val="tx1"/>
          </a:solidFill>
        </a:ln>
      </c:spPr>
    </c:plotArea>
    <c:legend>
      <c:legendPos val="t"/>
      <c:layout>
        <c:manualLayout>
          <c:xMode val="edge"/>
          <c:yMode val="edge"/>
          <c:x val="0.18309124884521738"/>
          <c:y val="5.7066993464052342E-2"/>
          <c:w val="0.67381498278323682"/>
          <c:h val="7.7017565359477139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Perfil!$G$174</c:f>
              <c:strCache>
                <c:ptCount val="1"/>
              </c:strCache>
            </c:strRef>
          </c:tx>
          <c:spPr>
            <a:ln w="19050">
              <a:solidFill>
                <a:srgbClr val="0070C0"/>
              </a:solidFill>
            </a:ln>
          </c:spPr>
          <c:marker>
            <c:symbol val="none"/>
          </c:marker>
          <c:cat>
            <c:strRef>
              <c:f>Perfil!$C$179:$C$195</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90 a 95</c:v>
                </c:pt>
                <c:pt idx="16">
                  <c:v>95 a 100</c:v>
                </c:pt>
              </c:strCache>
            </c:strRef>
          </c:cat>
          <c:val>
            <c:numRef>
              <c:f>Perfil!$G$179:$G$195</c:f>
              <c:numCache>
                <c:formatCode>0.00</c:formatCode>
                <c:ptCount val="17"/>
                <c:pt idx="0">
                  <c:v>1000</c:v>
                </c:pt>
                <c:pt idx="1">
                  <c:v>1000</c:v>
                </c:pt>
                <c:pt idx="2">
                  <c:v>1000</c:v>
                </c:pt>
                <c:pt idx="3">
                  <c:v>992.24806201550348</c:v>
                </c:pt>
                <c:pt idx="4">
                  <c:v>992.75362318840484</c:v>
                </c:pt>
                <c:pt idx="5">
                  <c:v>1000</c:v>
                </c:pt>
                <c:pt idx="6">
                  <c:v>983.1932773109246</c:v>
                </c:pt>
                <c:pt idx="7">
                  <c:v>982.45614035087715</c:v>
                </c:pt>
                <c:pt idx="8">
                  <c:v>991.37931034482801</c:v>
                </c:pt>
                <c:pt idx="9">
                  <c:v>975.80645161290261</c:v>
                </c:pt>
                <c:pt idx="10">
                  <c:v>992.06349206349205</c:v>
                </c:pt>
                <c:pt idx="11">
                  <c:v>988.09523809523796</c:v>
                </c:pt>
                <c:pt idx="12">
                  <c:v>975.60975609756167</c:v>
                </c:pt>
                <c:pt idx="13">
                  <c:v>1000</c:v>
                </c:pt>
                <c:pt idx="14">
                  <c:v>1000</c:v>
                </c:pt>
                <c:pt idx="15">
                  <c:v>1000</c:v>
                </c:pt>
                <c:pt idx="16">
                  <c:v>1000</c:v>
                </c:pt>
              </c:numCache>
            </c:numRef>
          </c:val>
          <c:smooth val="1"/>
        </c:ser>
        <c:ser>
          <c:idx val="1"/>
          <c:order val="1"/>
          <c:tx>
            <c:strRef>
              <c:f>Perfil!$H$174</c:f>
              <c:strCache>
                <c:ptCount val="1"/>
              </c:strCache>
            </c:strRef>
          </c:tx>
          <c:spPr>
            <a:ln w="19050">
              <a:solidFill>
                <a:schemeClr val="accent6">
                  <a:lumMod val="75000"/>
                </a:schemeClr>
              </a:solidFill>
            </a:ln>
          </c:spPr>
          <c:marker>
            <c:symbol val="none"/>
          </c:marker>
          <c:cat>
            <c:strRef>
              <c:f>Perfil!$C$179:$C$195</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90 a 95</c:v>
                </c:pt>
                <c:pt idx="16">
                  <c:v>95 a 100</c:v>
                </c:pt>
              </c:strCache>
            </c:strRef>
          </c:cat>
          <c:val>
            <c:numRef>
              <c:f>Perfil!$H$179:$H$195</c:f>
              <c:numCache>
                <c:formatCode>0.00</c:formatCode>
                <c:ptCount val="17"/>
                <c:pt idx="0">
                  <c:v>0</c:v>
                </c:pt>
                <c:pt idx="1">
                  <c:v>0</c:v>
                </c:pt>
                <c:pt idx="2">
                  <c:v>0</c:v>
                </c:pt>
                <c:pt idx="3">
                  <c:v>7.7519379844961298</c:v>
                </c:pt>
                <c:pt idx="4">
                  <c:v>7.2463768115942031</c:v>
                </c:pt>
                <c:pt idx="5">
                  <c:v>0</c:v>
                </c:pt>
                <c:pt idx="6">
                  <c:v>16.806722689075606</c:v>
                </c:pt>
                <c:pt idx="7">
                  <c:v>17.543859649122787</c:v>
                </c:pt>
                <c:pt idx="8">
                  <c:v>8.6206896551724128</c:v>
                </c:pt>
                <c:pt idx="9">
                  <c:v>24.19354838709679</c:v>
                </c:pt>
                <c:pt idx="10">
                  <c:v>7.9365079365079358</c:v>
                </c:pt>
                <c:pt idx="11">
                  <c:v>11.904761904761903</c:v>
                </c:pt>
                <c:pt idx="12">
                  <c:v>24.390243902439003</c:v>
                </c:pt>
                <c:pt idx="13">
                  <c:v>0</c:v>
                </c:pt>
                <c:pt idx="14">
                  <c:v>0</c:v>
                </c:pt>
                <c:pt idx="15">
                  <c:v>0</c:v>
                </c:pt>
                <c:pt idx="16">
                  <c:v>0</c:v>
                </c:pt>
              </c:numCache>
            </c:numRef>
          </c:val>
          <c:smooth val="1"/>
        </c:ser>
        <c:dLbls>
          <c:showLegendKey val="0"/>
          <c:showVal val="0"/>
          <c:showCatName val="0"/>
          <c:showSerName val="0"/>
          <c:showPercent val="0"/>
          <c:showBubbleSize val="0"/>
        </c:dLbls>
        <c:marker val="1"/>
        <c:smooth val="0"/>
        <c:axId val="286216576"/>
        <c:axId val="286218496"/>
      </c:lineChart>
      <c:catAx>
        <c:axId val="286216576"/>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6218496"/>
        <c:crosses val="autoZero"/>
        <c:auto val="1"/>
        <c:lblAlgn val="ctr"/>
        <c:lblOffset val="100"/>
        <c:noMultiLvlLbl val="0"/>
      </c:catAx>
      <c:valAx>
        <c:axId val="286218496"/>
        <c:scaling>
          <c:orientation val="minMax"/>
          <c:max val="1000"/>
          <c:min val="0"/>
        </c:scaling>
        <c:delete val="0"/>
        <c:axPos val="l"/>
        <c:title>
          <c:tx>
            <c:rich>
              <a:bodyPr rot="-5400000" vert="horz"/>
              <a:lstStyle/>
              <a:p>
                <a:pPr>
                  <a:defRPr sz="650"/>
                </a:pPr>
                <a:r>
                  <a:rPr lang="es-EC" sz="650"/>
                  <a:t>Tasa por</a:t>
                </a:r>
                <a:r>
                  <a:rPr lang="es-EC" sz="650" baseline="0"/>
                  <a:t> cada 1000 españoles</a:t>
                </a:r>
                <a:endParaRPr lang="es-EC" sz="650"/>
              </a:p>
            </c:rich>
          </c:tx>
          <c:layout>
            <c:manualLayout>
              <c:xMode val="edge"/>
              <c:yMode val="edge"/>
              <c:x val="0"/>
              <c:y val="4.8674420284620393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6216576"/>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Perfil!$G$174</c:f>
              <c:strCache>
                <c:ptCount val="1"/>
              </c:strCache>
            </c:strRef>
          </c:tx>
          <c:spPr>
            <a:ln w="19050">
              <a:solidFill>
                <a:srgbClr val="0070C0"/>
              </a:solidFill>
            </a:ln>
          </c:spPr>
          <c:marker>
            <c:symbol val="none"/>
          </c:marker>
          <c:cat>
            <c:strRef>
              <c:f>Perfil!$C$199:$C$215</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90 a 95</c:v>
                </c:pt>
                <c:pt idx="16">
                  <c:v>95 a 100</c:v>
                </c:pt>
              </c:strCache>
            </c:strRef>
          </c:cat>
          <c:val>
            <c:numRef>
              <c:f>Perfil!$G$199:$G$215</c:f>
              <c:numCache>
                <c:formatCode>0.00</c:formatCode>
                <c:ptCount val="17"/>
                <c:pt idx="0">
                  <c:v>984.84848484848487</c:v>
                </c:pt>
                <c:pt idx="1">
                  <c:v>1000</c:v>
                </c:pt>
                <c:pt idx="2">
                  <c:v>1000</c:v>
                </c:pt>
                <c:pt idx="3">
                  <c:v>1000</c:v>
                </c:pt>
                <c:pt idx="4">
                  <c:v>989.1304347826084</c:v>
                </c:pt>
                <c:pt idx="5">
                  <c:v>1000</c:v>
                </c:pt>
                <c:pt idx="6">
                  <c:v>1000</c:v>
                </c:pt>
                <c:pt idx="7">
                  <c:v>985.50724637681162</c:v>
                </c:pt>
                <c:pt idx="8">
                  <c:v>986.48648648648657</c:v>
                </c:pt>
                <c:pt idx="9">
                  <c:v>1000</c:v>
                </c:pt>
                <c:pt idx="10">
                  <c:v>972.97297297297303</c:v>
                </c:pt>
                <c:pt idx="11">
                  <c:v>1000</c:v>
                </c:pt>
                <c:pt idx="12">
                  <c:v>981.1320754716985</c:v>
                </c:pt>
                <c:pt idx="13">
                  <c:v>1000</c:v>
                </c:pt>
                <c:pt idx="14">
                  <c:v>1000</c:v>
                </c:pt>
                <c:pt idx="15">
                  <c:v>1000</c:v>
                </c:pt>
                <c:pt idx="16">
                  <c:v>1000</c:v>
                </c:pt>
              </c:numCache>
            </c:numRef>
          </c:val>
          <c:smooth val="1"/>
        </c:ser>
        <c:ser>
          <c:idx val="1"/>
          <c:order val="1"/>
          <c:tx>
            <c:strRef>
              <c:f>Perfil!$H$174</c:f>
              <c:strCache>
                <c:ptCount val="1"/>
              </c:strCache>
            </c:strRef>
          </c:tx>
          <c:spPr>
            <a:ln w="19050">
              <a:solidFill>
                <a:schemeClr val="accent6">
                  <a:lumMod val="75000"/>
                </a:schemeClr>
              </a:solidFill>
            </a:ln>
          </c:spPr>
          <c:marker>
            <c:symbol val="none"/>
          </c:marker>
          <c:cat>
            <c:strRef>
              <c:f>Perfil!$C$199:$C$215</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90 a 95</c:v>
                </c:pt>
                <c:pt idx="16">
                  <c:v>95 a 100</c:v>
                </c:pt>
              </c:strCache>
            </c:strRef>
          </c:cat>
          <c:val>
            <c:numRef>
              <c:f>Perfil!$H$199:$H$215</c:f>
              <c:numCache>
                <c:formatCode>0.00</c:formatCode>
                <c:ptCount val="17"/>
                <c:pt idx="0">
                  <c:v>15.151515151515149</c:v>
                </c:pt>
                <c:pt idx="1">
                  <c:v>0</c:v>
                </c:pt>
                <c:pt idx="2">
                  <c:v>0</c:v>
                </c:pt>
                <c:pt idx="3">
                  <c:v>0</c:v>
                </c:pt>
                <c:pt idx="4">
                  <c:v>10.869565217391324</c:v>
                </c:pt>
                <c:pt idx="5">
                  <c:v>0</c:v>
                </c:pt>
                <c:pt idx="6">
                  <c:v>0</c:v>
                </c:pt>
                <c:pt idx="7">
                  <c:v>14.492753623188406</c:v>
                </c:pt>
                <c:pt idx="8">
                  <c:v>13.513513513513514</c:v>
                </c:pt>
                <c:pt idx="9">
                  <c:v>0</c:v>
                </c:pt>
                <c:pt idx="10">
                  <c:v>27.027027027027028</c:v>
                </c:pt>
                <c:pt idx="11">
                  <c:v>0</c:v>
                </c:pt>
                <c:pt idx="12">
                  <c:v>18.867924528301884</c:v>
                </c:pt>
                <c:pt idx="13">
                  <c:v>0</c:v>
                </c:pt>
                <c:pt idx="14">
                  <c:v>0</c:v>
                </c:pt>
                <c:pt idx="15">
                  <c:v>0</c:v>
                </c:pt>
                <c:pt idx="16">
                  <c:v>0</c:v>
                </c:pt>
              </c:numCache>
            </c:numRef>
          </c:val>
          <c:smooth val="1"/>
        </c:ser>
        <c:dLbls>
          <c:showLegendKey val="0"/>
          <c:showVal val="0"/>
          <c:showCatName val="0"/>
          <c:showSerName val="0"/>
          <c:showPercent val="0"/>
          <c:showBubbleSize val="0"/>
        </c:dLbls>
        <c:marker val="1"/>
        <c:smooth val="0"/>
        <c:axId val="286235264"/>
        <c:axId val="286253824"/>
      </c:lineChart>
      <c:catAx>
        <c:axId val="286235264"/>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6253824"/>
        <c:crosses val="autoZero"/>
        <c:auto val="1"/>
        <c:lblAlgn val="ctr"/>
        <c:lblOffset val="100"/>
        <c:noMultiLvlLbl val="0"/>
      </c:catAx>
      <c:valAx>
        <c:axId val="286253824"/>
        <c:scaling>
          <c:orientation val="minMax"/>
          <c:max val="1000"/>
          <c:min val="0"/>
        </c:scaling>
        <c:delete val="0"/>
        <c:axPos val="l"/>
        <c:title>
          <c:tx>
            <c:rich>
              <a:bodyPr rot="-5400000" vert="horz"/>
              <a:lstStyle/>
              <a:p>
                <a:pPr>
                  <a:defRPr sz="650"/>
                </a:pPr>
                <a:r>
                  <a:rPr lang="es-EC" sz="650"/>
                  <a:t>Tasa por</a:t>
                </a:r>
                <a:r>
                  <a:rPr lang="es-EC" sz="650" baseline="0"/>
                  <a:t> cada 1000 españoles</a:t>
                </a:r>
                <a:endParaRPr lang="es-EC" sz="650"/>
              </a:p>
            </c:rich>
          </c:tx>
          <c:layout>
            <c:manualLayout>
              <c:xMode val="edge"/>
              <c:yMode val="edge"/>
              <c:x val="0"/>
              <c:y val="5.36333275912846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6235264"/>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5064601140739"/>
          <c:y val="3.3409263477600655E-2"/>
          <c:w val="0.69431328212283039"/>
          <c:h val="0.90505192545692559"/>
        </c:manualLayout>
      </c:layout>
      <c:barChart>
        <c:barDir val="bar"/>
        <c:grouping val="stacked"/>
        <c:varyColors val="0"/>
        <c:ser>
          <c:idx val="0"/>
          <c:order val="0"/>
          <c:tx>
            <c:strRef>
              <c:f>Perfil!$M$222</c:f>
              <c:strCache>
                <c:ptCount val="1"/>
                <c:pt idx="0">
                  <c:v>Se ignora</c:v>
                </c:pt>
              </c:strCache>
            </c:strRef>
          </c:tx>
          <c:spPr>
            <a:solidFill>
              <a:schemeClr val="bg1">
                <a:lumMod val="65000"/>
              </a:schemeClr>
            </a:solidFill>
            <a:ln>
              <a:noFill/>
            </a:ln>
          </c:spPr>
          <c:invertIfNegative val="0"/>
          <c:cat>
            <c:strRef>
              <c:f>Perfil!$C$243:$C$261</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pt idx="18">
                  <c:v>95 a 100</c:v>
                </c:pt>
              </c:strCache>
            </c:strRef>
          </c:cat>
          <c:val>
            <c:numRef>
              <c:f>Perfil!$M$223:$M$241</c:f>
              <c:numCache>
                <c:formatCode>0,000</c:formatCode>
                <c:ptCount val="19"/>
                <c:pt idx="0">
                  <c:v>-4.9114908421160394E-3</c:v>
                </c:pt>
                <c:pt idx="1">
                  <c:v>-3.0696817763225289E-4</c:v>
                </c:pt>
                <c:pt idx="2">
                  <c:v>-2.0464545175483492E-4</c:v>
                </c:pt>
                <c:pt idx="3">
                  <c:v>-2.0464545175483492E-4</c:v>
                </c:pt>
                <c:pt idx="4">
                  <c:v>-2.0464545175483492E-4</c:v>
                </c:pt>
                <c:pt idx="5">
                  <c:v>-3.0696817763225289E-4</c:v>
                </c:pt>
                <c:pt idx="6">
                  <c:v>-2.0464545175483492E-4</c:v>
                </c:pt>
                <c:pt idx="7">
                  <c:v>-1.0232272587741738E-4</c:v>
                </c:pt>
                <c:pt idx="8">
                  <c:v>-3.0696817763225289E-4</c:v>
                </c:pt>
                <c:pt idx="9">
                  <c:v>-1.0232272587741738E-4</c:v>
                </c:pt>
                <c:pt idx="10">
                  <c:v>-6.1393635526450524E-4</c:v>
                </c:pt>
                <c:pt idx="11">
                  <c:v>-4.0929090350966984E-4</c:v>
                </c:pt>
                <c:pt idx="12">
                  <c:v>-1.0232272587741738E-4</c:v>
                </c:pt>
                <c:pt idx="13">
                  <c:v>0</c:v>
                </c:pt>
                <c:pt idx="14">
                  <c:v>0</c:v>
                </c:pt>
                <c:pt idx="15">
                  <c:v>0</c:v>
                </c:pt>
                <c:pt idx="16">
                  <c:v>0</c:v>
                </c:pt>
                <c:pt idx="17">
                  <c:v>0</c:v>
                </c:pt>
                <c:pt idx="18">
                  <c:v>0</c:v>
                </c:pt>
              </c:numCache>
            </c:numRef>
          </c:val>
        </c:ser>
        <c:ser>
          <c:idx val="2"/>
          <c:order val="1"/>
          <c:tx>
            <c:strRef>
              <c:f>Perfil!$N$222</c:f>
              <c:strCache>
                <c:ptCount val="1"/>
                <c:pt idx="0">
                  <c:v>Ninguno</c:v>
                </c:pt>
              </c:strCache>
            </c:strRef>
          </c:tx>
          <c:spPr>
            <a:solidFill>
              <a:srgbClr val="C00000"/>
            </a:solidFill>
            <a:ln>
              <a:noFill/>
            </a:ln>
          </c:spPr>
          <c:invertIfNegative val="0"/>
          <c:cat>
            <c:strRef>
              <c:f>Perfil!$C$243:$C$261</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pt idx="18">
                  <c:v>95 a 100</c:v>
                </c:pt>
              </c:strCache>
            </c:strRef>
          </c:cat>
          <c:val>
            <c:numRef>
              <c:f>Perfil!$N$223:$N$241</c:f>
              <c:numCache>
                <c:formatCode>0,000</c:formatCode>
                <c:ptCount val="19"/>
                <c:pt idx="0">
                  <c:v>0</c:v>
                </c:pt>
                <c:pt idx="1">
                  <c:v>0</c:v>
                </c:pt>
                <c:pt idx="2">
                  <c:v>0</c:v>
                </c:pt>
                <c:pt idx="3">
                  <c:v>0</c:v>
                </c:pt>
                <c:pt idx="4">
                  <c:v>0</c:v>
                </c:pt>
                <c:pt idx="5">
                  <c:v>-1.0232272587741738E-4</c:v>
                </c:pt>
                <c:pt idx="6">
                  <c:v>0</c:v>
                </c:pt>
                <c:pt idx="7">
                  <c:v>-2.0464545175483492E-4</c:v>
                </c:pt>
                <c:pt idx="8">
                  <c:v>0</c:v>
                </c:pt>
                <c:pt idx="9">
                  <c:v>0</c:v>
                </c:pt>
                <c:pt idx="10">
                  <c:v>-1.0232272587741738E-4</c:v>
                </c:pt>
                <c:pt idx="11">
                  <c:v>-2.0464545175483492E-4</c:v>
                </c:pt>
                <c:pt idx="12">
                  <c:v>-4.0929090350966984E-4</c:v>
                </c:pt>
                <c:pt idx="13">
                  <c:v>-1.0232272587741738E-4</c:v>
                </c:pt>
                <c:pt idx="14">
                  <c:v>-3.0696817763225289E-4</c:v>
                </c:pt>
                <c:pt idx="15">
                  <c:v>-2.0464545175483492E-4</c:v>
                </c:pt>
                <c:pt idx="16">
                  <c:v>-1.0232272587741738E-4</c:v>
                </c:pt>
                <c:pt idx="17">
                  <c:v>0</c:v>
                </c:pt>
                <c:pt idx="18">
                  <c:v>0</c:v>
                </c:pt>
              </c:numCache>
            </c:numRef>
          </c:val>
        </c:ser>
        <c:ser>
          <c:idx val="3"/>
          <c:order val="2"/>
          <c:tx>
            <c:strRef>
              <c:f>Perfil!$O$222</c:f>
              <c:strCache>
                <c:ptCount val="1"/>
                <c:pt idx="0">
                  <c:v>Centro de Alfabetización</c:v>
                </c:pt>
              </c:strCache>
            </c:strRef>
          </c:tx>
          <c:spPr>
            <a:solidFill>
              <a:schemeClr val="accent3">
                <a:lumMod val="75000"/>
              </a:schemeClr>
            </a:solidFill>
          </c:spPr>
          <c:invertIfNegative val="0"/>
          <c:cat>
            <c:strRef>
              <c:f>Perfil!$C$243:$C$261</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pt idx="18">
                  <c:v>95 a 100</c:v>
                </c:pt>
              </c:strCache>
            </c:strRef>
          </c:cat>
          <c:val>
            <c:numRef>
              <c:f>Perfil!$O$223:$O$241</c:f>
              <c:numCache>
                <c:formatCode>0,000</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er>
        <c:ser>
          <c:idx val="4"/>
          <c:order val="3"/>
          <c:tx>
            <c:strRef>
              <c:f>Perfil!$P$222</c:f>
              <c:strCache>
                <c:ptCount val="1"/>
                <c:pt idx="0">
                  <c:v>Primaria</c:v>
                </c:pt>
              </c:strCache>
            </c:strRef>
          </c:tx>
          <c:spPr>
            <a:solidFill>
              <a:schemeClr val="accent6">
                <a:lumMod val="75000"/>
              </a:schemeClr>
            </a:solidFill>
          </c:spPr>
          <c:invertIfNegative val="0"/>
          <c:cat>
            <c:strRef>
              <c:f>Perfil!$C$243:$C$261</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pt idx="18">
                  <c:v>95 a 100</c:v>
                </c:pt>
              </c:strCache>
            </c:strRef>
          </c:cat>
          <c:val>
            <c:numRef>
              <c:f>Perfil!$P$223:$P$241</c:f>
              <c:numCache>
                <c:formatCode>0,000</c:formatCode>
                <c:ptCount val="19"/>
                <c:pt idx="0">
                  <c:v>-0.34155325897881922</c:v>
                </c:pt>
                <c:pt idx="1">
                  <c:v>-3.4073467717180041E-2</c:v>
                </c:pt>
                <c:pt idx="2">
                  <c:v>-9.2090453289675727E-4</c:v>
                </c:pt>
                <c:pt idx="3">
                  <c:v>-2.0464545175483492E-4</c:v>
                </c:pt>
                <c:pt idx="4">
                  <c:v>-5.1161362938708732E-4</c:v>
                </c:pt>
                <c:pt idx="5">
                  <c:v>-9.2090453289675727E-4</c:v>
                </c:pt>
                <c:pt idx="6">
                  <c:v>-8.1858180701933968E-4</c:v>
                </c:pt>
                <c:pt idx="7">
                  <c:v>-9.2090453289675727E-4</c:v>
                </c:pt>
                <c:pt idx="8">
                  <c:v>-1.2278727105290079E-3</c:v>
                </c:pt>
                <c:pt idx="9">
                  <c:v>-9.2090453289675727E-4</c:v>
                </c:pt>
                <c:pt idx="10">
                  <c:v>-7.1625908114192165E-4</c:v>
                </c:pt>
                <c:pt idx="11">
                  <c:v>-8.1858180701933968E-4</c:v>
                </c:pt>
                <c:pt idx="12">
                  <c:v>-2.3534226951805997E-3</c:v>
                </c:pt>
                <c:pt idx="13">
                  <c:v>-1.125549984651594E-3</c:v>
                </c:pt>
                <c:pt idx="14">
                  <c:v>-2.0464545175483492E-4</c:v>
                </c:pt>
                <c:pt idx="15">
                  <c:v>0</c:v>
                </c:pt>
                <c:pt idx="16">
                  <c:v>0</c:v>
                </c:pt>
                <c:pt idx="17">
                  <c:v>0</c:v>
                </c:pt>
                <c:pt idx="18">
                  <c:v>0</c:v>
                </c:pt>
              </c:numCache>
            </c:numRef>
          </c:val>
        </c:ser>
        <c:ser>
          <c:idx val="5"/>
          <c:order val="4"/>
          <c:tx>
            <c:strRef>
              <c:f>Perfil!$Q$222</c:f>
              <c:strCache>
                <c:ptCount val="1"/>
                <c:pt idx="0">
                  <c:v>Secundaria</c:v>
                </c:pt>
              </c:strCache>
            </c:strRef>
          </c:tx>
          <c:spPr>
            <a:solidFill>
              <a:srgbClr val="00B0F0"/>
            </a:solidFill>
          </c:spPr>
          <c:invertIfNegative val="0"/>
          <c:cat>
            <c:strRef>
              <c:f>Perfil!$C$243:$C$261</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pt idx="18">
                  <c:v>95 a 100</c:v>
                </c:pt>
              </c:strCache>
            </c:strRef>
          </c:cat>
          <c:val>
            <c:numRef>
              <c:f>Perfil!$Q$223:$Q$241</c:f>
              <c:numCache>
                <c:formatCode>0,000</c:formatCode>
                <c:ptCount val="19"/>
                <c:pt idx="0">
                  <c:v>0</c:v>
                </c:pt>
                <c:pt idx="1">
                  <c:v>-9.4136907807224005E-3</c:v>
                </c:pt>
                <c:pt idx="2">
                  <c:v>-3.9905863092192786E-3</c:v>
                </c:pt>
                <c:pt idx="3">
                  <c:v>-2.2510999693031823E-3</c:v>
                </c:pt>
                <c:pt idx="4">
                  <c:v>-2.9673590504451092E-3</c:v>
                </c:pt>
                <c:pt idx="5">
                  <c:v>-4.0929090350967003E-3</c:v>
                </c:pt>
                <c:pt idx="6">
                  <c:v>-4.604522664483782E-3</c:v>
                </c:pt>
                <c:pt idx="7">
                  <c:v>-3.7859408574644499E-3</c:v>
                </c:pt>
                <c:pt idx="8">
                  <c:v>-3.0696817763225287E-3</c:v>
                </c:pt>
                <c:pt idx="9">
                  <c:v>-2.8650363245676892E-3</c:v>
                </c:pt>
                <c:pt idx="10">
                  <c:v>-3.3766499539547709E-3</c:v>
                </c:pt>
                <c:pt idx="11">
                  <c:v>-3.6836181315870295E-3</c:v>
                </c:pt>
                <c:pt idx="12">
                  <c:v>-2.3534226951805997E-3</c:v>
                </c:pt>
                <c:pt idx="13">
                  <c:v>-1.5348408881612633E-3</c:v>
                </c:pt>
                <c:pt idx="14">
                  <c:v>-1.2278727105290079E-3</c:v>
                </c:pt>
                <c:pt idx="15">
                  <c:v>-6.1393635526450524E-4</c:v>
                </c:pt>
                <c:pt idx="16">
                  <c:v>-6.1393635526450524E-4</c:v>
                </c:pt>
                <c:pt idx="17">
                  <c:v>-1.0232272587741738E-4</c:v>
                </c:pt>
                <c:pt idx="18">
                  <c:v>-1.0232272587741738E-4</c:v>
                </c:pt>
              </c:numCache>
            </c:numRef>
          </c:val>
        </c:ser>
        <c:ser>
          <c:idx val="6"/>
          <c:order val="5"/>
          <c:tx>
            <c:strRef>
              <c:f>Perfil!$R$222</c:f>
              <c:strCache>
                <c:ptCount val="1"/>
                <c:pt idx="0">
                  <c:v>Superior</c:v>
                </c:pt>
              </c:strCache>
            </c:strRef>
          </c:tx>
          <c:spPr>
            <a:solidFill>
              <a:srgbClr val="D735B4"/>
            </a:solidFill>
          </c:spPr>
          <c:invertIfNegative val="0"/>
          <c:cat>
            <c:strRef>
              <c:f>Perfil!$C$243:$C$261</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pt idx="18">
                  <c:v>95 a 100</c:v>
                </c:pt>
              </c:strCache>
            </c:strRef>
          </c:cat>
          <c:val>
            <c:numRef>
              <c:f>Perfil!$R$223:$R$241</c:f>
              <c:numCache>
                <c:formatCode>0,000</c:formatCode>
                <c:ptCount val="19"/>
                <c:pt idx="0">
                  <c:v>0</c:v>
                </c:pt>
                <c:pt idx="1">
                  <c:v>0</c:v>
                </c:pt>
                <c:pt idx="2">
                  <c:v>-6.1393635526450524E-4</c:v>
                </c:pt>
                <c:pt idx="3">
                  <c:v>-3.3766499539547709E-3</c:v>
                </c:pt>
                <c:pt idx="4">
                  <c:v>-6.3440090043998826E-3</c:v>
                </c:pt>
                <c:pt idx="5">
                  <c:v>-7.7765271666837337E-3</c:v>
                </c:pt>
                <c:pt idx="6">
                  <c:v>-8.4927862478256788E-3</c:v>
                </c:pt>
                <c:pt idx="7">
                  <c:v>-9.4136907807224005E-3</c:v>
                </c:pt>
                <c:pt idx="8">
                  <c:v>-7.571881714928899E-3</c:v>
                </c:pt>
                <c:pt idx="9">
                  <c:v>-7.7765271666837337E-3</c:v>
                </c:pt>
                <c:pt idx="10">
                  <c:v>-7.0602680855418164E-3</c:v>
                </c:pt>
                <c:pt idx="11">
                  <c:v>-7.571881714928899E-3</c:v>
                </c:pt>
                <c:pt idx="12">
                  <c:v>-7.6742044408063034E-3</c:v>
                </c:pt>
                <c:pt idx="13">
                  <c:v>-5.8323953750127914E-3</c:v>
                </c:pt>
                <c:pt idx="14">
                  <c:v>-2.4557454210580145E-3</c:v>
                </c:pt>
                <c:pt idx="15">
                  <c:v>-1.9441317916709328E-3</c:v>
                </c:pt>
                <c:pt idx="16">
                  <c:v>-6.1393635526450524E-4</c:v>
                </c:pt>
                <c:pt idx="17">
                  <c:v>0</c:v>
                </c:pt>
                <c:pt idx="18">
                  <c:v>0</c:v>
                </c:pt>
              </c:numCache>
            </c:numRef>
          </c:val>
        </c:ser>
        <c:ser>
          <c:idx val="1"/>
          <c:order val="6"/>
          <c:tx>
            <c:strRef>
              <c:f>Perfil!$M$222</c:f>
              <c:strCache>
                <c:ptCount val="1"/>
                <c:pt idx="0">
                  <c:v>Se ignora</c:v>
                </c:pt>
              </c:strCache>
            </c:strRef>
          </c:tx>
          <c:spPr>
            <a:solidFill>
              <a:schemeClr val="bg1">
                <a:lumMod val="65000"/>
              </a:schemeClr>
            </a:solidFill>
            <a:ln>
              <a:noFill/>
            </a:ln>
          </c:spPr>
          <c:invertIfNegative val="0"/>
          <c:cat>
            <c:strRef>
              <c:f>Perfil!$C$243:$C$261</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pt idx="18">
                  <c:v>95 a 100</c:v>
                </c:pt>
              </c:strCache>
            </c:strRef>
          </c:cat>
          <c:val>
            <c:numRef>
              <c:f>Perfil!$M$243:$M$261</c:f>
              <c:numCache>
                <c:formatCode>0,000</c:formatCode>
                <c:ptCount val="19"/>
                <c:pt idx="0">
                  <c:v>3.2743272280773661E-3</c:v>
                </c:pt>
                <c:pt idx="1">
                  <c:v>5.1161362938708732E-4</c:v>
                </c:pt>
                <c:pt idx="2">
                  <c:v>0</c:v>
                </c:pt>
                <c:pt idx="3">
                  <c:v>0</c:v>
                </c:pt>
                <c:pt idx="4">
                  <c:v>1.0232272587741738E-4</c:v>
                </c:pt>
                <c:pt idx="5">
                  <c:v>3.0696817763225289E-4</c:v>
                </c:pt>
                <c:pt idx="6">
                  <c:v>1.0232272587741738E-4</c:v>
                </c:pt>
                <c:pt idx="7">
                  <c:v>2.0464545175483492E-4</c:v>
                </c:pt>
                <c:pt idx="8">
                  <c:v>2.0464545175483492E-4</c:v>
                </c:pt>
                <c:pt idx="9">
                  <c:v>3.0696817763225289E-4</c:v>
                </c:pt>
                <c:pt idx="10">
                  <c:v>2.0464545175483492E-4</c:v>
                </c:pt>
                <c:pt idx="11">
                  <c:v>1.0232272587741738E-4</c:v>
                </c:pt>
                <c:pt idx="12">
                  <c:v>1.0232272587741738E-4</c:v>
                </c:pt>
                <c:pt idx="13">
                  <c:v>1.0232272587741738E-4</c:v>
                </c:pt>
                <c:pt idx="14">
                  <c:v>0</c:v>
                </c:pt>
                <c:pt idx="15">
                  <c:v>1.0232272587741738E-4</c:v>
                </c:pt>
                <c:pt idx="16">
                  <c:v>0</c:v>
                </c:pt>
                <c:pt idx="17">
                  <c:v>0</c:v>
                </c:pt>
                <c:pt idx="18">
                  <c:v>0</c:v>
                </c:pt>
              </c:numCache>
            </c:numRef>
          </c:val>
        </c:ser>
        <c:ser>
          <c:idx val="7"/>
          <c:order val="7"/>
          <c:tx>
            <c:strRef>
              <c:f>Perfil!$N$222</c:f>
              <c:strCache>
                <c:ptCount val="1"/>
                <c:pt idx="0">
                  <c:v>Ninguno</c:v>
                </c:pt>
              </c:strCache>
            </c:strRef>
          </c:tx>
          <c:spPr>
            <a:solidFill>
              <a:srgbClr val="C00000"/>
            </a:solidFill>
          </c:spPr>
          <c:invertIfNegative val="0"/>
          <c:cat>
            <c:strRef>
              <c:f>Perfil!$C$243:$C$261</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pt idx="18">
                  <c:v>95 a 100</c:v>
                </c:pt>
              </c:strCache>
            </c:strRef>
          </c:cat>
          <c:val>
            <c:numRef>
              <c:f>Perfil!$N$243:$N$261</c:f>
              <c:numCache>
                <c:formatCode>0,000</c:formatCode>
                <c:ptCount val="19"/>
                <c:pt idx="0">
                  <c:v>0</c:v>
                </c:pt>
                <c:pt idx="1">
                  <c:v>0</c:v>
                </c:pt>
                <c:pt idx="2">
                  <c:v>1.0232272587741738E-4</c:v>
                </c:pt>
                <c:pt idx="3">
                  <c:v>1.0232272587741738E-4</c:v>
                </c:pt>
                <c:pt idx="4">
                  <c:v>0</c:v>
                </c:pt>
                <c:pt idx="5">
                  <c:v>1.0232272587741738E-4</c:v>
                </c:pt>
                <c:pt idx="6">
                  <c:v>1.0232272587741738E-4</c:v>
                </c:pt>
                <c:pt idx="7">
                  <c:v>0</c:v>
                </c:pt>
                <c:pt idx="8">
                  <c:v>1.0232272587741738E-4</c:v>
                </c:pt>
                <c:pt idx="9">
                  <c:v>0</c:v>
                </c:pt>
                <c:pt idx="10">
                  <c:v>2.0464545175483492E-4</c:v>
                </c:pt>
                <c:pt idx="11">
                  <c:v>1.0232272587741738E-4</c:v>
                </c:pt>
                <c:pt idx="12">
                  <c:v>2.0464545175483492E-4</c:v>
                </c:pt>
                <c:pt idx="13">
                  <c:v>1.0232272587741738E-4</c:v>
                </c:pt>
                <c:pt idx="14">
                  <c:v>1.0232272587741738E-4</c:v>
                </c:pt>
                <c:pt idx="15">
                  <c:v>1.0232272587741738E-4</c:v>
                </c:pt>
                <c:pt idx="16">
                  <c:v>0</c:v>
                </c:pt>
                <c:pt idx="17">
                  <c:v>0</c:v>
                </c:pt>
                <c:pt idx="18">
                  <c:v>0</c:v>
                </c:pt>
              </c:numCache>
            </c:numRef>
          </c:val>
        </c:ser>
        <c:ser>
          <c:idx val="8"/>
          <c:order val="8"/>
          <c:tx>
            <c:strRef>
              <c:f>Perfil!$O$222</c:f>
              <c:strCache>
                <c:ptCount val="1"/>
                <c:pt idx="0">
                  <c:v>Centro de Alfabetización</c:v>
                </c:pt>
              </c:strCache>
            </c:strRef>
          </c:tx>
          <c:spPr>
            <a:solidFill>
              <a:schemeClr val="accent3">
                <a:lumMod val="75000"/>
              </a:schemeClr>
            </a:solidFill>
          </c:spPr>
          <c:invertIfNegative val="0"/>
          <c:cat>
            <c:strRef>
              <c:f>Perfil!$C$243:$C$261</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pt idx="18">
                  <c:v>95 a 100</c:v>
                </c:pt>
              </c:strCache>
            </c:strRef>
          </c:cat>
          <c:val>
            <c:numRef>
              <c:f>Perfil!$O$243:$O$261</c:f>
              <c:numCache>
                <c:formatCode>0,000</c:formatCode>
                <c:ptCount val="19"/>
                <c:pt idx="0">
                  <c:v>0</c:v>
                </c:pt>
                <c:pt idx="1">
                  <c:v>0</c:v>
                </c:pt>
                <c:pt idx="2">
                  <c:v>0</c:v>
                </c:pt>
                <c:pt idx="3">
                  <c:v>0</c:v>
                </c:pt>
                <c:pt idx="4">
                  <c:v>0</c:v>
                </c:pt>
                <c:pt idx="5">
                  <c:v>0</c:v>
                </c:pt>
                <c:pt idx="6">
                  <c:v>0</c:v>
                </c:pt>
                <c:pt idx="7">
                  <c:v>0</c:v>
                </c:pt>
                <c:pt idx="8">
                  <c:v>0</c:v>
                </c:pt>
                <c:pt idx="9">
                  <c:v>1.0232272587741738E-4</c:v>
                </c:pt>
                <c:pt idx="10">
                  <c:v>0</c:v>
                </c:pt>
                <c:pt idx="11">
                  <c:v>0</c:v>
                </c:pt>
                <c:pt idx="12">
                  <c:v>0</c:v>
                </c:pt>
                <c:pt idx="13">
                  <c:v>0</c:v>
                </c:pt>
                <c:pt idx="14">
                  <c:v>1.0232272587741738E-4</c:v>
                </c:pt>
                <c:pt idx="15">
                  <c:v>0</c:v>
                </c:pt>
                <c:pt idx="16">
                  <c:v>0</c:v>
                </c:pt>
                <c:pt idx="17">
                  <c:v>0</c:v>
                </c:pt>
                <c:pt idx="18">
                  <c:v>0</c:v>
                </c:pt>
              </c:numCache>
            </c:numRef>
          </c:val>
        </c:ser>
        <c:ser>
          <c:idx val="9"/>
          <c:order val="9"/>
          <c:tx>
            <c:strRef>
              <c:f>Perfil!$P$222</c:f>
              <c:strCache>
                <c:ptCount val="1"/>
                <c:pt idx="0">
                  <c:v>Primaria</c:v>
                </c:pt>
              </c:strCache>
            </c:strRef>
          </c:tx>
          <c:spPr>
            <a:solidFill>
              <a:schemeClr val="accent6">
                <a:lumMod val="75000"/>
              </a:schemeClr>
            </a:solidFill>
            <a:ln>
              <a:noFill/>
            </a:ln>
          </c:spPr>
          <c:invertIfNegative val="0"/>
          <c:cat>
            <c:strRef>
              <c:f>Perfil!$C$243:$C$261</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pt idx="18">
                  <c:v>95 a 100</c:v>
                </c:pt>
              </c:strCache>
            </c:strRef>
          </c:cat>
          <c:val>
            <c:numRef>
              <c:f>Perfil!$P$243:$P$261</c:f>
              <c:numCache>
                <c:formatCode>0,000</c:formatCode>
                <c:ptCount val="19"/>
                <c:pt idx="0">
                  <c:v>0.3182236774787684</c:v>
                </c:pt>
                <c:pt idx="1">
                  <c:v>3.4278113168934851E-2</c:v>
                </c:pt>
                <c:pt idx="2">
                  <c:v>5.1161362938708732E-4</c:v>
                </c:pt>
                <c:pt idx="3">
                  <c:v>2.0464545175483492E-4</c:v>
                </c:pt>
                <c:pt idx="4">
                  <c:v>1.4325181622838459E-3</c:v>
                </c:pt>
                <c:pt idx="5">
                  <c:v>6.1393635526450524E-4</c:v>
                </c:pt>
                <c:pt idx="6">
                  <c:v>8.1858180701933968E-4</c:v>
                </c:pt>
                <c:pt idx="7">
                  <c:v>6.1393635526450524E-4</c:v>
                </c:pt>
                <c:pt idx="8">
                  <c:v>5.1161362938708732E-4</c:v>
                </c:pt>
                <c:pt idx="9">
                  <c:v>9.2090453289675727E-4</c:v>
                </c:pt>
                <c:pt idx="10">
                  <c:v>7.1625908114192165E-4</c:v>
                </c:pt>
                <c:pt idx="11">
                  <c:v>3.0696817763225289E-4</c:v>
                </c:pt>
                <c:pt idx="12">
                  <c:v>6.1393635526450524E-4</c:v>
                </c:pt>
                <c:pt idx="13">
                  <c:v>2.0464545175483492E-4</c:v>
                </c:pt>
                <c:pt idx="14">
                  <c:v>4.0929090350966984E-4</c:v>
                </c:pt>
                <c:pt idx="15">
                  <c:v>6.1393635526450524E-4</c:v>
                </c:pt>
                <c:pt idx="16">
                  <c:v>3.0696817763225289E-4</c:v>
                </c:pt>
                <c:pt idx="17">
                  <c:v>1.0232272587741738E-4</c:v>
                </c:pt>
                <c:pt idx="18">
                  <c:v>1.0232272587741738E-4</c:v>
                </c:pt>
              </c:numCache>
            </c:numRef>
          </c:val>
        </c:ser>
        <c:ser>
          <c:idx val="10"/>
          <c:order val="10"/>
          <c:tx>
            <c:strRef>
              <c:f>Perfil!$Q$222</c:f>
              <c:strCache>
                <c:ptCount val="1"/>
                <c:pt idx="0">
                  <c:v>Secundaria</c:v>
                </c:pt>
              </c:strCache>
            </c:strRef>
          </c:tx>
          <c:spPr>
            <a:solidFill>
              <a:srgbClr val="00B0F0"/>
            </a:solidFill>
          </c:spPr>
          <c:invertIfNegative val="0"/>
          <c:cat>
            <c:strRef>
              <c:f>Perfil!$C$243:$C$261</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pt idx="18">
                  <c:v>95 a 100</c:v>
                </c:pt>
              </c:strCache>
            </c:strRef>
          </c:cat>
          <c:val>
            <c:numRef>
              <c:f>Perfil!$Q$243:$Q$261</c:f>
              <c:numCache>
                <c:formatCode>0,000</c:formatCode>
                <c:ptCount val="19"/>
                <c:pt idx="0">
                  <c:v>0</c:v>
                </c:pt>
                <c:pt idx="1">
                  <c:v>7.7765271666837337E-3</c:v>
                </c:pt>
                <c:pt idx="2">
                  <c:v>5.4231044715031288E-3</c:v>
                </c:pt>
                <c:pt idx="3">
                  <c:v>3.9905863092192786E-3</c:v>
                </c:pt>
                <c:pt idx="4">
                  <c:v>3.7859408574644499E-3</c:v>
                </c:pt>
                <c:pt idx="5">
                  <c:v>2.4557454210580145E-3</c:v>
                </c:pt>
                <c:pt idx="6">
                  <c:v>2.762713598690274E-3</c:v>
                </c:pt>
                <c:pt idx="7">
                  <c:v>2.0464545175483502E-3</c:v>
                </c:pt>
                <c:pt idx="8">
                  <c:v>2.2510999693031823E-3</c:v>
                </c:pt>
                <c:pt idx="9">
                  <c:v>2.0464545175483502E-3</c:v>
                </c:pt>
                <c:pt idx="10">
                  <c:v>1.8418090657935148E-3</c:v>
                </c:pt>
                <c:pt idx="11">
                  <c:v>2.3534226951805997E-3</c:v>
                </c:pt>
                <c:pt idx="12">
                  <c:v>1.4325181622838459E-3</c:v>
                </c:pt>
                <c:pt idx="13">
                  <c:v>1.7394863399160972E-3</c:v>
                </c:pt>
                <c:pt idx="14">
                  <c:v>3.1720045021999422E-3</c:v>
                </c:pt>
                <c:pt idx="15">
                  <c:v>9.2090453289675727E-4</c:v>
                </c:pt>
                <c:pt idx="16">
                  <c:v>6.1393635526450524E-4</c:v>
                </c:pt>
                <c:pt idx="17">
                  <c:v>4.0929090350966984E-4</c:v>
                </c:pt>
                <c:pt idx="18">
                  <c:v>0</c:v>
                </c:pt>
              </c:numCache>
            </c:numRef>
          </c:val>
        </c:ser>
        <c:ser>
          <c:idx val="11"/>
          <c:order val="11"/>
          <c:tx>
            <c:strRef>
              <c:f>Perfil!$R$222</c:f>
              <c:strCache>
                <c:ptCount val="1"/>
                <c:pt idx="0">
                  <c:v>Superior</c:v>
                </c:pt>
              </c:strCache>
            </c:strRef>
          </c:tx>
          <c:spPr>
            <a:solidFill>
              <a:srgbClr val="D735B4"/>
            </a:solidFill>
          </c:spPr>
          <c:invertIfNegative val="0"/>
          <c:cat>
            <c:strRef>
              <c:f>Perfil!$C$243:$C$261</c:f>
              <c:strCache>
                <c:ptCount val="19"/>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pt idx="18">
                  <c:v>95 a 100</c:v>
                </c:pt>
              </c:strCache>
            </c:strRef>
          </c:cat>
          <c:val>
            <c:numRef>
              <c:f>Perfil!$R$243:$R$261</c:f>
              <c:numCache>
                <c:formatCode>0,000</c:formatCode>
                <c:ptCount val="19"/>
                <c:pt idx="0">
                  <c:v>0</c:v>
                </c:pt>
                <c:pt idx="1">
                  <c:v>0</c:v>
                </c:pt>
                <c:pt idx="2">
                  <c:v>7.1625908114192165E-4</c:v>
                </c:pt>
                <c:pt idx="3">
                  <c:v>2.8650363245676892E-3</c:v>
                </c:pt>
                <c:pt idx="4">
                  <c:v>9.4136907807224005E-3</c:v>
                </c:pt>
                <c:pt idx="5">
                  <c:v>1.0129949861864319E-2</c:v>
                </c:pt>
                <c:pt idx="6">
                  <c:v>5.6277499232579558E-3</c:v>
                </c:pt>
                <c:pt idx="7">
                  <c:v>4.3998772127289473E-3</c:v>
                </c:pt>
                <c:pt idx="8">
                  <c:v>3.5812954057096082E-3</c:v>
                </c:pt>
                <c:pt idx="9">
                  <c:v>3.6836181315870295E-3</c:v>
                </c:pt>
                <c:pt idx="10">
                  <c:v>4.604522664483782E-3</c:v>
                </c:pt>
                <c:pt idx="11">
                  <c:v>2.9673590504451092E-3</c:v>
                </c:pt>
                <c:pt idx="12">
                  <c:v>1.4325181622838459E-3</c:v>
                </c:pt>
                <c:pt idx="13">
                  <c:v>2.2510999693031823E-3</c:v>
                </c:pt>
                <c:pt idx="14">
                  <c:v>1.6371636140386781E-3</c:v>
                </c:pt>
                <c:pt idx="15">
                  <c:v>7.1625908114192165E-4</c:v>
                </c:pt>
                <c:pt idx="16">
                  <c:v>0</c:v>
                </c:pt>
                <c:pt idx="17">
                  <c:v>0</c:v>
                </c:pt>
                <c:pt idx="18">
                  <c:v>1.0232272587741738E-4</c:v>
                </c:pt>
              </c:numCache>
            </c:numRef>
          </c:val>
        </c:ser>
        <c:dLbls>
          <c:showLegendKey val="0"/>
          <c:showVal val="0"/>
          <c:showCatName val="0"/>
          <c:showSerName val="0"/>
          <c:showPercent val="0"/>
          <c:showBubbleSize val="0"/>
        </c:dLbls>
        <c:gapWidth val="0"/>
        <c:overlap val="100"/>
        <c:axId val="286348416"/>
        <c:axId val="286350336"/>
      </c:barChart>
      <c:catAx>
        <c:axId val="286348416"/>
        <c:scaling>
          <c:orientation val="minMax"/>
        </c:scaling>
        <c:delete val="0"/>
        <c:axPos val="l"/>
        <c:title>
          <c:tx>
            <c:rich>
              <a:bodyPr rot="-5400000" vert="horz"/>
              <a:lstStyle/>
              <a:p>
                <a:pPr>
                  <a:defRPr sz="800"/>
                </a:pPr>
                <a:r>
                  <a:rPr lang="es-EC" sz="800"/>
                  <a:t>Grupos de Edad</a:t>
                </a:r>
              </a:p>
            </c:rich>
          </c:tx>
          <c:overlay val="0"/>
        </c:title>
        <c:numFmt formatCode="General" sourceLinked="1"/>
        <c:majorTickMark val="out"/>
        <c:minorTickMark val="none"/>
        <c:tickLblPos val="nextTo"/>
        <c:spPr>
          <a:ln>
            <a:solidFill>
              <a:sysClr val="windowText" lastClr="000000"/>
            </a:solidFill>
          </a:ln>
        </c:spPr>
        <c:crossAx val="286350336"/>
        <c:crossesAt val="-15"/>
        <c:auto val="1"/>
        <c:lblAlgn val="ctr"/>
        <c:lblOffset val="100"/>
        <c:noMultiLvlLbl val="0"/>
      </c:catAx>
      <c:valAx>
        <c:axId val="286350336"/>
        <c:scaling>
          <c:orientation val="minMax"/>
          <c:max val="0.35000000000000031"/>
          <c:min val="-0.35000000000000031"/>
        </c:scaling>
        <c:delete val="0"/>
        <c:axPos val="b"/>
        <c:majorGridlines>
          <c:spPr>
            <a:ln>
              <a:prstDash val="dash"/>
            </a:ln>
          </c:spPr>
        </c:majorGridlines>
        <c:numFmt formatCode="0%;0%" sourceLinked="0"/>
        <c:majorTickMark val="out"/>
        <c:minorTickMark val="none"/>
        <c:tickLblPos val="nextTo"/>
        <c:spPr>
          <a:ln>
            <a:solidFill>
              <a:schemeClr val="tx1"/>
            </a:solidFill>
          </a:ln>
        </c:spPr>
        <c:txPr>
          <a:bodyPr/>
          <a:lstStyle/>
          <a:p>
            <a:pPr>
              <a:defRPr sz="750"/>
            </a:pPr>
            <a:endParaRPr lang="es-EC"/>
          </a:p>
        </c:txPr>
        <c:crossAx val="286348416"/>
        <c:crosses val="autoZero"/>
        <c:crossBetween val="between"/>
        <c:majorUnit val="7.0000000000000021E-2"/>
      </c:valAx>
      <c:spPr>
        <a:noFill/>
        <a:ln>
          <a:solidFill>
            <a:sysClr val="windowText" lastClr="000000"/>
          </a:solidFill>
        </a:ln>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83593672990468859"/>
          <c:y val="0.20159823985555353"/>
          <c:w val="0.15451203019174575"/>
          <c:h val="0.56848989898989966"/>
        </c:manualLayout>
      </c:layout>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32349081364828"/>
          <c:y val="8.3333333333333343E-2"/>
          <c:w val="0.7613779527559057"/>
          <c:h val="0.74398668459125539"/>
        </c:manualLayout>
      </c:layout>
      <c:barChart>
        <c:barDir val="bar"/>
        <c:grouping val="stacked"/>
        <c:varyColors val="0"/>
        <c:ser>
          <c:idx val="0"/>
          <c:order val="0"/>
          <c:tx>
            <c:strRef>
              <c:f>Perfil!$G$269</c:f>
              <c:strCache>
                <c:ptCount val="1"/>
                <c:pt idx="0">
                  <c:v>Hombre</c:v>
                </c:pt>
              </c:strCache>
            </c:strRef>
          </c:tx>
          <c:spPr>
            <a:solidFill>
              <a:srgbClr val="00B0F0"/>
            </a:solidFill>
          </c:spPr>
          <c:invertIfNegative val="0"/>
          <c:dLbls>
            <c:dLbl>
              <c:idx val="2"/>
              <c:delete val="1"/>
            </c:dLbl>
            <c:numFmt formatCode="#,##0.000" sourceLinked="0"/>
            <c:dLblPos val="ctr"/>
            <c:showLegendKey val="0"/>
            <c:showVal val="1"/>
            <c:showCatName val="0"/>
            <c:showSerName val="0"/>
            <c:showPercent val="0"/>
            <c:showBubbleSize val="0"/>
            <c:showLeaderLines val="0"/>
          </c:dLbls>
          <c:cat>
            <c:strRef>
              <c:f>Perfil!$F$270:$F$275</c:f>
              <c:strCache>
                <c:ptCount val="6"/>
                <c:pt idx="0">
                  <c:v>Se ignora</c:v>
                </c:pt>
                <c:pt idx="1">
                  <c:v>Ninguno</c:v>
                </c:pt>
                <c:pt idx="2">
                  <c:v>Centro de Alfabetización</c:v>
                </c:pt>
                <c:pt idx="3">
                  <c:v>Primaria</c:v>
                </c:pt>
                <c:pt idx="4">
                  <c:v>Secundaria</c:v>
                </c:pt>
                <c:pt idx="5">
                  <c:v>Superior</c:v>
                </c:pt>
              </c:strCache>
            </c:strRef>
          </c:cat>
          <c:val>
            <c:numRef>
              <c:f>Perfil!$G$270:$G$275</c:f>
              <c:numCache>
                <c:formatCode>0,000</c:formatCode>
                <c:ptCount val="6"/>
                <c:pt idx="0">
                  <c:v>0.58571428571428497</c:v>
                </c:pt>
                <c:pt idx="1">
                  <c:v>0.58064516129032251</c:v>
                </c:pt>
                <c:pt idx="2">
                  <c:v>0</c:v>
                </c:pt>
                <c:pt idx="3">
                  <c:v>0.51721781907624953</c:v>
                </c:pt>
                <c:pt idx="4">
                  <c:v>0.52941176470588236</c:v>
                </c:pt>
                <c:pt idx="5">
                  <c:v>0.60959409594095937</c:v>
                </c:pt>
              </c:numCache>
            </c:numRef>
          </c:val>
        </c:ser>
        <c:ser>
          <c:idx val="1"/>
          <c:order val="1"/>
          <c:tx>
            <c:strRef>
              <c:f>Perfil!$H$269</c:f>
              <c:strCache>
                <c:ptCount val="1"/>
                <c:pt idx="0">
                  <c:v>Mujer</c:v>
                </c:pt>
              </c:strCache>
            </c:strRef>
          </c:tx>
          <c:spPr>
            <a:solidFill>
              <a:srgbClr val="E010C2"/>
            </a:solidFill>
          </c:spPr>
          <c:invertIfNegative val="0"/>
          <c:dLbls>
            <c:numFmt formatCode="#,##0.000" sourceLinked="0"/>
            <c:txPr>
              <a:bodyPr/>
              <a:lstStyle/>
              <a:p>
                <a:pPr>
                  <a:defRPr>
                    <a:solidFill>
                      <a:schemeClr val="bg1"/>
                    </a:solidFill>
                  </a:defRPr>
                </a:pPr>
                <a:endParaRPr lang="es-EC"/>
              </a:p>
            </c:txPr>
            <c:dLblPos val="ctr"/>
            <c:showLegendKey val="0"/>
            <c:showVal val="1"/>
            <c:showCatName val="0"/>
            <c:showSerName val="0"/>
            <c:showPercent val="0"/>
            <c:showBubbleSize val="0"/>
            <c:showLeaderLines val="0"/>
          </c:dLbls>
          <c:cat>
            <c:strRef>
              <c:f>Perfil!$F$270:$F$275</c:f>
              <c:strCache>
                <c:ptCount val="6"/>
                <c:pt idx="0">
                  <c:v>Se ignora</c:v>
                </c:pt>
                <c:pt idx="1">
                  <c:v>Ninguno</c:v>
                </c:pt>
                <c:pt idx="2">
                  <c:v>Centro de Alfabetización</c:v>
                </c:pt>
                <c:pt idx="3">
                  <c:v>Primaria</c:v>
                </c:pt>
                <c:pt idx="4">
                  <c:v>Secundaria</c:v>
                </c:pt>
                <c:pt idx="5">
                  <c:v>Superior</c:v>
                </c:pt>
              </c:strCache>
            </c:strRef>
          </c:cat>
          <c:val>
            <c:numRef>
              <c:f>Perfil!$H$270:$H$275</c:f>
              <c:numCache>
                <c:formatCode>0,000</c:formatCode>
                <c:ptCount val="6"/>
                <c:pt idx="0">
                  <c:v>0.41428571428571431</c:v>
                </c:pt>
                <c:pt idx="1">
                  <c:v>0.41935483870967805</c:v>
                </c:pt>
                <c:pt idx="2">
                  <c:v>1</c:v>
                </c:pt>
                <c:pt idx="3">
                  <c:v>0.48278218092375014</c:v>
                </c:pt>
                <c:pt idx="4">
                  <c:v>0.47058823529411814</c:v>
                </c:pt>
                <c:pt idx="5">
                  <c:v>0.39040590405904135</c:v>
                </c:pt>
              </c:numCache>
            </c:numRef>
          </c:val>
        </c:ser>
        <c:dLbls>
          <c:showLegendKey val="0"/>
          <c:showVal val="0"/>
          <c:showCatName val="0"/>
          <c:showSerName val="0"/>
          <c:showPercent val="0"/>
          <c:showBubbleSize val="0"/>
        </c:dLbls>
        <c:gapWidth val="40"/>
        <c:overlap val="100"/>
        <c:axId val="286382720"/>
        <c:axId val="283706112"/>
      </c:barChart>
      <c:catAx>
        <c:axId val="286382720"/>
        <c:scaling>
          <c:orientation val="maxMin"/>
        </c:scaling>
        <c:delete val="0"/>
        <c:axPos val="l"/>
        <c:title>
          <c:tx>
            <c:rich>
              <a:bodyPr rot="-5400000" vert="horz"/>
              <a:lstStyle/>
              <a:p>
                <a:pPr>
                  <a:defRPr sz="750"/>
                </a:pPr>
                <a:r>
                  <a:rPr lang="es-EC" sz="750"/>
                  <a:t>Nivel más alto de Instrucción</a:t>
                </a:r>
              </a:p>
            </c:rich>
          </c:tx>
          <c:overlay val="0"/>
        </c:title>
        <c:numFmt formatCode="General" sourceLinked="1"/>
        <c:majorTickMark val="out"/>
        <c:minorTickMark val="none"/>
        <c:tickLblPos val="nextTo"/>
        <c:spPr>
          <a:ln>
            <a:solidFill>
              <a:schemeClr val="tx1"/>
            </a:solidFill>
          </a:ln>
        </c:spPr>
        <c:txPr>
          <a:bodyPr/>
          <a:lstStyle/>
          <a:p>
            <a:pPr>
              <a:defRPr sz="750"/>
            </a:pPr>
            <a:endParaRPr lang="es-EC"/>
          </a:p>
        </c:txPr>
        <c:crossAx val="283706112"/>
        <c:crosses val="autoZero"/>
        <c:auto val="1"/>
        <c:lblAlgn val="ctr"/>
        <c:lblOffset val="100"/>
        <c:noMultiLvlLbl val="0"/>
      </c:catAx>
      <c:valAx>
        <c:axId val="283706112"/>
        <c:scaling>
          <c:orientation val="minMax"/>
          <c:max val="1"/>
        </c:scaling>
        <c:delete val="0"/>
        <c:axPos val="t"/>
        <c:title>
          <c:tx>
            <c:rich>
              <a:bodyPr/>
              <a:lstStyle/>
              <a:p>
                <a:pPr>
                  <a:defRPr/>
                </a:pPr>
                <a:r>
                  <a:rPr lang="es-EC"/>
                  <a:t>Frecuencia Relativa</a:t>
                </a:r>
              </a:p>
            </c:rich>
          </c:tx>
          <c:layout>
            <c:manualLayout>
              <c:xMode val="edge"/>
              <c:yMode val="edge"/>
              <c:x val="0.47106802274715681"/>
              <c:y val="0.91458523782088263"/>
            </c:manualLayout>
          </c:layout>
          <c:overlay val="0"/>
        </c:title>
        <c:numFmt formatCode="#,##0.00" sourceLinked="0"/>
        <c:majorTickMark val="in"/>
        <c:minorTickMark val="none"/>
        <c:tickLblPos val="high"/>
        <c:spPr>
          <a:ln>
            <a:solidFill>
              <a:schemeClr val="tx1"/>
            </a:solidFill>
          </a:ln>
        </c:spPr>
        <c:crossAx val="286382720"/>
        <c:crossesAt val="7"/>
        <c:crossBetween val="between"/>
        <c:majorUnit val="0.2"/>
      </c:valAx>
      <c:spPr>
        <a:noFill/>
        <a:ln>
          <a:solidFill>
            <a:schemeClr val="tx1"/>
          </a:solidFill>
        </a:ln>
      </c:spPr>
    </c:plotArea>
    <c:legend>
      <c:legendPos val="t"/>
      <c:layout>
        <c:manualLayout>
          <c:xMode val="edge"/>
          <c:yMode val="edge"/>
          <c:x val="0.30076137357830285"/>
          <c:y val="8.808655015684067E-4"/>
          <c:w val="0.53458836395450549"/>
          <c:h val="6.8729585885097699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Perfil!$AA$222</c:f>
              <c:strCache>
                <c:ptCount val="1"/>
                <c:pt idx="0">
                  <c:v>Tasa de Universitarios</c:v>
                </c:pt>
              </c:strCache>
            </c:strRef>
          </c:tx>
          <c:spPr>
            <a:ln w="19050">
              <a:solidFill>
                <a:srgbClr val="0070C0"/>
              </a:solidFill>
            </a:ln>
          </c:spPr>
          <c:marker>
            <c:symbol val="none"/>
          </c:marker>
          <c:cat>
            <c:strRef>
              <c:f>Perfil!$C$225:$C$241</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90 a 95</c:v>
                </c:pt>
                <c:pt idx="16">
                  <c:v>95 a 100</c:v>
                </c:pt>
              </c:strCache>
            </c:strRef>
          </c:cat>
          <c:val>
            <c:numRef>
              <c:f>Perfil!$AA$225:$AA$241</c:f>
              <c:numCache>
                <c:formatCode>0.00</c:formatCode>
                <c:ptCount val="17"/>
                <c:pt idx="0">
                  <c:v>107.14285714285704</c:v>
                </c:pt>
                <c:pt idx="1">
                  <c:v>559.3220338983042</c:v>
                </c:pt>
                <c:pt idx="2">
                  <c:v>632.65306122448987</c:v>
                </c:pt>
                <c:pt idx="3">
                  <c:v>589.14728682170437</c:v>
                </c:pt>
                <c:pt idx="4">
                  <c:v>601.44927536231887</c:v>
                </c:pt>
                <c:pt idx="5">
                  <c:v>652.48226950354547</c:v>
                </c:pt>
                <c:pt idx="6">
                  <c:v>621.84873949579799</c:v>
                </c:pt>
                <c:pt idx="7">
                  <c:v>666.66666666666663</c:v>
                </c:pt>
                <c:pt idx="8">
                  <c:v>594.82758620689663</c:v>
                </c:pt>
                <c:pt idx="9">
                  <c:v>596.77419354838867</c:v>
                </c:pt>
                <c:pt idx="10">
                  <c:v>595.23809523809632</c:v>
                </c:pt>
                <c:pt idx="11">
                  <c:v>678.57142857142856</c:v>
                </c:pt>
                <c:pt idx="12">
                  <c:v>585.36585365853659</c:v>
                </c:pt>
                <c:pt idx="13">
                  <c:v>703.7037037037037</c:v>
                </c:pt>
                <c:pt idx="14">
                  <c:v>461.53846153846172</c:v>
                </c:pt>
                <c:pt idx="15">
                  <c:v>0</c:v>
                </c:pt>
                <c:pt idx="16">
                  <c:v>0</c:v>
                </c:pt>
              </c:numCache>
            </c:numRef>
          </c:val>
          <c:smooth val="1"/>
        </c:ser>
        <c:ser>
          <c:idx val="1"/>
          <c:order val="1"/>
          <c:tx>
            <c:strRef>
              <c:f>Perfil!$AC$222</c:f>
              <c:strCache>
                <c:ptCount val="1"/>
                <c:pt idx="0">
                  <c:v>Se ignora</c:v>
                </c:pt>
              </c:strCache>
            </c:strRef>
          </c:tx>
          <c:spPr>
            <a:ln w="19050">
              <a:solidFill>
                <a:srgbClr val="E010C2"/>
              </a:solidFill>
            </a:ln>
          </c:spPr>
          <c:marker>
            <c:symbol val="none"/>
          </c:marker>
          <c:cat>
            <c:strRef>
              <c:f>Perfil!$C$225:$C$241</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90 a 95</c:v>
                </c:pt>
                <c:pt idx="16">
                  <c:v>95 a 100</c:v>
                </c:pt>
              </c:strCache>
            </c:strRef>
          </c:cat>
          <c:val>
            <c:numRef>
              <c:f>Perfil!$AC$225:$AC$241</c:f>
              <c:numCache>
                <c:formatCode>0.00</c:formatCode>
                <c:ptCount val="17"/>
                <c:pt idx="0">
                  <c:v>35.714285714285715</c:v>
                </c:pt>
                <c:pt idx="1">
                  <c:v>33.898305084745807</c:v>
                </c:pt>
                <c:pt idx="2">
                  <c:v>20.408163265306122</c:v>
                </c:pt>
                <c:pt idx="3">
                  <c:v>23.255813953488371</c:v>
                </c:pt>
                <c:pt idx="4">
                  <c:v>14.492753623188406</c:v>
                </c:pt>
                <c:pt idx="5">
                  <c:v>7.0921985815602815</c:v>
                </c:pt>
                <c:pt idx="6">
                  <c:v>25.210084033613445</c:v>
                </c:pt>
                <c:pt idx="7">
                  <c:v>8.7719298245613988</c:v>
                </c:pt>
                <c:pt idx="8">
                  <c:v>51.724137931034512</c:v>
                </c:pt>
                <c:pt idx="9">
                  <c:v>32.258064516129032</c:v>
                </c:pt>
                <c:pt idx="10">
                  <c:v>7.9365079365079358</c:v>
                </c:pt>
                <c:pt idx="11">
                  <c:v>0</c:v>
                </c:pt>
                <c:pt idx="12">
                  <c:v>0</c:v>
                </c:pt>
                <c:pt idx="13">
                  <c:v>0</c:v>
                </c:pt>
                <c:pt idx="14">
                  <c:v>0</c:v>
                </c:pt>
                <c:pt idx="15">
                  <c:v>0</c:v>
                </c:pt>
                <c:pt idx="16">
                  <c:v>0</c:v>
                </c:pt>
              </c:numCache>
            </c:numRef>
          </c:val>
          <c:smooth val="1"/>
        </c:ser>
        <c:ser>
          <c:idx val="2"/>
          <c:order val="2"/>
          <c:tx>
            <c:strRef>
              <c:f>Perfil!$AB$222</c:f>
              <c:strCache>
                <c:ptCount val="1"/>
                <c:pt idx="0">
                  <c:v>Tasa de no Universitarios</c:v>
                </c:pt>
              </c:strCache>
            </c:strRef>
          </c:tx>
          <c:spPr>
            <a:ln w="19050">
              <a:solidFill>
                <a:schemeClr val="accent6">
                  <a:lumMod val="75000"/>
                </a:schemeClr>
              </a:solidFill>
            </a:ln>
          </c:spPr>
          <c:marker>
            <c:symbol val="none"/>
          </c:marker>
          <c:cat>
            <c:strRef>
              <c:f>Perfil!$C$225:$C$241</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90 a 95</c:v>
                </c:pt>
                <c:pt idx="16">
                  <c:v>95 a 100</c:v>
                </c:pt>
              </c:strCache>
            </c:strRef>
          </c:cat>
          <c:val>
            <c:numRef>
              <c:f>Perfil!$AB$225:$AB$241</c:f>
              <c:numCache>
                <c:formatCode>0.00</c:formatCode>
                <c:ptCount val="17"/>
                <c:pt idx="0">
                  <c:v>857.14285714285711</c:v>
                </c:pt>
                <c:pt idx="1">
                  <c:v>406.77966101694932</c:v>
                </c:pt>
                <c:pt idx="2">
                  <c:v>346.93877551020347</c:v>
                </c:pt>
                <c:pt idx="3">
                  <c:v>387.59689922480635</c:v>
                </c:pt>
                <c:pt idx="4">
                  <c:v>384.05797101449275</c:v>
                </c:pt>
                <c:pt idx="5">
                  <c:v>340.42553191489321</c:v>
                </c:pt>
                <c:pt idx="6">
                  <c:v>352.94117647058755</c:v>
                </c:pt>
                <c:pt idx="7">
                  <c:v>324.56140350877195</c:v>
                </c:pt>
                <c:pt idx="8">
                  <c:v>353.44827586206895</c:v>
                </c:pt>
                <c:pt idx="9">
                  <c:v>370.9677419354839</c:v>
                </c:pt>
                <c:pt idx="10">
                  <c:v>396.82539682539681</c:v>
                </c:pt>
                <c:pt idx="11">
                  <c:v>321.42857142857071</c:v>
                </c:pt>
                <c:pt idx="12">
                  <c:v>414.63414634146341</c:v>
                </c:pt>
                <c:pt idx="13">
                  <c:v>296.29629629629574</c:v>
                </c:pt>
                <c:pt idx="14">
                  <c:v>538.46153846153788</c:v>
                </c:pt>
                <c:pt idx="15">
                  <c:v>1000</c:v>
                </c:pt>
                <c:pt idx="16">
                  <c:v>1000</c:v>
                </c:pt>
              </c:numCache>
            </c:numRef>
          </c:val>
          <c:smooth val="0"/>
        </c:ser>
        <c:dLbls>
          <c:showLegendKey val="0"/>
          <c:showVal val="0"/>
          <c:showCatName val="0"/>
          <c:showSerName val="0"/>
          <c:showPercent val="0"/>
          <c:showBubbleSize val="0"/>
        </c:dLbls>
        <c:marker val="1"/>
        <c:smooth val="0"/>
        <c:axId val="186169600"/>
        <c:axId val="186175872"/>
      </c:lineChart>
      <c:catAx>
        <c:axId val="186169600"/>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186175872"/>
        <c:crosses val="autoZero"/>
        <c:auto val="1"/>
        <c:lblAlgn val="ctr"/>
        <c:lblOffset val="100"/>
        <c:noMultiLvlLbl val="0"/>
      </c:catAx>
      <c:valAx>
        <c:axId val="186175872"/>
        <c:scaling>
          <c:orientation val="minMax"/>
          <c:max val="1000"/>
          <c:min val="0"/>
        </c:scaling>
        <c:delete val="0"/>
        <c:axPos val="l"/>
        <c:title>
          <c:tx>
            <c:rich>
              <a:bodyPr rot="-5400000" vert="horz"/>
              <a:lstStyle/>
              <a:p>
                <a:pPr>
                  <a:defRPr sz="650"/>
                </a:pPr>
                <a:r>
                  <a:rPr lang="es-EC" sz="650"/>
                  <a:t>Tasa por</a:t>
                </a:r>
                <a:r>
                  <a:rPr lang="es-EC" sz="650" baseline="0"/>
                  <a:t> cada 1000 españoles</a:t>
                </a:r>
                <a:endParaRPr lang="es-EC" sz="650"/>
              </a:p>
            </c:rich>
          </c:tx>
          <c:layout>
            <c:manualLayout>
              <c:xMode val="edge"/>
              <c:yMode val="edge"/>
              <c:x val="0"/>
              <c:y val="5.2584199734383927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18616960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Perfil!$AA$222</c:f>
              <c:strCache>
                <c:ptCount val="1"/>
                <c:pt idx="0">
                  <c:v>Tasa de Universitarios</c:v>
                </c:pt>
              </c:strCache>
            </c:strRef>
          </c:tx>
          <c:spPr>
            <a:ln w="19050">
              <a:solidFill>
                <a:srgbClr val="0070C0"/>
              </a:solidFill>
            </a:ln>
          </c:spPr>
          <c:marker>
            <c:symbol val="none"/>
          </c:marker>
          <c:cat>
            <c:strRef>
              <c:f>Perfil!$C$245:$C$261</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90 a 95</c:v>
                </c:pt>
                <c:pt idx="16">
                  <c:v>95 a 100</c:v>
                </c:pt>
              </c:strCache>
            </c:strRef>
          </c:cat>
          <c:val>
            <c:numRef>
              <c:f>Perfil!$AA$245:$AA$261</c:f>
              <c:numCache>
                <c:formatCode>0.00</c:formatCode>
                <c:ptCount val="17"/>
                <c:pt idx="0">
                  <c:v>106.06060606060606</c:v>
                </c:pt>
                <c:pt idx="1">
                  <c:v>400</c:v>
                </c:pt>
                <c:pt idx="2">
                  <c:v>638.8888888888888</c:v>
                </c:pt>
                <c:pt idx="3">
                  <c:v>744.36090225563908</c:v>
                </c:pt>
                <c:pt idx="4">
                  <c:v>597.82608695652175</c:v>
                </c:pt>
                <c:pt idx="5">
                  <c:v>605.63380281690161</c:v>
                </c:pt>
                <c:pt idx="6">
                  <c:v>538.46153846153788</c:v>
                </c:pt>
                <c:pt idx="7">
                  <c:v>521.73913043478262</c:v>
                </c:pt>
                <c:pt idx="8">
                  <c:v>608.10810810810813</c:v>
                </c:pt>
                <c:pt idx="9">
                  <c:v>508.77192982456148</c:v>
                </c:pt>
                <c:pt idx="10">
                  <c:v>378.37837837837804</c:v>
                </c:pt>
                <c:pt idx="11">
                  <c:v>511.62790697674421</c:v>
                </c:pt>
                <c:pt idx="12">
                  <c:v>301.88679245282964</c:v>
                </c:pt>
                <c:pt idx="13">
                  <c:v>291.66666666666708</c:v>
                </c:pt>
                <c:pt idx="14">
                  <c:v>0</c:v>
                </c:pt>
                <c:pt idx="15">
                  <c:v>0</c:v>
                </c:pt>
                <c:pt idx="16">
                  <c:v>500</c:v>
                </c:pt>
              </c:numCache>
            </c:numRef>
          </c:val>
          <c:smooth val="1"/>
        </c:ser>
        <c:ser>
          <c:idx val="1"/>
          <c:order val="1"/>
          <c:tx>
            <c:strRef>
              <c:f>Perfil!$AC$222</c:f>
              <c:strCache>
                <c:ptCount val="1"/>
                <c:pt idx="0">
                  <c:v>Se ignora</c:v>
                </c:pt>
              </c:strCache>
            </c:strRef>
          </c:tx>
          <c:spPr>
            <a:ln w="19050">
              <a:solidFill>
                <a:srgbClr val="E010C2"/>
              </a:solidFill>
            </a:ln>
          </c:spPr>
          <c:marker>
            <c:symbol val="none"/>
          </c:marker>
          <c:cat>
            <c:strRef>
              <c:f>Perfil!$C$245:$C$261</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90 a 95</c:v>
                </c:pt>
                <c:pt idx="16">
                  <c:v>95 a 100</c:v>
                </c:pt>
              </c:strCache>
            </c:strRef>
          </c:cat>
          <c:val>
            <c:numRef>
              <c:f>Perfil!$AC$245:$AC$261</c:f>
              <c:numCache>
                <c:formatCode>0.00</c:formatCode>
                <c:ptCount val="17"/>
                <c:pt idx="0">
                  <c:v>0</c:v>
                </c:pt>
                <c:pt idx="1">
                  <c:v>0</c:v>
                </c:pt>
                <c:pt idx="2">
                  <c:v>6.9444444444444438</c:v>
                </c:pt>
                <c:pt idx="3">
                  <c:v>22.556390977443609</c:v>
                </c:pt>
                <c:pt idx="4">
                  <c:v>10.869565217391324</c:v>
                </c:pt>
                <c:pt idx="5">
                  <c:v>28.169014084507026</c:v>
                </c:pt>
                <c:pt idx="6">
                  <c:v>30.76923076923077</c:v>
                </c:pt>
                <c:pt idx="7">
                  <c:v>43.478260869565204</c:v>
                </c:pt>
                <c:pt idx="8">
                  <c:v>27.027027027027028</c:v>
                </c:pt>
                <c:pt idx="9">
                  <c:v>17.543859649122787</c:v>
                </c:pt>
                <c:pt idx="10">
                  <c:v>27.027027027027028</c:v>
                </c:pt>
                <c:pt idx="11">
                  <c:v>23.255813953488371</c:v>
                </c:pt>
                <c:pt idx="12">
                  <c:v>0</c:v>
                </c:pt>
                <c:pt idx="13">
                  <c:v>41.666666666666579</c:v>
                </c:pt>
                <c:pt idx="14">
                  <c:v>0</c:v>
                </c:pt>
                <c:pt idx="15">
                  <c:v>0</c:v>
                </c:pt>
                <c:pt idx="16">
                  <c:v>0</c:v>
                </c:pt>
              </c:numCache>
            </c:numRef>
          </c:val>
          <c:smooth val="1"/>
        </c:ser>
        <c:ser>
          <c:idx val="2"/>
          <c:order val="2"/>
          <c:tx>
            <c:strRef>
              <c:f>Perfil!$AB$222</c:f>
              <c:strCache>
                <c:ptCount val="1"/>
                <c:pt idx="0">
                  <c:v>Tasa de no Universitarios</c:v>
                </c:pt>
              </c:strCache>
            </c:strRef>
          </c:tx>
          <c:spPr>
            <a:ln w="19050">
              <a:solidFill>
                <a:schemeClr val="accent6">
                  <a:lumMod val="75000"/>
                </a:schemeClr>
              </a:solidFill>
            </a:ln>
          </c:spPr>
          <c:marker>
            <c:symbol val="none"/>
          </c:marker>
          <c:cat>
            <c:strRef>
              <c:f>Perfil!$C$245:$C$261</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90 a 95</c:v>
                </c:pt>
                <c:pt idx="16">
                  <c:v>95 a 100</c:v>
                </c:pt>
              </c:strCache>
            </c:strRef>
          </c:cat>
          <c:val>
            <c:numRef>
              <c:f>Perfil!$AB$245:$AB$261</c:f>
              <c:numCache>
                <c:formatCode>0.00</c:formatCode>
                <c:ptCount val="17"/>
                <c:pt idx="0">
                  <c:v>893.93939393939456</c:v>
                </c:pt>
                <c:pt idx="1">
                  <c:v>600</c:v>
                </c:pt>
                <c:pt idx="2">
                  <c:v>354.16666666666708</c:v>
                </c:pt>
                <c:pt idx="3">
                  <c:v>233.08270676691728</c:v>
                </c:pt>
                <c:pt idx="4">
                  <c:v>391.304347826087</c:v>
                </c:pt>
                <c:pt idx="5">
                  <c:v>366.19718309859155</c:v>
                </c:pt>
                <c:pt idx="6">
                  <c:v>430.76923076923066</c:v>
                </c:pt>
                <c:pt idx="7">
                  <c:v>434.7826086956523</c:v>
                </c:pt>
                <c:pt idx="8">
                  <c:v>364.86486486486552</c:v>
                </c:pt>
                <c:pt idx="9">
                  <c:v>473.68421052631578</c:v>
                </c:pt>
                <c:pt idx="10">
                  <c:v>594.59459459459458</c:v>
                </c:pt>
                <c:pt idx="11">
                  <c:v>465.11627906976742</c:v>
                </c:pt>
                <c:pt idx="12">
                  <c:v>698.11320754717076</c:v>
                </c:pt>
                <c:pt idx="13">
                  <c:v>666.66666666666663</c:v>
                </c:pt>
                <c:pt idx="14">
                  <c:v>1000</c:v>
                </c:pt>
                <c:pt idx="15">
                  <c:v>1000</c:v>
                </c:pt>
                <c:pt idx="16">
                  <c:v>500</c:v>
                </c:pt>
              </c:numCache>
            </c:numRef>
          </c:val>
          <c:smooth val="0"/>
        </c:ser>
        <c:dLbls>
          <c:showLegendKey val="0"/>
          <c:showVal val="0"/>
          <c:showCatName val="0"/>
          <c:showSerName val="0"/>
          <c:showPercent val="0"/>
          <c:showBubbleSize val="0"/>
        </c:dLbls>
        <c:marker val="1"/>
        <c:smooth val="0"/>
        <c:axId val="283756032"/>
        <c:axId val="283757952"/>
      </c:lineChart>
      <c:catAx>
        <c:axId val="283756032"/>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3757952"/>
        <c:crosses val="autoZero"/>
        <c:auto val="1"/>
        <c:lblAlgn val="ctr"/>
        <c:lblOffset val="100"/>
        <c:noMultiLvlLbl val="0"/>
      </c:catAx>
      <c:valAx>
        <c:axId val="283757952"/>
        <c:scaling>
          <c:orientation val="minMax"/>
          <c:max val="1000"/>
          <c:min val="0"/>
        </c:scaling>
        <c:delete val="0"/>
        <c:axPos val="l"/>
        <c:title>
          <c:tx>
            <c:rich>
              <a:bodyPr rot="-5400000" vert="horz"/>
              <a:lstStyle/>
              <a:p>
                <a:pPr>
                  <a:defRPr sz="650"/>
                </a:pPr>
                <a:r>
                  <a:rPr lang="es-EC" sz="650"/>
                  <a:t>Tasa por</a:t>
                </a:r>
                <a:r>
                  <a:rPr lang="es-EC" sz="650" baseline="0"/>
                  <a:t> cada 1000 españoles</a:t>
                </a:r>
                <a:endParaRPr lang="es-EC" sz="650"/>
              </a:p>
            </c:rich>
          </c:tx>
          <c:layout>
            <c:manualLayout>
              <c:xMode val="edge"/>
              <c:yMode val="edge"/>
              <c:x val="0"/>
              <c:y val="3.2461838529887377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3756032"/>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6947817963441"/>
          <c:y val="4.6274540682414614E-2"/>
          <c:w val="0.7878635170603675"/>
          <c:h val="0.57465157480314988"/>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700"/>
                </a:pPr>
                <a:endParaRPr lang="es-EC"/>
              </a:p>
            </c:txPr>
            <c:dLblPos val="outEnd"/>
            <c:showLegendKey val="0"/>
            <c:showVal val="1"/>
            <c:showCatName val="0"/>
            <c:showSerName val="0"/>
            <c:showPercent val="0"/>
            <c:showBubbleSize val="0"/>
            <c:showLeaderLines val="0"/>
          </c:dLbls>
          <c:cat>
            <c:strRef>
              <c:f>Perfil!$H$283:$H$288</c:f>
              <c:strCache>
                <c:ptCount val="6"/>
                <c:pt idx="0">
                  <c:v>Soltero</c:v>
                </c:pt>
                <c:pt idx="1">
                  <c:v>Casado</c:v>
                </c:pt>
                <c:pt idx="2">
                  <c:v>Unido</c:v>
                </c:pt>
                <c:pt idx="3">
                  <c:v>Separado</c:v>
                </c:pt>
                <c:pt idx="4">
                  <c:v>Divorciado</c:v>
                </c:pt>
                <c:pt idx="5">
                  <c:v>Viudo</c:v>
                </c:pt>
              </c:strCache>
            </c:strRef>
          </c:cat>
          <c:val>
            <c:numRef>
              <c:f>Perfil!$I$283:$I$288</c:f>
              <c:numCache>
                <c:formatCode>0,000</c:formatCode>
                <c:ptCount val="6"/>
                <c:pt idx="0">
                  <c:v>0.33926499032882096</c:v>
                </c:pt>
                <c:pt idx="1">
                  <c:v>0.41818181818181832</c:v>
                </c:pt>
                <c:pt idx="2">
                  <c:v>0.1555125725338492</c:v>
                </c:pt>
                <c:pt idx="3">
                  <c:v>2.3984526112185659E-2</c:v>
                </c:pt>
                <c:pt idx="4">
                  <c:v>2.8626692456479721E-2</c:v>
                </c:pt>
                <c:pt idx="5">
                  <c:v>3.4429400386847192E-2</c:v>
                </c:pt>
              </c:numCache>
            </c:numRef>
          </c:val>
        </c:ser>
        <c:dLbls>
          <c:showLegendKey val="0"/>
          <c:showVal val="1"/>
          <c:showCatName val="0"/>
          <c:showSerName val="0"/>
          <c:showPercent val="0"/>
          <c:showBubbleSize val="0"/>
        </c:dLbls>
        <c:gapWidth val="30"/>
        <c:axId val="286284032"/>
        <c:axId val="286463488"/>
      </c:barChart>
      <c:catAx>
        <c:axId val="286284032"/>
        <c:scaling>
          <c:orientation val="minMax"/>
        </c:scaling>
        <c:delete val="0"/>
        <c:axPos val="b"/>
        <c:title>
          <c:tx>
            <c:rich>
              <a:bodyPr/>
              <a:lstStyle/>
              <a:p>
                <a:pPr>
                  <a:defRPr/>
                </a:pPr>
                <a:r>
                  <a:rPr lang="es-EC"/>
                  <a:t>Estado Civil</a:t>
                </a:r>
              </a:p>
            </c:rich>
          </c:tx>
          <c:overlay val="0"/>
        </c:title>
        <c:numFmt formatCode="General" sourceLinked="1"/>
        <c:majorTickMark val="out"/>
        <c:minorTickMark val="none"/>
        <c:tickLblPos val="low"/>
        <c:spPr>
          <a:ln>
            <a:solidFill>
              <a:schemeClr val="tx1"/>
            </a:solidFill>
          </a:ln>
        </c:spPr>
        <c:txPr>
          <a:bodyPr rot="-5400000" vert="horz"/>
          <a:lstStyle/>
          <a:p>
            <a:pPr>
              <a:defRPr sz="700"/>
            </a:pPr>
            <a:endParaRPr lang="es-EC"/>
          </a:p>
        </c:txPr>
        <c:crossAx val="286463488"/>
        <c:crosses val="autoZero"/>
        <c:auto val="1"/>
        <c:lblAlgn val="ctr"/>
        <c:lblOffset val="100"/>
        <c:noMultiLvlLbl val="0"/>
      </c:catAx>
      <c:valAx>
        <c:axId val="286463488"/>
        <c:scaling>
          <c:orientation val="minMax"/>
          <c:max val="1"/>
        </c:scaling>
        <c:delete val="0"/>
        <c:axPos val="l"/>
        <c:title>
          <c:tx>
            <c:rich>
              <a:bodyPr rot="-5400000" vert="horz"/>
              <a:lstStyle/>
              <a:p>
                <a:pPr>
                  <a:defRPr sz="750"/>
                </a:pPr>
                <a:r>
                  <a:rPr lang="es-EC" sz="750"/>
                  <a:t>Frecuencia Relativa</a:t>
                </a:r>
              </a:p>
            </c:rich>
          </c:tx>
          <c:layout>
            <c:manualLayout>
              <c:xMode val="edge"/>
              <c:yMode val="edge"/>
              <c:x val="9.0520040927087597E-3"/>
              <c:y val="1.2940944881889764E-2"/>
            </c:manualLayout>
          </c:layout>
          <c:overlay val="0"/>
        </c:title>
        <c:numFmt formatCode="#,##0.00" sourceLinked="0"/>
        <c:majorTickMark val="out"/>
        <c:minorTickMark val="none"/>
        <c:tickLblPos val="low"/>
        <c:spPr>
          <a:ln>
            <a:solidFill>
              <a:schemeClr val="tx1"/>
            </a:solidFill>
          </a:ln>
        </c:spPr>
        <c:crossAx val="286284032"/>
        <c:crossesAt val="1"/>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Perfil!$K$297</c:f>
              <c:strCache>
                <c:ptCount val="1"/>
                <c:pt idx="0">
                  <c:v>Soltero</c:v>
                </c:pt>
              </c:strCache>
            </c:strRef>
          </c:tx>
          <c:spPr>
            <a:ln w="19050">
              <a:solidFill>
                <a:srgbClr val="0070C0"/>
              </a:solidFill>
            </a:ln>
          </c:spPr>
          <c:marker>
            <c:symbol val="none"/>
          </c:marker>
          <c:cat>
            <c:strRef>
              <c:f>Perfil!$C$298:$C$315</c:f>
              <c:strCache>
                <c:ptCount val="18"/>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90 a 95</c:v>
                </c:pt>
                <c:pt idx="17">
                  <c:v>95 a 100</c:v>
                </c:pt>
              </c:strCache>
            </c:strRef>
          </c:cat>
          <c:val>
            <c:numRef>
              <c:f>Perfil!$K$298:$K$315</c:f>
              <c:numCache>
                <c:formatCode>0.00</c:formatCode>
                <c:ptCount val="18"/>
                <c:pt idx="0">
                  <c:v>980.39215686274417</c:v>
                </c:pt>
                <c:pt idx="1">
                  <c:v>892.85714285714289</c:v>
                </c:pt>
                <c:pt idx="2">
                  <c:v>745.76271186440647</c:v>
                </c:pt>
                <c:pt idx="3">
                  <c:v>469.38775510204084</c:v>
                </c:pt>
                <c:pt idx="4">
                  <c:v>310.07751937984494</c:v>
                </c:pt>
                <c:pt idx="5">
                  <c:v>144.92753623188406</c:v>
                </c:pt>
                <c:pt idx="6">
                  <c:v>170.21276595744678</c:v>
                </c:pt>
                <c:pt idx="7">
                  <c:v>142.85714285714312</c:v>
                </c:pt>
                <c:pt idx="8">
                  <c:v>245.61403508771929</c:v>
                </c:pt>
                <c:pt idx="9">
                  <c:v>189.65517241379325</c:v>
                </c:pt>
                <c:pt idx="10">
                  <c:v>161.29032258064521</c:v>
                </c:pt>
                <c:pt idx="11">
                  <c:v>182.53968253968233</c:v>
                </c:pt>
                <c:pt idx="12">
                  <c:v>226.1904761904762</c:v>
                </c:pt>
                <c:pt idx="13">
                  <c:v>195.12195121951203</c:v>
                </c:pt>
                <c:pt idx="14">
                  <c:v>296.29629629629574</c:v>
                </c:pt>
                <c:pt idx="15">
                  <c:v>307.69230769230774</c:v>
                </c:pt>
                <c:pt idx="16">
                  <c:v>0</c:v>
                </c:pt>
                <c:pt idx="17">
                  <c:v>1000</c:v>
                </c:pt>
              </c:numCache>
            </c:numRef>
          </c:val>
          <c:smooth val="1"/>
        </c:ser>
        <c:ser>
          <c:idx val="1"/>
          <c:order val="1"/>
          <c:tx>
            <c:strRef>
              <c:f>Perfil!$M$297</c:f>
              <c:strCache>
                <c:ptCount val="1"/>
                <c:pt idx="0">
                  <c:v>Separado, Divorciado, Viudo</c:v>
                </c:pt>
              </c:strCache>
            </c:strRef>
          </c:tx>
          <c:spPr>
            <a:ln w="19050">
              <a:solidFill>
                <a:srgbClr val="E010C2"/>
              </a:solidFill>
            </a:ln>
          </c:spPr>
          <c:marker>
            <c:symbol val="none"/>
          </c:marker>
          <c:cat>
            <c:strRef>
              <c:f>Perfil!$C$298:$C$315</c:f>
              <c:strCache>
                <c:ptCount val="18"/>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90 a 95</c:v>
                </c:pt>
                <c:pt idx="17">
                  <c:v>95 a 100</c:v>
                </c:pt>
              </c:strCache>
            </c:strRef>
          </c:cat>
          <c:val>
            <c:numRef>
              <c:f>Perfil!$M$298:$M$315</c:f>
              <c:numCache>
                <c:formatCode>0.00</c:formatCode>
                <c:ptCount val="18"/>
                <c:pt idx="0">
                  <c:v>9.8039215686274517</c:v>
                </c:pt>
                <c:pt idx="1">
                  <c:v>17.857142857142836</c:v>
                </c:pt>
                <c:pt idx="2">
                  <c:v>33.898305084745807</c:v>
                </c:pt>
                <c:pt idx="3">
                  <c:v>30.612244897959183</c:v>
                </c:pt>
                <c:pt idx="4">
                  <c:v>15.503875968992247</c:v>
                </c:pt>
                <c:pt idx="5">
                  <c:v>28.985507246376763</c:v>
                </c:pt>
                <c:pt idx="6">
                  <c:v>78.01418439716312</c:v>
                </c:pt>
                <c:pt idx="7">
                  <c:v>67.22689075630251</c:v>
                </c:pt>
                <c:pt idx="8">
                  <c:v>78.94736842105273</c:v>
                </c:pt>
                <c:pt idx="9">
                  <c:v>60.34482758620679</c:v>
                </c:pt>
                <c:pt idx="10">
                  <c:v>104.83870967741935</c:v>
                </c:pt>
                <c:pt idx="11">
                  <c:v>95.238095238095212</c:v>
                </c:pt>
                <c:pt idx="12">
                  <c:v>154.76190476190456</c:v>
                </c:pt>
                <c:pt idx="13">
                  <c:v>73.170731707316989</c:v>
                </c:pt>
                <c:pt idx="14">
                  <c:v>185.18518518518516</c:v>
                </c:pt>
                <c:pt idx="15">
                  <c:v>230.76923076923075</c:v>
                </c:pt>
                <c:pt idx="16">
                  <c:v>0</c:v>
                </c:pt>
                <c:pt idx="17">
                  <c:v>0</c:v>
                </c:pt>
              </c:numCache>
            </c:numRef>
          </c:val>
          <c:smooth val="1"/>
        </c:ser>
        <c:ser>
          <c:idx val="2"/>
          <c:order val="2"/>
          <c:tx>
            <c:strRef>
              <c:f>Perfil!$L$297</c:f>
              <c:strCache>
                <c:ptCount val="1"/>
                <c:pt idx="0">
                  <c:v>Casado, Unido</c:v>
                </c:pt>
              </c:strCache>
            </c:strRef>
          </c:tx>
          <c:spPr>
            <a:ln w="19050">
              <a:solidFill>
                <a:schemeClr val="accent6">
                  <a:lumMod val="75000"/>
                </a:schemeClr>
              </a:solidFill>
            </a:ln>
          </c:spPr>
          <c:marker>
            <c:symbol val="none"/>
          </c:marker>
          <c:cat>
            <c:strRef>
              <c:f>Perfil!$C$298:$C$315</c:f>
              <c:strCache>
                <c:ptCount val="18"/>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90 a 95</c:v>
                </c:pt>
                <c:pt idx="17">
                  <c:v>95 a 100</c:v>
                </c:pt>
              </c:strCache>
            </c:strRef>
          </c:cat>
          <c:val>
            <c:numRef>
              <c:f>Perfil!$L$298:$L$315</c:f>
              <c:numCache>
                <c:formatCode>0.00</c:formatCode>
                <c:ptCount val="18"/>
                <c:pt idx="0">
                  <c:v>9.8039215686274517</c:v>
                </c:pt>
                <c:pt idx="1">
                  <c:v>89.285714285714292</c:v>
                </c:pt>
                <c:pt idx="2">
                  <c:v>220.33898305084745</c:v>
                </c:pt>
                <c:pt idx="3">
                  <c:v>500</c:v>
                </c:pt>
                <c:pt idx="4">
                  <c:v>674.41860465116304</c:v>
                </c:pt>
                <c:pt idx="5">
                  <c:v>826.08695652173913</c:v>
                </c:pt>
                <c:pt idx="6">
                  <c:v>751.77304964539121</c:v>
                </c:pt>
                <c:pt idx="7">
                  <c:v>789.91596638655449</c:v>
                </c:pt>
                <c:pt idx="8">
                  <c:v>675.43859649122749</c:v>
                </c:pt>
                <c:pt idx="9">
                  <c:v>750</c:v>
                </c:pt>
                <c:pt idx="10">
                  <c:v>733.87096774193549</c:v>
                </c:pt>
                <c:pt idx="11">
                  <c:v>722.22222222222217</c:v>
                </c:pt>
                <c:pt idx="12">
                  <c:v>619.04761904761847</c:v>
                </c:pt>
                <c:pt idx="13">
                  <c:v>731.70731707317145</c:v>
                </c:pt>
                <c:pt idx="14">
                  <c:v>518.51851851851859</c:v>
                </c:pt>
                <c:pt idx="15">
                  <c:v>461.53846153846172</c:v>
                </c:pt>
                <c:pt idx="16">
                  <c:v>1000</c:v>
                </c:pt>
                <c:pt idx="17">
                  <c:v>0</c:v>
                </c:pt>
              </c:numCache>
            </c:numRef>
          </c:val>
          <c:smooth val="0"/>
        </c:ser>
        <c:dLbls>
          <c:showLegendKey val="0"/>
          <c:showVal val="0"/>
          <c:showCatName val="0"/>
          <c:showSerName val="0"/>
          <c:showPercent val="0"/>
          <c:showBubbleSize val="0"/>
        </c:dLbls>
        <c:marker val="1"/>
        <c:smooth val="0"/>
        <c:axId val="286505600"/>
        <c:axId val="286511872"/>
      </c:lineChart>
      <c:catAx>
        <c:axId val="286505600"/>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6511872"/>
        <c:crosses val="autoZero"/>
        <c:auto val="1"/>
        <c:lblAlgn val="ctr"/>
        <c:lblOffset val="100"/>
        <c:noMultiLvlLbl val="0"/>
      </c:catAx>
      <c:valAx>
        <c:axId val="286511872"/>
        <c:scaling>
          <c:orientation val="minMax"/>
          <c:max val="1000"/>
          <c:min val="0"/>
        </c:scaling>
        <c:delete val="0"/>
        <c:axPos val="l"/>
        <c:title>
          <c:tx>
            <c:rich>
              <a:bodyPr rot="-5400000" vert="horz"/>
              <a:lstStyle/>
              <a:p>
                <a:pPr>
                  <a:defRPr sz="650"/>
                </a:pPr>
                <a:r>
                  <a:rPr lang="es-EC" sz="650"/>
                  <a:t>Tasa por</a:t>
                </a:r>
                <a:r>
                  <a:rPr lang="es-EC" sz="650" baseline="0"/>
                  <a:t> cada 1000 españoles</a:t>
                </a:r>
                <a:endParaRPr lang="es-EC" sz="650"/>
              </a:p>
            </c:rich>
          </c:tx>
          <c:layout>
            <c:manualLayout>
              <c:xMode val="edge"/>
              <c:yMode val="edge"/>
              <c:x val="0"/>
              <c:y val="3.547252429720104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650560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Perfil!$K$297</c:f>
              <c:strCache>
                <c:ptCount val="1"/>
                <c:pt idx="0">
                  <c:v>Soltero</c:v>
                </c:pt>
              </c:strCache>
            </c:strRef>
          </c:tx>
          <c:spPr>
            <a:ln w="19050">
              <a:solidFill>
                <a:srgbClr val="0070C0"/>
              </a:solidFill>
            </a:ln>
          </c:spPr>
          <c:marker>
            <c:symbol val="none"/>
          </c:marker>
          <c:cat>
            <c:strRef>
              <c:f>Perfil!$C$317:$C$334</c:f>
              <c:strCache>
                <c:ptCount val="18"/>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90 a 95</c:v>
                </c:pt>
                <c:pt idx="17">
                  <c:v>95 a 100</c:v>
                </c:pt>
              </c:strCache>
            </c:strRef>
          </c:cat>
          <c:val>
            <c:numRef>
              <c:f>Perfil!$K$317:$K$334</c:f>
              <c:numCache>
                <c:formatCode>0.00</c:formatCode>
                <c:ptCount val="18"/>
                <c:pt idx="0">
                  <c:v>1000</c:v>
                </c:pt>
                <c:pt idx="1">
                  <c:v>772.72727272727275</c:v>
                </c:pt>
                <c:pt idx="2">
                  <c:v>385.71428571428567</c:v>
                </c:pt>
                <c:pt idx="3">
                  <c:v>388.88888888888891</c:v>
                </c:pt>
                <c:pt idx="4">
                  <c:v>300.75187969924832</c:v>
                </c:pt>
                <c:pt idx="5">
                  <c:v>163.04347826086939</c:v>
                </c:pt>
                <c:pt idx="6">
                  <c:v>126.76056338028172</c:v>
                </c:pt>
                <c:pt idx="7">
                  <c:v>261.53846153846172</c:v>
                </c:pt>
                <c:pt idx="8">
                  <c:v>202.89855072463752</c:v>
                </c:pt>
                <c:pt idx="9">
                  <c:v>283.78378378378375</c:v>
                </c:pt>
                <c:pt idx="10">
                  <c:v>245.61403508771929</c:v>
                </c:pt>
                <c:pt idx="11">
                  <c:v>351.35135135135135</c:v>
                </c:pt>
                <c:pt idx="12">
                  <c:v>372.09302325581393</c:v>
                </c:pt>
                <c:pt idx="13">
                  <c:v>320.75471698113199</c:v>
                </c:pt>
                <c:pt idx="14">
                  <c:v>250</c:v>
                </c:pt>
                <c:pt idx="15">
                  <c:v>333.33333333333331</c:v>
                </c:pt>
                <c:pt idx="16">
                  <c:v>400</c:v>
                </c:pt>
                <c:pt idx="17">
                  <c:v>0</c:v>
                </c:pt>
              </c:numCache>
            </c:numRef>
          </c:val>
          <c:smooth val="1"/>
        </c:ser>
        <c:ser>
          <c:idx val="1"/>
          <c:order val="1"/>
          <c:tx>
            <c:strRef>
              <c:f>Perfil!$M$297</c:f>
              <c:strCache>
                <c:ptCount val="1"/>
                <c:pt idx="0">
                  <c:v>Separado, Divorciado, Viudo</c:v>
                </c:pt>
              </c:strCache>
            </c:strRef>
          </c:tx>
          <c:spPr>
            <a:ln w="19050">
              <a:solidFill>
                <a:srgbClr val="E010C2"/>
              </a:solidFill>
            </a:ln>
          </c:spPr>
          <c:marker>
            <c:symbol val="none"/>
          </c:marker>
          <c:cat>
            <c:strRef>
              <c:f>Perfil!$C$317:$C$334</c:f>
              <c:strCache>
                <c:ptCount val="18"/>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90 a 95</c:v>
                </c:pt>
                <c:pt idx="17">
                  <c:v>95 a 100</c:v>
                </c:pt>
              </c:strCache>
            </c:strRef>
          </c:cat>
          <c:val>
            <c:numRef>
              <c:f>Perfil!$M$317:$M$334</c:f>
              <c:numCache>
                <c:formatCode>0.00</c:formatCode>
                <c:ptCount val="18"/>
                <c:pt idx="0">
                  <c:v>0</c:v>
                </c:pt>
                <c:pt idx="1">
                  <c:v>0</c:v>
                </c:pt>
                <c:pt idx="2">
                  <c:v>42.857142857142797</c:v>
                </c:pt>
                <c:pt idx="3">
                  <c:v>20.83333333333329</c:v>
                </c:pt>
                <c:pt idx="4">
                  <c:v>45.112781954887204</c:v>
                </c:pt>
                <c:pt idx="5">
                  <c:v>32.608695652173957</c:v>
                </c:pt>
                <c:pt idx="6">
                  <c:v>98.591549295774726</c:v>
                </c:pt>
                <c:pt idx="7">
                  <c:v>76.923076923076849</c:v>
                </c:pt>
                <c:pt idx="8">
                  <c:v>217.39130434782632</c:v>
                </c:pt>
                <c:pt idx="9">
                  <c:v>162.16216216216199</c:v>
                </c:pt>
                <c:pt idx="10">
                  <c:v>122.80701754385956</c:v>
                </c:pt>
                <c:pt idx="11">
                  <c:v>216.21621621621622</c:v>
                </c:pt>
                <c:pt idx="12">
                  <c:v>209.30232558139554</c:v>
                </c:pt>
                <c:pt idx="13">
                  <c:v>415.09433962264154</c:v>
                </c:pt>
                <c:pt idx="14">
                  <c:v>708.3333333333336</c:v>
                </c:pt>
                <c:pt idx="15">
                  <c:v>666.66666666666663</c:v>
                </c:pt>
                <c:pt idx="16">
                  <c:v>600</c:v>
                </c:pt>
                <c:pt idx="17">
                  <c:v>1000</c:v>
                </c:pt>
              </c:numCache>
            </c:numRef>
          </c:val>
          <c:smooth val="1"/>
        </c:ser>
        <c:ser>
          <c:idx val="2"/>
          <c:order val="2"/>
          <c:tx>
            <c:strRef>
              <c:f>Perfil!$L$297</c:f>
              <c:strCache>
                <c:ptCount val="1"/>
                <c:pt idx="0">
                  <c:v>Casado, Unido</c:v>
                </c:pt>
              </c:strCache>
            </c:strRef>
          </c:tx>
          <c:spPr>
            <a:ln w="19050">
              <a:solidFill>
                <a:schemeClr val="accent6">
                  <a:lumMod val="75000"/>
                </a:schemeClr>
              </a:solidFill>
            </a:ln>
          </c:spPr>
          <c:marker>
            <c:symbol val="none"/>
          </c:marker>
          <c:cat>
            <c:strRef>
              <c:f>Perfil!$C$317:$C$334</c:f>
              <c:strCache>
                <c:ptCount val="18"/>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90 a 95</c:v>
                </c:pt>
                <c:pt idx="17">
                  <c:v>95 a 100</c:v>
                </c:pt>
              </c:strCache>
            </c:strRef>
          </c:cat>
          <c:val>
            <c:numRef>
              <c:f>Perfil!$L$317:$L$334</c:f>
              <c:numCache>
                <c:formatCode>0.00</c:formatCode>
                <c:ptCount val="18"/>
                <c:pt idx="0">
                  <c:v>0</c:v>
                </c:pt>
                <c:pt idx="1">
                  <c:v>227.27272727272725</c:v>
                </c:pt>
                <c:pt idx="2">
                  <c:v>571.42857142857213</c:v>
                </c:pt>
                <c:pt idx="3">
                  <c:v>590.27777777777885</c:v>
                </c:pt>
                <c:pt idx="4">
                  <c:v>654.13533834586462</c:v>
                </c:pt>
                <c:pt idx="5">
                  <c:v>804.34782608695537</c:v>
                </c:pt>
                <c:pt idx="6">
                  <c:v>774.647887323943</c:v>
                </c:pt>
                <c:pt idx="7">
                  <c:v>661.53846153846155</c:v>
                </c:pt>
                <c:pt idx="8">
                  <c:v>579.71014492753704</c:v>
                </c:pt>
                <c:pt idx="9">
                  <c:v>554.05405405405406</c:v>
                </c:pt>
                <c:pt idx="10">
                  <c:v>631.57894736842184</c:v>
                </c:pt>
                <c:pt idx="11">
                  <c:v>432.43243243243211</c:v>
                </c:pt>
                <c:pt idx="12">
                  <c:v>418.60465116279107</c:v>
                </c:pt>
                <c:pt idx="13">
                  <c:v>264.15094339622681</c:v>
                </c:pt>
                <c:pt idx="14">
                  <c:v>41.666666666666579</c:v>
                </c:pt>
                <c:pt idx="15">
                  <c:v>0</c:v>
                </c:pt>
                <c:pt idx="16">
                  <c:v>0</c:v>
                </c:pt>
                <c:pt idx="17">
                  <c:v>0</c:v>
                </c:pt>
              </c:numCache>
            </c:numRef>
          </c:val>
          <c:smooth val="0"/>
        </c:ser>
        <c:dLbls>
          <c:showLegendKey val="0"/>
          <c:showVal val="0"/>
          <c:showCatName val="0"/>
          <c:showSerName val="0"/>
          <c:showPercent val="0"/>
          <c:showBubbleSize val="0"/>
        </c:dLbls>
        <c:marker val="1"/>
        <c:smooth val="0"/>
        <c:axId val="286549888"/>
        <c:axId val="286552064"/>
      </c:lineChart>
      <c:catAx>
        <c:axId val="286549888"/>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6552064"/>
        <c:crosses val="autoZero"/>
        <c:auto val="1"/>
        <c:lblAlgn val="ctr"/>
        <c:lblOffset val="100"/>
        <c:noMultiLvlLbl val="0"/>
      </c:catAx>
      <c:valAx>
        <c:axId val="286552064"/>
        <c:scaling>
          <c:orientation val="minMax"/>
          <c:max val="1000"/>
          <c:min val="0"/>
        </c:scaling>
        <c:delete val="0"/>
        <c:axPos val="l"/>
        <c:title>
          <c:tx>
            <c:rich>
              <a:bodyPr rot="-5400000" vert="horz"/>
              <a:lstStyle/>
              <a:p>
                <a:pPr>
                  <a:defRPr sz="650"/>
                </a:pPr>
                <a:r>
                  <a:rPr lang="es-EC" sz="650"/>
                  <a:t>Tasa por</a:t>
                </a:r>
                <a:r>
                  <a:rPr lang="es-EC" sz="650" baseline="0"/>
                  <a:t> cada 1000 españoles</a:t>
                </a:r>
                <a:endParaRPr lang="es-EC" sz="650"/>
              </a:p>
            </c:rich>
          </c:tx>
          <c:layout>
            <c:manualLayout>
              <c:xMode val="edge"/>
              <c:yMode val="edge"/>
              <c:x val="0"/>
              <c:y val="4.3287637739707396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6549888"/>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8873658431765"/>
          <c:y val="7.7924323600695011E-2"/>
          <c:w val="0.86616405980926559"/>
          <c:h val="0.65628725650812125"/>
        </c:manualLayout>
      </c:layout>
      <c:lineChart>
        <c:grouping val="standard"/>
        <c:varyColors val="0"/>
        <c:ser>
          <c:idx val="0"/>
          <c:order val="0"/>
          <c:spPr>
            <a:ln w="19050">
              <a:solidFill>
                <a:srgbClr val="0070C0"/>
              </a:solidFill>
            </a:ln>
          </c:spPr>
          <c:marker>
            <c:symbol val="none"/>
          </c:marker>
          <c:cat>
            <c:strRef>
              <c:f>Inmigrantes_Guayaquil!$J$224:$J$244</c:f>
              <c:strCache>
                <c:ptCount val="21"/>
                <c:pt idx="0">
                  <c:v>&lt; 5</c:v>
                </c:pt>
                <c:pt idx="1">
                  <c:v>  5 a 9 </c:v>
                </c:pt>
                <c:pt idx="2">
                  <c:v>  10 a 14 </c:v>
                </c:pt>
                <c:pt idx="3">
                  <c:v>  15 a 19 </c:v>
                </c:pt>
                <c:pt idx="4">
                  <c:v>  20 a 24 </c:v>
                </c:pt>
                <c:pt idx="5">
                  <c:v>  25 a 29 </c:v>
                </c:pt>
                <c:pt idx="6">
                  <c:v>  30 a 34 </c:v>
                </c:pt>
                <c:pt idx="7">
                  <c:v>  35 a 39 </c:v>
                </c:pt>
                <c:pt idx="8">
                  <c:v>  40 a 44 </c:v>
                </c:pt>
                <c:pt idx="9">
                  <c:v>  45 a 49 </c:v>
                </c:pt>
                <c:pt idx="10">
                  <c:v>  50 a 54 </c:v>
                </c:pt>
                <c:pt idx="11">
                  <c:v>  55 a 59 </c:v>
                </c:pt>
                <c:pt idx="12">
                  <c:v>  60 a 64 </c:v>
                </c:pt>
                <c:pt idx="13">
                  <c:v>  65 a 69 </c:v>
                </c:pt>
                <c:pt idx="14">
                  <c:v>  70 a 74 </c:v>
                </c:pt>
                <c:pt idx="15">
                  <c:v>  75 a 79 </c:v>
                </c:pt>
                <c:pt idx="16">
                  <c:v>  80 a 84 </c:v>
                </c:pt>
                <c:pt idx="17">
                  <c:v>  85 a 89 </c:v>
                </c:pt>
                <c:pt idx="18">
                  <c:v>  90 a 94 </c:v>
                </c:pt>
                <c:pt idx="19">
                  <c:v>  95 a 99 </c:v>
                </c:pt>
                <c:pt idx="20">
                  <c:v>&gt; 100</c:v>
                </c:pt>
              </c:strCache>
            </c:strRef>
          </c:cat>
          <c:val>
            <c:numRef>
              <c:f>Inmigrantes_Guayaquil!$K$224:$K$244</c:f>
              <c:numCache>
                <c:formatCode>0.00</c:formatCode>
                <c:ptCount val="21"/>
                <c:pt idx="0">
                  <c:v>755.27589545014632</c:v>
                </c:pt>
                <c:pt idx="1">
                  <c:v>860.49560770945288</c:v>
                </c:pt>
                <c:pt idx="2">
                  <c:v>913.11247768299938</c:v>
                </c:pt>
                <c:pt idx="3">
                  <c:v>932.34221212746786</c:v>
                </c:pt>
                <c:pt idx="4">
                  <c:v>940.54761152961339</c:v>
                </c:pt>
                <c:pt idx="5">
                  <c:v>949.00497512437812</c:v>
                </c:pt>
                <c:pt idx="6">
                  <c:v>958.26433712953303</c:v>
                </c:pt>
                <c:pt idx="7">
                  <c:v>965.79429113838319</c:v>
                </c:pt>
                <c:pt idx="8">
                  <c:v>968.11088149362251</c:v>
                </c:pt>
                <c:pt idx="9">
                  <c:v>970.31118278781639</c:v>
                </c:pt>
                <c:pt idx="10">
                  <c:v>976.31393371219974</c:v>
                </c:pt>
                <c:pt idx="11">
                  <c:v>976.28325395680122</c:v>
                </c:pt>
                <c:pt idx="12">
                  <c:v>971.52878068908694</c:v>
                </c:pt>
                <c:pt idx="13">
                  <c:v>974.41344910400846</c:v>
                </c:pt>
                <c:pt idx="14">
                  <c:v>977.18190021915814</c:v>
                </c:pt>
                <c:pt idx="15">
                  <c:v>974.97198356369177</c:v>
                </c:pt>
                <c:pt idx="16">
                  <c:v>977.6140549730809</c:v>
                </c:pt>
                <c:pt idx="17">
                  <c:v>978.44827586206839</c:v>
                </c:pt>
                <c:pt idx="18">
                  <c:v>984.89010989010922</c:v>
                </c:pt>
                <c:pt idx="19">
                  <c:v>983.05084745762792</c:v>
                </c:pt>
                <c:pt idx="20">
                  <c:v>944.44444444444446</c:v>
                </c:pt>
              </c:numCache>
            </c:numRef>
          </c:val>
          <c:smooth val="1"/>
        </c:ser>
        <c:ser>
          <c:idx val="1"/>
          <c:order val="1"/>
          <c:spPr>
            <a:ln w="19050">
              <a:solidFill>
                <a:schemeClr val="accent6">
                  <a:lumMod val="75000"/>
                </a:schemeClr>
              </a:solidFill>
            </a:ln>
          </c:spPr>
          <c:marker>
            <c:symbol val="none"/>
          </c:marker>
          <c:cat>
            <c:strRef>
              <c:f>Inmigrantes_Guayaquil!$J$224:$J$244</c:f>
              <c:strCache>
                <c:ptCount val="21"/>
                <c:pt idx="0">
                  <c:v>&lt; 5</c:v>
                </c:pt>
                <c:pt idx="1">
                  <c:v>  5 a 9 </c:v>
                </c:pt>
                <c:pt idx="2">
                  <c:v>  10 a 14 </c:v>
                </c:pt>
                <c:pt idx="3">
                  <c:v>  15 a 19 </c:v>
                </c:pt>
                <c:pt idx="4">
                  <c:v>  20 a 24 </c:v>
                </c:pt>
                <c:pt idx="5">
                  <c:v>  25 a 29 </c:v>
                </c:pt>
                <c:pt idx="6">
                  <c:v>  30 a 34 </c:v>
                </c:pt>
                <c:pt idx="7">
                  <c:v>  35 a 39 </c:v>
                </c:pt>
                <c:pt idx="8">
                  <c:v>  40 a 44 </c:v>
                </c:pt>
                <c:pt idx="9">
                  <c:v>  45 a 49 </c:v>
                </c:pt>
                <c:pt idx="10">
                  <c:v>  50 a 54 </c:v>
                </c:pt>
                <c:pt idx="11">
                  <c:v>  55 a 59 </c:v>
                </c:pt>
                <c:pt idx="12">
                  <c:v>  60 a 64 </c:v>
                </c:pt>
                <c:pt idx="13">
                  <c:v>  65 a 69 </c:v>
                </c:pt>
                <c:pt idx="14">
                  <c:v>  70 a 74 </c:v>
                </c:pt>
                <c:pt idx="15">
                  <c:v>  75 a 79 </c:v>
                </c:pt>
                <c:pt idx="16">
                  <c:v>  80 a 84 </c:v>
                </c:pt>
                <c:pt idx="17">
                  <c:v>  85 a 89 </c:v>
                </c:pt>
                <c:pt idx="18">
                  <c:v>  90 a 94 </c:v>
                </c:pt>
                <c:pt idx="19">
                  <c:v>  95 a 99 </c:v>
                </c:pt>
                <c:pt idx="20">
                  <c:v>&gt; 100</c:v>
                </c:pt>
              </c:strCache>
            </c:strRef>
          </c:cat>
          <c:val>
            <c:numRef>
              <c:f>Inmigrantes_Guayaquil!$L$224:$L$244</c:f>
              <c:numCache>
                <c:formatCode>0.00</c:formatCode>
                <c:ptCount val="21"/>
                <c:pt idx="0">
                  <c:v>244.72410454985459</c:v>
                </c:pt>
                <c:pt idx="1">
                  <c:v>139.50439229054649</c:v>
                </c:pt>
                <c:pt idx="2">
                  <c:v>86.887522317000588</c:v>
                </c:pt>
                <c:pt idx="3">
                  <c:v>67.657787872530548</c:v>
                </c:pt>
                <c:pt idx="4">
                  <c:v>59.452388470386502</c:v>
                </c:pt>
                <c:pt idx="5">
                  <c:v>50.995024875621887</c:v>
                </c:pt>
                <c:pt idx="6">
                  <c:v>41.735662870467372</c:v>
                </c:pt>
                <c:pt idx="7">
                  <c:v>34.205708861617737</c:v>
                </c:pt>
                <c:pt idx="8">
                  <c:v>31.889118506377798</c:v>
                </c:pt>
                <c:pt idx="9">
                  <c:v>29.688817212183412</c:v>
                </c:pt>
                <c:pt idx="10">
                  <c:v>23.686066287800223</c:v>
                </c:pt>
                <c:pt idx="11">
                  <c:v>23.716746043200072</c:v>
                </c:pt>
                <c:pt idx="12">
                  <c:v>28.471219310913941</c:v>
                </c:pt>
                <c:pt idx="13">
                  <c:v>25.586550895991106</c:v>
                </c:pt>
                <c:pt idx="14">
                  <c:v>22.818099780843109</c:v>
                </c:pt>
                <c:pt idx="15">
                  <c:v>25.028016436309272</c:v>
                </c:pt>
                <c:pt idx="16">
                  <c:v>22.385945026919806</c:v>
                </c:pt>
                <c:pt idx="17">
                  <c:v>21.551724137931014</c:v>
                </c:pt>
                <c:pt idx="18">
                  <c:v>15.109890109890108</c:v>
                </c:pt>
                <c:pt idx="19">
                  <c:v>16.949152542372847</c:v>
                </c:pt>
                <c:pt idx="20">
                  <c:v>55.55555555555555</c:v>
                </c:pt>
              </c:numCache>
            </c:numRef>
          </c:val>
          <c:smooth val="1"/>
        </c:ser>
        <c:dLbls>
          <c:showLegendKey val="0"/>
          <c:showVal val="0"/>
          <c:showCatName val="0"/>
          <c:showSerName val="0"/>
          <c:showPercent val="0"/>
          <c:showBubbleSize val="0"/>
        </c:dLbls>
        <c:marker val="1"/>
        <c:smooth val="0"/>
        <c:axId val="235817600"/>
        <c:axId val="236221184"/>
      </c:lineChart>
      <c:catAx>
        <c:axId val="235817600"/>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36221184"/>
        <c:crosses val="autoZero"/>
        <c:auto val="1"/>
        <c:lblAlgn val="ctr"/>
        <c:lblOffset val="100"/>
        <c:noMultiLvlLbl val="0"/>
      </c:catAx>
      <c:valAx>
        <c:axId val="236221184"/>
        <c:scaling>
          <c:orientation val="minMax"/>
          <c:max val="1000"/>
          <c:min val="0"/>
        </c:scaling>
        <c:delete val="0"/>
        <c:axPos val="l"/>
        <c:title>
          <c:tx>
            <c:rich>
              <a:bodyPr rot="-5400000" vert="horz"/>
              <a:lstStyle/>
              <a:p>
                <a:pPr>
                  <a:defRPr sz="700"/>
                </a:pPr>
                <a:r>
                  <a:rPr lang="es-EC" sz="700"/>
                  <a:t>Tasa por cada 1000 Inmigrantes</a:t>
                </a:r>
              </a:p>
            </c:rich>
          </c:tx>
          <c:overlay val="0"/>
        </c:title>
        <c:numFmt formatCode="0" sourceLinked="0"/>
        <c:majorTickMark val="out"/>
        <c:minorTickMark val="none"/>
        <c:tickLblPos val="nextTo"/>
        <c:spPr>
          <a:ln>
            <a:solidFill>
              <a:schemeClr val="tx1"/>
            </a:solidFill>
          </a:ln>
        </c:spPr>
        <c:txPr>
          <a:bodyPr/>
          <a:lstStyle/>
          <a:p>
            <a:pPr>
              <a:defRPr sz="700"/>
            </a:pPr>
            <a:endParaRPr lang="es-EC"/>
          </a:p>
        </c:txPr>
        <c:crossAx val="23581760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7652044539000874"/>
        </c:manualLayout>
      </c:layout>
      <c:barChart>
        <c:barDir val="bar"/>
        <c:grouping val="clustered"/>
        <c:varyColors val="0"/>
        <c:ser>
          <c:idx val="0"/>
          <c:order val="0"/>
          <c:tx>
            <c:v>Teléfono Celular</c:v>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dLbl>
              <c:idx val="0"/>
              <c:numFmt formatCode="#,##0.000" sourceLinked="0"/>
              <c:spPr>
                <a:solidFill>
                  <a:schemeClr val="bg1"/>
                </a:solidFill>
              </c:spPr>
              <c:txPr>
                <a:bodyPr/>
                <a:lstStyle/>
                <a:p>
                  <a:pPr>
                    <a:defRPr sz="650"/>
                  </a:pPr>
                  <a:endParaRPr lang="es-EC"/>
                </a:p>
              </c:txPr>
              <c:dLblPos val="outEnd"/>
              <c:showLegendKey val="0"/>
              <c:showVal val="1"/>
              <c:showCatName val="0"/>
              <c:showSerName val="0"/>
              <c:showPercent val="0"/>
              <c:showBubbleSize val="0"/>
            </c:dLbl>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Perfil!$B$340:$B$342</c:f>
              <c:strCache>
                <c:ptCount val="3"/>
                <c:pt idx="0">
                  <c:v>Sí</c:v>
                </c:pt>
                <c:pt idx="1">
                  <c:v>No</c:v>
                </c:pt>
                <c:pt idx="2">
                  <c:v>Se ignora</c:v>
                </c:pt>
              </c:strCache>
            </c:strRef>
          </c:cat>
          <c:val>
            <c:numRef>
              <c:f>Perfil!$G$340:$G$342</c:f>
              <c:numCache>
                <c:formatCode>0,000</c:formatCode>
                <c:ptCount val="3"/>
                <c:pt idx="0">
                  <c:v>0.39854701729254127</c:v>
                </c:pt>
                <c:pt idx="1">
                  <c:v>0.50670213854497081</c:v>
                </c:pt>
                <c:pt idx="2">
                  <c:v>9.4750844162488759E-2</c:v>
                </c:pt>
              </c:numCache>
            </c:numRef>
          </c:val>
        </c:ser>
        <c:dLbls>
          <c:showLegendKey val="0"/>
          <c:showVal val="1"/>
          <c:showCatName val="0"/>
          <c:showSerName val="0"/>
          <c:showPercent val="0"/>
          <c:showBubbleSize val="0"/>
        </c:dLbls>
        <c:gapWidth val="50"/>
        <c:axId val="286572928"/>
        <c:axId val="286574848"/>
      </c:barChart>
      <c:catAx>
        <c:axId val="286572928"/>
        <c:scaling>
          <c:orientation val="maxMin"/>
        </c:scaling>
        <c:delete val="0"/>
        <c:axPos val="l"/>
        <c:title>
          <c:tx>
            <c:rich>
              <a:bodyPr rot="-5400000" vert="horz"/>
              <a:lstStyle/>
              <a:p>
                <a:pPr>
                  <a:defRPr sz="700"/>
                </a:pPr>
                <a:r>
                  <a:rPr lang="es-EC" sz="700"/>
                  <a:t>Teléfono Celular</a:t>
                </a:r>
              </a:p>
            </c:rich>
          </c:tx>
          <c:layout>
            <c:manualLayout>
              <c:xMode val="edge"/>
              <c:yMode val="edge"/>
              <c:x val="0"/>
              <c:y val="0.10708734527961167"/>
            </c:manualLayout>
          </c:layout>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86574848"/>
        <c:crosses val="autoZero"/>
        <c:auto val="1"/>
        <c:lblAlgn val="ctr"/>
        <c:lblOffset val="100"/>
        <c:noMultiLvlLbl val="0"/>
      </c:catAx>
      <c:valAx>
        <c:axId val="286574848"/>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86572928"/>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7652044539000874"/>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Perfil!$I$340:$I$342</c:f>
              <c:strCache>
                <c:ptCount val="3"/>
                <c:pt idx="0">
                  <c:v>Sí</c:v>
                </c:pt>
                <c:pt idx="1">
                  <c:v>No</c:v>
                </c:pt>
                <c:pt idx="2">
                  <c:v>Se ignora</c:v>
                </c:pt>
              </c:strCache>
            </c:strRef>
          </c:cat>
          <c:val>
            <c:numRef>
              <c:f>Perfil!$N$340:$N$342</c:f>
              <c:numCache>
                <c:formatCode>0,000</c:formatCode>
                <c:ptCount val="3"/>
                <c:pt idx="0">
                  <c:v>0.44111327125754668</c:v>
                </c:pt>
                <c:pt idx="1">
                  <c:v>0.4630103345953136</c:v>
                </c:pt>
                <c:pt idx="2">
                  <c:v>9.5876394147140248E-2</c:v>
                </c:pt>
              </c:numCache>
            </c:numRef>
          </c:val>
        </c:ser>
        <c:dLbls>
          <c:showLegendKey val="0"/>
          <c:showVal val="1"/>
          <c:showCatName val="0"/>
          <c:showSerName val="0"/>
          <c:showPercent val="0"/>
          <c:showBubbleSize val="0"/>
        </c:dLbls>
        <c:gapWidth val="50"/>
        <c:axId val="286586368"/>
        <c:axId val="286679424"/>
      </c:barChart>
      <c:catAx>
        <c:axId val="286586368"/>
        <c:scaling>
          <c:orientation val="maxMin"/>
        </c:scaling>
        <c:delete val="0"/>
        <c:axPos val="l"/>
        <c:title>
          <c:tx>
            <c:rich>
              <a:bodyPr rot="-5400000" vert="horz"/>
              <a:lstStyle/>
              <a:p>
                <a:pPr>
                  <a:defRPr sz="700"/>
                </a:pPr>
                <a:r>
                  <a:rPr lang="es-EC" sz="700"/>
                  <a:t>Internet</a:t>
                </a:r>
              </a:p>
            </c:rich>
          </c:tx>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86679424"/>
        <c:crosses val="autoZero"/>
        <c:auto val="1"/>
        <c:lblAlgn val="ctr"/>
        <c:lblOffset val="100"/>
        <c:noMultiLvlLbl val="0"/>
      </c:catAx>
      <c:valAx>
        <c:axId val="286679424"/>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86586368"/>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77448950496786761"/>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Perfil!$P$340:$P$342</c:f>
              <c:strCache>
                <c:ptCount val="3"/>
                <c:pt idx="0">
                  <c:v>Sí</c:v>
                </c:pt>
                <c:pt idx="1">
                  <c:v>No</c:v>
                </c:pt>
                <c:pt idx="2">
                  <c:v>Se ignora</c:v>
                </c:pt>
              </c:strCache>
            </c:strRef>
          </c:cat>
          <c:val>
            <c:numRef>
              <c:f>Perfil!$U$340:$U$342</c:f>
              <c:numCache>
                <c:formatCode>0,000</c:formatCode>
                <c:ptCount val="3"/>
                <c:pt idx="0">
                  <c:v>0.58395579658242092</c:v>
                </c:pt>
                <c:pt idx="1">
                  <c:v>0.33152563184283307</c:v>
                </c:pt>
                <c:pt idx="2">
                  <c:v>8.4518571574746765E-2</c:v>
                </c:pt>
              </c:numCache>
            </c:numRef>
          </c:val>
        </c:ser>
        <c:dLbls>
          <c:showLegendKey val="0"/>
          <c:showVal val="1"/>
          <c:showCatName val="0"/>
          <c:showSerName val="0"/>
          <c:showPercent val="0"/>
          <c:showBubbleSize val="0"/>
        </c:dLbls>
        <c:gapWidth val="50"/>
        <c:axId val="286682496"/>
        <c:axId val="286714112"/>
      </c:barChart>
      <c:catAx>
        <c:axId val="286682496"/>
        <c:scaling>
          <c:orientation val="maxMin"/>
        </c:scaling>
        <c:delete val="0"/>
        <c:axPos val="l"/>
        <c:title>
          <c:tx>
            <c:rich>
              <a:bodyPr rot="-5400000" vert="horz"/>
              <a:lstStyle/>
              <a:p>
                <a:pPr>
                  <a:defRPr sz="700"/>
                </a:pPr>
                <a:r>
                  <a:rPr lang="es-EC" sz="700"/>
                  <a:t>Computadora</a:t>
                </a:r>
              </a:p>
            </c:rich>
          </c:tx>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86714112"/>
        <c:crosses val="autoZero"/>
        <c:auto val="1"/>
        <c:lblAlgn val="ctr"/>
        <c:lblOffset val="100"/>
        <c:noMultiLvlLbl val="0"/>
      </c:catAx>
      <c:valAx>
        <c:axId val="286714112"/>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86682496"/>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056882821387982E-2"/>
          <c:y val="3.6166365280289346E-2"/>
          <c:w val="0.89988623435722359"/>
          <c:h val="0.86121157323689035"/>
        </c:manualLayout>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EstructuraEconomica!$M$1:$M$3</c:f>
              <c:numCache>
                <c:formatCode>###0</c:formatCode>
                <c:ptCount val="3"/>
                <c:pt idx="0" formatCode="General">
                  <c:v>13993</c:v>
                </c:pt>
                <c:pt idx="1">
                  <c:v>3245</c:v>
                </c:pt>
                <c:pt idx="2">
                  <c:v>1543</c:v>
                </c:pt>
              </c:numCache>
            </c:numRef>
          </c:val>
        </c:ser>
        <c:ser>
          <c:idx val="1"/>
          <c:order val="1"/>
          <c:spPr>
            <a:solidFill>
              <a:srgbClr val="00B0F0"/>
            </a:solidFill>
          </c:spPr>
          <c:invertIfNegative val="0"/>
          <c:val>
            <c:numRef>
              <c:f>EstructuraEconomica!$O$1:$O$3</c:f>
              <c:numCache>
                <c:formatCode>General</c:formatCode>
                <c:ptCount val="3"/>
                <c:pt idx="2" formatCode="###0">
                  <c:v>1702</c:v>
                </c:pt>
              </c:numCache>
            </c:numRef>
          </c:val>
        </c:ser>
        <c:dLbls>
          <c:showLegendKey val="0"/>
          <c:showVal val="1"/>
          <c:showCatName val="0"/>
          <c:showSerName val="0"/>
          <c:showPercent val="0"/>
          <c:showBubbleSize val="0"/>
        </c:dLbls>
        <c:gapWidth val="30"/>
        <c:overlap val="100"/>
        <c:axId val="286753920"/>
        <c:axId val="286755456"/>
      </c:barChart>
      <c:catAx>
        <c:axId val="286753920"/>
        <c:scaling>
          <c:orientation val="minMax"/>
        </c:scaling>
        <c:delete val="0"/>
        <c:axPos val="b"/>
        <c:majorTickMark val="none"/>
        <c:minorTickMark val="none"/>
        <c:tickLblPos val="none"/>
        <c:spPr>
          <a:ln>
            <a:solidFill>
              <a:schemeClr val="tx1"/>
            </a:solidFill>
          </a:ln>
        </c:spPr>
        <c:crossAx val="286755456"/>
        <c:crosses val="autoZero"/>
        <c:auto val="1"/>
        <c:lblAlgn val="ctr"/>
        <c:lblOffset val="100"/>
        <c:noMultiLvlLbl val="0"/>
      </c:catAx>
      <c:valAx>
        <c:axId val="286755456"/>
        <c:scaling>
          <c:orientation val="minMax"/>
        </c:scaling>
        <c:delete val="1"/>
        <c:axPos val="l"/>
        <c:numFmt formatCode="General" sourceLinked="1"/>
        <c:majorTickMark val="out"/>
        <c:minorTickMark val="none"/>
        <c:tickLblPos val="none"/>
        <c:crossAx val="286753920"/>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EstructuraEconomica!$M$56:$M$58</c:f>
              <c:numCache>
                <c:formatCode>###0</c:formatCode>
                <c:ptCount val="3"/>
                <c:pt idx="0" formatCode="General">
                  <c:v>7369</c:v>
                </c:pt>
                <c:pt idx="1">
                  <c:v>1815</c:v>
                </c:pt>
                <c:pt idx="2">
                  <c:v>1000</c:v>
                </c:pt>
              </c:numCache>
            </c:numRef>
          </c:val>
        </c:ser>
        <c:ser>
          <c:idx val="1"/>
          <c:order val="1"/>
          <c:spPr>
            <a:solidFill>
              <a:srgbClr val="00B0F0"/>
            </a:solidFill>
          </c:spPr>
          <c:invertIfNegative val="0"/>
          <c:val>
            <c:numRef>
              <c:f>EstructuraEconomica!$O$56:$O$58</c:f>
              <c:numCache>
                <c:formatCode>General</c:formatCode>
                <c:ptCount val="3"/>
                <c:pt idx="2" formatCode="###0">
                  <c:v>815</c:v>
                </c:pt>
              </c:numCache>
            </c:numRef>
          </c:val>
        </c:ser>
        <c:dLbls>
          <c:showLegendKey val="0"/>
          <c:showVal val="1"/>
          <c:showCatName val="0"/>
          <c:showSerName val="0"/>
          <c:showPercent val="0"/>
          <c:showBubbleSize val="0"/>
        </c:dLbls>
        <c:gapWidth val="30"/>
        <c:overlap val="100"/>
        <c:axId val="286786688"/>
        <c:axId val="286788224"/>
      </c:barChart>
      <c:catAx>
        <c:axId val="286786688"/>
        <c:scaling>
          <c:orientation val="minMax"/>
        </c:scaling>
        <c:delete val="0"/>
        <c:axPos val="b"/>
        <c:numFmt formatCode="General" sourceLinked="1"/>
        <c:majorTickMark val="none"/>
        <c:minorTickMark val="none"/>
        <c:tickLblPos val="none"/>
        <c:spPr>
          <a:ln>
            <a:solidFill>
              <a:schemeClr val="tx1"/>
            </a:solidFill>
          </a:ln>
        </c:spPr>
        <c:crossAx val="286788224"/>
        <c:crosses val="autoZero"/>
        <c:auto val="1"/>
        <c:lblAlgn val="ctr"/>
        <c:lblOffset val="100"/>
        <c:noMultiLvlLbl val="0"/>
      </c:catAx>
      <c:valAx>
        <c:axId val="286788224"/>
        <c:scaling>
          <c:orientation val="minMax"/>
          <c:max val="7500"/>
          <c:min val="0"/>
        </c:scaling>
        <c:delete val="1"/>
        <c:axPos val="l"/>
        <c:numFmt formatCode="General" sourceLinked="1"/>
        <c:majorTickMark val="out"/>
        <c:minorTickMark val="none"/>
        <c:tickLblPos val="none"/>
        <c:crossAx val="286786688"/>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EstructuraEconomica!$Q$56:$Q$58</c:f>
              <c:numCache>
                <c:formatCode>###0</c:formatCode>
                <c:ptCount val="3"/>
                <c:pt idx="0" formatCode="General">
                  <c:v>6624</c:v>
                </c:pt>
                <c:pt idx="1">
                  <c:v>1430</c:v>
                </c:pt>
                <c:pt idx="2">
                  <c:v>543</c:v>
                </c:pt>
              </c:numCache>
            </c:numRef>
          </c:val>
        </c:ser>
        <c:ser>
          <c:idx val="1"/>
          <c:order val="1"/>
          <c:spPr>
            <a:solidFill>
              <a:srgbClr val="00B0F0"/>
            </a:solidFill>
          </c:spPr>
          <c:invertIfNegative val="0"/>
          <c:val>
            <c:numRef>
              <c:f>EstructuraEconomica!$S$56:$S$58</c:f>
              <c:numCache>
                <c:formatCode>General</c:formatCode>
                <c:ptCount val="3"/>
                <c:pt idx="2" formatCode="###0">
                  <c:v>887</c:v>
                </c:pt>
              </c:numCache>
            </c:numRef>
          </c:val>
        </c:ser>
        <c:dLbls>
          <c:showLegendKey val="0"/>
          <c:showVal val="1"/>
          <c:showCatName val="0"/>
          <c:showSerName val="0"/>
          <c:showPercent val="0"/>
          <c:showBubbleSize val="0"/>
        </c:dLbls>
        <c:gapWidth val="30"/>
        <c:overlap val="100"/>
        <c:axId val="286831744"/>
        <c:axId val="286833280"/>
      </c:barChart>
      <c:catAx>
        <c:axId val="286831744"/>
        <c:scaling>
          <c:orientation val="minMax"/>
        </c:scaling>
        <c:delete val="0"/>
        <c:axPos val="b"/>
        <c:majorTickMark val="none"/>
        <c:minorTickMark val="none"/>
        <c:tickLblPos val="none"/>
        <c:spPr>
          <a:ln>
            <a:solidFill>
              <a:schemeClr val="tx1"/>
            </a:solidFill>
          </a:ln>
        </c:spPr>
        <c:crossAx val="286833280"/>
        <c:crosses val="autoZero"/>
        <c:auto val="1"/>
        <c:lblAlgn val="ctr"/>
        <c:lblOffset val="100"/>
        <c:noMultiLvlLbl val="0"/>
      </c:catAx>
      <c:valAx>
        <c:axId val="286833280"/>
        <c:scaling>
          <c:orientation val="minMax"/>
          <c:max val="7500"/>
          <c:min val="0"/>
        </c:scaling>
        <c:delete val="1"/>
        <c:axPos val="l"/>
        <c:numFmt formatCode="General" sourceLinked="1"/>
        <c:majorTickMark val="out"/>
        <c:minorTickMark val="none"/>
        <c:tickLblPos val="none"/>
        <c:crossAx val="286831744"/>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784017563842322"/>
          <c:y val="3.8244236399205218E-2"/>
          <c:w val="0.43190280460225555"/>
          <c:h val="0.85554307303943766"/>
        </c:manualLayout>
      </c:layout>
      <c:barChart>
        <c:barDir val="bar"/>
        <c:grouping val="clustered"/>
        <c:varyColors val="0"/>
        <c:ser>
          <c:idx val="0"/>
          <c:order val="0"/>
          <c:spPr>
            <a:gradFill>
              <a:gsLst>
                <a:gs pos="0">
                  <a:schemeClr val="bg1">
                    <a:lumMod val="65000"/>
                  </a:schemeClr>
                </a:gs>
                <a:gs pos="50000">
                  <a:schemeClr val="bg1">
                    <a:lumMod val="95000"/>
                  </a:schemeClr>
                </a:gs>
                <a:gs pos="100000">
                  <a:schemeClr val="bg1">
                    <a:lumMod val="65000"/>
                  </a:schemeClr>
                </a:gs>
              </a:gsLst>
              <a:lin ang="13200000" scaled="0"/>
            </a:gradFill>
            <a:ln>
              <a:solidFill>
                <a:schemeClr val="bg1">
                  <a:lumMod val="50000"/>
                </a:schemeClr>
              </a:solidFill>
            </a:ln>
          </c:spPr>
          <c:invertIfNegative val="0"/>
          <c:dLbls>
            <c:numFmt formatCode="#,##0.000" sourceLinked="0"/>
            <c:dLblPos val="outEnd"/>
            <c:showLegendKey val="0"/>
            <c:showVal val="1"/>
            <c:showCatName val="0"/>
            <c:showSerName val="0"/>
            <c:showPercent val="0"/>
            <c:showBubbleSize val="0"/>
            <c:showLeaderLines val="0"/>
          </c:dLbls>
          <c:cat>
            <c:strRef>
              <c:f>EstructuraEconomica!$H$146:$H$154</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Trabajo no remunerado</c:v>
                </c:pt>
                <c:pt idx="7">
                  <c:v>Empleado doméstico</c:v>
                </c:pt>
                <c:pt idx="8">
                  <c:v>Se ignora</c:v>
                </c:pt>
              </c:strCache>
            </c:strRef>
          </c:cat>
          <c:val>
            <c:numRef>
              <c:f>EstructuraEconomica!$I$146:$I$154</c:f>
              <c:numCache>
                <c:formatCode>0,000</c:formatCode>
                <c:ptCount val="9"/>
                <c:pt idx="0">
                  <c:v>8.4424083769633618E-2</c:v>
                </c:pt>
                <c:pt idx="1">
                  <c:v>0.45222513089005234</c:v>
                </c:pt>
                <c:pt idx="2">
                  <c:v>1.6361256544502621E-2</c:v>
                </c:pt>
                <c:pt idx="3">
                  <c:v>9.0968586387434561E-2</c:v>
                </c:pt>
                <c:pt idx="4">
                  <c:v>4.7120418848167554E-2</c:v>
                </c:pt>
                <c:pt idx="5">
                  <c:v>0.18324607329842954</c:v>
                </c:pt>
                <c:pt idx="6">
                  <c:v>5.2356020942408522E-2</c:v>
                </c:pt>
                <c:pt idx="7">
                  <c:v>8.5078534031413668E-3</c:v>
                </c:pt>
                <c:pt idx="8">
                  <c:v>6.4790575916230497E-2</c:v>
                </c:pt>
              </c:numCache>
            </c:numRef>
          </c:val>
        </c:ser>
        <c:dLbls>
          <c:showLegendKey val="0"/>
          <c:showVal val="1"/>
          <c:showCatName val="0"/>
          <c:showSerName val="0"/>
          <c:showPercent val="0"/>
          <c:showBubbleSize val="0"/>
        </c:dLbls>
        <c:gapWidth val="40"/>
        <c:axId val="286844032"/>
        <c:axId val="286937472"/>
      </c:barChart>
      <c:catAx>
        <c:axId val="286844032"/>
        <c:scaling>
          <c:orientation val="maxMin"/>
        </c:scaling>
        <c:delete val="0"/>
        <c:axPos val="l"/>
        <c:title>
          <c:tx>
            <c:rich>
              <a:bodyPr rot="-5400000" vert="horz"/>
              <a:lstStyle/>
              <a:p>
                <a:pPr>
                  <a:defRPr/>
                </a:pPr>
                <a:r>
                  <a:rPr lang="es-EC"/>
                  <a:t>En el lugar</a:t>
                </a:r>
                <a:r>
                  <a:rPr lang="es-EC" baseline="0"/>
                  <a:t> indicado trabaja como</a:t>
                </a:r>
                <a:endParaRPr lang="es-EC"/>
              </a:p>
            </c:rich>
          </c:tx>
          <c:overlay val="0"/>
        </c:title>
        <c:numFmt formatCode="General" sourceLinked="1"/>
        <c:majorTickMark val="out"/>
        <c:minorTickMark val="none"/>
        <c:tickLblPos val="nextTo"/>
        <c:spPr>
          <a:ln>
            <a:solidFill>
              <a:schemeClr val="tx1"/>
            </a:solidFill>
          </a:ln>
        </c:spPr>
        <c:txPr>
          <a:bodyPr/>
          <a:lstStyle/>
          <a:p>
            <a:pPr>
              <a:defRPr sz="800"/>
            </a:pPr>
            <a:endParaRPr lang="es-EC"/>
          </a:p>
        </c:txPr>
        <c:crossAx val="286937472"/>
        <c:crosses val="autoZero"/>
        <c:auto val="1"/>
        <c:lblAlgn val="ctr"/>
        <c:lblOffset val="100"/>
        <c:noMultiLvlLbl val="0"/>
      </c:catAx>
      <c:valAx>
        <c:axId val="286937472"/>
        <c:scaling>
          <c:orientation val="minMax"/>
          <c:max val="1"/>
          <c:min val="0"/>
        </c:scaling>
        <c:delete val="0"/>
        <c:axPos val="t"/>
        <c:title>
          <c:tx>
            <c:rich>
              <a:bodyPr/>
              <a:lstStyle/>
              <a:p>
                <a:pPr>
                  <a:defRPr/>
                </a:pPr>
                <a:r>
                  <a:rPr lang="es-EC"/>
                  <a:t>Frecuencia</a:t>
                </a:r>
                <a:r>
                  <a:rPr lang="es-EC" baseline="0"/>
                  <a:t> Relativa</a:t>
                </a:r>
                <a:endParaRPr lang="es-EC"/>
              </a:p>
            </c:rich>
          </c:tx>
          <c:layout>
            <c:manualLayout>
              <c:xMode val="edge"/>
              <c:yMode val="edge"/>
              <c:x val="0.64144868683867451"/>
              <c:y val="0.94579601116739453"/>
            </c:manualLayout>
          </c:layout>
          <c:overlay val="0"/>
        </c:title>
        <c:numFmt formatCode="#,##0.00" sourceLinked="0"/>
        <c:majorTickMark val="in"/>
        <c:minorTickMark val="none"/>
        <c:tickLblPos val="high"/>
        <c:spPr>
          <a:ln>
            <a:solidFill>
              <a:schemeClr val="tx1"/>
            </a:solidFill>
          </a:ln>
        </c:spPr>
        <c:crossAx val="286844032"/>
        <c:crossesAt val="10"/>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78530067333589"/>
          <c:y val="6.455930032967333E-2"/>
          <c:w val="0.51294869959436884"/>
          <c:h val="0.81430219146482119"/>
        </c:manualLayout>
      </c:layout>
      <c:barChart>
        <c:barDir val="bar"/>
        <c:grouping val="stacked"/>
        <c:varyColors val="0"/>
        <c:ser>
          <c:idx val="0"/>
          <c:order val="0"/>
          <c:tx>
            <c:strRef>
              <c:f>EstructuraEconomica!$G$164</c:f>
              <c:strCache>
                <c:ptCount val="1"/>
                <c:pt idx="0">
                  <c:v>Hombre</c:v>
                </c:pt>
              </c:strCache>
            </c:strRef>
          </c:tx>
          <c:spPr>
            <a:solidFill>
              <a:srgbClr val="00B0F0"/>
            </a:solidFill>
          </c:spPr>
          <c:invertIfNegative val="0"/>
          <c:dLbls>
            <c:dLbl>
              <c:idx val="0"/>
              <c:layout>
                <c:manualLayout>
                  <c:x val="-4.1048937618939525E-2"/>
                  <c:y val="0"/>
                </c:manualLayout>
              </c:layout>
              <c:dLblPos val="ctr"/>
              <c:showLegendKey val="0"/>
              <c:showVal val="1"/>
              <c:showCatName val="0"/>
              <c:showSerName val="0"/>
              <c:showPercent val="0"/>
              <c:showBubbleSize val="0"/>
            </c:dLbl>
            <c:dLbl>
              <c:idx val="1"/>
              <c:layout>
                <c:manualLayout>
                  <c:x val="-8.847890983324054E-2"/>
                  <c:y val="3.3435311031980897E-7"/>
                </c:manualLayout>
              </c:layout>
              <c:dLblPos val="ctr"/>
              <c:showLegendKey val="0"/>
              <c:showVal val="1"/>
              <c:showCatName val="0"/>
              <c:showSerName val="0"/>
              <c:showPercent val="0"/>
              <c:showBubbleSize val="0"/>
            </c:dLbl>
            <c:dLbl>
              <c:idx val="2"/>
              <c:layout>
                <c:manualLayout>
                  <c:x val="-3.6691110580874396E-2"/>
                  <c:y val="0"/>
                </c:manualLayout>
              </c:layout>
              <c:dLblPos val="ctr"/>
              <c:showLegendKey val="0"/>
              <c:showVal val="1"/>
              <c:showCatName val="0"/>
              <c:showSerName val="0"/>
              <c:showPercent val="0"/>
              <c:showBubbleSize val="0"/>
            </c:dLbl>
            <c:dLbl>
              <c:idx val="3"/>
              <c:layout>
                <c:manualLayout>
                  <c:x val="-5.0724356425143842E-2"/>
                  <c:y val="0"/>
                </c:manualLayout>
              </c:layout>
              <c:dLblPos val="ctr"/>
              <c:showLegendKey val="0"/>
              <c:showVal val="1"/>
              <c:showCatName val="0"/>
              <c:showSerName val="0"/>
              <c:showPercent val="0"/>
              <c:showBubbleSize val="0"/>
            </c:dLbl>
            <c:dLbl>
              <c:idx val="4"/>
              <c:layout>
                <c:manualLayout>
                  <c:x val="-3.91943246562029E-2"/>
                  <c:y val="0"/>
                </c:manualLayout>
              </c:layout>
              <c:dLblPos val="ctr"/>
              <c:showLegendKey val="0"/>
              <c:showVal val="1"/>
              <c:showCatName val="0"/>
              <c:showSerName val="0"/>
              <c:showPercent val="0"/>
              <c:showBubbleSize val="0"/>
            </c:dLbl>
            <c:dLbl>
              <c:idx val="5"/>
              <c:layout>
                <c:manualLayout>
                  <c:x val="-5.5861290066014486E-2"/>
                  <c:y val="-3.3435311031980897E-7"/>
                </c:manualLayout>
              </c:layout>
              <c:dLblPos val="ctr"/>
              <c:showLegendKey val="0"/>
              <c:showVal val="1"/>
              <c:showCatName val="0"/>
              <c:showSerName val="0"/>
              <c:showPercent val="0"/>
              <c:showBubbleSize val="0"/>
            </c:dLbl>
            <c:dLbl>
              <c:idx val="6"/>
              <c:layout>
                <c:manualLayout>
                  <c:x val="-3.6704901909434276E-2"/>
                  <c:y val="0"/>
                </c:manualLayout>
              </c:layout>
              <c:dLblPos val="ctr"/>
              <c:showLegendKey val="0"/>
              <c:showVal val="1"/>
              <c:showCatName val="0"/>
              <c:showSerName val="0"/>
              <c:showPercent val="0"/>
              <c:showBubbleSize val="0"/>
            </c:dLbl>
            <c:dLbl>
              <c:idx val="7"/>
              <c:layout>
                <c:manualLayout>
                  <c:x val="-2.6888941912563979E-2"/>
                  <c:y val="0"/>
                </c:manualLayout>
              </c:layout>
              <c:dLblPos val="ctr"/>
              <c:showLegendKey val="0"/>
              <c:showVal val="1"/>
              <c:showCatName val="0"/>
              <c:showSerName val="0"/>
              <c:showPercent val="0"/>
              <c:showBubbleSize val="0"/>
            </c:dLbl>
            <c:dLbl>
              <c:idx val="8"/>
              <c:layout>
                <c:manualLayout>
                  <c:x val="-3.8389580459870454E-2"/>
                  <c:y val="0"/>
                </c:manualLayout>
              </c:layout>
              <c:dLblPos val="ctr"/>
              <c:showLegendKey val="0"/>
              <c:showVal val="1"/>
              <c:showCatName val="0"/>
              <c:showSerName val="0"/>
              <c:showPercent val="0"/>
              <c:showBubbleSize val="0"/>
            </c:dLbl>
            <c:numFmt formatCode="0.000;0.000" sourceLinked="0"/>
            <c:txPr>
              <a:bodyPr/>
              <a:lstStyle/>
              <a:p>
                <a:pPr>
                  <a:defRPr sz="700"/>
                </a:pPr>
                <a:endParaRPr lang="es-EC"/>
              </a:p>
            </c:txPr>
            <c:dLblPos val="inEnd"/>
            <c:showLegendKey val="0"/>
            <c:showVal val="1"/>
            <c:showCatName val="0"/>
            <c:showSerName val="0"/>
            <c:showPercent val="0"/>
            <c:showBubbleSize val="0"/>
            <c:showLeaderLines val="0"/>
          </c:dLbls>
          <c:cat>
            <c:strRef>
              <c:f>EstructuraEconomica!$H$146:$H$154</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Trabajo no remunerado</c:v>
                </c:pt>
                <c:pt idx="7">
                  <c:v>Empleado doméstico</c:v>
                </c:pt>
                <c:pt idx="8">
                  <c:v>Se ignora</c:v>
                </c:pt>
              </c:strCache>
            </c:strRef>
          </c:cat>
          <c:val>
            <c:numRef>
              <c:f>EstructuraEconomica!$G$165:$G$173</c:f>
              <c:numCache>
                <c:formatCode>0.00%</c:formatCode>
                <c:ptCount val="9"/>
                <c:pt idx="0">
                  <c:v>-7.6381909547738727E-2</c:v>
                </c:pt>
                <c:pt idx="1">
                  <c:v>-0.44020100502512549</c:v>
                </c:pt>
                <c:pt idx="2">
                  <c:v>-2.4120603015075376E-2</c:v>
                </c:pt>
                <c:pt idx="3">
                  <c:v>-0.11256281407035175</c:v>
                </c:pt>
                <c:pt idx="4">
                  <c:v>-5.5276381909547777E-2</c:v>
                </c:pt>
                <c:pt idx="5">
                  <c:v>-0.1889447236180905</c:v>
                </c:pt>
                <c:pt idx="6">
                  <c:v>-4.3216080402010068E-2</c:v>
                </c:pt>
                <c:pt idx="7">
                  <c:v>0</c:v>
                </c:pt>
                <c:pt idx="8">
                  <c:v>-5.9296482412060321E-2</c:v>
                </c:pt>
              </c:numCache>
            </c:numRef>
          </c:val>
        </c:ser>
        <c:ser>
          <c:idx val="1"/>
          <c:order val="1"/>
          <c:tx>
            <c:strRef>
              <c:f>EstructuraEconomica!$H$164</c:f>
              <c:strCache>
                <c:ptCount val="1"/>
                <c:pt idx="0">
                  <c:v>Mujer</c:v>
                </c:pt>
              </c:strCache>
            </c:strRef>
          </c:tx>
          <c:spPr>
            <a:solidFill>
              <a:srgbClr val="D735B4"/>
            </a:solidFill>
          </c:spPr>
          <c:invertIfNegative val="0"/>
          <c:dLbls>
            <c:dLbl>
              <c:idx val="0"/>
              <c:layout>
                <c:manualLayout>
                  <c:x val="4.2626792863013366E-2"/>
                  <c:y val="3.3435311031980897E-7"/>
                </c:manualLayout>
              </c:layout>
              <c:dLblPos val="ctr"/>
              <c:showLegendKey val="0"/>
              <c:showVal val="1"/>
              <c:showCatName val="0"/>
              <c:showSerName val="0"/>
              <c:showPercent val="0"/>
              <c:showBubbleSize val="0"/>
            </c:dLbl>
            <c:dLbl>
              <c:idx val="1"/>
              <c:layout>
                <c:manualLayout>
                  <c:x val="9.0228903205281208E-2"/>
                  <c:y val="1.6717655515990449E-6"/>
                </c:manualLayout>
              </c:layout>
              <c:dLblPos val="ctr"/>
              <c:showLegendKey val="0"/>
              <c:showVal val="1"/>
              <c:showCatName val="0"/>
              <c:showSerName val="0"/>
              <c:showPercent val="0"/>
              <c:showBubbleSize val="0"/>
            </c:dLbl>
            <c:dLbl>
              <c:idx val="3"/>
              <c:layout>
                <c:manualLayout>
                  <c:x val="3.8627255850224945E-2"/>
                  <c:y val="0"/>
                </c:manualLayout>
              </c:layout>
              <c:dLblPos val="ctr"/>
              <c:showLegendKey val="0"/>
              <c:showVal val="1"/>
              <c:showCatName val="0"/>
              <c:showSerName val="0"/>
              <c:showPercent val="0"/>
              <c:showBubbleSize val="0"/>
            </c:dLbl>
            <c:dLbl>
              <c:idx val="4"/>
              <c:layout>
                <c:manualLayout>
                  <c:x val="3.4724118465236195E-2"/>
                  <c:y val="-3.0755437748499876E-3"/>
                </c:manualLayout>
              </c:layout>
              <c:dLblPos val="ctr"/>
              <c:showLegendKey val="0"/>
              <c:showVal val="1"/>
              <c:showCatName val="0"/>
              <c:showSerName val="0"/>
              <c:showPercent val="0"/>
              <c:showBubbleSize val="0"/>
            </c:dLbl>
            <c:dLbl>
              <c:idx val="5"/>
              <c:layout>
                <c:manualLayout>
                  <c:x val="5.5341021766218614E-2"/>
                  <c:y val="6.6870622063961793E-7"/>
                </c:manualLayout>
              </c:layout>
              <c:dLblPos val="ctr"/>
              <c:showLegendKey val="0"/>
              <c:showVal val="1"/>
              <c:showCatName val="0"/>
              <c:showSerName val="0"/>
              <c:showPercent val="0"/>
              <c:showBubbleSize val="0"/>
            </c:dLbl>
            <c:dLbl>
              <c:idx val="6"/>
              <c:layout>
                <c:manualLayout>
                  <c:x val="3.9535936795779339E-2"/>
                  <c:y val="0"/>
                </c:manualLayout>
              </c:layout>
              <c:dLblPos val="ctr"/>
              <c:showLegendKey val="0"/>
              <c:showVal val="1"/>
              <c:showCatName val="0"/>
              <c:showSerName val="0"/>
              <c:showPercent val="0"/>
              <c:showBubbleSize val="0"/>
            </c:dLbl>
            <c:dLbl>
              <c:idx val="7"/>
              <c:layout>
                <c:manualLayout>
                  <c:x val="3.738232720909887E-2"/>
                  <c:y val="3.3435311031980897E-7"/>
                </c:manualLayout>
              </c:layout>
              <c:dLblPos val="ctr"/>
              <c:showLegendKey val="0"/>
              <c:showVal val="1"/>
              <c:showCatName val="0"/>
              <c:showSerName val="0"/>
              <c:showPercent val="0"/>
              <c:showBubbleSize val="0"/>
            </c:dLbl>
            <c:dLbl>
              <c:idx val="8"/>
              <c:layout>
                <c:manualLayout>
                  <c:x val="3.9656406585540441E-2"/>
                  <c:y val="1.0030593309594266E-6"/>
                </c:manualLayout>
              </c:layout>
              <c:dLblPos val="ctr"/>
              <c:showLegendKey val="0"/>
              <c:showVal val="1"/>
              <c:showCatName val="0"/>
              <c:showSerName val="0"/>
              <c:showPercent val="0"/>
              <c:showBubbleSize val="0"/>
            </c:dLbl>
            <c:dLbl>
              <c:idx val="10"/>
              <c:layout>
                <c:manualLayout>
                  <c:x val="3.6013292130058022E-2"/>
                  <c:y val="0"/>
                </c:manualLayout>
              </c:layout>
              <c:dLblPos val="ctr"/>
              <c:showLegendKey val="0"/>
              <c:showVal val="1"/>
              <c:showCatName val="0"/>
              <c:showSerName val="0"/>
              <c:showPercent val="0"/>
              <c:showBubbleSize val="0"/>
            </c:dLbl>
            <c:numFmt formatCode="#,##0.000" sourceLinked="0"/>
            <c:txPr>
              <a:bodyPr/>
              <a:lstStyle/>
              <a:p>
                <a:pPr>
                  <a:defRPr sz="700"/>
                </a:pPr>
                <a:endParaRPr lang="es-EC"/>
              </a:p>
            </c:txPr>
            <c:dLblPos val="inBase"/>
            <c:showLegendKey val="0"/>
            <c:showVal val="1"/>
            <c:showCatName val="0"/>
            <c:showSerName val="0"/>
            <c:showPercent val="0"/>
            <c:showBubbleSize val="0"/>
            <c:showLeaderLines val="0"/>
          </c:dLbls>
          <c:cat>
            <c:strRef>
              <c:f>EstructuraEconomica!$H$146:$H$154</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Trabajo no remunerado</c:v>
                </c:pt>
                <c:pt idx="7">
                  <c:v>Empleado doméstico</c:v>
                </c:pt>
                <c:pt idx="8">
                  <c:v>Se ignora</c:v>
                </c:pt>
              </c:strCache>
            </c:strRef>
          </c:cat>
          <c:val>
            <c:numRef>
              <c:f>EstructuraEconomica!$H$165:$H$173</c:f>
              <c:numCache>
                <c:formatCode>0.00%</c:formatCode>
                <c:ptCount val="9"/>
                <c:pt idx="0">
                  <c:v>9.9437148217636051E-2</c:v>
                </c:pt>
                <c:pt idx="1">
                  <c:v>0.47467166979362113</c:v>
                </c:pt>
                <c:pt idx="2">
                  <c:v>1.8761726078799258E-3</c:v>
                </c:pt>
                <c:pt idx="3">
                  <c:v>5.0656660412757966E-2</c:v>
                </c:pt>
                <c:pt idx="4">
                  <c:v>3.1894934333958722E-2</c:v>
                </c:pt>
                <c:pt idx="5">
                  <c:v>0.17260787992495305</c:v>
                </c:pt>
                <c:pt idx="6">
                  <c:v>6.9418386491557224E-2</c:v>
                </c:pt>
                <c:pt idx="7">
                  <c:v>2.4390243902439025E-2</c:v>
                </c:pt>
                <c:pt idx="8">
                  <c:v>7.5046904315197033E-2</c:v>
                </c:pt>
              </c:numCache>
            </c:numRef>
          </c:val>
        </c:ser>
        <c:dLbls>
          <c:showLegendKey val="0"/>
          <c:showVal val="0"/>
          <c:showCatName val="0"/>
          <c:showSerName val="0"/>
          <c:showPercent val="0"/>
          <c:showBubbleSize val="0"/>
        </c:dLbls>
        <c:gapWidth val="40"/>
        <c:overlap val="100"/>
        <c:axId val="286967296"/>
        <c:axId val="286969216"/>
      </c:barChart>
      <c:catAx>
        <c:axId val="286967296"/>
        <c:scaling>
          <c:orientation val="maxMin"/>
        </c:scaling>
        <c:delete val="0"/>
        <c:axPos val="l"/>
        <c:title>
          <c:tx>
            <c:rich>
              <a:bodyPr rot="-5400000" vert="horz"/>
              <a:lstStyle/>
              <a:p>
                <a:pPr>
                  <a:defRPr/>
                </a:pPr>
                <a:r>
                  <a:rPr lang="es-EC"/>
                  <a:t>En el lugar indicado trabaja como</a:t>
                </a:r>
              </a:p>
            </c:rich>
          </c:tx>
          <c:overlay val="0"/>
        </c:title>
        <c:numFmt formatCode="General" sourceLinked="1"/>
        <c:majorTickMark val="out"/>
        <c:minorTickMark val="none"/>
        <c:tickLblPos val="nextTo"/>
        <c:spPr>
          <a:ln>
            <a:solidFill>
              <a:schemeClr val="tx1"/>
            </a:solidFill>
          </a:ln>
        </c:spPr>
        <c:txPr>
          <a:bodyPr/>
          <a:lstStyle/>
          <a:p>
            <a:pPr>
              <a:defRPr sz="750"/>
            </a:pPr>
            <a:endParaRPr lang="es-EC"/>
          </a:p>
        </c:txPr>
        <c:crossAx val="286969216"/>
        <c:crossesAt val="-1"/>
        <c:auto val="1"/>
        <c:lblAlgn val="ctr"/>
        <c:lblOffset val="100"/>
        <c:noMultiLvlLbl val="0"/>
      </c:catAx>
      <c:valAx>
        <c:axId val="286969216"/>
        <c:scaling>
          <c:orientation val="minMax"/>
          <c:max val="1"/>
          <c:min val="-1"/>
        </c:scaling>
        <c:delete val="0"/>
        <c:axPos val="t"/>
        <c:title>
          <c:tx>
            <c:rich>
              <a:bodyPr/>
              <a:lstStyle/>
              <a:p>
                <a:pPr>
                  <a:defRPr/>
                </a:pPr>
                <a:r>
                  <a:rPr lang="es-EC"/>
                  <a:t>Frecuencia Relativa</a:t>
                </a:r>
              </a:p>
            </c:rich>
          </c:tx>
          <c:layout>
            <c:manualLayout>
              <c:xMode val="edge"/>
              <c:yMode val="edge"/>
              <c:x val="0.61379060950714515"/>
              <c:y val="0.95709570957095713"/>
            </c:manualLayout>
          </c:layout>
          <c:overlay val="0"/>
        </c:title>
        <c:numFmt formatCode="0.00;0.00" sourceLinked="0"/>
        <c:majorTickMark val="in"/>
        <c:minorTickMark val="none"/>
        <c:tickLblPos val="high"/>
        <c:spPr>
          <a:ln>
            <a:solidFill>
              <a:schemeClr val="tx1"/>
            </a:solidFill>
          </a:ln>
        </c:spPr>
        <c:crossAx val="286967296"/>
        <c:crossesAt val="10"/>
        <c:crossBetween val="between"/>
        <c:majorUnit val="0.4"/>
      </c:valAx>
      <c:spPr>
        <a:noFill/>
        <a:ln>
          <a:solidFill>
            <a:schemeClr val="tx1"/>
          </a:solidFill>
        </a:ln>
      </c:spPr>
    </c:plotArea>
    <c:legend>
      <c:legendPos val="t"/>
      <c:layout>
        <c:manualLayout>
          <c:xMode val="edge"/>
          <c:yMode val="edge"/>
          <c:x val="0.4513073892370994"/>
          <c:y val="4.1300901743717708E-3"/>
          <c:w val="0.49547753315757942"/>
          <c:h val="4.8188607266301912E-2"/>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6951006124234"/>
          <c:y val="2.9901457894059801E-2"/>
          <c:w val="0.49485433070866192"/>
          <c:h val="0.8832776075404366"/>
        </c:manualLayout>
      </c:layout>
      <c:barChart>
        <c:barDir val="bar"/>
        <c:grouping val="stacked"/>
        <c:varyColors val="0"/>
        <c:ser>
          <c:idx val="0"/>
          <c:order val="0"/>
          <c:tx>
            <c:strRef>
              <c:f>EstructuraEconomica!$M$181</c:f>
              <c:strCache>
                <c:ptCount val="1"/>
                <c:pt idx="0">
                  <c:v>Empleado u obrero del Estado, Gobierno, Municipio, Consejo Provincial, Juntas Parroquiales</c:v>
                </c:pt>
              </c:strCache>
            </c:strRef>
          </c:tx>
          <c:spPr>
            <a:solidFill>
              <a:srgbClr val="0070C0"/>
            </a:solidFill>
          </c:spPr>
          <c:invertIfNegative val="0"/>
          <c:cat>
            <c:strRef>
              <c:f>EstructuraEconomica!$B$182:$B$199</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EstructuraEconomica!$M$182:$M$199</c:f>
              <c:numCache>
                <c:formatCode>0,000</c:formatCode>
                <c:ptCount val="18"/>
                <c:pt idx="0">
                  <c:v>0</c:v>
                </c:pt>
                <c:pt idx="1">
                  <c:v>0</c:v>
                </c:pt>
                <c:pt idx="2">
                  <c:v>0</c:v>
                </c:pt>
                <c:pt idx="3">
                  <c:v>0.14545454545454545</c:v>
                </c:pt>
                <c:pt idx="4">
                  <c:v>0.12195121951219511</c:v>
                </c:pt>
                <c:pt idx="5">
                  <c:v>7.772020725388612E-2</c:v>
                </c:pt>
                <c:pt idx="6">
                  <c:v>0.10625000000000002</c:v>
                </c:pt>
                <c:pt idx="7">
                  <c:v>4.7058823529411813E-2</c:v>
                </c:pt>
                <c:pt idx="8">
                  <c:v>8.5106382978723569E-2</c:v>
                </c:pt>
                <c:pt idx="9">
                  <c:v>8.7301587301587158E-2</c:v>
                </c:pt>
                <c:pt idx="10">
                  <c:v>7.9710144927536392E-2</c:v>
                </c:pt>
                <c:pt idx="11">
                  <c:v>6.9565217391304404E-2</c:v>
                </c:pt>
                <c:pt idx="12">
                  <c:v>0.13750000000000001</c:v>
                </c:pt>
                <c:pt idx="13">
                  <c:v>0.10769230769230762</c:v>
                </c:pt>
                <c:pt idx="14">
                  <c:v>2.9411764705882353E-2</c:v>
                </c:pt>
                <c:pt idx="15">
                  <c:v>0</c:v>
                </c:pt>
                <c:pt idx="16">
                  <c:v>0</c:v>
                </c:pt>
                <c:pt idx="17">
                  <c:v>0</c:v>
                </c:pt>
              </c:numCache>
            </c:numRef>
          </c:val>
        </c:ser>
        <c:ser>
          <c:idx val="1"/>
          <c:order val="1"/>
          <c:tx>
            <c:strRef>
              <c:f>EstructuraEconomica!$N$181</c:f>
              <c:strCache>
                <c:ptCount val="1"/>
                <c:pt idx="0">
                  <c:v>Empleado u obrero privado</c:v>
                </c:pt>
              </c:strCache>
            </c:strRef>
          </c:tx>
          <c:spPr>
            <a:solidFill>
              <a:srgbClr val="D735B4"/>
            </a:solidFill>
          </c:spPr>
          <c:invertIfNegative val="0"/>
          <c:dLbls>
            <c:dLbl>
              <c:idx val="17"/>
              <c:delete val="1"/>
            </c:dLbl>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EstructuraEconomica!$B$182:$B$199</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EstructuraEconomica!$N$182:$N$199</c:f>
              <c:numCache>
                <c:formatCode>0,000</c:formatCode>
                <c:ptCount val="18"/>
                <c:pt idx="0">
                  <c:v>7.6923076923076927E-2</c:v>
                </c:pt>
                <c:pt idx="1">
                  <c:v>8.3333333333333343E-2</c:v>
                </c:pt>
                <c:pt idx="2">
                  <c:v>0.37500000000000033</c:v>
                </c:pt>
                <c:pt idx="3">
                  <c:v>0.47272727272727288</c:v>
                </c:pt>
                <c:pt idx="4">
                  <c:v>0.51219512195121886</c:v>
                </c:pt>
                <c:pt idx="5">
                  <c:v>0.54922279792746032</c:v>
                </c:pt>
                <c:pt idx="6">
                  <c:v>0.5625</c:v>
                </c:pt>
                <c:pt idx="7">
                  <c:v>0.44705882352941217</c:v>
                </c:pt>
                <c:pt idx="8">
                  <c:v>0.43262411347517732</c:v>
                </c:pt>
                <c:pt idx="9">
                  <c:v>0.48412698412698457</c:v>
                </c:pt>
                <c:pt idx="10">
                  <c:v>0.45652173913043481</c:v>
                </c:pt>
                <c:pt idx="11">
                  <c:v>0.42608695652173911</c:v>
                </c:pt>
                <c:pt idx="12">
                  <c:v>0.31250000000000033</c:v>
                </c:pt>
                <c:pt idx="13">
                  <c:v>0.3846153846153848</c:v>
                </c:pt>
                <c:pt idx="14">
                  <c:v>0.29411764705882382</c:v>
                </c:pt>
                <c:pt idx="15">
                  <c:v>0.266666666666667</c:v>
                </c:pt>
                <c:pt idx="16">
                  <c:v>0.25</c:v>
                </c:pt>
                <c:pt idx="17">
                  <c:v>0</c:v>
                </c:pt>
              </c:numCache>
            </c:numRef>
          </c:val>
        </c:ser>
        <c:ser>
          <c:idx val="2"/>
          <c:order val="2"/>
          <c:tx>
            <c:strRef>
              <c:f>EstructuraEconomica!$O$181</c:f>
              <c:strCache>
                <c:ptCount val="1"/>
                <c:pt idx="0">
                  <c:v>Jornalero o peón</c:v>
                </c:pt>
              </c:strCache>
            </c:strRef>
          </c:tx>
          <c:spPr>
            <a:solidFill>
              <a:srgbClr val="00B0F0"/>
            </a:solidFill>
          </c:spPr>
          <c:invertIfNegative val="0"/>
          <c:cat>
            <c:strRef>
              <c:f>EstructuraEconomica!$B$182:$B$199</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EstructuraEconomica!$O$182:$O$199</c:f>
              <c:numCache>
                <c:formatCode>0,000</c:formatCode>
                <c:ptCount val="18"/>
                <c:pt idx="0">
                  <c:v>0</c:v>
                </c:pt>
                <c:pt idx="1">
                  <c:v>0</c:v>
                </c:pt>
                <c:pt idx="2">
                  <c:v>0.125</c:v>
                </c:pt>
                <c:pt idx="3">
                  <c:v>3.6363636363636362E-2</c:v>
                </c:pt>
                <c:pt idx="4">
                  <c:v>1.8292682926829264E-2</c:v>
                </c:pt>
                <c:pt idx="5">
                  <c:v>2.072538860103627E-2</c:v>
                </c:pt>
                <c:pt idx="6">
                  <c:v>6.2500000000000064E-3</c:v>
                </c:pt>
                <c:pt idx="7">
                  <c:v>2.3529411764705879E-2</c:v>
                </c:pt>
                <c:pt idx="8">
                  <c:v>1.4184397163120564E-2</c:v>
                </c:pt>
                <c:pt idx="9">
                  <c:v>1.5873015873015879E-2</c:v>
                </c:pt>
                <c:pt idx="10">
                  <c:v>2.1739130434782612E-2</c:v>
                </c:pt>
                <c:pt idx="11">
                  <c:v>0</c:v>
                </c:pt>
                <c:pt idx="12">
                  <c:v>2.5000000000000001E-2</c:v>
                </c:pt>
                <c:pt idx="13">
                  <c:v>0</c:v>
                </c:pt>
                <c:pt idx="14">
                  <c:v>0</c:v>
                </c:pt>
                <c:pt idx="15">
                  <c:v>0</c:v>
                </c:pt>
                <c:pt idx="16">
                  <c:v>0</c:v>
                </c:pt>
                <c:pt idx="17">
                  <c:v>0</c:v>
                </c:pt>
              </c:numCache>
            </c:numRef>
          </c:val>
        </c:ser>
        <c:ser>
          <c:idx val="3"/>
          <c:order val="3"/>
          <c:tx>
            <c:strRef>
              <c:f>EstructuraEconomica!$P$181</c:f>
              <c:strCache>
                <c:ptCount val="1"/>
                <c:pt idx="0">
                  <c:v>Patrón</c:v>
                </c:pt>
              </c:strCache>
            </c:strRef>
          </c:tx>
          <c:spPr>
            <a:solidFill>
              <a:srgbClr val="7030A0"/>
            </a:solidFill>
          </c:spPr>
          <c:invertIfNegative val="0"/>
          <c:cat>
            <c:strRef>
              <c:f>EstructuraEconomica!$B$182:$B$199</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EstructuraEconomica!$P$182:$P$199</c:f>
              <c:numCache>
                <c:formatCode>0,000</c:formatCode>
                <c:ptCount val="18"/>
                <c:pt idx="0">
                  <c:v>0</c:v>
                </c:pt>
                <c:pt idx="1">
                  <c:v>0</c:v>
                </c:pt>
                <c:pt idx="2">
                  <c:v>0</c:v>
                </c:pt>
                <c:pt idx="3">
                  <c:v>5.4545454545454515E-2</c:v>
                </c:pt>
                <c:pt idx="4">
                  <c:v>4.8780487804878161E-2</c:v>
                </c:pt>
                <c:pt idx="5">
                  <c:v>4.145077720207254E-2</c:v>
                </c:pt>
                <c:pt idx="6">
                  <c:v>9.3750000000000153E-2</c:v>
                </c:pt>
                <c:pt idx="7">
                  <c:v>0.1</c:v>
                </c:pt>
                <c:pt idx="8">
                  <c:v>0.11347517730496454</c:v>
                </c:pt>
                <c:pt idx="9">
                  <c:v>9.5238095238095247E-2</c:v>
                </c:pt>
                <c:pt idx="10">
                  <c:v>0.10144927536231886</c:v>
                </c:pt>
                <c:pt idx="11">
                  <c:v>0.18260869565217391</c:v>
                </c:pt>
                <c:pt idx="12">
                  <c:v>0.16250000000000001</c:v>
                </c:pt>
                <c:pt idx="13">
                  <c:v>9.2307692307692493E-2</c:v>
                </c:pt>
                <c:pt idx="14">
                  <c:v>0.11764705882352942</c:v>
                </c:pt>
                <c:pt idx="15">
                  <c:v>6.666666666666668E-2</c:v>
                </c:pt>
                <c:pt idx="16">
                  <c:v>0</c:v>
                </c:pt>
                <c:pt idx="17">
                  <c:v>1</c:v>
                </c:pt>
              </c:numCache>
            </c:numRef>
          </c:val>
        </c:ser>
        <c:ser>
          <c:idx val="4"/>
          <c:order val="4"/>
          <c:tx>
            <c:strRef>
              <c:f>EstructuraEconomica!$Q$181</c:f>
              <c:strCache>
                <c:ptCount val="1"/>
                <c:pt idx="0">
                  <c:v>Socio</c:v>
                </c:pt>
              </c:strCache>
            </c:strRef>
          </c:tx>
          <c:spPr>
            <a:solidFill>
              <a:srgbClr val="00B050"/>
            </a:solidFill>
          </c:spPr>
          <c:invertIfNegative val="0"/>
          <c:cat>
            <c:strRef>
              <c:f>EstructuraEconomica!$B$182:$B$199</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EstructuraEconomica!$Q$182:$Q$199</c:f>
              <c:numCache>
                <c:formatCode>0,000</c:formatCode>
                <c:ptCount val="18"/>
                <c:pt idx="0">
                  <c:v>0</c:v>
                </c:pt>
                <c:pt idx="1">
                  <c:v>0</c:v>
                </c:pt>
                <c:pt idx="2">
                  <c:v>6.25E-2</c:v>
                </c:pt>
                <c:pt idx="3">
                  <c:v>1.8181818181818202E-2</c:v>
                </c:pt>
                <c:pt idx="4">
                  <c:v>2.4390243902439025E-2</c:v>
                </c:pt>
                <c:pt idx="5">
                  <c:v>3.6269430051813482E-2</c:v>
                </c:pt>
                <c:pt idx="6">
                  <c:v>3.125E-2</c:v>
                </c:pt>
                <c:pt idx="7">
                  <c:v>5.2941176470588207E-2</c:v>
                </c:pt>
                <c:pt idx="8">
                  <c:v>4.9645390070921988E-2</c:v>
                </c:pt>
                <c:pt idx="9">
                  <c:v>4.7619047619047623E-2</c:v>
                </c:pt>
                <c:pt idx="10">
                  <c:v>5.0724637681159424E-2</c:v>
                </c:pt>
                <c:pt idx="11">
                  <c:v>0.11304347826086956</c:v>
                </c:pt>
                <c:pt idx="12">
                  <c:v>0.05</c:v>
                </c:pt>
                <c:pt idx="13">
                  <c:v>6.1538461538461584E-2</c:v>
                </c:pt>
                <c:pt idx="14">
                  <c:v>5.8823529411764705E-2</c:v>
                </c:pt>
                <c:pt idx="15">
                  <c:v>6.666666666666668E-2</c:v>
                </c:pt>
                <c:pt idx="16">
                  <c:v>0.25</c:v>
                </c:pt>
                <c:pt idx="17">
                  <c:v>0</c:v>
                </c:pt>
              </c:numCache>
            </c:numRef>
          </c:val>
        </c:ser>
        <c:ser>
          <c:idx val="5"/>
          <c:order val="5"/>
          <c:tx>
            <c:strRef>
              <c:f>EstructuraEconomica!$R$181</c:f>
              <c:strCache>
                <c:ptCount val="1"/>
                <c:pt idx="0">
                  <c:v>Cuenta propia</c:v>
                </c:pt>
              </c:strCache>
            </c:strRef>
          </c:tx>
          <c:spPr>
            <a:solidFill>
              <a:schemeClr val="accent6">
                <a:lumMod val="75000"/>
              </a:schemeClr>
            </a:solidFill>
          </c:spPr>
          <c:invertIfNegative val="0"/>
          <c:dLbls>
            <c:dLbl>
              <c:idx val="16"/>
              <c:delete val="1"/>
            </c:dLbl>
            <c:dLbl>
              <c:idx val="17"/>
              <c:delete val="1"/>
            </c:dLbl>
            <c:dLbl>
              <c:idx val="19"/>
              <c:delete val="1"/>
            </c:dLbl>
            <c:numFmt formatCode="#,##0.000" sourceLinked="0"/>
            <c:txPr>
              <a:bodyPr/>
              <a:lstStyle/>
              <a:p>
                <a:pPr>
                  <a:defRPr sz="700"/>
                </a:pPr>
                <a:endParaRPr lang="es-EC"/>
              </a:p>
            </c:txPr>
            <c:dLblPos val="ctr"/>
            <c:showLegendKey val="0"/>
            <c:showVal val="1"/>
            <c:showCatName val="0"/>
            <c:showSerName val="0"/>
            <c:showPercent val="0"/>
            <c:showBubbleSize val="0"/>
            <c:showLeaderLines val="0"/>
          </c:dLbls>
          <c:cat>
            <c:strRef>
              <c:f>EstructuraEconomica!$B$182:$B$199</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EstructuraEconomica!$R$182:$R$199</c:f>
              <c:numCache>
                <c:formatCode>0,000</c:formatCode>
                <c:ptCount val="18"/>
                <c:pt idx="0">
                  <c:v>0.23076923076923112</c:v>
                </c:pt>
                <c:pt idx="1">
                  <c:v>0.58333333333333337</c:v>
                </c:pt>
                <c:pt idx="2">
                  <c:v>0.31250000000000033</c:v>
                </c:pt>
                <c:pt idx="3">
                  <c:v>0.1636363636363638</c:v>
                </c:pt>
                <c:pt idx="4">
                  <c:v>0.15243902439024407</c:v>
                </c:pt>
                <c:pt idx="5">
                  <c:v>0.17616580310880828</c:v>
                </c:pt>
                <c:pt idx="6">
                  <c:v>0.125</c:v>
                </c:pt>
                <c:pt idx="7">
                  <c:v>0.2352941176470589</c:v>
                </c:pt>
                <c:pt idx="8">
                  <c:v>0.20567375886524822</c:v>
                </c:pt>
                <c:pt idx="9">
                  <c:v>0.19047619047619077</c:v>
                </c:pt>
                <c:pt idx="10">
                  <c:v>0.18840579710144961</c:v>
                </c:pt>
                <c:pt idx="11">
                  <c:v>0.11304347826086956</c:v>
                </c:pt>
                <c:pt idx="12">
                  <c:v>0.17500000000000004</c:v>
                </c:pt>
                <c:pt idx="13">
                  <c:v>0.16923076923076918</c:v>
                </c:pt>
                <c:pt idx="14">
                  <c:v>0.29411764705882382</c:v>
                </c:pt>
                <c:pt idx="15">
                  <c:v>0.266666666666667</c:v>
                </c:pt>
                <c:pt idx="16">
                  <c:v>0</c:v>
                </c:pt>
                <c:pt idx="17">
                  <c:v>0</c:v>
                </c:pt>
              </c:numCache>
            </c:numRef>
          </c:val>
        </c:ser>
        <c:ser>
          <c:idx val="6"/>
          <c:order val="6"/>
          <c:tx>
            <c:strRef>
              <c:f>EstructuraEconomica!$S$181</c:f>
              <c:strCache>
                <c:ptCount val="1"/>
                <c:pt idx="0">
                  <c:v>Trabajo no remunerado</c:v>
                </c:pt>
              </c:strCache>
            </c:strRef>
          </c:tx>
          <c:spPr>
            <a:solidFill>
              <a:srgbClr val="FFFF00"/>
            </a:solidFill>
          </c:spPr>
          <c:invertIfNegative val="0"/>
          <c:cat>
            <c:strRef>
              <c:f>EstructuraEconomica!$B$182:$B$199</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EstructuraEconomica!$S$182:$S$199</c:f>
              <c:numCache>
                <c:formatCode>0,000</c:formatCode>
                <c:ptCount val="18"/>
                <c:pt idx="0">
                  <c:v>5.128205128205128E-2</c:v>
                </c:pt>
                <c:pt idx="1">
                  <c:v>8.3333333333333343E-2</c:v>
                </c:pt>
                <c:pt idx="2">
                  <c:v>0</c:v>
                </c:pt>
                <c:pt idx="3">
                  <c:v>1.8181818181818202E-2</c:v>
                </c:pt>
                <c:pt idx="4">
                  <c:v>6.7073170731707321E-2</c:v>
                </c:pt>
                <c:pt idx="5">
                  <c:v>2.5906735751295342E-2</c:v>
                </c:pt>
                <c:pt idx="6">
                  <c:v>5.6249999999999946E-2</c:v>
                </c:pt>
                <c:pt idx="7">
                  <c:v>3.5294117647058851E-2</c:v>
                </c:pt>
                <c:pt idx="8">
                  <c:v>5.6737588652482303E-2</c:v>
                </c:pt>
                <c:pt idx="9">
                  <c:v>4.7619047619047623E-2</c:v>
                </c:pt>
                <c:pt idx="10">
                  <c:v>2.8985507246376812E-2</c:v>
                </c:pt>
                <c:pt idx="11">
                  <c:v>1.7391304347826087E-2</c:v>
                </c:pt>
                <c:pt idx="12">
                  <c:v>7.5000000000000011E-2</c:v>
                </c:pt>
                <c:pt idx="13">
                  <c:v>0.15384615384615413</c:v>
                </c:pt>
                <c:pt idx="14">
                  <c:v>0.11764705882352942</c:v>
                </c:pt>
                <c:pt idx="15">
                  <c:v>0.2</c:v>
                </c:pt>
                <c:pt idx="16">
                  <c:v>0.5</c:v>
                </c:pt>
                <c:pt idx="17">
                  <c:v>0</c:v>
                </c:pt>
              </c:numCache>
            </c:numRef>
          </c:val>
        </c:ser>
        <c:ser>
          <c:idx val="7"/>
          <c:order val="7"/>
          <c:tx>
            <c:strRef>
              <c:f>EstructuraEconomica!$T$181</c:f>
              <c:strCache>
                <c:ptCount val="1"/>
                <c:pt idx="0">
                  <c:v>Empleado doméstico</c:v>
                </c:pt>
              </c:strCache>
            </c:strRef>
          </c:tx>
          <c:spPr>
            <a:solidFill>
              <a:srgbClr val="FF0000"/>
            </a:solidFill>
          </c:spPr>
          <c:invertIfNegative val="0"/>
          <c:cat>
            <c:strRef>
              <c:f>EstructuraEconomica!$B$182:$B$199</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EstructuraEconomica!$T$182:$T$199</c:f>
              <c:numCache>
                <c:formatCode>0,000</c:formatCode>
                <c:ptCount val="18"/>
                <c:pt idx="0">
                  <c:v>2.5641025641025685E-2</c:v>
                </c:pt>
                <c:pt idx="1">
                  <c:v>0</c:v>
                </c:pt>
                <c:pt idx="2">
                  <c:v>0</c:v>
                </c:pt>
                <c:pt idx="3">
                  <c:v>3.6363636363636362E-2</c:v>
                </c:pt>
                <c:pt idx="4">
                  <c:v>1.2195121951219513E-2</c:v>
                </c:pt>
                <c:pt idx="5">
                  <c:v>5.1813471502590788E-3</c:v>
                </c:pt>
                <c:pt idx="6">
                  <c:v>0</c:v>
                </c:pt>
                <c:pt idx="7">
                  <c:v>1.1764705882352957E-2</c:v>
                </c:pt>
                <c:pt idx="8">
                  <c:v>7.0921985815602887E-3</c:v>
                </c:pt>
                <c:pt idx="9">
                  <c:v>7.9365079365079413E-3</c:v>
                </c:pt>
                <c:pt idx="10">
                  <c:v>7.2463768115942143E-3</c:v>
                </c:pt>
                <c:pt idx="11">
                  <c:v>8.6956521739130575E-3</c:v>
                </c:pt>
                <c:pt idx="12">
                  <c:v>0</c:v>
                </c:pt>
                <c:pt idx="13">
                  <c:v>1.5384615384615403E-2</c:v>
                </c:pt>
                <c:pt idx="14">
                  <c:v>0</c:v>
                </c:pt>
                <c:pt idx="15">
                  <c:v>0</c:v>
                </c:pt>
                <c:pt idx="16">
                  <c:v>0</c:v>
                </c:pt>
                <c:pt idx="17">
                  <c:v>0</c:v>
                </c:pt>
              </c:numCache>
            </c:numRef>
          </c:val>
        </c:ser>
        <c:ser>
          <c:idx val="8"/>
          <c:order val="8"/>
          <c:tx>
            <c:strRef>
              <c:f>EstructuraEconomica!$U$181</c:f>
              <c:strCache>
                <c:ptCount val="1"/>
                <c:pt idx="0">
                  <c:v>Se ignora</c:v>
                </c:pt>
              </c:strCache>
            </c:strRef>
          </c:tx>
          <c:spPr>
            <a:solidFill>
              <a:schemeClr val="bg1">
                <a:lumMod val="65000"/>
              </a:schemeClr>
            </a:solidFill>
          </c:spPr>
          <c:invertIfNegative val="0"/>
          <c:cat>
            <c:strRef>
              <c:f>EstructuraEconomica!$B$182:$B$199</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EstructuraEconomica!$U$182:$U$199</c:f>
              <c:numCache>
                <c:formatCode>0,000</c:formatCode>
                <c:ptCount val="18"/>
                <c:pt idx="0">
                  <c:v>0.61538461538461564</c:v>
                </c:pt>
                <c:pt idx="1">
                  <c:v>0.25</c:v>
                </c:pt>
                <c:pt idx="2">
                  <c:v>0.125</c:v>
                </c:pt>
                <c:pt idx="3">
                  <c:v>5.4545454545454515E-2</c:v>
                </c:pt>
                <c:pt idx="4">
                  <c:v>4.2682926829268407E-2</c:v>
                </c:pt>
                <c:pt idx="5">
                  <c:v>6.7357512953367921E-2</c:v>
                </c:pt>
                <c:pt idx="6">
                  <c:v>1.8749999999999999E-2</c:v>
                </c:pt>
                <c:pt idx="7">
                  <c:v>4.7058823529411813E-2</c:v>
                </c:pt>
                <c:pt idx="8">
                  <c:v>3.5460992907801435E-2</c:v>
                </c:pt>
                <c:pt idx="9">
                  <c:v>2.3809523809523812E-2</c:v>
                </c:pt>
                <c:pt idx="10">
                  <c:v>6.5217391304347824E-2</c:v>
                </c:pt>
                <c:pt idx="11">
                  <c:v>6.9565217391304404E-2</c:v>
                </c:pt>
                <c:pt idx="12">
                  <c:v>6.25E-2</c:v>
                </c:pt>
                <c:pt idx="13">
                  <c:v>1.5384615384615403E-2</c:v>
                </c:pt>
                <c:pt idx="14">
                  <c:v>8.8235294117647176E-2</c:v>
                </c:pt>
                <c:pt idx="15">
                  <c:v>0.13333333333333341</c:v>
                </c:pt>
                <c:pt idx="16">
                  <c:v>0</c:v>
                </c:pt>
                <c:pt idx="17">
                  <c:v>0</c:v>
                </c:pt>
              </c:numCache>
            </c:numRef>
          </c:val>
        </c:ser>
        <c:dLbls>
          <c:showLegendKey val="0"/>
          <c:showVal val="0"/>
          <c:showCatName val="0"/>
          <c:showSerName val="0"/>
          <c:showPercent val="0"/>
          <c:showBubbleSize val="0"/>
        </c:dLbls>
        <c:gapWidth val="0"/>
        <c:overlap val="100"/>
        <c:axId val="287165056"/>
        <c:axId val="287171328"/>
      </c:barChart>
      <c:catAx>
        <c:axId val="287165056"/>
        <c:scaling>
          <c:orientation val="maxMin"/>
        </c:scaling>
        <c:delete val="0"/>
        <c:axPos val="l"/>
        <c:title>
          <c:tx>
            <c:rich>
              <a:bodyPr rot="-5400000" vert="horz"/>
              <a:lstStyle/>
              <a:p>
                <a:pPr>
                  <a:defRPr/>
                </a:pPr>
                <a:r>
                  <a:rPr lang="es-EC"/>
                  <a:t>Grupos Etarios</a:t>
                </a:r>
              </a:p>
            </c:rich>
          </c:tx>
          <c:overlay val="0"/>
        </c:title>
        <c:numFmt formatCode="0,000" sourceLinked="1"/>
        <c:majorTickMark val="out"/>
        <c:minorTickMark val="none"/>
        <c:tickLblPos val="nextTo"/>
        <c:spPr>
          <a:ln>
            <a:solidFill>
              <a:schemeClr val="tx1"/>
            </a:solidFill>
          </a:ln>
        </c:spPr>
        <c:crossAx val="287171328"/>
        <c:crosses val="autoZero"/>
        <c:auto val="1"/>
        <c:lblAlgn val="ctr"/>
        <c:lblOffset val="100"/>
        <c:noMultiLvlLbl val="0"/>
      </c:catAx>
      <c:valAx>
        <c:axId val="287171328"/>
        <c:scaling>
          <c:orientation val="minMax"/>
          <c:max val="1"/>
          <c:min val="0"/>
        </c:scaling>
        <c:delete val="0"/>
        <c:axPos val="t"/>
        <c:title>
          <c:tx>
            <c:rich>
              <a:bodyPr/>
              <a:lstStyle/>
              <a:p>
                <a:pPr>
                  <a:defRPr/>
                </a:pPr>
                <a:r>
                  <a:rPr lang="es-EC"/>
                  <a:t>Frecuencia Relativa</a:t>
                </a:r>
              </a:p>
            </c:rich>
          </c:tx>
          <c:layout>
            <c:manualLayout>
              <c:xMode val="edge"/>
              <c:yMode val="edge"/>
              <c:x val="0.28706889763779575"/>
              <c:y val="0.95232690253341046"/>
            </c:manualLayout>
          </c:layout>
          <c:overlay val="0"/>
        </c:title>
        <c:numFmt formatCode="#,##0.00" sourceLinked="0"/>
        <c:majorTickMark val="in"/>
        <c:minorTickMark val="none"/>
        <c:tickLblPos val="high"/>
        <c:spPr>
          <a:ln>
            <a:solidFill>
              <a:schemeClr val="tx1"/>
            </a:solidFill>
          </a:ln>
        </c:spPr>
        <c:crossAx val="287165056"/>
        <c:crossesAt val="21"/>
        <c:crossBetween val="between"/>
        <c:majorUnit val="0.2"/>
      </c:valAx>
      <c:spPr>
        <a:noFill/>
        <a:ln>
          <a:solidFill>
            <a:schemeClr val="tx1"/>
          </a:solidFill>
        </a:ln>
      </c:spPr>
    </c:plotArea>
    <c:legend>
      <c:legendPos val="r"/>
      <c:layout>
        <c:manualLayout>
          <c:xMode val="edge"/>
          <c:yMode val="edge"/>
          <c:x val="0.65050021872265951"/>
          <c:y val="4.8660823503701732E-2"/>
          <c:w val="0.332833114610674"/>
          <c:h val="0.88093183816055365"/>
        </c:manualLayout>
      </c:layout>
      <c:overlay val="0"/>
      <c:txPr>
        <a:bodyPr/>
        <a:lstStyle/>
        <a:p>
          <a:pPr>
            <a:defRPr sz="750"/>
          </a:pPr>
          <a:endParaRPr lang="es-EC"/>
        </a:p>
      </c:txPr>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332492752131482"/>
          <c:y val="3.8244236399205218E-2"/>
          <c:w val="0.49864306177414147"/>
          <c:h val="0.84558101517587203"/>
        </c:manualLayout>
      </c:layout>
      <c:barChart>
        <c:barDir val="bar"/>
        <c:grouping val="clustered"/>
        <c:varyColors val="0"/>
        <c:ser>
          <c:idx val="0"/>
          <c:order val="0"/>
          <c:spPr>
            <a:gradFill>
              <a:gsLst>
                <a:gs pos="0">
                  <a:schemeClr val="bg1">
                    <a:lumMod val="65000"/>
                  </a:schemeClr>
                </a:gs>
                <a:gs pos="50000">
                  <a:schemeClr val="bg1">
                    <a:lumMod val="95000"/>
                  </a:schemeClr>
                </a:gs>
                <a:gs pos="100000">
                  <a:schemeClr val="bg1">
                    <a:lumMod val="65000"/>
                  </a:schemeClr>
                </a:gs>
              </a:gsLst>
              <a:lin ang="13200000" scaled="0"/>
            </a:gradFill>
            <a:ln>
              <a:solidFill>
                <a:schemeClr val="bg1">
                  <a:lumMod val="50000"/>
                </a:schemeClr>
              </a:solidFill>
            </a:ln>
          </c:spPr>
          <c:invertIfNegative val="0"/>
          <c:dLbls>
            <c:numFmt formatCode="#,##0.000" sourceLinked="0"/>
            <c:dLblPos val="outEnd"/>
            <c:showLegendKey val="0"/>
            <c:showVal val="1"/>
            <c:showCatName val="0"/>
            <c:showSerName val="0"/>
            <c:showPercent val="0"/>
            <c:showBubbleSize val="0"/>
            <c:showLeaderLines val="0"/>
          </c:dLbls>
          <c:cat>
            <c:strRef>
              <c:f>EstructuraEconomica!$G$205:$G$216</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EstructuraEconomica!$H$205:$H$216</c:f>
              <c:numCache>
                <c:formatCode>0,000</c:formatCode>
                <c:ptCount val="12"/>
                <c:pt idx="0">
                  <c:v>0.16151419558359639</c:v>
                </c:pt>
                <c:pt idx="1">
                  <c:v>0.27066246056782367</c:v>
                </c:pt>
                <c:pt idx="2">
                  <c:v>9.4637223974763582E-2</c:v>
                </c:pt>
                <c:pt idx="3">
                  <c:v>9.5899053627760258E-2</c:v>
                </c:pt>
                <c:pt idx="4">
                  <c:v>0.10662460567823365</c:v>
                </c:pt>
                <c:pt idx="5">
                  <c:v>2.2082018927444842E-2</c:v>
                </c:pt>
                <c:pt idx="6">
                  <c:v>5.6151419558359617E-2</c:v>
                </c:pt>
                <c:pt idx="7">
                  <c:v>1.7665615141955842E-2</c:v>
                </c:pt>
                <c:pt idx="8">
                  <c:v>4.7318611987381846E-2</c:v>
                </c:pt>
                <c:pt idx="9">
                  <c:v>6.3091482649842395E-4</c:v>
                </c:pt>
                <c:pt idx="10">
                  <c:v>3.5962145110410092E-2</c:v>
                </c:pt>
                <c:pt idx="11">
                  <c:v>9.0851735015772969E-2</c:v>
                </c:pt>
              </c:numCache>
            </c:numRef>
          </c:val>
        </c:ser>
        <c:dLbls>
          <c:showLegendKey val="0"/>
          <c:showVal val="1"/>
          <c:showCatName val="0"/>
          <c:showSerName val="0"/>
          <c:showPercent val="0"/>
          <c:showBubbleSize val="0"/>
        </c:dLbls>
        <c:gapWidth val="40"/>
        <c:axId val="287195136"/>
        <c:axId val="287198208"/>
      </c:barChart>
      <c:catAx>
        <c:axId val="287195136"/>
        <c:scaling>
          <c:orientation val="maxMin"/>
        </c:scaling>
        <c:delete val="0"/>
        <c:axPos val="l"/>
        <c:title>
          <c:tx>
            <c:rich>
              <a:bodyPr rot="-5400000" vert="horz"/>
              <a:lstStyle/>
              <a:p>
                <a:pPr>
                  <a:defRPr/>
                </a:pPr>
                <a:r>
                  <a:rPr lang="es-EC"/>
                  <a:t>Ocupación</a:t>
                </a:r>
              </a:p>
            </c:rich>
          </c:tx>
          <c:overlay val="0"/>
        </c:title>
        <c:numFmt formatCode="0,000" sourceLinked="1"/>
        <c:majorTickMark val="out"/>
        <c:minorTickMark val="none"/>
        <c:tickLblPos val="nextTo"/>
        <c:spPr>
          <a:ln>
            <a:solidFill>
              <a:schemeClr val="tx1"/>
            </a:solidFill>
          </a:ln>
        </c:spPr>
        <c:txPr>
          <a:bodyPr/>
          <a:lstStyle/>
          <a:p>
            <a:pPr>
              <a:defRPr sz="800"/>
            </a:pPr>
            <a:endParaRPr lang="es-EC"/>
          </a:p>
        </c:txPr>
        <c:crossAx val="287198208"/>
        <c:crossesAt val="0"/>
        <c:auto val="1"/>
        <c:lblAlgn val="ctr"/>
        <c:lblOffset val="100"/>
        <c:noMultiLvlLbl val="0"/>
      </c:catAx>
      <c:valAx>
        <c:axId val="287198208"/>
        <c:scaling>
          <c:orientation val="minMax"/>
          <c:max val="1"/>
          <c:min val="0"/>
        </c:scaling>
        <c:delete val="0"/>
        <c:axPos val="t"/>
        <c:title>
          <c:tx>
            <c:rich>
              <a:bodyPr/>
              <a:lstStyle/>
              <a:p>
                <a:pPr>
                  <a:defRPr/>
                </a:pPr>
                <a:r>
                  <a:rPr lang="es-EC"/>
                  <a:t>Frecuencia</a:t>
                </a:r>
                <a:r>
                  <a:rPr lang="es-EC" baseline="0"/>
                  <a:t> Relativa</a:t>
                </a:r>
                <a:endParaRPr lang="es-EC"/>
              </a:p>
            </c:rich>
          </c:tx>
          <c:layout>
            <c:manualLayout>
              <c:xMode val="edge"/>
              <c:yMode val="edge"/>
              <c:x val="0.6117971854825337"/>
              <c:y val="0.95056682384615887"/>
            </c:manualLayout>
          </c:layout>
          <c:overlay val="0"/>
        </c:title>
        <c:numFmt formatCode="#,##0.00" sourceLinked="0"/>
        <c:majorTickMark val="in"/>
        <c:minorTickMark val="none"/>
        <c:tickLblPos val="high"/>
        <c:spPr>
          <a:ln>
            <a:solidFill>
              <a:schemeClr val="tx1"/>
            </a:solidFill>
          </a:ln>
        </c:spPr>
        <c:crossAx val="287195136"/>
        <c:crossesAt val="13"/>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33264263019754"/>
          <c:y val="3.9396164784407342E-2"/>
          <c:w val="0.79920904623764133"/>
          <c:h val="0.75036189819338295"/>
        </c:manualLayout>
      </c:layout>
      <c:barChart>
        <c:barDir val="col"/>
        <c:grouping val="clustered"/>
        <c:varyColors val="0"/>
        <c:ser>
          <c:idx val="0"/>
          <c:order val="0"/>
          <c:spPr>
            <a:gradFill>
              <a:gsLst>
                <a:gs pos="0">
                  <a:prstClr val="white">
                    <a:lumMod val="65000"/>
                  </a:prstClr>
                </a:gs>
                <a:gs pos="50000">
                  <a:schemeClr val="bg1">
                    <a:lumMod val="85000"/>
                  </a:schemeClr>
                </a:gs>
                <a:gs pos="100000">
                  <a:prstClr val="white">
                    <a:lumMod val="65000"/>
                  </a:prstClr>
                </a:gs>
              </a:gsLst>
              <a:lin ang="2400000" scaled="0"/>
            </a:gradFill>
            <a:ln w="9525">
              <a:solidFill>
                <a:schemeClr val="bg1">
                  <a:lumMod val="50000"/>
                </a:schemeClr>
              </a:solidFill>
            </a:ln>
          </c:spPr>
          <c:invertIfNegative val="0"/>
          <c:dLbls>
            <c:dLbl>
              <c:idx val="5"/>
              <c:layout>
                <c:manualLayout>
                  <c:x val="0"/>
                  <c:y val="2.9197080291970798E-2"/>
                </c:manualLayout>
              </c:layout>
              <c:showLegendKey val="0"/>
              <c:showVal val="1"/>
              <c:showCatName val="0"/>
              <c:showSerName val="0"/>
              <c:showPercent val="0"/>
              <c:showBubbleSize val="0"/>
            </c:dLbl>
            <c:dLbl>
              <c:idx val="6"/>
              <c:spPr>
                <a:solidFill>
                  <a:schemeClr val="bg1"/>
                </a:solidFill>
              </c:spPr>
              <c:txPr>
                <a:bodyPr/>
                <a:lstStyle/>
                <a:p>
                  <a:pPr>
                    <a:defRPr sz="700"/>
                  </a:pPr>
                  <a:endParaRPr lang="es-EC"/>
                </a:p>
              </c:txPr>
              <c:showLegendKey val="0"/>
              <c:showVal val="1"/>
              <c:showCatName val="0"/>
              <c:showSerName val="0"/>
              <c:showPercent val="0"/>
              <c:showBubbleSize val="0"/>
            </c:dLbl>
            <c:txPr>
              <a:bodyPr/>
              <a:lstStyle/>
              <a:p>
                <a:pPr>
                  <a:defRPr sz="700"/>
                </a:pPr>
                <a:endParaRPr lang="es-EC"/>
              </a:p>
            </c:txPr>
            <c:showLegendKey val="0"/>
            <c:showVal val="1"/>
            <c:showCatName val="0"/>
            <c:showSerName val="0"/>
            <c:showPercent val="0"/>
            <c:showBubbleSize val="0"/>
            <c:showLeaderLines val="0"/>
          </c:dLbls>
          <c:cat>
            <c:numRef>
              <c:f>Hoja1!$A$105:$A$110</c:f>
              <c:numCache>
                <c:formatCode>General</c:formatCode>
                <c:ptCount val="6"/>
                <c:pt idx="0">
                  <c:v>1950</c:v>
                </c:pt>
                <c:pt idx="1">
                  <c:v>1962</c:v>
                </c:pt>
                <c:pt idx="2">
                  <c:v>1974</c:v>
                </c:pt>
                <c:pt idx="3">
                  <c:v>1982</c:v>
                </c:pt>
                <c:pt idx="4">
                  <c:v>1990</c:v>
                </c:pt>
                <c:pt idx="5">
                  <c:v>2001</c:v>
                </c:pt>
              </c:numCache>
            </c:numRef>
          </c:cat>
          <c:val>
            <c:numRef>
              <c:f>Hoja1!$B$105:$B$110</c:f>
              <c:numCache>
                <c:formatCode>General</c:formatCode>
                <c:ptCount val="6"/>
                <c:pt idx="0">
                  <c:v>3202757</c:v>
                </c:pt>
                <c:pt idx="1">
                  <c:v>4564080</c:v>
                </c:pt>
                <c:pt idx="2">
                  <c:v>6521710</c:v>
                </c:pt>
                <c:pt idx="3">
                  <c:v>8138974</c:v>
                </c:pt>
                <c:pt idx="4">
                  <c:v>9697979</c:v>
                </c:pt>
                <c:pt idx="5">
                  <c:v>12156608</c:v>
                </c:pt>
              </c:numCache>
            </c:numRef>
          </c:val>
        </c:ser>
        <c:dLbls>
          <c:showLegendKey val="0"/>
          <c:showVal val="1"/>
          <c:showCatName val="0"/>
          <c:showSerName val="0"/>
          <c:showPercent val="0"/>
          <c:showBubbleSize val="0"/>
        </c:dLbls>
        <c:gapWidth val="150"/>
        <c:axId val="206010240"/>
        <c:axId val="206153984"/>
      </c:barChart>
      <c:catAx>
        <c:axId val="206010240"/>
        <c:scaling>
          <c:orientation val="minMax"/>
        </c:scaling>
        <c:delete val="0"/>
        <c:axPos val="b"/>
        <c:title>
          <c:tx>
            <c:rich>
              <a:bodyPr/>
              <a:lstStyle/>
              <a:p>
                <a:pPr>
                  <a:defRPr/>
                </a:pPr>
                <a:r>
                  <a:rPr lang="en-US"/>
                  <a:t>Censo</a:t>
                </a:r>
              </a:p>
            </c:rich>
          </c:tx>
          <c:overlay val="0"/>
        </c:title>
        <c:numFmt formatCode="General" sourceLinked="1"/>
        <c:majorTickMark val="out"/>
        <c:minorTickMark val="none"/>
        <c:tickLblPos val="nextTo"/>
        <c:spPr>
          <a:ln>
            <a:solidFill>
              <a:schemeClr val="tx1"/>
            </a:solidFill>
          </a:ln>
        </c:spPr>
        <c:txPr>
          <a:bodyPr/>
          <a:lstStyle/>
          <a:p>
            <a:pPr>
              <a:defRPr sz="750"/>
            </a:pPr>
            <a:endParaRPr lang="es-EC"/>
          </a:p>
        </c:txPr>
        <c:crossAx val="206153984"/>
        <c:crosses val="autoZero"/>
        <c:auto val="1"/>
        <c:lblAlgn val="ctr"/>
        <c:lblOffset val="100"/>
        <c:noMultiLvlLbl val="0"/>
      </c:catAx>
      <c:valAx>
        <c:axId val="206153984"/>
        <c:scaling>
          <c:orientation val="minMax"/>
        </c:scaling>
        <c:delete val="0"/>
        <c:axPos val="l"/>
        <c:title>
          <c:tx>
            <c:rich>
              <a:bodyPr rot="-5400000" vert="horz"/>
              <a:lstStyle/>
              <a:p>
                <a:pPr>
                  <a:defRPr/>
                </a:pPr>
                <a:r>
                  <a:rPr lang="en-US"/>
                  <a:t>Población Total</a:t>
                </a:r>
              </a:p>
            </c:rich>
          </c:tx>
          <c:layout>
            <c:manualLayout>
              <c:xMode val="edge"/>
              <c:yMode val="edge"/>
              <c:x val="1.6592662759260354E-3"/>
              <c:y val="8.5817958886526047E-2"/>
            </c:manualLayout>
          </c:layout>
          <c:overlay val="0"/>
        </c:title>
        <c:numFmt formatCode="General" sourceLinked="1"/>
        <c:majorTickMark val="out"/>
        <c:minorTickMark val="none"/>
        <c:tickLblPos val="nextTo"/>
        <c:spPr>
          <a:ln>
            <a:solidFill>
              <a:sysClr val="windowText" lastClr="000000"/>
            </a:solidFill>
          </a:ln>
        </c:spPr>
        <c:txPr>
          <a:bodyPr/>
          <a:lstStyle/>
          <a:p>
            <a:pPr>
              <a:defRPr sz="700"/>
            </a:pPr>
            <a:endParaRPr lang="es-EC"/>
          </a:p>
        </c:txPr>
        <c:crossAx val="206010240"/>
        <c:crosses val="autoZero"/>
        <c:crossBetween val="between"/>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8873658431765"/>
          <c:y val="7.7924323600695011E-2"/>
          <c:w val="0.86616405980926559"/>
          <c:h val="0.65628725650812125"/>
        </c:manualLayout>
      </c:layout>
      <c:lineChart>
        <c:grouping val="standard"/>
        <c:varyColors val="0"/>
        <c:ser>
          <c:idx val="0"/>
          <c:order val="0"/>
          <c:spPr>
            <a:ln w="19050">
              <a:solidFill>
                <a:srgbClr val="0070C0"/>
              </a:solidFill>
            </a:ln>
          </c:spPr>
          <c:marker>
            <c:symbol val="none"/>
          </c:marker>
          <c:cat>
            <c:strRef>
              <c:f>Inmigrantes_Guayaquil!$J$224:$J$244</c:f>
              <c:strCache>
                <c:ptCount val="21"/>
                <c:pt idx="0">
                  <c:v>&lt; 5</c:v>
                </c:pt>
                <c:pt idx="1">
                  <c:v>  5 a 9 </c:v>
                </c:pt>
                <c:pt idx="2">
                  <c:v>  10 a 14 </c:v>
                </c:pt>
                <c:pt idx="3">
                  <c:v>  15 a 19 </c:v>
                </c:pt>
                <c:pt idx="4">
                  <c:v>  20 a 24 </c:v>
                </c:pt>
                <c:pt idx="5">
                  <c:v>  25 a 29 </c:v>
                </c:pt>
                <c:pt idx="6">
                  <c:v>  30 a 34 </c:v>
                </c:pt>
                <c:pt idx="7">
                  <c:v>  35 a 39 </c:v>
                </c:pt>
                <c:pt idx="8">
                  <c:v>  40 a 44 </c:v>
                </c:pt>
                <c:pt idx="9">
                  <c:v>  45 a 49 </c:v>
                </c:pt>
                <c:pt idx="10">
                  <c:v>  50 a 54 </c:v>
                </c:pt>
                <c:pt idx="11">
                  <c:v>  55 a 59 </c:v>
                </c:pt>
                <c:pt idx="12">
                  <c:v>  60 a 64 </c:v>
                </c:pt>
                <c:pt idx="13">
                  <c:v>  65 a 69 </c:v>
                </c:pt>
                <c:pt idx="14">
                  <c:v>  70 a 74 </c:v>
                </c:pt>
                <c:pt idx="15">
                  <c:v>  75 a 79 </c:v>
                </c:pt>
                <c:pt idx="16">
                  <c:v>  80 a 84 </c:v>
                </c:pt>
                <c:pt idx="17">
                  <c:v>  85 a 89 </c:v>
                </c:pt>
                <c:pt idx="18">
                  <c:v>  90 a 94 </c:v>
                </c:pt>
                <c:pt idx="19">
                  <c:v>  95 a 99 </c:v>
                </c:pt>
                <c:pt idx="20">
                  <c:v>&gt; 100</c:v>
                </c:pt>
              </c:strCache>
            </c:strRef>
          </c:cat>
          <c:val>
            <c:numRef>
              <c:f>Inmigrantes_Guayaquil!$M$224:$M$244</c:f>
              <c:numCache>
                <c:formatCode>0.00</c:formatCode>
                <c:ptCount val="21"/>
                <c:pt idx="0">
                  <c:v>762.52209781968179</c:v>
                </c:pt>
                <c:pt idx="1">
                  <c:v>866.51204741657011</c:v>
                </c:pt>
                <c:pt idx="2">
                  <c:v>910.16867469879514</c:v>
                </c:pt>
                <c:pt idx="3">
                  <c:v>937.39910313901339</c:v>
                </c:pt>
                <c:pt idx="4">
                  <c:v>957.14687336840859</c:v>
                </c:pt>
                <c:pt idx="5">
                  <c:v>963.119145553213</c:v>
                </c:pt>
                <c:pt idx="6">
                  <c:v>971.5679313431915</c:v>
                </c:pt>
                <c:pt idx="7">
                  <c:v>975.86987982130506</c:v>
                </c:pt>
                <c:pt idx="8">
                  <c:v>979.70252013509946</c:v>
                </c:pt>
                <c:pt idx="9">
                  <c:v>982.23099703849959</c:v>
                </c:pt>
                <c:pt idx="10">
                  <c:v>982.75266008527535</c:v>
                </c:pt>
                <c:pt idx="11">
                  <c:v>984.15220942038547</c:v>
                </c:pt>
                <c:pt idx="12">
                  <c:v>983.28452903855555</c:v>
                </c:pt>
                <c:pt idx="13">
                  <c:v>986.66770622173703</c:v>
                </c:pt>
                <c:pt idx="14">
                  <c:v>985.15110321028942</c:v>
                </c:pt>
                <c:pt idx="15">
                  <c:v>988.97565457050985</c:v>
                </c:pt>
                <c:pt idx="16">
                  <c:v>987.29695960016738</c:v>
                </c:pt>
                <c:pt idx="17">
                  <c:v>987.83185840707949</c:v>
                </c:pt>
                <c:pt idx="18">
                  <c:v>989.57497995188567</c:v>
                </c:pt>
                <c:pt idx="19">
                  <c:v>997.53694581280786</c:v>
                </c:pt>
                <c:pt idx="20">
                  <c:v>991.59663865546224</c:v>
                </c:pt>
              </c:numCache>
            </c:numRef>
          </c:val>
          <c:smooth val="1"/>
        </c:ser>
        <c:ser>
          <c:idx val="1"/>
          <c:order val="1"/>
          <c:spPr>
            <a:ln w="19050">
              <a:solidFill>
                <a:schemeClr val="accent6">
                  <a:lumMod val="75000"/>
                </a:schemeClr>
              </a:solidFill>
            </a:ln>
          </c:spPr>
          <c:marker>
            <c:symbol val="none"/>
          </c:marker>
          <c:cat>
            <c:strRef>
              <c:f>Inmigrantes_Guayaquil!$J$224:$J$244</c:f>
              <c:strCache>
                <c:ptCount val="21"/>
                <c:pt idx="0">
                  <c:v>&lt; 5</c:v>
                </c:pt>
                <c:pt idx="1">
                  <c:v>  5 a 9 </c:v>
                </c:pt>
                <c:pt idx="2">
                  <c:v>  10 a 14 </c:v>
                </c:pt>
                <c:pt idx="3">
                  <c:v>  15 a 19 </c:v>
                </c:pt>
                <c:pt idx="4">
                  <c:v>  20 a 24 </c:v>
                </c:pt>
                <c:pt idx="5">
                  <c:v>  25 a 29 </c:v>
                </c:pt>
                <c:pt idx="6">
                  <c:v>  30 a 34 </c:v>
                </c:pt>
                <c:pt idx="7">
                  <c:v>  35 a 39 </c:v>
                </c:pt>
                <c:pt idx="8">
                  <c:v>  40 a 44 </c:v>
                </c:pt>
                <c:pt idx="9">
                  <c:v>  45 a 49 </c:v>
                </c:pt>
                <c:pt idx="10">
                  <c:v>  50 a 54 </c:v>
                </c:pt>
                <c:pt idx="11">
                  <c:v>  55 a 59 </c:v>
                </c:pt>
                <c:pt idx="12">
                  <c:v>  60 a 64 </c:v>
                </c:pt>
                <c:pt idx="13">
                  <c:v>  65 a 69 </c:v>
                </c:pt>
                <c:pt idx="14">
                  <c:v>  70 a 74 </c:v>
                </c:pt>
                <c:pt idx="15">
                  <c:v>  75 a 79 </c:v>
                </c:pt>
                <c:pt idx="16">
                  <c:v>  80 a 84 </c:v>
                </c:pt>
                <c:pt idx="17">
                  <c:v>  85 a 89 </c:v>
                </c:pt>
                <c:pt idx="18">
                  <c:v>  90 a 94 </c:v>
                </c:pt>
                <c:pt idx="19">
                  <c:v>  95 a 99 </c:v>
                </c:pt>
                <c:pt idx="20">
                  <c:v>&gt; 100</c:v>
                </c:pt>
              </c:strCache>
            </c:strRef>
          </c:cat>
          <c:val>
            <c:numRef>
              <c:f>Inmigrantes_Guayaquil!$N$224:$N$244</c:f>
              <c:numCache>
                <c:formatCode>0.00</c:formatCode>
                <c:ptCount val="21"/>
                <c:pt idx="0">
                  <c:v>237.47790218031818</c:v>
                </c:pt>
                <c:pt idx="1">
                  <c:v>133.48795258343014</c:v>
                </c:pt>
                <c:pt idx="2">
                  <c:v>89.831325301204814</c:v>
                </c:pt>
                <c:pt idx="3">
                  <c:v>62.600896860986545</c:v>
                </c:pt>
                <c:pt idx="4">
                  <c:v>42.853126631591586</c:v>
                </c:pt>
                <c:pt idx="5">
                  <c:v>36.880854446787119</c:v>
                </c:pt>
                <c:pt idx="6">
                  <c:v>28.4320686568086</c:v>
                </c:pt>
                <c:pt idx="7">
                  <c:v>24.13012017869503</c:v>
                </c:pt>
                <c:pt idx="8">
                  <c:v>20.297479864899973</c:v>
                </c:pt>
                <c:pt idx="9">
                  <c:v>17.769002961500487</c:v>
                </c:pt>
                <c:pt idx="10">
                  <c:v>17.247339914723582</c:v>
                </c:pt>
                <c:pt idx="11">
                  <c:v>15.84779057961418</c:v>
                </c:pt>
                <c:pt idx="12">
                  <c:v>16.71547096144463</c:v>
                </c:pt>
                <c:pt idx="13">
                  <c:v>13.332293778262915</c:v>
                </c:pt>
                <c:pt idx="14">
                  <c:v>14.848896789710343</c:v>
                </c:pt>
                <c:pt idx="15">
                  <c:v>11.02434542949011</c:v>
                </c:pt>
                <c:pt idx="16">
                  <c:v>12.703040399833403</c:v>
                </c:pt>
                <c:pt idx="17">
                  <c:v>12.168141592920353</c:v>
                </c:pt>
                <c:pt idx="18">
                  <c:v>10.425020048115478</c:v>
                </c:pt>
                <c:pt idx="19">
                  <c:v>2.4630541871921192</c:v>
                </c:pt>
                <c:pt idx="20">
                  <c:v>8.4033613445378119</c:v>
                </c:pt>
              </c:numCache>
            </c:numRef>
          </c:val>
          <c:smooth val="1"/>
        </c:ser>
        <c:dLbls>
          <c:showLegendKey val="0"/>
          <c:showVal val="0"/>
          <c:showCatName val="0"/>
          <c:showSerName val="0"/>
          <c:showPercent val="0"/>
          <c:showBubbleSize val="0"/>
        </c:dLbls>
        <c:marker val="1"/>
        <c:smooth val="0"/>
        <c:axId val="236655744"/>
        <c:axId val="236657664"/>
      </c:lineChart>
      <c:catAx>
        <c:axId val="236655744"/>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36657664"/>
        <c:crosses val="autoZero"/>
        <c:auto val="1"/>
        <c:lblAlgn val="ctr"/>
        <c:lblOffset val="100"/>
        <c:noMultiLvlLbl val="0"/>
      </c:catAx>
      <c:valAx>
        <c:axId val="236657664"/>
        <c:scaling>
          <c:orientation val="minMax"/>
          <c:max val="1000"/>
          <c:min val="0"/>
        </c:scaling>
        <c:delete val="0"/>
        <c:axPos val="l"/>
        <c:title>
          <c:tx>
            <c:rich>
              <a:bodyPr rot="-5400000" vert="horz"/>
              <a:lstStyle/>
              <a:p>
                <a:pPr>
                  <a:defRPr sz="700"/>
                </a:pPr>
                <a:r>
                  <a:rPr lang="es-EC" sz="700"/>
                  <a:t>Tasa por cada 1000 Inmigrantes</a:t>
                </a:r>
              </a:p>
            </c:rich>
          </c:tx>
          <c:overlay val="0"/>
        </c:title>
        <c:numFmt formatCode="0" sourceLinked="0"/>
        <c:majorTickMark val="out"/>
        <c:minorTickMark val="none"/>
        <c:tickLblPos val="nextTo"/>
        <c:spPr>
          <a:ln>
            <a:solidFill>
              <a:schemeClr val="tx1"/>
            </a:solidFill>
          </a:ln>
        </c:spPr>
        <c:txPr>
          <a:bodyPr/>
          <a:lstStyle/>
          <a:p>
            <a:pPr>
              <a:defRPr sz="700"/>
            </a:pPr>
            <a:endParaRPr lang="es-EC"/>
          </a:p>
        </c:txPr>
        <c:crossAx val="236655744"/>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78530067333589"/>
          <c:y val="5.7049797103007192E-2"/>
          <c:w val="0.51184667541557338"/>
          <c:h val="0.83631865129486804"/>
        </c:manualLayout>
      </c:layout>
      <c:barChart>
        <c:barDir val="bar"/>
        <c:grouping val="stacked"/>
        <c:varyColors val="0"/>
        <c:ser>
          <c:idx val="0"/>
          <c:order val="0"/>
          <c:tx>
            <c:strRef>
              <c:f>EstructuraEconomica!$G$225</c:f>
              <c:strCache>
                <c:ptCount val="1"/>
                <c:pt idx="0">
                  <c:v>Hombre</c:v>
                </c:pt>
              </c:strCache>
            </c:strRef>
          </c:tx>
          <c:spPr>
            <a:solidFill>
              <a:srgbClr val="00B0F0"/>
            </a:solidFill>
          </c:spPr>
          <c:invertIfNegative val="0"/>
          <c:dLbls>
            <c:dLbl>
              <c:idx val="0"/>
              <c:layout>
                <c:manualLayout>
                  <c:x val="-5.7715660542432233E-2"/>
                  <c:y val="0"/>
                </c:manualLayout>
              </c:layout>
              <c:dLblPos val="ctr"/>
              <c:showLegendKey val="0"/>
              <c:showVal val="1"/>
              <c:showCatName val="0"/>
              <c:showSerName val="0"/>
              <c:showPercent val="0"/>
              <c:showBubbleSize val="0"/>
            </c:dLbl>
            <c:dLbl>
              <c:idx val="1"/>
              <c:layout>
                <c:manualLayout>
                  <c:x val="-6.6965004374453199E-2"/>
                  <c:y val="3.2303654350898455E-7"/>
                </c:manualLayout>
              </c:layout>
              <c:dLblPos val="ctr"/>
              <c:showLegendKey val="0"/>
              <c:showVal val="1"/>
              <c:showCatName val="0"/>
              <c:showSerName val="0"/>
              <c:showPercent val="0"/>
              <c:showBubbleSize val="0"/>
            </c:dLbl>
            <c:dLbl>
              <c:idx val="2"/>
              <c:layout>
                <c:manualLayout>
                  <c:x val="-4.40866141732284E-2"/>
                  <c:y val="0"/>
                </c:manualLayout>
              </c:layout>
              <c:dLblPos val="ctr"/>
              <c:showLegendKey val="0"/>
              <c:showVal val="1"/>
              <c:showCatName val="0"/>
              <c:showSerName val="0"/>
              <c:showPercent val="0"/>
              <c:showBubbleSize val="0"/>
            </c:dLbl>
            <c:dLbl>
              <c:idx val="3"/>
              <c:layout>
                <c:manualLayout>
                  <c:x val="-4.5336395450568709E-2"/>
                  <c:y val="0"/>
                </c:manualLayout>
              </c:layout>
              <c:dLblPos val="ctr"/>
              <c:showLegendKey val="0"/>
              <c:showVal val="1"/>
              <c:showCatName val="0"/>
              <c:showSerName val="0"/>
              <c:showPercent val="0"/>
              <c:showBubbleSize val="0"/>
            </c:dLbl>
            <c:dLbl>
              <c:idx val="4"/>
              <c:layout>
                <c:manualLayout>
                  <c:x val="-4.8242125984251955E-2"/>
                  <c:y val="0"/>
                </c:manualLayout>
              </c:layout>
              <c:dLblPos val="ctr"/>
              <c:showLegendKey val="0"/>
              <c:showVal val="1"/>
              <c:showCatName val="0"/>
              <c:showSerName val="0"/>
              <c:showPercent val="0"/>
              <c:showBubbleSize val="0"/>
            </c:dLbl>
            <c:dLbl>
              <c:idx val="5"/>
              <c:layout>
                <c:manualLayout>
                  <c:x val="-4.0290983582706288E-2"/>
                  <c:y val="-5.6387910273132978E-17"/>
                </c:manualLayout>
              </c:layout>
              <c:dLblPos val="ctr"/>
              <c:showLegendKey val="0"/>
              <c:showVal val="1"/>
              <c:showCatName val="0"/>
              <c:showSerName val="0"/>
              <c:showPercent val="0"/>
              <c:showBubbleSize val="0"/>
            </c:dLbl>
            <c:dLbl>
              <c:idx val="6"/>
              <c:layout>
                <c:manualLayout>
                  <c:x val="-4.5752624671916042E-2"/>
                  <c:y val="0"/>
                </c:manualLayout>
              </c:layout>
              <c:dLblPos val="ctr"/>
              <c:showLegendKey val="0"/>
              <c:showVal val="1"/>
              <c:showCatName val="0"/>
              <c:showSerName val="0"/>
              <c:showPercent val="0"/>
              <c:showBubbleSize val="0"/>
            </c:dLbl>
            <c:dLbl>
              <c:idx val="7"/>
              <c:layout>
                <c:manualLayout>
                  <c:x val="-3.5926946631671043E-2"/>
                  <c:y val="0"/>
                </c:manualLayout>
              </c:layout>
              <c:dLblPos val="ctr"/>
              <c:showLegendKey val="0"/>
              <c:showVal val="1"/>
              <c:showCatName val="0"/>
              <c:showSerName val="0"/>
              <c:showPercent val="0"/>
              <c:showBubbleSize val="0"/>
            </c:dLbl>
            <c:dLbl>
              <c:idx val="8"/>
              <c:layout>
                <c:manualLayout>
                  <c:x val="-4.2060367454068277E-2"/>
                  <c:y val="0"/>
                </c:manualLayout>
              </c:layout>
              <c:dLblPos val="ctr"/>
              <c:showLegendKey val="0"/>
              <c:showVal val="1"/>
              <c:showCatName val="0"/>
              <c:showSerName val="0"/>
              <c:showPercent val="0"/>
              <c:showBubbleSize val="0"/>
            </c:dLbl>
            <c:dLbl>
              <c:idx val="11"/>
              <c:layout>
                <c:manualLayout>
                  <c:x val="-4.7364391951006189E-2"/>
                  <c:y val="0"/>
                </c:manualLayout>
              </c:layout>
              <c:dLblPos val="ctr"/>
              <c:showLegendKey val="0"/>
              <c:showVal val="1"/>
              <c:showCatName val="0"/>
              <c:showSerName val="0"/>
              <c:showPercent val="0"/>
              <c:showBubbleSize val="0"/>
            </c:dLbl>
            <c:numFmt formatCode="0.000;0.000" sourceLinked="0"/>
            <c:txPr>
              <a:bodyPr/>
              <a:lstStyle/>
              <a:p>
                <a:pPr>
                  <a:defRPr sz="700"/>
                </a:pPr>
                <a:endParaRPr lang="es-EC"/>
              </a:p>
            </c:txPr>
            <c:dLblPos val="inEnd"/>
            <c:showLegendKey val="0"/>
            <c:showVal val="1"/>
            <c:showCatName val="0"/>
            <c:showSerName val="0"/>
            <c:showPercent val="0"/>
            <c:showBubbleSize val="0"/>
            <c:showLeaderLines val="0"/>
          </c:dLbls>
          <c:cat>
            <c:strRef>
              <c:f>EstructuraEconomica!$F$226:$F$237</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EstructuraEconomica!$G$226:$G$237</c:f>
              <c:numCache>
                <c:formatCode>0.00%</c:formatCode>
                <c:ptCount val="12"/>
                <c:pt idx="0">
                  <c:v>-0.18457031250000006</c:v>
                </c:pt>
                <c:pt idx="1">
                  <c:v>-0.25292968750000011</c:v>
                </c:pt>
                <c:pt idx="2">
                  <c:v>-9.0820312500000042E-2</c:v>
                </c:pt>
                <c:pt idx="3">
                  <c:v>-8.1054687500000028E-2</c:v>
                </c:pt>
                <c:pt idx="4">
                  <c:v>-0.1025390625</c:v>
                </c:pt>
                <c:pt idx="5">
                  <c:v>-2.8320312500000007E-2</c:v>
                </c:pt>
                <c:pt idx="6">
                  <c:v>-7.2265625000000014E-2</c:v>
                </c:pt>
                <c:pt idx="7">
                  <c:v>-2.4414062500000007E-2</c:v>
                </c:pt>
                <c:pt idx="8">
                  <c:v>-4.6874999999999986E-2</c:v>
                </c:pt>
                <c:pt idx="9">
                  <c:v>-9.7656250000000043E-4</c:v>
                </c:pt>
                <c:pt idx="10">
                  <c:v>-2.8320312500000007E-2</c:v>
                </c:pt>
                <c:pt idx="11">
                  <c:v>-8.6914062500000042E-2</c:v>
                </c:pt>
              </c:numCache>
            </c:numRef>
          </c:val>
        </c:ser>
        <c:ser>
          <c:idx val="1"/>
          <c:order val="1"/>
          <c:tx>
            <c:strRef>
              <c:f>EstructuraEconomica!$H$225</c:f>
              <c:strCache>
                <c:ptCount val="1"/>
                <c:pt idx="0">
                  <c:v>Mujer</c:v>
                </c:pt>
              </c:strCache>
            </c:strRef>
          </c:tx>
          <c:spPr>
            <a:solidFill>
              <a:srgbClr val="D735B4"/>
            </a:solidFill>
          </c:spPr>
          <c:invertIfNegative val="0"/>
          <c:dLbls>
            <c:dLbl>
              <c:idx val="0"/>
              <c:layout>
                <c:manualLayout>
                  <c:x val="4.2795275590551178E-2"/>
                  <c:y val="3.2303654350898455E-7"/>
                </c:manualLayout>
              </c:layout>
              <c:dLblPos val="ctr"/>
              <c:showLegendKey val="0"/>
              <c:showVal val="1"/>
              <c:showCatName val="0"/>
              <c:showSerName val="0"/>
              <c:showPercent val="0"/>
              <c:showBubbleSize val="0"/>
            </c:dLbl>
            <c:dLbl>
              <c:idx val="1"/>
              <c:layout>
                <c:manualLayout>
                  <c:x val="6.8630796150481219E-2"/>
                  <c:y val="6.4607308701796921E-7"/>
                </c:manualLayout>
              </c:layout>
              <c:dLblPos val="ctr"/>
              <c:showLegendKey val="0"/>
              <c:showVal val="1"/>
              <c:showCatName val="0"/>
              <c:showSerName val="0"/>
              <c:showPercent val="0"/>
              <c:showBubbleSize val="0"/>
            </c:dLbl>
            <c:dLbl>
              <c:idx val="2"/>
              <c:layout>
                <c:manualLayout>
                  <c:x val="4.2505468066491692E-2"/>
                  <c:y val="0"/>
                </c:manualLayout>
              </c:layout>
              <c:dLblPos val="ctr"/>
              <c:showLegendKey val="0"/>
              <c:showVal val="1"/>
              <c:showCatName val="0"/>
              <c:showSerName val="0"/>
              <c:showPercent val="0"/>
              <c:showBubbleSize val="0"/>
            </c:dLbl>
            <c:dLbl>
              <c:idx val="3"/>
              <c:layout>
                <c:manualLayout>
                  <c:x val="4.6960629921259954E-2"/>
                  <c:y val="3.2303654347137814E-7"/>
                </c:manualLayout>
              </c:layout>
              <c:dLblPos val="ctr"/>
              <c:showLegendKey val="0"/>
              <c:showVal val="1"/>
              <c:showCatName val="0"/>
              <c:showSerName val="0"/>
              <c:showPercent val="0"/>
              <c:showBubbleSize val="0"/>
            </c:dLbl>
            <c:dLbl>
              <c:idx val="4"/>
              <c:layout>
                <c:manualLayout>
                  <c:x val="4.7621391076115488E-2"/>
                  <c:y val="-3.0749848576620254E-3"/>
                </c:manualLayout>
              </c:layout>
              <c:dLblPos val="ctr"/>
              <c:showLegendKey val="0"/>
              <c:showVal val="1"/>
              <c:showCatName val="0"/>
              <c:showSerName val="0"/>
              <c:showPercent val="0"/>
              <c:showBubbleSize val="0"/>
            </c:dLbl>
            <c:dLbl>
              <c:idx val="6"/>
              <c:layout>
                <c:manualLayout>
                  <c:x val="3.7792650918635172E-2"/>
                  <c:y val="0"/>
                </c:manualLayout>
              </c:layout>
              <c:dLblPos val="ctr"/>
              <c:showLegendKey val="0"/>
              <c:showVal val="1"/>
              <c:showCatName val="0"/>
              <c:showSerName val="0"/>
              <c:showPercent val="0"/>
              <c:showBubbleSize val="0"/>
            </c:dLbl>
            <c:dLbl>
              <c:idx val="8"/>
              <c:layout>
                <c:manualLayout>
                  <c:x val="4.0717847769028884E-2"/>
                  <c:y val="6.4607308701796921E-7"/>
                </c:manualLayout>
              </c:layout>
              <c:dLblPos val="ctr"/>
              <c:showLegendKey val="0"/>
              <c:showVal val="1"/>
              <c:showCatName val="0"/>
              <c:showSerName val="0"/>
              <c:showPercent val="0"/>
              <c:showBubbleSize val="0"/>
            </c:dLbl>
            <c:dLbl>
              <c:idx val="10"/>
              <c:layout>
                <c:manualLayout>
                  <c:x val="3.6013292130058022E-2"/>
                  <c:y val="0"/>
                </c:manualLayout>
              </c:layout>
              <c:dLblPos val="ctr"/>
              <c:showLegendKey val="0"/>
              <c:showVal val="1"/>
              <c:showCatName val="0"/>
              <c:showSerName val="0"/>
              <c:showPercent val="0"/>
              <c:showBubbleSize val="0"/>
            </c:dLbl>
            <c:dLbl>
              <c:idx val="11"/>
              <c:layout>
                <c:manualLayout>
                  <c:x val="4.4346675415573168E-2"/>
                  <c:y val="3.2303654350898455E-7"/>
                </c:manualLayout>
              </c:layout>
              <c:dLblPos val="ctr"/>
              <c:showLegendKey val="0"/>
              <c:showVal val="1"/>
              <c:showCatName val="0"/>
              <c:showSerName val="0"/>
              <c:showPercent val="0"/>
              <c:showBubbleSize val="0"/>
            </c:dLbl>
            <c:numFmt formatCode="#,##0.000" sourceLinked="0"/>
            <c:txPr>
              <a:bodyPr/>
              <a:lstStyle/>
              <a:p>
                <a:pPr>
                  <a:defRPr sz="700"/>
                </a:pPr>
                <a:endParaRPr lang="es-EC"/>
              </a:p>
            </c:txPr>
            <c:dLblPos val="inBase"/>
            <c:showLegendKey val="0"/>
            <c:showVal val="1"/>
            <c:showCatName val="0"/>
            <c:showSerName val="0"/>
            <c:showPercent val="0"/>
            <c:showBubbleSize val="0"/>
            <c:showLeaderLines val="0"/>
          </c:dLbls>
          <c:cat>
            <c:strRef>
              <c:f>EstructuraEconomica!$F$226:$F$237</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EstructuraEconomica!$H$226:$H$237</c:f>
              <c:numCache>
                <c:formatCode>0.00%</c:formatCode>
                <c:ptCount val="12"/>
                <c:pt idx="0">
                  <c:v>0.11942959001782531</c:v>
                </c:pt>
                <c:pt idx="1">
                  <c:v>0.30303030303030315</c:v>
                </c:pt>
                <c:pt idx="2">
                  <c:v>0.10160427807486634</c:v>
                </c:pt>
                <c:pt idx="3">
                  <c:v>0.12299465240641719</c:v>
                </c:pt>
                <c:pt idx="4">
                  <c:v>0.11408199643493758</c:v>
                </c:pt>
                <c:pt idx="5">
                  <c:v>1.06951871657754E-2</c:v>
                </c:pt>
                <c:pt idx="6">
                  <c:v>2.6737967914438509E-2</c:v>
                </c:pt>
                <c:pt idx="7">
                  <c:v>5.3475935828877002E-3</c:v>
                </c:pt>
                <c:pt idx="8">
                  <c:v>4.8128342245989282E-2</c:v>
                </c:pt>
                <c:pt idx="9">
                  <c:v>0</c:v>
                </c:pt>
                <c:pt idx="10">
                  <c:v>4.9910873440285226E-2</c:v>
                </c:pt>
                <c:pt idx="11">
                  <c:v>9.8039215686274508E-2</c:v>
                </c:pt>
              </c:numCache>
            </c:numRef>
          </c:val>
        </c:ser>
        <c:dLbls>
          <c:showLegendKey val="0"/>
          <c:showVal val="0"/>
          <c:showCatName val="0"/>
          <c:showSerName val="0"/>
          <c:showPercent val="0"/>
          <c:showBubbleSize val="0"/>
        </c:dLbls>
        <c:gapWidth val="40"/>
        <c:overlap val="100"/>
        <c:axId val="284373376"/>
        <c:axId val="284375296"/>
      </c:barChart>
      <c:catAx>
        <c:axId val="284373376"/>
        <c:scaling>
          <c:orientation val="maxMin"/>
        </c:scaling>
        <c:delete val="0"/>
        <c:axPos val="l"/>
        <c:title>
          <c:tx>
            <c:rich>
              <a:bodyPr rot="-5400000" vert="horz"/>
              <a:lstStyle/>
              <a:p>
                <a:pPr>
                  <a:defRPr/>
                </a:pPr>
                <a:r>
                  <a:rPr lang="es-EC"/>
                  <a:t>Ocupación</a:t>
                </a:r>
              </a:p>
            </c:rich>
          </c:tx>
          <c:overlay val="0"/>
        </c:title>
        <c:numFmt formatCode="0,000" sourceLinked="1"/>
        <c:majorTickMark val="out"/>
        <c:minorTickMark val="none"/>
        <c:tickLblPos val="nextTo"/>
        <c:spPr>
          <a:ln>
            <a:solidFill>
              <a:schemeClr val="tx1"/>
            </a:solidFill>
          </a:ln>
        </c:spPr>
        <c:crossAx val="284375296"/>
        <c:crossesAt val="-1"/>
        <c:auto val="1"/>
        <c:lblAlgn val="ctr"/>
        <c:lblOffset val="100"/>
        <c:noMultiLvlLbl val="0"/>
      </c:catAx>
      <c:valAx>
        <c:axId val="284375296"/>
        <c:scaling>
          <c:orientation val="minMax"/>
          <c:max val="1"/>
          <c:min val="-1"/>
        </c:scaling>
        <c:delete val="0"/>
        <c:axPos val="t"/>
        <c:title>
          <c:tx>
            <c:rich>
              <a:bodyPr/>
              <a:lstStyle/>
              <a:p>
                <a:pPr>
                  <a:defRPr/>
                </a:pPr>
                <a:r>
                  <a:rPr lang="es-EC"/>
                  <a:t>Frecuencia Relativa</a:t>
                </a:r>
              </a:p>
            </c:rich>
          </c:tx>
          <c:layout>
            <c:manualLayout>
              <c:xMode val="edge"/>
              <c:yMode val="edge"/>
              <c:x val="0.62047134733158382"/>
              <c:y val="0.96035351239293698"/>
            </c:manualLayout>
          </c:layout>
          <c:overlay val="0"/>
        </c:title>
        <c:numFmt formatCode="0.00;0.00" sourceLinked="0"/>
        <c:majorTickMark val="in"/>
        <c:minorTickMark val="none"/>
        <c:tickLblPos val="high"/>
        <c:spPr>
          <a:ln>
            <a:solidFill>
              <a:schemeClr val="tx1"/>
            </a:solidFill>
          </a:ln>
        </c:spPr>
        <c:crossAx val="284373376"/>
        <c:crossesAt val="13"/>
        <c:crossBetween val="between"/>
        <c:majorUnit val="0.4"/>
      </c:valAx>
      <c:spPr>
        <a:noFill/>
        <a:ln>
          <a:solidFill>
            <a:schemeClr val="tx1"/>
          </a:solidFill>
        </a:ln>
      </c:spPr>
    </c:plotArea>
    <c:legend>
      <c:legendPos val="t"/>
      <c:layout>
        <c:manualLayout>
          <c:xMode val="edge"/>
          <c:yMode val="edge"/>
          <c:x val="0.44835099603680373"/>
          <c:y val="0"/>
          <c:w val="0.49843392635787498"/>
          <c:h val="4.8188607266301912E-2"/>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6951006124234"/>
          <c:y val="2.9901457894059801E-2"/>
          <c:w val="0.46985433070866173"/>
          <c:h val="0.87104484279890626"/>
        </c:manualLayout>
      </c:layout>
      <c:barChart>
        <c:barDir val="bar"/>
        <c:grouping val="stacked"/>
        <c:varyColors val="0"/>
        <c:ser>
          <c:idx val="0"/>
          <c:order val="0"/>
          <c:tx>
            <c:strRef>
              <c:f>EstructuraEconomica!$P$247</c:f>
              <c:strCache>
                <c:ptCount val="1"/>
                <c:pt idx="0">
                  <c:v>Directores y gerentes</c:v>
                </c:pt>
              </c:strCache>
            </c:strRef>
          </c:tx>
          <c:spPr>
            <a:solidFill>
              <a:srgbClr val="0070C0"/>
            </a:solidFill>
          </c:spPr>
          <c:invertIfNegative val="0"/>
          <c:dLbls>
            <c:dLbl>
              <c:idx val="0"/>
              <c:delete val="1"/>
            </c:dLbl>
            <c:dLbl>
              <c:idx val="1"/>
              <c:delete val="1"/>
            </c:dLbl>
            <c:dLbl>
              <c:idx val="2"/>
              <c:delete val="1"/>
            </c:dLbl>
            <c:dLbl>
              <c:idx val="17"/>
              <c:delete val="1"/>
            </c:dLbl>
            <c:numFmt formatCode="#,##0.000" sourceLinked="0"/>
            <c:txPr>
              <a:bodyPr/>
              <a:lstStyle/>
              <a:p>
                <a:pPr>
                  <a:defRPr sz="700"/>
                </a:pPr>
                <a:endParaRPr lang="es-EC"/>
              </a:p>
            </c:txPr>
            <c:dLblPos val="ctr"/>
            <c:showLegendKey val="0"/>
            <c:showVal val="1"/>
            <c:showCatName val="0"/>
            <c:showSerName val="0"/>
            <c:showPercent val="0"/>
            <c:showBubbleSize val="0"/>
            <c:showLeaderLines val="0"/>
          </c:dLbls>
          <c:cat>
            <c:strRef>
              <c:f>EstructuraEconomica!$B$248:$B$265</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EstructuraEconomica!$P$248:$P$265</c:f>
              <c:numCache>
                <c:formatCode>0,000</c:formatCode>
                <c:ptCount val="18"/>
                <c:pt idx="0">
                  <c:v>0</c:v>
                </c:pt>
                <c:pt idx="1">
                  <c:v>0</c:v>
                </c:pt>
                <c:pt idx="2">
                  <c:v>0</c:v>
                </c:pt>
                <c:pt idx="3">
                  <c:v>3.125E-2</c:v>
                </c:pt>
                <c:pt idx="4">
                  <c:v>0.13714285714285721</c:v>
                </c:pt>
                <c:pt idx="5">
                  <c:v>0.13106796116504854</c:v>
                </c:pt>
                <c:pt idx="6">
                  <c:v>0.20606060606060606</c:v>
                </c:pt>
                <c:pt idx="7">
                  <c:v>0.14204545454545492</c:v>
                </c:pt>
                <c:pt idx="8">
                  <c:v>0.18055555555555555</c:v>
                </c:pt>
                <c:pt idx="9">
                  <c:v>0.15384615384615413</c:v>
                </c:pt>
                <c:pt idx="10">
                  <c:v>0.18115942028985507</c:v>
                </c:pt>
                <c:pt idx="11">
                  <c:v>0.32173913043478253</c:v>
                </c:pt>
                <c:pt idx="12">
                  <c:v>0.18750000000000017</c:v>
                </c:pt>
                <c:pt idx="13">
                  <c:v>0.21538461538461537</c:v>
                </c:pt>
                <c:pt idx="14">
                  <c:v>0.14705882352941191</c:v>
                </c:pt>
                <c:pt idx="15">
                  <c:v>6.666666666666668E-2</c:v>
                </c:pt>
                <c:pt idx="16">
                  <c:v>0.25</c:v>
                </c:pt>
                <c:pt idx="17">
                  <c:v>0</c:v>
                </c:pt>
              </c:numCache>
            </c:numRef>
          </c:val>
        </c:ser>
        <c:ser>
          <c:idx val="1"/>
          <c:order val="1"/>
          <c:tx>
            <c:strRef>
              <c:f>EstructuraEconomica!$Q$247</c:f>
              <c:strCache>
                <c:ptCount val="1"/>
                <c:pt idx="0">
                  <c:v>Profesionales científicos e intelectuales</c:v>
                </c:pt>
              </c:strCache>
            </c:strRef>
          </c:tx>
          <c:spPr>
            <a:solidFill>
              <a:srgbClr val="D735B4"/>
            </a:solidFill>
          </c:spPr>
          <c:invertIfNegative val="0"/>
          <c:dLbls>
            <c:dLbl>
              <c:idx val="0"/>
              <c:delete val="1"/>
            </c:dLbl>
            <c:dLbl>
              <c:idx val="1"/>
              <c:delete val="1"/>
            </c:dLbl>
            <c:dLbl>
              <c:idx val="2"/>
              <c:delete val="1"/>
            </c:dLbl>
            <c:dLbl>
              <c:idx val="17"/>
              <c:delete val="1"/>
            </c:dLbl>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EstructuraEconomica!$B$248:$B$265</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EstructuraEconomica!$Q$248:$Q$265</c:f>
              <c:numCache>
                <c:formatCode>0,000</c:formatCode>
                <c:ptCount val="18"/>
                <c:pt idx="0">
                  <c:v>0</c:v>
                </c:pt>
                <c:pt idx="1">
                  <c:v>0</c:v>
                </c:pt>
                <c:pt idx="2">
                  <c:v>0</c:v>
                </c:pt>
                <c:pt idx="3">
                  <c:v>0.21875000000000017</c:v>
                </c:pt>
                <c:pt idx="4">
                  <c:v>0.2742857142857143</c:v>
                </c:pt>
                <c:pt idx="5">
                  <c:v>0.23786407766990292</c:v>
                </c:pt>
                <c:pt idx="6">
                  <c:v>0.30303030303030332</c:v>
                </c:pt>
                <c:pt idx="7">
                  <c:v>0.25568181818181818</c:v>
                </c:pt>
                <c:pt idx="8">
                  <c:v>0.25694444444444442</c:v>
                </c:pt>
                <c:pt idx="9">
                  <c:v>0.31538461538461654</c:v>
                </c:pt>
                <c:pt idx="10">
                  <c:v>0.26811594202898553</c:v>
                </c:pt>
                <c:pt idx="11">
                  <c:v>0.2521739130434783</c:v>
                </c:pt>
                <c:pt idx="12">
                  <c:v>0.35000000000000031</c:v>
                </c:pt>
                <c:pt idx="13">
                  <c:v>0.41538461538461652</c:v>
                </c:pt>
                <c:pt idx="14">
                  <c:v>0.32352941176470662</c:v>
                </c:pt>
                <c:pt idx="15">
                  <c:v>0.73333333333333361</c:v>
                </c:pt>
                <c:pt idx="16">
                  <c:v>0.5</c:v>
                </c:pt>
                <c:pt idx="17">
                  <c:v>0</c:v>
                </c:pt>
              </c:numCache>
            </c:numRef>
          </c:val>
        </c:ser>
        <c:ser>
          <c:idx val="2"/>
          <c:order val="2"/>
          <c:tx>
            <c:strRef>
              <c:f>EstructuraEconomica!$R$247</c:f>
              <c:strCache>
                <c:ptCount val="1"/>
                <c:pt idx="0">
                  <c:v>Técnicos y profesionales del nivel medio</c:v>
                </c:pt>
              </c:strCache>
            </c:strRef>
          </c:tx>
          <c:spPr>
            <a:solidFill>
              <a:srgbClr val="00B0F0"/>
            </a:solidFill>
          </c:spPr>
          <c:invertIfNegative val="0"/>
          <c:cat>
            <c:strRef>
              <c:f>EstructuraEconomica!$B$248:$B$265</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EstructuraEconomica!$R$248:$R$265</c:f>
              <c:numCache>
                <c:formatCode>0,000</c:formatCode>
                <c:ptCount val="18"/>
                <c:pt idx="0">
                  <c:v>0</c:v>
                </c:pt>
                <c:pt idx="1">
                  <c:v>0</c:v>
                </c:pt>
                <c:pt idx="2">
                  <c:v>0</c:v>
                </c:pt>
                <c:pt idx="3">
                  <c:v>6.25E-2</c:v>
                </c:pt>
                <c:pt idx="4">
                  <c:v>8.0000000000000043E-2</c:v>
                </c:pt>
                <c:pt idx="5">
                  <c:v>0.12135922330097089</c:v>
                </c:pt>
                <c:pt idx="6">
                  <c:v>0.12727272727272718</c:v>
                </c:pt>
                <c:pt idx="7">
                  <c:v>0.11363636363636358</c:v>
                </c:pt>
                <c:pt idx="8">
                  <c:v>7.6388888888888895E-2</c:v>
                </c:pt>
                <c:pt idx="9">
                  <c:v>9.2307692307692493E-2</c:v>
                </c:pt>
                <c:pt idx="10">
                  <c:v>9.4202898550724723E-2</c:v>
                </c:pt>
                <c:pt idx="11">
                  <c:v>0.11304347826086956</c:v>
                </c:pt>
                <c:pt idx="12">
                  <c:v>7.5000000000000011E-2</c:v>
                </c:pt>
                <c:pt idx="13">
                  <c:v>9.2307692307692493E-2</c:v>
                </c:pt>
                <c:pt idx="14">
                  <c:v>8.8235294117647176E-2</c:v>
                </c:pt>
                <c:pt idx="15">
                  <c:v>6.666666666666668E-2</c:v>
                </c:pt>
                <c:pt idx="16">
                  <c:v>0.25</c:v>
                </c:pt>
                <c:pt idx="17">
                  <c:v>0</c:v>
                </c:pt>
              </c:numCache>
            </c:numRef>
          </c:val>
        </c:ser>
        <c:ser>
          <c:idx val="3"/>
          <c:order val="3"/>
          <c:tx>
            <c:strRef>
              <c:f>EstructuraEconomica!$S$247</c:f>
              <c:strCache>
                <c:ptCount val="1"/>
                <c:pt idx="0">
                  <c:v>Personal de apoyo administrativo</c:v>
                </c:pt>
              </c:strCache>
            </c:strRef>
          </c:tx>
          <c:spPr>
            <a:solidFill>
              <a:srgbClr val="7030A0"/>
            </a:solidFill>
          </c:spPr>
          <c:invertIfNegative val="0"/>
          <c:cat>
            <c:strRef>
              <c:f>EstructuraEconomica!$B$248:$B$265</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EstructuraEconomica!$S$248:$S$265</c:f>
              <c:numCache>
                <c:formatCode>0,000</c:formatCode>
                <c:ptCount val="18"/>
                <c:pt idx="0">
                  <c:v>0</c:v>
                </c:pt>
                <c:pt idx="1">
                  <c:v>0</c:v>
                </c:pt>
                <c:pt idx="2">
                  <c:v>5.2631578947368432E-2</c:v>
                </c:pt>
                <c:pt idx="3">
                  <c:v>7.8125E-2</c:v>
                </c:pt>
                <c:pt idx="4">
                  <c:v>0.11428571428571441</c:v>
                </c:pt>
                <c:pt idx="5">
                  <c:v>0.15533980582524293</c:v>
                </c:pt>
                <c:pt idx="6">
                  <c:v>7.2727272727272724E-2</c:v>
                </c:pt>
                <c:pt idx="7">
                  <c:v>0.10227272727272729</c:v>
                </c:pt>
                <c:pt idx="8">
                  <c:v>8.3333333333333343E-2</c:v>
                </c:pt>
                <c:pt idx="9">
                  <c:v>0.12307692307692324</c:v>
                </c:pt>
                <c:pt idx="10">
                  <c:v>7.2463768115942115E-2</c:v>
                </c:pt>
                <c:pt idx="11">
                  <c:v>3.4782608695652174E-2</c:v>
                </c:pt>
                <c:pt idx="12">
                  <c:v>7.5000000000000011E-2</c:v>
                </c:pt>
                <c:pt idx="13">
                  <c:v>0.13846153846153864</c:v>
                </c:pt>
                <c:pt idx="14">
                  <c:v>0.17647058823529421</c:v>
                </c:pt>
                <c:pt idx="15">
                  <c:v>6.666666666666668E-2</c:v>
                </c:pt>
                <c:pt idx="16">
                  <c:v>0</c:v>
                </c:pt>
                <c:pt idx="17">
                  <c:v>0</c:v>
                </c:pt>
              </c:numCache>
            </c:numRef>
          </c:val>
        </c:ser>
        <c:ser>
          <c:idx val="4"/>
          <c:order val="4"/>
          <c:tx>
            <c:strRef>
              <c:f>EstructuraEconomica!$T$247</c:f>
              <c:strCache>
                <c:ptCount val="1"/>
                <c:pt idx="0">
                  <c:v>Trabajadores de los servicios y vendedores</c:v>
                </c:pt>
              </c:strCache>
            </c:strRef>
          </c:tx>
          <c:spPr>
            <a:solidFill>
              <a:srgbClr val="00B050"/>
            </a:solidFill>
          </c:spPr>
          <c:invertIfNegative val="0"/>
          <c:cat>
            <c:strRef>
              <c:f>EstructuraEconomica!$B$248:$B$265</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EstructuraEconomica!$T$248:$T$265</c:f>
              <c:numCache>
                <c:formatCode>0,000</c:formatCode>
                <c:ptCount val="18"/>
                <c:pt idx="0">
                  <c:v>9.5238095238095247E-2</c:v>
                </c:pt>
                <c:pt idx="1">
                  <c:v>0.25</c:v>
                </c:pt>
                <c:pt idx="2">
                  <c:v>0.21052631578947387</c:v>
                </c:pt>
                <c:pt idx="3">
                  <c:v>0.171875</c:v>
                </c:pt>
                <c:pt idx="4">
                  <c:v>0.10857142857142862</c:v>
                </c:pt>
                <c:pt idx="5">
                  <c:v>8.7378640776699157E-2</c:v>
                </c:pt>
                <c:pt idx="6">
                  <c:v>0.11515151515151516</c:v>
                </c:pt>
                <c:pt idx="7">
                  <c:v>0.11931818181818182</c:v>
                </c:pt>
                <c:pt idx="8">
                  <c:v>0.16666666666666666</c:v>
                </c:pt>
                <c:pt idx="9">
                  <c:v>8.461538461538462E-2</c:v>
                </c:pt>
                <c:pt idx="10">
                  <c:v>0.12318840579710146</c:v>
                </c:pt>
                <c:pt idx="11">
                  <c:v>9.5652173913043606E-2</c:v>
                </c:pt>
                <c:pt idx="12">
                  <c:v>6.25E-2</c:v>
                </c:pt>
                <c:pt idx="13">
                  <c:v>0</c:v>
                </c:pt>
                <c:pt idx="14">
                  <c:v>2.9411764705882353E-2</c:v>
                </c:pt>
                <c:pt idx="15">
                  <c:v>0</c:v>
                </c:pt>
                <c:pt idx="16">
                  <c:v>0</c:v>
                </c:pt>
                <c:pt idx="17">
                  <c:v>1</c:v>
                </c:pt>
              </c:numCache>
            </c:numRef>
          </c:val>
        </c:ser>
        <c:ser>
          <c:idx val="5"/>
          <c:order val="5"/>
          <c:tx>
            <c:strRef>
              <c:f>EstructuraEconomica!$U$247</c:f>
              <c:strCache>
                <c:ptCount val="1"/>
                <c:pt idx="0">
                  <c:v>Agricultores y trabajadores calificados</c:v>
                </c:pt>
              </c:strCache>
            </c:strRef>
          </c:tx>
          <c:spPr>
            <a:solidFill>
              <a:schemeClr val="accent6">
                <a:lumMod val="75000"/>
              </a:schemeClr>
            </a:solidFill>
          </c:spPr>
          <c:invertIfNegative val="0"/>
          <c:cat>
            <c:strRef>
              <c:f>EstructuraEconomica!$B$248:$B$265</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EstructuraEconomica!$U$248:$U$265</c:f>
              <c:numCache>
                <c:formatCode>0,000</c:formatCode>
                <c:ptCount val="18"/>
                <c:pt idx="0">
                  <c:v>0</c:v>
                </c:pt>
                <c:pt idx="1">
                  <c:v>0</c:v>
                </c:pt>
                <c:pt idx="2">
                  <c:v>0</c:v>
                </c:pt>
                <c:pt idx="3">
                  <c:v>0</c:v>
                </c:pt>
                <c:pt idx="4">
                  <c:v>3.4285714285714343E-2</c:v>
                </c:pt>
                <c:pt idx="5">
                  <c:v>0</c:v>
                </c:pt>
                <c:pt idx="6">
                  <c:v>6.0606060606060623E-3</c:v>
                </c:pt>
                <c:pt idx="7">
                  <c:v>1.7045454545454544E-2</c:v>
                </c:pt>
                <c:pt idx="8">
                  <c:v>2.7777777777777842E-2</c:v>
                </c:pt>
                <c:pt idx="9">
                  <c:v>4.6153846153846163E-2</c:v>
                </c:pt>
                <c:pt idx="10">
                  <c:v>2.8985507246376812E-2</c:v>
                </c:pt>
                <c:pt idx="11">
                  <c:v>4.3478260869565223E-2</c:v>
                </c:pt>
                <c:pt idx="12">
                  <c:v>6.25E-2</c:v>
                </c:pt>
                <c:pt idx="13">
                  <c:v>1.5384615384615403E-2</c:v>
                </c:pt>
                <c:pt idx="14">
                  <c:v>0</c:v>
                </c:pt>
                <c:pt idx="15">
                  <c:v>0</c:v>
                </c:pt>
                <c:pt idx="16">
                  <c:v>0</c:v>
                </c:pt>
                <c:pt idx="17">
                  <c:v>0</c:v>
                </c:pt>
              </c:numCache>
            </c:numRef>
          </c:val>
        </c:ser>
        <c:ser>
          <c:idx val="6"/>
          <c:order val="6"/>
          <c:tx>
            <c:strRef>
              <c:f>EstructuraEconomica!$V$247</c:f>
              <c:strCache>
                <c:ptCount val="1"/>
                <c:pt idx="0">
                  <c:v>Oficiales, operarios y artesanos</c:v>
                </c:pt>
              </c:strCache>
            </c:strRef>
          </c:tx>
          <c:spPr>
            <a:solidFill>
              <a:srgbClr val="FFFF00"/>
            </a:solidFill>
          </c:spPr>
          <c:invertIfNegative val="0"/>
          <c:cat>
            <c:strRef>
              <c:f>EstructuraEconomica!$B$248:$B$265</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EstructuraEconomica!$V$248:$V$265</c:f>
              <c:numCache>
                <c:formatCode>0,000</c:formatCode>
                <c:ptCount val="18"/>
                <c:pt idx="0">
                  <c:v>0</c:v>
                </c:pt>
                <c:pt idx="1">
                  <c:v>0.25</c:v>
                </c:pt>
                <c:pt idx="2">
                  <c:v>0</c:v>
                </c:pt>
                <c:pt idx="3">
                  <c:v>7.8125E-2</c:v>
                </c:pt>
                <c:pt idx="4">
                  <c:v>6.2857142857142903E-2</c:v>
                </c:pt>
                <c:pt idx="5">
                  <c:v>4.8543689320388383E-2</c:v>
                </c:pt>
                <c:pt idx="6">
                  <c:v>5.4545454545454515E-2</c:v>
                </c:pt>
                <c:pt idx="7">
                  <c:v>5.68181818181819E-2</c:v>
                </c:pt>
                <c:pt idx="8">
                  <c:v>6.25E-2</c:v>
                </c:pt>
                <c:pt idx="9">
                  <c:v>4.6153846153846163E-2</c:v>
                </c:pt>
                <c:pt idx="10">
                  <c:v>5.0724637681159424E-2</c:v>
                </c:pt>
                <c:pt idx="11">
                  <c:v>5.2173913043478327E-2</c:v>
                </c:pt>
                <c:pt idx="12">
                  <c:v>0.05</c:v>
                </c:pt>
                <c:pt idx="13">
                  <c:v>7.6923076923076927E-2</c:v>
                </c:pt>
                <c:pt idx="14">
                  <c:v>0.11764705882352942</c:v>
                </c:pt>
                <c:pt idx="15">
                  <c:v>0</c:v>
                </c:pt>
                <c:pt idx="16">
                  <c:v>0</c:v>
                </c:pt>
                <c:pt idx="17">
                  <c:v>0</c:v>
                </c:pt>
              </c:numCache>
            </c:numRef>
          </c:val>
        </c:ser>
        <c:ser>
          <c:idx val="7"/>
          <c:order val="7"/>
          <c:tx>
            <c:strRef>
              <c:f>EstructuraEconomica!$W$247</c:f>
              <c:strCache>
                <c:ptCount val="1"/>
                <c:pt idx="0">
                  <c:v>Operadores de instalaciones y maquinaria</c:v>
                </c:pt>
              </c:strCache>
            </c:strRef>
          </c:tx>
          <c:spPr>
            <a:solidFill>
              <a:srgbClr val="FF0000"/>
            </a:solidFill>
          </c:spPr>
          <c:invertIfNegative val="0"/>
          <c:cat>
            <c:strRef>
              <c:f>EstructuraEconomica!$B$248:$B$265</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EstructuraEconomica!$W$248:$W$265</c:f>
              <c:numCache>
                <c:formatCode>0,000</c:formatCode>
                <c:ptCount val="18"/>
                <c:pt idx="0">
                  <c:v>0</c:v>
                </c:pt>
                <c:pt idx="1">
                  <c:v>0</c:v>
                </c:pt>
                <c:pt idx="2">
                  <c:v>0</c:v>
                </c:pt>
                <c:pt idx="3">
                  <c:v>4.6874999999999986E-2</c:v>
                </c:pt>
                <c:pt idx="4">
                  <c:v>5.7142857142857143E-3</c:v>
                </c:pt>
                <c:pt idx="5">
                  <c:v>2.4271844660194219E-2</c:v>
                </c:pt>
                <c:pt idx="6">
                  <c:v>6.0606060606060623E-3</c:v>
                </c:pt>
                <c:pt idx="7">
                  <c:v>2.8409090909090912E-2</c:v>
                </c:pt>
                <c:pt idx="8">
                  <c:v>2.7777777777777842E-2</c:v>
                </c:pt>
                <c:pt idx="9">
                  <c:v>2.3076923076923109E-2</c:v>
                </c:pt>
                <c:pt idx="10">
                  <c:v>1.4492753623188409E-2</c:v>
                </c:pt>
                <c:pt idx="11">
                  <c:v>1.7391304347826087E-2</c:v>
                </c:pt>
                <c:pt idx="12">
                  <c:v>1.2500000000000001E-2</c:v>
                </c:pt>
                <c:pt idx="13">
                  <c:v>1.5384615384615403E-2</c:v>
                </c:pt>
                <c:pt idx="14">
                  <c:v>0</c:v>
                </c:pt>
                <c:pt idx="15">
                  <c:v>0</c:v>
                </c:pt>
                <c:pt idx="16">
                  <c:v>0</c:v>
                </c:pt>
                <c:pt idx="17">
                  <c:v>0</c:v>
                </c:pt>
              </c:numCache>
            </c:numRef>
          </c:val>
        </c:ser>
        <c:ser>
          <c:idx val="8"/>
          <c:order val="8"/>
          <c:tx>
            <c:strRef>
              <c:f>EstructuraEconomica!$X$247</c:f>
              <c:strCache>
                <c:ptCount val="1"/>
                <c:pt idx="0">
                  <c:v>Ocupaciones elementales</c:v>
                </c:pt>
              </c:strCache>
            </c:strRef>
          </c:tx>
          <c:spPr>
            <a:solidFill>
              <a:srgbClr val="00F0EA"/>
            </a:solidFill>
          </c:spPr>
          <c:invertIfNegative val="0"/>
          <c:cat>
            <c:strRef>
              <c:f>EstructuraEconomica!$B$248:$B$265</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EstructuraEconomica!$X$248:$X$265</c:f>
              <c:numCache>
                <c:formatCode>0,000</c:formatCode>
                <c:ptCount val="18"/>
                <c:pt idx="0">
                  <c:v>0.16666666666666666</c:v>
                </c:pt>
                <c:pt idx="1">
                  <c:v>0.16666666666666666</c:v>
                </c:pt>
                <c:pt idx="2">
                  <c:v>0.47368421052631576</c:v>
                </c:pt>
                <c:pt idx="3">
                  <c:v>0.10937500000000008</c:v>
                </c:pt>
                <c:pt idx="4">
                  <c:v>6.2857142857142903E-2</c:v>
                </c:pt>
                <c:pt idx="5">
                  <c:v>3.883495145631069E-2</c:v>
                </c:pt>
                <c:pt idx="6">
                  <c:v>1.8181818181818202E-2</c:v>
                </c:pt>
                <c:pt idx="7">
                  <c:v>4.5454545454545463E-2</c:v>
                </c:pt>
                <c:pt idx="8">
                  <c:v>1.3888888888888911E-2</c:v>
                </c:pt>
                <c:pt idx="9">
                  <c:v>3.0769230769230792E-2</c:v>
                </c:pt>
                <c:pt idx="10">
                  <c:v>3.6231884057971057E-2</c:v>
                </c:pt>
                <c:pt idx="11">
                  <c:v>3.4782608695652174E-2</c:v>
                </c:pt>
                <c:pt idx="12">
                  <c:v>0.05</c:v>
                </c:pt>
                <c:pt idx="13">
                  <c:v>1.5384615384615403E-2</c:v>
                </c:pt>
                <c:pt idx="14">
                  <c:v>0</c:v>
                </c:pt>
                <c:pt idx="15">
                  <c:v>0</c:v>
                </c:pt>
                <c:pt idx="16">
                  <c:v>0</c:v>
                </c:pt>
                <c:pt idx="17">
                  <c:v>0</c:v>
                </c:pt>
              </c:numCache>
            </c:numRef>
          </c:val>
        </c:ser>
        <c:ser>
          <c:idx val="9"/>
          <c:order val="9"/>
          <c:tx>
            <c:strRef>
              <c:f>EstructuraEconomica!$Y$247</c:f>
              <c:strCache>
                <c:ptCount val="1"/>
                <c:pt idx="0">
                  <c:v>Ocupaciones militares</c:v>
                </c:pt>
              </c:strCache>
            </c:strRef>
          </c:tx>
          <c:invertIfNegative val="0"/>
          <c:cat>
            <c:strRef>
              <c:f>EstructuraEconomica!$B$248:$B$265</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EstructuraEconomica!$Y$248:$Y$265</c:f>
              <c:numCache>
                <c:formatCode>0,000</c:formatCode>
                <c:ptCount val="18"/>
                <c:pt idx="0">
                  <c:v>0</c:v>
                </c:pt>
                <c:pt idx="1">
                  <c:v>0</c:v>
                </c:pt>
                <c:pt idx="2">
                  <c:v>0</c:v>
                </c:pt>
                <c:pt idx="3">
                  <c:v>0</c:v>
                </c:pt>
                <c:pt idx="4">
                  <c:v>0</c:v>
                </c:pt>
                <c:pt idx="5">
                  <c:v>0</c:v>
                </c:pt>
                <c:pt idx="6">
                  <c:v>6.0606060606060623E-3</c:v>
                </c:pt>
                <c:pt idx="7">
                  <c:v>0</c:v>
                </c:pt>
                <c:pt idx="8">
                  <c:v>0</c:v>
                </c:pt>
                <c:pt idx="9">
                  <c:v>0</c:v>
                </c:pt>
                <c:pt idx="10">
                  <c:v>0</c:v>
                </c:pt>
                <c:pt idx="11">
                  <c:v>0</c:v>
                </c:pt>
                <c:pt idx="12">
                  <c:v>0</c:v>
                </c:pt>
                <c:pt idx="13">
                  <c:v>0</c:v>
                </c:pt>
                <c:pt idx="14">
                  <c:v>0</c:v>
                </c:pt>
                <c:pt idx="15">
                  <c:v>0</c:v>
                </c:pt>
                <c:pt idx="16">
                  <c:v>0</c:v>
                </c:pt>
                <c:pt idx="17">
                  <c:v>0</c:v>
                </c:pt>
              </c:numCache>
            </c:numRef>
          </c:val>
        </c:ser>
        <c:ser>
          <c:idx val="10"/>
          <c:order val="10"/>
          <c:tx>
            <c:strRef>
              <c:f>EstructuraEconomica!$Z$247</c:f>
              <c:strCache>
                <c:ptCount val="1"/>
                <c:pt idx="0">
                  <c:v>Trabajadores nuevos</c:v>
                </c:pt>
              </c:strCache>
            </c:strRef>
          </c:tx>
          <c:spPr>
            <a:solidFill>
              <a:srgbClr val="C00000"/>
            </a:solidFill>
          </c:spPr>
          <c:invertIfNegative val="0"/>
          <c:cat>
            <c:strRef>
              <c:f>EstructuraEconomica!$B$248:$B$265</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EstructuraEconomica!$Z$248:$Z$265</c:f>
              <c:numCache>
                <c:formatCode>0,000</c:formatCode>
                <c:ptCount val="18"/>
                <c:pt idx="0">
                  <c:v>7.1428571428571425E-2</c:v>
                </c:pt>
                <c:pt idx="1">
                  <c:v>0</c:v>
                </c:pt>
                <c:pt idx="2">
                  <c:v>0.15789473684210562</c:v>
                </c:pt>
                <c:pt idx="3">
                  <c:v>0.140625</c:v>
                </c:pt>
                <c:pt idx="4">
                  <c:v>6.2857142857142903E-2</c:v>
                </c:pt>
                <c:pt idx="5">
                  <c:v>6.3106796116504854E-2</c:v>
                </c:pt>
                <c:pt idx="6">
                  <c:v>3.0303030303030311E-2</c:v>
                </c:pt>
                <c:pt idx="7">
                  <c:v>3.4090909090909088E-2</c:v>
                </c:pt>
                <c:pt idx="8">
                  <c:v>2.0833333333333367E-2</c:v>
                </c:pt>
                <c:pt idx="9">
                  <c:v>3.0769230769230792E-2</c:v>
                </c:pt>
                <c:pt idx="10">
                  <c:v>0</c:v>
                </c:pt>
                <c:pt idx="11">
                  <c:v>0</c:v>
                </c:pt>
                <c:pt idx="12">
                  <c:v>0</c:v>
                </c:pt>
                <c:pt idx="13">
                  <c:v>0</c:v>
                </c:pt>
                <c:pt idx="14">
                  <c:v>0</c:v>
                </c:pt>
                <c:pt idx="15">
                  <c:v>0</c:v>
                </c:pt>
                <c:pt idx="16">
                  <c:v>0</c:v>
                </c:pt>
                <c:pt idx="17">
                  <c:v>0</c:v>
                </c:pt>
              </c:numCache>
            </c:numRef>
          </c:val>
        </c:ser>
        <c:ser>
          <c:idx val="11"/>
          <c:order val="11"/>
          <c:tx>
            <c:strRef>
              <c:f>EstructuraEconomica!$AA$247</c:f>
              <c:strCache>
                <c:ptCount val="1"/>
                <c:pt idx="0">
                  <c:v>No declarado</c:v>
                </c:pt>
              </c:strCache>
            </c:strRef>
          </c:tx>
          <c:spPr>
            <a:solidFill>
              <a:schemeClr val="bg1">
                <a:lumMod val="65000"/>
              </a:schemeClr>
            </a:solidFill>
          </c:spPr>
          <c:invertIfNegative val="0"/>
          <c:cat>
            <c:strRef>
              <c:f>EstructuraEconomica!$B$248:$B$265</c:f>
              <c:strCache>
                <c:ptCount val="18"/>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90 a 95</c:v>
                </c:pt>
              </c:strCache>
            </c:strRef>
          </c:cat>
          <c:val>
            <c:numRef>
              <c:f>EstructuraEconomica!$AA$248:$AA$265</c:f>
              <c:numCache>
                <c:formatCode>0,000</c:formatCode>
                <c:ptCount val="18"/>
                <c:pt idx="0">
                  <c:v>0.66666666666666663</c:v>
                </c:pt>
                <c:pt idx="1">
                  <c:v>0.33333333333333331</c:v>
                </c:pt>
                <c:pt idx="2">
                  <c:v>0.10526315789473686</c:v>
                </c:pt>
                <c:pt idx="3">
                  <c:v>6.25E-2</c:v>
                </c:pt>
                <c:pt idx="4">
                  <c:v>5.7142857142857141E-2</c:v>
                </c:pt>
                <c:pt idx="5">
                  <c:v>9.2233009708737809E-2</c:v>
                </c:pt>
                <c:pt idx="6">
                  <c:v>5.4545454545454515E-2</c:v>
                </c:pt>
                <c:pt idx="7">
                  <c:v>8.5227272727272874E-2</c:v>
                </c:pt>
                <c:pt idx="8">
                  <c:v>8.3333333333333343E-2</c:v>
                </c:pt>
                <c:pt idx="9">
                  <c:v>5.3846153846153863E-2</c:v>
                </c:pt>
                <c:pt idx="10">
                  <c:v>0.1304347826086957</c:v>
                </c:pt>
                <c:pt idx="11">
                  <c:v>3.4782608695652174E-2</c:v>
                </c:pt>
                <c:pt idx="12">
                  <c:v>7.5000000000000011E-2</c:v>
                </c:pt>
                <c:pt idx="13">
                  <c:v>1.5384615384615403E-2</c:v>
                </c:pt>
                <c:pt idx="14">
                  <c:v>0.11764705882352942</c:v>
                </c:pt>
                <c:pt idx="15">
                  <c:v>6.666666666666668E-2</c:v>
                </c:pt>
                <c:pt idx="16">
                  <c:v>0</c:v>
                </c:pt>
                <c:pt idx="17">
                  <c:v>0</c:v>
                </c:pt>
              </c:numCache>
            </c:numRef>
          </c:val>
        </c:ser>
        <c:dLbls>
          <c:showLegendKey val="0"/>
          <c:showVal val="0"/>
          <c:showCatName val="0"/>
          <c:showSerName val="0"/>
          <c:showPercent val="0"/>
          <c:showBubbleSize val="0"/>
        </c:dLbls>
        <c:gapWidth val="0"/>
        <c:overlap val="100"/>
        <c:axId val="287277056"/>
        <c:axId val="287278976"/>
      </c:barChart>
      <c:catAx>
        <c:axId val="287277056"/>
        <c:scaling>
          <c:orientation val="maxMin"/>
        </c:scaling>
        <c:delete val="0"/>
        <c:axPos val="l"/>
        <c:title>
          <c:tx>
            <c:rich>
              <a:bodyPr rot="-5400000" vert="horz"/>
              <a:lstStyle/>
              <a:p>
                <a:pPr>
                  <a:defRPr/>
                </a:pPr>
                <a:r>
                  <a:rPr lang="es-EC"/>
                  <a:t>Grupos Etarios</a:t>
                </a:r>
              </a:p>
            </c:rich>
          </c:tx>
          <c:overlay val="0"/>
        </c:title>
        <c:majorTickMark val="out"/>
        <c:minorTickMark val="none"/>
        <c:tickLblPos val="nextTo"/>
        <c:spPr>
          <a:ln>
            <a:solidFill>
              <a:schemeClr val="tx1"/>
            </a:solidFill>
          </a:ln>
        </c:spPr>
        <c:crossAx val="287278976"/>
        <c:crosses val="autoZero"/>
        <c:auto val="1"/>
        <c:lblAlgn val="ctr"/>
        <c:lblOffset val="100"/>
        <c:noMultiLvlLbl val="0"/>
      </c:catAx>
      <c:valAx>
        <c:axId val="287278976"/>
        <c:scaling>
          <c:orientation val="minMax"/>
          <c:max val="1"/>
          <c:min val="0"/>
        </c:scaling>
        <c:delete val="0"/>
        <c:axPos val="t"/>
        <c:title>
          <c:tx>
            <c:rich>
              <a:bodyPr/>
              <a:lstStyle/>
              <a:p>
                <a:pPr>
                  <a:defRPr/>
                </a:pPr>
                <a:r>
                  <a:rPr lang="es-EC"/>
                  <a:t>Frecuencia Relativa</a:t>
                </a:r>
              </a:p>
            </c:rich>
          </c:tx>
          <c:layout>
            <c:manualLayout>
              <c:xMode val="edge"/>
              <c:yMode val="edge"/>
              <c:x val="0.27318000874890641"/>
              <c:y val="0.95708074114498054"/>
            </c:manualLayout>
          </c:layout>
          <c:overlay val="0"/>
        </c:title>
        <c:numFmt formatCode="#,##0.00" sourceLinked="0"/>
        <c:majorTickMark val="in"/>
        <c:minorTickMark val="none"/>
        <c:tickLblPos val="high"/>
        <c:spPr>
          <a:ln>
            <a:solidFill>
              <a:schemeClr val="tx1"/>
            </a:solidFill>
          </a:ln>
        </c:spPr>
        <c:crossAx val="287277056"/>
        <c:crossesAt val="21"/>
        <c:crossBetween val="between"/>
        <c:majorUnit val="0.2"/>
      </c:valAx>
      <c:spPr>
        <a:noFill/>
        <a:ln>
          <a:solidFill>
            <a:schemeClr val="tx1"/>
          </a:solidFill>
        </a:ln>
      </c:spPr>
    </c:plotArea>
    <c:legend>
      <c:legendPos val="r"/>
      <c:layout>
        <c:manualLayout>
          <c:xMode val="edge"/>
          <c:yMode val="edge"/>
          <c:x val="0.65050021872265951"/>
          <c:y val="4.8660823503701732E-2"/>
          <c:w val="0.34166666666666706"/>
          <c:h val="0.88692546976579967"/>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7188087870339166"/>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Vivienda!$G$3:$G$7</c:f>
              <c:strCache>
                <c:ptCount val="5"/>
                <c:pt idx="0">
                  <c:v>Casa/Villa</c:v>
                </c:pt>
                <c:pt idx="1">
                  <c:v>Departamento en casa o edificio</c:v>
                </c:pt>
                <c:pt idx="2">
                  <c:v>Cuarto(s) en casa de inquilinato</c:v>
                </c:pt>
                <c:pt idx="3">
                  <c:v>Otras viviendas particulares</c:v>
                </c:pt>
                <c:pt idx="4">
                  <c:v>Viviendas colectivas</c:v>
                </c:pt>
              </c:strCache>
            </c:strRef>
          </c:cat>
          <c:val>
            <c:numRef>
              <c:f>Vivienda!$H$3:$H$7</c:f>
              <c:numCache>
                <c:formatCode>0,000</c:formatCode>
                <c:ptCount val="5"/>
                <c:pt idx="0">
                  <c:v>0.57592093441150138</c:v>
                </c:pt>
                <c:pt idx="1">
                  <c:v>0.3539982030548075</c:v>
                </c:pt>
                <c:pt idx="2">
                  <c:v>2.605570530098834E-2</c:v>
                </c:pt>
                <c:pt idx="3">
                  <c:v>8.0862533692722376E-3</c:v>
                </c:pt>
                <c:pt idx="4">
                  <c:v>3.5938903863432181E-2</c:v>
                </c:pt>
              </c:numCache>
            </c:numRef>
          </c:val>
        </c:ser>
        <c:dLbls>
          <c:showLegendKey val="0"/>
          <c:showVal val="1"/>
          <c:showCatName val="0"/>
          <c:showSerName val="0"/>
          <c:showPercent val="0"/>
          <c:showBubbleSize val="0"/>
        </c:dLbls>
        <c:gapWidth val="50"/>
        <c:axId val="287294592"/>
        <c:axId val="287310208"/>
      </c:barChart>
      <c:catAx>
        <c:axId val="287294592"/>
        <c:scaling>
          <c:orientation val="minMax"/>
        </c:scaling>
        <c:delete val="0"/>
        <c:axPos val="b"/>
        <c:title>
          <c:tx>
            <c:rich>
              <a:bodyPr/>
              <a:lstStyle/>
              <a:p>
                <a:pPr>
                  <a:defRPr/>
                </a:pPr>
                <a:r>
                  <a:rPr lang="es-EC"/>
                  <a:t>Tipo de vivienda</a:t>
                </a:r>
              </a:p>
            </c:rich>
          </c:tx>
          <c:overlay val="0"/>
        </c:title>
        <c:numFmt formatCode="General" sourceLinked="1"/>
        <c:majorTickMark val="out"/>
        <c:minorTickMark val="none"/>
        <c:tickLblPos val="nextTo"/>
        <c:spPr>
          <a:ln>
            <a:solidFill>
              <a:schemeClr val="tx1"/>
            </a:solidFill>
          </a:ln>
        </c:spPr>
        <c:txPr>
          <a:bodyPr rot="0" vert="horz"/>
          <a:lstStyle/>
          <a:p>
            <a:pPr>
              <a:defRPr sz="700"/>
            </a:pPr>
            <a:endParaRPr lang="es-EC"/>
          </a:p>
        </c:txPr>
        <c:crossAx val="287310208"/>
        <c:crosses val="autoZero"/>
        <c:auto val="1"/>
        <c:lblAlgn val="ctr"/>
        <c:lblOffset val="100"/>
        <c:noMultiLvlLbl val="0"/>
      </c:catAx>
      <c:valAx>
        <c:axId val="287310208"/>
        <c:scaling>
          <c:orientation val="minMax"/>
          <c:max val="1"/>
          <c:min val="0"/>
        </c:scaling>
        <c:delete val="0"/>
        <c:axPos val="l"/>
        <c:title>
          <c:tx>
            <c:rich>
              <a:bodyPr rot="-5400000" vert="horz"/>
              <a:lstStyle/>
              <a:p>
                <a:pPr>
                  <a:defRPr/>
                </a:pPr>
                <a:r>
                  <a:rPr lang="es-EC"/>
                  <a:t>Frecuencia Relativa</a:t>
                </a:r>
              </a:p>
            </c:rich>
          </c:tx>
          <c:layout>
            <c:manualLayout>
              <c:xMode val="edge"/>
              <c:yMode val="edge"/>
              <c:x val="8.7278789722100179E-4"/>
              <c:y val="0.11844197845064709"/>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87294592"/>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70972230323061469"/>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Vivienda!$B$20:$B$26</c:f>
              <c:strCache>
                <c:ptCount val="7"/>
                <c:pt idx="0">
                  <c:v>Propia y totalmente pagada</c:v>
                </c:pt>
                <c:pt idx="1">
                  <c:v>Propia y la está pagando</c:v>
                </c:pt>
                <c:pt idx="2">
                  <c:v>Propia (regalada, donada, heredada o por posesión)</c:v>
                </c:pt>
                <c:pt idx="3">
                  <c:v>Prestada o cedida (no pagada)</c:v>
                </c:pt>
                <c:pt idx="4">
                  <c:v>Por servicios</c:v>
                </c:pt>
                <c:pt idx="5">
                  <c:v>Arrendada</c:v>
                </c:pt>
                <c:pt idx="6">
                  <c:v>Anticresis</c:v>
                </c:pt>
              </c:strCache>
            </c:strRef>
          </c:cat>
          <c:val>
            <c:numRef>
              <c:f>Vivienda!$G$20:$G$26</c:f>
              <c:numCache>
                <c:formatCode>0,000</c:formatCode>
                <c:ptCount val="7"/>
                <c:pt idx="0">
                  <c:v>0.39596700274977137</c:v>
                </c:pt>
                <c:pt idx="1">
                  <c:v>7.791017415215401E-2</c:v>
                </c:pt>
                <c:pt idx="2">
                  <c:v>2.4747937671860728E-2</c:v>
                </c:pt>
                <c:pt idx="3">
                  <c:v>7.9743354720439974E-2</c:v>
                </c:pt>
                <c:pt idx="4">
                  <c:v>2.1998166819431713E-2</c:v>
                </c:pt>
                <c:pt idx="5">
                  <c:v>0.39871677360220048</c:v>
                </c:pt>
                <c:pt idx="6">
                  <c:v>9.1659028414299028E-4</c:v>
                </c:pt>
              </c:numCache>
            </c:numRef>
          </c:val>
        </c:ser>
        <c:dLbls>
          <c:showLegendKey val="0"/>
          <c:showVal val="1"/>
          <c:showCatName val="0"/>
          <c:showSerName val="0"/>
          <c:showPercent val="0"/>
          <c:showBubbleSize val="0"/>
        </c:dLbls>
        <c:gapWidth val="50"/>
        <c:axId val="287325184"/>
        <c:axId val="287336704"/>
      </c:barChart>
      <c:catAx>
        <c:axId val="287325184"/>
        <c:scaling>
          <c:orientation val="minMax"/>
        </c:scaling>
        <c:delete val="0"/>
        <c:axPos val="b"/>
        <c:title>
          <c:tx>
            <c:rich>
              <a:bodyPr/>
              <a:lstStyle/>
              <a:p>
                <a:pPr>
                  <a:defRPr/>
                </a:pPr>
                <a:r>
                  <a:rPr lang="es-EC"/>
                  <a:t>La vivienda que ocupa</a:t>
                </a:r>
                <a:r>
                  <a:rPr lang="es-EC" baseline="0"/>
                  <a:t> este hogar</a:t>
                </a:r>
                <a:endParaRPr lang="es-EC"/>
              </a:p>
            </c:rich>
          </c:tx>
          <c:overlay val="0"/>
        </c:title>
        <c:numFmt formatCode="General" sourceLinked="1"/>
        <c:majorTickMark val="out"/>
        <c:minorTickMark val="none"/>
        <c:tickLblPos val="nextTo"/>
        <c:spPr>
          <a:ln>
            <a:solidFill>
              <a:schemeClr val="tx1"/>
            </a:solidFill>
          </a:ln>
        </c:spPr>
        <c:txPr>
          <a:bodyPr rot="0" vert="horz"/>
          <a:lstStyle/>
          <a:p>
            <a:pPr>
              <a:defRPr sz="500"/>
            </a:pPr>
            <a:endParaRPr lang="es-EC"/>
          </a:p>
        </c:txPr>
        <c:crossAx val="287336704"/>
        <c:crosses val="autoZero"/>
        <c:auto val="1"/>
        <c:lblAlgn val="ctr"/>
        <c:lblOffset val="100"/>
        <c:noMultiLvlLbl val="0"/>
      </c:catAx>
      <c:valAx>
        <c:axId val="287336704"/>
        <c:scaling>
          <c:orientation val="minMax"/>
          <c:max val="1"/>
          <c:min val="0"/>
        </c:scaling>
        <c:delete val="0"/>
        <c:axPos val="l"/>
        <c:title>
          <c:tx>
            <c:rich>
              <a:bodyPr rot="-5400000" vert="horz"/>
              <a:lstStyle/>
              <a:p>
                <a:pPr>
                  <a:defRPr sz="750"/>
                </a:pPr>
                <a:r>
                  <a:rPr lang="es-EC" sz="750"/>
                  <a:t>Frecuencia Relativa</a:t>
                </a:r>
              </a:p>
            </c:rich>
          </c:tx>
          <c:layout>
            <c:manualLayout>
              <c:xMode val="edge"/>
              <c:yMode val="edge"/>
              <c:x val="8.7278789722100179E-4"/>
              <c:y val="4.2712254320692498E-2"/>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87325184"/>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69032684815743328"/>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Vivienda!$B$34:$B$38</c:f>
              <c:strCache>
                <c:ptCount val="5"/>
                <c:pt idx="0">
                  <c:v>Viviendas sin dormitorio</c:v>
                </c:pt>
                <c:pt idx="1">
                  <c:v>Menos de 2 personas por dormitorio</c:v>
                </c:pt>
                <c:pt idx="2">
                  <c:v>De 2 a 3 personas por dormitorio</c:v>
                </c:pt>
                <c:pt idx="3">
                  <c:v>De 4 a 5 personas por dormitorio</c:v>
                </c:pt>
                <c:pt idx="4">
                  <c:v>Más de 5 personas por dormitorio</c:v>
                </c:pt>
              </c:strCache>
            </c:strRef>
          </c:cat>
          <c:val>
            <c:numRef>
              <c:f>Vivienda!$G$34:$G$38</c:f>
              <c:numCache>
                <c:formatCode>0,000</c:formatCode>
                <c:ptCount val="5"/>
                <c:pt idx="0">
                  <c:v>1.1183597390493943E-2</c:v>
                </c:pt>
                <c:pt idx="1">
                  <c:v>0.7968313140726937</c:v>
                </c:pt>
                <c:pt idx="2">
                  <c:v>0.17241379310344851</c:v>
                </c:pt>
                <c:pt idx="3">
                  <c:v>1.7707362534948739E-2</c:v>
                </c:pt>
                <c:pt idx="4">
                  <c:v>1.8639328984156581E-3</c:v>
                </c:pt>
              </c:numCache>
            </c:numRef>
          </c:val>
        </c:ser>
        <c:dLbls>
          <c:showLegendKey val="0"/>
          <c:showVal val="1"/>
          <c:showCatName val="0"/>
          <c:showSerName val="0"/>
          <c:showPercent val="0"/>
          <c:showBubbleSize val="0"/>
        </c:dLbls>
        <c:gapWidth val="50"/>
        <c:axId val="287507584"/>
        <c:axId val="287515008"/>
      </c:barChart>
      <c:catAx>
        <c:axId val="287507584"/>
        <c:scaling>
          <c:orientation val="minMax"/>
        </c:scaling>
        <c:delete val="0"/>
        <c:axPos val="b"/>
        <c:title>
          <c:tx>
            <c:rich>
              <a:bodyPr/>
              <a:lstStyle/>
              <a:p>
                <a:pPr>
                  <a:defRPr/>
                </a:pPr>
                <a:r>
                  <a:rPr lang="es-EC"/>
                  <a:t>Número de personas por dormitorio</a:t>
                </a:r>
              </a:p>
            </c:rich>
          </c:tx>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87515008"/>
        <c:crosses val="autoZero"/>
        <c:auto val="1"/>
        <c:lblAlgn val="ctr"/>
        <c:lblOffset val="100"/>
        <c:noMultiLvlLbl val="0"/>
      </c:catAx>
      <c:valAx>
        <c:axId val="287515008"/>
        <c:scaling>
          <c:orientation val="minMax"/>
          <c:max val="1"/>
          <c:min val="0"/>
        </c:scaling>
        <c:delete val="0"/>
        <c:axPos val="l"/>
        <c:title>
          <c:tx>
            <c:rich>
              <a:bodyPr rot="-5400000" vert="horz"/>
              <a:lstStyle/>
              <a:p>
                <a:pPr>
                  <a:defRPr sz="750"/>
                </a:pPr>
                <a:r>
                  <a:rPr lang="es-EC" sz="750"/>
                  <a:t>Frecuencia Relativa</a:t>
                </a:r>
              </a:p>
            </c:rich>
          </c:tx>
          <c:layout>
            <c:manualLayout>
              <c:xMode val="edge"/>
              <c:yMode val="edge"/>
              <c:x val="8.7278789722100179E-4"/>
              <c:y val="6.7529670833492511E-2"/>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87507584"/>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01489697983936"/>
          <c:y val="3.4218197908906192E-2"/>
          <c:w val="0.86759409842162105"/>
          <c:h val="0.72355727463891573"/>
        </c:manualLayout>
      </c:layout>
      <c:barChart>
        <c:barDir val="col"/>
        <c:grouping val="clustered"/>
        <c:varyColors val="0"/>
        <c:ser>
          <c:idx val="0"/>
          <c:order val="0"/>
          <c:tx>
            <c:strRef>
              <c:f>IndiceFeminidad!$F$2</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(IndiceFeminidad!$A$5,IndiceFeminidad!$A$8:$A$12,IndiceFeminidad!$A$15,IndiceFeminidad!$A$18)</c:f>
              <c:strCache>
                <c:ptCount val="8"/>
                <c:pt idx="0">
                  <c:v> Estados Unidos</c:v>
                </c:pt>
                <c:pt idx="1">
                  <c:v> Chile</c:v>
                </c:pt>
                <c:pt idx="2">
                  <c:v> Colombia</c:v>
                </c:pt>
                <c:pt idx="3">
                  <c:v> Venezuela</c:v>
                </c:pt>
                <c:pt idx="4">
                  <c:v> Argentina</c:v>
                </c:pt>
                <c:pt idx="5">
                  <c:v> Canadá</c:v>
                </c:pt>
                <c:pt idx="6">
                  <c:v> Cuba</c:v>
                </c:pt>
                <c:pt idx="7">
                  <c:v> México</c:v>
                </c:pt>
              </c:strCache>
            </c:strRef>
          </c:cat>
          <c:val>
            <c:numRef>
              <c:f>(IndiceFeminidad!$F$5,IndiceFeminidad!$F$8:$F$12,IndiceFeminidad!$F$15,IndiceFeminidad!$F$18)</c:f>
              <c:numCache>
                <c:formatCode>0.00</c:formatCode>
                <c:ptCount val="8"/>
                <c:pt idx="0">
                  <c:v>65.481111019260993</c:v>
                </c:pt>
                <c:pt idx="1">
                  <c:v>98.756518251103103</c:v>
                </c:pt>
                <c:pt idx="2">
                  <c:v>78.405466970387266</c:v>
                </c:pt>
                <c:pt idx="3">
                  <c:v>82.236154649947949</c:v>
                </c:pt>
                <c:pt idx="4">
                  <c:v>80.137414116177382</c:v>
                </c:pt>
                <c:pt idx="5">
                  <c:v>104</c:v>
                </c:pt>
                <c:pt idx="6">
                  <c:v>101.59453302961288</c:v>
                </c:pt>
                <c:pt idx="7">
                  <c:v>83.604336043360419</c:v>
                </c:pt>
              </c:numCache>
            </c:numRef>
          </c:val>
        </c:ser>
        <c:dLbls>
          <c:showLegendKey val="0"/>
          <c:showVal val="0"/>
          <c:showCatName val="0"/>
          <c:showSerName val="0"/>
          <c:showPercent val="0"/>
          <c:showBubbleSize val="0"/>
        </c:dLbls>
        <c:gapWidth val="50"/>
        <c:axId val="287540352"/>
        <c:axId val="287542272"/>
      </c:barChart>
      <c:lineChart>
        <c:grouping val="standard"/>
        <c:varyColors val="0"/>
        <c:ser>
          <c:idx val="1"/>
          <c:order val="1"/>
          <c:tx>
            <c:strRef>
              <c:f>IndiceFeminidad!$G$2</c:f>
              <c:strCache>
                <c:ptCount val="1"/>
                <c:pt idx="0">
                  <c:v>100 Hombres</c:v>
                </c:pt>
              </c:strCache>
            </c:strRef>
          </c:tx>
          <c:spPr>
            <a:ln w="19050">
              <a:solidFill>
                <a:schemeClr val="tx1"/>
              </a:solidFill>
            </a:ln>
          </c:spPr>
          <c:marker>
            <c:symbol val="none"/>
          </c:marker>
          <c:val>
            <c:numRef>
              <c:f>IndiceFeminidad!$G$4:$G$11</c:f>
              <c:numCache>
                <c:formatCode>0</c:formatCode>
                <c:ptCount val="8"/>
                <c:pt idx="0">
                  <c:v>100</c:v>
                </c:pt>
                <c:pt idx="1">
                  <c:v>100</c:v>
                </c:pt>
                <c:pt idx="2">
                  <c:v>100</c:v>
                </c:pt>
                <c:pt idx="3">
                  <c:v>100</c:v>
                </c:pt>
                <c:pt idx="4">
                  <c:v>100</c:v>
                </c:pt>
                <c:pt idx="5">
                  <c:v>100</c:v>
                </c:pt>
                <c:pt idx="6">
                  <c:v>100</c:v>
                </c:pt>
                <c:pt idx="7">
                  <c:v>100</c:v>
                </c:pt>
              </c:numCache>
            </c:numRef>
          </c:val>
          <c:smooth val="0"/>
        </c:ser>
        <c:dLbls>
          <c:showLegendKey val="0"/>
          <c:showVal val="0"/>
          <c:showCatName val="0"/>
          <c:showSerName val="0"/>
          <c:showPercent val="0"/>
          <c:showBubbleSize val="0"/>
        </c:dLbls>
        <c:marker val="1"/>
        <c:smooth val="0"/>
        <c:axId val="287540352"/>
        <c:axId val="287542272"/>
      </c:lineChart>
      <c:catAx>
        <c:axId val="287540352"/>
        <c:scaling>
          <c:orientation val="minMax"/>
        </c:scaling>
        <c:delete val="0"/>
        <c:axPos val="b"/>
        <c:title>
          <c:tx>
            <c:rich>
              <a:bodyPr/>
              <a:lstStyle/>
              <a:p>
                <a:pPr>
                  <a:defRPr/>
                </a:pPr>
                <a:r>
                  <a:rPr lang="es-EC"/>
                  <a:t>País de residencia actual</a:t>
                </a:r>
              </a:p>
            </c:rich>
          </c:tx>
          <c:overlay val="0"/>
        </c:title>
        <c:majorTickMark val="out"/>
        <c:minorTickMark val="none"/>
        <c:tickLblPos val="nextTo"/>
        <c:spPr>
          <a:ln>
            <a:solidFill>
              <a:schemeClr val="tx1"/>
            </a:solidFill>
          </a:ln>
        </c:spPr>
        <c:txPr>
          <a:bodyPr rot="0" vert="horz"/>
          <a:lstStyle/>
          <a:p>
            <a:pPr>
              <a:defRPr sz="600"/>
            </a:pPr>
            <a:endParaRPr lang="es-EC"/>
          </a:p>
        </c:txPr>
        <c:crossAx val="287542272"/>
        <c:crosses val="autoZero"/>
        <c:auto val="1"/>
        <c:lblAlgn val="ctr"/>
        <c:lblOffset val="100"/>
        <c:noMultiLvlLbl val="0"/>
      </c:catAx>
      <c:valAx>
        <c:axId val="287542272"/>
        <c:scaling>
          <c:orientation val="minMax"/>
          <c:max val="175"/>
          <c:min val="0"/>
        </c:scaling>
        <c:delete val="0"/>
        <c:axPos val="l"/>
        <c:title>
          <c:tx>
            <c:rich>
              <a:bodyPr rot="-5400000" vert="horz"/>
              <a:lstStyle/>
              <a:p>
                <a:pPr>
                  <a:defRPr/>
                </a:pPr>
                <a:r>
                  <a:rPr lang="es-EC"/>
                  <a:t>Índice</a:t>
                </a:r>
                <a:r>
                  <a:rPr lang="es-EC" baseline="0"/>
                  <a:t> de Feminidad</a:t>
                </a:r>
                <a:endParaRPr lang="es-EC"/>
              </a:p>
            </c:rich>
          </c:tx>
          <c:overlay val="0"/>
        </c:title>
        <c:numFmt formatCode="0" sourceLinked="0"/>
        <c:majorTickMark val="out"/>
        <c:minorTickMark val="none"/>
        <c:tickLblPos val="nextTo"/>
        <c:spPr>
          <a:ln>
            <a:solidFill>
              <a:schemeClr val="tx1"/>
            </a:solidFill>
          </a:ln>
        </c:spPr>
        <c:crossAx val="287540352"/>
        <c:crosses val="autoZero"/>
        <c:crossBetween val="between"/>
        <c:majorUnit val="25"/>
      </c:valAx>
      <c:spPr>
        <a:noFill/>
        <a:ln>
          <a:solidFill>
            <a:schemeClr val="tx1"/>
          </a:solidFill>
        </a:ln>
      </c:spPr>
    </c:plotArea>
    <c:legend>
      <c:legendPos val="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01489697983936"/>
          <c:y val="3.4218197908906192E-2"/>
          <c:w val="0.86759409842162105"/>
          <c:h val="0.70486450783056098"/>
        </c:manualLayout>
      </c:layout>
      <c:barChart>
        <c:barDir val="col"/>
        <c:grouping val="clustered"/>
        <c:varyColors val="0"/>
        <c:ser>
          <c:idx val="0"/>
          <c:order val="0"/>
          <c:tx>
            <c:strRef>
              <c:f>IndiceFeminidad!$F$2</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(IndiceFeminidad!$A$4,IndiceFeminidad!$A$6,IndiceFeminidad!$A$13,IndiceFeminidad!$A$14,IndiceFeminidad!$A$16,IndiceFeminidad!$A$17,IndiceFeminidad!$A$20,IndiceFeminidad!$A$22)</c:f>
              <c:strCache>
                <c:ptCount val="8"/>
                <c:pt idx="0">
                  <c:v> España</c:v>
                </c:pt>
                <c:pt idx="1">
                  <c:v> Italia</c:v>
                </c:pt>
                <c:pt idx="2">
                  <c:v> Alemania</c:v>
                </c:pt>
                <c:pt idx="3">
                  <c:v> Bélgica</c:v>
                </c:pt>
                <c:pt idx="4">
                  <c:v> Reino Unido</c:v>
                </c:pt>
                <c:pt idx="5">
                  <c:v> Francia</c:v>
                </c:pt>
                <c:pt idx="6">
                  <c:v> Suiza</c:v>
                </c:pt>
                <c:pt idx="7">
                  <c:v> Países Bajos</c:v>
                </c:pt>
              </c:strCache>
            </c:strRef>
          </c:cat>
          <c:val>
            <c:numRef>
              <c:f>(IndiceFeminidad!$F$4,IndiceFeminidad!$F$6,IndiceFeminidad!$F$13:$F$14,IndiceFeminidad!$F$16:$F$17,IndiceFeminidad!$F$20,IndiceFeminidad!$F$22)</c:f>
              <c:numCache>
                <c:formatCode>0.00</c:formatCode>
                <c:ptCount val="8"/>
                <c:pt idx="0">
                  <c:v>96.253740832053879</c:v>
                </c:pt>
                <c:pt idx="1">
                  <c:v>121.16751777310503</c:v>
                </c:pt>
                <c:pt idx="2">
                  <c:v>119.43419434194357</c:v>
                </c:pt>
                <c:pt idx="3">
                  <c:v>114.0625</c:v>
                </c:pt>
                <c:pt idx="4">
                  <c:v>85.125858123569543</c:v>
                </c:pt>
                <c:pt idx="5">
                  <c:v>97.564469914040217</c:v>
                </c:pt>
                <c:pt idx="6">
                  <c:v>133.99122807017559</c:v>
                </c:pt>
                <c:pt idx="7">
                  <c:v>101.70648464163831</c:v>
                </c:pt>
              </c:numCache>
            </c:numRef>
          </c:val>
        </c:ser>
        <c:dLbls>
          <c:showLegendKey val="0"/>
          <c:showVal val="0"/>
          <c:showCatName val="0"/>
          <c:showSerName val="0"/>
          <c:showPercent val="0"/>
          <c:showBubbleSize val="0"/>
        </c:dLbls>
        <c:gapWidth val="50"/>
        <c:axId val="287576832"/>
        <c:axId val="287578752"/>
      </c:barChart>
      <c:lineChart>
        <c:grouping val="standard"/>
        <c:varyColors val="0"/>
        <c:ser>
          <c:idx val="1"/>
          <c:order val="1"/>
          <c:tx>
            <c:strRef>
              <c:f>IndiceFeminidad!$G$2</c:f>
              <c:strCache>
                <c:ptCount val="1"/>
                <c:pt idx="0">
                  <c:v>100 Hombres</c:v>
                </c:pt>
              </c:strCache>
            </c:strRef>
          </c:tx>
          <c:spPr>
            <a:ln w="19050">
              <a:solidFill>
                <a:schemeClr val="tx1"/>
              </a:solidFill>
            </a:ln>
          </c:spPr>
          <c:marker>
            <c:symbol val="none"/>
          </c:marker>
          <c:val>
            <c:numRef>
              <c:f>IndiceFeminidad!$G$4:$G$11</c:f>
              <c:numCache>
                <c:formatCode>0</c:formatCode>
                <c:ptCount val="8"/>
                <c:pt idx="0">
                  <c:v>100</c:v>
                </c:pt>
                <c:pt idx="1">
                  <c:v>100</c:v>
                </c:pt>
                <c:pt idx="2">
                  <c:v>100</c:v>
                </c:pt>
                <c:pt idx="3">
                  <c:v>100</c:v>
                </c:pt>
                <c:pt idx="4">
                  <c:v>100</c:v>
                </c:pt>
                <c:pt idx="5">
                  <c:v>100</c:v>
                </c:pt>
                <c:pt idx="6">
                  <c:v>100</c:v>
                </c:pt>
                <c:pt idx="7">
                  <c:v>100</c:v>
                </c:pt>
              </c:numCache>
            </c:numRef>
          </c:val>
          <c:smooth val="0"/>
        </c:ser>
        <c:dLbls>
          <c:showLegendKey val="0"/>
          <c:showVal val="0"/>
          <c:showCatName val="0"/>
          <c:showSerName val="0"/>
          <c:showPercent val="0"/>
          <c:showBubbleSize val="0"/>
        </c:dLbls>
        <c:marker val="1"/>
        <c:smooth val="0"/>
        <c:axId val="287576832"/>
        <c:axId val="287578752"/>
      </c:lineChart>
      <c:catAx>
        <c:axId val="287576832"/>
        <c:scaling>
          <c:orientation val="minMax"/>
        </c:scaling>
        <c:delete val="0"/>
        <c:axPos val="b"/>
        <c:title>
          <c:tx>
            <c:rich>
              <a:bodyPr/>
              <a:lstStyle/>
              <a:p>
                <a:pPr>
                  <a:defRPr/>
                </a:pPr>
                <a:r>
                  <a:rPr lang="es-EC"/>
                  <a:t>País</a:t>
                </a:r>
                <a:r>
                  <a:rPr lang="es-EC" baseline="0"/>
                  <a:t> de residencia actual</a:t>
                </a:r>
                <a:endParaRPr lang="es-EC"/>
              </a:p>
            </c:rich>
          </c:tx>
          <c:overlay val="0"/>
        </c:title>
        <c:majorTickMark val="out"/>
        <c:minorTickMark val="none"/>
        <c:tickLblPos val="nextTo"/>
        <c:spPr>
          <a:ln>
            <a:solidFill>
              <a:schemeClr val="tx1"/>
            </a:solidFill>
          </a:ln>
        </c:spPr>
        <c:txPr>
          <a:bodyPr rot="0" vert="horz"/>
          <a:lstStyle/>
          <a:p>
            <a:pPr>
              <a:defRPr sz="650"/>
            </a:pPr>
            <a:endParaRPr lang="es-EC"/>
          </a:p>
        </c:txPr>
        <c:crossAx val="287578752"/>
        <c:crosses val="autoZero"/>
        <c:auto val="1"/>
        <c:lblAlgn val="ctr"/>
        <c:lblOffset val="100"/>
        <c:noMultiLvlLbl val="0"/>
      </c:catAx>
      <c:valAx>
        <c:axId val="287578752"/>
        <c:scaling>
          <c:orientation val="minMax"/>
          <c:max val="175"/>
          <c:min val="0"/>
        </c:scaling>
        <c:delete val="0"/>
        <c:axPos val="l"/>
        <c:title>
          <c:tx>
            <c:rich>
              <a:bodyPr rot="-5400000" vert="horz"/>
              <a:lstStyle/>
              <a:p>
                <a:pPr>
                  <a:defRPr/>
                </a:pPr>
                <a:r>
                  <a:rPr lang="es-EC"/>
                  <a:t>Índice de Feminidad</a:t>
                </a:r>
              </a:p>
            </c:rich>
          </c:tx>
          <c:layout>
            <c:manualLayout>
              <c:xMode val="edge"/>
              <c:yMode val="edge"/>
              <c:x val="3.09122457544836E-3"/>
              <c:y val="2.5139887950706652E-2"/>
            </c:manualLayout>
          </c:layout>
          <c:overlay val="0"/>
        </c:title>
        <c:numFmt formatCode="0" sourceLinked="0"/>
        <c:majorTickMark val="out"/>
        <c:minorTickMark val="none"/>
        <c:tickLblPos val="nextTo"/>
        <c:spPr>
          <a:ln>
            <a:solidFill>
              <a:schemeClr val="tx1"/>
            </a:solidFill>
          </a:ln>
        </c:spPr>
        <c:crossAx val="287576832"/>
        <c:crosses val="autoZero"/>
        <c:crossBetween val="between"/>
        <c:majorUnit val="25"/>
      </c:valAx>
      <c:spPr>
        <a:noFill/>
        <a:ln>
          <a:solidFill>
            <a:schemeClr val="tx1"/>
          </a:solidFill>
        </a:ln>
      </c:spPr>
    </c:plotArea>
    <c:legend>
      <c:legendPos val="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01489697983936"/>
          <c:y val="3.4218197908906192E-2"/>
          <c:w val="0.86759409842162105"/>
          <c:h val="0.7241138011885434"/>
        </c:manualLayout>
      </c:layout>
      <c:barChart>
        <c:barDir val="col"/>
        <c:grouping val="clustered"/>
        <c:varyColors val="0"/>
        <c:ser>
          <c:idx val="0"/>
          <c:order val="0"/>
          <c:tx>
            <c:strRef>
              <c:f>IndiceFeminidad!$F$2</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(IndiceFeminidad!$A$26,IndiceFeminidad!$A$33,IndiceFeminidad!$A$43,IndiceFeminidad!$A$54,IndiceFeminidad!$A$61,IndiceFeminidad!$A$63,IndiceFeminidad!$A$66,IndiceFeminidad!$A$68)</c:f>
              <c:strCache>
                <c:ptCount val="8"/>
                <c:pt idx="0">
                  <c:v> China</c:v>
                </c:pt>
                <c:pt idx="1">
                  <c:v> Israel</c:v>
                </c:pt>
                <c:pt idx="2">
                  <c:v> Japón</c:v>
                </c:pt>
                <c:pt idx="3">
                  <c:v> Taiwán</c:v>
                </c:pt>
                <c:pt idx="4">
                  <c:v> Corea del Sur</c:v>
                </c:pt>
                <c:pt idx="5">
                  <c:v> India</c:v>
                </c:pt>
                <c:pt idx="6">
                  <c:v> Irak</c:v>
                </c:pt>
                <c:pt idx="7">
                  <c:v> Turquía</c:v>
                </c:pt>
              </c:strCache>
            </c:strRef>
          </c:cat>
          <c:val>
            <c:numRef>
              <c:f>(IndiceFeminidad!$F$26,IndiceFeminidad!$F$33,IndiceFeminidad!$F$43,IndiceFeminidad!$F$54,IndiceFeminidad!$F$61,IndiceFeminidad!$F$63,IndiceFeminidad!$F$66,IndiceFeminidad!$F$68)</c:f>
              <c:numCache>
                <c:formatCode>0.00</c:formatCode>
                <c:ptCount val="8"/>
                <c:pt idx="0">
                  <c:v>62.631578947368418</c:v>
                </c:pt>
                <c:pt idx="1">
                  <c:v>146.15384615384613</c:v>
                </c:pt>
                <c:pt idx="2">
                  <c:v>58.571428571428527</c:v>
                </c:pt>
                <c:pt idx="3">
                  <c:v>152.17391304347811</c:v>
                </c:pt>
                <c:pt idx="4">
                  <c:v>100</c:v>
                </c:pt>
                <c:pt idx="5">
                  <c:v>128.57142857142861</c:v>
                </c:pt>
                <c:pt idx="6">
                  <c:v>8.3333333333333321</c:v>
                </c:pt>
                <c:pt idx="7">
                  <c:v>166.66666666666652</c:v>
                </c:pt>
              </c:numCache>
            </c:numRef>
          </c:val>
        </c:ser>
        <c:dLbls>
          <c:showLegendKey val="0"/>
          <c:showVal val="0"/>
          <c:showCatName val="0"/>
          <c:showSerName val="0"/>
          <c:showPercent val="0"/>
          <c:showBubbleSize val="0"/>
        </c:dLbls>
        <c:gapWidth val="50"/>
        <c:axId val="287605120"/>
        <c:axId val="287607040"/>
      </c:barChart>
      <c:lineChart>
        <c:grouping val="standard"/>
        <c:varyColors val="0"/>
        <c:ser>
          <c:idx val="1"/>
          <c:order val="1"/>
          <c:tx>
            <c:strRef>
              <c:f>IndiceFeminidad!$G$2</c:f>
              <c:strCache>
                <c:ptCount val="1"/>
                <c:pt idx="0">
                  <c:v>100 Hombres</c:v>
                </c:pt>
              </c:strCache>
            </c:strRef>
          </c:tx>
          <c:spPr>
            <a:ln w="19050">
              <a:solidFill>
                <a:schemeClr val="tx1"/>
              </a:solidFill>
            </a:ln>
          </c:spPr>
          <c:marker>
            <c:symbol val="none"/>
          </c:marker>
          <c:val>
            <c:numRef>
              <c:f>IndiceFeminidad!$G$4:$G$11</c:f>
              <c:numCache>
                <c:formatCode>0</c:formatCode>
                <c:ptCount val="8"/>
                <c:pt idx="0">
                  <c:v>100</c:v>
                </c:pt>
                <c:pt idx="1">
                  <c:v>100</c:v>
                </c:pt>
                <c:pt idx="2">
                  <c:v>100</c:v>
                </c:pt>
                <c:pt idx="3">
                  <c:v>100</c:v>
                </c:pt>
                <c:pt idx="4">
                  <c:v>100</c:v>
                </c:pt>
                <c:pt idx="5">
                  <c:v>100</c:v>
                </c:pt>
                <c:pt idx="6">
                  <c:v>100</c:v>
                </c:pt>
                <c:pt idx="7">
                  <c:v>100</c:v>
                </c:pt>
              </c:numCache>
            </c:numRef>
          </c:val>
          <c:smooth val="0"/>
        </c:ser>
        <c:dLbls>
          <c:showLegendKey val="0"/>
          <c:showVal val="0"/>
          <c:showCatName val="0"/>
          <c:showSerName val="0"/>
          <c:showPercent val="0"/>
          <c:showBubbleSize val="0"/>
        </c:dLbls>
        <c:marker val="1"/>
        <c:smooth val="0"/>
        <c:axId val="287605120"/>
        <c:axId val="287607040"/>
      </c:lineChart>
      <c:catAx>
        <c:axId val="287605120"/>
        <c:scaling>
          <c:orientation val="minMax"/>
        </c:scaling>
        <c:delete val="0"/>
        <c:axPos val="b"/>
        <c:title>
          <c:tx>
            <c:rich>
              <a:bodyPr/>
              <a:lstStyle/>
              <a:p>
                <a:pPr>
                  <a:defRPr/>
                </a:pPr>
                <a:r>
                  <a:rPr lang="es-EC"/>
                  <a:t>País de residencia</a:t>
                </a:r>
                <a:r>
                  <a:rPr lang="es-EC" baseline="0"/>
                  <a:t> actual</a:t>
                </a:r>
                <a:endParaRPr lang="es-EC"/>
              </a:p>
            </c:rich>
          </c:tx>
          <c:overlay val="0"/>
        </c:title>
        <c:majorTickMark val="out"/>
        <c:minorTickMark val="none"/>
        <c:tickLblPos val="nextTo"/>
        <c:spPr>
          <a:ln>
            <a:solidFill>
              <a:schemeClr val="tx1"/>
            </a:solidFill>
          </a:ln>
        </c:spPr>
        <c:txPr>
          <a:bodyPr rot="0" vert="horz"/>
          <a:lstStyle/>
          <a:p>
            <a:pPr>
              <a:defRPr sz="700"/>
            </a:pPr>
            <a:endParaRPr lang="es-EC"/>
          </a:p>
        </c:txPr>
        <c:crossAx val="287607040"/>
        <c:crosses val="autoZero"/>
        <c:auto val="1"/>
        <c:lblAlgn val="ctr"/>
        <c:lblOffset val="100"/>
        <c:noMultiLvlLbl val="0"/>
      </c:catAx>
      <c:valAx>
        <c:axId val="287607040"/>
        <c:scaling>
          <c:orientation val="minMax"/>
          <c:max val="200"/>
          <c:min val="0"/>
        </c:scaling>
        <c:delete val="0"/>
        <c:axPos val="l"/>
        <c:title>
          <c:tx>
            <c:rich>
              <a:bodyPr rot="-5400000" vert="horz"/>
              <a:lstStyle/>
              <a:p>
                <a:pPr>
                  <a:defRPr/>
                </a:pPr>
                <a:r>
                  <a:rPr lang="es-EC"/>
                  <a:t>Índice de Feminidad</a:t>
                </a:r>
              </a:p>
            </c:rich>
          </c:tx>
          <c:layout>
            <c:manualLayout>
              <c:xMode val="edge"/>
              <c:yMode val="edge"/>
              <c:x val="3.0568971241363352E-3"/>
              <c:y val="0.10650759339627358"/>
            </c:manualLayout>
          </c:layout>
          <c:overlay val="0"/>
        </c:title>
        <c:numFmt formatCode="0" sourceLinked="0"/>
        <c:majorTickMark val="out"/>
        <c:minorTickMark val="none"/>
        <c:tickLblPos val="nextTo"/>
        <c:spPr>
          <a:ln>
            <a:solidFill>
              <a:schemeClr val="tx1"/>
            </a:solidFill>
          </a:ln>
        </c:spPr>
        <c:crossAx val="287605120"/>
        <c:crosses val="autoZero"/>
        <c:crossBetween val="between"/>
        <c:majorUnit val="25"/>
      </c:valAx>
      <c:spPr>
        <a:noFill/>
        <a:ln>
          <a:solidFill>
            <a:schemeClr val="tx1"/>
          </a:solidFill>
        </a:ln>
      </c:spPr>
    </c:plotArea>
    <c:legend>
      <c:legendPos val="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01489697983936"/>
          <c:y val="3.4218197908906192E-2"/>
          <c:w val="0.86759409842162105"/>
          <c:h val="0.74093996243854421"/>
        </c:manualLayout>
      </c:layout>
      <c:barChart>
        <c:barDir val="col"/>
        <c:grouping val="clustered"/>
        <c:varyColors val="0"/>
        <c:ser>
          <c:idx val="0"/>
          <c:order val="0"/>
          <c:tx>
            <c:strRef>
              <c:f>IndiceFeminidad!$F$2</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(IndiceFeminidad!$A$59,IndiceFeminidad!$A$62,IndiceFeminidad!$A$71,IndiceFeminidad!$A$75,IndiceFeminidad!$A$82,IndiceFeminidad!$A$96:$A$98)</c:f>
              <c:strCache>
                <c:ptCount val="8"/>
                <c:pt idx="0">
                  <c:v> Sudafrica (Ciskei)</c:v>
                </c:pt>
                <c:pt idx="1">
                  <c:v> Argelia</c:v>
                </c:pt>
                <c:pt idx="2">
                  <c:v> Egipto</c:v>
                </c:pt>
                <c:pt idx="3">
                  <c:v> Angola</c:v>
                </c:pt>
                <c:pt idx="4">
                  <c:v> Libia</c:v>
                </c:pt>
                <c:pt idx="5">
                  <c:v> Nigeria</c:v>
                </c:pt>
                <c:pt idx="6">
                  <c:v> Liberia</c:v>
                </c:pt>
                <c:pt idx="7">
                  <c:v> Malawi</c:v>
                </c:pt>
              </c:strCache>
            </c:strRef>
          </c:cat>
          <c:val>
            <c:numRef>
              <c:f>(IndiceFeminidad!$F$59,IndiceFeminidad!$F$62,IndiceFeminidad!$F$71,IndiceFeminidad!$F$75,IndiceFeminidad!$F$82,IndiceFeminidad!$F$96:$F$98)</c:f>
              <c:numCache>
                <c:formatCode>0.00</c:formatCode>
                <c:ptCount val="8"/>
                <c:pt idx="0">
                  <c:v>91.666666666666657</c:v>
                </c:pt>
                <c:pt idx="1">
                  <c:v>27.586206896551687</c:v>
                </c:pt>
                <c:pt idx="2">
                  <c:v>72.727272727272734</c:v>
                </c:pt>
                <c:pt idx="3">
                  <c:v>36.363636363636289</c:v>
                </c:pt>
                <c:pt idx="4">
                  <c:v>116.66666666666667</c:v>
                </c:pt>
                <c:pt idx="5">
                  <c:v>0</c:v>
                </c:pt>
                <c:pt idx="6">
                  <c:v>60</c:v>
                </c:pt>
                <c:pt idx="7">
                  <c:v>300</c:v>
                </c:pt>
              </c:numCache>
            </c:numRef>
          </c:val>
        </c:ser>
        <c:dLbls>
          <c:showLegendKey val="0"/>
          <c:showVal val="0"/>
          <c:showCatName val="0"/>
          <c:showSerName val="0"/>
          <c:showPercent val="0"/>
          <c:showBubbleSize val="0"/>
        </c:dLbls>
        <c:gapWidth val="50"/>
        <c:axId val="287623808"/>
        <c:axId val="287650560"/>
      </c:barChart>
      <c:lineChart>
        <c:grouping val="standard"/>
        <c:varyColors val="0"/>
        <c:ser>
          <c:idx val="1"/>
          <c:order val="1"/>
          <c:tx>
            <c:strRef>
              <c:f>IndiceFeminidad!$G$2</c:f>
              <c:strCache>
                <c:ptCount val="1"/>
                <c:pt idx="0">
                  <c:v>100 Hombres</c:v>
                </c:pt>
              </c:strCache>
            </c:strRef>
          </c:tx>
          <c:spPr>
            <a:ln w="19050">
              <a:solidFill>
                <a:schemeClr val="tx1"/>
              </a:solidFill>
            </a:ln>
          </c:spPr>
          <c:marker>
            <c:symbol val="none"/>
          </c:marker>
          <c:val>
            <c:numRef>
              <c:f>IndiceFeminidad!$G$4:$G$11</c:f>
              <c:numCache>
                <c:formatCode>0</c:formatCode>
                <c:ptCount val="8"/>
                <c:pt idx="0">
                  <c:v>100</c:v>
                </c:pt>
                <c:pt idx="1">
                  <c:v>100</c:v>
                </c:pt>
                <c:pt idx="2">
                  <c:v>100</c:v>
                </c:pt>
                <c:pt idx="3">
                  <c:v>100</c:v>
                </c:pt>
                <c:pt idx="4">
                  <c:v>100</c:v>
                </c:pt>
                <c:pt idx="5">
                  <c:v>100</c:v>
                </c:pt>
                <c:pt idx="6">
                  <c:v>100</c:v>
                </c:pt>
                <c:pt idx="7">
                  <c:v>100</c:v>
                </c:pt>
              </c:numCache>
            </c:numRef>
          </c:val>
          <c:smooth val="0"/>
        </c:ser>
        <c:dLbls>
          <c:showLegendKey val="0"/>
          <c:showVal val="0"/>
          <c:showCatName val="0"/>
          <c:showSerName val="0"/>
          <c:showPercent val="0"/>
          <c:showBubbleSize val="0"/>
        </c:dLbls>
        <c:marker val="1"/>
        <c:smooth val="0"/>
        <c:axId val="287623808"/>
        <c:axId val="287650560"/>
      </c:lineChart>
      <c:catAx>
        <c:axId val="287623808"/>
        <c:scaling>
          <c:orientation val="minMax"/>
        </c:scaling>
        <c:delete val="0"/>
        <c:axPos val="b"/>
        <c:title>
          <c:tx>
            <c:rich>
              <a:bodyPr/>
              <a:lstStyle/>
              <a:p>
                <a:pPr>
                  <a:defRPr/>
                </a:pPr>
                <a:r>
                  <a:rPr lang="es-EC"/>
                  <a:t>País de residencia</a:t>
                </a:r>
                <a:r>
                  <a:rPr lang="es-EC" baseline="0"/>
                  <a:t> actual</a:t>
                </a:r>
                <a:endParaRPr lang="es-EC"/>
              </a:p>
            </c:rich>
          </c:tx>
          <c:overlay val="0"/>
        </c:title>
        <c:majorTickMark val="out"/>
        <c:minorTickMark val="none"/>
        <c:tickLblPos val="nextTo"/>
        <c:spPr>
          <a:ln>
            <a:solidFill>
              <a:schemeClr val="tx1"/>
            </a:solidFill>
          </a:ln>
        </c:spPr>
        <c:txPr>
          <a:bodyPr rot="0" vert="horz"/>
          <a:lstStyle/>
          <a:p>
            <a:pPr>
              <a:defRPr sz="700"/>
            </a:pPr>
            <a:endParaRPr lang="es-EC"/>
          </a:p>
        </c:txPr>
        <c:crossAx val="287650560"/>
        <c:crosses val="autoZero"/>
        <c:auto val="1"/>
        <c:lblAlgn val="ctr"/>
        <c:lblOffset val="100"/>
        <c:noMultiLvlLbl val="0"/>
      </c:catAx>
      <c:valAx>
        <c:axId val="287650560"/>
        <c:scaling>
          <c:orientation val="minMax"/>
          <c:max val="350"/>
          <c:min val="0"/>
        </c:scaling>
        <c:delete val="0"/>
        <c:axPos val="l"/>
        <c:title>
          <c:tx>
            <c:rich>
              <a:bodyPr rot="-5400000" vert="horz"/>
              <a:lstStyle/>
              <a:p>
                <a:pPr>
                  <a:defRPr/>
                </a:pPr>
                <a:r>
                  <a:rPr lang="es-EC"/>
                  <a:t>Índice de Feminidad</a:t>
                </a:r>
              </a:p>
            </c:rich>
          </c:tx>
          <c:layout>
            <c:manualLayout>
              <c:xMode val="edge"/>
              <c:yMode val="edge"/>
              <c:x val="3.0568971241363352E-3"/>
              <c:y val="0.10222793264403142"/>
            </c:manualLayout>
          </c:layout>
          <c:overlay val="0"/>
        </c:title>
        <c:numFmt formatCode="0" sourceLinked="0"/>
        <c:majorTickMark val="out"/>
        <c:minorTickMark val="none"/>
        <c:tickLblPos val="nextTo"/>
        <c:spPr>
          <a:ln>
            <a:solidFill>
              <a:schemeClr val="tx1"/>
            </a:solidFill>
          </a:ln>
        </c:spPr>
        <c:crossAx val="287623808"/>
        <c:crosses val="autoZero"/>
        <c:crossBetween val="between"/>
        <c:majorUnit val="50"/>
      </c:valAx>
      <c:spPr>
        <a:noFill/>
        <a:ln>
          <a:solidFill>
            <a:schemeClr val="tx1"/>
          </a:solidFill>
        </a:ln>
      </c:spPr>
    </c:plotArea>
    <c:legend>
      <c:legendPos val="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14244745292427"/>
          <c:y val="3.4218197908906192E-2"/>
          <c:w val="0.85865962939918783"/>
          <c:h val="0.70180227471566059"/>
        </c:manualLayout>
      </c:layout>
      <c:barChart>
        <c:barDir val="col"/>
        <c:grouping val="clustered"/>
        <c:varyColors val="0"/>
        <c:ser>
          <c:idx val="0"/>
          <c:order val="0"/>
          <c:tx>
            <c:strRef>
              <c:f>IndiceFeminidad!$F$2</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(IndiceFeminidad!$A$28,IndiceFeminidad!$A$60,IndiceFeminidad!$A$140:$A$141,IndiceFeminidad!$A$147,IndiceFeminidad!$A$171:$A$172)</c:f>
              <c:strCache>
                <c:ptCount val="7"/>
                <c:pt idx="0">
                  <c:v> Australia</c:v>
                </c:pt>
                <c:pt idx="1">
                  <c:v> Nueva Zelandia</c:v>
                </c:pt>
                <c:pt idx="2">
                  <c:v> Palau (Belau) Islas</c:v>
                </c:pt>
                <c:pt idx="3">
                  <c:v> Kiribati</c:v>
                </c:pt>
                <c:pt idx="4">
                  <c:v> Samoa Americana</c:v>
                </c:pt>
                <c:pt idx="5">
                  <c:v> Samoa Occidental</c:v>
                </c:pt>
                <c:pt idx="6">
                  <c:v> Otras Naciones de Oceanía</c:v>
                </c:pt>
              </c:strCache>
            </c:strRef>
          </c:cat>
          <c:val>
            <c:numRef>
              <c:f>(IndiceFeminidad!$F$28,IndiceFeminidad!$F$60,IndiceFeminidad!$F$140:$F$141,IndiceFeminidad!$F$147,IndiceFeminidad!$F$171:$F$172)</c:f>
              <c:numCache>
                <c:formatCode>0.00</c:formatCode>
                <c:ptCount val="7"/>
                <c:pt idx="0">
                  <c:v>91.333333333333258</c:v>
                </c:pt>
                <c:pt idx="1">
                  <c:v>83.333333333333258</c:v>
                </c:pt>
                <c:pt idx="2">
                  <c:v>0</c:v>
                </c:pt>
                <c:pt idx="3">
                  <c:v>100</c:v>
                </c:pt>
                <c:pt idx="4">
                  <c:v>0</c:v>
                </c:pt>
                <c:pt idx="5">
                  <c:v>0</c:v>
                </c:pt>
                <c:pt idx="6">
                  <c:v>0</c:v>
                </c:pt>
              </c:numCache>
            </c:numRef>
          </c:val>
        </c:ser>
        <c:dLbls>
          <c:showLegendKey val="0"/>
          <c:showVal val="0"/>
          <c:showCatName val="0"/>
          <c:showSerName val="0"/>
          <c:showPercent val="0"/>
          <c:showBubbleSize val="0"/>
        </c:dLbls>
        <c:gapWidth val="50"/>
        <c:axId val="287680384"/>
        <c:axId val="287690752"/>
      </c:barChart>
      <c:lineChart>
        <c:grouping val="standard"/>
        <c:varyColors val="0"/>
        <c:ser>
          <c:idx val="1"/>
          <c:order val="1"/>
          <c:tx>
            <c:strRef>
              <c:f>IndiceFeminidad!$G$2</c:f>
              <c:strCache>
                <c:ptCount val="1"/>
                <c:pt idx="0">
                  <c:v>100 Hombres</c:v>
                </c:pt>
              </c:strCache>
            </c:strRef>
          </c:tx>
          <c:spPr>
            <a:ln w="19050">
              <a:solidFill>
                <a:schemeClr val="tx1"/>
              </a:solidFill>
            </a:ln>
          </c:spPr>
          <c:marker>
            <c:symbol val="none"/>
          </c:marker>
          <c:val>
            <c:numRef>
              <c:f>IndiceFeminidad!$G$4:$G$10</c:f>
              <c:numCache>
                <c:formatCode>0</c:formatCode>
                <c:ptCount val="7"/>
                <c:pt idx="0">
                  <c:v>100</c:v>
                </c:pt>
                <c:pt idx="1">
                  <c:v>100</c:v>
                </c:pt>
                <c:pt idx="2">
                  <c:v>100</c:v>
                </c:pt>
                <c:pt idx="3">
                  <c:v>100</c:v>
                </c:pt>
                <c:pt idx="4">
                  <c:v>100</c:v>
                </c:pt>
                <c:pt idx="5">
                  <c:v>100</c:v>
                </c:pt>
                <c:pt idx="6">
                  <c:v>100</c:v>
                </c:pt>
              </c:numCache>
            </c:numRef>
          </c:val>
          <c:smooth val="0"/>
        </c:ser>
        <c:dLbls>
          <c:showLegendKey val="0"/>
          <c:showVal val="0"/>
          <c:showCatName val="0"/>
          <c:showSerName val="0"/>
          <c:showPercent val="0"/>
          <c:showBubbleSize val="0"/>
        </c:dLbls>
        <c:marker val="1"/>
        <c:smooth val="0"/>
        <c:axId val="287680384"/>
        <c:axId val="287690752"/>
      </c:lineChart>
      <c:catAx>
        <c:axId val="287680384"/>
        <c:scaling>
          <c:orientation val="minMax"/>
        </c:scaling>
        <c:delete val="0"/>
        <c:axPos val="b"/>
        <c:title>
          <c:tx>
            <c:rich>
              <a:bodyPr/>
              <a:lstStyle/>
              <a:p>
                <a:pPr>
                  <a:defRPr/>
                </a:pPr>
                <a:r>
                  <a:rPr lang="es-EC"/>
                  <a:t>País de residencia actual</a:t>
                </a:r>
              </a:p>
            </c:rich>
          </c:tx>
          <c:overlay val="0"/>
        </c:title>
        <c:majorTickMark val="out"/>
        <c:minorTickMark val="none"/>
        <c:tickLblPos val="nextTo"/>
        <c:spPr>
          <a:ln>
            <a:solidFill>
              <a:schemeClr val="tx1"/>
            </a:solidFill>
          </a:ln>
        </c:spPr>
        <c:txPr>
          <a:bodyPr rot="0" vert="horz"/>
          <a:lstStyle/>
          <a:p>
            <a:pPr>
              <a:defRPr sz="600"/>
            </a:pPr>
            <a:endParaRPr lang="es-EC"/>
          </a:p>
        </c:txPr>
        <c:crossAx val="287690752"/>
        <c:crosses val="autoZero"/>
        <c:auto val="1"/>
        <c:lblAlgn val="ctr"/>
        <c:lblOffset val="100"/>
        <c:noMultiLvlLbl val="0"/>
      </c:catAx>
      <c:valAx>
        <c:axId val="287690752"/>
        <c:scaling>
          <c:orientation val="minMax"/>
          <c:max val="175"/>
          <c:min val="0"/>
        </c:scaling>
        <c:delete val="0"/>
        <c:axPos val="l"/>
        <c:title>
          <c:tx>
            <c:rich>
              <a:bodyPr rot="-5400000" vert="horz"/>
              <a:lstStyle/>
              <a:p>
                <a:pPr>
                  <a:defRPr/>
                </a:pPr>
                <a:r>
                  <a:rPr lang="es-EC"/>
                  <a:t>Índice de Feminidad</a:t>
                </a:r>
              </a:p>
            </c:rich>
          </c:tx>
          <c:overlay val="0"/>
        </c:title>
        <c:numFmt formatCode="0" sourceLinked="0"/>
        <c:majorTickMark val="out"/>
        <c:minorTickMark val="none"/>
        <c:tickLblPos val="nextTo"/>
        <c:spPr>
          <a:ln>
            <a:solidFill>
              <a:schemeClr val="tx1"/>
            </a:solidFill>
          </a:ln>
        </c:spPr>
        <c:crossAx val="287680384"/>
        <c:crosses val="autoZero"/>
        <c:crossBetween val="between"/>
        <c:majorUnit val="25"/>
      </c:valAx>
      <c:spPr>
        <a:noFill/>
        <a:ln>
          <a:solidFill>
            <a:schemeClr val="tx1"/>
          </a:solidFill>
        </a:ln>
      </c:spPr>
    </c:plotArea>
    <c:legend>
      <c:legendPos val="t"/>
      <c:layout>
        <c:manualLayout>
          <c:xMode val="edge"/>
          <c:yMode val="edge"/>
          <c:x val="0.23963706041478811"/>
          <c:y val="4.6783625730994163E-2"/>
          <c:w val="0.64160555054603863"/>
          <c:h val="0.11575509201700665"/>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8873658431765"/>
          <c:y val="7.7924323600695011E-2"/>
          <c:w val="0.86616405980926559"/>
          <c:h val="0.65628725650812125"/>
        </c:manualLayout>
      </c:layout>
      <c:lineChart>
        <c:grouping val="standard"/>
        <c:varyColors val="0"/>
        <c:ser>
          <c:idx val="0"/>
          <c:order val="0"/>
          <c:spPr>
            <a:ln w="19050">
              <a:solidFill>
                <a:srgbClr val="0070C0"/>
              </a:solidFill>
            </a:ln>
          </c:spPr>
          <c:marker>
            <c:symbol val="none"/>
          </c:marker>
          <c:cat>
            <c:strRef>
              <c:f>Inmigrantes_Guayaquil!$J$254:$J$272</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Inmigrantes_Guayaquil!$K$254:$K$272</c:f>
              <c:numCache>
                <c:formatCode>0.00</c:formatCode>
                <c:ptCount val="19"/>
                <c:pt idx="0">
                  <c:v>988.44027475288999</c:v>
                </c:pt>
                <c:pt idx="1">
                  <c:v>907.35769839630996</c:v>
                </c:pt>
                <c:pt idx="2">
                  <c:v>582.16428345888403</c:v>
                </c:pt>
                <c:pt idx="3">
                  <c:v>304.61329715061061</c:v>
                </c:pt>
                <c:pt idx="4">
                  <c:v>179.61542360852962</c:v>
                </c:pt>
                <c:pt idx="5">
                  <c:v>125.09322665943456</c:v>
                </c:pt>
                <c:pt idx="6">
                  <c:v>108.31611202166322</c:v>
                </c:pt>
                <c:pt idx="7">
                  <c:v>93.428142066488135</c:v>
                </c:pt>
                <c:pt idx="8">
                  <c:v>86.240511054880329</c:v>
                </c:pt>
                <c:pt idx="9">
                  <c:v>80.098138259488948</c:v>
                </c:pt>
                <c:pt idx="10">
                  <c:v>77.504985901932557</c:v>
                </c:pt>
                <c:pt idx="11">
                  <c:v>83.779789395898689</c:v>
                </c:pt>
                <c:pt idx="12">
                  <c:v>77.349490782519013</c:v>
                </c:pt>
                <c:pt idx="13">
                  <c:v>72.095629435935848</c:v>
                </c:pt>
                <c:pt idx="14">
                  <c:v>70.841598186455059</c:v>
                </c:pt>
                <c:pt idx="15">
                  <c:v>69.504310344827587</c:v>
                </c:pt>
                <c:pt idx="16">
                  <c:v>67.307692307692278</c:v>
                </c:pt>
                <c:pt idx="17">
                  <c:v>72.033898305084605</c:v>
                </c:pt>
                <c:pt idx="18">
                  <c:v>55.55555555555555</c:v>
                </c:pt>
              </c:numCache>
            </c:numRef>
          </c:val>
          <c:smooth val="1"/>
        </c:ser>
        <c:ser>
          <c:idx val="1"/>
          <c:order val="1"/>
          <c:spPr>
            <a:ln w="19050">
              <a:solidFill>
                <a:schemeClr val="accent6">
                  <a:lumMod val="75000"/>
                </a:schemeClr>
              </a:solidFill>
            </a:ln>
          </c:spPr>
          <c:marker>
            <c:symbol val="none"/>
          </c:marker>
          <c:cat>
            <c:strRef>
              <c:f>Inmigrantes_Guayaquil!$J$254:$J$272</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Inmigrantes_Guayaquil!$L$254:$L$272</c:f>
              <c:numCache>
                <c:formatCode>0.00</c:formatCode>
                <c:ptCount val="19"/>
                <c:pt idx="0">
                  <c:v>9.5493382476126651</c:v>
                </c:pt>
                <c:pt idx="1">
                  <c:v>84.52061394452474</c:v>
                </c:pt>
                <c:pt idx="2">
                  <c:v>389.77851955433221</c:v>
                </c:pt>
                <c:pt idx="3">
                  <c:v>642.31870948288849</c:v>
                </c:pt>
                <c:pt idx="4">
                  <c:v>746.20661687675306</c:v>
                </c:pt>
                <c:pt idx="5">
                  <c:v>785.13797545596299</c:v>
                </c:pt>
                <c:pt idx="6">
                  <c:v>784.7217273569446</c:v>
                </c:pt>
                <c:pt idx="7">
                  <c:v>786.60704467983805</c:v>
                </c:pt>
                <c:pt idx="8">
                  <c:v>788.11133695607214</c:v>
                </c:pt>
                <c:pt idx="9">
                  <c:v>779.23702313946217</c:v>
                </c:pt>
                <c:pt idx="10">
                  <c:v>763.29000756481776</c:v>
                </c:pt>
                <c:pt idx="11">
                  <c:v>731.29503048217305</c:v>
                </c:pt>
                <c:pt idx="12">
                  <c:v>702.46229212324226</c:v>
                </c:pt>
                <c:pt idx="13">
                  <c:v>661.56144938363798</c:v>
                </c:pt>
                <c:pt idx="14">
                  <c:v>592.23576083876458</c:v>
                </c:pt>
                <c:pt idx="15">
                  <c:v>509.1594827586207</c:v>
                </c:pt>
                <c:pt idx="16">
                  <c:v>418.95604395604369</c:v>
                </c:pt>
                <c:pt idx="17">
                  <c:v>343.22033898305045</c:v>
                </c:pt>
                <c:pt idx="18">
                  <c:v>194.44444444444446</c:v>
                </c:pt>
              </c:numCache>
            </c:numRef>
          </c:val>
          <c:smooth val="1"/>
        </c:ser>
        <c:ser>
          <c:idx val="2"/>
          <c:order val="2"/>
          <c:spPr>
            <a:ln w="19050">
              <a:solidFill>
                <a:srgbClr val="D60093"/>
              </a:solidFill>
            </a:ln>
          </c:spPr>
          <c:marker>
            <c:symbol val="none"/>
          </c:marker>
          <c:val>
            <c:numRef>
              <c:f>Inmigrantes_Guayaquil!$M$254:$M$272</c:f>
              <c:numCache>
                <c:formatCode>0.00</c:formatCode>
                <c:ptCount val="19"/>
                <c:pt idx="0">
                  <c:v>2.0103869994974031</c:v>
                </c:pt>
                <c:pt idx="1">
                  <c:v>8.1216876591644347</c:v>
                </c:pt>
                <c:pt idx="2">
                  <c:v>28.057196986783321</c:v>
                </c:pt>
                <c:pt idx="3">
                  <c:v>53.067993366500872</c:v>
                </c:pt>
                <c:pt idx="4">
                  <c:v>74.177959514717315</c:v>
                </c:pt>
                <c:pt idx="5">
                  <c:v>89.76879788460235</c:v>
                </c:pt>
                <c:pt idx="6">
                  <c:v>106.96216062139261</c:v>
                </c:pt>
                <c:pt idx="7">
                  <c:v>119.96481325367446</c:v>
                </c:pt>
                <c:pt idx="8">
                  <c:v>125.64815198904891</c:v>
                </c:pt>
                <c:pt idx="9">
                  <c:v>140.6648386010485</c:v>
                </c:pt>
                <c:pt idx="10">
                  <c:v>159.20500653325078</c:v>
                </c:pt>
                <c:pt idx="11">
                  <c:v>184.92518012192858</c:v>
                </c:pt>
                <c:pt idx="12">
                  <c:v>220.18821709423747</c:v>
                </c:pt>
                <c:pt idx="13">
                  <c:v>266.34292118042657</c:v>
                </c:pt>
                <c:pt idx="14">
                  <c:v>336.92264097478039</c:v>
                </c:pt>
                <c:pt idx="15">
                  <c:v>421.33620689655174</c:v>
                </c:pt>
                <c:pt idx="16">
                  <c:v>513.73626373626348</c:v>
                </c:pt>
                <c:pt idx="17">
                  <c:v>584.74576271186459</c:v>
                </c:pt>
                <c:pt idx="18">
                  <c:v>750</c:v>
                </c:pt>
              </c:numCache>
            </c:numRef>
          </c:val>
          <c:smooth val="0"/>
        </c:ser>
        <c:dLbls>
          <c:showLegendKey val="0"/>
          <c:showVal val="0"/>
          <c:showCatName val="0"/>
          <c:showSerName val="0"/>
          <c:showPercent val="0"/>
          <c:showBubbleSize val="0"/>
        </c:dLbls>
        <c:marker val="1"/>
        <c:smooth val="0"/>
        <c:axId val="249367936"/>
        <c:axId val="249386496"/>
      </c:lineChart>
      <c:catAx>
        <c:axId val="249367936"/>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49386496"/>
        <c:crosses val="autoZero"/>
        <c:auto val="1"/>
        <c:lblAlgn val="ctr"/>
        <c:lblOffset val="100"/>
        <c:noMultiLvlLbl val="0"/>
      </c:catAx>
      <c:valAx>
        <c:axId val="249386496"/>
        <c:scaling>
          <c:orientation val="minMax"/>
          <c:max val="1000"/>
          <c:min val="0"/>
        </c:scaling>
        <c:delete val="0"/>
        <c:axPos val="l"/>
        <c:title>
          <c:tx>
            <c:rich>
              <a:bodyPr rot="-5400000" vert="horz"/>
              <a:lstStyle/>
              <a:p>
                <a:pPr>
                  <a:defRPr sz="700"/>
                </a:pPr>
                <a:r>
                  <a:rPr lang="es-EC" sz="700"/>
                  <a:t>Tasa por cada 1000 Inmigrantes</a:t>
                </a:r>
              </a:p>
            </c:rich>
          </c:tx>
          <c:overlay val="0"/>
        </c:title>
        <c:numFmt formatCode="0" sourceLinked="0"/>
        <c:majorTickMark val="out"/>
        <c:minorTickMark val="none"/>
        <c:tickLblPos val="nextTo"/>
        <c:spPr>
          <a:ln>
            <a:solidFill>
              <a:schemeClr val="tx1"/>
            </a:solidFill>
          </a:ln>
        </c:spPr>
        <c:txPr>
          <a:bodyPr/>
          <a:lstStyle/>
          <a:p>
            <a:pPr>
              <a:defRPr sz="700"/>
            </a:pPr>
            <a:endParaRPr lang="es-EC"/>
          </a:p>
        </c:txPr>
        <c:crossAx val="249367936"/>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19995714821381"/>
          <c:y val="4.7930283224400926E-2"/>
          <c:w val="0.78907900798114561"/>
          <c:h val="0.86378364469147328"/>
        </c:manualLayout>
      </c:layout>
      <c:barChart>
        <c:barDir val="bar"/>
        <c:grouping val="stacked"/>
        <c:varyColors val="0"/>
        <c:ser>
          <c:idx val="0"/>
          <c:order val="0"/>
          <c:spPr>
            <a:solidFill>
              <a:schemeClr val="accent5">
                <a:lumMod val="40000"/>
                <a:lumOff val="60000"/>
              </a:schemeClr>
            </a:solidFill>
            <a:ln>
              <a:solidFill>
                <a:schemeClr val="accent5">
                  <a:lumMod val="75000"/>
                </a:schemeClr>
              </a:solidFill>
            </a:ln>
          </c:spPr>
          <c:invertIfNegative val="0"/>
          <c:cat>
            <c:strRef>
              <c:f>[CAPITULO2.xlsx]Inmigrantes_Guayaquil!$G$36:$G$57</c:f>
              <c:strCache>
                <c:ptCount val="22"/>
                <c:pt idx="0">
                  <c:v>Menores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Más de 100</c:v>
                </c:pt>
              </c:strCache>
            </c:strRef>
          </c:cat>
          <c:val>
            <c:numRef>
              <c:f>General!$F$36:$F$56</c:f>
              <c:numCache>
                <c:formatCode>0.00%</c:formatCode>
                <c:ptCount val="21"/>
                <c:pt idx="0">
                  <c:v>-4.0298566012974001E-4</c:v>
                </c:pt>
                <c:pt idx="1">
                  <c:v>-1.1690150388542389E-2</c:v>
                </c:pt>
                <c:pt idx="2">
                  <c:v>-1.7221396042181543E-2</c:v>
                </c:pt>
                <c:pt idx="3">
                  <c:v>-2.501007464150325E-2</c:v>
                </c:pt>
                <c:pt idx="4">
                  <c:v>-8.1206959883312502E-2</c:v>
                </c:pt>
                <c:pt idx="5">
                  <c:v>-0.10888458562018782</c:v>
                </c:pt>
                <c:pt idx="6">
                  <c:v>-8.9819441026793206E-2</c:v>
                </c:pt>
                <c:pt idx="7">
                  <c:v>-6.9901963931000385E-2</c:v>
                </c:pt>
                <c:pt idx="8">
                  <c:v>-5.0205594011561792E-2</c:v>
                </c:pt>
                <c:pt idx="9">
                  <c:v>-3.4307274782726591E-2</c:v>
                </c:pt>
                <c:pt idx="10">
                  <c:v>-2.0737713395172018E-2</c:v>
                </c:pt>
                <c:pt idx="11">
                  <c:v>-1.2628072765658501E-2</c:v>
                </c:pt>
                <c:pt idx="12">
                  <c:v>-6.8721536908850408E-3</c:v>
                </c:pt>
                <c:pt idx="13">
                  <c:v>-3.4021975200333831E-3</c:v>
                </c:pt>
                <c:pt idx="14">
                  <c:v>-2.2110717635437059E-3</c:v>
                </c:pt>
                <c:pt idx="15">
                  <c:v>-1.3872692193846799E-3</c:v>
                </c:pt>
                <c:pt idx="16">
                  <c:v>-1.1162346161115819E-3</c:v>
                </c:pt>
                <c:pt idx="17">
                  <c:v>-5.2423798264665338E-4</c:v>
                </c:pt>
                <c:pt idx="18">
                  <c:v>-1.7117974943564181E-4</c:v>
                </c:pt>
                <c:pt idx="19">
                  <c:v>-2.8529958239273645E-4</c:v>
                </c:pt>
                <c:pt idx="20">
                  <c:v>-2.4250464503382583E-4</c:v>
                </c:pt>
              </c:numCache>
            </c:numRef>
          </c:val>
        </c:ser>
        <c:ser>
          <c:idx val="1"/>
          <c:order val="1"/>
          <c:spPr>
            <a:solidFill>
              <a:schemeClr val="accent6">
                <a:lumMod val="60000"/>
                <a:lumOff val="40000"/>
              </a:schemeClr>
            </a:solidFill>
            <a:ln>
              <a:solidFill>
                <a:schemeClr val="accent6">
                  <a:lumMod val="75000"/>
                </a:schemeClr>
              </a:solidFill>
            </a:ln>
          </c:spPr>
          <c:invertIfNegative val="0"/>
          <c:cat>
            <c:strRef>
              <c:f>[CAPITULO2.xlsx]Inmigrantes_Guayaquil!$G$36:$G$57</c:f>
              <c:strCache>
                <c:ptCount val="22"/>
                <c:pt idx="0">
                  <c:v>Menores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Más de 100</c:v>
                </c:pt>
              </c:strCache>
            </c:strRef>
          </c:cat>
          <c:val>
            <c:numRef>
              <c:f>General!$G$36:$G$56</c:f>
              <c:numCache>
                <c:formatCode>0.00%</c:formatCode>
                <c:ptCount val="21"/>
                <c:pt idx="0">
                  <c:v>2.9956456151237278E-4</c:v>
                </c:pt>
                <c:pt idx="1">
                  <c:v>8.9441419080122826E-3</c:v>
                </c:pt>
                <c:pt idx="2">
                  <c:v>1.674708548645364E-2</c:v>
                </c:pt>
                <c:pt idx="3">
                  <c:v>2.2777605409280113E-2</c:v>
                </c:pt>
                <c:pt idx="4">
                  <c:v>6.116466422022282E-2</c:v>
                </c:pt>
                <c:pt idx="5">
                  <c:v>8.7558441836330755E-2</c:v>
                </c:pt>
                <c:pt idx="6">
                  <c:v>7.807936321133209E-2</c:v>
                </c:pt>
                <c:pt idx="7">
                  <c:v>6.0822304721351493E-2</c:v>
                </c:pt>
                <c:pt idx="8">
                  <c:v>4.3315609096777181E-2</c:v>
                </c:pt>
                <c:pt idx="9">
                  <c:v>3.0134768390232769E-2</c:v>
                </c:pt>
                <c:pt idx="10">
                  <c:v>1.9639310002959983E-2</c:v>
                </c:pt>
                <c:pt idx="11">
                  <c:v>1.3790668563908889E-2</c:v>
                </c:pt>
                <c:pt idx="12">
                  <c:v>7.4177891422111553E-3</c:v>
                </c:pt>
                <c:pt idx="13">
                  <c:v>4.5897570317431531E-3</c:v>
                </c:pt>
                <c:pt idx="14">
                  <c:v>2.5890937102140844E-3</c:v>
                </c:pt>
                <c:pt idx="15">
                  <c:v>1.5406177449207791E-3</c:v>
                </c:pt>
                <c:pt idx="16">
                  <c:v>1.1661620430303116E-3</c:v>
                </c:pt>
                <c:pt idx="17">
                  <c:v>5.0284051396719764E-4</c:v>
                </c:pt>
                <c:pt idx="18">
                  <c:v>2.5320337937355375E-4</c:v>
                </c:pt>
                <c:pt idx="19">
                  <c:v>2.567696241534634E-4</c:v>
                </c:pt>
                <c:pt idx="20">
                  <c:v>1.818784837753696E-4</c:v>
                </c:pt>
              </c:numCache>
            </c:numRef>
          </c:val>
        </c:ser>
        <c:dLbls>
          <c:showLegendKey val="0"/>
          <c:showVal val="0"/>
          <c:showCatName val="0"/>
          <c:showSerName val="0"/>
          <c:showPercent val="0"/>
          <c:showBubbleSize val="0"/>
        </c:dLbls>
        <c:gapWidth val="0"/>
        <c:overlap val="100"/>
        <c:axId val="287708672"/>
        <c:axId val="287710592"/>
      </c:barChart>
      <c:catAx>
        <c:axId val="287708672"/>
        <c:scaling>
          <c:orientation val="minMax"/>
        </c:scaling>
        <c:delete val="0"/>
        <c:axPos val="l"/>
        <c:title>
          <c:tx>
            <c:rich>
              <a:bodyPr rot="-5400000" vert="horz"/>
              <a:lstStyle/>
              <a:p>
                <a:pPr>
                  <a:defRPr/>
                </a:pPr>
                <a:r>
                  <a:rPr lang="es-EC"/>
                  <a:t>Grupos Etarios</a:t>
                </a:r>
              </a:p>
            </c:rich>
          </c:tx>
          <c:overlay val="0"/>
        </c:title>
        <c:majorTickMark val="out"/>
        <c:minorTickMark val="none"/>
        <c:tickLblPos val="nextTo"/>
        <c:spPr>
          <a:ln>
            <a:solidFill>
              <a:sysClr val="windowText" lastClr="000000"/>
            </a:solidFill>
          </a:ln>
        </c:spPr>
        <c:txPr>
          <a:bodyPr/>
          <a:lstStyle/>
          <a:p>
            <a:pPr>
              <a:defRPr sz="750"/>
            </a:pPr>
            <a:endParaRPr lang="es-EC"/>
          </a:p>
        </c:txPr>
        <c:crossAx val="287710592"/>
        <c:crossesAt val="-15"/>
        <c:auto val="1"/>
        <c:lblAlgn val="ctr"/>
        <c:lblOffset val="100"/>
        <c:noMultiLvlLbl val="0"/>
      </c:catAx>
      <c:valAx>
        <c:axId val="287710592"/>
        <c:scaling>
          <c:orientation val="minMax"/>
          <c:max val="0.12000000000000002"/>
          <c:min val="-0.12000000000000002"/>
        </c:scaling>
        <c:delete val="0"/>
        <c:axPos val="b"/>
        <c:majorGridlines>
          <c:spPr>
            <a:ln>
              <a:prstDash val="dash"/>
            </a:ln>
          </c:spPr>
        </c:majorGridlines>
        <c:numFmt formatCode="0%;0%" sourceLinked="0"/>
        <c:majorTickMark val="out"/>
        <c:minorTickMark val="none"/>
        <c:tickLblPos val="nextTo"/>
        <c:spPr>
          <a:ln>
            <a:solidFill>
              <a:schemeClr val="tx1"/>
            </a:solidFill>
          </a:ln>
        </c:spPr>
        <c:crossAx val="287708672"/>
        <c:crosses val="autoZero"/>
        <c:crossBetween val="between"/>
        <c:majorUnit val="4.0000000000000022E-2"/>
      </c:valAx>
      <c:spPr>
        <a:noFill/>
        <a:ln>
          <a:solidFill>
            <a:sysClr val="windowText" lastClr="000000"/>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33894399358782"/>
          <c:y val="3.4218197908906192E-2"/>
          <c:w val="0.83837741709247671"/>
          <c:h val="0.7859354422802417"/>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PaisResidencia!$D$22:$D$28</c:f>
              <c:strCache>
                <c:ptCount val="7"/>
                <c:pt idx="0">
                  <c:v>América del Norte</c:v>
                </c:pt>
                <c:pt idx="1">
                  <c:v>Latino América y el Caribe</c:v>
                </c:pt>
                <c:pt idx="2">
                  <c:v>Europa</c:v>
                </c:pt>
                <c:pt idx="3">
                  <c:v>Asia</c:v>
                </c:pt>
                <c:pt idx="4">
                  <c:v>África</c:v>
                </c:pt>
                <c:pt idx="5">
                  <c:v>Oceanía</c:v>
                </c:pt>
                <c:pt idx="6">
                  <c:v>No especifica</c:v>
                </c:pt>
              </c:strCache>
            </c:strRef>
          </c:cat>
          <c:val>
            <c:numRef>
              <c:f>PaisResidencia!$F$22:$F$28</c:f>
              <c:numCache>
                <c:formatCode>0.00%</c:formatCode>
                <c:ptCount val="7"/>
                <c:pt idx="0">
                  <c:v>0.29870509652041499</c:v>
                </c:pt>
                <c:pt idx="1">
                  <c:v>7.6752720153205972E-2</c:v>
                </c:pt>
                <c:pt idx="2">
                  <c:v>0.56896225843149462</c:v>
                </c:pt>
                <c:pt idx="3">
                  <c:v>3.5733772694690261E-3</c:v>
                </c:pt>
                <c:pt idx="4">
                  <c:v>1.0199460070540306E-3</c:v>
                </c:pt>
                <c:pt idx="5">
                  <c:v>1.2196557147289488E-3</c:v>
                </c:pt>
                <c:pt idx="6">
                  <c:v>4.9766945903633023E-2</c:v>
                </c:pt>
              </c:numCache>
            </c:numRef>
          </c:val>
        </c:ser>
        <c:dLbls>
          <c:showLegendKey val="0"/>
          <c:showVal val="1"/>
          <c:showCatName val="0"/>
          <c:showSerName val="0"/>
          <c:showPercent val="0"/>
          <c:showBubbleSize val="0"/>
        </c:dLbls>
        <c:gapWidth val="50"/>
        <c:axId val="287732864"/>
        <c:axId val="287760768"/>
      </c:barChart>
      <c:catAx>
        <c:axId val="287732864"/>
        <c:scaling>
          <c:orientation val="minMax"/>
        </c:scaling>
        <c:delete val="0"/>
        <c:axPos val="b"/>
        <c:title>
          <c:tx>
            <c:rich>
              <a:bodyPr/>
              <a:lstStyle/>
              <a:p>
                <a:pPr>
                  <a:defRPr/>
                </a:pPr>
                <a:r>
                  <a:rPr lang="es-EC"/>
                  <a:t>Continente de residencia actual</a:t>
                </a:r>
              </a:p>
            </c:rich>
          </c:tx>
          <c:overlay val="0"/>
        </c:title>
        <c:majorTickMark val="out"/>
        <c:minorTickMark val="none"/>
        <c:tickLblPos val="nextTo"/>
        <c:spPr>
          <a:ln>
            <a:solidFill>
              <a:schemeClr val="tx1"/>
            </a:solidFill>
          </a:ln>
        </c:spPr>
        <c:txPr>
          <a:bodyPr rot="0" vert="horz"/>
          <a:lstStyle/>
          <a:p>
            <a:pPr>
              <a:defRPr sz="700"/>
            </a:pPr>
            <a:endParaRPr lang="es-EC"/>
          </a:p>
        </c:txPr>
        <c:crossAx val="287760768"/>
        <c:crosses val="autoZero"/>
        <c:auto val="1"/>
        <c:lblAlgn val="ctr"/>
        <c:lblOffset val="100"/>
        <c:noMultiLvlLbl val="0"/>
      </c:catAx>
      <c:valAx>
        <c:axId val="287760768"/>
        <c:scaling>
          <c:orientation val="minMax"/>
          <c:max val="1"/>
          <c:min val="0"/>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nextTo"/>
        <c:spPr>
          <a:ln>
            <a:solidFill>
              <a:schemeClr val="tx1"/>
            </a:solidFill>
          </a:ln>
        </c:spPr>
        <c:crossAx val="287732864"/>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TasasGeneroContinente!$AA$3</c:f>
              <c:strCache>
                <c:ptCount val="1"/>
                <c:pt idx="0">
                  <c:v>América</c:v>
                </c:pt>
              </c:strCache>
            </c:strRef>
          </c:tx>
          <c:spPr>
            <a:ln w="19050">
              <a:solidFill>
                <a:srgbClr val="0070C0"/>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TasasGeneroContinente!$AB$3:$AV$3</c:f>
              <c:numCache>
                <c:formatCode>0.00</c:formatCode>
                <c:ptCount val="21"/>
                <c:pt idx="0">
                  <c:v>0.50008065817067271</c:v>
                </c:pt>
                <c:pt idx="1">
                  <c:v>11.679303113405387</c:v>
                </c:pt>
                <c:pt idx="2">
                  <c:v>18.535247620583938</c:v>
                </c:pt>
                <c:pt idx="3">
                  <c:v>31.488949830617788</c:v>
                </c:pt>
                <c:pt idx="4">
                  <c:v>182.99725762219711</c:v>
                </c:pt>
                <c:pt idx="5">
                  <c:v>232.44071624455555</c:v>
                </c:pt>
                <c:pt idx="6">
                  <c:v>169.84997580254856</c:v>
                </c:pt>
                <c:pt idx="7">
                  <c:v>118.14808840135505</c:v>
                </c:pt>
                <c:pt idx="8">
                  <c:v>78.093240845297714</c:v>
                </c:pt>
                <c:pt idx="9">
                  <c:v>54.976609130504919</c:v>
                </c:pt>
                <c:pt idx="10">
                  <c:v>34.553960316180031</c:v>
                </c:pt>
                <c:pt idx="11">
                  <c:v>23.584449104694286</c:v>
                </c:pt>
                <c:pt idx="12">
                  <c:v>15.792869817712534</c:v>
                </c:pt>
                <c:pt idx="13">
                  <c:v>9.3886110663010172</c:v>
                </c:pt>
                <c:pt idx="14">
                  <c:v>7.3076302629456356</c:v>
                </c:pt>
                <c:pt idx="15">
                  <c:v>4.1296983384416839</c:v>
                </c:pt>
                <c:pt idx="16">
                  <c:v>3.4360380706565574</c:v>
                </c:pt>
                <c:pt idx="17">
                  <c:v>1.6131634134537829</c:v>
                </c:pt>
                <c:pt idx="18">
                  <c:v>0.58073882884336159</c:v>
                </c:pt>
                <c:pt idx="19">
                  <c:v>0.46781738990159732</c:v>
                </c:pt>
                <c:pt idx="20">
                  <c:v>0.43555412163252138</c:v>
                </c:pt>
              </c:numCache>
            </c:numRef>
          </c:val>
          <c:smooth val="1"/>
        </c:ser>
        <c:ser>
          <c:idx val="1"/>
          <c:order val="1"/>
          <c:tx>
            <c:strRef>
              <c:f>TasasGeneroContinente!$AA$4</c:f>
              <c:strCache>
                <c:ptCount val="1"/>
                <c:pt idx="0">
                  <c:v>Europa</c:v>
                </c:pt>
              </c:strCache>
            </c:strRef>
          </c:tx>
          <c:spPr>
            <a:ln w="19050">
              <a:solidFill>
                <a:srgbClr val="E010C2"/>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TasasGeneroContinente!$AB$4:$AV$4</c:f>
              <c:numCache>
                <c:formatCode>0,000</c:formatCode>
                <c:ptCount val="21"/>
                <c:pt idx="0">
                  <c:v>0.70216794352563539</c:v>
                </c:pt>
                <c:pt idx="1">
                  <c:v>14.996301079583224</c:v>
                </c:pt>
                <c:pt idx="2">
                  <c:v>41.753915213220864</c:v>
                </c:pt>
                <c:pt idx="3">
                  <c:v>58.756410417162996</c:v>
                </c:pt>
                <c:pt idx="4">
                  <c:v>130.91670532769945</c:v>
                </c:pt>
                <c:pt idx="5">
                  <c:v>184.2814690356476</c:v>
                </c:pt>
                <c:pt idx="6">
                  <c:v>167.31658997153713</c:v>
                </c:pt>
                <c:pt idx="7">
                  <c:v>140.91005980966233</c:v>
                </c:pt>
                <c:pt idx="8">
                  <c:v>105.50073351472656</c:v>
                </c:pt>
                <c:pt idx="9">
                  <c:v>71.558436673228499</c:v>
                </c:pt>
                <c:pt idx="10">
                  <c:v>41.615989367171139</c:v>
                </c:pt>
                <c:pt idx="11">
                  <c:v>22.356525773325117</c:v>
                </c:pt>
                <c:pt idx="12">
                  <c:v>9.6046543703685128</c:v>
                </c:pt>
                <c:pt idx="13">
                  <c:v>4.0249269619951509</c:v>
                </c:pt>
                <c:pt idx="14">
                  <c:v>1.8055747119230618</c:v>
                </c:pt>
                <c:pt idx="15">
                  <c:v>1.2664100410015937</c:v>
                </c:pt>
                <c:pt idx="16">
                  <c:v>1.0657906285656953</c:v>
                </c:pt>
                <c:pt idx="17">
                  <c:v>0.37616139831730488</c:v>
                </c:pt>
                <c:pt idx="18">
                  <c:v>0.12538713277243513</c:v>
                </c:pt>
                <c:pt idx="19">
                  <c:v>0.61439695058493105</c:v>
                </c:pt>
                <c:pt idx="20">
                  <c:v>0.45139367798076607</c:v>
                </c:pt>
              </c:numCache>
            </c:numRef>
          </c:val>
          <c:smooth val="1"/>
        </c:ser>
        <c:ser>
          <c:idx val="2"/>
          <c:order val="2"/>
          <c:tx>
            <c:strRef>
              <c:f>TasasGeneroContinente!$AA$5</c:f>
              <c:strCache>
                <c:ptCount val="1"/>
                <c:pt idx="0">
                  <c:v>Asia</c:v>
                </c:pt>
              </c:strCache>
            </c:strRef>
          </c:tx>
          <c:spPr>
            <a:ln w="19050">
              <a:solidFill>
                <a:schemeClr val="accent6">
                  <a:lumMod val="75000"/>
                </a:schemeClr>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TasasGeneroContinente!$AB$5:$AV$5</c:f>
              <c:numCache>
                <c:formatCode>0,000</c:formatCode>
                <c:ptCount val="21"/>
                <c:pt idx="0">
                  <c:v>5.4347826086956506</c:v>
                </c:pt>
                <c:pt idx="1">
                  <c:v>47.101449275362228</c:v>
                </c:pt>
                <c:pt idx="2">
                  <c:v>48.913043478260803</c:v>
                </c:pt>
                <c:pt idx="3">
                  <c:v>21.739130434782609</c:v>
                </c:pt>
                <c:pt idx="4">
                  <c:v>106.8840579710145</c:v>
                </c:pt>
                <c:pt idx="5">
                  <c:v>148.55072463768121</c:v>
                </c:pt>
                <c:pt idx="6">
                  <c:v>170.28985507246378</c:v>
                </c:pt>
                <c:pt idx="7">
                  <c:v>139.49275362318815</c:v>
                </c:pt>
                <c:pt idx="8">
                  <c:v>74.275362318840436</c:v>
                </c:pt>
                <c:pt idx="9">
                  <c:v>81.521739130434582</c:v>
                </c:pt>
                <c:pt idx="10">
                  <c:v>47.101449275362228</c:v>
                </c:pt>
                <c:pt idx="11">
                  <c:v>25.362318840579675</c:v>
                </c:pt>
                <c:pt idx="12">
                  <c:v>45.289855072463766</c:v>
                </c:pt>
                <c:pt idx="13">
                  <c:v>9.0579710144927539</c:v>
                </c:pt>
                <c:pt idx="14">
                  <c:v>0</c:v>
                </c:pt>
                <c:pt idx="15">
                  <c:v>16.304347826086957</c:v>
                </c:pt>
                <c:pt idx="16">
                  <c:v>5.4347826086956506</c:v>
                </c:pt>
                <c:pt idx="17">
                  <c:v>7.2463768115942031</c:v>
                </c:pt>
                <c:pt idx="18">
                  <c:v>0</c:v>
                </c:pt>
                <c:pt idx="19">
                  <c:v>0</c:v>
                </c:pt>
                <c:pt idx="20">
                  <c:v>0</c:v>
                </c:pt>
              </c:numCache>
            </c:numRef>
          </c:val>
          <c:smooth val="0"/>
        </c:ser>
        <c:ser>
          <c:idx val="3"/>
          <c:order val="3"/>
          <c:tx>
            <c:strRef>
              <c:f>TasasGeneroContinente!$AA$6</c:f>
              <c:strCache>
                <c:ptCount val="1"/>
                <c:pt idx="0">
                  <c:v>África</c:v>
                </c:pt>
              </c:strCache>
            </c:strRef>
          </c:tx>
          <c:spPr>
            <a:ln w="19050">
              <a:solidFill>
                <a:srgbClr val="00B0F0"/>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TasasGeneroContinente!$AB$6:$AV$6</c:f>
              <c:numCache>
                <c:formatCode>0,000</c:formatCode>
                <c:ptCount val="21"/>
                <c:pt idx="0">
                  <c:v>0</c:v>
                </c:pt>
                <c:pt idx="1">
                  <c:v>0</c:v>
                </c:pt>
                <c:pt idx="2">
                  <c:v>19.354838709677448</c:v>
                </c:pt>
                <c:pt idx="3">
                  <c:v>6.4516129032258114</c:v>
                </c:pt>
                <c:pt idx="4">
                  <c:v>25.806451612903224</c:v>
                </c:pt>
                <c:pt idx="5">
                  <c:v>103.2258064516129</c:v>
                </c:pt>
                <c:pt idx="6">
                  <c:v>167.74193548387098</c:v>
                </c:pt>
                <c:pt idx="7">
                  <c:v>154.83870967741967</c:v>
                </c:pt>
                <c:pt idx="8">
                  <c:v>187.09677419354799</c:v>
                </c:pt>
                <c:pt idx="9">
                  <c:v>129.03225806451613</c:v>
                </c:pt>
                <c:pt idx="10">
                  <c:v>103.2258064516129</c:v>
                </c:pt>
                <c:pt idx="11">
                  <c:v>51.612903225806448</c:v>
                </c:pt>
                <c:pt idx="12">
                  <c:v>45.161290322580662</c:v>
                </c:pt>
                <c:pt idx="13">
                  <c:v>6.4516129032258114</c:v>
                </c:pt>
                <c:pt idx="14">
                  <c:v>0</c:v>
                </c:pt>
                <c:pt idx="15">
                  <c:v>0</c:v>
                </c:pt>
                <c:pt idx="16">
                  <c:v>0</c:v>
                </c:pt>
                <c:pt idx="17">
                  <c:v>0</c:v>
                </c:pt>
                <c:pt idx="18">
                  <c:v>0</c:v>
                </c:pt>
                <c:pt idx="19">
                  <c:v>0</c:v>
                </c:pt>
                <c:pt idx="20">
                  <c:v>0</c:v>
                </c:pt>
              </c:numCache>
            </c:numRef>
          </c:val>
          <c:smooth val="0"/>
        </c:ser>
        <c:ser>
          <c:idx val="4"/>
          <c:order val="4"/>
          <c:tx>
            <c:strRef>
              <c:f>TasasGeneroContinente!$AA$7</c:f>
              <c:strCache>
                <c:ptCount val="1"/>
                <c:pt idx="0">
                  <c:v>Oceanía</c:v>
                </c:pt>
              </c:strCache>
            </c:strRef>
          </c:tx>
          <c:spPr>
            <a:ln w="19050">
              <a:solidFill>
                <a:srgbClr val="00B050"/>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TasasGeneroContinente!$AB$7:$AV$7</c:f>
              <c:numCache>
                <c:formatCode>0,000</c:formatCode>
                <c:ptCount val="21"/>
                <c:pt idx="0">
                  <c:v>0</c:v>
                </c:pt>
                <c:pt idx="1">
                  <c:v>5.5865921787709496</c:v>
                </c:pt>
                <c:pt idx="2">
                  <c:v>0</c:v>
                </c:pt>
                <c:pt idx="3">
                  <c:v>22.346368715083798</c:v>
                </c:pt>
                <c:pt idx="4">
                  <c:v>128.49162011173183</c:v>
                </c:pt>
                <c:pt idx="5">
                  <c:v>234.6368715083799</c:v>
                </c:pt>
                <c:pt idx="6">
                  <c:v>251.39664804469291</c:v>
                </c:pt>
                <c:pt idx="7">
                  <c:v>178.77094972067039</c:v>
                </c:pt>
                <c:pt idx="8">
                  <c:v>72.625698324022224</c:v>
                </c:pt>
                <c:pt idx="9">
                  <c:v>39.10614525139659</c:v>
                </c:pt>
                <c:pt idx="10">
                  <c:v>33.519553072625698</c:v>
                </c:pt>
                <c:pt idx="11">
                  <c:v>16.759776536312817</c:v>
                </c:pt>
                <c:pt idx="12">
                  <c:v>5.5865921787709496</c:v>
                </c:pt>
                <c:pt idx="13">
                  <c:v>5.5865921787709496</c:v>
                </c:pt>
                <c:pt idx="14">
                  <c:v>5.5865921787709496</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287806592"/>
        <c:axId val="287808512"/>
      </c:lineChart>
      <c:catAx>
        <c:axId val="287806592"/>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7808512"/>
        <c:crosses val="autoZero"/>
        <c:auto val="1"/>
        <c:lblAlgn val="ctr"/>
        <c:lblOffset val="100"/>
        <c:noMultiLvlLbl val="0"/>
      </c:catAx>
      <c:valAx>
        <c:axId val="287808512"/>
        <c:scaling>
          <c:orientation val="minMax"/>
          <c:max val="500"/>
          <c:min val="0"/>
        </c:scaling>
        <c:delete val="0"/>
        <c:axPos val="l"/>
        <c:title>
          <c:tx>
            <c:rich>
              <a:bodyPr rot="-5400000" vert="horz"/>
              <a:lstStyle/>
              <a:p>
                <a:pPr>
                  <a:defRPr sz="600"/>
                </a:pPr>
                <a:r>
                  <a:rPr lang="es-EC" sz="600"/>
                  <a:t>Tasa por</a:t>
                </a:r>
                <a:r>
                  <a:rPr lang="es-EC" sz="600" baseline="0"/>
                  <a:t> cada 1000 emigrantes</a:t>
                </a:r>
                <a:endParaRPr lang="es-EC" sz="600"/>
              </a:p>
            </c:rich>
          </c:tx>
          <c:layout>
            <c:manualLayout>
              <c:xMode val="edge"/>
              <c:yMode val="edge"/>
              <c:x val="9.0471052041154292E-3"/>
              <c:y val="5.0445934907395587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7806592"/>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TasasGeneroContinente!$AA$11</c:f>
              <c:strCache>
                <c:ptCount val="1"/>
                <c:pt idx="0">
                  <c:v>América</c:v>
                </c:pt>
              </c:strCache>
            </c:strRef>
          </c:tx>
          <c:spPr>
            <a:ln w="19050">
              <a:solidFill>
                <a:srgbClr val="0070C0"/>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TasasGeneroContinente!$AB$11:$AV$11</c:f>
              <c:numCache>
                <c:formatCode>0,000</c:formatCode>
                <c:ptCount val="21"/>
                <c:pt idx="0">
                  <c:v>0.94585553786882681</c:v>
                </c:pt>
                <c:pt idx="1">
                  <c:v>14.580017071538977</c:v>
                </c:pt>
                <c:pt idx="2">
                  <c:v>26.184049645880894</c:v>
                </c:pt>
                <c:pt idx="3">
                  <c:v>36.773017740558828</c:v>
                </c:pt>
                <c:pt idx="4">
                  <c:v>153.66692043278661</c:v>
                </c:pt>
                <c:pt idx="5">
                  <c:v>217.86974877154111</c:v>
                </c:pt>
                <c:pt idx="6">
                  <c:v>176.85191593420541</c:v>
                </c:pt>
                <c:pt idx="7">
                  <c:v>118.09352435001277</c:v>
                </c:pt>
                <c:pt idx="8">
                  <c:v>73.522965833852268</c:v>
                </c:pt>
                <c:pt idx="9">
                  <c:v>50.291831037903435</c:v>
                </c:pt>
                <c:pt idx="10">
                  <c:v>34.581401250374874</c:v>
                </c:pt>
                <c:pt idx="11">
                  <c:v>32.228297229335368</c:v>
                </c:pt>
                <c:pt idx="12">
                  <c:v>20.578125360463229</c:v>
                </c:pt>
                <c:pt idx="13">
                  <c:v>16.794703208987908</c:v>
                </c:pt>
                <c:pt idx="14">
                  <c:v>10.911943156389139</c:v>
                </c:pt>
                <c:pt idx="15">
                  <c:v>6.9670334740581819</c:v>
                </c:pt>
                <c:pt idx="16">
                  <c:v>4.5908598057535714</c:v>
                </c:pt>
                <c:pt idx="17">
                  <c:v>2.3069647265093316</c:v>
                </c:pt>
                <c:pt idx="18">
                  <c:v>1.2457609523150377</c:v>
                </c:pt>
                <c:pt idx="19">
                  <c:v>0.59981082889242543</c:v>
                </c:pt>
                <c:pt idx="20">
                  <c:v>0.41525365077167969</c:v>
                </c:pt>
              </c:numCache>
            </c:numRef>
          </c:val>
          <c:smooth val="1"/>
        </c:ser>
        <c:ser>
          <c:idx val="1"/>
          <c:order val="1"/>
          <c:tx>
            <c:strRef>
              <c:f>TasasGeneroContinente!$AA$12</c:f>
              <c:strCache>
                <c:ptCount val="1"/>
                <c:pt idx="0">
                  <c:v>Europa</c:v>
                </c:pt>
              </c:strCache>
            </c:strRef>
          </c:tx>
          <c:spPr>
            <a:ln w="19050">
              <a:solidFill>
                <a:srgbClr val="E010C2"/>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TasasGeneroContinente!$AB$12:$AV$12</c:f>
              <c:numCache>
                <c:formatCode>0,000</c:formatCode>
                <c:ptCount val="21"/>
                <c:pt idx="0">
                  <c:v>0.41392285983066862</c:v>
                </c:pt>
                <c:pt idx="1">
                  <c:v>14.173722169959236</c:v>
                </c:pt>
                <c:pt idx="2">
                  <c:v>41.492630918783313</c:v>
                </c:pt>
                <c:pt idx="3">
                  <c:v>56.343681404829049</c:v>
                </c:pt>
                <c:pt idx="4">
                  <c:v>122.11978676701158</c:v>
                </c:pt>
                <c:pt idx="5">
                  <c:v>176.49419880840412</c:v>
                </c:pt>
                <c:pt idx="6">
                  <c:v>165.65694575101921</c:v>
                </c:pt>
                <c:pt idx="7">
                  <c:v>140.40765130134815</c:v>
                </c:pt>
                <c:pt idx="8">
                  <c:v>106.25274380683587</c:v>
                </c:pt>
                <c:pt idx="9">
                  <c:v>73.891502038256448</c:v>
                </c:pt>
                <c:pt idx="10">
                  <c:v>46.999059266227654</c:v>
                </c:pt>
                <c:pt idx="11">
                  <c:v>28.999686422075886</c:v>
                </c:pt>
                <c:pt idx="12">
                  <c:v>13.508936970837254</c:v>
                </c:pt>
                <c:pt idx="13">
                  <c:v>6.2590153653182785</c:v>
                </c:pt>
                <c:pt idx="14">
                  <c:v>2.7343994982753212</c:v>
                </c:pt>
                <c:pt idx="15">
                  <c:v>1.4424584509250549</c:v>
                </c:pt>
                <c:pt idx="16">
                  <c:v>1.3797428661022277</c:v>
                </c:pt>
                <c:pt idx="17">
                  <c:v>0.37629350893697083</c:v>
                </c:pt>
                <c:pt idx="18">
                  <c:v>0.17560363750391972</c:v>
                </c:pt>
                <c:pt idx="19">
                  <c:v>0.5268109125117596</c:v>
                </c:pt>
                <c:pt idx="20">
                  <c:v>0.35120727500783977</c:v>
                </c:pt>
              </c:numCache>
            </c:numRef>
          </c:val>
          <c:smooth val="1"/>
        </c:ser>
        <c:ser>
          <c:idx val="2"/>
          <c:order val="2"/>
          <c:tx>
            <c:strRef>
              <c:f>TasasGeneroContinente!$AA$13</c:f>
              <c:strCache>
                <c:ptCount val="1"/>
                <c:pt idx="0">
                  <c:v>Asia</c:v>
                </c:pt>
              </c:strCache>
            </c:strRef>
          </c:tx>
          <c:spPr>
            <a:ln w="19050">
              <a:solidFill>
                <a:schemeClr val="accent6">
                  <a:lumMod val="75000"/>
                </a:schemeClr>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TasasGeneroContinente!$AB$13:$AV$13</c:f>
              <c:numCache>
                <c:formatCode>0,000</c:formatCode>
                <c:ptCount val="21"/>
                <c:pt idx="0">
                  <c:v>2.1786492374727673</c:v>
                </c:pt>
                <c:pt idx="1">
                  <c:v>23.965141612200426</c:v>
                </c:pt>
                <c:pt idx="2">
                  <c:v>47.930283224400867</c:v>
                </c:pt>
                <c:pt idx="3">
                  <c:v>15.25054466230938</c:v>
                </c:pt>
                <c:pt idx="4">
                  <c:v>95.860566448801734</c:v>
                </c:pt>
                <c:pt idx="5">
                  <c:v>128.54030501089326</c:v>
                </c:pt>
                <c:pt idx="6">
                  <c:v>206.97167755991285</c:v>
                </c:pt>
                <c:pt idx="7">
                  <c:v>137.25490196078434</c:v>
                </c:pt>
                <c:pt idx="8">
                  <c:v>113.28976034858378</c:v>
                </c:pt>
                <c:pt idx="9">
                  <c:v>87.145969498910787</c:v>
                </c:pt>
                <c:pt idx="10">
                  <c:v>50.108932461873636</c:v>
                </c:pt>
                <c:pt idx="11">
                  <c:v>45.751633986928113</c:v>
                </c:pt>
                <c:pt idx="12">
                  <c:v>17.42919389978211</c:v>
                </c:pt>
                <c:pt idx="13">
                  <c:v>6.5359477124183014</c:v>
                </c:pt>
                <c:pt idx="14">
                  <c:v>8.7145969498910691</c:v>
                </c:pt>
                <c:pt idx="15">
                  <c:v>2.1786492374727673</c:v>
                </c:pt>
                <c:pt idx="16">
                  <c:v>4.3572984749455363</c:v>
                </c:pt>
                <c:pt idx="17">
                  <c:v>4.3572984749455363</c:v>
                </c:pt>
                <c:pt idx="18">
                  <c:v>0</c:v>
                </c:pt>
                <c:pt idx="19">
                  <c:v>2.1786492374727673</c:v>
                </c:pt>
                <c:pt idx="20">
                  <c:v>0</c:v>
                </c:pt>
              </c:numCache>
            </c:numRef>
          </c:val>
          <c:smooth val="0"/>
        </c:ser>
        <c:ser>
          <c:idx val="3"/>
          <c:order val="3"/>
          <c:tx>
            <c:strRef>
              <c:f>TasasGeneroContinente!$AA$14</c:f>
              <c:strCache>
                <c:ptCount val="1"/>
                <c:pt idx="0">
                  <c:v>África</c:v>
                </c:pt>
              </c:strCache>
            </c:strRef>
          </c:tx>
          <c:spPr>
            <a:ln w="19050">
              <a:solidFill>
                <a:srgbClr val="00B0F0"/>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TasasGeneroContinente!$AB$14:$AV$14</c:f>
              <c:numCache>
                <c:formatCode>0,000</c:formatCode>
                <c:ptCount val="21"/>
                <c:pt idx="0">
                  <c:v>0</c:v>
                </c:pt>
                <c:pt idx="1">
                  <c:v>7.6923076923076925</c:v>
                </c:pt>
                <c:pt idx="2">
                  <c:v>7.6923076923076925</c:v>
                </c:pt>
                <c:pt idx="3">
                  <c:v>0</c:v>
                </c:pt>
                <c:pt idx="4">
                  <c:v>438.46153846153783</c:v>
                </c:pt>
                <c:pt idx="5">
                  <c:v>69.230769230769241</c:v>
                </c:pt>
                <c:pt idx="6">
                  <c:v>123.07692307692308</c:v>
                </c:pt>
                <c:pt idx="7">
                  <c:v>153.84615384615378</c:v>
                </c:pt>
                <c:pt idx="8">
                  <c:v>92.307692307692278</c:v>
                </c:pt>
                <c:pt idx="9">
                  <c:v>69.230769230769241</c:v>
                </c:pt>
                <c:pt idx="10">
                  <c:v>23.076923076923055</c:v>
                </c:pt>
                <c:pt idx="11">
                  <c:v>0</c:v>
                </c:pt>
                <c:pt idx="12">
                  <c:v>0</c:v>
                </c:pt>
                <c:pt idx="13">
                  <c:v>15.384615384615385</c:v>
                </c:pt>
                <c:pt idx="14">
                  <c:v>0</c:v>
                </c:pt>
                <c:pt idx="15">
                  <c:v>0</c:v>
                </c:pt>
                <c:pt idx="16">
                  <c:v>0</c:v>
                </c:pt>
                <c:pt idx="17">
                  <c:v>0</c:v>
                </c:pt>
                <c:pt idx="18">
                  <c:v>0</c:v>
                </c:pt>
                <c:pt idx="19">
                  <c:v>0</c:v>
                </c:pt>
                <c:pt idx="20">
                  <c:v>0</c:v>
                </c:pt>
              </c:numCache>
            </c:numRef>
          </c:val>
          <c:smooth val="0"/>
        </c:ser>
        <c:ser>
          <c:idx val="4"/>
          <c:order val="4"/>
          <c:tx>
            <c:strRef>
              <c:f>TasasGeneroContinente!$AA$15</c:f>
              <c:strCache>
                <c:ptCount val="1"/>
                <c:pt idx="0">
                  <c:v>Oceanía</c:v>
                </c:pt>
              </c:strCache>
            </c:strRef>
          </c:tx>
          <c:spPr>
            <a:ln w="19050">
              <a:solidFill>
                <a:srgbClr val="00B050"/>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TasasGeneroContinente!$AB$15:$AV$15</c:f>
              <c:numCache>
                <c:formatCode>0,000</c:formatCode>
                <c:ptCount val="21"/>
                <c:pt idx="0">
                  <c:v>0</c:v>
                </c:pt>
                <c:pt idx="1">
                  <c:v>18.51851851851853</c:v>
                </c:pt>
                <c:pt idx="2">
                  <c:v>24.691358024691386</c:v>
                </c:pt>
                <c:pt idx="3">
                  <c:v>30.864197530864189</c:v>
                </c:pt>
                <c:pt idx="4">
                  <c:v>111.1111111111111</c:v>
                </c:pt>
                <c:pt idx="5">
                  <c:v>240.74074074074056</c:v>
                </c:pt>
                <c:pt idx="6">
                  <c:v>302.46913580246894</c:v>
                </c:pt>
                <c:pt idx="7">
                  <c:v>104.93827160493829</c:v>
                </c:pt>
                <c:pt idx="8">
                  <c:v>43.209876543209873</c:v>
                </c:pt>
                <c:pt idx="9">
                  <c:v>61.728395061728413</c:v>
                </c:pt>
                <c:pt idx="10">
                  <c:v>49.382716049382715</c:v>
                </c:pt>
                <c:pt idx="11">
                  <c:v>6.1728395061728385</c:v>
                </c:pt>
                <c:pt idx="12">
                  <c:v>0</c:v>
                </c:pt>
                <c:pt idx="13">
                  <c:v>0</c:v>
                </c:pt>
                <c:pt idx="14">
                  <c:v>6.1728395061728385</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287848320"/>
        <c:axId val="287854592"/>
      </c:lineChart>
      <c:catAx>
        <c:axId val="287848320"/>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7854592"/>
        <c:crosses val="autoZero"/>
        <c:auto val="1"/>
        <c:lblAlgn val="ctr"/>
        <c:lblOffset val="100"/>
        <c:noMultiLvlLbl val="0"/>
      </c:catAx>
      <c:valAx>
        <c:axId val="287854592"/>
        <c:scaling>
          <c:orientation val="minMax"/>
          <c:max val="500"/>
          <c:min val="0"/>
        </c:scaling>
        <c:delete val="0"/>
        <c:axPos val="l"/>
        <c:title>
          <c:tx>
            <c:rich>
              <a:bodyPr rot="-5400000" vert="horz"/>
              <a:lstStyle/>
              <a:p>
                <a:pPr>
                  <a:defRPr sz="600"/>
                </a:pPr>
                <a:r>
                  <a:rPr lang="es-EC" sz="600"/>
                  <a:t>Tasa por</a:t>
                </a:r>
                <a:r>
                  <a:rPr lang="es-EC" sz="600" baseline="0"/>
                  <a:t> cada 1000 emigrantes</a:t>
                </a:r>
                <a:endParaRPr lang="es-EC" sz="600"/>
              </a:p>
            </c:rich>
          </c:tx>
          <c:layout>
            <c:manualLayout>
              <c:xMode val="edge"/>
              <c:yMode val="edge"/>
              <c:x val="6.030453791647827E-3"/>
              <c:y val="6.5611611533738276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784832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TasasGeneroContinente!$AA$21</c:f>
              <c:strCache>
                <c:ptCount val="1"/>
                <c:pt idx="0">
                  <c:v>América</c:v>
                </c:pt>
              </c:strCache>
            </c:strRef>
          </c:tx>
          <c:spPr>
            <a:ln w="19050">
              <a:solidFill>
                <a:srgbClr val="0070C0"/>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TasasGeneroContinente!$AB$21:$AV$21</c:f>
              <c:numCache>
                <c:formatCode>0,000</c:formatCode>
                <c:ptCount val="21"/>
                <c:pt idx="0">
                  <c:v>344.44444444444446</c:v>
                </c:pt>
                <c:pt idx="1">
                  <c:v>371.85413456599895</c:v>
                </c:pt>
                <c:pt idx="2">
                  <c:v>254.82368596141052</c:v>
                </c:pt>
                <c:pt idx="3">
                  <c:v>293.31329827197555</c:v>
                </c:pt>
                <c:pt idx="4">
                  <c:v>518.67770106533828</c:v>
                </c:pt>
                <c:pt idx="5">
                  <c:v>492.68276003556088</c:v>
                </c:pt>
                <c:pt idx="6">
                  <c:v>438.01480988435014</c:v>
                </c:pt>
                <c:pt idx="7">
                  <c:v>391.76250334313983</c:v>
                </c:pt>
                <c:pt idx="8">
                  <c:v>362.94796821112612</c:v>
                </c:pt>
                <c:pt idx="9">
                  <c:v>370.95896375312924</c:v>
                </c:pt>
                <c:pt idx="10">
                  <c:v>388.81829733163914</c:v>
                </c:pt>
                <c:pt idx="11">
                  <c:v>447.09480122324197</c:v>
                </c:pt>
                <c:pt idx="12">
                  <c:v>550.61867266591685</c:v>
                </c:pt>
                <c:pt idx="13">
                  <c:v>639.56043956043959</c:v>
                </c:pt>
                <c:pt idx="14">
                  <c:v>757.52508361204013</c:v>
                </c:pt>
                <c:pt idx="15">
                  <c:v>699.45355191256829</c:v>
                </c:pt>
                <c:pt idx="16">
                  <c:v>707.64119601328821</c:v>
                </c:pt>
                <c:pt idx="17">
                  <c:v>746.26865671641792</c:v>
                </c:pt>
                <c:pt idx="18">
                  <c:v>782.60869565217467</c:v>
                </c:pt>
                <c:pt idx="19">
                  <c:v>371.79487179487182</c:v>
                </c:pt>
                <c:pt idx="20">
                  <c:v>428.57142857142856</c:v>
                </c:pt>
              </c:numCache>
            </c:numRef>
          </c:val>
          <c:smooth val="1"/>
        </c:ser>
        <c:ser>
          <c:idx val="1"/>
          <c:order val="1"/>
          <c:tx>
            <c:strRef>
              <c:f>TasasGeneroContinente!$AA$22</c:f>
              <c:strCache>
                <c:ptCount val="1"/>
                <c:pt idx="0">
                  <c:v>Europa</c:v>
                </c:pt>
              </c:strCache>
            </c:strRef>
          </c:tx>
          <c:spPr>
            <a:ln w="19050">
              <a:solidFill>
                <a:srgbClr val="E010C2"/>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TasasGeneroContinente!$AB$22:$AV$22</c:f>
              <c:numCache>
                <c:formatCode>0,000</c:formatCode>
                <c:ptCount val="21"/>
                <c:pt idx="0">
                  <c:v>622.22222222222229</c:v>
                </c:pt>
                <c:pt idx="1">
                  <c:v>614.27837699024258</c:v>
                </c:pt>
                <c:pt idx="2">
                  <c:v>738.52295409181636</c:v>
                </c:pt>
                <c:pt idx="3">
                  <c:v>704.13223140495768</c:v>
                </c:pt>
                <c:pt idx="4">
                  <c:v>477.39015134195927</c:v>
                </c:pt>
                <c:pt idx="5">
                  <c:v>502.53026054845105</c:v>
                </c:pt>
                <c:pt idx="6">
                  <c:v>555.12105832431939</c:v>
                </c:pt>
                <c:pt idx="7">
                  <c:v>601.12329499866303</c:v>
                </c:pt>
                <c:pt idx="8">
                  <c:v>630.82920977657818</c:v>
                </c:pt>
                <c:pt idx="9">
                  <c:v>621.20387504081941</c:v>
                </c:pt>
                <c:pt idx="10">
                  <c:v>602.46868760210543</c:v>
                </c:pt>
                <c:pt idx="11">
                  <c:v>545.25993883792057</c:v>
                </c:pt>
                <c:pt idx="12">
                  <c:v>430.82114735657984</c:v>
                </c:pt>
                <c:pt idx="13">
                  <c:v>352.74725274725245</c:v>
                </c:pt>
                <c:pt idx="14">
                  <c:v>240.80267558528445</c:v>
                </c:pt>
                <c:pt idx="15">
                  <c:v>275.95628415300541</c:v>
                </c:pt>
                <c:pt idx="16">
                  <c:v>282.39202657807277</c:v>
                </c:pt>
                <c:pt idx="17">
                  <c:v>223.88059701492554</c:v>
                </c:pt>
                <c:pt idx="18">
                  <c:v>217.39130434782632</c:v>
                </c:pt>
                <c:pt idx="19">
                  <c:v>628.20512820512818</c:v>
                </c:pt>
                <c:pt idx="20">
                  <c:v>571.42857142857213</c:v>
                </c:pt>
              </c:numCache>
            </c:numRef>
          </c:val>
          <c:smooth val="1"/>
        </c:ser>
        <c:ser>
          <c:idx val="2"/>
          <c:order val="2"/>
          <c:tx>
            <c:strRef>
              <c:f>TasasGeneroContinente!$AA$23</c:f>
              <c:strCache>
                <c:ptCount val="1"/>
                <c:pt idx="0">
                  <c:v>Asia</c:v>
                </c:pt>
              </c:strCache>
            </c:strRef>
          </c:tx>
          <c:spPr>
            <a:ln w="19050">
              <a:solidFill>
                <a:schemeClr val="accent6">
                  <a:lumMod val="75000"/>
                </a:schemeClr>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TasasGeneroContinente!$AB$23:$AV$23</c:f>
              <c:numCache>
                <c:formatCode>0,000</c:formatCode>
                <c:ptCount val="21"/>
                <c:pt idx="0">
                  <c:v>33.333333333333336</c:v>
                </c:pt>
                <c:pt idx="1">
                  <c:v>13.353877760657419</c:v>
                </c:pt>
                <c:pt idx="2">
                  <c:v>5.9880239520958094</c:v>
                </c:pt>
                <c:pt idx="3">
                  <c:v>1.8031555221637885</c:v>
                </c:pt>
                <c:pt idx="4">
                  <c:v>2.6976361391797337</c:v>
                </c:pt>
                <c:pt idx="5">
                  <c:v>2.8038022293646967</c:v>
                </c:pt>
                <c:pt idx="6">
                  <c:v>3.9104750811215574</c:v>
                </c:pt>
                <c:pt idx="7">
                  <c:v>4.118748328430061</c:v>
                </c:pt>
                <c:pt idx="8">
                  <c:v>3.0739241265557058</c:v>
                </c:pt>
                <c:pt idx="9">
                  <c:v>4.8982257537825191</c:v>
                </c:pt>
                <c:pt idx="10">
                  <c:v>4.7195498275549097</c:v>
                </c:pt>
                <c:pt idx="11">
                  <c:v>4.2813455657492394</c:v>
                </c:pt>
                <c:pt idx="12">
                  <c:v>14.060742407199102</c:v>
                </c:pt>
                <c:pt idx="13">
                  <c:v>5.4945054945054945</c:v>
                </c:pt>
                <c:pt idx="14">
                  <c:v>0</c:v>
                </c:pt>
                <c:pt idx="15">
                  <c:v>24.590163934426229</c:v>
                </c:pt>
                <c:pt idx="16">
                  <c:v>9.9667774086378689</c:v>
                </c:pt>
                <c:pt idx="17">
                  <c:v>29.850746268656717</c:v>
                </c:pt>
                <c:pt idx="18">
                  <c:v>0</c:v>
                </c:pt>
                <c:pt idx="19">
                  <c:v>0</c:v>
                </c:pt>
                <c:pt idx="20">
                  <c:v>0</c:v>
                </c:pt>
              </c:numCache>
            </c:numRef>
          </c:val>
          <c:smooth val="0"/>
        </c:ser>
        <c:ser>
          <c:idx val="3"/>
          <c:order val="3"/>
          <c:tx>
            <c:strRef>
              <c:f>TasasGeneroContinente!$AA$24</c:f>
              <c:strCache>
                <c:ptCount val="1"/>
                <c:pt idx="0">
                  <c:v>África</c:v>
                </c:pt>
              </c:strCache>
            </c:strRef>
          </c:tx>
          <c:spPr>
            <a:ln w="19050">
              <a:solidFill>
                <a:srgbClr val="00B0F0"/>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TasasGeneroContinente!$AB$24:$AV$24</c:f>
              <c:numCache>
                <c:formatCode>0,000</c:formatCode>
                <c:ptCount val="21"/>
                <c:pt idx="0">
                  <c:v>0</c:v>
                </c:pt>
                <c:pt idx="1">
                  <c:v>0</c:v>
                </c:pt>
                <c:pt idx="2">
                  <c:v>0.66533599467731264</c:v>
                </c:pt>
                <c:pt idx="3">
                  <c:v>0.15026296018031582</c:v>
                </c:pt>
                <c:pt idx="4">
                  <c:v>0.18289058570710093</c:v>
                </c:pt>
                <c:pt idx="5">
                  <c:v>0.54708336182725681</c:v>
                </c:pt>
                <c:pt idx="6">
                  <c:v>1.0816207671187288</c:v>
                </c:pt>
                <c:pt idx="7">
                  <c:v>1.2837657127574198</c:v>
                </c:pt>
                <c:pt idx="8">
                  <c:v>2.1742390163442793</c:v>
                </c:pt>
                <c:pt idx="9">
                  <c:v>2.1769892239033397</c:v>
                </c:pt>
                <c:pt idx="10">
                  <c:v>2.9043383554184072</c:v>
                </c:pt>
                <c:pt idx="11">
                  <c:v>2.4464831804281317</c:v>
                </c:pt>
                <c:pt idx="12">
                  <c:v>3.9370078740157477</c:v>
                </c:pt>
                <c:pt idx="13">
                  <c:v>1.098901098901099</c:v>
                </c:pt>
                <c:pt idx="14">
                  <c:v>0</c:v>
                </c:pt>
                <c:pt idx="15">
                  <c:v>0</c:v>
                </c:pt>
                <c:pt idx="16">
                  <c:v>0</c:v>
                </c:pt>
                <c:pt idx="17">
                  <c:v>0</c:v>
                </c:pt>
                <c:pt idx="18">
                  <c:v>0</c:v>
                </c:pt>
                <c:pt idx="19">
                  <c:v>0</c:v>
                </c:pt>
                <c:pt idx="20">
                  <c:v>0</c:v>
                </c:pt>
              </c:numCache>
            </c:numRef>
          </c:val>
          <c:smooth val="0"/>
        </c:ser>
        <c:ser>
          <c:idx val="4"/>
          <c:order val="4"/>
          <c:tx>
            <c:strRef>
              <c:f>TasasGeneroContinente!$AA$25</c:f>
              <c:strCache>
                <c:ptCount val="1"/>
                <c:pt idx="0">
                  <c:v>Oceanía</c:v>
                </c:pt>
              </c:strCache>
            </c:strRef>
          </c:tx>
          <c:spPr>
            <a:ln w="19050">
              <a:solidFill>
                <a:srgbClr val="00B050"/>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TasasGeneroContinente!$AB$25:$AV$25</c:f>
              <c:numCache>
                <c:formatCode>0,000</c:formatCode>
                <c:ptCount val="21"/>
                <c:pt idx="0">
                  <c:v>0</c:v>
                </c:pt>
                <c:pt idx="1">
                  <c:v>0.51361068310220859</c:v>
                </c:pt>
                <c:pt idx="2">
                  <c:v>0</c:v>
                </c:pt>
                <c:pt idx="3">
                  <c:v>0.60105184072126228</c:v>
                </c:pt>
                <c:pt idx="4">
                  <c:v>1.0516208678158292</c:v>
                </c:pt>
                <c:pt idx="5">
                  <c:v>1.4360938247965549</c:v>
                </c:pt>
                <c:pt idx="6">
                  <c:v>1.8720359430901081</c:v>
                </c:pt>
                <c:pt idx="7">
                  <c:v>1.7116876170098938</c:v>
                </c:pt>
                <c:pt idx="8">
                  <c:v>0.97465886939571222</c:v>
                </c:pt>
                <c:pt idx="9">
                  <c:v>0.76194622836616965</c:v>
                </c:pt>
                <c:pt idx="10">
                  <c:v>1.0891268832819019</c:v>
                </c:pt>
                <c:pt idx="11">
                  <c:v>0.91743119266055062</c:v>
                </c:pt>
                <c:pt idx="12">
                  <c:v>0.56242969628796402</c:v>
                </c:pt>
                <c:pt idx="13">
                  <c:v>1.098901098901099</c:v>
                </c:pt>
                <c:pt idx="14">
                  <c:v>1.6722408026755866</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287885952"/>
        <c:axId val="287380224"/>
      </c:lineChart>
      <c:catAx>
        <c:axId val="287885952"/>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7380224"/>
        <c:crosses val="autoZero"/>
        <c:auto val="1"/>
        <c:lblAlgn val="ctr"/>
        <c:lblOffset val="100"/>
        <c:noMultiLvlLbl val="0"/>
      </c:catAx>
      <c:valAx>
        <c:axId val="287380224"/>
        <c:scaling>
          <c:orientation val="minMax"/>
          <c:max val="1000"/>
          <c:min val="0"/>
        </c:scaling>
        <c:delete val="0"/>
        <c:axPos val="l"/>
        <c:title>
          <c:tx>
            <c:rich>
              <a:bodyPr rot="-5400000" vert="horz"/>
              <a:lstStyle/>
              <a:p>
                <a:pPr>
                  <a:defRPr sz="600"/>
                </a:pPr>
                <a:r>
                  <a:rPr lang="es-EC" sz="600"/>
                  <a:t>Tasa por</a:t>
                </a:r>
                <a:r>
                  <a:rPr lang="es-EC" sz="600" baseline="0"/>
                  <a:t> cada 1000 emigrantes</a:t>
                </a:r>
                <a:endParaRPr lang="es-EC" sz="600"/>
              </a:p>
            </c:rich>
          </c:tx>
          <c:layout>
            <c:manualLayout>
              <c:xMode val="edge"/>
              <c:yMode val="edge"/>
              <c:x val="6.0304537916478357E-3"/>
              <c:y val="6.59123690619753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7885952"/>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671875260475999"/>
        </c:manualLayout>
      </c:layout>
      <c:lineChart>
        <c:grouping val="standard"/>
        <c:varyColors val="0"/>
        <c:ser>
          <c:idx val="0"/>
          <c:order val="0"/>
          <c:tx>
            <c:strRef>
              <c:f>TasasGeneroContinente!$AA$29</c:f>
              <c:strCache>
                <c:ptCount val="1"/>
                <c:pt idx="0">
                  <c:v>América</c:v>
                </c:pt>
              </c:strCache>
            </c:strRef>
          </c:tx>
          <c:spPr>
            <a:ln w="19050">
              <a:solidFill>
                <a:srgbClr val="0070C0"/>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TasasGeneroContinente!$AB$29:$AV$29</c:f>
              <c:numCache>
                <c:formatCode>0,000</c:formatCode>
                <c:ptCount val="21"/>
                <c:pt idx="0">
                  <c:v>546.66666666666663</c:v>
                </c:pt>
                <c:pt idx="1">
                  <c:v>355.65559932470472</c:v>
                </c:pt>
                <c:pt idx="2">
                  <c:v>253.91498881431758</c:v>
                </c:pt>
                <c:pt idx="3">
                  <c:v>261.39717940308253</c:v>
                </c:pt>
                <c:pt idx="4">
                  <c:v>403.30588520222818</c:v>
                </c:pt>
                <c:pt idx="5">
                  <c:v>399.79679959359879</c:v>
                </c:pt>
                <c:pt idx="6">
                  <c:v>364.47487281890375</c:v>
                </c:pt>
                <c:pt idx="7">
                  <c:v>311.88691890574529</c:v>
                </c:pt>
                <c:pt idx="8">
                  <c:v>271.71966919600987</c:v>
                </c:pt>
                <c:pt idx="9">
                  <c:v>268.14268142681476</c:v>
                </c:pt>
                <c:pt idx="10">
                  <c:v>283.9015151515145</c:v>
                </c:pt>
                <c:pt idx="11">
                  <c:v>374.43044760117886</c:v>
                </c:pt>
                <c:pt idx="12">
                  <c:v>451.18866970156802</c:v>
                </c:pt>
                <c:pt idx="13">
                  <c:v>590.90909090909167</c:v>
                </c:pt>
                <c:pt idx="14">
                  <c:v>679.59770114942535</c:v>
                </c:pt>
                <c:pt idx="15">
                  <c:v>722.4880382775134</c:v>
                </c:pt>
                <c:pt idx="16">
                  <c:v>639.87138263665736</c:v>
                </c:pt>
                <c:pt idx="17">
                  <c:v>757.57575757575842</c:v>
                </c:pt>
                <c:pt idx="18">
                  <c:v>794.11764705882342</c:v>
                </c:pt>
                <c:pt idx="19">
                  <c:v>376.81159420289822</c:v>
                </c:pt>
                <c:pt idx="20">
                  <c:v>391.304347826087</c:v>
                </c:pt>
              </c:numCache>
            </c:numRef>
          </c:val>
          <c:smooth val="1"/>
        </c:ser>
        <c:ser>
          <c:idx val="1"/>
          <c:order val="1"/>
          <c:tx>
            <c:strRef>
              <c:f>TasasGeneroContinente!$AA$30</c:f>
              <c:strCache>
                <c:ptCount val="1"/>
                <c:pt idx="0">
                  <c:v>Europa</c:v>
                </c:pt>
              </c:strCache>
            </c:strRef>
          </c:tx>
          <c:spPr>
            <a:ln w="19050">
              <a:solidFill>
                <a:srgbClr val="E010C2"/>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TasasGeneroContinente!$AB$30:$AV$30</c:f>
              <c:numCache>
                <c:formatCode>0,000</c:formatCode>
                <c:ptCount val="21"/>
                <c:pt idx="0">
                  <c:v>440</c:v>
                </c:pt>
                <c:pt idx="1">
                  <c:v>635.90320765334832</c:v>
                </c:pt>
                <c:pt idx="2">
                  <c:v>740.04474272930725</c:v>
                </c:pt>
                <c:pt idx="3">
                  <c:v>736.63496228271549</c:v>
                </c:pt>
                <c:pt idx="4">
                  <c:v>589.48898038265952</c:v>
                </c:pt>
                <c:pt idx="5">
                  <c:v>595.67352468038303</c:v>
                </c:pt>
                <c:pt idx="6">
                  <c:v>627.9180335663018</c:v>
                </c:pt>
                <c:pt idx="7">
                  <c:v>682.02034972278068</c:v>
                </c:pt>
                <c:pt idx="8">
                  <c:v>722.22695882001847</c:v>
                </c:pt>
                <c:pt idx="9">
                  <c:v>724.60024600245947</c:v>
                </c:pt>
                <c:pt idx="10">
                  <c:v>709.65909090909167</c:v>
                </c:pt>
                <c:pt idx="11">
                  <c:v>619.6730099169132</c:v>
                </c:pt>
                <c:pt idx="12">
                  <c:v>544.76479514415803</c:v>
                </c:pt>
                <c:pt idx="13">
                  <c:v>405.03246753246771</c:v>
                </c:pt>
                <c:pt idx="14">
                  <c:v>313.21839080459733</c:v>
                </c:pt>
                <c:pt idx="15">
                  <c:v>275.11961722488036</c:v>
                </c:pt>
                <c:pt idx="16">
                  <c:v>353.69774919614184</c:v>
                </c:pt>
                <c:pt idx="17">
                  <c:v>227.27272727272725</c:v>
                </c:pt>
                <c:pt idx="18">
                  <c:v>205.88235294117646</c:v>
                </c:pt>
                <c:pt idx="19">
                  <c:v>608.69565217391289</c:v>
                </c:pt>
                <c:pt idx="20">
                  <c:v>608.69565217391289</c:v>
                </c:pt>
              </c:numCache>
            </c:numRef>
          </c:val>
          <c:smooth val="1"/>
        </c:ser>
        <c:ser>
          <c:idx val="2"/>
          <c:order val="2"/>
          <c:tx>
            <c:strRef>
              <c:f>TasasGeneroContinente!$AA$31</c:f>
              <c:strCache>
                <c:ptCount val="1"/>
                <c:pt idx="0">
                  <c:v>Asia</c:v>
                </c:pt>
              </c:strCache>
            </c:strRef>
          </c:tx>
          <c:spPr>
            <a:ln w="19050">
              <a:solidFill>
                <a:schemeClr val="accent6">
                  <a:lumMod val="75000"/>
                </a:schemeClr>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TasasGeneroContinente!$AB$31:$AV$31</c:f>
              <c:numCache>
                <c:formatCode>0,000</c:formatCode>
                <c:ptCount val="21"/>
                <c:pt idx="0">
                  <c:v>13.333333333333334</c:v>
                </c:pt>
                <c:pt idx="1">
                  <c:v>6.1902082160945415</c:v>
                </c:pt>
                <c:pt idx="2">
                  <c:v>4.9217002237136525</c:v>
                </c:pt>
                <c:pt idx="3">
                  <c:v>1.1479173499508049</c:v>
                </c:pt>
                <c:pt idx="4">
                  <c:v>2.6640833131508828</c:v>
                </c:pt>
                <c:pt idx="5">
                  <c:v>2.4976716620099912</c:v>
                </c:pt>
                <c:pt idx="6">
                  <c:v>4.5167118337850045</c:v>
                </c:pt>
                <c:pt idx="7">
                  <c:v>3.838420764028514</c:v>
                </c:pt>
                <c:pt idx="8">
                  <c:v>4.4334555375564779</c:v>
                </c:pt>
                <c:pt idx="9">
                  <c:v>4.9200492004920084</c:v>
                </c:pt>
                <c:pt idx="10">
                  <c:v>4.3560606060606064</c:v>
                </c:pt>
                <c:pt idx="11">
                  <c:v>5.6285178236397657</c:v>
                </c:pt>
                <c:pt idx="12">
                  <c:v>4.046535154274153</c:v>
                </c:pt>
                <c:pt idx="13">
                  <c:v>2.4350649350649327</c:v>
                </c:pt>
                <c:pt idx="14">
                  <c:v>5.7471264367816088</c:v>
                </c:pt>
                <c:pt idx="15">
                  <c:v>2.3923444976076547</c:v>
                </c:pt>
                <c:pt idx="16">
                  <c:v>6.4308681672025791</c:v>
                </c:pt>
                <c:pt idx="17">
                  <c:v>15.151515151515149</c:v>
                </c:pt>
                <c:pt idx="18">
                  <c:v>0</c:v>
                </c:pt>
                <c:pt idx="19">
                  <c:v>14.492753623188406</c:v>
                </c:pt>
                <c:pt idx="20">
                  <c:v>0</c:v>
                </c:pt>
              </c:numCache>
            </c:numRef>
          </c:val>
          <c:smooth val="0"/>
        </c:ser>
        <c:ser>
          <c:idx val="3"/>
          <c:order val="3"/>
          <c:tx>
            <c:strRef>
              <c:f>TasasGeneroContinente!$AA$32</c:f>
              <c:strCache>
                <c:ptCount val="1"/>
                <c:pt idx="0">
                  <c:v>África</c:v>
                </c:pt>
              </c:strCache>
            </c:strRef>
          </c:tx>
          <c:spPr>
            <a:ln w="19050">
              <a:solidFill>
                <a:srgbClr val="00B0F0"/>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TasasGeneroContinente!$AB$32:$AV$32</c:f>
              <c:numCache>
                <c:formatCode>0,000</c:formatCode>
                <c:ptCount val="21"/>
                <c:pt idx="0">
                  <c:v>0</c:v>
                </c:pt>
                <c:pt idx="1">
                  <c:v>0.56274620146314103</c:v>
                </c:pt>
                <c:pt idx="2">
                  <c:v>0.22371364653243883</c:v>
                </c:pt>
                <c:pt idx="3">
                  <c:v>0</c:v>
                </c:pt>
                <c:pt idx="4">
                  <c:v>3.4511988374909182</c:v>
                </c:pt>
                <c:pt idx="5">
                  <c:v>0.38100076200152433</c:v>
                </c:pt>
                <c:pt idx="6">
                  <c:v>0.76070936147958113</c:v>
                </c:pt>
                <c:pt idx="7">
                  <c:v>1.2185462742947664</c:v>
                </c:pt>
                <c:pt idx="8">
                  <c:v>1.0231051240514963</c:v>
                </c:pt>
                <c:pt idx="9">
                  <c:v>1.1070110701107021</c:v>
                </c:pt>
                <c:pt idx="10">
                  <c:v>0.5681818181818189</c:v>
                </c:pt>
                <c:pt idx="11">
                  <c:v>0</c:v>
                </c:pt>
                <c:pt idx="12">
                  <c:v>0</c:v>
                </c:pt>
                <c:pt idx="13">
                  <c:v>1.623376623376624</c:v>
                </c:pt>
                <c:pt idx="14">
                  <c:v>0</c:v>
                </c:pt>
                <c:pt idx="15">
                  <c:v>0</c:v>
                </c:pt>
                <c:pt idx="16">
                  <c:v>0</c:v>
                </c:pt>
                <c:pt idx="17">
                  <c:v>0</c:v>
                </c:pt>
                <c:pt idx="18">
                  <c:v>0</c:v>
                </c:pt>
                <c:pt idx="19">
                  <c:v>0</c:v>
                </c:pt>
                <c:pt idx="20">
                  <c:v>0</c:v>
                </c:pt>
              </c:numCache>
            </c:numRef>
          </c:val>
          <c:smooth val="0"/>
        </c:ser>
        <c:ser>
          <c:idx val="4"/>
          <c:order val="4"/>
          <c:tx>
            <c:strRef>
              <c:f>TasasGeneroContinente!$AA$33</c:f>
              <c:strCache>
                <c:ptCount val="1"/>
                <c:pt idx="0">
                  <c:v>Oceanía</c:v>
                </c:pt>
              </c:strCache>
            </c:strRef>
          </c:tx>
          <c:spPr>
            <a:ln w="19050">
              <a:solidFill>
                <a:srgbClr val="00B050"/>
              </a:solidFill>
            </a:ln>
          </c:spPr>
          <c:marker>
            <c:symbol val="none"/>
          </c:marker>
          <c:cat>
            <c:strRef>
              <c:f>TasasGeneroContinente!$AB$2:$AV$2</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TasasGeneroContinente!$AB$33:$AV$33</c:f>
              <c:numCache>
                <c:formatCode>0,000</c:formatCode>
                <c:ptCount val="21"/>
                <c:pt idx="0">
                  <c:v>0</c:v>
                </c:pt>
                <c:pt idx="1">
                  <c:v>1.6882386043894204</c:v>
                </c:pt>
                <c:pt idx="2">
                  <c:v>0.89485458612975399</c:v>
                </c:pt>
                <c:pt idx="3">
                  <c:v>0.81994096425057494</c:v>
                </c:pt>
                <c:pt idx="4">
                  <c:v>1.0898522644708175</c:v>
                </c:pt>
                <c:pt idx="5">
                  <c:v>1.6510033020066039</c:v>
                </c:pt>
                <c:pt idx="6">
                  <c:v>2.3296724195312088</c:v>
                </c:pt>
                <c:pt idx="7">
                  <c:v>1.0357643331505502</c:v>
                </c:pt>
                <c:pt idx="8">
                  <c:v>0.59681132236337275</c:v>
                </c:pt>
                <c:pt idx="9">
                  <c:v>1.2300123001230021</c:v>
                </c:pt>
                <c:pt idx="10">
                  <c:v>1.5151515151515151</c:v>
                </c:pt>
                <c:pt idx="11">
                  <c:v>0.26802465826856081</c:v>
                </c:pt>
                <c:pt idx="12">
                  <c:v>0</c:v>
                </c:pt>
                <c:pt idx="13">
                  <c:v>0</c:v>
                </c:pt>
                <c:pt idx="14">
                  <c:v>1.4367816091954018</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287411584"/>
        <c:axId val="287417856"/>
      </c:lineChart>
      <c:catAx>
        <c:axId val="287411584"/>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7417856"/>
        <c:crosses val="autoZero"/>
        <c:auto val="1"/>
        <c:lblAlgn val="ctr"/>
        <c:lblOffset val="100"/>
        <c:noMultiLvlLbl val="0"/>
      </c:catAx>
      <c:valAx>
        <c:axId val="287417856"/>
        <c:scaling>
          <c:orientation val="minMax"/>
          <c:max val="1000"/>
          <c:min val="0"/>
        </c:scaling>
        <c:delete val="0"/>
        <c:axPos val="l"/>
        <c:title>
          <c:tx>
            <c:rich>
              <a:bodyPr rot="-5400000" vert="horz"/>
              <a:lstStyle/>
              <a:p>
                <a:pPr>
                  <a:defRPr sz="600"/>
                </a:pPr>
                <a:r>
                  <a:rPr lang="es-EC" sz="600"/>
                  <a:t>Tasa por</a:t>
                </a:r>
                <a:r>
                  <a:rPr lang="es-EC" sz="600" baseline="0"/>
                  <a:t> cada 1000 emigrantes</a:t>
                </a:r>
                <a:endParaRPr lang="es-EC" sz="600"/>
              </a:p>
            </c:rich>
          </c:tx>
          <c:layout>
            <c:manualLayout>
              <c:xMode val="edge"/>
              <c:yMode val="edge"/>
              <c:x val="6.0304537916478357E-3"/>
              <c:y val="6.59123690619753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7411584"/>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308567198331018"/>
          <c:y val="2.1234639274762556E-2"/>
          <c:w val="0.67818168096400155"/>
          <c:h val="0.86821590260941295"/>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PaisResidencia!$D$2:$D$18</c:f>
              <c:strCache>
                <c:ptCount val="17"/>
                <c:pt idx="0">
                  <c:v>España</c:v>
                </c:pt>
                <c:pt idx="1">
                  <c:v>Estados Unidos</c:v>
                </c:pt>
                <c:pt idx="2">
                  <c:v>Italia</c:v>
                </c:pt>
                <c:pt idx="3">
                  <c:v>Chile</c:v>
                </c:pt>
                <c:pt idx="4">
                  <c:v>Colombia</c:v>
                </c:pt>
                <c:pt idx="5">
                  <c:v>Venezuela</c:v>
                </c:pt>
                <c:pt idx="6">
                  <c:v>Argentina</c:v>
                </c:pt>
                <c:pt idx="7">
                  <c:v>Canadá</c:v>
                </c:pt>
                <c:pt idx="8">
                  <c:v>Alemania</c:v>
                </c:pt>
                <c:pt idx="9">
                  <c:v>Bélgica</c:v>
                </c:pt>
                <c:pt idx="10">
                  <c:v>Cuba</c:v>
                </c:pt>
                <c:pt idx="11">
                  <c:v>Reino Unido</c:v>
                </c:pt>
                <c:pt idx="12">
                  <c:v>Francia</c:v>
                </c:pt>
                <c:pt idx="13">
                  <c:v>México</c:v>
                </c:pt>
                <c:pt idx="14">
                  <c:v>Perú</c:v>
                </c:pt>
                <c:pt idx="15">
                  <c:v>Otros países</c:v>
                </c:pt>
                <c:pt idx="16">
                  <c:v>No especifica</c:v>
                </c:pt>
              </c:strCache>
            </c:strRef>
          </c:cat>
          <c:val>
            <c:numRef>
              <c:f>PaisResidencia!$E$2:$E$18</c:f>
              <c:numCache>
                <c:formatCode>0.00%</c:formatCode>
                <c:ptCount val="17"/>
                <c:pt idx="0">
                  <c:v>0.45136533681398822</c:v>
                </c:pt>
                <c:pt idx="1">
                  <c:v>0.28555991826166982</c:v>
                </c:pt>
                <c:pt idx="2">
                  <c:v>7.877121469863449E-2</c:v>
                </c:pt>
                <c:pt idx="3">
                  <c:v>1.76707428844501E-2</c:v>
                </c:pt>
                <c:pt idx="4">
                  <c:v>1.396541455812444E-2</c:v>
                </c:pt>
                <c:pt idx="5">
                  <c:v>1.2439061792323302E-2</c:v>
                </c:pt>
                <c:pt idx="6">
                  <c:v>1.0285049945258145E-2</c:v>
                </c:pt>
                <c:pt idx="7">
                  <c:v>8.184531769891621E-3</c:v>
                </c:pt>
                <c:pt idx="8">
                  <c:v>6.3621806873580145E-3</c:v>
                </c:pt>
                <c:pt idx="9">
                  <c:v>6.351481953018291E-3</c:v>
                </c:pt>
                <c:pt idx="10">
                  <c:v>6.3122532604392902E-3</c:v>
                </c:pt>
                <c:pt idx="11">
                  <c:v>5.7701840538930934E-3</c:v>
                </c:pt>
                <c:pt idx="12">
                  <c:v>4.9178515514947917E-3</c:v>
                </c:pt>
                <c:pt idx="13">
                  <c:v>4.8322616767769704E-3</c:v>
                </c:pt>
                <c:pt idx="14">
                  <c:v>4.6111545004226002E-3</c:v>
                </c:pt>
                <c:pt idx="15">
                  <c:v>3.2834415688624115E-2</c:v>
                </c:pt>
                <c:pt idx="16">
                  <c:v>4.9766945903633023E-2</c:v>
                </c:pt>
              </c:numCache>
            </c:numRef>
          </c:val>
        </c:ser>
        <c:dLbls>
          <c:showLegendKey val="0"/>
          <c:showVal val="1"/>
          <c:showCatName val="0"/>
          <c:showSerName val="0"/>
          <c:showPercent val="0"/>
          <c:showBubbleSize val="0"/>
        </c:dLbls>
        <c:gapWidth val="30"/>
        <c:axId val="287422720"/>
        <c:axId val="287438336"/>
      </c:barChart>
      <c:catAx>
        <c:axId val="287422720"/>
        <c:scaling>
          <c:orientation val="maxMin"/>
        </c:scaling>
        <c:delete val="0"/>
        <c:axPos val="l"/>
        <c:title>
          <c:tx>
            <c:rich>
              <a:bodyPr rot="-5400000" vert="horz"/>
              <a:lstStyle/>
              <a:p>
                <a:pPr>
                  <a:defRPr/>
                </a:pPr>
                <a:r>
                  <a:rPr lang="es-EC"/>
                  <a:t>País de residencia actual</a:t>
                </a:r>
              </a:p>
            </c:rich>
          </c:tx>
          <c:overlay val="0"/>
        </c:title>
        <c:majorTickMark val="out"/>
        <c:minorTickMark val="none"/>
        <c:tickLblPos val="low"/>
        <c:spPr>
          <a:ln>
            <a:solidFill>
              <a:schemeClr val="tx1"/>
            </a:solidFill>
          </a:ln>
        </c:spPr>
        <c:txPr>
          <a:bodyPr/>
          <a:lstStyle/>
          <a:p>
            <a:pPr>
              <a:defRPr sz="700"/>
            </a:pPr>
            <a:endParaRPr lang="es-EC"/>
          </a:p>
        </c:txPr>
        <c:crossAx val="287438336"/>
        <c:crosses val="autoZero"/>
        <c:auto val="1"/>
        <c:lblAlgn val="ctr"/>
        <c:lblOffset val="100"/>
        <c:noMultiLvlLbl val="0"/>
      </c:catAx>
      <c:valAx>
        <c:axId val="287438336"/>
        <c:scaling>
          <c:orientation val="minMax"/>
          <c:max val="1"/>
        </c:scaling>
        <c:delete val="0"/>
        <c:axPos val="t"/>
        <c:title>
          <c:tx>
            <c:rich>
              <a:bodyPr/>
              <a:lstStyle/>
              <a:p>
                <a:pPr>
                  <a:defRPr/>
                </a:pPr>
                <a:r>
                  <a:rPr lang="es-EC"/>
                  <a:t>Frecuencia Relativa</a:t>
                </a:r>
              </a:p>
            </c:rich>
          </c:tx>
          <c:layout>
            <c:manualLayout>
              <c:xMode val="edge"/>
              <c:yMode val="edge"/>
              <c:x val="0.4783538596137023"/>
              <c:y val="0.94928591876529245"/>
            </c:manualLayout>
          </c:layout>
          <c:overlay val="0"/>
        </c:title>
        <c:numFmt formatCode="#,##0.00" sourceLinked="0"/>
        <c:majorTickMark val="in"/>
        <c:minorTickMark val="none"/>
        <c:tickLblPos val="high"/>
        <c:spPr>
          <a:ln>
            <a:solidFill>
              <a:schemeClr val="tx1"/>
            </a:solidFill>
          </a:ln>
        </c:spPr>
        <c:crossAx val="287422720"/>
        <c:crossesAt val="18"/>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98521294677983"/>
          <c:y val="5.0925925925925923E-2"/>
          <c:w val="0.8434592815486166"/>
          <c:h val="0.80614902303878722"/>
        </c:manualLayout>
      </c:layout>
      <c:lineChart>
        <c:grouping val="standard"/>
        <c:varyColors val="0"/>
        <c:ser>
          <c:idx val="0"/>
          <c:order val="0"/>
          <c:spPr>
            <a:ln w="19050">
              <a:solidFill>
                <a:schemeClr val="bg1">
                  <a:lumMod val="50000"/>
                </a:schemeClr>
              </a:solidFill>
            </a:ln>
          </c:spPr>
          <c:marker>
            <c:symbol val="diamond"/>
            <c:size val="5"/>
            <c:spPr>
              <a:solidFill>
                <a:schemeClr val="bg1">
                  <a:lumMod val="50000"/>
                </a:schemeClr>
              </a:solidFill>
            </c:spPr>
          </c:marker>
          <c:dLbls>
            <c:dLbl>
              <c:idx val="1"/>
              <c:layout>
                <c:manualLayout>
                  <c:x val="-5.3013087322894704E-2"/>
                  <c:y val="-4.3339976312985411E-2"/>
                </c:manualLayout>
              </c:layout>
              <c:dLblPos val="r"/>
              <c:showLegendKey val="0"/>
              <c:showVal val="1"/>
              <c:showCatName val="0"/>
              <c:showSerName val="0"/>
              <c:showPercent val="0"/>
              <c:showBubbleSize val="0"/>
            </c:dLbl>
            <c:txPr>
              <a:bodyPr/>
              <a:lstStyle/>
              <a:p>
                <a:pPr>
                  <a:defRPr sz="650"/>
                </a:pPr>
                <a:endParaRPr lang="es-EC"/>
              </a:p>
            </c:txPr>
            <c:dLblPos val="t"/>
            <c:showLegendKey val="0"/>
            <c:showVal val="1"/>
            <c:showCatName val="0"/>
            <c:showSerName val="0"/>
            <c:showPercent val="0"/>
            <c:showBubbleSize val="0"/>
            <c:showLeaderLines val="0"/>
          </c:dLbls>
          <c:cat>
            <c:numRef>
              <c:f>General!$B$10:$B$19</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General!$C$10:$C$19</c:f>
              <c:numCache>
                <c:formatCode>###0</c:formatCode>
                <c:ptCount val="10"/>
                <c:pt idx="0">
                  <c:v>42763</c:v>
                </c:pt>
                <c:pt idx="1">
                  <c:v>45989</c:v>
                </c:pt>
                <c:pt idx="2">
                  <c:v>27153</c:v>
                </c:pt>
                <c:pt idx="3">
                  <c:v>18834</c:v>
                </c:pt>
                <c:pt idx="4">
                  <c:v>20867</c:v>
                </c:pt>
                <c:pt idx="5">
                  <c:v>17289</c:v>
                </c:pt>
                <c:pt idx="6">
                  <c:v>21827</c:v>
                </c:pt>
                <c:pt idx="7">
                  <c:v>22693</c:v>
                </c:pt>
                <c:pt idx="8">
                  <c:v>13902</c:v>
                </c:pt>
                <c:pt idx="9">
                  <c:v>19841</c:v>
                </c:pt>
              </c:numCache>
            </c:numRef>
          </c:val>
          <c:smooth val="0"/>
        </c:ser>
        <c:dLbls>
          <c:showLegendKey val="0"/>
          <c:showVal val="0"/>
          <c:showCatName val="0"/>
          <c:showSerName val="0"/>
          <c:showPercent val="0"/>
          <c:showBubbleSize val="0"/>
        </c:dLbls>
        <c:marker val="1"/>
        <c:smooth val="0"/>
        <c:axId val="288007680"/>
        <c:axId val="288009600"/>
      </c:lineChart>
      <c:catAx>
        <c:axId val="288007680"/>
        <c:scaling>
          <c:orientation val="minMax"/>
        </c:scaling>
        <c:delete val="0"/>
        <c:axPos val="b"/>
        <c:title>
          <c:tx>
            <c:rich>
              <a:bodyPr/>
              <a:lstStyle/>
              <a:p>
                <a:pPr>
                  <a:defRPr/>
                </a:pPr>
                <a:r>
                  <a:rPr lang="es-EC"/>
                  <a:t>Año de salida</a:t>
                </a:r>
              </a:p>
            </c:rich>
          </c:tx>
          <c:overlay val="0"/>
        </c:title>
        <c:numFmt formatCode="General" sourceLinked="1"/>
        <c:majorTickMark val="out"/>
        <c:minorTickMark val="none"/>
        <c:tickLblPos val="nextTo"/>
        <c:spPr>
          <a:ln>
            <a:solidFill>
              <a:schemeClr val="tx1"/>
            </a:solidFill>
          </a:ln>
        </c:spPr>
        <c:crossAx val="288009600"/>
        <c:crosses val="autoZero"/>
        <c:auto val="1"/>
        <c:lblAlgn val="ctr"/>
        <c:lblOffset val="100"/>
        <c:noMultiLvlLbl val="0"/>
      </c:catAx>
      <c:valAx>
        <c:axId val="288009600"/>
        <c:scaling>
          <c:orientation val="minMax"/>
          <c:max val="50000"/>
          <c:min val="0"/>
        </c:scaling>
        <c:delete val="0"/>
        <c:axPos val="l"/>
        <c:title>
          <c:tx>
            <c:rich>
              <a:bodyPr rot="-5400000" vert="horz"/>
              <a:lstStyle/>
              <a:p>
                <a:pPr>
                  <a:defRPr/>
                </a:pPr>
                <a:r>
                  <a:rPr lang="es-EC"/>
                  <a:t>Número de emigrantes</a:t>
                </a:r>
              </a:p>
            </c:rich>
          </c:tx>
          <c:overlay val="0"/>
        </c:title>
        <c:numFmt formatCode="General" sourceLinked="0"/>
        <c:majorTickMark val="out"/>
        <c:minorTickMark val="none"/>
        <c:tickLblPos val="nextTo"/>
        <c:spPr>
          <a:ln>
            <a:solidFill>
              <a:schemeClr val="tx1"/>
            </a:solidFill>
          </a:ln>
        </c:spPr>
        <c:crossAx val="288007680"/>
        <c:crosses val="autoZero"/>
        <c:crossBetween val="between"/>
        <c:majorUnit val="5000"/>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18020124868562"/>
          <c:y val="3.4218197908906192E-2"/>
          <c:w val="0.84942879415277461"/>
          <c:h val="0.7859354422802417"/>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General!$B$26:$B$29</c:f>
              <c:strCache>
                <c:ptCount val="4"/>
                <c:pt idx="0">
                  <c:v>Trabajo</c:v>
                </c:pt>
                <c:pt idx="1">
                  <c:v>Estudios</c:v>
                </c:pt>
                <c:pt idx="2">
                  <c:v>Unión Familiar</c:v>
                </c:pt>
                <c:pt idx="3">
                  <c:v>Otro</c:v>
                </c:pt>
              </c:strCache>
            </c:strRef>
          </c:cat>
          <c:val>
            <c:numRef>
              <c:f>General!$G$26:$G$29</c:f>
              <c:numCache>
                <c:formatCode>0.00%</c:formatCode>
                <c:ptCount val="4"/>
                <c:pt idx="0">
                  <c:v>0.6474339085686166</c:v>
                </c:pt>
                <c:pt idx="1">
                  <c:v>0.11661977054781099</c:v>
                </c:pt>
                <c:pt idx="2">
                  <c:v>0.18044128712906635</c:v>
                </c:pt>
                <c:pt idx="3">
                  <c:v>5.5505033754506904E-2</c:v>
                </c:pt>
              </c:numCache>
            </c:numRef>
          </c:val>
        </c:ser>
        <c:dLbls>
          <c:showLegendKey val="0"/>
          <c:showVal val="0"/>
          <c:showCatName val="0"/>
          <c:showSerName val="0"/>
          <c:showPercent val="0"/>
          <c:showBubbleSize val="0"/>
        </c:dLbls>
        <c:gapWidth val="50"/>
        <c:axId val="288021888"/>
        <c:axId val="288232960"/>
      </c:barChart>
      <c:catAx>
        <c:axId val="288021888"/>
        <c:scaling>
          <c:orientation val="minMax"/>
        </c:scaling>
        <c:delete val="0"/>
        <c:axPos val="b"/>
        <c:title>
          <c:tx>
            <c:rich>
              <a:bodyPr/>
              <a:lstStyle/>
              <a:p>
                <a:pPr>
                  <a:defRPr/>
                </a:pPr>
                <a:r>
                  <a:rPr lang="es-EC"/>
                  <a:t>Motivo del viaje</a:t>
                </a:r>
              </a:p>
            </c:rich>
          </c:tx>
          <c:overlay val="0"/>
        </c:title>
        <c:majorTickMark val="out"/>
        <c:minorTickMark val="none"/>
        <c:tickLblPos val="nextTo"/>
        <c:spPr>
          <a:ln>
            <a:solidFill>
              <a:schemeClr val="tx1"/>
            </a:solidFill>
          </a:ln>
        </c:spPr>
        <c:txPr>
          <a:bodyPr rot="0" vert="horz"/>
          <a:lstStyle/>
          <a:p>
            <a:pPr>
              <a:defRPr sz="700"/>
            </a:pPr>
            <a:endParaRPr lang="es-EC"/>
          </a:p>
        </c:txPr>
        <c:crossAx val="288232960"/>
        <c:crosses val="autoZero"/>
        <c:auto val="1"/>
        <c:lblAlgn val="ctr"/>
        <c:lblOffset val="100"/>
        <c:noMultiLvlLbl val="0"/>
      </c:catAx>
      <c:valAx>
        <c:axId val="288232960"/>
        <c:scaling>
          <c:orientation val="minMax"/>
          <c:max val="1"/>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nextTo"/>
        <c:spPr>
          <a:ln>
            <a:solidFill>
              <a:schemeClr val="tx1"/>
            </a:solidFill>
          </a:ln>
        </c:spPr>
        <c:crossAx val="288021888"/>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TasaGeneroEdadMotivo!$X$4</c:f>
              <c:strCache>
                <c:ptCount val="1"/>
                <c:pt idx="0">
                  <c:v>Trabajo</c:v>
                </c:pt>
              </c:strCache>
            </c:strRef>
          </c:tx>
          <c:spPr>
            <a:ln w="19050">
              <a:solidFill>
                <a:srgbClr val="0070C0"/>
              </a:solidFill>
            </a:ln>
          </c:spPr>
          <c:marker>
            <c:symbol val="none"/>
          </c:marker>
          <c:cat>
            <c:strRef>
              <c:f>TasaGeneroEdadMotivo!$J$5:$J$25</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TasaGeneroEdadMotivo!$X$5:$X$25</c:f>
              <c:numCache>
                <c:formatCode>0,000</c:formatCode>
                <c:ptCount val="21"/>
                <c:pt idx="0">
                  <c:v>0</c:v>
                </c:pt>
                <c:pt idx="1">
                  <c:v>0</c:v>
                </c:pt>
                <c:pt idx="2">
                  <c:v>0</c:v>
                </c:pt>
                <c:pt idx="3">
                  <c:v>0</c:v>
                </c:pt>
                <c:pt idx="4">
                  <c:v>119.52761080078088</c:v>
                </c:pt>
                <c:pt idx="5">
                  <c:v>228.34721765854223</c:v>
                </c:pt>
                <c:pt idx="6">
                  <c:v>194.65759514467402</c:v>
                </c:pt>
                <c:pt idx="7">
                  <c:v>160.30113845023905</c:v>
                </c:pt>
                <c:pt idx="8">
                  <c:v>119.46962521986214</c:v>
                </c:pt>
                <c:pt idx="9">
                  <c:v>81.025185070645719</c:v>
                </c:pt>
                <c:pt idx="10">
                  <c:v>47.142277287047946</c:v>
                </c:pt>
                <c:pt idx="11">
                  <c:v>26.112839940468128</c:v>
                </c:pt>
                <c:pt idx="12">
                  <c:v>12.940448808396322</c:v>
                </c:pt>
                <c:pt idx="13">
                  <c:v>4.7451533718615302</c:v>
                </c:pt>
                <c:pt idx="14">
                  <c:v>2.0971451765660936</c:v>
                </c:pt>
                <c:pt idx="15">
                  <c:v>0.95676208516148986</c:v>
                </c:pt>
                <c:pt idx="16">
                  <c:v>1.1693758818640441</c:v>
                </c:pt>
                <c:pt idx="17">
                  <c:v>0.36724201248622829</c:v>
                </c:pt>
                <c:pt idx="18">
                  <c:v>0.15462821578367514</c:v>
                </c:pt>
                <c:pt idx="19">
                  <c:v>0.48321317432398481</c:v>
                </c:pt>
                <c:pt idx="20">
                  <c:v>0.50254170129694331</c:v>
                </c:pt>
              </c:numCache>
            </c:numRef>
          </c:val>
          <c:smooth val="1"/>
        </c:ser>
        <c:ser>
          <c:idx val="1"/>
          <c:order val="1"/>
          <c:tx>
            <c:strRef>
              <c:f>TasaGeneroEdadMotivo!$Y$4</c:f>
              <c:strCache>
                <c:ptCount val="1"/>
                <c:pt idx="0">
                  <c:v>Estudios</c:v>
                </c:pt>
              </c:strCache>
            </c:strRef>
          </c:tx>
          <c:spPr>
            <a:ln w="19050">
              <a:solidFill>
                <a:srgbClr val="E010C2"/>
              </a:solidFill>
            </a:ln>
          </c:spPr>
          <c:marker>
            <c:symbol val="none"/>
          </c:marker>
          <c:cat>
            <c:strRef>
              <c:f>TasaGeneroEdadMotivo!$J$5:$J$25</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TasaGeneroEdadMotivo!$Y$5:$Y$25</c:f>
              <c:numCache>
                <c:formatCode>0,000</c:formatCode>
                <c:ptCount val="21"/>
                <c:pt idx="0">
                  <c:v>0</c:v>
                </c:pt>
                <c:pt idx="1">
                  <c:v>0</c:v>
                </c:pt>
                <c:pt idx="2">
                  <c:v>61.390972966535706</c:v>
                </c:pt>
                <c:pt idx="3">
                  <c:v>126.59283077289498</c:v>
                </c:pt>
                <c:pt idx="4">
                  <c:v>329.52244849350961</c:v>
                </c:pt>
                <c:pt idx="5">
                  <c:v>217.99452185304276</c:v>
                </c:pt>
                <c:pt idx="6">
                  <c:v>149.75586518994845</c:v>
                </c:pt>
                <c:pt idx="7">
                  <c:v>62.641419554602791</c:v>
                </c:pt>
                <c:pt idx="8">
                  <c:v>25.36620221507679</c:v>
                </c:pt>
                <c:pt idx="9">
                  <c:v>12.56401095629392</c:v>
                </c:pt>
                <c:pt idx="10">
                  <c:v>7.6813147552697387</c:v>
                </c:pt>
                <c:pt idx="11">
                  <c:v>3.5131594617125192</c:v>
                </c:pt>
                <c:pt idx="12">
                  <c:v>2.3222579492675948</c:v>
                </c:pt>
                <c:pt idx="13">
                  <c:v>0.65499583184470778</c:v>
                </c:pt>
                <c:pt idx="14">
                  <c:v>0</c:v>
                </c:pt>
                <c:pt idx="15">
                  <c:v>0</c:v>
                </c:pt>
                <c:pt idx="16">
                  <c:v>0</c:v>
                </c:pt>
                <c:pt idx="17">
                  <c:v>0</c:v>
                </c:pt>
                <c:pt idx="18">
                  <c:v>0</c:v>
                </c:pt>
                <c:pt idx="19">
                  <c:v>0</c:v>
                </c:pt>
                <c:pt idx="20">
                  <c:v>0</c:v>
                </c:pt>
              </c:numCache>
            </c:numRef>
          </c:val>
          <c:smooth val="1"/>
        </c:ser>
        <c:ser>
          <c:idx val="2"/>
          <c:order val="2"/>
          <c:tx>
            <c:strRef>
              <c:f>TasaGeneroEdadMotivo!$Z$4</c:f>
              <c:strCache>
                <c:ptCount val="1"/>
                <c:pt idx="0">
                  <c:v>Unión Familiar</c:v>
                </c:pt>
              </c:strCache>
            </c:strRef>
          </c:tx>
          <c:spPr>
            <a:ln w="19050">
              <a:solidFill>
                <a:schemeClr val="accent6">
                  <a:lumMod val="75000"/>
                </a:schemeClr>
              </a:solidFill>
            </a:ln>
          </c:spPr>
          <c:marker>
            <c:symbol val="none"/>
          </c:marker>
          <c:cat>
            <c:strRef>
              <c:f>TasaGeneroEdadMotivo!$J$5:$J$25</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TasaGeneroEdadMotivo!$Z$5:$Z$25</c:f>
              <c:numCache>
                <c:formatCode>0,000</c:formatCode>
                <c:ptCount val="21"/>
                <c:pt idx="0">
                  <c:v>4.07830342577489</c:v>
                </c:pt>
                <c:pt idx="1">
                  <c:v>127.11427835494118</c:v>
                </c:pt>
                <c:pt idx="2">
                  <c:v>145.53103803554563</c:v>
                </c:pt>
                <c:pt idx="3">
                  <c:v>190.82167081651946</c:v>
                </c:pt>
                <c:pt idx="4">
                  <c:v>168.79883231733521</c:v>
                </c:pt>
                <c:pt idx="5">
                  <c:v>97.578775650381971</c:v>
                </c:pt>
                <c:pt idx="6">
                  <c:v>69.331158238172932</c:v>
                </c:pt>
                <c:pt idx="7">
                  <c:v>53.533098652013351</c:v>
                </c:pt>
                <c:pt idx="8">
                  <c:v>34.343607795998913</c:v>
                </c:pt>
                <c:pt idx="9">
                  <c:v>23.096076242809289</c:v>
                </c:pt>
                <c:pt idx="10">
                  <c:v>18.116253112389494</c:v>
                </c:pt>
                <c:pt idx="11">
                  <c:v>20.219799089894387</c:v>
                </c:pt>
                <c:pt idx="12">
                  <c:v>12.921782433244623</c:v>
                </c:pt>
                <c:pt idx="13">
                  <c:v>11.633897140894648</c:v>
                </c:pt>
                <c:pt idx="14">
                  <c:v>9.6591396926247235</c:v>
                </c:pt>
                <c:pt idx="15">
                  <c:v>6.310637932514811</c:v>
                </c:pt>
                <c:pt idx="16">
                  <c:v>3.7777968575598893</c:v>
                </c:pt>
                <c:pt idx="17">
                  <c:v>1.5454623508199521</c:v>
                </c:pt>
                <c:pt idx="18">
                  <c:v>0.72980166566497906</c:v>
                </c:pt>
                <c:pt idx="19">
                  <c:v>0.60101313642998266</c:v>
                </c:pt>
                <c:pt idx="20">
                  <c:v>0.25757705846999229</c:v>
                </c:pt>
              </c:numCache>
            </c:numRef>
          </c:val>
          <c:smooth val="0"/>
        </c:ser>
        <c:ser>
          <c:idx val="3"/>
          <c:order val="3"/>
          <c:tx>
            <c:strRef>
              <c:f>TasaGeneroEdadMotivo!$AA$4</c:f>
              <c:strCache>
                <c:ptCount val="1"/>
                <c:pt idx="0">
                  <c:v>Otro</c:v>
                </c:pt>
              </c:strCache>
            </c:strRef>
          </c:tx>
          <c:spPr>
            <a:ln w="19050">
              <a:solidFill>
                <a:srgbClr val="00B050"/>
              </a:solidFill>
            </a:ln>
          </c:spPr>
          <c:marker>
            <c:symbol val="none"/>
          </c:marker>
          <c:cat>
            <c:strRef>
              <c:f>TasaGeneroEdadMotivo!$J$5:$J$25</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TasaGeneroEdadMotivo!$AA$5:$AA$25</c:f>
              <c:numCache>
                <c:formatCode>0,000</c:formatCode>
                <c:ptCount val="21"/>
                <c:pt idx="0">
                  <c:v>2.4453199293574244</c:v>
                </c:pt>
                <c:pt idx="1">
                  <c:v>43.064800978128012</c:v>
                </c:pt>
                <c:pt idx="2">
                  <c:v>55.427251732101617</c:v>
                </c:pt>
                <c:pt idx="3">
                  <c:v>60.046189376443394</c:v>
                </c:pt>
                <c:pt idx="4">
                  <c:v>127.29248743377258</c:v>
                </c:pt>
                <c:pt idx="5">
                  <c:v>131.77557397092761</c:v>
                </c:pt>
                <c:pt idx="6">
                  <c:v>124.16791196848256</c:v>
                </c:pt>
                <c:pt idx="7">
                  <c:v>97.133541638364349</c:v>
                </c:pt>
                <c:pt idx="8">
                  <c:v>66.567042521396544</c:v>
                </c:pt>
                <c:pt idx="9">
                  <c:v>66.159489199836884</c:v>
                </c:pt>
                <c:pt idx="10">
                  <c:v>52.438527373998092</c:v>
                </c:pt>
                <c:pt idx="11">
                  <c:v>41.977992120635783</c:v>
                </c:pt>
                <c:pt idx="12">
                  <c:v>33.691074582257848</c:v>
                </c:pt>
                <c:pt idx="13">
                  <c:v>24.589050400760762</c:v>
                </c:pt>
                <c:pt idx="14">
                  <c:v>24.181497079201186</c:v>
                </c:pt>
                <c:pt idx="15">
                  <c:v>19.42670832767287</c:v>
                </c:pt>
                <c:pt idx="16">
                  <c:v>14.12851514739844</c:v>
                </c:pt>
                <c:pt idx="17">
                  <c:v>9.9171308246162226</c:v>
                </c:pt>
                <c:pt idx="18">
                  <c:v>2.0377666077978542</c:v>
                </c:pt>
                <c:pt idx="19">
                  <c:v>2.1736177149843798</c:v>
                </c:pt>
                <c:pt idx="20">
                  <c:v>1.3585110718652373</c:v>
                </c:pt>
              </c:numCache>
            </c:numRef>
          </c:val>
          <c:smooth val="0"/>
        </c:ser>
        <c:dLbls>
          <c:showLegendKey val="0"/>
          <c:showVal val="0"/>
          <c:showCatName val="0"/>
          <c:showSerName val="0"/>
          <c:showPercent val="0"/>
          <c:showBubbleSize val="0"/>
        </c:dLbls>
        <c:marker val="1"/>
        <c:smooth val="0"/>
        <c:axId val="288269440"/>
        <c:axId val="288271360"/>
      </c:lineChart>
      <c:catAx>
        <c:axId val="288269440"/>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8271360"/>
        <c:crosses val="autoZero"/>
        <c:auto val="1"/>
        <c:lblAlgn val="ctr"/>
        <c:lblOffset val="100"/>
        <c:noMultiLvlLbl val="0"/>
      </c:catAx>
      <c:valAx>
        <c:axId val="288271360"/>
        <c:scaling>
          <c:orientation val="minMax"/>
          <c:max val="400"/>
          <c:min val="0"/>
        </c:scaling>
        <c:delete val="0"/>
        <c:axPos val="l"/>
        <c:title>
          <c:tx>
            <c:rich>
              <a:bodyPr rot="-5400000" vert="horz"/>
              <a:lstStyle/>
              <a:p>
                <a:pPr>
                  <a:defRPr sz="650"/>
                </a:pPr>
                <a:r>
                  <a:rPr lang="es-EC" sz="650"/>
                  <a:t>Tasa por</a:t>
                </a:r>
                <a:r>
                  <a:rPr lang="es-EC" sz="650" baseline="0"/>
                  <a:t> cada 1000 emigrantes</a:t>
                </a:r>
                <a:endParaRPr lang="es-EC" sz="650"/>
              </a:p>
            </c:rich>
          </c:tx>
          <c:layout>
            <c:manualLayout>
              <c:xMode val="edge"/>
              <c:yMode val="edge"/>
              <c:x val="6.0305697081982435E-3"/>
              <c:y val="4.2389655421512684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826944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8873658431765"/>
          <c:y val="7.7924323600695011E-2"/>
          <c:w val="0.86616405980926559"/>
          <c:h val="0.65628725650812125"/>
        </c:manualLayout>
      </c:layout>
      <c:lineChart>
        <c:grouping val="standard"/>
        <c:varyColors val="0"/>
        <c:ser>
          <c:idx val="0"/>
          <c:order val="0"/>
          <c:spPr>
            <a:ln w="19050">
              <a:solidFill>
                <a:srgbClr val="0070C0"/>
              </a:solidFill>
            </a:ln>
          </c:spPr>
          <c:marker>
            <c:symbol val="none"/>
          </c:marker>
          <c:cat>
            <c:strRef>
              <c:f>Inmigrantes_Guayaquil!$J$278:$J$296</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Inmigrantes_Guayaquil!$K$278:$K$296</c:f>
              <c:numCache>
                <c:formatCode>0.00</c:formatCode>
                <c:ptCount val="19"/>
                <c:pt idx="0">
                  <c:v>963.63056308821149</c:v>
                </c:pt>
                <c:pt idx="1">
                  <c:v>692.55605381165856</c:v>
                </c:pt>
                <c:pt idx="2">
                  <c:v>383.67002690871135</c:v>
                </c:pt>
                <c:pt idx="3">
                  <c:v>206.97521689537174</c:v>
                </c:pt>
                <c:pt idx="4">
                  <c:v>141.26508813632572</c:v>
                </c:pt>
                <c:pt idx="5">
                  <c:v>115.77424023154849</c:v>
                </c:pt>
                <c:pt idx="6">
                  <c:v>112.72408417770848</c:v>
                </c:pt>
                <c:pt idx="7">
                  <c:v>118.49292530437653</c:v>
                </c:pt>
                <c:pt idx="8">
                  <c:v>126.26282026658464</c:v>
                </c:pt>
                <c:pt idx="9">
                  <c:v>130.40215424005638</c:v>
                </c:pt>
                <c:pt idx="10">
                  <c:v>134.94387506100503</c:v>
                </c:pt>
                <c:pt idx="11">
                  <c:v>126.77374083892076</c:v>
                </c:pt>
                <c:pt idx="12">
                  <c:v>123.81051971138773</c:v>
                </c:pt>
                <c:pt idx="13">
                  <c:v>114.37758383096005</c:v>
                </c:pt>
                <c:pt idx="14">
                  <c:v>117.45106205747605</c:v>
                </c:pt>
                <c:pt idx="15">
                  <c:v>119.83775811209418</c:v>
                </c:pt>
                <c:pt idx="16">
                  <c:v>96.230954290296722</c:v>
                </c:pt>
                <c:pt idx="17">
                  <c:v>103.44827586206897</c:v>
                </c:pt>
                <c:pt idx="18">
                  <c:v>84.03361344537835</c:v>
                </c:pt>
              </c:numCache>
            </c:numRef>
          </c:val>
          <c:smooth val="1"/>
        </c:ser>
        <c:ser>
          <c:idx val="1"/>
          <c:order val="1"/>
          <c:spPr>
            <a:ln w="19050">
              <a:solidFill>
                <a:schemeClr val="accent6">
                  <a:lumMod val="75000"/>
                </a:schemeClr>
              </a:solidFill>
            </a:ln>
          </c:spPr>
          <c:marker>
            <c:symbol val="none"/>
          </c:marker>
          <c:cat>
            <c:strRef>
              <c:f>Inmigrantes_Guayaquil!$J$278:$J$296</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Inmigrantes_Guayaquil!$L$278:$L$296</c:f>
              <c:numCache>
                <c:formatCode>0.00</c:formatCode>
                <c:ptCount val="19"/>
                <c:pt idx="0">
                  <c:v>28.71271335141169</c:v>
                </c:pt>
                <c:pt idx="1">
                  <c:v>273.90134529147923</c:v>
                </c:pt>
                <c:pt idx="2">
                  <c:v>547.33121812120794</c:v>
                </c:pt>
                <c:pt idx="3">
                  <c:v>692.54432961183511</c:v>
                </c:pt>
                <c:pt idx="4">
                  <c:v>727.16327601642331</c:v>
                </c:pt>
                <c:pt idx="5">
                  <c:v>729.88107972063244</c:v>
                </c:pt>
                <c:pt idx="6">
                  <c:v>707.39153026760323</c:v>
                </c:pt>
                <c:pt idx="7">
                  <c:v>669.10167818361299</c:v>
                </c:pt>
                <c:pt idx="8">
                  <c:v>632.27442092728552</c:v>
                </c:pt>
                <c:pt idx="9">
                  <c:v>577.80426433584876</c:v>
                </c:pt>
                <c:pt idx="10">
                  <c:v>515.73938506588672</c:v>
                </c:pt>
                <c:pt idx="11">
                  <c:v>452.12848900670508</c:v>
                </c:pt>
                <c:pt idx="12">
                  <c:v>374.25494091812197</c:v>
                </c:pt>
                <c:pt idx="13">
                  <c:v>297.96355841371894</c:v>
                </c:pt>
                <c:pt idx="14">
                  <c:v>220.94960433152829</c:v>
                </c:pt>
                <c:pt idx="15">
                  <c:v>146.01769911504425</c:v>
                </c:pt>
                <c:pt idx="16">
                  <c:v>108.25982357658371</c:v>
                </c:pt>
                <c:pt idx="17">
                  <c:v>46.798029556650242</c:v>
                </c:pt>
                <c:pt idx="18">
                  <c:v>42.016806722689076</c:v>
                </c:pt>
              </c:numCache>
            </c:numRef>
          </c:val>
          <c:smooth val="1"/>
        </c:ser>
        <c:ser>
          <c:idx val="2"/>
          <c:order val="2"/>
          <c:spPr>
            <a:ln w="19050">
              <a:solidFill>
                <a:srgbClr val="D60093"/>
              </a:solidFill>
            </a:ln>
          </c:spPr>
          <c:marker>
            <c:symbol val="none"/>
          </c:marker>
          <c:cat>
            <c:strRef>
              <c:f>Inmigrantes_Guayaquil!$J$278:$J$296</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Inmigrantes_Guayaquil!$M$278:$M$296</c:f>
              <c:numCache>
                <c:formatCode>0.00</c:formatCode>
                <c:ptCount val="19"/>
                <c:pt idx="0">
                  <c:v>7.6567235603764487</c:v>
                </c:pt>
                <c:pt idx="1">
                  <c:v>33.542600896860989</c:v>
                </c:pt>
                <c:pt idx="2">
                  <c:v>68.998754970079133</c:v>
                </c:pt>
                <c:pt idx="3">
                  <c:v>100.48045349279319</c:v>
                </c:pt>
                <c:pt idx="4">
                  <c:v>131.57163584725097</c:v>
                </c:pt>
                <c:pt idx="5">
                  <c:v>154.34468004781979</c:v>
                </c:pt>
                <c:pt idx="6">
                  <c:v>179.88438555468971</c:v>
                </c:pt>
                <c:pt idx="7">
                  <c:v>212.40539651201081</c:v>
                </c:pt>
                <c:pt idx="8">
                  <c:v>241.46275880613069</c:v>
                </c:pt>
                <c:pt idx="9">
                  <c:v>291.79358142409393</c:v>
                </c:pt>
                <c:pt idx="10">
                  <c:v>349.31673987310865</c:v>
                </c:pt>
                <c:pt idx="11">
                  <c:v>421.09777015437396</c:v>
                </c:pt>
                <c:pt idx="12">
                  <c:v>501.93453937049003</c:v>
                </c:pt>
                <c:pt idx="13">
                  <c:v>587.65885775532081</c:v>
                </c:pt>
                <c:pt idx="14">
                  <c:v>661.59933361099627</c:v>
                </c:pt>
                <c:pt idx="15">
                  <c:v>734.14454277286154</c:v>
                </c:pt>
                <c:pt idx="16">
                  <c:v>795.50922213311947</c:v>
                </c:pt>
                <c:pt idx="17">
                  <c:v>849.7536945812808</c:v>
                </c:pt>
                <c:pt idx="18">
                  <c:v>873.9495798319324</c:v>
                </c:pt>
              </c:numCache>
            </c:numRef>
          </c:val>
          <c:smooth val="0"/>
        </c:ser>
        <c:dLbls>
          <c:showLegendKey val="0"/>
          <c:showVal val="0"/>
          <c:showCatName val="0"/>
          <c:showSerName val="0"/>
          <c:showPercent val="0"/>
          <c:showBubbleSize val="0"/>
        </c:dLbls>
        <c:marker val="1"/>
        <c:smooth val="0"/>
        <c:axId val="249715328"/>
        <c:axId val="249983744"/>
      </c:lineChart>
      <c:catAx>
        <c:axId val="249715328"/>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49983744"/>
        <c:crosses val="autoZero"/>
        <c:auto val="1"/>
        <c:lblAlgn val="ctr"/>
        <c:lblOffset val="100"/>
        <c:noMultiLvlLbl val="0"/>
      </c:catAx>
      <c:valAx>
        <c:axId val="249983744"/>
        <c:scaling>
          <c:orientation val="minMax"/>
          <c:max val="1000"/>
          <c:min val="0"/>
        </c:scaling>
        <c:delete val="0"/>
        <c:axPos val="l"/>
        <c:title>
          <c:tx>
            <c:rich>
              <a:bodyPr rot="-5400000" vert="horz"/>
              <a:lstStyle/>
              <a:p>
                <a:pPr>
                  <a:defRPr sz="700"/>
                </a:pPr>
                <a:r>
                  <a:rPr lang="es-EC" sz="700"/>
                  <a:t>Tasa por cada 1000 Inmigrantes</a:t>
                </a:r>
              </a:p>
            </c:rich>
          </c:tx>
          <c:overlay val="0"/>
        </c:title>
        <c:numFmt formatCode="0" sourceLinked="0"/>
        <c:majorTickMark val="out"/>
        <c:minorTickMark val="none"/>
        <c:tickLblPos val="nextTo"/>
        <c:spPr>
          <a:ln>
            <a:solidFill>
              <a:schemeClr val="tx1"/>
            </a:solidFill>
          </a:ln>
        </c:spPr>
        <c:txPr>
          <a:bodyPr/>
          <a:lstStyle/>
          <a:p>
            <a:pPr>
              <a:defRPr sz="700"/>
            </a:pPr>
            <a:endParaRPr lang="es-EC"/>
          </a:p>
        </c:txPr>
        <c:crossAx val="249715328"/>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TasaGeneroEdadMotivo!$X$4</c:f>
              <c:strCache>
                <c:ptCount val="1"/>
                <c:pt idx="0">
                  <c:v>Trabajo</c:v>
                </c:pt>
              </c:strCache>
            </c:strRef>
          </c:tx>
          <c:spPr>
            <a:ln w="19050">
              <a:solidFill>
                <a:srgbClr val="0070C0"/>
              </a:solidFill>
            </a:ln>
          </c:spPr>
          <c:marker>
            <c:symbol val="none"/>
          </c:marker>
          <c:cat>
            <c:strRef>
              <c:f>TasaGeneroEdadMotivo!$J$27:$J$47</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TasaGeneroEdadMotivo!$X$27:$X$47</c:f>
              <c:numCache>
                <c:formatCode>0,000</c:formatCode>
                <c:ptCount val="21"/>
                <c:pt idx="0">
                  <c:v>0</c:v>
                </c:pt>
                <c:pt idx="1">
                  <c:v>0</c:v>
                </c:pt>
                <c:pt idx="2">
                  <c:v>0</c:v>
                </c:pt>
                <c:pt idx="3">
                  <c:v>0</c:v>
                </c:pt>
                <c:pt idx="4">
                  <c:v>100.70320605602591</c:v>
                </c:pt>
                <c:pt idx="5">
                  <c:v>208.54094350014711</c:v>
                </c:pt>
                <c:pt idx="6">
                  <c:v>197.76869772386652</c:v>
                </c:pt>
                <c:pt idx="7">
                  <c:v>167.28362644259721</c:v>
                </c:pt>
                <c:pt idx="8">
                  <c:v>124.95036569276684</c:v>
                </c:pt>
                <c:pt idx="9">
                  <c:v>86.818408884220759</c:v>
                </c:pt>
                <c:pt idx="10">
                  <c:v>53.400110156139988</c:v>
                </c:pt>
                <c:pt idx="11">
                  <c:v>32.880326881940796</c:v>
                </c:pt>
                <c:pt idx="12">
                  <c:v>14.461195578383791</c:v>
                </c:pt>
                <c:pt idx="13">
                  <c:v>6.7246480767506496</c:v>
                </c:pt>
                <c:pt idx="14">
                  <c:v>3.0869336885655398</c:v>
                </c:pt>
                <c:pt idx="15">
                  <c:v>0.87100203660770414</c:v>
                </c:pt>
                <c:pt idx="16">
                  <c:v>1.0118994248824773</c:v>
                </c:pt>
                <c:pt idx="17">
                  <c:v>0.32022133698812622</c:v>
                </c:pt>
                <c:pt idx="18">
                  <c:v>0.12808853479525048</c:v>
                </c:pt>
                <c:pt idx="19">
                  <c:v>0.56358955309910264</c:v>
                </c:pt>
                <c:pt idx="20">
                  <c:v>0.48673643222195184</c:v>
                </c:pt>
              </c:numCache>
            </c:numRef>
          </c:val>
          <c:smooth val="1"/>
        </c:ser>
        <c:ser>
          <c:idx val="1"/>
          <c:order val="1"/>
          <c:tx>
            <c:strRef>
              <c:f>TasaGeneroEdadMotivo!$Y$4</c:f>
              <c:strCache>
                <c:ptCount val="1"/>
                <c:pt idx="0">
                  <c:v>Estudios</c:v>
                </c:pt>
              </c:strCache>
            </c:strRef>
          </c:tx>
          <c:spPr>
            <a:ln w="19050">
              <a:solidFill>
                <a:srgbClr val="E010C2"/>
              </a:solidFill>
            </a:ln>
          </c:spPr>
          <c:marker>
            <c:symbol val="none"/>
          </c:marker>
          <c:cat>
            <c:strRef>
              <c:f>TasaGeneroEdadMotivo!$J$27:$J$47</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TasaGeneroEdadMotivo!$Y$27:$Y$47</c:f>
              <c:numCache>
                <c:formatCode>0,000</c:formatCode>
                <c:ptCount val="21"/>
                <c:pt idx="0">
                  <c:v>0</c:v>
                </c:pt>
                <c:pt idx="1">
                  <c:v>0</c:v>
                </c:pt>
                <c:pt idx="2">
                  <c:v>62.991135977871423</c:v>
                </c:pt>
                <c:pt idx="3">
                  <c:v>131.76588923115574</c:v>
                </c:pt>
                <c:pt idx="4">
                  <c:v>297.79342427861889</c:v>
                </c:pt>
                <c:pt idx="5">
                  <c:v>222.48066888791124</c:v>
                </c:pt>
                <c:pt idx="6">
                  <c:v>155.6547431948197</c:v>
                </c:pt>
                <c:pt idx="7">
                  <c:v>67.706041365436548</c:v>
                </c:pt>
                <c:pt idx="8">
                  <c:v>27.535047463380902</c:v>
                </c:pt>
                <c:pt idx="9">
                  <c:v>14.270446973030753</c:v>
                </c:pt>
                <c:pt idx="10">
                  <c:v>10.058464826805819</c:v>
                </c:pt>
                <c:pt idx="11">
                  <c:v>5.7207518702457962</c:v>
                </c:pt>
                <c:pt idx="12">
                  <c:v>2.8289432325391339</c:v>
                </c:pt>
                <c:pt idx="13">
                  <c:v>1.1944426981831899</c:v>
                </c:pt>
                <c:pt idx="14">
                  <c:v>0</c:v>
                </c:pt>
                <c:pt idx="15">
                  <c:v>0</c:v>
                </c:pt>
                <c:pt idx="16">
                  <c:v>0</c:v>
                </c:pt>
                <c:pt idx="17">
                  <c:v>0</c:v>
                </c:pt>
                <c:pt idx="18">
                  <c:v>0</c:v>
                </c:pt>
                <c:pt idx="19">
                  <c:v>0</c:v>
                </c:pt>
                <c:pt idx="20">
                  <c:v>0</c:v>
                </c:pt>
              </c:numCache>
            </c:numRef>
          </c:val>
          <c:smooth val="1"/>
        </c:ser>
        <c:ser>
          <c:idx val="2"/>
          <c:order val="2"/>
          <c:tx>
            <c:strRef>
              <c:f>TasaGeneroEdadMotivo!$Z$4</c:f>
              <c:strCache>
                <c:ptCount val="1"/>
                <c:pt idx="0">
                  <c:v>Unión Familiar</c:v>
                </c:pt>
              </c:strCache>
            </c:strRef>
          </c:tx>
          <c:spPr>
            <a:ln w="19050">
              <a:solidFill>
                <a:schemeClr val="accent6">
                  <a:lumMod val="75000"/>
                </a:schemeClr>
              </a:solidFill>
            </a:ln>
          </c:spPr>
          <c:marker>
            <c:symbol val="none"/>
          </c:marker>
          <c:cat>
            <c:strRef>
              <c:f>TasaGeneroEdadMotivo!$J$27:$J$47</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TasaGeneroEdadMotivo!$Z$27:$Z$47</c:f>
              <c:numCache>
                <c:formatCode>0,000</c:formatCode>
                <c:ptCount val="21"/>
                <c:pt idx="0">
                  <c:v>2.4905688019631538</c:v>
                </c:pt>
                <c:pt idx="1">
                  <c:v>81.492876240706153</c:v>
                </c:pt>
                <c:pt idx="2">
                  <c:v>116.69047357433249</c:v>
                </c:pt>
                <c:pt idx="3">
                  <c:v>141.74266564113793</c:v>
                </c:pt>
                <c:pt idx="4">
                  <c:v>130.79148811485916</c:v>
                </c:pt>
                <c:pt idx="5">
                  <c:v>131.48738233893738</c:v>
                </c:pt>
                <c:pt idx="6">
                  <c:v>112.22210013551616</c:v>
                </c:pt>
                <c:pt idx="7">
                  <c:v>76.841372742922019</c:v>
                </c:pt>
                <c:pt idx="8">
                  <c:v>51.789180676116175</c:v>
                </c:pt>
                <c:pt idx="9">
                  <c:v>34.904589239277726</c:v>
                </c:pt>
                <c:pt idx="10">
                  <c:v>25.125444090392989</c:v>
                </c:pt>
                <c:pt idx="11">
                  <c:v>26.260850455993847</c:v>
                </c:pt>
                <c:pt idx="12">
                  <c:v>21.682598981796872</c:v>
                </c:pt>
                <c:pt idx="13">
                  <c:v>18.056623814232847</c:v>
                </c:pt>
                <c:pt idx="14">
                  <c:v>11.170933597040626</c:v>
                </c:pt>
                <c:pt idx="15">
                  <c:v>7.9478445592059384</c:v>
                </c:pt>
                <c:pt idx="16">
                  <c:v>5.0910156393070345</c:v>
                </c:pt>
                <c:pt idx="17">
                  <c:v>2.1975607076145507</c:v>
                </c:pt>
                <c:pt idx="18">
                  <c:v>1.1720323773944255</c:v>
                </c:pt>
                <c:pt idx="19">
                  <c:v>0.58601618869721106</c:v>
                </c:pt>
                <c:pt idx="20">
                  <c:v>0.25638208255503081</c:v>
                </c:pt>
              </c:numCache>
            </c:numRef>
          </c:val>
          <c:smooth val="0"/>
        </c:ser>
        <c:ser>
          <c:idx val="3"/>
          <c:order val="3"/>
          <c:tx>
            <c:strRef>
              <c:f>TasaGeneroEdadMotivo!$AA$4</c:f>
              <c:strCache>
                <c:ptCount val="1"/>
                <c:pt idx="0">
                  <c:v>Otro</c:v>
                </c:pt>
              </c:strCache>
            </c:strRef>
          </c:tx>
          <c:spPr>
            <a:ln w="19050">
              <a:solidFill>
                <a:srgbClr val="00B050"/>
              </a:solidFill>
            </a:ln>
          </c:spPr>
          <c:marker>
            <c:symbol val="none"/>
          </c:marker>
          <c:cat>
            <c:strRef>
              <c:f>TasaGeneroEdadMotivo!$J$27:$J$47</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TasaGeneroEdadMotivo!$AA$27:$AA$47</c:f>
              <c:numCache>
                <c:formatCode>0,000</c:formatCode>
                <c:ptCount val="21"/>
                <c:pt idx="0">
                  <c:v>1.9505059124710489</c:v>
                </c:pt>
                <c:pt idx="1">
                  <c:v>34.499573326831694</c:v>
                </c:pt>
                <c:pt idx="2">
                  <c:v>61.928562720955846</c:v>
                </c:pt>
                <c:pt idx="3">
                  <c:v>51.322686821894386</c:v>
                </c:pt>
                <c:pt idx="4">
                  <c:v>119.59039375838108</c:v>
                </c:pt>
                <c:pt idx="5">
                  <c:v>139.21735950262101</c:v>
                </c:pt>
                <c:pt idx="6">
                  <c:v>111.42265024990866</c:v>
                </c:pt>
                <c:pt idx="7">
                  <c:v>99.963428014141172</c:v>
                </c:pt>
                <c:pt idx="8">
                  <c:v>65.707667926368501</c:v>
                </c:pt>
                <c:pt idx="9">
                  <c:v>59.978056808484737</c:v>
                </c:pt>
                <c:pt idx="10">
                  <c:v>59.978056808484737</c:v>
                </c:pt>
                <c:pt idx="11">
                  <c:v>59.978056808484737</c:v>
                </c:pt>
                <c:pt idx="12">
                  <c:v>38.2786785322443</c:v>
                </c:pt>
                <c:pt idx="13">
                  <c:v>30.47665488236008</c:v>
                </c:pt>
                <c:pt idx="14">
                  <c:v>21.943191515299279</c:v>
                </c:pt>
                <c:pt idx="15">
                  <c:v>17.920273070827715</c:v>
                </c:pt>
                <c:pt idx="16">
                  <c:v>13.287821528709008</c:v>
                </c:pt>
                <c:pt idx="17">
                  <c:v>6.8267706936486707</c:v>
                </c:pt>
                <c:pt idx="18">
                  <c:v>3.535291966353773</c:v>
                </c:pt>
                <c:pt idx="19">
                  <c:v>1.462879434353286</c:v>
                </c:pt>
                <c:pt idx="20">
                  <c:v>0.73143971717664269</c:v>
                </c:pt>
              </c:numCache>
            </c:numRef>
          </c:val>
          <c:smooth val="0"/>
        </c:ser>
        <c:dLbls>
          <c:showLegendKey val="0"/>
          <c:showVal val="0"/>
          <c:showCatName val="0"/>
          <c:showSerName val="0"/>
          <c:showPercent val="0"/>
          <c:showBubbleSize val="0"/>
        </c:dLbls>
        <c:marker val="1"/>
        <c:smooth val="0"/>
        <c:axId val="286614656"/>
        <c:axId val="286616576"/>
      </c:lineChart>
      <c:catAx>
        <c:axId val="286614656"/>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6616576"/>
        <c:crosses val="autoZero"/>
        <c:auto val="1"/>
        <c:lblAlgn val="ctr"/>
        <c:lblOffset val="100"/>
        <c:noMultiLvlLbl val="0"/>
      </c:catAx>
      <c:valAx>
        <c:axId val="286616576"/>
        <c:scaling>
          <c:orientation val="minMax"/>
          <c:max val="400"/>
          <c:min val="0"/>
        </c:scaling>
        <c:delete val="0"/>
        <c:axPos val="l"/>
        <c:title>
          <c:tx>
            <c:rich>
              <a:bodyPr rot="-5400000" vert="horz"/>
              <a:lstStyle/>
              <a:p>
                <a:pPr>
                  <a:defRPr sz="650"/>
                </a:pPr>
                <a:r>
                  <a:rPr lang="es-EC" sz="650"/>
                  <a:t>Tasa por</a:t>
                </a:r>
                <a:r>
                  <a:rPr lang="es-EC" sz="650" baseline="0"/>
                  <a:t> cada 1000 emigrantes</a:t>
                </a:r>
                <a:endParaRPr lang="es-EC" sz="650"/>
              </a:p>
            </c:rich>
          </c:tx>
          <c:layout>
            <c:manualLayout>
              <c:xMode val="edge"/>
              <c:yMode val="edge"/>
              <c:x val="3.0139784563128712E-3"/>
              <c:y val="4.3411554854161261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6614656"/>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TasaGeneroEdadMotivo!$K$4</c:f>
              <c:strCache>
                <c:ptCount val="1"/>
                <c:pt idx="0">
                  <c:v>Trabajo</c:v>
                </c:pt>
              </c:strCache>
            </c:strRef>
          </c:tx>
          <c:spPr>
            <a:ln w="19050">
              <a:solidFill>
                <a:srgbClr val="0070C0"/>
              </a:solidFill>
            </a:ln>
          </c:spPr>
          <c:marker>
            <c:symbol val="none"/>
          </c:marker>
          <c:cat>
            <c:strRef>
              <c:f>TasaGeneroEdadMotivo!$J$5:$J$25</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TasaGeneroEdadMotivo!$K$5:$K$25</c:f>
              <c:numCache>
                <c:formatCode>0,000</c:formatCode>
                <c:ptCount val="21"/>
                <c:pt idx="0">
                  <c:v>0</c:v>
                </c:pt>
                <c:pt idx="1">
                  <c:v>0</c:v>
                </c:pt>
                <c:pt idx="2">
                  <c:v>0</c:v>
                </c:pt>
                <c:pt idx="3">
                  <c:v>0</c:v>
                </c:pt>
                <c:pt idx="4">
                  <c:v>543.14698520047432</c:v>
                </c:pt>
                <c:pt idx="5">
                  <c:v>773.87658849731429</c:v>
                </c:pt>
                <c:pt idx="6">
                  <c:v>799.73000873501144</c:v>
                </c:pt>
                <c:pt idx="7">
                  <c:v>846.232335084944</c:v>
                </c:pt>
                <c:pt idx="8">
                  <c:v>878.10768575081693</c:v>
                </c:pt>
                <c:pt idx="9">
                  <c:v>871.51767151767251</c:v>
                </c:pt>
                <c:pt idx="10">
                  <c:v>838.86500429922546</c:v>
                </c:pt>
                <c:pt idx="11">
                  <c:v>763.0612821236931</c:v>
                </c:pt>
                <c:pt idx="12">
                  <c:v>694.86248053969905</c:v>
                </c:pt>
                <c:pt idx="13">
                  <c:v>514.67505241090157</c:v>
                </c:pt>
                <c:pt idx="14">
                  <c:v>350</c:v>
                </c:pt>
                <c:pt idx="15">
                  <c:v>254.49871465295641</c:v>
                </c:pt>
                <c:pt idx="16">
                  <c:v>386.58146964856229</c:v>
                </c:pt>
                <c:pt idx="17">
                  <c:v>258.50340136054422</c:v>
                </c:pt>
                <c:pt idx="18">
                  <c:v>333.33333333333331</c:v>
                </c:pt>
                <c:pt idx="19">
                  <c:v>625</c:v>
                </c:pt>
                <c:pt idx="20">
                  <c:v>764.70588235294179</c:v>
                </c:pt>
              </c:numCache>
            </c:numRef>
          </c:val>
          <c:smooth val="1"/>
        </c:ser>
        <c:ser>
          <c:idx val="1"/>
          <c:order val="1"/>
          <c:tx>
            <c:strRef>
              <c:f>TasaGeneroEdadMotivo!$L$4</c:f>
              <c:strCache>
                <c:ptCount val="1"/>
                <c:pt idx="0">
                  <c:v>Estudios</c:v>
                </c:pt>
              </c:strCache>
            </c:strRef>
          </c:tx>
          <c:spPr>
            <a:ln w="19050">
              <a:solidFill>
                <a:srgbClr val="E010C2"/>
              </a:solidFill>
            </a:ln>
          </c:spPr>
          <c:marker>
            <c:symbol val="none"/>
          </c:marker>
          <c:cat>
            <c:strRef>
              <c:f>TasaGeneroEdadMotivo!$J$5:$J$25</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TasaGeneroEdadMotivo!$L$5:$L$25</c:f>
              <c:numCache>
                <c:formatCode>0,000</c:formatCode>
                <c:ptCount val="21"/>
                <c:pt idx="0">
                  <c:v>0</c:v>
                </c:pt>
                <c:pt idx="1">
                  <c:v>0</c:v>
                </c:pt>
                <c:pt idx="2">
                  <c:v>213.50176019879876</c:v>
                </c:pt>
                <c:pt idx="3">
                  <c:v>303.15129046057319</c:v>
                </c:pt>
                <c:pt idx="4">
                  <c:v>243.02841333274787</c:v>
                </c:pt>
                <c:pt idx="5">
                  <c:v>119.90698283767841</c:v>
                </c:pt>
                <c:pt idx="6">
                  <c:v>99.857063447947411</c:v>
                </c:pt>
                <c:pt idx="7">
                  <c:v>53.670731085148716</c:v>
                </c:pt>
                <c:pt idx="8">
                  <c:v>30.259980110811195</c:v>
                </c:pt>
                <c:pt idx="9">
                  <c:v>21.93347193347191</c:v>
                </c:pt>
                <c:pt idx="10">
                  <c:v>22.184006878761785</c:v>
                </c:pt>
                <c:pt idx="11">
                  <c:v>16.661959898333802</c:v>
                </c:pt>
                <c:pt idx="12">
                  <c:v>20.238713025428126</c:v>
                </c:pt>
                <c:pt idx="13">
                  <c:v>11.53039832285114</c:v>
                </c:pt>
                <c:pt idx="14">
                  <c:v>0</c:v>
                </c:pt>
                <c:pt idx="15">
                  <c:v>0</c:v>
                </c:pt>
                <c:pt idx="16">
                  <c:v>0</c:v>
                </c:pt>
                <c:pt idx="17">
                  <c:v>0</c:v>
                </c:pt>
                <c:pt idx="18">
                  <c:v>0</c:v>
                </c:pt>
                <c:pt idx="19">
                  <c:v>0</c:v>
                </c:pt>
                <c:pt idx="20">
                  <c:v>0</c:v>
                </c:pt>
              </c:numCache>
            </c:numRef>
          </c:val>
          <c:smooth val="1"/>
        </c:ser>
        <c:ser>
          <c:idx val="2"/>
          <c:order val="2"/>
          <c:tx>
            <c:strRef>
              <c:f>TasaGeneroEdadMotivo!$M$4</c:f>
              <c:strCache>
                <c:ptCount val="1"/>
                <c:pt idx="0">
                  <c:v>Unión Familiar</c:v>
                </c:pt>
              </c:strCache>
            </c:strRef>
          </c:tx>
          <c:spPr>
            <a:ln w="19050">
              <a:solidFill>
                <a:schemeClr val="accent6">
                  <a:lumMod val="75000"/>
                </a:schemeClr>
              </a:solidFill>
            </a:ln>
          </c:spPr>
          <c:marker>
            <c:symbol val="none"/>
          </c:marker>
          <c:cat>
            <c:strRef>
              <c:f>TasaGeneroEdadMotivo!$J$5:$J$25</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TasaGeneroEdadMotivo!$M$5:$M$25</c:f>
              <c:numCache>
                <c:formatCode>0,000</c:formatCode>
                <c:ptCount val="21"/>
                <c:pt idx="0">
                  <c:v>840.70796460176939</c:v>
                </c:pt>
                <c:pt idx="1">
                  <c:v>903.29469188529549</c:v>
                </c:pt>
                <c:pt idx="2">
                  <c:v>702.00869745288878</c:v>
                </c:pt>
                <c:pt idx="3">
                  <c:v>633.82290032796243</c:v>
                </c:pt>
                <c:pt idx="4">
                  <c:v>172.67577181502782</c:v>
                </c:pt>
                <c:pt idx="5">
                  <c:v>74.446482379143191</c:v>
                </c:pt>
                <c:pt idx="6">
                  <c:v>64.122925434765349</c:v>
                </c:pt>
                <c:pt idx="7">
                  <c:v>63.619203101882498</c:v>
                </c:pt>
                <c:pt idx="8">
                  <c:v>56.826253729222898</c:v>
                </c:pt>
                <c:pt idx="9">
                  <c:v>55.925155925156034</c:v>
                </c:pt>
                <c:pt idx="10">
                  <c:v>72.570937231298359</c:v>
                </c:pt>
                <c:pt idx="11">
                  <c:v>133.01327308669858</c:v>
                </c:pt>
                <c:pt idx="12">
                  <c:v>156.20134924753526</c:v>
                </c:pt>
                <c:pt idx="13">
                  <c:v>284.0670859538784</c:v>
                </c:pt>
                <c:pt idx="14">
                  <c:v>362.9032258064517</c:v>
                </c:pt>
                <c:pt idx="15">
                  <c:v>377.89203084832894</c:v>
                </c:pt>
                <c:pt idx="16">
                  <c:v>281.15015974440894</c:v>
                </c:pt>
                <c:pt idx="17">
                  <c:v>244.89795918367369</c:v>
                </c:pt>
                <c:pt idx="18">
                  <c:v>354.16666666666708</c:v>
                </c:pt>
                <c:pt idx="19">
                  <c:v>175</c:v>
                </c:pt>
                <c:pt idx="20">
                  <c:v>88.235294117647072</c:v>
                </c:pt>
              </c:numCache>
            </c:numRef>
          </c:val>
          <c:smooth val="0"/>
        </c:ser>
        <c:ser>
          <c:idx val="3"/>
          <c:order val="3"/>
          <c:tx>
            <c:strRef>
              <c:f>TasaGeneroEdadMotivo!$N$4</c:f>
              <c:strCache>
                <c:ptCount val="1"/>
                <c:pt idx="0">
                  <c:v>Otro</c:v>
                </c:pt>
              </c:strCache>
            </c:strRef>
          </c:tx>
          <c:spPr>
            <a:ln w="19050">
              <a:solidFill>
                <a:srgbClr val="00B050"/>
              </a:solidFill>
            </a:ln>
          </c:spPr>
          <c:marker>
            <c:symbol val="none"/>
          </c:marker>
          <c:cat>
            <c:strRef>
              <c:f>TasaGeneroEdadMotivo!$J$5:$J$25</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TasaGeneroEdadMotivo!$N$5:$N$25</c:f>
              <c:numCache>
                <c:formatCode>0,000</c:formatCode>
                <c:ptCount val="21"/>
                <c:pt idx="0">
                  <c:v>159.29203539823021</c:v>
                </c:pt>
                <c:pt idx="1">
                  <c:v>96.705308114703882</c:v>
                </c:pt>
                <c:pt idx="2">
                  <c:v>84.489542348312327</c:v>
                </c:pt>
                <c:pt idx="3">
                  <c:v>63.02580921146442</c:v>
                </c:pt>
                <c:pt idx="4">
                  <c:v>41.148829651749985</c:v>
                </c:pt>
                <c:pt idx="5">
                  <c:v>31.769946285863973</c:v>
                </c:pt>
                <c:pt idx="6">
                  <c:v>36.290002382275965</c:v>
                </c:pt>
                <c:pt idx="7">
                  <c:v>36.477730728024113</c:v>
                </c:pt>
                <c:pt idx="8">
                  <c:v>34.806080409148969</c:v>
                </c:pt>
                <c:pt idx="9">
                  <c:v>50.623700623700628</c:v>
                </c:pt>
                <c:pt idx="10">
                  <c:v>66.380051590713649</c:v>
                </c:pt>
                <c:pt idx="11">
                  <c:v>87.263484891273663</c:v>
                </c:pt>
                <c:pt idx="12">
                  <c:v>128.69745718733787</c:v>
                </c:pt>
                <c:pt idx="13">
                  <c:v>189.72746331236897</c:v>
                </c:pt>
                <c:pt idx="14">
                  <c:v>287.09677419354841</c:v>
                </c:pt>
                <c:pt idx="15">
                  <c:v>367.60925449871468</c:v>
                </c:pt>
                <c:pt idx="16">
                  <c:v>332.26837060702866</c:v>
                </c:pt>
                <c:pt idx="17">
                  <c:v>496.59863945578184</c:v>
                </c:pt>
                <c:pt idx="18">
                  <c:v>312.5</c:v>
                </c:pt>
                <c:pt idx="19">
                  <c:v>200</c:v>
                </c:pt>
                <c:pt idx="20">
                  <c:v>147.05882352941177</c:v>
                </c:pt>
              </c:numCache>
            </c:numRef>
          </c:val>
          <c:smooth val="0"/>
        </c:ser>
        <c:dLbls>
          <c:showLegendKey val="0"/>
          <c:showVal val="0"/>
          <c:showCatName val="0"/>
          <c:showSerName val="0"/>
          <c:showPercent val="0"/>
          <c:showBubbleSize val="0"/>
        </c:dLbls>
        <c:marker val="1"/>
        <c:smooth val="0"/>
        <c:axId val="288105600"/>
        <c:axId val="288107520"/>
      </c:lineChart>
      <c:catAx>
        <c:axId val="288105600"/>
        <c:scaling>
          <c:orientation val="minMax"/>
        </c:scaling>
        <c:delete val="0"/>
        <c:axPos val="b"/>
        <c:title>
          <c:tx>
            <c:rich>
              <a:bodyPr/>
              <a:lstStyle/>
              <a:p>
                <a:pPr>
                  <a:defRPr/>
                </a:pPr>
                <a:r>
                  <a:rPr lang="es-EC"/>
                  <a:t>Grupos de Edad</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8107520"/>
        <c:crosses val="autoZero"/>
        <c:auto val="1"/>
        <c:lblAlgn val="ctr"/>
        <c:lblOffset val="100"/>
        <c:noMultiLvlLbl val="0"/>
      </c:catAx>
      <c:valAx>
        <c:axId val="288107520"/>
        <c:scaling>
          <c:orientation val="minMax"/>
          <c:max val="1000"/>
          <c:min val="0"/>
        </c:scaling>
        <c:delete val="0"/>
        <c:axPos val="l"/>
        <c:title>
          <c:tx>
            <c:rich>
              <a:bodyPr rot="-5400000" vert="horz"/>
              <a:lstStyle/>
              <a:p>
                <a:pPr>
                  <a:defRPr sz="600"/>
                </a:pPr>
                <a:r>
                  <a:rPr lang="es-EC" sz="600"/>
                  <a:t>Tasa por</a:t>
                </a:r>
                <a:r>
                  <a:rPr lang="es-EC" sz="600" baseline="0"/>
                  <a:t> cada 1000 emigrantes</a:t>
                </a:r>
                <a:endParaRPr lang="es-EC" sz="600"/>
              </a:p>
            </c:rich>
          </c:tx>
          <c:layout>
            <c:manualLayout>
              <c:xMode val="edge"/>
              <c:yMode val="edge"/>
              <c:x val="3.0139784563128712E-3"/>
              <c:y val="4.8308225762534795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810560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TasaGeneroEdadMotivo!$K$4</c:f>
              <c:strCache>
                <c:ptCount val="1"/>
                <c:pt idx="0">
                  <c:v>Trabajo</c:v>
                </c:pt>
              </c:strCache>
            </c:strRef>
          </c:tx>
          <c:spPr>
            <a:ln w="19050">
              <a:solidFill>
                <a:srgbClr val="0070C0"/>
              </a:solidFill>
            </a:ln>
          </c:spPr>
          <c:marker>
            <c:symbol val="none"/>
          </c:marker>
          <c:cat>
            <c:strRef>
              <c:f>TasaGeneroEdadMotivo!$J$27:$J$47</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TasaGeneroEdadMotivo!$K$27:$K$47</c:f>
              <c:numCache>
                <c:formatCode>0,000</c:formatCode>
                <c:ptCount val="21"/>
                <c:pt idx="0">
                  <c:v>0</c:v>
                </c:pt>
                <c:pt idx="1">
                  <c:v>0</c:v>
                </c:pt>
                <c:pt idx="2">
                  <c:v>0</c:v>
                </c:pt>
                <c:pt idx="3">
                  <c:v>0</c:v>
                </c:pt>
                <c:pt idx="4">
                  <c:v>458.39892717625793</c:v>
                </c:pt>
                <c:pt idx="5">
                  <c:v>663.12316715542443</c:v>
                </c:pt>
                <c:pt idx="6">
                  <c:v>705.21604092445421</c:v>
                </c:pt>
                <c:pt idx="7">
                  <c:v>765.75784227499264</c:v>
                </c:pt>
                <c:pt idx="8">
                  <c:v>803.14506833525377</c:v>
                </c:pt>
                <c:pt idx="9">
                  <c:v>802.1301775147931</c:v>
                </c:pt>
                <c:pt idx="10">
                  <c:v>757.03649900127107</c:v>
                </c:pt>
                <c:pt idx="11">
                  <c:v>663.8220843030773</c:v>
                </c:pt>
                <c:pt idx="12">
                  <c:v>542.7884615384628</c:v>
                </c:pt>
                <c:pt idx="13">
                  <c:v>407.92540792540763</c:v>
                </c:pt>
                <c:pt idx="14">
                  <c:v>331.9559228650138</c:v>
                </c:pt>
                <c:pt idx="15">
                  <c:v>157.40740740740776</c:v>
                </c:pt>
                <c:pt idx="16">
                  <c:v>241.59021406727828</c:v>
                </c:pt>
                <c:pt idx="17">
                  <c:v>177.3049645390069</c:v>
                </c:pt>
                <c:pt idx="18">
                  <c:v>140.84507042253523</c:v>
                </c:pt>
                <c:pt idx="19">
                  <c:v>611.1111111111112</c:v>
                </c:pt>
                <c:pt idx="20">
                  <c:v>745.09803921568732</c:v>
                </c:pt>
              </c:numCache>
            </c:numRef>
          </c:val>
          <c:smooth val="1"/>
        </c:ser>
        <c:ser>
          <c:idx val="1"/>
          <c:order val="1"/>
          <c:tx>
            <c:strRef>
              <c:f>TasaGeneroEdadMotivo!$L$4</c:f>
              <c:strCache>
                <c:ptCount val="1"/>
                <c:pt idx="0">
                  <c:v>Estudios</c:v>
                </c:pt>
              </c:strCache>
            </c:strRef>
          </c:tx>
          <c:spPr>
            <a:ln w="19050">
              <a:solidFill>
                <a:srgbClr val="E010C2"/>
              </a:solidFill>
            </a:ln>
          </c:spPr>
          <c:marker>
            <c:symbol val="none"/>
          </c:marker>
          <c:cat>
            <c:strRef>
              <c:f>TasaGeneroEdadMotivo!$J$27:$J$47</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TasaGeneroEdadMotivo!$L$27:$L$47</c:f>
              <c:numCache>
                <c:formatCode>0,000</c:formatCode>
                <c:ptCount val="21"/>
                <c:pt idx="0">
                  <c:v>0</c:v>
                </c:pt>
                <c:pt idx="1">
                  <c:v>0</c:v>
                </c:pt>
                <c:pt idx="2">
                  <c:v>213.37308347529813</c:v>
                </c:pt>
                <c:pt idx="3">
                  <c:v>328.16658838265226</c:v>
                </c:pt>
                <c:pt idx="4">
                  <c:v>276.19380794122748</c:v>
                </c:pt>
                <c:pt idx="5">
                  <c:v>144.14304333659172</c:v>
                </c:pt>
                <c:pt idx="6">
                  <c:v>113.09034438658979</c:v>
                </c:pt>
                <c:pt idx="7">
                  <c:v>63.148636763412441</c:v>
                </c:pt>
                <c:pt idx="8">
                  <c:v>36.061254734068832</c:v>
                </c:pt>
                <c:pt idx="9">
                  <c:v>26.863905325443795</c:v>
                </c:pt>
                <c:pt idx="10">
                  <c:v>29.053931360087184</c:v>
                </c:pt>
                <c:pt idx="11">
                  <c:v>23.532454098784591</c:v>
                </c:pt>
                <c:pt idx="12">
                  <c:v>21.63461538461539</c:v>
                </c:pt>
                <c:pt idx="13">
                  <c:v>14.763014763014763</c:v>
                </c:pt>
                <c:pt idx="14">
                  <c:v>0</c:v>
                </c:pt>
                <c:pt idx="15">
                  <c:v>0</c:v>
                </c:pt>
                <c:pt idx="16">
                  <c:v>0</c:v>
                </c:pt>
                <c:pt idx="17">
                  <c:v>0</c:v>
                </c:pt>
                <c:pt idx="18">
                  <c:v>0</c:v>
                </c:pt>
                <c:pt idx="19">
                  <c:v>0</c:v>
                </c:pt>
                <c:pt idx="20">
                  <c:v>0</c:v>
                </c:pt>
              </c:numCache>
            </c:numRef>
          </c:val>
          <c:smooth val="1"/>
        </c:ser>
        <c:ser>
          <c:idx val="2"/>
          <c:order val="2"/>
          <c:tx>
            <c:strRef>
              <c:f>TasaGeneroEdadMotivo!$M$4</c:f>
              <c:strCache>
                <c:ptCount val="1"/>
                <c:pt idx="0">
                  <c:v>Unión Familiar</c:v>
                </c:pt>
              </c:strCache>
            </c:strRef>
          </c:tx>
          <c:spPr>
            <a:ln w="19050">
              <a:solidFill>
                <a:schemeClr val="accent6">
                  <a:lumMod val="75000"/>
                </a:schemeClr>
              </a:solidFill>
            </a:ln>
          </c:spPr>
          <c:marker>
            <c:symbol val="none"/>
          </c:marker>
          <c:cat>
            <c:strRef>
              <c:f>TasaGeneroEdadMotivo!$J$27:$J$47</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TasaGeneroEdadMotivo!$M$27:$M$47</c:f>
              <c:numCache>
                <c:formatCode>0,000</c:formatCode>
                <c:ptCount val="21"/>
                <c:pt idx="0">
                  <c:v>809.52380952380952</c:v>
                </c:pt>
                <c:pt idx="1">
                  <c:v>887.16108452950562</c:v>
                </c:pt>
                <c:pt idx="2">
                  <c:v>678.44974446337312</c:v>
                </c:pt>
                <c:pt idx="3">
                  <c:v>605.91827148896198</c:v>
                </c:pt>
                <c:pt idx="4">
                  <c:v>208.20943385225368</c:v>
                </c:pt>
                <c:pt idx="5">
                  <c:v>146.22026718800927</c:v>
                </c:pt>
                <c:pt idx="6">
                  <c:v>139.94701744770273</c:v>
                </c:pt>
                <c:pt idx="7">
                  <c:v>123.01377895045422</c:v>
                </c:pt>
                <c:pt idx="8">
                  <c:v>116.41692738350073</c:v>
                </c:pt>
                <c:pt idx="9">
                  <c:v>112.78106508875747</c:v>
                </c:pt>
                <c:pt idx="10">
                  <c:v>124.56873070637363</c:v>
                </c:pt>
                <c:pt idx="11">
                  <c:v>185.41505042668732</c:v>
                </c:pt>
                <c:pt idx="12">
                  <c:v>284.61538461538458</c:v>
                </c:pt>
                <c:pt idx="13">
                  <c:v>383.06138306138303</c:v>
                </c:pt>
                <c:pt idx="14">
                  <c:v>420.11019283746572</c:v>
                </c:pt>
                <c:pt idx="15">
                  <c:v>502.31481481481478</c:v>
                </c:pt>
                <c:pt idx="16">
                  <c:v>425.07645259938835</c:v>
                </c:pt>
                <c:pt idx="17">
                  <c:v>425.53191489361694</c:v>
                </c:pt>
                <c:pt idx="18">
                  <c:v>450.70422535211264</c:v>
                </c:pt>
                <c:pt idx="19">
                  <c:v>222.2222222222222</c:v>
                </c:pt>
                <c:pt idx="20">
                  <c:v>137.25490196078434</c:v>
                </c:pt>
              </c:numCache>
            </c:numRef>
          </c:val>
          <c:smooth val="0"/>
        </c:ser>
        <c:ser>
          <c:idx val="3"/>
          <c:order val="3"/>
          <c:tx>
            <c:strRef>
              <c:f>TasaGeneroEdadMotivo!$N$4</c:f>
              <c:strCache>
                <c:ptCount val="1"/>
                <c:pt idx="0">
                  <c:v>Otro</c:v>
                </c:pt>
              </c:strCache>
            </c:strRef>
          </c:tx>
          <c:spPr>
            <a:ln w="19050">
              <a:solidFill>
                <a:srgbClr val="00B050"/>
              </a:solidFill>
            </a:ln>
          </c:spPr>
          <c:marker>
            <c:symbol val="none"/>
          </c:marker>
          <c:cat>
            <c:strRef>
              <c:f>TasaGeneroEdadMotivo!$J$27:$J$47</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TasaGeneroEdadMotivo!$N$27:$N$47</c:f>
              <c:numCache>
                <c:formatCode>0,000</c:formatCode>
                <c:ptCount val="21"/>
                <c:pt idx="0">
                  <c:v>190.47619047619045</c:v>
                </c:pt>
                <c:pt idx="1">
                  <c:v>112.83891547049433</c:v>
                </c:pt>
                <c:pt idx="2">
                  <c:v>108.17717206132878</c:v>
                </c:pt>
                <c:pt idx="3">
                  <c:v>65.915140128385787</c:v>
                </c:pt>
                <c:pt idx="4">
                  <c:v>57.197831030260595</c:v>
                </c:pt>
                <c:pt idx="5">
                  <c:v>46.51352231997398</c:v>
                </c:pt>
                <c:pt idx="6">
                  <c:v>41.746597241253305</c:v>
                </c:pt>
                <c:pt idx="7">
                  <c:v>48.079742011140425</c:v>
                </c:pt>
                <c:pt idx="8">
                  <c:v>44.376749547176026</c:v>
                </c:pt>
                <c:pt idx="9">
                  <c:v>58.224852071005962</c:v>
                </c:pt>
                <c:pt idx="10">
                  <c:v>89.340838932267928</c:v>
                </c:pt>
                <c:pt idx="11">
                  <c:v>127.23041117145064</c:v>
                </c:pt>
                <c:pt idx="12">
                  <c:v>150.96153846153845</c:v>
                </c:pt>
                <c:pt idx="13">
                  <c:v>194.25019425019426</c:v>
                </c:pt>
                <c:pt idx="14">
                  <c:v>247.93388429752051</c:v>
                </c:pt>
                <c:pt idx="15">
                  <c:v>340.27777777777737</c:v>
                </c:pt>
                <c:pt idx="16">
                  <c:v>333.33333333333331</c:v>
                </c:pt>
                <c:pt idx="17">
                  <c:v>397.16312056737593</c:v>
                </c:pt>
                <c:pt idx="18">
                  <c:v>408.45070422535218</c:v>
                </c:pt>
                <c:pt idx="19">
                  <c:v>166.66666666666652</c:v>
                </c:pt>
                <c:pt idx="20">
                  <c:v>117.64705882352926</c:v>
                </c:pt>
              </c:numCache>
            </c:numRef>
          </c:val>
          <c:smooth val="0"/>
        </c:ser>
        <c:dLbls>
          <c:showLegendKey val="0"/>
          <c:showVal val="0"/>
          <c:showCatName val="0"/>
          <c:showSerName val="0"/>
          <c:showPercent val="0"/>
          <c:showBubbleSize val="0"/>
        </c:dLbls>
        <c:marker val="1"/>
        <c:smooth val="0"/>
        <c:axId val="288138368"/>
        <c:axId val="288140288"/>
      </c:lineChart>
      <c:catAx>
        <c:axId val="288138368"/>
        <c:scaling>
          <c:orientation val="minMax"/>
        </c:scaling>
        <c:delete val="0"/>
        <c:axPos val="b"/>
        <c:title>
          <c:tx>
            <c:rich>
              <a:bodyPr/>
              <a:lstStyle/>
              <a:p>
                <a:pPr>
                  <a:defRPr/>
                </a:pPr>
                <a:r>
                  <a:rPr lang="es-EC"/>
                  <a:t>Grupos de Edad</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8140288"/>
        <c:crosses val="autoZero"/>
        <c:auto val="1"/>
        <c:lblAlgn val="ctr"/>
        <c:lblOffset val="100"/>
        <c:noMultiLvlLbl val="0"/>
      </c:catAx>
      <c:valAx>
        <c:axId val="288140288"/>
        <c:scaling>
          <c:orientation val="minMax"/>
          <c:max val="1000"/>
          <c:min val="0"/>
        </c:scaling>
        <c:delete val="0"/>
        <c:axPos val="l"/>
        <c:title>
          <c:tx>
            <c:rich>
              <a:bodyPr rot="-5400000" vert="horz"/>
              <a:lstStyle/>
              <a:p>
                <a:pPr>
                  <a:defRPr sz="600"/>
                </a:pPr>
                <a:r>
                  <a:rPr lang="es-EC" sz="600"/>
                  <a:t>Tasa por</a:t>
                </a:r>
                <a:r>
                  <a:rPr lang="es-EC" sz="600" baseline="0"/>
                  <a:t> cada 1000 emigrantes</a:t>
                </a:r>
                <a:endParaRPr lang="es-EC" sz="600"/>
              </a:p>
            </c:rich>
          </c:tx>
          <c:layout>
            <c:manualLayout>
              <c:xMode val="edge"/>
              <c:yMode val="edge"/>
              <c:x val="6.0305697081982435E-3"/>
              <c:y val="6.8305558488322343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8138368"/>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96759259259257"/>
          <c:y val="5.0925925925925923E-2"/>
          <c:w val="0.85147706228956255"/>
          <c:h val="0.80614902303878722"/>
        </c:manualLayout>
      </c:layout>
      <c:lineChart>
        <c:grouping val="standard"/>
        <c:varyColors val="0"/>
        <c:ser>
          <c:idx val="0"/>
          <c:order val="0"/>
          <c:spPr>
            <a:ln w="19050">
              <a:solidFill>
                <a:schemeClr val="bg1">
                  <a:lumMod val="50000"/>
                </a:schemeClr>
              </a:solidFill>
            </a:ln>
          </c:spPr>
          <c:marker>
            <c:symbol val="diamond"/>
            <c:size val="5"/>
            <c:spPr>
              <a:solidFill>
                <a:schemeClr val="bg1">
                  <a:lumMod val="50000"/>
                </a:schemeClr>
              </a:solidFill>
            </c:spPr>
          </c:marker>
          <c:dLbls>
            <c:dLbl>
              <c:idx val="1"/>
              <c:layout>
                <c:manualLayout>
                  <c:x val="-5.3013087322894704E-2"/>
                  <c:y val="-4.3339976312985411E-2"/>
                </c:manualLayout>
              </c:layout>
              <c:dLblPos val="r"/>
              <c:showLegendKey val="0"/>
              <c:showVal val="1"/>
              <c:showCatName val="0"/>
              <c:showSerName val="0"/>
              <c:showPercent val="0"/>
              <c:showBubbleSize val="0"/>
            </c:dLbl>
            <c:txPr>
              <a:bodyPr/>
              <a:lstStyle/>
              <a:p>
                <a:pPr>
                  <a:defRPr sz="700"/>
                </a:pPr>
                <a:endParaRPr lang="es-EC"/>
              </a:p>
            </c:txPr>
            <c:dLblPos val="t"/>
            <c:showLegendKey val="0"/>
            <c:showVal val="1"/>
            <c:showCatName val="0"/>
            <c:showSerName val="0"/>
            <c:showPercent val="0"/>
            <c:showBubbleSize val="0"/>
            <c:showLeaderLines val="0"/>
          </c:dLbls>
          <c:cat>
            <c:numRef>
              <c:f>Trabajo!$B$507:$B$516</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Trabajo!$C$507:$C$516</c:f>
              <c:numCache>
                <c:formatCode>###0</c:formatCode>
                <c:ptCount val="10"/>
                <c:pt idx="0">
                  <c:v>33685</c:v>
                </c:pt>
                <c:pt idx="1">
                  <c:v>35697</c:v>
                </c:pt>
                <c:pt idx="2">
                  <c:v>20300</c:v>
                </c:pt>
                <c:pt idx="3">
                  <c:v>13379</c:v>
                </c:pt>
                <c:pt idx="4">
                  <c:v>13777</c:v>
                </c:pt>
                <c:pt idx="5">
                  <c:v>10408</c:v>
                </c:pt>
                <c:pt idx="6">
                  <c:v>13068</c:v>
                </c:pt>
                <c:pt idx="7">
                  <c:v>12943</c:v>
                </c:pt>
                <c:pt idx="8">
                  <c:v>6866</c:v>
                </c:pt>
                <c:pt idx="9">
                  <c:v>8043</c:v>
                </c:pt>
              </c:numCache>
            </c:numRef>
          </c:val>
          <c:smooth val="0"/>
        </c:ser>
        <c:dLbls>
          <c:showLegendKey val="0"/>
          <c:showVal val="0"/>
          <c:showCatName val="0"/>
          <c:showSerName val="0"/>
          <c:showPercent val="0"/>
          <c:showBubbleSize val="0"/>
        </c:dLbls>
        <c:marker val="1"/>
        <c:smooth val="0"/>
        <c:axId val="288159232"/>
        <c:axId val="288161152"/>
      </c:lineChart>
      <c:catAx>
        <c:axId val="288159232"/>
        <c:scaling>
          <c:orientation val="minMax"/>
        </c:scaling>
        <c:delete val="0"/>
        <c:axPos val="b"/>
        <c:title>
          <c:tx>
            <c:rich>
              <a:bodyPr/>
              <a:lstStyle/>
              <a:p>
                <a:pPr>
                  <a:defRPr/>
                </a:pPr>
                <a:r>
                  <a:rPr lang="es-EC"/>
                  <a:t>Año de salida</a:t>
                </a:r>
              </a:p>
            </c:rich>
          </c:tx>
          <c:overlay val="0"/>
        </c:title>
        <c:numFmt formatCode="General" sourceLinked="1"/>
        <c:majorTickMark val="out"/>
        <c:minorTickMark val="none"/>
        <c:tickLblPos val="nextTo"/>
        <c:spPr>
          <a:ln>
            <a:solidFill>
              <a:schemeClr val="tx1"/>
            </a:solidFill>
          </a:ln>
        </c:spPr>
        <c:crossAx val="288161152"/>
        <c:crosses val="autoZero"/>
        <c:auto val="1"/>
        <c:lblAlgn val="ctr"/>
        <c:lblOffset val="100"/>
        <c:noMultiLvlLbl val="0"/>
      </c:catAx>
      <c:valAx>
        <c:axId val="288161152"/>
        <c:scaling>
          <c:orientation val="minMax"/>
          <c:max val="50000"/>
          <c:min val="0"/>
        </c:scaling>
        <c:delete val="0"/>
        <c:axPos val="l"/>
        <c:title>
          <c:tx>
            <c:rich>
              <a:bodyPr rot="-5400000" vert="horz"/>
              <a:lstStyle/>
              <a:p>
                <a:pPr>
                  <a:defRPr/>
                </a:pPr>
                <a:r>
                  <a:rPr lang="es-EC"/>
                  <a:t>Número</a:t>
                </a:r>
                <a:r>
                  <a:rPr lang="es-EC" baseline="0"/>
                  <a:t> de emigrantes</a:t>
                </a:r>
                <a:endParaRPr lang="es-EC"/>
              </a:p>
            </c:rich>
          </c:tx>
          <c:overlay val="0"/>
        </c:title>
        <c:numFmt formatCode="General" sourceLinked="0"/>
        <c:majorTickMark val="out"/>
        <c:minorTickMark val="none"/>
        <c:tickLblPos val="nextTo"/>
        <c:spPr>
          <a:ln>
            <a:solidFill>
              <a:schemeClr val="tx1"/>
            </a:solidFill>
          </a:ln>
        </c:spPr>
        <c:crossAx val="288159232"/>
        <c:crosses val="autoZero"/>
        <c:crossBetween val="between"/>
        <c:majorUnit val="5000"/>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308567198331018"/>
          <c:y val="2.1234639274762556E-2"/>
          <c:w val="0.65662595060232976"/>
          <c:h val="0.86821590260941295"/>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Trabajo!$E$3:$E$19</c:f>
              <c:strCache>
                <c:ptCount val="17"/>
                <c:pt idx="0">
                  <c:v>España</c:v>
                </c:pt>
                <c:pt idx="1">
                  <c:v>Estados Unidos</c:v>
                </c:pt>
                <c:pt idx="2">
                  <c:v>Italia</c:v>
                </c:pt>
                <c:pt idx="3">
                  <c:v>Chile</c:v>
                </c:pt>
                <c:pt idx="4">
                  <c:v>Venezuela</c:v>
                </c:pt>
                <c:pt idx="5">
                  <c:v>Colombia</c:v>
                </c:pt>
                <c:pt idx="6">
                  <c:v>Bélgica</c:v>
                </c:pt>
                <c:pt idx="7">
                  <c:v>Canadá</c:v>
                </c:pt>
                <c:pt idx="8">
                  <c:v>Reino Unido</c:v>
                </c:pt>
                <c:pt idx="9">
                  <c:v>Suiza</c:v>
                </c:pt>
                <c:pt idx="10">
                  <c:v>Francia</c:v>
                </c:pt>
                <c:pt idx="11">
                  <c:v>Alemania</c:v>
                </c:pt>
                <c:pt idx="12">
                  <c:v>Argentina</c:v>
                </c:pt>
                <c:pt idx="13">
                  <c:v>Perú</c:v>
                </c:pt>
                <c:pt idx="14">
                  <c:v>México</c:v>
                </c:pt>
                <c:pt idx="15">
                  <c:v>Otros países</c:v>
                </c:pt>
                <c:pt idx="16">
                  <c:v>No especifica</c:v>
                </c:pt>
              </c:strCache>
            </c:strRef>
          </c:cat>
          <c:val>
            <c:numRef>
              <c:f>Trabajo!$F$3:$F$19</c:f>
              <c:numCache>
                <c:formatCode>0.00%</c:formatCode>
                <c:ptCount val="17"/>
                <c:pt idx="0">
                  <c:v>0.50051502382329449</c:v>
                </c:pt>
                <c:pt idx="1">
                  <c:v>0.29133823569913797</c:v>
                </c:pt>
                <c:pt idx="2">
                  <c:v>8.2998705555096655E-2</c:v>
                </c:pt>
                <c:pt idx="3">
                  <c:v>1.5423173317910195E-2</c:v>
                </c:pt>
                <c:pt idx="4">
                  <c:v>1.1528822055137866E-2</c:v>
                </c:pt>
                <c:pt idx="5">
                  <c:v>9.088655705197058E-3</c:v>
                </c:pt>
                <c:pt idx="6">
                  <c:v>5.8718224131758092E-3</c:v>
                </c:pt>
                <c:pt idx="7">
                  <c:v>4.7095761381475715E-3</c:v>
                </c:pt>
                <c:pt idx="8">
                  <c:v>4.3515381861246602E-3</c:v>
                </c:pt>
                <c:pt idx="9">
                  <c:v>2.9965022446225495E-3</c:v>
                </c:pt>
                <c:pt idx="10">
                  <c:v>2.9854856922526128E-3</c:v>
                </c:pt>
                <c:pt idx="11">
                  <c:v>2.8753201685532545E-3</c:v>
                </c:pt>
                <c:pt idx="12">
                  <c:v>2.6274477402297007E-3</c:v>
                </c:pt>
                <c:pt idx="13">
                  <c:v>2.6274477402297007E-3</c:v>
                </c:pt>
                <c:pt idx="14">
                  <c:v>2.4897408356054991E-3</c:v>
                </c:pt>
                <c:pt idx="15">
                  <c:v>2.0353080503456439E-2</c:v>
                </c:pt>
                <c:pt idx="16">
                  <c:v>3.7219422181828235E-2</c:v>
                </c:pt>
              </c:numCache>
            </c:numRef>
          </c:val>
        </c:ser>
        <c:dLbls>
          <c:showLegendKey val="0"/>
          <c:showVal val="1"/>
          <c:showCatName val="0"/>
          <c:showSerName val="0"/>
          <c:showPercent val="0"/>
          <c:showBubbleSize val="0"/>
        </c:dLbls>
        <c:gapWidth val="30"/>
        <c:axId val="288500352"/>
        <c:axId val="288531584"/>
      </c:barChart>
      <c:catAx>
        <c:axId val="288500352"/>
        <c:scaling>
          <c:orientation val="maxMin"/>
        </c:scaling>
        <c:delete val="0"/>
        <c:axPos val="l"/>
        <c:majorTickMark val="out"/>
        <c:minorTickMark val="none"/>
        <c:tickLblPos val="low"/>
        <c:spPr>
          <a:ln>
            <a:solidFill>
              <a:schemeClr val="tx1"/>
            </a:solidFill>
          </a:ln>
        </c:spPr>
        <c:txPr>
          <a:bodyPr/>
          <a:lstStyle/>
          <a:p>
            <a:pPr>
              <a:defRPr sz="700"/>
            </a:pPr>
            <a:endParaRPr lang="es-EC"/>
          </a:p>
        </c:txPr>
        <c:crossAx val="288531584"/>
        <c:crosses val="autoZero"/>
        <c:auto val="1"/>
        <c:lblAlgn val="ctr"/>
        <c:lblOffset val="100"/>
        <c:noMultiLvlLbl val="0"/>
      </c:catAx>
      <c:valAx>
        <c:axId val="288531584"/>
        <c:scaling>
          <c:orientation val="minMax"/>
          <c:max val="1"/>
        </c:scaling>
        <c:delete val="0"/>
        <c:axPos val="t"/>
        <c:title>
          <c:tx>
            <c:rich>
              <a:bodyPr/>
              <a:lstStyle/>
              <a:p>
                <a:pPr>
                  <a:defRPr/>
                </a:pPr>
                <a:r>
                  <a:rPr lang="es-EC"/>
                  <a:t>Frecuencia Relativa</a:t>
                </a:r>
              </a:p>
            </c:rich>
          </c:tx>
          <c:layout>
            <c:manualLayout>
              <c:xMode val="edge"/>
              <c:yMode val="edge"/>
              <c:x val="0.4783538596137023"/>
              <c:y val="0.94928591876529245"/>
            </c:manualLayout>
          </c:layout>
          <c:overlay val="0"/>
        </c:title>
        <c:numFmt formatCode="#,##0.00" sourceLinked="0"/>
        <c:majorTickMark val="in"/>
        <c:minorTickMark val="none"/>
        <c:tickLblPos val="high"/>
        <c:spPr>
          <a:ln>
            <a:solidFill>
              <a:schemeClr val="tx1"/>
            </a:solidFill>
          </a:ln>
        </c:spPr>
        <c:crossAx val="288500352"/>
        <c:crossesAt val="18"/>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20944681150055E-2"/>
          <c:y val="3.4218197908906185E-2"/>
          <c:w val="0.8930880293882959"/>
          <c:h val="0.65561205730341021"/>
        </c:manualLayout>
      </c:layout>
      <c:barChart>
        <c:barDir val="col"/>
        <c:grouping val="clustered"/>
        <c:varyColors val="0"/>
        <c:ser>
          <c:idx val="0"/>
          <c:order val="0"/>
          <c:tx>
            <c:strRef>
              <c:f>IndiceFeminidad!$F$2</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Trabajo!$F$156:$F$173</c:f>
              <c:strCache>
                <c:ptCount val="18"/>
                <c:pt idx="0">
                  <c:v>España</c:v>
                </c:pt>
                <c:pt idx="1">
                  <c:v>Estados Unidos</c:v>
                </c:pt>
                <c:pt idx="2">
                  <c:v>Italia</c:v>
                </c:pt>
                <c:pt idx="3">
                  <c:v>Chile</c:v>
                </c:pt>
                <c:pt idx="4">
                  <c:v>Venezuela</c:v>
                </c:pt>
                <c:pt idx="5">
                  <c:v>Colombia</c:v>
                </c:pt>
                <c:pt idx="6">
                  <c:v>Bélgica</c:v>
                </c:pt>
                <c:pt idx="7">
                  <c:v>Canadá</c:v>
                </c:pt>
                <c:pt idx="8">
                  <c:v>Reino Unido</c:v>
                </c:pt>
                <c:pt idx="9">
                  <c:v>Suiza</c:v>
                </c:pt>
                <c:pt idx="10">
                  <c:v>Francia</c:v>
                </c:pt>
                <c:pt idx="11">
                  <c:v>Alemania</c:v>
                </c:pt>
                <c:pt idx="12">
                  <c:v>Argentina</c:v>
                </c:pt>
                <c:pt idx="13">
                  <c:v>Perú</c:v>
                </c:pt>
                <c:pt idx="14">
                  <c:v>México</c:v>
                </c:pt>
                <c:pt idx="15">
                  <c:v> Brasil</c:v>
                </c:pt>
                <c:pt idx="16">
                  <c:v> Países Bajos</c:v>
                </c:pt>
                <c:pt idx="17">
                  <c:v> Panamá</c:v>
                </c:pt>
              </c:strCache>
            </c:strRef>
          </c:cat>
          <c:val>
            <c:numRef>
              <c:f>Trabajo!$G$156:$G$173</c:f>
              <c:numCache>
                <c:formatCode>0,000</c:formatCode>
                <c:ptCount val="18"/>
                <c:pt idx="0">
                  <c:v>90.375026188979646</c:v>
                </c:pt>
                <c:pt idx="1">
                  <c:v>47.037891634928137</c:v>
                </c:pt>
                <c:pt idx="2">
                  <c:v>124.02616711269698</c:v>
                </c:pt>
                <c:pt idx="3">
                  <c:v>85.799601857996009</c:v>
                </c:pt>
                <c:pt idx="4">
                  <c:v>71.698113207547166</c:v>
                </c:pt>
                <c:pt idx="5">
                  <c:v>58.653846153846111</c:v>
                </c:pt>
                <c:pt idx="6">
                  <c:v>126.80851063829789</c:v>
                </c:pt>
                <c:pt idx="7">
                  <c:v>70.658682634730496</c:v>
                </c:pt>
                <c:pt idx="8">
                  <c:v>73.626373626373606</c:v>
                </c:pt>
                <c:pt idx="9">
                  <c:v>125.72614107883817</c:v>
                </c:pt>
                <c:pt idx="10">
                  <c:v>78.289473684210577</c:v>
                </c:pt>
                <c:pt idx="11">
                  <c:v>146.22641509433959</c:v>
                </c:pt>
                <c:pt idx="12">
                  <c:v>48.598130841121531</c:v>
                </c:pt>
                <c:pt idx="13">
                  <c:v>40.707964601769902</c:v>
                </c:pt>
                <c:pt idx="14">
                  <c:v>68.656716417910417</c:v>
                </c:pt>
                <c:pt idx="15">
                  <c:v>39.24528301886793</c:v>
                </c:pt>
                <c:pt idx="16">
                  <c:v>73.417721518987364</c:v>
                </c:pt>
                <c:pt idx="17">
                  <c:v>37.912087912087905</c:v>
                </c:pt>
              </c:numCache>
            </c:numRef>
          </c:val>
        </c:ser>
        <c:dLbls>
          <c:showLegendKey val="0"/>
          <c:showVal val="0"/>
          <c:showCatName val="0"/>
          <c:showSerName val="0"/>
          <c:showPercent val="0"/>
          <c:showBubbleSize val="0"/>
        </c:dLbls>
        <c:gapWidth val="50"/>
        <c:axId val="288577408"/>
        <c:axId val="288591872"/>
      </c:barChart>
      <c:lineChart>
        <c:grouping val="standard"/>
        <c:varyColors val="0"/>
        <c:ser>
          <c:idx val="1"/>
          <c:order val="1"/>
          <c:tx>
            <c:strRef>
              <c:f>Trabajo!$H$155</c:f>
              <c:strCache>
                <c:ptCount val="1"/>
                <c:pt idx="0">
                  <c:v>100 Hombres</c:v>
                </c:pt>
              </c:strCache>
            </c:strRef>
          </c:tx>
          <c:spPr>
            <a:ln w="19050">
              <a:solidFill>
                <a:schemeClr val="tx1"/>
              </a:solidFill>
            </a:ln>
          </c:spPr>
          <c:marker>
            <c:symbol val="none"/>
          </c:marker>
          <c:cat>
            <c:strRef>
              <c:f>Trabajo!$F$156:$F$173</c:f>
              <c:strCache>
                <c:ptCount val="18"/>
                <c:pt idx="0">
                  <c:v>España</c:v>
                </c:pt>
                <c:pt idx="1">
                  <c:v>Estados Unidos</c:v>
                </c:pt>
                <c:pt idx="2">
                  <c:v>Italia</c:v>
                </c:pt>
                <c:pt idx="3">
                  <c:v>Chile</c:v>
                </c:pt>
                <c:pt idx="4">
                  <c:v>Venezuela</c:v>
                </c:pt>
                <c:pt idx="5">
                  <c:v>Colombia</c:v>
                </c:pt>
                <c:pt idx="6">
                  <c:v>Bélgica</c:v>
                </c:pt>
                <c:pt idx="7">
                  <c:v>Canadá</c:v>
                </c:pt>
                <c:pt idx="8">
                  <c:v>Reino Unido</c:v>
                </c:pt>
                <c:pt idx="9">
                  <c:v>Suiza</c:v>
                </c:pt>
                <c:pt idx="10">
                  <c:v>Francia</c:v>
                </c:pt>
                <c:pt idx="11">
                  <c:v>Alemania</c:v>
                </c:pt>
                <c:pt idx="12">
                  <c:v>Argentina</c:v>
                </c:pt>
                <c:pt idx="13">
                  <c:v>Perú</c:v>
                </c:pt>
                <c:pt idx="14">
                  <c:v>México</c:v>
                </c:pt>
                <c:pt idx="15">
                  <c:v> Brasil</c:v>
                </c:pt>
                <c:pt idx="16">
                  <c:v> Países Bajos</c:v>
                </c:pt>
                <c:pt idx="17">
                  <c:v> Panamá</c:v>
                </c:pt>
              </c:strCache>
            </c:strRef>
          </c:cat>
          <c:val>
            <c:numRef>
              <c:f>Trabajo!$H$156:$H$173</c:f>
              <c:numCache>
                <c:formatCode>0</c:formatCode>
                <c:ptCount val="1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numCache>
            </c:numRef>
          </c:val>
          <c:smooth val="0"/>
        </c:ser>
        <c:dLbls>
          <c:showLegendKey val="0"/>
          <c:showVal val="0"/>
          <c:showCatName val="0"/>
          <c:showSerName val="0"/>
          <c:showPercent val="0"/>
          <c:showBubbleSize val="0"/>
        </c:dLbls>
        <c:marker val="1"/>
        <c:smooth val="0"/>
        <c:axId val="288577408"/>
        <c:axId val="288591872"/>
      </c:lineChart>
      <c:catAx>
        <c:axId val="288577408"/>
        <c:scaling>
          <c:orientation val="minMax"/>
        </c:scaling>
        <c:delete val="0"/>
        <c:axPos val="b"/>
        <c:title>
          <c:tx>
            <c:rich>
              <a:bodyPr/>
              <a:lstStyle/>
              <a:p>
                <a:pPr>
                  <a:defRPr/>
                </a:pPr>
                <a:r>
                  <a:rPr lang="es-EC"/>
                  <a:t>País</a:t>
                </a:r>
                <a:r>
                  <a:rPr lang="es-EC" baseline="0"/>
                  <a:t> de residencia actual</a:t>
                </a:r>
                <a:endParaRPr lang="es-EC"/>
              </a:p>
            </c:rich>
          </c:tx>
          <c:overlay val="0"/>
        </c:title>
        <c:majorTickMark val="out"/>
        <c:minorTickMark val="none"/>
        <c:tickLblPos val="nextTo"/>
        <c:spPr>
          <a:ln>
            <a:solidFill>
              <a:schemeClr val="tx1"/>
            </a:solidFill>
          </a:ln>
        </c:spPr>
        <c:txPr>
          <a:bodyPr rot="-5400000" vert="horz"/>
          <a:lstStyle/>
          <a:p>
            <a:pPr>
              <a:defRPr sz="700"/>
            </a:pPr>
            <a:endParaRPr lang="es-EC"/>
          </a:p>
        </c:txPr>
        <c:crossAx val="288591872"/>
        <c:crosses val="autoZero"/>
        <c:auto val="1"/>
        <c:lblAlgn val="ctr"/>
        <c:lblOffset val="100"/>
        <c:noMultiLvlLbl val="0"/>
      </c:catAx>
      <c:valAx>
        <c:axId val="288591872"/>
        <c:scaling>
          <c:orientation val="minMax"/>
          <c:max val="175"/>
          <c:min val="0"/>
        </c:scaling>
        <c:delete val="0"/>
        <c:axPos val="l"/>
        <c:title>
          <c:tx>
            <c:rich>
              <a:bodyPr rot="-5400000" vert="horz"/>
              <a:lstStyle/>
              <a:p>
                <a:pPr>
                  <a:defRPr/>
                </a:pPr>
                <a:r>
                  <a:rPr lang="es-EC"/>
                  <a:t>Índice de Feminidad</a:t>
                </a:r>
              </a:p>
            </c:rich>
          </c:tx>
          <c:overlay val="0"/>
        </c:title>
        <c:numFmt formatCode="0" sourceLinked="0"/>
        <c:majorTickMark val="out"/>
        <c:minorTickMark val="none"/>
        <c:tickLblPos val="nextTo"/>
        <c:spPr>
          <a:ln>
            <a:solidFill>
              <a:schemeClr val="tx1"/>
            </a:solidFill>
          </a:ln>
        </c:spPr>
        <c:crossAx val="288577408"/>
        <c:crosses val="autoZero"/>
        <c:crossBetween val="between"/>
        <c:majorUnit val="25"/>
      </c:valAx>
      <c:spPr>
        <a:noFill/>
        <a:ln>
          <a:solidFill>
            <a:schemeClr val="tx1"/>
          </a:solidFill>
        </a:ln>
      </c:spPr>
    </c:plotArea>
    <c:legend>
      <c:legendPos val="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02563204691221"/>
          <c:y val="4.7930283224400926E-2"/>
          <c:w val="0.80386643835983174"/>
          <c:h val="0.86378364469147328"/>
        </c:manualLayout>
      </c:layout>
      <c:barChart>
        <c:barDir val="bar"/>
        <c:grouping val="stacked"/>
        <c:varyColors val="0"/>
        <c:ser>
          <c:idx val="0"/>
          <c:order val="0"/>
          <c:spPr>
            <a:solidFill>
              <a:schemeClr val="accent5">
                <a:lumMod val="40000"/>
                <a:lumOff val="60000"/>
              </a:schemeClr>
            </a:solidFill>
            <a:ln>
              <a:solidFill>
                <a:schemeClr val="accent5">
                  <a:lumMod val="75000"/>
                </a:schemeClr>
              </a:solidFill>
            </a:ln>
          </c:spPr>
          <c:invertIfNegative val="0"/>
          <c:cat>
            <c:strRef>
              <c:f>Trabajo!$B$470:$B$486</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strCache>
            </c:strRef>
          </c:cat>
          <c:val>
            <c:numRef>
              <c:f>Trabajo!$F$470:$F$486</c:f>
              <c:numCache>
                <c:formatCode>0.00%</c:formatCode>
                <c:ptCount val="17"/>
                <c:pt idx="0">
                  <c:v>-6.8126359855683188E-2</c:v>
                </c:pt>
                <c:pt idx="1">
                  <c:v>-0.13014954969842191</c:v>
                </c:pt>
                <c:pt idx="2">
                  <c:v>-0.11094769891762363</c:v>
                </c:pt>
                <c:pt idx="3">
                  <c:v>-9.1365777080062827E-2</c:v>
                </c:pt>
                <c:pt idx="4">
                  <c:v>-6.8093310198573384E-2</c:v>
                </c:pt>
                <c:pt idx="5">
                  <c:v>-4.6181387534770975E-2</c:v>
                </c:pt>
                <c:pt idx="6">
                  <c:v>-2.6869371230273522E-2</c:v>
                </c:pt>
                <c:pt idx="7">
                  <c:v>-1.4883362251783305E-2</c:v>
                </c:pt>
                <c:pt idx="8">
                  <c:v>-7.3755818116720403E-3</c:v>
                </c:pt>
                <c:pt idx="9">
                  <c:v>-2.7045636068192499E-3</c:v>
                </c:pt>
                <c:pt idx="10">
                  <c:v>-1.1952959321380391E-3</c:v>
                </c:pt>
                <c:pt idx="11">
                  <c:v>-5.4531934231182445E-4</c:v>
                </c:pt>
                <c:pt idx="12">
                  <c:v>-6.6650141838111839E-4</c:v>
                </c:pt>
                <c:pt idx="13">
                  <c:v>-2.0931449502878104E-4</c:v>
                </c:pt>
                <c:pt idx="14">
                  <c:v>-8.8132418959486843E-5</c:v>
                </c:pt>
                <c:pt idx="15">
                  <c:v>-2.7541380924839628E-4</c:v>
                </c:pt>
                <c:pt idx="16">
                  <c:v>-2.8643036161833207E-4</c:v>
                </c:pt>
              </c:numCache>
            </c:numRef>
          </c:val>
        </c:ser>
        <c:ser>
          <c:idx val="1"/>
          <c:order val="1"/>
          <c:spPr>
            <a:solidFill>
              <a:schemeClr val="accent6">
                <a:lumMod val="60000"/>
                <a:lumOff val="40000"/>
              </a:schemeClr>
            </a:solidFill>
            <a:ln>
              <a:solidFill>
                <a:schemeClr val="accent6">
                  <a:lumMod val="75000"/>
                </a:schemeClr>
              </a:solidFill>
            </a:ln>
          </c:spPr>
          <c:invertIfNegative val="0"/>
          <c:cat>
            <c:strRef>
              <c:f>Trabajo!$B$470:$B$486</c:f>
              <c:strCache>
                <c:ptCount val="17"/>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strCache>
            </c:strRef>
          </c:cat>
          <c:val>
            <c:numRef>
              <c:f>Trabajo!$G$470:$G$486</c:f>
              <c:numCache>
                <c:formatCode>0.00%</c:formatCode>
                <c:ptCount val="17"/>
                <c:pt idx="0">
                  <c:v>4.3306067366217796E-2</c:v>
                </c:pt>
                <c:pt idx="1">
                  <c:v>8.9680244567462777E-2</c:v>
                </c:pt>
                <c:pt idx="2">
                  <c:v>8.5047784295904483E-2</c:v>
                </c:pt>
                <c:pt idx="3">
                  <c:v>7.1938086975680965E-2</c:v>
                </c:pt>
                <c:pt idx="4">
                  <c:v>5.3733234184362058E-2</c:v>
                </c:pt>
                <c:pt idx="5">
                  <c:v>3.7335095981712578E-2</c:v>
                </c:pt>
                <c:pt idx="6">
                  <c:v>2.2964003415131235E-2</c:v>
                </c:pt>
                <c:pt idx="7">
                  <c:v>1.4139744966812636E-2</c:v>
                </c:pt>
                <c:pt idx="8">
                  <c:v>6.2188438128287817E-3</c:v>
                </c:pt>
                <c:pt idx="9">
                  <c:v>2.8918449971081527E-3</c:v>
                </c:pt>
                <c:pt idx="10">
                  <c:v>1.327494560577268E-3</c:v>
                </c:pt>
                <c:pt idx="11">
                  <c:v>3.745627805778188E-4</c:v>
                </c:pt>
                <c:pt idx="12">
                  <c:v>4.3515381861246603E-4</c:v>
                </c:pt>
                <c:pt idx="13">
                  <c:v>1.3770690462419803E-4</c:v>
                </c:pt>
                <c:pt idx="14">
                  <c:v>5.5082761849679289E-5</c:v>
                </c:pt>
                <c:pt idx="15">
                  <c:v>2.4236415213858842E-4</c:v>
                </c:pt>
                <c:pt idx="16">
                  <c:v>2.0931449502878104E-4</c:v>
                </c:pt>
              </c:numCache>
            </c:numRef>
          </c:val>
        </c:ser>
        <c:dLbls>
          <c:showLegendKey val="0"/>
          <c:showVal val="0"/>
          <c:showCatName val="0"/>
          <c:showSerName val="0"/>
          <c:showPercent val="0"/>
          <c:showBubbleSize val="0"/>
        </c:dLbls>
        <c:gapWidth val="0"/>
        <c:overlap val="100"/>
        <c:axId val="288613120"/>
        <c:axId val="288615040"/>
      </c:barChart>
      <c:catAx>
        <c:axId val="288613120"/>
        <c:scaling>
          <c:orientation val="minMax"/>
        </c:scaling>
        <c:delete val="0"/>
        <c:axPos val="l"/>
        <c:title>
          <c:tx>
            <c:rich>
              <a:bodyPr rot="-5400000" vert="horz"/>
              <a:lstStyle/>
              <a:p>
                <a:pPr>
                  <a:defRPr/>
                </a:pPr>
                <a:r>
                  <a:rPr lang="es-EC"/>
                  <a:t>Grupos Etarios</a:t>
                </a:r>
              </a:p>
            </c:rich>
          </c:tx>
          <c:overlay val="0"/>
        </c:title>
        <c:numFmt formatCode="General" sourceLinked="1"/>
        <c:majorTickMark val="out"/>
        <c:minorTickMark val="none"/>
        <c:tickLblPos val="nextTo"/>
        <c:spPr>
          <a:ln>
            <a:solidFill>
              <a:sysClr val="windowText" lastClr="000000"/>
            </a:solidFill>
          </a:ln>
        </c:spPr>
        <c:crossAx val="288615040"/>
        <c:crossesAt val="-15"/>
        <c:auto val="1"/>
        <c:lblAlgn val="ctr"/>
        <c:lblOffset val="100"/>
        <c:noMultiLvlLbl val="0"/>
      </c:catAx>
      <c:valAx>
        <c:axId val="288615040"/>
        <c:scaling>
          <c:orientation val="minMax"/>
          <c:max val="0.14000000000000001"/>
          <c:min val="-0.14000000000000001"/>
        </c:scaling>
        <c:delete val="0"/>
        <c:axPos val="b"/>
        <c:majorGridlines>
          <c:spPr>
            <a:ln>
              <a:prstDash val="dash"/>
            </a:ln>
          </c:spPr>
        </c:majorGridlines>
        <c:numFmt formatCode="0%;0%" sourceLinked="0"/>
        <c:majorTickMark val="out"/>
        <c:minorTickMark val="none"/>
        <c:tickLblPos val="nextTo"/>
        <c:spPr>
          <a:ln>
            <a:solidFill>
              <a:schemeClr val="tx1"/>
            </a:solidFill>
          </a:ln>
        </c:spPr>
        <c:crossAx val="288613120"/>
        <c:crosses val="autoZero"/>
        <c:crossBetween val="between"/>
        <c:majorUnit val="4.0000000000000022E-2"/>
      </c:valAx>
      <c:spPr>
        <a:noFill/>
        <a:ln>
          <a:solidFill>
            <a:sysClr val="windowText" lastClr="000000"/>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916498061035404E-2"/>
          <c:y val="0.10045350939984161"/>
          <c:w val="0.87164074355083576"/>
          <c:h val="0.58217247507738656"/>
        </c:manualLayout>
      </c:layout>
      <c:barChart>
        <c:barDir val="col"/>
        <c:grouping val="stacked"/>
        <c:varyColors val="0"/>
        <c:ser>
          <c:idx val="0"/>
          <c:order val="0"/>
          <c:tx>
            <c:strRef>
              <c:f>Trabajo!$W$313</c:f>
              <c:strCache>
                <c:ptCount val="1"/>
                <c:pt idx="0">
                  <c:v>15 a 34</c:v>
                </c:pt>
              </c:strCache>
            </c:strRef>
          </c:tx>
          <c:spPr>
            <a:solidFill>
              <a:schemeClr val="accent6">
                <a:lumMod val="75000"/>
              </a:schemeClr>
            </a:solidFill>
          </c:spPr>
          <c:invertIfNegative val="0"/>
          <c:dLbls>
            <c:numFmt formatCode="#,##0.000" sourceLinked="0"/>
            <c:txPr>
              <a:bodyPr rot="-5400000" vert="horz"/>
              <a:lstStyle/>
              <a:p>
                <a:pPr>
                  <a:defRPr sz="700"/>
                </a:pPr>
                <a:endParaRPr lang="es-EC"/>
              </a:p>
            </c:txPr>
            <c:dLblPos val="ctr"/>
            <c:showLegendKey val="0"/>
            <c:showVal val="1"/>
            <c:showCatName val="0"/>
            <c:showSerName val="0"/>
            <c:showPercent val="0"/>
            <c:showBubbleSize val="0"/>
            <c:showLeaderLines val="0"/>
          </c:dLbls>
          <c:cat>
            <c:strRef>
              <c:f>Trabajo!$V$314:$V$331</c:f>
              <c:strCache>
                <c:ptCount val="18"/>
                <c:pt idx="0">
                  <c:v>España</c:v>
                </c:pt>
                <c:pt idx="1">
                  <c:v>Estados 
Unidos</c:v>
                </c:pt>
                <c:pt idx="2">
                  <c:v>Italia</c:v>
                </c:pt>
                <c:pt idx="3">
                  <c:v>Chile</c:v>
                </c:pt>
                <c:pt idx="4">
                  <c:v>Venezuela</c:v>
                </c:pt>
                <c:pt idx="5">
                  <c:v>Colombia</c:v>
                </c:pt>
                <c:pt idx="6">
                  <c:v>Bélgica</c:v>
                </c:pt>
                <c:pt idx="7">
                  <c:v>Canadá</c:v>
                </c:pt>
                <c:pt idx="8">
                  <c:v>Reino Unido</c:v>
                </c:pt>
                <c:pt idx="9">
                  <c:v>Suiza</c:v>
                </c:pt>
                <c:pt idx="10">
                  <c:v>Francia</c:v>
                </c:pt>
                <c:pt idx="11">
                  <c:v>Alemania</c:v>
                </c:pt>
                <c:pt idx="12">
                  <c:v>Argentina</c:v>
                </c:pt>
                <c:pt idx="13">
                  <c:v>Perú</c:v>
                </c:pt>
                <c:pt idx="14">
                  <c:v>México</c:v>
                </c:pt>
                <c:pt idx="15">
                  <c:v> Brasil</c:v>
                </c:pt>
                <c:pt idx="16">
                  <c:v> Países Bajos</c:v>
                </c:pt>
                <c:pt idx="17">
                  <c:v> Panamá</c:v>
                </c:pt>
              </c:strCache>
            </c:strRef>
          </c:cat>
          <c:val>
            <c:numRef>
              <c:f>Trabajo!$W$314:$W$331</c:f>
              <c:numCache>
                <c:formatCode>0.00%</c:formatCode>
                <c:ptCount val="18"/>
                <c:pt idx="0">
                  <c:v>0.66701516518829962</c:v>
                </c:pt>
                <c:pt idx="1">
                  <c:v>0.75203720859881729</c:v>
                </c:pt>
                <c:pt idx="2">
                  <c:v>0.64102734271303463</c:v>
                </c:pt>
                <c:pt idx="3">
                  <c:v>0.66857142857142948</c:v>
                </c:pt>
                <c:pt idx="4">
                  <c:v>0.69326325848064951</c:v>
                </c:pt>
                <c:pt idx="5">
                  <c:v>0.73030303030303112</c:v>
                </c:pt>
                <c:pt idx="6">
                  <c:v>0.70919324577861154</c:v>
                </c:pt>
                <c:pt idx="7">
                  <c:v>0.63040935672514664</c:v>
                </c:pt>
                <c:pt idx="8">
                  <c:v>0.68734177215189973</c:v>
                </c:pt>
                <c:pt idx="9">
                  <c:v>0.71691176470588269</c:v>
                </c:pt>
                <c:pt idx="10">
                  <c:v>0.72509225092250962</c:v>
                </c:pt>
                <c:pt idx="11">
                  <c:v>0.65900383141762464</c:v>
                </c:pt>
                <c:pt idx="12">
                  <c:v>0.73794549266247578</c:v>
                </c:pt>
                <c:pt idx="13">
                  <c:v>0.65408805031446615</c:v>
                </c:pt>
                <c:pt idx="14">
                  <c:v>0.66592920353982488</c:v>
                </c:pt>
                <c:pt idx="15">
                  <c:v>0.71544715447154472</c:v>
                </c:pt>
                <c:pt idx="16">
                  <c:v>0.71532846715328535</c:v>
                </c:pt>
                <c:pt idx="17">
                  <c:v>0.54980079681274896</c:v>
                </c:pt>
              </c:numCache>
            </c:numRef>
          </c:val>
        </c:ser>
        <c:ser>
          <c:idx val="1"/>
          <c:order val="1"/>
          <c:tx>
            <c:strRef>
              <c:f>Trabajo!$X$313</c:f>
              <c:strCache>
                <c:ptCount val="1"/>
                <c:pt idx="0">
                  <c:v>35 a 64</c:v>
                </c:pt>
              </c:strCache>
            </c:strRef>
          </c:tx>
          <c:spPr>
            <a:solidFill>
              <a:srgbClr val="00B0F0"/>
            </a:solidFill>
          </c:spPr>
          <c:invertIfNegative val="0"/>
          <c:dLbls>
            <c:numFmt formatCode="#,##0.000" sourceLinked="0"/>
            <c:txPr>
              <a:bodyPr rot="-5400000" vert="horz"/>
              <a:lstStyle/>
              <a:p>
                <a:pPr>
                  <a:defRPr sz="700"/>
                </a:pPr>
                <a:endParaRPr lang="es-EC"/>
              </a:p>
            </c:txPr>
            <c:dLblPos val="ctr"/>
            <c:showLegendKey val="0"/>
            <c:showVal val="1"/>
            <c:showCatName val="0"/>
            <c:showSerName val="0"/>
            <c:showPercent val="0"/>
            <c:showBubbleSize val="0"/>
            <c:showLeaderLines val="0"/>
          </c:dLbls>
          <c:cat>
            <c:strRef>
              <c:f>Trabajo!$V$314:$V$331</c:f>
              <c:strCache>
                <c:ptCount val="18"/>
                <c:pt idx="0">
                  <c:v>España</c:v>
                </c:pt>
                <c:pt idx="1">
                  <c:v>Estados 
Unidos</c:v>
                </c:pt>
                <c:pt idx="2">
                  <c:v>Italia</c:v>
                </c:pt>
                <c:pt idx="3">
                  <c:v>Chile</c:v>
                </c:pt>
                <c:pt idx="4">
                  <c:v>Venezuela</c:v>
                </c:pt>
                <c:pt idx="5">
                  <c:v>Colombia</c:v>
                </c:pt>
                <c:pt idx="6">
                  <c:v>Bélgica</c:v>
                </c:pt>
                <c:pt idx="7">
                  <c:v>Canadá</c:v>
                </c:pt>
                <c:pt idx="8">
                  <c:v>Reino Unido</c:v>
                </c:pt>
                <c:pt idx="9">
                  <c:v>Suiza</c:v>
                </c:pt>
                <c:pt idx="10">
                  <c:v>Francia</c:v>
                </c:pt>
                <c:pt idx="11">
                  <c:v>Alemania</c:v>
                </c:pt>
                <c:pt idx="12">
                  <c:v>Argentina</c:v>
                </c:pt>
                <c:pt idx="13">
                  <c:v>Perú</c:v>
                </c:pt>
                <c:pt idx="14">
                  <c:v>México</c:v>
                </c:pt>
                <c:pt idx="15">
                  <c:v> Brasil</c:v>
                </c:pt>
                <c:pt idx="16">
                  <c:v> Países Bajos</c:v>
                </c:pt>
                <c:pt idx="17">
                  <c:v> Panamá</c:v>
                </c:pt>
              </c:strCache>
            </c:strRef>
          </c:cat>
          <c:val>
            <c:numRef>
              <c:f>Trabajo!$X$314:$X$331</c:f>
              <c:numCache>
                <c:formatCode>0.00%</c:formatCode>
                <c:ptCount val="18"/>
                <c:pt idx="0">
                  <c:v>0.32843968040851362</c:v>
                </c:pt>
                <c:pt idx="1">
                  <c:v>0.24047569529787691</c:v>
                </c:pt>
                <c:pt idx="2">
                  <c:v>0.35492434297849784</c:v>
                </c:pt>
                <c:pt idx="3">
                  <c:v>0.31178571428571461</c:v>
                </c:pt>
                <c:pt idx="4">
                  <c:v>0.29622551361681798</c:v>
                </c:pt>
                <c:pt idx="5">
                  <c:v>0.26</c:v>
                </c:pt>
                <c:pt idx="6">
                  <c:v>0.28611632270168857</c:v>
                </c:pt>
                <c:pt idx="7">
                  <c:v>0.35789473684210532</c:v>
                </c:pt>
                <c:pt idx="8">
                  <c:v>0.31265822784810132</c:v>
                </c:pt>
                <c:pt idx="9">
                  <c:v>0.27022058823529432</c:v>
                </c:pt>
                <c:pt idx="10">
                  <c:v>0.26937269372693762</c:v>
                </c:pt>
                <c:pt idx="11">
                  <c:v>0.33141762452107282</c:v>
                </c:pt>
                <c:pt idx="12">
                  <c:v>0.25157232704402532</c:v>
                </c:pt>
                <c:pt idx="13">
                  <c:v>0.34591194968553457</c:v>
                </c:pt>
                <c:pt idx="14">
                  <c:v>0.32522123893805338</c:v>
                </c:pt>
                <c:pt idx="15">
                  <c:v>0.27642276422764328</c:v>
                </c:pt>
                <c:pt idx="16">
                  <c:v>0.27737226277372301</c:v>
                </c:pt>
                <c:pt idx="17">
                  <c:v>0.44223107569721115</c:v>
                </c:pt>
              </c:numCache>
            </c:numRef>
          </c:val>
        </c:ser>
        <c:ser>
          <c:idx val="2"/>
          <c:order val="2"/>
          <c:tx>
            <c:strRef>
              <c:f>Trabajo!$Y$313</c:f>
              <c:strCache>
                <c:ptCount val="1"/>
                <c:pt idx="0">
                  <c:v>65 y más</c:v>
                </c:pt>
              </c:strCache>
            </c:strRef>
          </c:tx>
          <c:spPr>
            <a:solidFill>
              <a:srgbClr val="D11FD1"/>
            </a:solidFill>
          </c:spPr>
          <c:invertIfNegative val="0"/>
          <c:cat>
            <c:strRef>
              <c:f>Trabajo!$V$314:$V$331</c:f>
              <c:strCache>
                <c:ptCount val="18"/>
                <c:pt idx="0">
                  <c:v>España</c:v>
                </c:pt>
                <c:pt idx="1">
                  <c:v>Estados 
Unidos</c:v>
                </c:pt>
                <c:pt idx="2">
                  <c:v>Italia</c:v>
                </c:pt>
                <c:pt idx="3">
                  <c:v>Chile</c:v>
                </c:pt>
                <c:pt idx="4">
                  <c:v>Venezuela</c:v>
                </c:pt>
                <c:pt idx="5">
                  <c:v>Colombia</c:v>
                </c:pt>
                <c:pt idx="6">
                  <c:v>Bélgica</c:v>
                </c:pt>
                <c:pt idx="7">
                  <c:v>Canadá</c:v>
                </c:pt>
                <c:pt idx="8">
                  <c:v>Reino Unido</c:v>
                </c:pt>
                <c:pt idx="9">
                  <c:v>Suiza</c:v>
                </c:pt>
                <c:pt idx="10">
                  <c:v>Francia</c:v>
                </c:pt>
                <c:pt idx="11">
                  <c:v>Alemania</c:v>
                </c:pt>
                <c:pt idx="12">
                  <c:v>Argentina</c:v>
                </c:pt>
                <c:pt idx="13">
                  <c:v>Perú</c:v>
                </c:pt>
                <c:pt idx="14">
                  <c:v>México</c:v>
                </c:pt>
                <c:pt idx="15">
                  <c:v> Brasil</c:v>
                </c:pt>
                <c:pt idx="16">
                  <c:v> Países Bajos</c:v>
                </c:pt>
                <c:pt idx="17">
                  <c:v> Panamá</c:v>
                </c:pt>
              </c:strCache>
            </c:strRef>
          </c:cat>
          <c:val>
            <c:numRef>
              <c:f>Trabajo!$Y$314:$Y$331</c:f>
              <c:numCache>
                <c:formatCode>0.00%</c:formatCode>
                <c:ptCount val="18"/>
                <c:pt idx="0">
                  <c:v>4.5451544031871113E-3</c:v>
                </c:pt>
                <c:pt idx="1">
                  <c:v>7.4870961033068123E-3</c:v>
                </c:pt>
                <c:pt idx="2">
                  <c:v>4.0483143084682769E-3</c:v>
                </c:pt>
                <c:pt idx="3">
                  <c:v>1.9642857142857184E-2</c:v>
                </c:pt>
                <c:pt idx="4">
                  <c:v>1.051122790253225E-2</c:v>
                </c:pt>
                <c:pt idx="5">
                  <c:v>9.6969696969697108E-3</c:v>
                </c:pt>
                <c:pt idx="6">
                  <c:v>4.6904315196998085E-3</c:v>
                </c:pt>
                <c:pt idx="7">
                  <c:v>1.1695906432748536E-2</c:v>
                </c:pt>
                <c:pt idx="8">
                  <c:v>0</c:v>
                </c:pt>
                <c:pt idx="9">
                  <c:v>1.2867647058823524E-2</c:v>
                </c:pt>
                <c:pt idx="10">
                  <c:v>5.5350553505535104E-3</c:v>
                </c:pt>
                <c:pt idx="11">
                  <c:v>9.5785440613026986E-3</c:v>
                </c:pt>
                <c:pt idx="12">
                  <c:v>1.048218029350107E-2</c:v>
                </c:pt>
                <c:pt idx="13">
                  <c:v>0</c:v>
                </c:pt>
                <c:pt idx="14">
                  <c:v>8.8495575221239162E-3</c:v>
                </c:pt>
                <c:pt idx="15">
                  <c:v>8.130081300813009E-3</c:v>
                </c:pt>
                <c:pt idx="16">
                  <c:v>7.2992700729927126E-3</c:v>
                </c:pt>
                <c:pt idx="17">
                  <c:v>7.9681274900398509E-3</c:v>
                </c:pt>
              </c:numCache>
            </c:numRef>
          </c:val>
        </c:ser>
        <c:dLbls>
          <c:showLegendKey val="0"/>
          <c:showVal val="0"/>
          <c:showCatName val="0"/>
          <c:showSerName val="0"/>
          <c:showPercent val="0"/>
          <c:showBubbleSize val="0"/>
        </c:dLbls>
        <c:gapWidth val="40"/>
        <c:overlap val="100"/>
        <c:axId val="288326016"/>
        <c:axId val="288327936"/>
      </c:barChart>
      <c:catAx>
        <c:axId val="288326016"/>
        <c:scaling>
          <c:orientation val="minMax"/>
        </c:scaling>
        <c:delete val="0"/>
        <c:axPos val="b"/>
        <c:title>
          <c:tx>
            <c:rich>
              <a:bodyPr/>
              <a:lstStyle/>
              <a:p>
                <a:pPr>
                  <a:defRPr/>
                </a:pPr>
                <a:r>
                  <a:rPr lang="es-EC"/>
                  <a:t>País de residencia</a:t>
                </a:r>
                <a:r>
                  <a:rPr lang="es-EC" baseline="0"/>
                  <a:t> actual</a:t>
                </a:r>
                <a:endParaRPr lang="es-EC"/>
              </a:p>
            </c:rich>
          </c:tx>
          <c:overlay val="0"/>
        </c:title>
        <c:majorTickMark val="out"/>
        <c:minorTickMark val="none"/>
        <c:tickLblPos val="nextTo"/>
        <c:spPr>
          <a:ln>
            <a:solidFill>
              <a:schemeClr val="tx1"/>
            </a:solidFill>
          </a:ln>
        </c:spPr>
        <c:txPr>
          <a:bodyPr rot="-5400000" vert="horz"/>
          <a:lstStyle/>
          <a:p>
            <a:pPr>
              <a:defRPr sz="700"/>
            </a:pPr>
            <a:endParaRPr lang="es-EC"/>
          </a:p>
        </c:txPr>
        <c:crossAx val="288327936"/>
        <c:crosses val="autoZero"/>
        <c:auto val="1"/>
        <c:lblAlgn val="ctr"/>
        <c:lblOffset val="100"/>
        <c:noMultiLvlLbl val="0"/>
      </c:catAx>
      <c:valAx>
        <c:axId val="288327936"/>
        <c:scaling>
          <c:orientation val="minMax"/>
          <c:max val="1"/>
          <c:min val="0"/>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nextTo"/>
        <c:spPr>
          <a:ln>
            <a:solidFill>
              <a:schemeClr val="tx1"/>
            </a:solidFill>
          </a:ln>
        </c:spPr>
        <c:crossAx val="288326016"/>
        <c:crosses val="autoZero"/>
        <c:crossBetween val="between"/>
        <c:majorUnit val="0.1"/>
      </c:valAx>
      <c:spPr>
        <a:noFill/>
        <a:ln>
          <a:solidFill>
            <a:schemeClr val="tx1"/>
          </a:solidFill>
        </a:ln>
      </c:spPr>
    </c:plotArea>
    <c:legend>
      <c:legendPos val="t"/>
      <c:layout>
        <c:manualLayout>
          <c:xMode val="edge"/>
          <c:yMode val="edge"/>
          <c:x val="0.23831620445034754"/>
          <c:y val="0"/>
          <c:w val="0.58735562899391258"/>
          <c:h val="8.8762873250709279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Trabajo!$K$524</c:f>
              <c:strCache>
                <c:ptCount val="1"/>
                <c:pt idx="0">
                  <c:v>España</c:v>
                </c:pt>
              </c:strCache>
            </c:strRef>
          </c:tx>
          <c:spPr>
            <a:ln w="19050">
              <a:solidFill>
                <a:srgbClr val="0070C0"/>
              </a:solidFill>
            </a:ln>
          </c:spPr>
          <c:marker>
            <c:symbol val="none"/>
          </c:marker>
          <c:cat>
            <c:strRef>
              <c:f>Trabajo!$J$525:$J$541</c:f>
              <c:strCache>
                <c:ptCount val="17"/>
                <c:pt idx="0">
                  <c:v>15 a 19</c:v>
                </c:pt>
                <c:pt idx="1">
                  <c:v>20 a 24</c:v>
                </c:pt>
                <c:pt idx="2">
                  <c:v>25 a 29</c:v>
                </c:pt>
                <c:pt idx="3">
                  <c:v>30 a 34</c:v>
                </c:pt>
                <c:pt idx="4">
                  <c:v>35 a 39</c:v>
                </c:pt>
                <c:pt idx="5">
                  <c:v>40 a 44</c:v>
                </c:pt>
                <c:pt idx="6">
                  <c:v>45 a 49</c:v>
                </c:pt>
                <c:pt idx="7">
                  <c:v>50 a 54</c:v>
                </c:pt>
                <c:pt idx="8">
                  <c:v>55 a 59</c:v>
                </c:pt>
                <c:pt idx="9">
                  <c:v>60 a 64</c:v>
                </c:pt>
                <c:pt idx="10">
                  <c:v>65 a 69</c:v>
                </c:pt>
                <c:pt idx="11">
                  <c:v>70 a 74</c:v>
                </c:pt>
                <c:pt idx="12">
                  <c:v>75 a 79</c:v>
                </c:pt>
                <c:pt idx="13">
                  <c:v>80 a 84</c:v>
                </c:pt>
                <c:pt idx="14">
                  <c:v>85 a 89</c:v>
                </c:pt>
                <c:pt idx="15">
                  <c:v>90 a 94</c:v>
                </c:pt>
                <c:pt idx="16">
                  <c:v> 95 a 99</c:v>
                </c:pt>
              </c:strCache>
            </c:strRef>
          </c:cat>
          <c:val>
            <c:numRef>
              <c:f>Trabajo!$K$525:$K$541</c:f>
              <c:numCache>
                <c:formatCode>0.00</c:formatCode>
                <c:ptCount val="17"/>
                <c:pt idx="0">
                  <c:v>340.23285899094429</c:v>
                </c:pt>
                <c:pt idx="1">
                  <c:v>432.83392585068526</c:v>
                </c:pt>
                <c:pt idx="2">
                  <c:v>473.53788104458346</c:v>
                </c:pt>
                <c:pt idx="3">
                  <c:v>502.74311207572197</c:v>
                </c:pt>
                <c:pt idx="4">
                  <c:v>511.72949360944875</c:v>
                </c:pt>
                <c:pt idx="5">
                  <c:v>520.87309160305335</c:v>
                </c:pt>
                <c:pt idx="6">
                  <c:v>512.30012300122917</c:v>
                </c:pt>
                <c:pt idx="7">
                  <c:v>484.82605477424124</c:v>
                </c:pt>
                <c:pt idx="8">
                  <c:v>394.32412247946235</c:v>
                </c:pt>
                <c:pt idx="9">
                  <c:v>370.67209775967399</c:v>
                </c:pt>
                <c:pt idx="10">
                  <c:v>276.49769585253421</c:v>
                </c:pt>
                <c:pt idx="11">
                  <c:v>323.23232323232327</c:v>
                </c:pt>
                <c:pt idx="12">
                  <c:v>297.52066115702479</c:v>
                </c:pt>
                <c:pt idx="13">
                  <c:v>315.78947368421052</c:v>
                </c:pt>
                <c:pt idx="14">
                  <c:v>500</c:v>
                </c:pt>
                <c:pt idx="15">
                  <c:v>640</c:v>
                </c:pt>
                <c:pt idx="16">
                  <c:v>500</c:v>
                </c:pt>
              </c:numCache>
            </c:numRef>
          </c:val>
          <c:smooth val="1"/>
        </c:ser>
        <c:ser>
          <c:idx val="1"/>
          <c:order val="1"/>
          <c:tx>
            <c:strRef>
              <c:f>Trabajo!$L$524</c:f>
              <c:strCache>
                <c:ptCount val="1"/>
                <c:pt idx="0">
                  <c:v>Estados Unidos</c:v>
                </c:pt>
              </c:strCache>
            </c:strRef>
          </c:tx>
          <c:spPr>
            <a:ln w="19050">
              <a:solidFill>
                <a:srgbClr val="E010C2"/>
              </a:solidFill>
            </a:ln>
          </c:spPr>
          <c:marker>
            <c:symbol val="none"/>
          </c:marker>
          <c:cat>
            <c:strRef>
              <c:f>Trabajo!$J$525:$J$541</c:f>
              <c:strCache>
                <c:ptCount val="17"/>
                <c:pt idx="0">
                  <c:v>15 a 19</c:v>
                </c:pt>
                <c:pt idx="1">
                  <c:v>20 a 24</c:v>
                </c:pt>
                <c:pt idx="2">
                  <c:v>25 a 29</c:v>
                </c:pt>
                <c:pt idx="3">
                  <c:v>30 a 34</c:v>
                </c:pt>
                <c:pt idx="4">
                  <c:v>35 a 39</c:v>
                </c:pt>
                <c:pt idx="5">
                  <c:v>40 a 44</c:v>
                </c:pt>
                <c:pt idx="6">
                  <c:v>45 a 49</c:v>
                </c:pt>
                <c:pt idx="7">
                  <c:v>50 a 54</c:v>
                </c:pt>
                <c:pt idx="8">
                  <c:v>55 a 59</c:v>
                </c:pt>
                <c:pt idx="9">
                  <c:v>60 a 64</c:v>
                </c:pt>
                <c:pt idx="10">
                  <c:v>65 a 69</c:v>
                </c:pt>
                <c:pt idx="11">
                  <c:v>70 a 74</c:v>
                </c:pt>
                <c:pt idx="12">
                  <c:v>75 a 79</c:v>
                </c:pt>
                <c:pt idx="13">
                  <c:v>80 a 84</c:v>
                </c:pt>
                <c:pt idx="14">
                  <c:v>85 a 89</c:v>
                </c:pt>
                <c:pt idx="15">
                  <c:v>90 a 94</c:v>
                </c:pt>
                <c:pt idx="16">
                  <c:v> 95 a 99</c:v>
                </c:pt>
              </c:strCache>
            </c:strRef>
          </c:cat>
          <c:val>
            <c:numRef>
              <c:f>Trabajo!$L$525:$L$541</c:f>
              <c:numCache>
                <c:formatCode>0.00</c:formatCode>
                <c:ptCount val="17"/>
                <c:pt idx="0">
                  <c:v>511.64294954721868</c:v>
                </c:pt>
                <c:pt idx="1">
                  <c:v>405.15490096495722</c:v>
                </c:pt>
                <c:pt idx="2">
                  <c:v>328.46787806573332</c:v>
                </c:pt>
                <c:pt idx="3">
                  <c:v>288.96123470187428</c:v>
                </c:pt>
                <c:pt idx="4">
                  <c:v>270.58728361106677</c:v>
                </c:pt>
                <c:pt idx="5">
                  <c:v>267.77194656488524</c:v>
                </c:pt>
                <c:pt idx="6">
                  <c:v>275.52275522755224</c:v>
                </c:pt>
                <c:pt idx="7">
                  <c:v>295.70688378978531</c:v>
                </c:pt>
                <c:pt idx="8">
                  <c:v>355.48917102315158</c:v>
                </c:pt>
                <c:pt idx="9">
                  <c:v>417.51527494908316</c:v>
                </c:pt>
                <c:pt idx="10">
                  <c:v>520.73732718893916</c:v>
                </c:pt>
                <c:pt idx="11">
                  <c:v>373.73737373737339</c:v>
                </c:pt>
                <c:pt idx="12">
                  <c:v>504.1322314049587</c:v>
                </c:pt>
                <c:pt idx="13">
                  <c:v>263.15789473684254</c:v>
                </c:pt>
                <c:pt idx="14">
                  <c:v>312.5</c:v>
                </c:pt>
                <c:pt idx="15">
                  <c:v>160</c:v>
                </c:pt>
                <c:pt idx="16">
                  <c:v>250</c:v>
                </c:pt>
              </c:numCache>
            </c:numRef>
          </c:val>
          <c:smooth val="1"/>
        </c:ser>
        <c:ser>
          <c:idx val="2"/>
          <c:order val="2"/>
          <c:tx>
            <c:strRef>
              <c:f>Trabajo!$M$524</c:f>
              <c:strCache>
                <c:ptCount val="1"/>
                <c:pt idx="0">
                  <c:v>Italia</c:v>
                </c:pt>
              </c:strCache>
            </c:strRef>
          </c:tx>
          <c:spPr>
            <a:ln w="19050">
              <a:solidFill>
                <a:schemeClr val="accent6">
                  <a:lumMod val="75000"/>
                </a:schemeClr>
              </a:solidFill>
            </a:ln>
          </c:spPr>
          <c:marker>
            <c:symbol val="none"/>
          </c:marker>
          <c:cat>
            <c:strRef>
              <c:f>Trabajo!$J$525:$J$541</c:f>
              <c:strCache>
                <c:ptCount val="17"/>
                <c:pt idx="0">
                  <c:v>15 a 19</c:v>
                </c:pt>
                <c:pt idx="1">
                  <c:v>20 a 24</c:v>
                </c:pt>
                <c:pt idx="2">
                  <c:v>25 a 29</c:v>
                </c:pt>
                <c:pt idx="3">
                  <c:v>30 a 34</c:v>
                </c:pt>
                <c:pt idx="4">
                  <c:v>35 a 39</c:v>
                </c:pt>
                <c:pt idx="5">
                  <c:v>40 a 44</c:v>
                </c:pt>
                <c:pt idx="6">
                  <c:v>45 a 49</c:v>
                </c:pt>
                <c:pt idx="7">
                  <c:v>50 a 54</c:v>
                </c:pt>
                <c:pt idx="8">
                  <c:v>55 a 59</c:v>
                </c:pt>
                <c:pt idx="9">
                  <c:v>60 a 64</c:v>
                </c:pt>
                <c:pt idx="10">
                  <c:v>65 a 69</c:v>
                </c:pt>
                <c:pt idx="11">
                  <c:v>70 a 74</c:v>
                </c:pt>
                <c:pt idx="12">
                  <c:v>75 a 79</c:v>
                </c:pt>
                <c:pt idx="13">
                  <c:v>80 a 84</c:v>
                </c:pt>
                <c:pt idx="14">
                  <c:v>85 a 89</c:v>
                </c:pt>
                <c:pt idx="15">
                  <c:v>90 a 94</c:v>
                </c:pt>
                <c:pt idx="16">
                  <c:v> 95 a 99</c:v>
                </c:pt>
              </c:strCache>
            </c:strRef>
          </c:cat>
          <c:val>
            <c:numRef>
              <c:f>Trabajo!$M$525:$M$541</c:f>
              <c:numCache>
                <c:formatCode>0.00</c:formatCode>
                <c:ptCount val="17"/>
                <c:pt idx="0">
                  <c:v>44.631306597671404</c:v>
                </c:pt>
                <c:pt idx="1">
                  <c:v>56.331471135940347</c:v>
                </c:pt>
                <c:pt idx="2">
                  <c:v>64.740343560718927</c:v>
                </c:pt>
                <c:pt idx="3">
                  <c:v>75.058780973051014</c:v>
                </c:pt>
                <c:pt idx="4">
                  <c:v>81.701989969260779</c:v>
                </c:pt>
                <c:pt idx="5">
                  <c:v>75.023854961832157</c:v>
                </c:pt>
                <c:pt idx="6">
                  <c:v>71.545715457154486</c:v>
                </c:pt>
                <c:pt idx="7">
                  <c:v>68.097705403404888</c:v>
                </c:pt>
                <c:pt idx="8">
                  <c:v>52.277819268110527</c:v>
                </c:pt>
                <c:pt idx="9">
                  <c:v>44.806517311608957</c:v>
                </c:pt>
                <c:pt idx="10">
                  <c:v>50.691244239631324</c:v>
                </c:pt>
                <c:pt idx="11">
                  <c:v>60.606060606060595</c:v>
                </c:pt>
                <c:pt idx="12">
                  <c:v>33.057851239669368</c:v>
                </c:pt>
                <c:pt idx="13">
                  <c:v>78.94736842105273</c:v>
                </c:pt>
                <c:pt idx="14">
                  <c:v>0</c:v>
                </c:pt>
                <c:pt idx="15">
                  <c:v>40</c:v>
                </c:pt>
                <c:pt idx="16">
                  <c:v>76.923076923076849</c:v>
                </c:pt>
              </c:numCache>
            </c:numRef>
          </c:val>
          <c:smooth val="0"/>
        </c:ser>
        <c:ser>
          <c:idx val="3"/>
          <c:order val="3"/>
          <c:tx>
            <c:strRef>
              <c:f>Trabajo!$N$524</c:f>
              <c:strCache>
                <c:ptCount val="1"/>
                <c:pt idx="0">
                  <c:v>Otros</c:v>
                </c:pt>
              </c:strCache>
            </c:strRef>
          </c:tx>
          <c:spPr>
            <a:ln w="19050">
              <a:solidFill>
                <a:srgbClr val="00B050"/>
              </a:solidFill>
            </a:ln>
          </c:spPr>
          <c:marker>
            <c:symbol val="none"/>
          </c:marker>
          <c:cat>
            <c:strRef>
              <c:f>Trabajo!$J$525:$J$541</c:f>
              <c:strCache>
                <c:ptCount val="17"/>
                <c:pt idx="0">
                  <c:v>15 a 19</c:v>
                </c:pt>
                <c:pt idx="1">
                  <c:v>20 a 24</c:v>
                </c:pt>
                <c:pt idx="2">
                  <c:v>25 a 29</c:v>
                </c:pt>
                <c:pt idx="3">
                  <c:v>30 a 34</c:v>
                </c:pt>
                <c:pt idx="4">
                  <c:v>35 a 39</c:v>
                </c:pt>
                <c:pt idx="5">
                  <c:v>40 a 44</c:v>
                </c:pt>
                <c:pt idx="6">
                  <c:v>45 a 49</c:v>
                </c:pt>
                <c:pt idx="7">
                  <c:v>50 a 54</c:v>
                </c:pt>
                <c:pt idx="8">
                  <c:v>55 a 59</c:v>
                </c:pt>
                <c:pt idx="9">
                  <c:v>60 a 64</c:v>
                </c:pt>
                <c:pt idx="10">
                  <c:v>65 a 69</c:v>
                </c:pt>
                <c:pt idx="11">
                  <c:v>70 a 74</c:v>
                </c:pt>
                <c:pt idx="12">
                  <c:v>75 a 79</c:v>
                </c:pt>
                <c:pt idx="13">
                  <c:v>80 a 84</c:v>
                </c:pt>
                <c:pt idx="14">
                  <c:v>85 a 89</c:v>
                </c:pt>
                <c:pt idx="15">
                  <c:v>90 a 94</c:v>
                </c:pt>
                <c:pt idx="16">
                  <c:v> 95 a 99</c:v>
                </c:pt>
              </c:strCache>
            </c:strRef>
          </c:cat>
          <c:val>
            <c:numRef>
              <c:f>Trabajo!$N$525:$N$541</c:f>
              <c:numCache>
                <c:formatCode>0.00</c:formatCode>
                <c:ptCount val="17"/>
                <c:pt idx="0">
                  <c:v>103.49288486416559</c:v>
                </c:pt>
                <c:pt idx="1">
                  <c:v>105.67970204841704</c:v>
                </c:pt>
                <c:pt idx="2">
                  <c:v>133.25389732896437</c:v>
                </c:pt>
                <c:pt idx="3">
                  <c:v>133.23687224935156</c:v>
                </c:pt>
                <c:pt idx="4">
                  <c:v>135.98123281022532</c:v>
                </c:pt>
                <c:pt idx="5">
                  <c:v>136.33110687022941</c:v>
                </c:pt>
                <c:pt idx="6">
                  <c:v>140.63140631406341</c:v>
                </c:pt>
                <c:pt idx="7">
                  <c:v>151.36935603256845</c:v>
                </c:pt>
                <c:pt idx="8">
                  <c:v>197.90888722927556</c:v>
                </c:pt>
                <c:pt idx="9">
                  <c:v>167.00610997963364</c:v>
                </c:pt>
                <c:pt idx="10">
                  <c:v>152.07373271889398</c:v>
                </c:pt>
                <c:pt idx="11">
                  <c:v>242.42424242424238</c:v>
                </c:pt>
                <c:pt idx="12">
                  <c:v>165.28925619834689</c:v>
                </c:pt>
                <c:pt idx="13">
                  <c:v>342.10526315789474</c:v>
                </c:pt>
                <c:pt idx="14">
                  <c:v>187.5</c:v>
                </c:pt>
                <c:pt idx="15">
                  <c:v>160</c:v>
                </c:pt>
                <c:pt idx="16">
                  <c:v>173.07692307692307</c:v>
                </c:pt>
              </c:numCache>
            </c:numRef>
          </c:val>
          <c:smooth val="0"/>
        </c:ser>
        <c:dLbls>
          <c:showLegendKey val="0"/>
          <c:showVal val="0"/>
          <c:showCatName val="0"/>
          <c:showSerName val="0"/>
          <c:showPercent val="0"/>
          <c:showBubbleSize val="0"/>
        </c:dLbls>
        <c:marker val="1"/>
        <c:smooth val="0"/>
        <c:axId val="288699136"/>
        <c:axId val="288701056"/>
      </c:lineChart>
      <c:catAx>
        <c:axId val="288699136"/>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8701056"/>
        <c:crosses val="autoZero"/>
        <c:auto val="1"/>
        <c:lblAlgn val="ctr"/>
        <c:lblOffset val="100"/>
        <c:noMultiLvlLbl val="0"/>
      </c:catAx>
      <c:valAx>
        <c:axId val="288701056"/>
        <c:scaling>
          <c:orientation val="minMax"/>
          <c:max val="1000"/>
          <c:min val="0"/>
        </c:scaling>
        <c:delete val="0"/>
        <c:axPos val="l"/>
        <c:title>
          <c:tx>
            <c:rich>
              <a:bodyPr rot="-5400000" vert="horz"/>
              <a:lstStyle/>
              <a:p>
                <a:pPr>
                  <a:defRPr sz="600"/>
                </a:pPr>
                <a:r>
                  <a:rPr lang="es-EC" sz="600"/>
                  <a:t>Tasa por</a:t>
                </a:r>
                <a:r>
                  <a:rPr lang="es-EC" sz="600" baseline="0"/>
                  <a:t> cada 1000 emigrantes</a:t>
                </a:r>
                <a:endParaRPr lang="es-EC" sz="600"/>
              </a:p>
            </c:rich>
          </c:tx>
          <c:layout>
            <c:manualLayout>
              <c:xMode val="edge"/>
              <c:yMode val="edge"/>
              <c:x val="6.030453791647827E-3"/>
              <c:y val="5.7503097927861381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8699136"/>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Trabajo!$K$524</c:f>
              <c:strCache>
                <c:ptCount val="1"/>
                <c:pt idx="0">
                  <c:v>España</c:v>
                </c:pt>
              </c:strCache>
            </c:strRef>
          </c:tx>
          <c:spPr>
            <a:ln w="19050">
              <a:solidFill>
                <a:srgbClr val="0070C0"/>
              </a:solidFill>
            </a:ln>
          </c:spPr>
          <c:marker>
            <c:symbol val="none"/>
          </c:marker>
          <c:cat>
            <c:strRef>
              <c:f>Trabajo!$J$543:$J$559</c:f>
              <c:strCache>
                <c:ptCount val="17"/>
                <c:pt idx="0">
                  <c:v>15 a 19</c:v>
                </c:pt>
                <c:pt idx="1">
                  <c:v>20 a 24</c:v>
                </c:pt>
                <c:pt idx="2">
                  <c:v>25 a 29</c:v>
                </c:pt>
                <c:pt idx="3">
                  <c:v>30 a 34</c:v>
                </c:pt>
                <c:pt idx="4">
                  <c:v>35 a 39</c:v>
                </c:pt>
                <c:pt idx="5">
                  <c:v>40 a 44</c:v>
                </c:pt>
                <c:pt idx="6">
                  <c:v>45 a 49</c:v>
                </c:pt>
                <c:pt idx="7">
                  <c:v>50 a 54</c:v>
                </c:pt>
                <c:pt idx="8">
                  <c:v>55 a 59</c:v>
                </c:pt>
                <c:pt idx="9">
                  <c:v>60 a 64</c:v>
                </c:pt>
                <c:pt idx="10">
                  <c:v>65 a 69</c:v>
                </c:pt>
                <c:pt idx="11">
                  <c:v>70 a 74</c:v>
                </c:pt>
                <c:pt idx="12">
                  <c:v>75 a 79</c:v>
                </c:pt>
                <c:pt idx="13">
                  <c:v>80 a 84</c:v>
                </c:pt>
                <c:pt idx="14">
                  <c:v>85 a 89</c:v>
                </c:pt>
                <c:pt idx="15">
                  <c:v>90 a 94</c:v>
                </c:pt>
                <c:pt idx="16">
                  <c:v> 95 a 99</c:v>
                </c:pt>
              </c:strCache>
            </c:strRef>
          </c:cat>
          <c:val>
            <c:numRef>
              <c:f>Trabajo!$K$543:$K$559</c:f>
              <c:numCache>
                <c:formatCode>0.00</c:formatCode>
                <c:ptCount val="17"/>
                <c:pt idx="0">
                  <c:v>481.17527346731111</c:v>
                </c:pt>
                <c:pt idx="1">
                  <c:v>518.70278238437459</c:v>
                </c:pt>
                <c:pt idx="2">
                  <c:v>550.97150259067359</c:v>
                </c:pt>
                <c:pt idx="3">
                  <c:v>579.01990811638655</c:v>
                </c:pt>
                <c:pt idx="4">
                  <c:v>609.738595592004</c:v>
                </c:pt>
                <c:pt idx="5">
                  <c:v>584.68574800826286</c:v>
                </c:pt>
                <c:pt idx="6">
                  <c:v>583.83305349004547</c:v>
                </c:pt>
                <c:pt idx="7">
                  <c:v>571.87378262563368</c:v>
                </c:pt>
                <c:pt idx="8">
                  <c:v>519.92914083259518</c:v>
                </c:pt>
                <c:pt idx="9">
                  <c:v>441.90476190476232</c:v>
                </c:pt>
                <c:pt idx="10">
                  <c:v>298.75518672199166</c:v>
                </c:pt>
                <c:pt idx="11">
                  <c:v>455.88235294117584</c:v>
                </c:pt>
                <c:pt idx="12">
                  <c:v>468.35443037974755</c:v>
                </c:pt>
                <c:pt idx="13">
                  <c:v>520</c:v>
                </c:pt>
                <c:pt idx="14">
                  <c:v>900</c:v>
                </c:pt>
                <c:pt idx="15">
                  <c:v>568.1818181818179</c:v>
                </c:pt>
                <c:pt idx="16">
                  <c:v>526.3157894736845</c:v>
                </c:pt>
              </c:numCache>
            </c:numRef>
          </c:val>
          <c:smooth val="1"/>
        </c:ser>
        <c:ser>
          <c:idx val="1"/>
          <c:order val="1"/>
          <c:tx>
            <c:strRef>
              <c:f>Trabajo!$L$524</c:f>
              <c:strCache>
                <c:ptCount val="1"/>
                <c:pt idx="0">
                  <c:v>Estados Unidos</c:v>
                </c:pt>
              </c:strCache>
            </c:strRef>
          </c:tx>
          <c:spPr>
            <a:ln w="19050">
              <a:solidFill>
                <a:srgbClr val="E010C2"/>
              </a:solidFill>
            </a:ln>
          </c:spPr>
          <c:marker>
            <c:symbol val="none"/>
          </c:marker>
          <c:cat>
            <c:strRef>
              <c:f>Trabajo!$J$543:$J$559</c:f>
              <c:strCache>
                <c:ptCount val="17"/>
                <c:pt idx="0">
                  <c:v>15 a 19</c:v>
                </c:pt>
                <c:pt idx="1">
                  <c:v>20 a 24</c:v>
                </c:pt>
                <c:pt idx="2">
                  <c:v>25 a 29</c:v>
                </c:pt>
                <c:pt idx="3">
                  <c:v>30 a 34</c:v>
                </c:pt>
                <c:pt idx="4">
                  <c:v>35 a 39</c:v>
                </c:pt>
                <c:pt idx="5">
                  <c:v>40 a 44</c:v>
                </c:pt>
                <c:pt idx="6">
                  <c:v>45 a 49</c:v>
                </c:pt>
                <c:pt idx="7">
                  <c:v>50 a 54</c:v>
                </c:pt>
                <c:pt idx="8">
                  <c:v>55 a 59</c:v>
                </c:pt>
                <c:pt idx="9">
                  <c:v>60 a 64</c:v>
                </c:pt>
                <c:pt idx="10">
                  <c:v>65 a 69</c:v>
                </c:pt>
                <c:pt idx="11">
                  <c:v>70 a 74</c:v>
                </c:pt>
                <c:pt idx="12">
                  <c:v>75 a 79</c:v>
                </c:pt>
                <c:pt idx="13">
                  <c:v>80 a 84</c:v>
                </c:pt>
                <c:pt idx="14">
                  <c:v>85 a 89</c:v>
                </c:pt>
                <c:pt idx="15">
                  <c:v>90 a 94</c:v>
                </c:pt>
                <c:pt idx="16">
                  <c:v> 95 a 99</c:v>
                </c:pt>
              </c:strCache>
            </c:strRef>
          </c:cat>
          <c:val>
            <c:numRef>
              <c:f>Trabajo!$L$543:$L$559</c:f>
              <c:numCache>
                <c:formatCode>0.00</c:formatCode>
                <c:ptCount val="17"/>
                <c:pt idx="0">
                  <c:v>296.8710251844318</c:v>
                </c:pt>
                <c:pt idx="1">
                  <c:v>270.92930409679963</c:v>
                </c:pt>
                <c:pt idx="2">
                  <c:v>219.68911917098447</c:v>
                </c:pt>
                <c:pt idx="3">
                  <c:v>178.33078101071987</c:v>
                </c:pt>
                <c:pt idx="4">
                  <c:v>166.78626345463866</c:v>
                </c:pt>
                <c:pt idx="5">
                  <c:v>157.71614045441137</c:v>
                </c:pt>
                <c:pt idx="6">
                  <c:v>161.18973374910027</c:v>
                </c:pt>
                <c:pt idx="7">
                  <c:v>191.2738605375923</c:v>
                </c:pt>
                <c:pt idx="8">
                  <c:v>254.20726306465875</c:v>
                </c:pt>
                <c:pt idx="9">
                  <c:v>302.85714285714289</c:v>
                </c:pt>
                <c:pt idx="10">
                  <c:v>340.2489626556017</c:v>
                </c:pt>
                <c:pt idx="11">
                  <c:v>338.23529411764696</c:v>
                </c:pt>
                <c:pt idx="12">
                  <c:v>303.79746835443041</c:v>
                </c:pt>
                <c:pt idx="13">
                  <c:v>200</c:v>
                </c:pt>
                <c:pt idx="14">
                  <c:v>100</c:v>
                </c:pt>
                <c:pt idx="15">
                  <c:v>113.63636363636363</c:v>
                </c:pt>
                <c:pt idx="16">
                  <c:v>236.84210526315763</c:v>
                </c:pt>
              </c:numCache>
            </c:numRef>
          </c:val>
          <c:smooth val="1"/>
        </c:ser>
        <c:ser>
          <c:idx val="2"/>
          <c:order val="2"/>
          <c:tx>
            <c:strRef>
              <c:f>Trabajo!$M$524</c:f>
              <c:strCache>
                <c:ptCount val="1"/>
                <c:pt idx="0">
                  <c:v>Italia</c:v>
                </c:pt>
              </c:strCache>
            </c:strRef>
          </c:tx>
          <c:spPr>
            <a:ln w="19050">
              <a:solidFill>
                <a:schemeClr val="accent6">
                  <a:lumMod val="75000"/>
                </a:schemeClr>
              </a:solidFill>
            </a:ln>
          </c:spPr>
          <c:marker>
            <c:symbol val="none"/>
          </c:marker>
          <c:cat>
            <c:strRef>
              <c:f>Trabajo!$J$543:$J$559</c:f>
              <c:strCache>
                <c:ptCount val="17"/>
                <c:pt idx="0">
                  <c:v>15 a 19</c:v>
                </c:pt>
                <c:pt idx="1">
                  <c:v>20 a 24</c:v>
                </c:pt>
                <c:pt idx="2">
                  <c:v>25 a 29</c:v>
                </c:pt>
                <c:pt idx="3">
                  <c:v>30 a 34</c:v>
                </c:pt>
                <c:pt idx="4">
                  <c:v>35 a 39</c:v>
                </c:pt>
                <c:pt idx="5">
                  <c:v>40 a 44</c:v>
                </c:pt>
                <c:pt idx="6">
                  <c:v>45 a 49</c:v>
                </c:pt>
                <c:pt idx="7">
                  <c:v>50 a 54</c:v>
                </c:pt>
                <c:pt idx="8">
                  <c:v>55 a 59</c:v>
                </c:pt>
                <c:pt idx="9">
                  <c:v>60 a 64</c:v>
                </c:pt>
                <c:pt idx="10">
                  <c:v>65 a 69</c:v>
                </c:pt>
                <c:pt idx="11">
                  <c:v>70 a 74</c:v>
                </c:pt>
                <c:pt idx="12">
                  <c:v>75 a 79</c:v>
                </c:pt>
                <c:pt idx="13">
                  <c:v>80 a 84</c:v>
                </c:pt>
                <c:pt idx="14">
                  <c:v>85 a 89</c:v>
                </c:pt>
                <c:pt idx="15">
                  <c:v>90 a 94</c:v>
                </c:pt>
                <c:pt idx="16">
                  <c:v> 95 a 99</c:v>
                </c:pt>
              </c:strCache>
            </c:strRef>
          </c:cat>
          <c:val>
            <c:numRef>
              <c:f>Trabajo!$M$543:$M$559</c:f>
              <c:numCache>
                <c:formatCode>0.00</c:formatCode>
                <c:ptCount val="17"/>
                <c:pt idx="0">
                  <c:v>89.926227423047678</c:v>
                </c:pt>
                <c:pt idx="1">
                  <c:v>92.684724525520508</c:v>
                </c:pt>
                <c:pt idx="2">
                  <c:v>98.575129533678748</c:v>
                </c:pt>
                <c:pt idx="3">
                  <c:v>114.01225114854519</c:v>
                </c:pt>
                <c:pt idx="4">
                  <c:v>111.73757047667863</c:v>
                </c:pt>
                <c:pt idx="5">
                  <c:v>138.83151372086135</c:v>
                </c:pt>
                <c:pt idx="6">
                  <c:v>132.40585272247532</c:v>
                </c:pt>
                <c:pt idx="7">
                  <c:v>122.71133619010519</c:v>
                </c:pt>
                <c:pt idx="8">
                  <c:v>124.88928255093001</c:v>
                </c:pt>
                <c:pt idx="9">
                  <c:v>85.714285714285722</c:v>
                </c:pt>
                <c:pt idx="10">
                  <c:v>41.49377593361001</c:v>
                </c:pt>
                <c:pt idx="11">
                  <c:v>44.117647058823444</c:v>
                </c:pt>
                <c:pt idx="12">
                  <c:v>63.291139240506396</c:v>
                </c:pt>
                <c:pt idx="13">
                  <c:v>80</c:v>
                </c:pt>
                <c:pt idx="14">
                  <c:v>0</c:v>
                </c:pt>
                <c:pt idx="15">
                  <c:v>159.09090909090909</c:v>
                </c:pt>
                <c:pt idx="16">
                  <c:v>105.26315789473684</c:v>
                </c:pt>
              </c:numCache>
            </c:numRef>
          </c:val>
          <c:smooth val="0"/>
        </c:ser>
        <c:ser>
          <c:idx val="3"/>
          <c:order val="3"/>
          <c:tx>
            <c:strRef>
              <c:f>Trabajo!$N$524</c:f>
              <c:strCache>
                <c:ptCount val="1"/>
                <c:pt idx="0">
                  <c:v>Otros</c:v>
                </c:pt>
              </c:strCache>
            </c:strRef>
          </c:tx>
          <c:spPr>
            <a:ln w="19050">
              <a:solidFill>
                <a:srgbClr val="00B050"/>
              </a:solidFill>
            </a:ln>
          </c:spPr>
          <c:marker>
            <c:symbol val="none"/>
          </c:marker>
          <c:cat>
            <c:strRef>
              <c:f>Trabajo!$J$543:$J$559</c:f>
              <c:strCache>
                <c:ptCount val="17"/>
                <c:pt idx="0">
                  <c:v>15 a 19</c:v>
                </c:pt>
                <c:pt idx="1">
                  <c:v>20 a 24</c:v>
                </c:pt>
                <c:pt idx="2">
                  <c:v>25 a 29</c:v>
                </c:pt>
                <c:pt idx="3">
                  <c:v>30 a 34</c:v>
                </c:pt>
                <c:pt idx="4">
                  <c:v>35 a 39</c:v>
                </c:pt>
                <c:pt idx="5">
                  <c:v>40 a 44</c:v>
                </c:pt>
                <c:pt idx="6">
                  <c:v>45 a 49</c:v>
                </c:pt>
                <c:pt idx="7">
                  <c:v>50 a 54</c:v>
                </c:pt>
                <c:pt idx="8">
                  <c:v>55 a 59</c:v>
                </c:pt>
                <c:pt idx="9">
                  <c:v>60 a 64</c:v>
                </c:pt>
                <c:pt idx="10">
                  <c:v>65 a 69</c:v>
                </c:pt>
                <c:pt idx="11">
                  <c:v>70 a 74</c:v>
                </c:pt>
                <c:pt idx="12">
                  <c:v>75 a 79</c:v>
                </c:pt>
                <c:pt idx="13">
                  <c:v>80 a 84</c:v>
                </c:pt>
                <c:pt idx="14">
                  <c:v>85 a 89</c:v>
                </c:pt>
                <c:pt idx="15">
                  <c:v>90 a 94</c:v>
                </c:pt>
                <c:pt idx="16">
                  <c:v> 95 a 99</c:v>
                </c:pt>
              </c:strCache>
            </c:strRef>
          </c:cat>
          <c:val>
            <c:numRef>
              <c:f>Trabajo!$N$543:$N$559</c:f>
              <c:numCache>
                <c:formatCode>0.00</c:formatCode>
                <c:ptCount val="17"/>
                <c:pt idx="0">
                  <c:v>132.02747392521002</c:v>
                </c:pt>
                <c:pt idx="1">
                  <c:v>117.68318899330508</c:v>
                </c:pt>
                <c:pt idx="2">
                  <c:v>130.7642487046632</c:v>
                </c:pt>
                <c:pt idx="3">
                  <c:v>128.63705972434877</c:v>
                </c:pt>
                <c:pt idx="4">
                  <c:v>111.73757047667863</c:v>
                </c:pt>
                <c:pt idx="5">
                  <c:v>118.76659781646485</c:v>
                </c:pt>
                <c:pt idx="6">
                  <c:v>122.57136003837851</c:v>
                </c:pt>
                <c:pt idx="7">
                  <c:v>114.14102064666929</c:v>
                </c:pt>
                <c:pt idx="8">
                  <c:v>100.97431355181585</c:v>
                </c:pt>
                <c:pt idx="9">
                  <c:v>169.52380952380952</c:v>
                </c:pt>
                <c:pt idx="10">
                  <c:v>319.50207468879671</c:v>
                </c:pt>
                <c:pt idx="11">
                  <c:v>161.76470588235273</c:v>
                </c:pt>
                <c:pt idx="12">
                  <c:v>164.55696202531638</c:v>
                </c:pt>
                <c:pt idx="13">
                  <c:v>200</c:v>
                </c:pt>
                <c:pt idx="14">
                  <c:v>0</c:v>
                </c:pt>
                <c:pt idx="15">
                  <c:v>159.09090909090909</c:v>
                </c:pt>
                <c:pt idx="16">
                  <c:v>131.57894736842127</c:v>
                </c:pt>
              </c:numCache>
            </c:numRef>
          </c:val>
          <c:smooth val="0"/>
        </c:ser>
        <c:dLbls>
          <c:showLegendKey val="0"/>
          <c:showVal val="0"/>
          <c:showCatName val="0"/>
          <c:showSerName val="0"/>
          <c:showPercent val="0"/>
          <c:showBubbleSize val="0"/>
        </c:dLbls>
        <c:marker val="1"/>
        <c:smooth val="0"/>
        <c:axId val="288736000"/>
        <c:axId val="288737920"/>
      </c:lineChart>
      <c:catAx>
        <c:axId val="288736000"/>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8737920"/>
        <c:crosses val="autoZero"/>
        <c:auto val="1"/>
        <c:lblAlgn val="ctr"/>
        <c:lblOffset val="100"/>
        <c:noMultiLvlLbl val="0"/>
      </c:catAx>
      <c:valAx>
        <c:axId val="288737920"/>
        <c:scaling>
          <c:orientation val="minMax"/>
          <c:max val="1000"/>
          <c:min val="0"/>
        </c:scaling>
        <c:delete val="0"/>
        <c:axPos val="l"/>
        <c:title>
          <c:tx>
            <c:rich>
              <a:bodyPr rot="-5400000" vert="horz"/>
              <a:lstStyle/>
              <a:p>
                <a:pPr>
                  <a:defRPr sz="600"/>
                </a:pPr>
                <a:r>
                  <a:rPr lang="es-EC" sz="600"/>
                  <a:t>Tasa por</a:t>
                </a:r>
                <a:r>
                  <a:rPr lang="es-EC" sz="600" baseline="0"/>
                  <a:t> cada 1000 emigrantes</a:t>
                </a:r>
                <a:endParaRPr lang="es-EC" sz="600"/>
              </a:p>
            </c:rich>
          </c:tx>
          <c:layout>
            <c:manualLayout>
              <c:xMode val="edge"/>
              <c:yMode val="edge"/>
              <c:x val="6.030453791647827E-3"/>
              <c:y val="5.0445934907395587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873600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8873658431765"/>
          <c:y val="7.7924323600695011E-2"/>
          <c:w val="0.86616405980926559"/>
          <c:h val="0.65628725650812125"/>
        </c:manualLayout>
      </c:layout>
      <c:lineChart>
        <c:grouping val="standard"/>
        <c:varyColors val="0"/>
        <c:ser>
          <c:idx val="0"/>
          <c:order val="0"/>
          <c:spPr>
            <a:ln w="19050">
              <a:solidFill>
                <a:srgbClr val="0070C0"/>
              </a:solidFill>
            </a:ln>
          </c:spPr>
          <c:marker>
            <c:symbol val="none"/>
          </c:marker>
          <c:cat>
            <c:strRef>
              <c:f>Inmigrantes_Guayaquil!$U$305:$U$324</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Inmigrantes_Guayaquil!$V$305:$V$324</c:f>
              <c:numCache>
                <c:formatCode>0.00</c:formatCode>
                <c:ptCount val="20"/>
                <c:pt idx="0">
                  <c:v>7.8667890389406052</c:v>
                </c:pt>
                <c:pt idx="1">
                  <c:v>44.336441182305094</c:v>
                </c:pt>
                <c:pt idx="2">
                  <c:v>406.56617798884923</c:v>
                </c:pt>
                <c:pt idx="3">
                  <c:v>768.00938247101851</c:v>
                </c:pt>
                <c:pt idx="4">
                  <c:v>885.98673300165854</c:v>
                </c:pt>
                <c:pt idx="5">
                  <c:v>905.95113379067948</c:v>
                </c:pt>
                <c:pt idx="6">
                  <c:v>909.92609668452019</c:v>
                </c:pt>
                <c:pt idx="7">
                  <c:v>904.5820565809164</c:v>
                </c:pt>
                <c:pt idx="8">
                  <c:v>883.11402704981151</c:v>
                </c:pt>
                <c:pt idx="9">
                  <c:v>846.89094453893051</c:v>
                </c:pt>
                <c:pt idx="10">
                  <c:v>802.66512724298798</c:v>
                </c:pt>
                <c:pt idx="11">
                  <c:v>714.8751805240355</c:v>
                </c:pt>
                <c:pt idx="12">
                  <c:v>564.1973027895807</c:v>
                </c:pt>
                <c:pt idx="13">
                  <c:v>400.54144643547761</c:v>
                </c:pt>
                <c:pt idx="14">
                  <c:v>258.49831901382129</c:v>
                </c:pt>
                <c:pt idx="15">
                  <c:v>157.55171436667621</c:v>
                </c:pt>
                <c:pt idx="16">
                  <c:v>94.827586206896441</c:v>
                </c:pt>
                <c:pt idx="17">
                  <c:v>59.065934065934066</c:v>
                </c:pt>
                <c:pt idx="18">
                  <c:v>33.898305084745807</c:v>
                </c:pt>
                <c:pt idx="19">
                  <c:v>27.777777777777754</c:v>
                </c:pt>
              </c:numCache>
            </c:numRef>
          </c:val>
          <c:smooth val="1"/>
        </c:ser>
        <c:ser>
          <c:idx val="1"/>
          <c:order val="1"/>
          <c:spPr>
            <a:ln w="19050">
              <a:solidFill>
                <a:schemeClr val="accent6">
                  <a:lumMod val="75000"/>
                </a:schemeClr>
              </a:solidFill>
            </a:ln>
          </c:spPr>
          <c:marker>
            <c:symbol val="none"/>
          </c:marker>
          <c:cat>
            <c:strRef>
              <c:f>Inmigrantes_Guayaquil!$U$305:$U$324</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Inmigrantes_Guayaquil!$W$305:$W$324</c:f>
              <c:numCache>
                <c:formatCode>0.00</c:formatCode>
                <c:ptCount val="20"/>
                <c:pt idx="0">
                  <c:v>0.7866789038940607</c:v>
                </c:pt>
                <c:pt idx="1">
                  <c:v>3.8682801031541363</c:v>
                </c:pt>
                <c:pt idx="2">
                  <c:v>58.847821598182882</c:v>
                </c:pt>
                <c:pt idx="3">
                  <c:v>63.872975776985939</c:v>
                </c:pt>
                <c:pt idx="4">
                  <c:v>50.052766470676879</c:v>
                </c:pt>
                <c:pt idx="5">
                  <c:v>44.574363826839239</c:v>
                </c:pt>
                <c:pt idx="6">
                  <c:v>42.036748254118933</c:v>
                </c:pt>
                <c:pt idx="7">
                  <c:v>43.611487208722224</c:v>
                </c:pt>
                <c:pt idx="8">
                  <c:v>47.722024704028193</c:v>
                </c:pt>
                <c:pt idx="9">
                  <c:v>52.764757124486664</c:v>
                </c:pt>
                <c:pt idx="10">
                  <c:v>54.938182517919863</c:v>
                </c:pt>
                <c:pt idx="11">
                  <c:v>21.319028952616762</c:v>
                </c:pt>
                <c:pt idx="12">
                  <c:v>8.7751708849067054</c:v>
                </c:pt>
                <c:pt idx="13">
                  <c:v>4.7698852649220056</c:v>
                </c:pt>
                <c:pt idx="14">
                  <c:v>3.5487485991781815</c:v>
                </c:pt>
                <c:pt idx="15">
                  <c:v>2.8336639274581983</c:v>
                </c:pt>
                <c:pt idx="16">
                  <c:v>1.077586206896552</c:v>
                </c:pt>
                <c:pt idx="17">
                  <c:v>2.7472527472527504</c:v>
                </c:pt>
                <c:pt idx="18">
                  <c:v>0</c:v>
                </c:pt>
                <c:pt idx="19">
                  <c:v>0</c:v>
                </c:pt>
              </c:numCache>
            </c:numRef>
          </c:val>
          <c:smooth val="1"/>
        </c:ser>
        <c:ser>
          <c:idx val="2"/>
          <c:order val="2"/>
          <c:spPr>
            <a:ln w="19050">
              <a:solidFill>
                <a:srgbClr val="D60093"/>
              </a:solidFill>
            </a:ln>
          </c:spPr>
          <c:marker>
            <c:symbol val="none"/>
          </c:marker>
          <c:cat>
            <c:strRef>
              <c:f>Inmigrantes_Guayaquil!$U$305:$U$324</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Inmigrantes_Guayaquil!$X$305:$X$324</c:f>
              <c:numCache>
                <c:formatCode>0.00</c:formatCode>
                <c:ptCount val="20"/>
                <c:pt idx="0">
                  <c:v>991.34653205716552</c:v>
                </c:pt>
                <c:pt idx="1">
                  <c:v>951.7952787145407</c:v>
                </c:pt>
                <c:pt idx="2">
                  <c:v>534.58600041296722</c:v>
                </c:pt>
                <c:pt idx="3">
                  <c:v>168.11764175199605</c:v>
                </c:pt>
                <c:pt idx="4">
                  <c:v>63.960500527664706</c:v>
                </c:pt>
                <c:pt idx="5">
                  <c:v>49.474502382481162</c:v>
                </c:pt>
                <c:pt idx="6">
                  <c:v>48.037155061360096</c:v>
                </c:pt>
                <c:pt idx="7">
                  <c:v>51.80645621036129</c:v>
                </c:pt>
                <c:pt idx="8">
                  <c:v>69.163948246160558</c:v>
                </c:pt>
                <c:pt idx="9">
                  <c:v>100.34429833658264</c:v>
                </c:pt>
                <c:pt idx="10">
                  <c:v>142.39669023909173</c:v>
                </c:pt>
                <c:pt idx="11">
                  <c:v>263.80579052334826</c:v>
                </c:pt>
                <c:pt idx="12">
                  <c:v>427.02752632551267</c:v>
                </c:pt>
                <c:pt idx="13">
                  <c:v>594.68866829960052</c:v>
                </c:pt>
                <c:pt idx="14">
                  <c:v>737.95293238700037</c:v>
                </c:pt>
                <c:pt idx="15">
                  <c:v>839.61462170586549</c:v>
                </c:pt>
                <c:pt idx="16">
                  <c:v>904.09482758620754</c:v>
                </c:pt>
                <c:pt idx="17">
                  <c:v>938.1868131868132</c:v>
                </c:pt>
                <c:pt idx="18">
                  <c:v>966.10169491525426</c:v>
                </c:pt>
                <c:pt idx="19">
                  <c:v>972.22222222222217</c:v>
                </c:pt>
              </c:numCache>
            </c:numRef>
          </c:val>
          <c:smooth val="0"/>
        </c:ser>
        <c:dLbls>
          <c:showLegendKey val="0"/>
          <c:showVal val="0"/>
          <c:showCatName val="0"/>
          <c:showSerName val="0"/>
          <c:showPercent val="0"/>
          <c:showBubbleSize val="0"/>
        </c:dLbls>
        <c:marker val="1"/>
        <c:smooth val="0"/>
        <c:axId val="250181504"/>
        <c:axId val="250257408"/>
      </c:lineChart>
      <c:catAx>
        <c:axId val="250181504"/>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50257408"/>
        <c:crosses val="autoZero"/>
        <c:auto val="1"/>
        <c:lblAlgn val="ctr"/>
        <c:lblOffset val="100"/>
        <c:noMultiLvlLbl val="0"/>
      </c:catAx>
      <c:valAx>
        <c:axId val="250257408"/>
        <c:scaling>
          <c:orientation val="minMax"/>
          <c:max val="1000"/>
          <c:min val="0"/>
        </c:scaling>
        <c:delete val="0"/>
        <c:axPos val="l"/>
        <c:title>
          <c:tx>
            <c:rich>
              <a:bodyPr rot="-5400000" vert="horz"/>
              <a:lstStyle/>
              <a:p>
                <a:pPr>
                  <a:defRPr sz="700"/>
                </a:pPr>
                <a:r>
                  <a:rPr lang="es-EC" sz="700"/>
                  <a:t>Tasa por cada 1000 Inmigrantes</a:t>
                </a:r>
              </a:p>
            </c:rich>
          </c:tx>
          <c:overlay val="0"/>
        </c:title>
        <c:numFmt formatCode="0" sourceLinked="0"/>
        <c:majorTickMark val="out"/>
        <c:minorTickMark val="none"/>
        <c:tickLblPos val="nextTo"/>
        <c:spPr>
          <a:ln>
            <a:solidFill>
              <a:schemeClr val="tx1"/>
            </a:solidFill>
          </a:ln>
        </c:spPr>
        <c:txPr>
          <a:bodyPr/>
          <a:lstStyle/>
          <a:p>
            <a:pPr>
              <a:defRPr sz="700"/>
            </a:pPr>
            <a:endParaRPr lang="es-EC"/>
          </a:p>
        </c:txPr>
        <c:crossAx val="250181504"/>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96759259259257"/>
          <c:y val="5.0925925925925923E-2"/>
          <c:w val="0.85147706228956255"/>
          <c:h val="0.76198932030047994"/>
        </c:manualLayout>
      </c:layout>
      <c:lineChart>
        <c:grouping val="standard"/>
        <c:varyColors val="0"/>
        <c:ser>
          <c:idx val="0"/>
          <c:order val="0"/>
          <c:spPr>
            <a:ln w="19050">
              <a:solidFill>
                <a:schemeClr val="bg1">
                  <a:lumMod val="50000"/>
                </a:schemeClr>
              </a:solidFill>
            </a:ln>
          </c:spPr>
          <c:marker>
            <c:symbol val="diamond"/>
            <c:size val="5"/>
            <c:spPr>
              <a:solidFill>
                <a:schemeClr val="bg1">
                  <a:lumMod val="50000"/>
                </a:schemeClr>
              </a:solidFill>
            </c:spPr>
          </c:marker>
          <c:dLbls>
            <c:dLbl>
              <c:idx val="1"/>
              <c:layout>
                <c:manualLayout>
                  <c:x val="-5.3013087322894704E-2"/>
                  <c:y val="-4.3339976312985411E-2"/>
                </c:manualLayout>
              </c:layout>
              <c:dLblPos val="r"/>
              <c:showLegendKey val="0"/>
              <c:showVal val="1"/>
              <c:showCatName val="0"/>
              <c:showSerName val="0"/>
              <c:showPercent val="0"/>
              <c:showBubbleSize val="0"/>
            </c:dLbl>
            <c:txPr>
              <a:bodyPr/>
              <a:lstStyle/>
              <a:p>
                <a:pPr>
                  <a:defRPr sz="700"/>
                </a:pPr>
                <a:endParaRPr lang="es-EC"/>
              </a:p>
            </c:txPr>
            <c:dLblPos val="t"/>
            <c:showLegendKey val="0"/>
            <c:showVal val="1"/>
            <c:showCatName val="0"/>
            <c:showSerName val="0"/>
            <c:showPercent val="0"/>
            <c:showBubbleSize val="0"/>
            <c:showLeaderLines val="0"/>
          </c:dLbls>
          <c:cat>
            <c:numRef>
              <c:f>UnionFamiliar!$B$119:$B$128</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UnionFamiliar!$C$119:$C$128</c:f>
              <c:numCache>
                <c:formatCode>###0</c:formatCode>
                <c:ptCount val="10"/>
                <c:pt idx="0">
                  <c:v>4968</c:v>
                </c:pt>
                <c:pt idx="1">
                  <c:v>6061</c:v>
                </c:pt>
                <c:pt idx="2">
                  <c:v>3907</c:v>
                </c:pt>
                <c:pt idx="3">
                  <c:v>2926</c:v>
                </c:pt>
                <c:pt idx="4">
                  <c:v>3610</c:v>
                </c:pt>
                <c:pt idx="5">
                  <c:v>3419</c:v>
                </c:pt>
                <c:pt idx="6">
                  <c:v>4842</c:v>
                </c:pt>
                <c:pt idx="7">
                  <c:v>5395</c:v>
                </c:pt>
                <c:pt idx="8">
                  <c:v>3477</c:v>
                </c:pt>
                <c:pt idx="9">
                  <c:v>4594</c:v>
                </c:pt>
              </c:numCache>
            </c:numRef>
          </c:val>
          <c:smooth val="0"/>
        </c:ser>
        <c:dLbls>
          <c:showLegendKey val="0"/>
          <c:showVal val="0"/>
          <c:showCatName val="0"/>
          <c:showSerName val="0"/>
          <c:showPercent val="0"/>
          <c:showBubbleSize val="0"/>
        </c:dLbls>
        <c:marker val="1"/>
        <c:smooth val="0"/>
        <c:axId val="288766592"/>
        <c:axId val="288776960"/>
      </c:lineChart>
      <c:catAx>
        <c:axId val="288766592"/>
        <c:scaling>
          <c:orientation val="minMax"/>
        </c:scaling>
        <c:delete val="0"/>
        <c:axPos val="b"/>
        <c:title>
          <c:tx>
            <c:rich>
              <a:bodyPr/>
              <a:lstStyle/>
              <a:p>
                <a:pPr>
                  <a:defRPr/>
                </a:pPr>
                <a:r>
                  <a:rPr lang="es-EC"/>
                  <a:t>Año de salida</a:t>
                </a:r>
              </a:p>
            </c:rich>
          </c:tx>
          <c:overlay val="0"/>
        </c:title>
        <c:numFmt formatCode="General" sourceLinked="1"/>
        <c:majorTickMark val="out"/>
        <c:minorTickMark val="none"/>
        <c:tickLblPos val="nextTo"/>
        <c:spPr>
          <a:ln>
            <a:solidFill>
              <a:schemeClr val="tx1"/>
            </a:solidFill>
          </a:ln>
        </c:spPr>
        <c:crossAx val="288776960"/>
        <c:crosses val="autoZero"/>
        <c:auto val="1"/>
        <c:lblAlgn val="ctr"/>
        <c:lblOffset val="100"/>
        <c:noMultiLvlLbl val="0"/>
      </c:catAx>
      <c:valAx>
        <c:axId val="288776960"/>
        <c:scaling>
          <c:orientation val="minMax"/>
          <c:max val="10000"/>
          <c:min val="0"/>
        </c:scaling>
        <c:delete val="0"/>
        <c:axPos val="l"/>
        <c:title>
          <c:tx>
            <c:rich>
              <a:bodyPr rot="-5400000" vert="horz"/>
              <a:lstStyle/>
              <a:p>
                <a:pPr>
                  <a:defRPr/>
                </a:pPr>
                <a:r>
                  <a:rPr lang="es-EC"/>
                  <a:t>Número</a:t>
                </a:r>
                <a:r>
                  <a:rPr lang="es-EC" baseline="0"/>
                  <a:t> de emigrantes</a:t>
                </a:r>
                <a:endParaRPr lang="es-EC"/>
              </a:p>
            </c:rich>
          </c:tx>
          <c:overlay val="0"/>
        </c:title>
        <c:numFmt formatCode="General" sourceLinked="0"/>
        <c:majorTickMark val="out"/>
        <c:minorTickMark val="none"/>
        <c:tickLblPos val="nextTo"/>
        <c:spPr>
          <a:ln>
            <a:solidFill>
              <a:schemeClr val="tx1"/>
            </a:solidFill>
          </a:ln>
        </c:spPr>
        <c:crossAx val="288766592"/>
        <c:crosses val="autoZero"/>
        <c:crossBetween val="between"/>
        <c:majorUnit val="2000"/>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308567198331018"/>
          <c:y val="2.1234639274762556E-2"/>
          <c:w val="0.65662595060232976"/>
          <c:h val="0.84321786772851115"/>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UnionFamiliar!$E$3:$E$19</c:f>
              <c:strCache>
                <c:ptCount val="17"/>
                <c:pt idx="0">
                  <c:v>España</c:v>
                </c:pt>
                <c:pt idx="1">
                  <c:v>Estados Unidos</c:v>
                </c:pt>
                <c:pt idx="2">
                  <c:v>Italia</c:v>
                </c:pt>
                <c:pt idx="3">
                  <c:v>Colombia</c:v>
                </c:pt>
                <c:pt idx="4">
                  <c:v>Chile</c:v>
                </c:pt>
                <c:pt idx="5">
                  <c:v>Venezuela</c:v>
                </c:pt>
                <c:pt idx="6">
                  <c:v>Canadá</c:v>
                </c:pt>
                <c:pt idx="7">
                  <c:v>Alemania</c:v>
                </c:pt>
                <c:pt idx="8">
                  <c:v>Bélgica</c:v>
                </c:pt>
                <c:pt idx="9">
                  <c:v>Reino Unido</c:v>
                </c:pt>
                <c:pt idx="10">
                  <c:v>Perú</c:v>
                </c:pt>
                <c:pt idx="11">
                  <c:v>Argentina</c:v>
                </c:pt>
                <c:pt idx="12">
                  <c:v>Suiza</c:v>
                </c:pt>
                <c:pt idx="13">
                  <c:v>Francia</c:v>
                </c:pt>
                <c:pt idx="14">
                  <c:v>México</c:v>
                </c:pt>
                <c:pt idx="15">
                  <c:v>Otros países</c:v>
                </c:pt>
                <c:pt idx="16">
                  <c:v>No especifica</c:v>
                </c:pt>
              </c:strCache>
            </c:strRef>
          </c:cat>
          <c:val>
            <c:numRef>
              <c:f>UnionFamiliar!$F$3:$F$19</c:f>
              <c:numCache>
                <c:formatCode>0.00%</c:formatCode>
                <c:ptCount val="17"/>
                <c:pt idx="0">
                  <c:v>0.44067830108504502</c:v>
                </c:pt>
                <c:pt idx="1">
                  <c:v>0.25375022234519823</c:v>
                </c:pt>
                <c:pt idx="2">
                  <c:v>8.4155187066426981E-2</c:v>
                </c:pt>
                <c:pt idx="3">
                  <c:v>1.9329209241654668E-2</c:v>
                </c:pt>
                <c:pt idx="4">
                  <c:v>1.6997055161373203E-2</c:v>
                </c:pt>
                <c:pt idx="5">
                  <c:v>1.2984959582583947E-2</c:v>
                </c:pt>
                <c:pt idx="6">
                  <c:v>1.1265490048817156E-2</c:v>
                </c:pt>
                <c:pt idx="7">
                  <c:v>7.5893827697294412E-3</c:v>
                </c:pt>
                <c:pt idx="8">
                  <c:v>6.8976421526968064E-3</c:v>
                </c:pt>
                <c:pt idx="9">
                  <c:v>5.9489693064806335E-3</c:v>
                </c:pt>
                <c:pt idx="10">
                  <c:v>5.7908571654445981E-3</c:v>
                </c:pt>
                <c:pt idx="11">
                  <c:v>4.7828922663399019E-3</c:v>
                </c:pt>
                <c:pt idx="12">
                  <c:v>4.7631282487103979E-3</c:v>
                </c:pt>
                <c:pt idx="13">
                  <c:v>3.8342194201237199E-3</c:v>
                </c:pt>
                <c:pt idx="14">
                  <c:v>2.7669624681305243E-3</c:v>
                </c:pt>
                <c:pt idx="15">
                  <c:v>3.0436587149435746E-2</c:v>
                </c:pt>
                <c:pt idx="16">
                  <c:v>8.8028934521809751E-2</c:v>
                </c:pt>
              </c:numCache>
            </c:numRef>
          </c:val>
        </c:ser>
        <c:dLbls>
          <c:showLegendKey val="0"/>
          <c:showVal val="1"/>
          <c:showCatName val="0"/>
          <c:showSerName val="0"/>
          <c:showPercent val="0"/>
          <c:showBubbleSize val="0"/>
        </c:dLbls>
        <c:gapWidth val="30"/>
        <c:axId val="288791936"/>
        <c:axId val="288798976"/>
      </c:barChart>
      <c:catAx>
        <c:axId val="288791936"/>
        <c:scaling>
          <c:orientation val="maxMin"/>
        </c:scaling>
        <c:delete val="0"/>
        <c:axPos val="l"/>
        <c:majorTickMark val="out"/>
        <c:minorTickMark val="none"/>
        <c:tickLblPos val="low"/>
        <c:spPr>
          <a:ln>
            <a:solidFill>
              <a:schemeClr val="tx1"/>
            </a:solidFill>
          </a:ln>
        </c:spPr>
        <c:txPr>
          <a:bodyPr/>
          <a:lstStyle/>
          <a:p>
            <a:pPr>
              <a:defRPr sz="700"/>
            </a:pPr>
            <a:endParaRPr lang="es-EC"/>
          </a:p>
        </c:txPr>
        <c:crossAx val="288798976"/>
        <c:crosses val="autoZero"/>
        <c:auto val="1"/>
        <c:lblAlgn val="ctr"/>
        <c:lblOffset val="100"/>
        <c:noMultiLvlLbl val="0"/>
      </c:catAx>
      <c:valAx>
        <c:axId val="288798976"/>
        <c:scaling>
          <c:orientation val="minMax"/>
          <c:max val="1"/>
        </c:scaling>
        <c:delete val="0"/>
        <c:axPos val="t"/>
        <c:title>
          <c:tx>
            <c:rich>
              <a:bodyPr/>
              <a:lstStyle/>
              <a:p>
                <a:pPr>
                  <a:defRPr/>
                </a:pPr>
                <a:r>
                  <a:rPr lang="es-EC"/>
                  <a:t>Frecuencia Relativa</a:t>
                </a:r>
              </a:p>
            </c:rich>
          </c:tx>
          <c:layout>
            <c:manualLayout>
              <c:xMode val="edge"/>
              <c:yMode val="edge"/>
              <c:x val="0.4783538596137023"/>
              <c:y val="0.94928591876529245"/>
            </c:manualLayout>
          </c:layout>
          <c:overlay val="0"/>
        </c:title>
        <c:numFmt formatCode="#,##0.00" sourceLinked="0"/>
        <c:majorTickMark val="in"/>
        <c:minorTickMark val="none"/>
        <c:tickLblPos val="high"/>
        <c:spPr>
          <a:ln>
            <a:solidFill>
              <a:schemeClr val="tx1"/>
            </a:solidFill>
          </a:ln>
        </c:spPr>
        <c:crossAx val="288791936"/>
        <c:crossesAt val="18"/>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977681965230028E-2"/>
          <c:y val="3.4218197908906185E-2"/>
          <c:w val="0.88463140838896182"/>
          <c:h val="0.63636896253907993"/>
        </c:manualLayout>
      </c:layout>
      <c:barChart>
        <c:barDir val="col"/>
        <c:grouping val="clustered"/>
        <c:varyColors val="0"/>
        <c:ser>
          <c:idx val="0"/>
          <c:order val="0"/>
          <c:tx>
            <c:strRef>
              <c:f>IndiceFeminidad!$F$2</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UnionFamiliar!$F$136:$F$153</c:f>
              <c:strCache>
                <c:ptCount val="18"/>
                <c:pt idx="0">
                  <c:v>España</c:v>
                </c:pt>
                <c:pt idx="1">
                  <c:v>Estados Unidos</c:v>
                </c:pt>
                <c:pt idx="2">
                  <c:v>Italia</c:v>
                </c:pt>
                <c:pt idx="3">
                  <c:v>Colombia</c:v>
                </c:pt>
                <c:pt idx="4">
                  <c:v>Chile</c:v>
                </c:pt>
                <c:pt idx="5">
                  <c:v>Venezuela</c:v>
                </c:pt>
                <c:pt idx="6">
                  <c:v>Canadá</c:v>
                </c:pt>
                <c:pt idx="7">
                  <c:v>Alemania</c:v>
                </c:pt>
                <c:pt idx="8">
                  <c:v>Bélgica</c:v>
                </c:pt>
                <c:pt idx="9">
                  <c:v>Reino Unido</c:v>
                </c:pt>
                <c:pt idx="10">
                  <c:v>Perú</c:v>
                </c:pt>
                <c:pt idx="11">
                  <c:v>Argentina</c:v>
                </c:pt>
                <c:pt idx="12">
                  <c:v>Suiza</c:v>
                </c:pt>
                <c:pt idx="13">
                  <c:v>Francia</c:v>
                </c:pt>
                <c:pt idx="14">
                  <c:v>México</c:v>
                </c:pt>
                <c:pt idx="15">
                  <c:v>Países Bajos</c:v>
                </c:pt>
                <c:pt idx="16">
                  <c:v>Brasil</c:v>
                </c:pt>
                <c:pt idx="17">
                  <c:v>Cuba</c:v>
                </c:pt>
              </c:strCache>
            </c:strRef>
          </c:cat>
          <c:val>
            <c:numRef>
              <c:f>UnionFamiliar!$G$136:$G$153</c:f>
              <c:numCache>
                <c:formatCode>0,000</c:formatCode>
                <c:ptCount val="18"/>
                <c:pt idx="0">
                  <c:v>113.06258958432872</c:v>
                </c:pt>
                <c:pt idx="1">
                  <c:v>147.0939183987683</c:v>
                </c:pt>
                <c:pt idx="2">
                  <c:v>116.91288843606725</c:v>
                </c:pt>
                <c:pt idx="3">
                  <c:v>109.87124463519316</c:v>
                </c:pt>
                <c:pt idx="4">
                  <c:v>132.43243243243253</c:v>
                </c:pt>
                <c:pt idx="5">
                  <c:v>114.70588235294113</c:v>
                </c:pt>
                <c:pt idx="6">
                  <c:v>154.46428571428572</c:v>
                </c:pt>
                <c:pt idx="7">
                  <c:v>138.50931677018633</c:v>
                </c:pt>
                <c:pt idx="8">
                  <c:v>116.77018633540366</c:v>
                </c:pt>
                <c:pt idx="9">
                  <c:v>150.8333333333334</c:v>
                </c:pt>
                <c:pt idx="10">
                  <c:v>173.83177570093457</c:v>
                </c:pt>
                <c:pt idx="11">
                  <c:v>132.69230769230768</c:v>
                </c:pt>
                <c:pt idx="12">
                  <c:v>141</c:v>
                </c:pt>
                <c:pt idx="13">
                  <c:v>177.14285714285708</c:v>
                </c:pt>
                <c:pt idx="14">
                  <c:v>141.37931034482759</c:v>
                </c:pt>
                <c:pt idx="15">
                  <c:v>300</c:v>
                </c:pt>
                <c:pt idx="16">
                  <c:v>142.55319148936164</c:v>
                </c:pt>
                <c:pt idx="17">
                  <c:v>108</c:v>
                </c:pt>
              </c:numCache>
            </c:numRef>
          </c:val>
        </c:ser>
        <c:dLbls>
          <c:showLegendKey val="0"/>
          <c:showVal val="0"/>
          <c:showCatName val="0"/>
          <c:showSerName val="0"/>
          <c:showPercent val="0"/>
          <c:showBubbleSize val="0"/>
        </c:dLbls>
        <c:gapWidth val="50"/>
        <c:axId val="288816128"/>
        <c:axId val="288834688"/>
      </c:barChart>
      <c:lineChart>
        <c:grouping val="standard"/>
        <c:varyColors val="0"/>
        <c:ser>
          <c:idx val="1"/>
          <c:order val="1"/>
          <c:tx>
            <c:strRef>
              <c:f>Trabajo!$H$155</c:f>
              <c:strCache>
                <c:ptCount val="1"/>
                <c:pt idx="0">
                  <c:v>100 Hombres</c:v>
                </c:pt>
              </c:strCache>
            </c:strRef>
          </c:tx>
          <c:spPr>
            <a:ln w="19050">
              <a:solidFill>
                <a:schemeClr val="tx1"/>
              </a:solidFill>
            </a:ln>
          </c:spPr>
          <c:marker>
            <c:symbol val="none"/>
          </c:marker>
          <c:cat>
            <c:strRef>
              <c:f>Trabajo!$F$156:$F$173</c:f>
              <c:strCache>
                <c:ptCount val="18"/>
                <c:pt idx="0">
                  <c:v>España</c:v>
                </c:pt>
                <c:pt idx="1">
                  <c:v>Estados Unidos</c:v>
                </c:pt>
                <c:pt idx="2">
                  <c:v>Italia</c:v>
                </c:pt>
                <c:pt idx="3">
                  <c:v>Chile</c:v>
                </c:pt>
                <c:pt idx="4">
                  <c:v>Venezuela</c:v>
                </c:pt>
                <c:pt idx="5">
                  <c:v>Colombia</c:v>
                </c:pt>
                <c:pt idx="6">
                  <c:v>Bélgica</c:v>
                </c:pt>
                <c:pt idx="7">
                  <c:v>Canadá</c:v>
                </c:pt>
                <c:pt idx="8">
                  <c:v>Reino Unido</c:v>
                </c:pt>
                <c:pt idx="9">
                  <c:v>Suiza</c:v>
                </c:pt>
                <c:pt idx="10">
                  <c:v>Francia</c:v>
                </c:pt>
                <c:pt idx="11">
                  <c:v>Alemania</c:v>
                </c:pt>
                <c:pt idx="12">
                  <c:v>Argentina</c:v>
                </c:pt>
                <c:pt idx="13">
                  <c:v>Perú</c:v>
                </c:pt>
                <c:pt idx="14">
                  <c:v>México</c:v>
                </c:pt>
                <c:pt idx="15">
                  <c:v> Brasil</c:v>
                </c:pt>
                <c:pt idx="16">
                  <c:v> Países Bajos</c:v>
                </c:pt>
                <c:pt idx="17">
                  <c:v> Panamá</c:v>
                </c:pt>
              </c:strCache>
            </c:strRef>
          </c:cat>
          <c:val>
            <c:numRef>
              <c:f>Trabajo!$H$156:$H$173</c:f>
              <c:numCache>
                <c:formatCode>0</c:formatCode>
                <c:ptCount val="1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numCache>
            </c:numRef>
          </c:val>
          <c:smooth val="0"/>
        </c:ser>
        <c:dLbls>
          <c:showLegendKey val="0"/>
          <c:showVal val="0"/>
          <c:showCatName val="0"/>
          <c:showSerName val="0"/>
          <c:showPercent val="0"/>
          <c:showBubbleSize val="0"/>
        </c:dLbls>
        <c:marker val="1"/>
        <c:smooth val="0"/>
        <c:axId val="288816128"/>
        <c:axId val="288834688"/>
      </c:lineChart>
      <c:catAx>
        <c:axId val="288816128"/>
        <c:scaling>
          <c:orientation val="minMax"/>
        </c:scaling>
        <c:delete val="0"/>
        <c:axPos val="b"/>
        <c:title>
          <c:tx>
            <c:rich>
              <a:bodyPr/>
              <a:lstStyle/>
              <a:p>
                <a:pPr>
                  <a:defRPr/>
                </a:pPr>
                <a:r>
                  <a:rPr lang="es-EC"/>
                  <a:t>País</a:t>
                </a:r>
                <a:r>
                  <a:rPr lang="es-EC" baseline="0"/>
                  <a:t> de residencia actual</a:t>
                </a:r>
                <a:endParaRPr lang="es-EC"/>
              </a:p>
            </c:rich>
          </c:tx>
          <c:overlay val="0"/>
        </c:title>
        <c:majorTickMark val="out"/>
        <c:minorTickMark val="none"/>
        <c:tickLblPos val="nextTo"/>
        <c:spPr>
          <a:ln>
            <a:solidFill>
              <a:schemeClr val="tx1"/>
            </a:solidFill>
          </a:ln>
        </c:spPr>
        <c:txPr>
          <a:bodyPr rot="-5400000" vert="horz"/>
          <a:lstStyle/>
          <a:p>
            <a:pPr>
              <a:defRPr sz="700"/>
            </a:pPr>
            <a:endParaRPr lang="es-EC"/>
          </a:p>
        </c:txPr>
        <c:crossAx val="288834688"/>
        <c:crosses val="autoZero"/>
        <c:auto val="1"/>
        <c:lblAlgn val="ctr"/>
        <c:lblOffset val="100"/>
        <c:noMultiLvlLbl val="0"/>
      </c:catAx>
      <c:valAx>
        <c:axId val="288834688"/>
        <c:scaling>
          <c:orientation val="minMax"/>
          <c:max val="350"/>
          <c:min val="0"/>
        </c:scaling>
        <c:delete val="0"/>
        <c:axPos val="l"/>
        <c:title>
          <c:tx>
            <c:rich>
              <a:bodyPr rot="-5400000" vert="horz"/>
              <a:lstStyle/>
              <a:p>
                <a:pPr>
                  <a:defRPr/>
                </a:pPr>
                <a:r>
                  <a:rPr lang="es-EC"/>
                  <a:t>Índice de Feminidad</a:t>
                </a:r>
              </a:p>
            </c:rich>
          </c:tx>
          <c:overlay val="0"/>
        </c:title>
        <c:numFmt formatCode="0" sourceLinked="0"/>
        <c:majorTickMark val="out"/>
        <c:minorTickMark val="none"/>
        <c:tickLblPos val="nextTo"/>
        <c:spPr>
          <a:ln>
            <a:solidFill>
              <a:schemeClr val="tx1"/>
            </a:solidFill>
          </a:ln>
        </c:spPr>
        <c:crossAx val="288816128"/>
        <c:crosses val="autoZero"/>
        <c:crossBetween val="between"/>
        <c:majorUnit val="50"/>
      </c:valAx>
      <c:spPr>
        <a:noFill/>
        <a:ln>
          <a:solidFill>
            <a:schemeClr val="tx1"/>
          </a:solidFill>
        </a:ln>
      </c:spPr>
    </c:plotArea>
    <c:legend>
      <c:legendPos val="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02115806952704"/>
          <c:y val="4.7908093278463702E-2"/>
          <c:w val="0.80382442760692663"/>
          <c:h val="0.86384670781893003"/>
        </c:manualLayout>
      </c:layout>
      <c:barChart>
        <c:barDir val="bar"/>
        <c:grouping val="stacked"/>
        <c:varyColors val="0"/>
        <c:ser>
          <c:idx val="0"/>
          <c:order val="0"/>
          <c:spPr>
            <a:solidFill>
              <a:schemeClr val="accent5">
                <a:lumMod val="40000"/>
                <a:lumOff val="60000"/>
              </a:schemeClr>
            </a:solidFill>
            <a:ln>
              <a:solidFill>
                <a:schemeClr val="accent5">
                  <a:lumMod val="75000"/>
                </a:schemeClr>
              </a:solidFill>
            </a:ln>
          </c:spPr>
          <c:invertIfNegative val="0"/>
          <c:cat>
            <c:strRef>
              <c:f>UnionFamiliar!$B$269:$B$289</c:f>
              <c:strCache>
                <c:ptCount val="21"/>
                <c:pt idx="0">
                  <c:v>Menores de  1</c:v>
                </c:pt>
                <c:pt idx="1">
                  <c:v>1 a 4</c:v>
                </c:pt>
                <c:pt idx="2">
                  <c:v>5 a 9</c:v>
                </c:pt>
                <c:pt idx="3">
                  <c:v>10 a 14</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strCache>
            </c:strRef>
          </c:cat>
          <c:val>
            <c:numRef>
              <c:f>UnionFamiliar!$F$269:$F$289</c:f>
              <c:numCache>
                <c:formatCode>0.00%</c:formatCode>
                <c:ptCount val="21"/>
                <c:pt idx="0">
                  <c:v>-1.8775816748028563E-3</c:v>
                </c:pt>
                <c:pt idx="1">
                  <c:v>-5.8521256200960464E-2</c:v>
                </c:pt>
                <c:pt idx="2">
                  <c:v>-6.7000019764017635E-2</c:v>
                </c:pt>
                <c:pt idx="3">
                  <c:v>-8.7851058363144066E-2</c:v>
                </c:pt>
                <c:pt idx="4">
                  <c:v>-7.7712117319208809E-2</c:v>
                </c:pt>
                <c:pt idx="5">
                  <c:v>-4.4923612071861983E-2</c:v>
                </c:pt>
                <c:pt idx="6">
                  <c:v>-3.1918888471648518E-2</c:v>
                </c:pt>
                <c:pt idx="7">
                  <c:v>-2.4645729983991151E-2</c:v>
                </c:pt>
                <c:pt idx="8">
                  <c:v>-1.5811214103602981E-2</c:v>
                </c:pt>
                <c:pt idx="9">
                  <c:v>-1.0633041484673004E-2</c:v>
                </c:pt>
                <c:pt idx="10">
                  <c:v>-8.3404154396505715E-3</c:v>
                </c:pt>
                <c:pt idx="11">
                  <c:v>-9.3088523034962657E-3</c:v>
                </c:pt>
                <c:pt idx="12">
                  <c:v>-5.9489693064806335E-3</c:v>
                </c:pt>
                <c:pt idx="13">
                  <c:v>-5.3560487775955092E-3</c:v>
                </c:pt>
                <c:pt idx="14">
                  <c:v>-4.4469039666383435E-3</c:v>
                </c:pt>
                <c:pt idx="15">
                  <c:v>-2.9053105915370528E-3</c:v>
                </c:pt>
                <c:pt idx="16">
                  <c:v>-1.7392335513963298E-3</c:v>
                </c:pt>
                <c:pt idx="17">
                  <c:v>-7.1150463466213422E-4</c:v>
                </c:pt>
                <c:pt idx="18">
                  <c:v>-3.3598829970156343E-4</c:v>
                </c:pt>
                <c:pt idx="19">
                  <c:v>-2.7669624681305258E-4</c:v>
                </c:pt>
                <c:pt idx="20">
                  <c:v>-1.1858410577702241E-4</c:v>
                </c:pt>
              </c:numCache>
            </c:numRef>
          </c:val>
        </c:ser>
        <c:ser>
          <c:idx val="1"/>
          <c:order val="1"/>
          <c:spPr>
            <a:solidFill>
              <a:schemeClr val="accent6">
                <a:lumMod val="60000"/>
                <a:lumOff val="40000"/>
              </a:schemeClr>
            </a:solidFill>
            <a:ln>
              <a:solidFill>
                <a:schemeClr val="accent6">
                  <a:lumMod val="75000"/>
                </a:schemeClr>
              </a:solidFill>
            </a:ln>
          </c:spPr>
          <c:invertIfNegative val="0"/>
          <c:cat>
            <c:strRef>
              <c:f>UnionFamiliar!$B$269:$B$289</c:f>
              <c:strCache>
                <c:ptCount val="21"/>
                <c:pt idx="0">
                  <c:v>Menores de  1</c:v>
                </c:pt>
                <c:pt idx="1">
                  <c:v>1 a 4</c:v>
                </c:pt>
                <c:pt idx="2">
                  <c:v>5 a 9</c:v>
                </c:pt>
                <c:pt idx="3">
                  <c:v>10 a 14</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strCache>
            </c:strRef>
          </c:cat>
          <c:val>
            <c:numRef>
              <c:f>UnionFamiliar!$G$269:$G$289</c:f>
              <c:numCache>
                <c:formatCode>0.00%</c:formatCode>
                <c:ptCount val="21"/>
                <c:pt idx="0">
                  <c:v>1.3439531988062559E-3</c:v>
                </c:pt>
                <c:pt idx="1">
                  <c:v>4.3974939225645812E-2</c:v>
                </c:pt>
                <c:pt idx="2">
                  <c:v>6.2968160167598874E-2</c:v>
                </c:pt>
                <c:pt idx="3">
                  <c:v>7.6486748226179416E-2</c:v>
                </c:pt>
                <c:pt idx="4">
                  <c:v>7.05773069549578E-2</c:v>
                </c:pt>
                <c:pt idx="5">
                  <c:v>7.0952823289918393E-2</c:v>
                </c:pt>
                <c:pt idx="6">
                  <c:v>6.0556950016799414E-2</c:v>
                </c:pt>
                <c:pt idx="7">
                  <c:v>4.1464908986698822E-2</c:v>
                </c:pt>
                <c:pt idx="8">
                  <c:v>2.7946320928118291E-2</c:v>
                </c:pt>
                <c:pt idx="9">
                  <c:v>1.8835108800917079E-2</c:v>
                </c:pt>
                <c:pt idx="10">
                  <c:v>1.355811609383956E-2</c:v>
                </c:pt>
                <c:pt idx="11">
                  <c:v>1.4170800640354184E-2</c:v>
                </c:pt>
                <c:pt idx="12">
                  <c:v>1.1700298436666225E-2</c:v>
                </c:pt>
                <c:pt idx="13">
                  <c:v>9.7436606913453364E-3</c:v>
                </c:pt>
                <c:pt idx="14">
                  <c:v>6.0280253769986374E-3</c:v>
                </c:pt>
                <c:pt idx="15">
                  <c:v>4.2887918256023175E-3</c:v>
                </c:pt>
                <c:pt idx="16">
                  <c:v>2.7471984505010247E-3</c:v>
                </c:pt>
                <c:pt idx="17">
                  <c:v>1.1858410577702241E-3</c:v>
                </c:pt>
                <c:pt idx="18">
                  <c:v>6.324485641441192E-4</c:v>
                </c:pt>
                <c:pt idx="19">
                  <c:v>3.1622428207205981E-4</c:v>
                </c:pt>
                <c:pt idx="20">
                  <c:v>1.3834812340652629E-4</c:v>
                </c:pt>
              </c:numCache>
            </c:numRef>
          </c:val>
        </c:ser>
        <c:dLbls>
          <c:showLegendKey val="0"/>
          <c:showVal val="0"/>
          <c:showCatName val="0"/>
          <c:showSerName val="0"/>
          <c:showPercent val="0"/>
          <c:showBubbleSize val="0"/>
        </c:dLbls>
        <c:gapWidth val="0"/>
        <c:overlap val="100"/>
        <c:axId val="288873088"/>
        <c:axId val="288887552"/>
      </c:barChart>
      <c:catAx>
        <c:axId val="288873088"/>
        <c:scaling>
          <c:orientation val="minMax"/>
        </c:scaling>
        <c:delete val="0"/>
        <c:axPos val="l"/>
        <c:title>
          <c:tx>
            <c:rich>
              <a:bodyPr rot="-5400000" vert="horz"/>
              <a:lstStyle/>
              <a:p>
                <a:pPr>
                  <a:defRPr/>
                </a:pPr>
                <a:r>
                  <a:rPr lang="es-EC"/>
                  <a:t>Grupos Etarios</a:t>
                </a:r>
              </a:p>
            </c:rich>
          </c:tx>
          <c:overlay val="0"/>
        </c:title>
        <c:numFmt formatCode="General" sourceLinked="1"/>
        <c:majorTickMark val="out"/>
        <c:minorTickMark val="none"/>
        <c:tickLblPos val="nextTo"/>
        <c:spPr>
          <a:ln>
            <a:solidFill>
              <a:sysClr val="windowText" lastClr="000000"/>
            </a:solidFill>
          </a:ln>
        </c:spPr>
        <c:txPr>
          <a:bodyPr/>
          <a:lstStyle/>
          <a:p>
            <a:pPr>
              <a:defRPr sz="700"/>
            </a:pPr>
            <a:endParaRPr lang="es-EC"/>
          </a:p>
        </c:txPr>
        <c:crossAx val="288887552"/>
        <c:crossesAt val="-15"/>
        <c:auto val="1"/>
        <c:lblAlgn val="ctr"/>
        <c:lblOffset val="100"/>
        <c:noMultiLvlLbl val="0"/>
      </c:catAx>
      <c:valAx>
        <c:axId val="288887552"/>
        <c:scaling>
          <c:orientation val="minMax"/>
          <c:max val="0.14000000000000001"/>
          <c:min val="-0.14000000000000001"/>
        </c:scaling>
        <c:delete val="0"/>
        <c:axPos val="b"/>
        <c:majorGridlines>
          <c:spPr>
            <a:ln>
              <a:prstDash val="dash"/>
            </a:ln>
          </c:spPr>
        </c:majorGridlines>
        <c:numFmt formatCode="0%;0%" sourceLinked="0"/>
        <c:majorTickMark val="out"/>
        <c:minorTickMark val="none"/>
        <c:tickLblPos val="nextTo"/>
        <c:spPr>
          <a:ln>
            <a:solidFill>
              <a:schemeClr val="tx1"/>
            </a:solidFill>
          </a:ln>
        </c:spPr>
        <c:crossAx val="288873088"/>
        <c:crosses val="autoZero"/>
        <c:crossBetween val="between"/>
        <c:majorUnit val="4.0000000000000022E-2"/>
      </c:valAx>
      <c:spPr>
        <a:noFill/>
        <a:ln>
          <a:solidFill>
            <a:sysClr val="windowText" lastClr="000000"/>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916498061035404E-2"/>
          <c:y val="7.8336687734661098E-2"/>
          <c:w val="0.87164074355083576"/>
          <c:h val="0.58749808084574295"/>
        </c:manualLayout>
      </c:layout>
      <c:barChart>
        <c:barDir val="col"/>
        <c:grouping val="stacked"/>
        <c:varyColors val="0"/>
        <c:ser>
          <c:idx val="0"/>
          <c:order val="0"/>
          <c:tx>
            <c:strRef>
              <c:f>UnionFamiliar!$AA$299</c:f>
              <c:strCache>
                <c:ptCount val="1"/>
                <c:pt idx="0">
                  <c:v>Menores de 15</c:v>
                </c:pt>
              </c:strCache>
            </c:strRef>
          </c:tx>
          <c:spPr>
            <a:solidFill>
              <a:schemeClr val="accent6">
                <a:lumMod val="75000"/>
              </a:schemeClr>
            </a:solidFill>
          </c:spPr>
          <c:invertIfNegative val="0"/>
          <c:dLbls>
            <c:numFmt formatCode="#,##0.000" sourceLinked="0"/>
            <c:txPr>
              <a:bodyPr rot="-5400000" vert="horz"/>
              <a:lstStyle/>
              <a:p>
                <a:pPr>
                  <a:defRPr sz="700"/>
                </a:pPr>
                <a:endParaRPr lang="es-EC"/>
              </a:p>
            </c:txPr>
            <c:dLblPos val="ctr"/>
            <c:showLegendKey val="0"/>
            <c:showVal val="1"/>
            <c:showCatName val="0"/>
            <c:showSerName val="0"/>
            <c:showPercent val="0"/>
            <c:showBubbleSize val="0"/>
            <c:showLeaderLines val="0"/>
          </c:dLbls>
          <c:cat>
            <c:strRef>
              <c:f>UnionFamiliar!$Z$300:$Z$317</c:f>
              <c:strCache>
                <c:ptCount val="18"/>
                <c:pt idx="0">
                  <c:v>España</c:v>
                </c:pt>
                <c:pt idx="1">
                  <c:v>Estados 
Unidos</c:v>
                </c:pt>
                <c:pt idx="2">
                  <c:v>Italia</c:v>
                </c:pt>
                <c:pt idx="3">
                  <c:v>Colombia</c:v>
                </c:pt>
                <c:pt idx="4">
                  <c:v>Chile</c:v>
                </c:pt>
                <c:pt idx="5">
                  <c:v>Venezuela</c:v>
                </c:pt>
                <c:pt idx="6">
                  <c:v>Canadá</c:v>
                </c:pt>
                <c:pt idx="7">
                  <c:v>Alemania</c:v>
                </c:pt>
                <c:pt idx="8">
                  <c:v>Bélgica</c:v>
                </c:pt>
                <c:pt idx="9">
                  <c:v>Reino Unido</c:v>
                </c:pt>
                <c:pt idx="10">
                  <c:v>Perú</c:v>
                </c:pt>
                <c:pt idx="11">
                  <c:v>Argentina</c:v>
                </c:pt>
                <c:pt idx="12">
                  <c:v>Suiza</c:v>
                </c:pt>
                <c:pt idx="13">
                  <c:v>Francia</c:v>
                </c:pt>
                <c:pt idx="14">
                  <c:v>México</c:v>
                </c:pt>
                <c:pt idx="15">
                  <c:v>Países Bajos</c:v>
                </c:pt>
                <c:pt idx="16">
                  <c:v>Brasil</c:v>
                </c:pt>
                <c:pt idx="17">
                  <c:v>Cuba</c:v>
                </c:pt>
              </c:strCache>
            </c:strRef>
          </c:cat>
          <c:val>
            <c:numRef>
              <c:f>UnionFamiliar!$AA$300:$AA$317</c:f>
              <c:numCache>
                <c:formatCode>0.00%</c:formatCode>
                <c:ptCount val="18"/>
                <c:pt idx="0">
                  <c:v>0.47324752208817294</c:v>
                </c:pt>
                <c:pt idx="1">
                  <c:v>0.24690396448321536</c:v>
                </c:pt>
                <c:pt idx="2">
                  <c:v>0.41028651949271988</c:v>
                </c:pt>
                <c:pt idx="3">
                  <c:v>0.33128834355828257</c:v>
                </c:pt>
                <c:pt idx="4">
                  <c:v>0.37441860465116311</c:v>
                </c:pt>
                <c:pt idx="5">
                  <c:v>0.36986301369863051</c:v>
                </c:pt>
                <c:pt idx="6">
                  <c:v>0.20175438596491241</c:v>
                </c:pt>
                <c:pt idx="7">
                  <c:v>0.2421875</c:v>
                </c:pt>
                <c:pt idx="8">
                  <c:v>0.48710601719197738</c:v>
                </c:pt>
                <c:pt idx="9">
                  <c:v>0.26910299003322258</c:v>
                </c:pt>
                <c:pt idx="10">
                  <c:v>0.25255972696245732</c:v>
                </c:pt>
                <c:pt idx="11">
                  <c:v>0.24793388429752103</c:v>
                </c:pt>
                <c:pt idx="12">
                  <c:v>0.24066390041493776</c:v>
                </c:pt>
                <c:pt idx="13">
                  <c:v>0.34020618556701032</c:v>
                </c:pt>
                <c:pt idx="14">
                  <c:v>0.16428571428571417</c:v>
                </c:pt>
                <c:pt idx="15">
                  <c:v>0.21551724137931064</c:v>
                </c:pt>
                <c:pt idx="16">
                  <c:v>0.22807017543859637</c:v>
                </c:pt>
                <c:pt idx="17">
                  <c:v>0.14423076923076922</c:v>
                </c:pt>
              </c:numCache>
            </c:numRef>
          </c:val>
        </c:ser>
        <c:ser>
          <c:idx val="1"/>
          <c:order val="1"/>
          <c:tx>
            <c:strRef>
              <c:f>UnionFamiliar!$AB$299</c:f>
              <c:strCache>
                <c:ptCount val="1"/>
                <c:pt idx="0">
                  <c:v>15 a 64</c:v>
                </c:pt>
              </c:strCache>
            </c:strRef>
          </c:tx>
          <c:spPr>
            <a:solidFill>
              <a:srgbClr val="00B0F0"/>
            </a:solidFill>
          </c:spPr>
          <c:invertIfNegative val="0"/>
          <c:dLbls>
            <c:numFmt formatCode="#,##0.000" sourceLinked="0"/>
            <c:txPr>
              <a:bodyPr rot="-5400000" vert="horz"/>
              <a:lstStyle/>
              <a:p>
                <a:pPr>
                  <a:defRPr sz="700"/>
                </a:pPr>
                <a:endParaRPr lang="es-EC"/>
              </a:p>
            </c:txPr>
            <c:dLblPos val="ctr"/>
            <c:showLegendKey val="0"/>
            <c:showVal val="1"/>
            <c:showCatName val="0"/>
            <c:showSerName val="0"/>
            <c:showPercent val="0"/>
            <c:showBubbleSize val="0"/>
            <c:showLeaderLines val="0"/>
          </c:dLbls>
          <c:cat>
            <c:strRef>
              <c:f>UnionFamiliar!$Z$300:$Z$317</c:f>
              <c:strCache>
                <c:ptCount val="18"/>
                <c:pt idx="0">
                  <c:v>España</c:v>
                </c:pt>
                <c:pt idx="1">
                  <c:v>Estados 
Unidos</c:v>
                </c:pt>
                <c:pt idx="2">
                  <c:v>Italia</c:v>
                </c:pt>
                <c:pt idx="3">
                  <c:v>Colombia</c:v>
                </c:pt>
                <c:pt idx="4">
                  <c:v>Chile</c:v>
                </c:pt>
                <c:pt idx="5">
                  <c:v>Venezuela</c:v>
                </c:pt>
                <c:pt idx="6">
                  <c:v>Canadá</c:v>
                </c:pt>
                <c:pt idx="7">
                  <c:v>Alemania</c:v>
                </c:pt>
                <c:pt idx="8">
                  <c:v>Bélgica</c:v>
                </c:pt>
                <c:pt idx="9">
                  <c:v>Reino Unido</c:v>
                </c:pt>
                <c:pt idx="10">
                  <c:v>Perú</c:v>
                </c:pt>
                <c:pt idx="11">
                  <c:v>Argentina</c:v>
                </c:pt>
                <c:pt idx="12">
                  <c:v>Suiza</c:v>
                </c:pt>
                <c:pt idx="13">
                  <c:v>Francia</c:v>
                </c:pt>
                <c:pt idx="14">
                  <c:v>México</c:v>
                </c:pt>
                <c:pt idx="15">
                  <c:v>Países Bajos</c:v>
                </c:pt>
                <c:pt idx="16">
                  <c:v>Brasil</c:v>
                </c:pt>
                <c:pt idx="17">
                  <c:v>Cuba</c:v>
                </c:pt>
              </c:strCache>
            </c:strRef>
          </c:cat>
          <c:val>
            <c:numRef>
              <c:f>UnionFamiliar!$AB$300:$AB$317</c:f>
              <c:numCache>
                <c:formatCode>0.00%</c:formatCode>
                <c:ptCount val="18"/>
                <c:pt idx="0">
                  <c:v>0.51652688702516036</c:v>
                </c:pt>
                <c:pt idx="1">
                  <c:v>0.69172053898278685</c:v>
                </c:pt>
                <c:pt idx="2">
                  <c:v>0.57327383748238703</c:v>
                </c:pt>
                <c:pt idx="3">
                  <c:v>0.64417177914110502</c:v>
                </c:pt>
                <c:pt idx="4">
                  <c:v>0.59186046511627843</c:v>
                </c:pt>
                <c:pt idx="5">
                  <c:v>0.57990867579908745</c:v>
                </c:pt>
                <c:pt idx="6">
                  <c:v>0.74385964912280766</c:v>
                </c:pt>
                <c:pt idx="7">
                  <c:v>0.74479166666666763</c:v>
                </c:pt>
                <c:pt idx="8">
                  <c:v>0.50143266475644566</c:v>
                </c:pt>
                <c:pt idx="9">
                  <c:v>0.71428571428571463</c:v>
                </c:pt>
                <c:pt idx="10">
                  <c:v>0.73720136518771329</c:v>
                </c:pt>
                <c:pt idx="11">
                  <c:v>0.73966942148760362</c:v>
                </c:pt>
                <c:pt idx="12">
                  <c:v>0.73443983402489765</c:v>
                </c:pt>
                <c:pt idx="13">
                  <c:v>0.65463917525773263</c:v>
                </c:pt>
                <c:pt idx="14">
                  <c:v>0.82142857142857229</c:v>
                </c:pt>
                <c:pt idx="15">
                  <c:v>0.7844827586206895</c:v>
                </c:pt>
                <c:pt idx="16">
                  <c:v>0.74561403508771962</c:v>
                </c:pt>
                <c:pt idx="17">
                  <c:v>0.79807692307692257</c:v>
                </c:pt>
              </c:numCache>
            </c:numRef>
          </c:val>
        </c:ser>
        <c:ser>
          <c:idx val="2"/>
          <c:order val="2"/>
          <c:tx>
            <c:strRef>
              <c:f>UnionFamiliar!$AC$299</c:f>
              <c:strCache>
                <c:ptCount val="1"/>
                <c:pt idx="0">
                  <c:v>65 y más</c:v>
                </c:pt>
              </c:strCache>
            </c:strRef>
          </c:tx>
          <c:spPr>
            <a:solidFill>
              <a:srgbClr val="D11FD1"/>
            </a:solidFill>
          </c:spPr>
          <c:invertIfNegative val="0"/>
          <c:cat>
            <c:strRef>
              <c:f>UnionFamiliar!$Z$300:$Z$317</c:f>
              <c:strCache>
                <c:ptCount val="18"/>
                <c:pt idx="0">
                  <c:v>España</c:v>
                </c:pt>
                <c:pt idx="1">
                  <c:v>Estados 
Unidos</c:v>
                </c:pt>
                <c:pt idx="2">
                  <c:v>Italia</c:v>
                </c:pt>
                <c:pt idx="3">
                  <c:v>Colombia</c:v>
                </c:pt>
                <c:pt idx="4">
                  <c:v>Chile</c:v>
                </c:pt>
                <c:pt idx="5">
                  <c:v>Venezuela</c:v>
                </c:pt>
                <c:pt idx="6">
                  <c:v>Canadá</c:v>
                </c:pt>
                <c:pt idx="7">
                  <c:v>Alemania</c:v>
                </c:pt>
                <c:pt idx="8">
                  <c:v>Bélgica</c:v>
                </c:pt>
                <c:pt idx="9">
                  <c:v>Reino Unido</c:v>
                </c:pt>
                <c:pt idx="10">
                  <c:v>Perú</c:v>
                </c:pt>
                <c:pt idx="11">
                  <c:v>Argentina</c:v>
                </c:pt>
                <c:pt idx="12">
                  <c:v>Suiza</c:v>
                </c:pt>
                <c:pt idx="13">
                  <c:v>Francia</c:v>
                </c:pt>
                <c:pt idx="14">
                  <c:v>México</c:v>
                </c:pt>
                <c:pt idx="15">
                  <c:v>Países Bajos</c:v>
                </c:pt>
                <c:pt idx="16">
                  <c:v>Brasil</c:v>
                </c:pt>
                <c:pt idx="17">
                  <c:v>Cuba</c:v>
                </c:pt>
              </c:strCache>
            </c:strRef>
          </c:cat>
          <c:val>
            <c:numRef>
              <c:f>UnionFamiliar!$AC$300:$AC$317</c:f>
              <c:numCache>
                <c:formatCode>0.00%</c:formatCode>
                <c:ptCount val="18"/>
                <c:pt idx="0">
                  <c:v>1.0225590886666381E-2</c:v>
                </c:pt>
                <c:pt idx="1">
                  <c:v>6.1375496533997972E-2</c:v>
                </c:pt>
                <c:pt idx="2">
                  <c:v>1.6439643024894316E-2</c:v>
                </c:pt>
                <c:pt idx="3">
                  <c:v>2.453987730061355E-2</c:v>
                </c:pt>
                <c:pt idx="4">
                  <c:v>3.3720930232558143E-2</c:v>
                </c:pt>
                <c:pt idx="5">
                  <c:v>5.0228310502283095E-2</c:v>
                </c:pt>
                <c:pt idx="6">
                  <c:v>5.4385964912280808E-2</c:v>
                </c:pt>
                <c:pt idx="7">
                  <c:v>1.3020833333333355E-2</c:v>
                </c:pt>
                <c:pt idx="8">
                  <c:v>1.1461318051575941E-2</c:v>
                </c:pt>
                <c:pt idx="9">
                  <c:v>1.6611295681063145E-2</c:v>
                </c:pt>
                <c:pt idx="10">
                  <c:v>1.0238907849829348E-2</c:v>
                </c:pt>
                <c:pt idx="11">
                  <c:v>1.2396694214876033E-2</c:v>
                </c:pt>
                <c:pt idx="12">
                  <c:v>2.4896265560166015E-2</c:v>
                </c:pt>
                <c:pt idx="13">
                  <c:v>5.1546391752577319E-3</c:v>
                </c:pt>
                <c:pt idx="14">
                  <c:v>1.4285714285714285E-2</c:v>
                </c:pt>
                <c:pt idx="15">
                  <c:v>0</c:v>
                </c:pt>
                <c:pt idx="16">
                  <c:v>2.6315789473684216E-2</c:v>
                </c:pt>
                <c:pt idx="17">
                  <c:v>5.7692307692307723E-2</c:v>
                </c:pt>
              </c:numCache>
            </c:numRef>
          </c:val>
        </c:ser>
        <c:dLbls>
          <c:showLegendKey val="0"/>
          <c:showVal val="0"/>
          <c:showCatName val="0"/>
          <c:showSerName val="0"/>
          <c:showPercent val="0"/>
          <c:showBubbleSize val="0"/>
        </c:dLbls>
        <c:gapWidth val="40"/>
        <c:overlap val="100"/>
        <c:axId val="288908800"/>
        <c:axId val="288910720"/>
      </c:barChart>
      <c:catAx>
        <c:axId val="288908800"/>
        <c:scaling>
          <c:orientation val="minMax"/>
        </c:scaling>
        <c:delete val="0"/>
        <c:axPos val="b"/>
        <c:title>
          <c:tx>
            <c:rich>
              <a:bodyPr/>
              <a:lstStyle/>
              <a:p>
                <a:pPr>
                  <a:defRPr/>
                </a:pPr>
                <a:r>
                  <a:rPr lang="es-EC"/>
                  <a:t>País de residencia</a:t>
                </a:r>
                <a:r>
                  <a:rPr lang="es-EC" baseline="0"/>
                  <a:t> actual</a:t>
                </a:r>
                <a:endParaRPr lang="es-EC"/>
              </a:p>
            </c:rich>
          </c:tx>
          <c:overlay val="0"/>
        </c:title>
        <c:majorTickMark val="out"/>
        <c:minorTickMark val="none"/>
        <c:tickLblPos val="nextTo"/>
        <c:spPr>
          <a:ln>
            <a:solidFill>
              <a:schemeClr val="tx1"/>
            </a:solidFill>
          </a:ln>
        </c:spPr>
        <c:txPr>
          <a:bodyPr rot="-5400000" vert="horz"/>
          <a:lstStyle/>
          <a:p>
            <a:pPr>
              <a:defRPr sz="700"/>
            </a:pPr>
            <a:endParaRPr lang="es-EC"/>
          </a:p>
        </c:txPr>
        <c:crossAx val="288910720"/>
        <c:crosses val="autoZero"/>
        <c:auto val="1"/>
        <c:lblAlgn val="ctr"/>
        <c:lblOffset val="100"/>
        <c:noMultiLvlLbl val="0"/>
      </c:catAx>
      <c:valAx>
        <c:axId val="288910720"/>
        <c:scaling>
          <c:orientation val="minMax"/>
          <c:max val="1"/>
          <c:min val="0"/>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nextTo"/>
        <c:spPr>
          <a:ln>
            <a:solidFill>
              <a:schemeClr val="tx1"/>
            </a:solidFill>
          </a:ln>
        </c:spPr>
        <c:crossAx val="288908800"/>
        <c:crosses val="autoZero"/>
        <c:crossBetween val="between"/>
        <c:majorUnit val="0.1"/>
      </c:valAx>
      <c:spPr>
        <a:noFill/>
        <a:ln>
          <a:solidFill>
            <a:schemeClr val="tx1"/>
          </a:solidFill>
        </a:ln>
      </c:spPr>
    </c:plotArea>
    <c:legend>
      <c:legendPos val="t"/>
      <c:layout>
        <c:manualLayout>
          <c:xMode val="edge"/>
          <c:yMode val="edge"/>
          <c:x val="0.28045009434061752"/>
          <c:y val="2.1662961986213409E-5"/>
          <c:w val="0.43909981131876624"/>
          <c:h val="8.8762873250709279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Trabajo!$K$524</c:f>
              <c:strCache>
                <c:ptCount val="1"/>
                <c:pt idx="0">
                  <c:v>España</c:v>
                </c:pt>
              </c:strCache>
            </c:strRef>
          </c:tx>
          <c:spPr>
            <a:ln w="19050">
              <a:solidFill>
                <a:srgbClr val="0070C0"/>
              </a:solidFill>
            </a:ln>
          </c:spPr>
          <c:marker>
            <c:symbol val="none"/>
          </c:marker>
          <c:cat>
            <c:strRef>
              <c:f>UnionFamiliar!$J$418:$J$438</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UnionFamiliar!$K$418:$K$438</c:f>
              <c:numCache>
                <c:formatCode>0.00</c:formatCode>
                <c:ptCount val="21"/>
                <c:pt idx="0">
                  <c:v>421.05263157894734</c:v>
                </c:pt>
                <c:pt idx="1">
                  <c:v>308.34177642688269</c:v>
                </c:pt>
                <c:pt idx="2">
                  <c:v>598.23008849557527</c:v>
                </c:pt>
                <c:pt idx="3">
                  <c:v>566.47919010123735</c:v>
                </c:pt>
                <c:pt idx="4">
                  <c:v>544.50661241098646</c:v>
                </c:pt>
                <c:pt idx="5">
                  <c:v>409.1509018917734</c:v>
                </c:pt>
                <c:pt idx="6">
                  <c:v>326.93498452012381</c:v>
                </c:pt>
                <c:pt idx="7">
                  <c:v>325.58139534883685</c:v>
                </c:pt>
                <c:pt idx="8">
                  <c:v>346.25</c:v>
                </c:pt>
                <c:pt idx="9">
                  <c:v>412.63940520446141</c:v>
                </c:pt>
                <c:pt idx="10">
                  <c:v>367.29857819905214</c:v>
                </c:pt>
                <c:pt idx="11">
                  <c:v>231.42250530785563</c:v>
                </c:pt>
                <c:pt idx="12">
                  <c:v>179.40199335548198</c:v>
                </c:pt>
                <c:pt idx="13">
                  <c:v>180.81180811808127</c:v>
                </c:pt>
                <c:pt idx="14">
                  <c:v>151.11111111111094</c:v>
                </c:pt>
                <c:pt idx="15">
                  <c:v>190.47619047619045</c:v>
                </c:pt>
                <c:pt idx="16">
                  <c:v>227.27272727272725</c:v>
                </c:pt>
                <c:pt idx="17">
                  <c:v>55.55555555555555</c:v>
                </c:pt>
                <c:pt idx="18">
                  <c:v>58.823529411764639</c:v>
                </c:pt>
                <c:pt idx="19">
                  <c:v>500</c:v>
                </c:pt>
                <c:pt idx="20">
                  <c:v>500</c:v>
                </c:pt>
              </c:numCache>
            </c:numRef>
          </c:val>
          <c:smooth val="1"/>
        </c:ser>
        <c:ser>
          <c:idx val="1"/>
          <c:order val="1"/>
          <c:tx>
            <c:strRef>
              <c:f>Trabajo!$L$524</c:f>
              <c:strCache>
                <c:ptCount val="1"/>
                <c:pt idx="0">
                  <c:v>Estados Unidos</c:v>
                </c:pt>
              </c:strCache>
            </c:strRef>
          </c:tx>
          <c:spPr>
            <a:ln w="19050">
              <a:solidFill>
                <a:srgbClr val="E010C2"/>
              </a:solidFill>
            </a:ln>
          </c:spPr>
          <c:marker>
            <c:symbol val="none"/>
          </c:marker>
          <c:cat>
            <c:strRef>
              <c:f>UnionFamiliar!$J$418:$J$438</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UnionFamiliar!$L$418:$L$438</c:f>
              <c:numCache>
                <c:formatCode>0.00</c:formatCode>
                <c:ptCount val="21"/>
                <c:pt idx="0">
                  <c:v>147.36842105263207</c:v>
                </c:pt>
                <c:pt idx="1">
                  <c:v>121.58054711246177</c:v>
                </c:pt>
                <c:pt idx="2">
                  <c:v>146.31268436578171</c:v>
                </c:pt>
                <c:pt idx="3">
                  <c:v>186.05174353205851</c:v>
                </c:pt>
                <c:pt idx="4">
                  <c:v>207.52797558494402</c:v>
                </c:pt>
                <c:pt idx="5">
                  <c:v>286.84557853057635</c:v>
                </c:pt>
                <c:pt idx="6">
                  <c:v>289.78328173374678</c:v>
                </c:pt>
                <c:pt idx="7">
                  <c:v>287.08901363271872</c:v>
                </c:pt>
                <c:pt idx="8">
                  <c:v>286.25</c:v>
                </c:pt>
                <c:pt idx="9">
                  <c:v>226.76579925650555</c:v>
                </c:pt>
                <c:pt idx="10">
                  <c:v>251.18483412322257</c:v>
                </c:pt>
                <c:pt idx="11">
                  <c:v>299.36305732484078</c:v>
                </c:pt>
                <c:pt idx="12">
                  <c:v>411.9601328903654</c:v>
                </c:pt>
                <c:pt idx="13">
                  <c:v>564.57564575645802</c:v>
                </c:pt>
                <c:pt idx="14">
                  <c:v>688.88888888888891</c:v>
                </c:pt>
                <c:pt idx="15">
                  <c:v>591.83673469387759</c:v>
                </c:pt>
                <c:pt idx="16">
                  <c:v>534.09090909090821</c:v>
                </c:pt>
                <c:pt idx="17">
                  <c:v>638.8888888888888</c:v>
                </c:pt>
                <c:pt idx="18">
                  <c:v>705.88235294117726</c:v>
                </c:pt>
                <c:pt idx="19">
                  <c:v>357.14285714285751</c:v>
                </c:pt>
                <c:pt idx="20">
                  <c:v>166.66666666666652</c:v>
                </c:pt>
              </c:numCache>
            </c:numRef>
          </c:val>
          <c:smooth val="1"/>
        </c:ser>
        <c:ser>
          <c:idx val="2"/>
          <c:order val="2"/>
          <c:tx>
            <c:strRef>
              <c:f>Trabajo!$M$524</c:f>
              <c:strCache>
                <c:ptCount val="1"/>
                <c:pt idx="0">
                  <c:v>Italia</c:v>
                </c:pt>
              </c:strCache>
            </c:strRef>
          </c:tx>
          <c:spPr>
            <a:ln w="19050">
              <a:solidFill>
                <a:schemeClr val="accent6">
                  <a:lumMod val="75000"/>
                </a:schemeClr>
              </a:solidFill>
            </a:ln>
          </c:spPr>
          <c:marker>
            <c:symbol val="none"/>
          </c:marker>
          <c:cat>
            <c:strRef>
              <c:f>UnionFamiliar!$J$418:$J$438</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UnionFamiliar!$M$418:$M$438</c:f>
              <c:numCache>
                <c:formatCode>0.00</c:formatCode>
                <c:ptCount val="21"/>
                <c:pt idx="0">
                  <c:v>31.578947368421034</c:v>
                </c:pt>
                <c:pt idx="1">
                  <c:v>33.096926713947987</c:v>
                </c:pt>
                <c:pt idx="2">
                  <c:v>88.200589970501483</c:v>
                </c:pt>
                <c:pt idx="3">
                  <c:v>101.91226096737925</c:v>
                </c:pt>
                <c:pt idx="4">
                  <c:v>121.31230925737539</c:v>
                </c:pt>
                <c:pt idx="5">
                  <c:v>80.950285965684117</c:v>
                </c:pt>
                <c:pt idx="6">
                  <c:v>65.63467492260061</c:v>
                </c:pt>
                <c:pt idx="7">
                  <c:v>69.767441860465112</c:v>
                </c:pt>
                <c:pt idx="8">
                  <c:v>72.5</c:v>
                </c:pt>
                <c:pt idx="9">
                  <c:v>74.34944237918215</c:v>
                </c:pt>
                <c:pt idx="10">
                  <c:v>106.63507109004738</c:v>
                </c:pt>
                <c:pt idx="11">
                  <c:v>70.063694267516013</c:v>
                </c:pt>
                <c:pt idx="12">
                  <c:v>99.667774086378742</c:v>
                </c:pt>
                <c:pt idx="13">
                  <c:v>77.490774907749085</c:v>
                </c:pt>
                <c:pt idx="14">
                  <c:v>44.444444444444358</c:v>
                </c:pt>
                <c:pt idx="15">
                  <c:v>34.013605442176882</c:v>
                </c:pt>
                <c:pt idx="16">
                  <c:v>68.181818181818173</c:v>
                </c:pt>
                <c:pt idx="17">
                  <c:v>138.88888888888911</c:v>
                </c:pt>
                <c:pt idx="18">
                  <c:v>0</c:v>
                </c:pt>
                <c:pt idx="19">
                  <c:v>142.85714285714312</c:v>
                </c:pt>
                <c:pt idx="20">
                  <c:v>166.66666666666652</c:v>
                </c:pt>
              </c:numCache>
            </c:numRef>
          </c:val>
          <c:smooth val="0"/>
        </c:ser>
        <c:ser>
          <c:idx val="3"/>
          <c:order val="3"/>
          <c:tx>
            <c:strRef>
              <c:f>Trabajo!$N$524</c:f>
              <c:strCache>
                <c:ptCount val="1"/>
                <c:pt idx="0">
                  <c:v>Otros</c:v>
                </c:pt>
              </c:strCache>
            </c:strRef>
          </c:tx>
          <c:spPr>
            <a:ln w="19050">
              <a:solidFill>
                <a:srgbClr val="00B050"/>
              </a:solidFill>
            </a:ln>
          </c:spPr>
          <c:marker>
            <c:symbol val="none"/>
          </c:marker>
          <c:cat>
            <c:strRef>
              <c:f>UnionFamiliar!$J$418:$J$438</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UnionFamiliar!$N$418:$N$438</c:f>
              <c:numCache>
                <c:formatCode>0.00</c:formatCode>
                <c:ptCount val="21"/>
                <c:pt idx="0">
                  <c:v>400</c:v>
                </c:pt>
                <c:pt idx="1">
                  <c:v>536.98074974670806</c:v>
                </c:pt>
                <c:pt idx="2">
                  <c:v>167.25663716814142</c:v>
                </c:pt>
                <c:pt idx="3">
                  <c:v>145.55680539932499</c:v>
                </c:pt>
                <c:pt idx="4">
                  <c:v>126.65310274669366</c:v>
                </c:pt>
                <c:pt idx="5">
                  <c:v>223.05323361196656</c:v>
                </c:pt>
                <c:pt idx="6">
                  <c:v>317.64705882352973</c:v>
                </c:pt>
                <c:pt idx="7">
                  <c:v>317.56214915797881</c:v>
                </c:pt>
                <c:pt idx="8">
                  <c:v>295</c:v>
                </c:pt>
                <c:pt idx="9">
                  <c:v>286.24535315985162</c:v>
                </c:pt>
                <c:pt idx="10">
                  <c:v>274.88151658767691</c:v>
                </c:pt>
                <c:pt idx="11">
                  <c:v>399.15074309978814</c:v>
                </c:pt>
                <c:pt idx="12">
                  <c:v>308.97009966777375</c:v>
                </c:pt>
                <c:pt idx="13">
                  <c:v>177.12177121771217</c:v>
                </c:pt>
                <c:pt idx="14">
                  <c:v>115.55555555555547</c:v>
                </c:pt>
                <c:pt idx="15">
                  <c:v>183.6734693877552</c:v>
                </c:pt>
                <c:pt idx="16">
                  <c:v>170.45454545454538</c:v>
                </c:pt>
                <c:pt idx="17">
                  <c:v>166.66666666666652</c:v>
                </c:pt>
                <c:pt idx="18">
                  <c:v>235.29411764705878</c:v>
                </c:pt>
                <c:pt idx="19">
                  <c:v>0</c:v>
                </c:pt>
                <c:pt idx="20">
                  <c:v>166.66666666666652</c:v>
                </c:pt>
              </c:numCache>
            </c:numRef>
          </c:val>
          <c:smooth val="0"/>
        </c:ser>
        <c:dLbls>
          <c:showLegendKey val="0"/>
          <c:showVal val="0"/>
          <c:showCatName val="0"/>
          <c:showSerName val="0"/>
          <c:showPercent val="0"/>
          <c:showBubbleSize val="0"/>
        </c:dLbls>
        <c:marker val="1"/>
        <c:smooth val="0"/>
        <c:axId val="288943488"/>
        <c:axId val="288957952"/>
      </c:lineChart>
      <c:catAx>
        <c:axId val="288943488"/>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8957952"/>
        <c:crosses val="autoZero"/>
        <c:auto val="1"/>
        <c:lblAlgn val="ctr"/>
        <c:lblOffset val="100"/>
        <c:noMultiLvlLbl val="0"/>
      </c:catAx>
      <c:valAx>
        <c:axId val="288957952"/>
        <c:scaling>
          <c:orientation val="minMax"/>
          <c:max val="1000"/>
          <c:min val="0"/>
        </c:scaling>
        <c:delete val="0"/>
        <c:axPos val="l"/>
        <c:title>
          <c:tx>
            <c:rich>
              <a:bodyPr rot="-5400000" vert="horz"/>
              <a:lstStyle/>
              <a:p>
                <a:pPr>
                  <a:defRPr sz="600"/>
                </a:pPr>
                <a:r>
                  <a:rPr lang="es-EC" sz="600"/>
                  <a:t>Tasa por</a:t>
                </a:r>
                <a:r>
                  <a:rPr lang="es-EC" sz="600" baseline="0"/>
                  <a:t> cada 1000 emigrantes</a:t>
                </a:r>
                <a:endParaRPr lang="es-EC" sz="600"/>
              </a:p>
            </c:rich>
          </c:tx>
          <c:layout>
            <c:manualLayout>
              <c:xMode val="edge"/>
              <c:yMode val="edge"/>
              <c:x val="6.0305697081982435E-3"/>
              <c:y val="5.0485944020582471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8943488"/>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Trabajo!$K$524</c:f>
              <c:strCache>
                <c:ptCount val="1"/>
                <c:pt idx="0">
                  <c:v>España</c:v>
                </c:pt>
              </c:strCache>
            </c:strRef>
          </c:tx>
          <c:spPr>
            <a:ln w="19050">
              <a:solidFill>
                <a:srgbClr val="0070C0"/>
              </a:solidFill>
            </a:ln>
          </c:spPr>
          <c:marker>
            <c:symbol val="none"/>
          </c:marker>
          <c:cat>
            <c:strRef>
              <c:f>UnionFamiliar!$J$418:$J$438</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UnionFamiliar!$K$440:$K$460</c:f>
              <c:numCache>
                <c:formatCode>0.00</c:formatCode>
                <c:ptCount val="21"/>
                <c:pt idx="0">
                  <c:v>279.41176470588198</c:v>
                </c:pt>
                <c:pt idx="1">
                  <c:v>376.62921348314632</c:v>
                </c:pt>
                <c:pt idx="2">
                  <c:v>596.67294413057152</c:v>
                </c:pt>
                <c:pt idx="3">
                  <c:v>593.02325581395269</c:v>
                </c:pt>
                <c:pt idx="4">
                  <c:v>541.02492299075823</c:v>
                </c:pt>
                <c:pt idx="5">
                  <c:v>420.6128133704737</c:v>
                </c:pt>
                <c:pt idx="6">
                  <c:v>321.80156657963443</c:v>
                </c:pt>
                <c:pt idx="7">
                  <c:v>330.31458531935237</c:v>
                </c:pt>
                <c:pt idx="8">
                  <c:v>348.65629420084872</c:v>
                </c:pt>
                <c:pt idx="9">
                  <c:v>369.35991605456451</c:v>
                </c:pt>
                <c:pt idx="10">
                  <c:v>351.31195335276965</c:v>
                </c:pt>
                <c:pt idx="11">
                  <c:v>269.17712691771266</c:v>
                </c:pt>
                <c:pt idx="12">
                  <c:v>250</c:v>
                </c:pt>
                <c:pt idx="13">
                  <c:v>198.78296146044622</c:v>
                </c:pt>
                <c:pt idx="14">
                  <c:v>206.55737704918047</c:v>
                </c:pt>
                <c:pt idx="15">
                  <c:v>156.68202764976974</c:v>
                </c:pt>
                <c:pt idx="16">
                  <c:v>187.05035971223043</c:v>
                </c:pt>
                <c:pt idx="17">
                  <c:v>83.333333333333258</c:v>
                </c:pt>
                <c:pt idx="18">
                  <c:v>31.25</c:v>
                </c:pt>
                <c:pt idx="19">
                  <c:v>250</c:v>
                </c:pt>
                <c:pt idx="20">
                  <c:v>0</c:v>
                </c:pt>
              </c:numCache>
            </c:numRef>
          </c:val>
          <c:smooth val="1"/>
        </c:ser>
        <c:ser>
          <c:idx val="1"/>
          <c:order val="1"/>
          <c:tx>
            <c:strRef>
              <c:f>Trabajo!$L$524</c:f>
              <c:strCache>
                <c:ptCount val="1"/>
                <c:pt idx="0">
                  <c:v>Estados Unidos</c:v>
                </c:pt>
              </c:strCache>
            </c:strRef>
          </c:tx>
          <c:spPr>
            <a:ln w="19050">
              <a:solidFill>
                <a:srgbClr val="E010C2"/>
              </a:solidFill>
            </a:ln>
          </c:spPr>
          <c:marker>
            <c:symbol val="none"/>
          </c:marker>
          <c:cat>
            <c:strRef>
              <c:f>UnionFamiliar!$J$418:$J$438</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UnionFamiliar!$L$440:$L$460</c:f>
              <c:numCache>
                <c:formatCode>0.00</c:formatCode>
                <c:ptCount val="21"/>
                <c:pt idx="0">
                  <c:v>294.11764705882371</c:v>
                </c:pt>
                <c:pt idx="1">
                  <c:v>140.67415730337078</c:v>
                </c:pt>
                <c:pt idx="2">
                  <c:v>161.33082234777169</c:v>
                </c:pt>
                <c:pt idx="3">
                  <c:v>161.75710594315228</c:v>
                </c:pt>
                <c:pt idx="4">
                  <c:v>209.74516942033028</c:v>
                </c:pt>
                <c:pt idx="5">
                  <c:v>320.0557103064067</c:v>
                </c:pt>
                <c:pt idx="6">
                  <c:v>341.38381201044388</c:v>
                </c:pt>
                <c:pt idx="7">
                  <c:v>353.67016205910392</c:v>
                </c:pt>
                <c:pt idx="8">
                  <c:v>368.45827439886847</c:v>
                </c:pt>
                <c:pt idx="9">
                  <c:v>379.85309548793265</c:v>
                </c:pt>
                <c:pt idx="10">
                  <c:v>405.24781341107865</c:v>
                </c:pt>
                <c:pt idx="11">
                  <c:v>443.51464435146448</c:v>
                </c:pt>
                <c:pt idx="12">
                  <c:v>445.94594594594594</c:v>
                </c:pt>
                <c:pt idx="13">
                  <c:v>574.03651115618663</c:v>
                </c:pt>
                <c:pt idx="14">
                  <c:v>573.77049180327867</c:v>
                </c:pt>
                <c:pt idx="15">
                  <c:v>612.90322580645147</c:v>
                </c:pt>
                <c:pt idx="16">
                  <c:v>553.95683453237405</c:v>
                </c:pt>
                <c:pt idx="17">
                  <c:v>666.66666666666663</c:v>
                </c:pt>
                <c:pt idx="18">
                  <c:v>718.75</c:v>
                </c:pt>
                <c:pt idx="19">
                  <c:v>500</c:v>
                </c:pt>
                <c:pt idx="20">
                  <c:v>285.71428571428567</c:v>
                </c:pt>
              </c:numCache>
            </c:numRef>
          </c:val>
          <c:smooth val="1"/>
        </c:ser>
        <c:ser>
          <c:idx val="2"/>
          <c:order val="2"/>
          <c:tx>
            <c:strRef>
              <c:f>Trabajo!$M$524</c:f>
              <c:strCache>
                <c:ptCount val="1"/>
                <c:pt idx="0">
                  <c:v>Italia</c:v>
                </c:pt>
              </c:strCache>
            </c:strRef>
          </c:tx>
          <c:spPr>
            <a:ln w="19050">
              <a:solidFill>
                <a:schemeClr val="accent6">
                  <a:lumMod val="75000"/>
                </a:schemeClr>
              </a:solidFill>
            </a:ln>
          </c:spPr>
          <c:marker>
            <c:symbol val="none"/>
          </c:marker>
          <c:cat>
            <c:strRef>
              <c:f>UnionFamiliar!$J$418:$J$438</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UnionFamiliar!$M$440:$M$460</c:f>
              <c:numCache>
                <c:formatCode>0.00</c:formatCode>
                <c:ptCount val="21"/>
                <c:pt idx="0">
                  <c:v>88.235294117647072</c:v>
                </c:pt>
                <c:pt idx="1">
                  <c:v>60.674157303370812</c:v>
                </c:pt>
                <c:pt idx="2">
                  <c:v>106.4030131826742</c:v>
                </c:pt>
                <c:pt idx="3">
                  <c:v>106.97674418604645</c:v>
                </c:pt>
                <c:pt idx="4">
                  <c:v>120.97451694203303</c:v>
                </c:pt>
                <c:pt idx="5">
                  <c:v>70.752089136490056</c:v>
                </c:pt>
                <c:pt idx="6">
                  <c:v>62.663185378590114</c:v>
                </c:pt>
                <c:pt idx="7">
                  <c:v>63.870352716873263</c:v>
                </c:pt>
                <c:pt idx="8">
                  <c:v>67.892503536067878</c:v>
                </c:pt>
                <c:pt idx="9">
                  <c:v>54.56453305351522</c:v>
                </c:pt>
                <c:pt idx="10">
                  <c:v>71.428571428571388</c:v>
                </c:pt>
                <c:pt idx="11">
                  <c:v>83.682008368200727</c:v>
                </c:pt>
                <c:pt idx="12">
                  <c:v>82.770270270270274</c:v>
                </c:pt>
                <c:pt idx="13">
                  <c:v>85.19269776876267</c:v>
                </c:pt>
                <c:pt idx="14">
                  <c:v>49.180327868852444</c:v>
                </c:pt>
                <c:pt idx="15">
                  <c:v>18.433179723502302</c:v>
                </c:pt>
                <c:pt idx="16">
                  <c:v>93.525179856115088</c:v>
                </c:pt>
                <c:pt idx="17">
                  <c:v>66.666666666666671</c:v>
                </c:pt>
                <c:pt idx="18">
                  <c:v>31.25</c:v>
                </c:pt>
                <c:pt idx="19">
                  <c:v>125</c:v>
                </c:pt>
                <c:pt idx="20">
                  <c:v>285.71428571428567</c:v>
                </c:pt>
              </c:numCache>
            </c:numRef>
          </c:val>
          <c:smooth val="0"/>
        </c:ser>
        <c:ser>
          <c:idx val="3"/>
          <c:order val="3"/>
          <c:tx>
            <c:strRef>
              <c:f>Trabajo!$N$524</c:f>
              <c:strCache>
                <c:ptCount val="1"/>
                <c:pt idx="0">
                  <c:v>Otros</c:v>
                </c:pt>
              </c:strCache>
            </c:strRef>
          </c:tx>
          <c:spPr>
            <a:ln w="19050">
              <a:solidFill>
                <a:srgbClr val="00B050"/>
              </a:solidFill>
            </a:ln>
          </c:spPr>
          <c:marker>
            <c:symbol val="none"/>
          </c:marker>
          <c:cat>
            <c:strRef>
              <c:f>UnionFamiliar!$J$418:$J$438</c:f>
              <c:strCache>
                <c:ptCount val="21"/>
                <c:pt idx="0">
                  <c:v>&lt;1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a 89</c:v>
                </c:pt>
                <c:pt idx="19">
                  <c:v>90 a 94</c:v>
                </c:pt>
                <c:pt idx="20">
                  <c:v> 95 a 99</c:v>
                </c:pt>
              </c:strCache>
            </c:strRef>
          </c:cat>
          <c:val>
            <c:numRef>
              <c:f>UnionFamiliar!$N$440:$N$460</c:f>
              <c:numCache>
                <c:formatCode>0.00</c:formatCode>
                <c:ptCount val="21"/>
                <c:pt idx="0">
                  <c:v>338.23529411764696</c:v>
                </c:pt>
                <c:pt idx="1">
                  <c:v>422.02247191011224</c:v>
                </c:pt>
                <c:pt idx="2">
                  <c:v>135.59322033898326</c:v>
                </c:pt>
                <c:pt idx="3">
                  <c:v>138.24289405684729</c:v>
                </c:pt>
                <c:pt idx="4">
                  <c:v>128.25539064687752</c:v>
                </c:pt>
                <c:pt idx="5">
                  <c:v>188.57938718662967</c:v>
                </c:pt>
                <c:pt idx="6">
                  <c:v>274.15143603133197</c:v>
                </c:pt>
                <c:pt idx="7">
                  <c:v>252.14489990467098</c:v>
                </c:pt>
                <c:pt idx="8">
                  <c:v>214.99292786421523</c:v>
                </c:pt>
                <c:pt idx="9">
                  <c:v>196.22245540398742</c:v>
                </c:pt>
                <c:pt idx="10">
                  <c:v>172.01166180758017</c:v>
                </c:pt>
                <c:pt idx="11">
                  <c:v>203.62622036262226</c:v>
                </c:pt>
                <c:pt idx="12">
                  <c:v>221.28378378378378</c:v>
                </c:pt>
                <c:pt idx="13">
                  <c:v>141.98782961460469</c:v>
                </c:pt>
                <c:pt idx="14">
                  <c:v>170.49180327868851</c:v>
                </c:pt>
                <c:pt idx="15">
                  <c:v>211.98156682027661</c:v>
                </c:pt>
                <c:pt idx="16">
                  <c:v>165.46762589928056</c:v>
                </c:pt>
                <c:pt idx="17">
                  <c:v>183.33333333333348</c:v>
                </c:pt>
                <c:pt idx="18">
                  <c:v>218.75</c:v>
                </c:pt>
                <c:pt idx="19">
                  <c:v>125</c:v>
                </c:pt>
                <c:pt idx="20">
                  <c:v>428.57142857142856</c:v>
                </c:pt>
              </c:numCache>
            </c:numRef>
          </c:val>
          <c:smooth val="0"/>
        </c:ser>
        <c:dLbls>
          <c:showLegendKey val="0"/>
          <c:showVal val="0"/>
          <c:showCatName val="0"/>
          <c:showSerName val="0"/>
          <c:showPercent val="0"/>
          <c:showBubbleSize val="0"/>
        </c:dLbls>
        <c:marker val="1"/>
        <c:smooth val="0"/>
        <c:axId val="288988544"/>
        <c:axId val="288990720"/>
      </c:lineChart>
      <c:catAx>
        <c:axId val="288988544"/>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8990720"/>
        <c:crosses val="autoZero"/>
        <c:auto val="1"/>
        <c:lblAlgn val="ctr"/>
        <c:lblOffset val="100"/>
        <c:noMultiLvlLbl val="0"/>
      </c:catAx>
      <c:valAx>
        <c:axId val="288990720"/>
        <c:scaling>
          <c:orientation val="minMax"/>
          <c:max val="1000"/>
          <c:min val="0"/>
        </c:scaling>
        <c:delete val="0"/>
        <c:axPos val="l"/>
        <c:title>
          <c:tx>
            <c:rich>
              <a:bodyPr rot="-5400000" vert="horz"/>
              <a:lstStyle/>
              <a:p>
                <a:pPr>
                  <a:defRPr sz="600"/>
                </a:pPr>
                <a:r>
                  <a:rPr lang="es-EC" sz="600"/>
                  <a:t>Tasa por</a:t>
                </a:r>
                <a:r>
                  <a:rPr lang="es-EC" sz="600" baseline="0"/>
                  <a:t> cada 1000 emigrantes</a:t>
                </a:r>
                <a:endParaRPr lang="es-EC" sz="600"/>
              </a:p>
            </c:rich>
          </c:tx>
          <c:layout>
            <c:manualLayout>
              <c:xMode val="edge"/>
              <c:yMode val="edge"/>
              <c:x val="6.0305697081982435E-3"/>
              <c:y val="5.7543107041048279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8988544"/>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96759259259257"/>
          <c:y val="5.0925925925925923E-2"/>
          <c:w val="0.85147706228956255"/>
          <c:h val="0.77086336332164551"/>
        </c:manualLayout>
      </c:layout>
      <c:lineChart>
        <c:grouping val="standard"/>
        <c:varyColors val="0"/>
        <c:ser>
          <c:idx val="0"/>
          <c:order val="0"/>
          <c:spPr>
            <a:ln w="19050">
              <a:solidFill>
                <a:schemeClr val="bg1">
                  <a:lumMod val="50000"/>
                </a:schemeClr>
              </a:solidFill>
            </a:ln>
          </c:spPr>
          <c:marker>
            <c:symbol val="diamond"/>
            <c:size val="5"/>
            <c:spPr>
              <a:solidFill>
                <a:schemeClr val="bg1">
                  <a:lumMod val="50000"/>
                </a:schemeClr>
              </a:solidFill>
            </c:spPr>
          </c:marker>
          <c:dLbls>
            <c:dLbl>
              <c:idx val="1"/>
              <c:layout>
                <c:manualLayout>
                  <c:x val="-5.3013087322894704E-2"/>
                  <c:y val="-4.3339976312985411E-2"/>
                </c:manualLayout>
              </c:layout>
              <c:dLblPos val="r"/>
              <c:showLegendKey val="0"/>
              <c:showVal val="1"/>
              <c:showCatName val="0"/>
              <c:showSerName val="0"/>
              <c:showPercent val="0"/>
              <c:showBubbleSize val="0"/>
            </c:dLbl>
            <c:txPr>
              <a:bodyPr/>
              <a:lstStyle/>
              <a:p>
                <a:pPr>
                  <a:defRPr sz="700"/>
                </a:pPr>
                <a:endParaRPr lang="es-EC"/>
              </a:p>
            </c:txPr>
            <c:dLblPos val="t"/>
            <c:showLegendKey val="0"/>
            <c:showVal val="1"/>
            <c:showCatName val="0"/>
            <c:showSerName val="0"/>
            <c:showPercent val="0"/>
            <c:showBubbleSize val="0"/>
            <c:showLeaderLines val="0"/>
          </c:dLbls>
          <c:cat>
            <c:numRef>
              <c:f>Estudio!$B$122:$B$131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Estudio!$C$122:$C$131</c:f>
              <c:numCache>
                <c:formatCode>###0</c:formatCode>
                <c:ptCount val="10"/>
                <c:pt idx="0">
                  <c:v>2745</c:v>
                </c:pt>
                <c:pt idx="1">
                  <c:v>2916</c:v>
                </c:pt>
                <c:pt idx="2">
                  <c:v>2094</c:v>
                </c:pt>
                <c:pt idx="3">
                  <c:v>1920</c:v>
                </c:pt>
                <c:pt idx="4">
                  <c:v>2716</c:v>
                </c:pt>
                <c:pt idx="5">
                  <c:v>2807</c:v>
                </c:pt>
                <c:pt idx="6">
                  <c:v>3120</c:v>
                </c:pt>
                <c:pt idx="7">
                  <c:v>3492</c:v>
                </c:pt>
                <c:pt idx="8">
                  <c:v>2645</c:v>
                </c:pt>
                <c:pt idx="9">
                  <c:v>4569</c:v>
                </c:pt>
              </c:numCache>
            </c:numRef>
          </c:val>
          <c:smooth val="0"/>
        </c:ser>
        <c:dLbls>
          <c:showLegendKey val="0"/>
          <c:showVal val="0"/>
          <c:showCatName val="0"/>
          <c:showSerName val="0"/>
          <c:showPercent val="0"/>
          <c:showBubbleSize val="0"/>
        </c:dLbls>
        <c:marker val="1"/>
        <c:smooth val="0"/>
        <c:axId val="289030144"/>
        <c:axId val="289032064"/>
      </c:lineChart>
      <c:catAx>
        <c:axId val="289030144"/>
        <c:scaling>
          <c:orientation val="minMax"/>
        </c:scaling>
        <c:delete val="0"/>
        <c:axPos val="b"/>
        <c:title>
          <c:tx>
            <c:rich>
              <a:bodyPr/>
              <a:lstStyle/>
              <a:p>
                <a:pPr>
                  <a:defRPr/>
                </a:pPr>
                <a:r>
                  <a:rPr lang="es-EC"/>
                  <a:t>Año de salida</a:t>
                </a:r>
              </a:p>
            </c:rich>
          </c:tx>
          <c:overlay val="0"/>
        </c:title>
        <c:numFmt formatCode="General" sourceLinked="1"/>
        <c:majorTickMark val="out"/>
        <c:minorTickMark val="none"/>
        <c:tickLblPos val="nextTo"/>
        <c:spPr>
          <a:ln>
            <a:solidFill>
              <a:schemeClr val="tx1"/>
            </a:solidFill>
          </a:ln>
        </c:spPr>
        <c:crossAx val="289032064"/>
        <c:crosses val="autoZero"/>
        <c:auto val="1"/>
        <c:lblAlgn val="ctr"/>
        <c:lblOffset val="100"/>
        <c:noMultiLvlLbl val="0"/>
      </c:catAx>
      <c:valAx>
        <c:axId val="289032064"/>
        <c:scaling>
          <c:orientation val="minMax"/>
          <c:max val="6000"/>
          <c:min val="0"/>
        </c:scaling>
        <c:delete val="0"/>
        <c:axPos val="l"/>
        <c:title>
          <c:tx>
            <c:rich>
              <a:bodyPr rot="-5400000" vert="horz"/>
              <a:lstStyle/>
              <a:p>
                <a:pPr>
                  <a:defRPr/>
                </a:pPr>
                <a:r>
                  <a:rPr lang="es-EC"/>
                  <a:t>Número de emigrantes</a:t>
                </a:r>
              </a:p>
            </c:rich>
          </c:tx>
          <c:overlay val="0"/>
        </c:title>
        <c:numFmt formatCode="General" sourceLinked="0"/>
        <c:majorTickMark val="out"/>
        <c:minorTickMark val="none"/>
        <c:tickLblPos val="nextTo"/>
        <c:spPr>
          <a:ln>
            <a:solidFill>
              <a:schemeClr val="tx1"/>
            </a:solidFill>
          </a:ln>
        </c:spPr>
        <c:crossAx val="289030144"/>
        <c:crosses val="autoZero"/>
        <c:crossBetween val="between"/>
        <c:majorUnit val="1000"/>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308567198331018"/>
          <c:y val="2.1234639274762556E-2"/>
          <c:w val="0.65662595060232976"/>
          <c:h val="0.86821590260941295"/>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Estudio!$E$3:$E$19</c:f>
              <c:strCache>
                <c:ptCount val="17"/>
                <c:pt idx="0">
                  <c:v>España</c:v>
                </c:pt>
                <c:pt idx="1">
                  <c:v>Estados Unidos</c:v>
                </c:pt>
                <c:pt idx="2">
                  <c:v>Argentina</c:v>
                </c:pt>
                <c:pt idx="3">
                  <c:v>Italia</c:v>
                </c:pt>
                <c:pt idx="4">
                  <c:v>Cuba</c:v>
                </c:pt>
                <c:pt idx="5">
                  <c:v>Chile</c:v>
                </c:pt>
                <c:pt idx="6">
                  <c:v>Alemania</c:v>
                </c:pt>
                <c:pt idx="7">
                  <c:v>Canadá</c:v>
                </c:pt>
                <c:pt idx="8">
                  <c:v>México</c:v>
                </c:pt>
                <c:pt idx="9">
                  <c:v>Francia</c:v>
                </c:pt>
                <c:pt idx="10">
                  <c:v>Colombia</c:v>
                </c:pt>
                <c:pt idx="11">
                  <c:v>Reino Unido</c:v>
                </c:pt>
                <c:pt idx="12">
                  <c:v>Venezuela</c:v>
                </c:pt>
                <c:pt idx="13">
                  <c:v>Bélgica</c:v>
                </c:pt>
                <c:pt idx="14">
                  <c:v>Brasil</c:v>
                </c:pt>
                <c:pt idx="15">
                  <c:v>Otros países</c:v>
                </c:pt>
                <c:pt idx="16">
                  <c:v>No especifica</c:v>
                </c:pt>
              </c:strCache>
            </c:strRef>
          </c:cat>
          <c:val>
            <c:numRef>
              <c:f>Estudio!$F$3:$F$19</c:f>
              <c:numCache>
                <c:formatCode>0.00%</c:formatCode>
                <c:ptCount val="17"/>
                <c:pt idx="0">
                  <c:v>0.2816733433228345</c:v>
                </c:pt>
                <c:pt idx="1">
                  <c:v>0.26454848475581788</c:v>
                </c:pt>
                <c:pt idx="2">
                  <c:v>5.9631203938717535E-2</c:v>
                </c:pt>
                <c:pt idx="3">
                  <c:v>5.9447723311213806E-2</c:v>
                </c:pt>
                <c:pt idx="4">
                  <c:v>4.5533775725512975E-2</c:v>
                </c:pt>
                <c:pt idx="5">
                  <c:v>2.8133696217241062E-2</c:v>
                </c:pt>
                <c:pt idx="6">
                  <c:v>2.3791321366319076E-2</c:v>
                </c:pt>
                <c:pt idx="7">
                  <c:v>2.073331090792338E-2</c:v>
                </c:pt>
                <c:pt idx="8">
                  <c:v>1.8806764319134001E-2</c:v>
                </c:pt>
                <c:pt idx="9">
                  <c:v>1.7491819822023792E-2</c:v>
                </c:pt>
                <c:pt idx="10">
                  <c:v>1.6819057521176722E-2</c:v>
                </c:pt>
                <c:pt idx="11">
                  <c:v>1.3088284761933891E-2</c:v>
                </c:pt>
                <c:pt idx="12">
                  <c:v>1.2568422984006599E-2</c:v>
                </c:pt>
                <c:pt idx="13">
                  <c:v>8.9905507476835574E-3</c:v>
                </c:pt>
                <c:pt idx="14">
                  <c:v>8.3789486560044164E-3</c:v>
                </c:pt>
                <c:pt idx="15">
                  <c:v>7.2199626922724164E-2</c:v>
                </c:pt>
                <c:pt idx="16">
                  <c:v>4.8163664719733427E-2</c:v>
                </c:pt>
              </c:numCache>
            </c:numRef>
          </c:val>
        </c:ser>
        <c:dLbls>
          <c:showLegendKey val="0"/>
          <c:showVal val="1"/>
          <c:showCatName val="0"/>
          <c:showSerName val="0"/>
          <c:showPercent val="0"/>
          <c:showBubbleSize val="0"/>
        </c:dLbls>
        <c:gapWidth val="30"/>
        <c:axId val="289059584"/>
        <c:axId val="289062272"/>
      </c:barChart>
      <c:catAx>
        <c:axId val="289059584"/>
        <c:scaling>
          <c:orientation val="maxMin"/>
        </c:scaling>
        <c:delete val="0"/>
        <c:axPos val="l"/>
        <c:majorTickMark val="out"/>
        <c:minorTickMark val="none"/>
        <c:tickLblPos val="low"/>
        <c:spPr>
          <a:ln>
            <a:solidFill>
              <a:schemeClr val="tx1"/>
            </a:solidFill>
          </a:ln>
        </c:spPr>
        <c:txPr>
          <a:bodyPr/>
          <a:lstStyle/>
          <a:p>
            <a:pPr>
              <a:defRPr sz="700"/>
            </a:pPr>
            <a:endParaRPr lang="es-EC"/>
          </a:p>
        </c:txPr>
        <c:crossAx val="289062272"/>
        <c:crosses val="autoZero"/>
        <c:auto val="1"/>
        <c:lblAlgn val="ctr"/>
        <c:lblOffset val="100"/>
        <c:noMultiLvlLbl val="0"/>
      </c:catAx>
      <c:valAx>
        <c:axId val="289062272"/>
        <c:scaling>
          <c:orientation val="minMax"/>
          <c:max val="1"/>
        </c:scaling>
        <c:delete val="0"/>
        <c:axPos val="t"/>
        <c:title>
          <c:tx>
            <c:rich>
              <a:bodyPr/>
              <a:lstStyle/>
              <a:p>
                <a:pPr>
                  <a:defRPr/>
                </a:pPr>
                <a:r>
                  <a:rPr lang="es-EC"/>
                  <a:t>Frecuencia Relativa</a:t>
                </a:r>
              </a:p>
            </c:rich>
          </c:tx>
          <c:layout>
            <c:manualLayout>
              <c:xMode val="edge"/>
              <c:yMode val="edge"/>
              <c:x val="0.4783538596137023"/>
              <c:y val="0.94928591876529245"/>
            </c:manualLayout>
          </c:layout>
          <c:overlay val="0"/>
        </c:title>
        <c:numFmt formatCode="#,##0.00" sourceLinked="0"/>
        <c:majorTickMark val="in"/>
        <c:minorTickMark val="none"/>
        <c:tickLblPos val="high"/>
        <c:spPr>
          <a:ln>
            <a:solidFill>
              <a:schemeClr val="tx1"/>
            </a:solidFill>
          </a:ln>
        </c:spPr>
        <c:crossAx val="289059584"/>
        <c:crossesAt val="18"/>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892589918797498E-2"/>
          <c:y val="3.4218197908906185E-2"/>
          <c:w val="0.88171627800256303"/>
          <c:h val="0.65561205730341021"/>
        </c:manualLayout>
      </c:layout>
      <c:barChart>
        <c:barDir val="col"/>
        <c:grouping val="clustered"/>
        <c:varyColors val="0"/>
        <c:ser>
          <c:idx val="0"/>
          <c:order val="0"/>
          <c:tx>
            <c:strRef>
              <c:f>IndiceFeminidad!$F$2</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Estudio!$F$139:$F$156</c:f>
              <c:strCache>
                <c:ptCount val="18"/>
                <c:pt idx="0">
                  <c:v>España</c:v>
                </c:pt>
                <c:pt idx="1">
                  <c:v>Estados Unidos</c:v>
                </c:pt>
                <c:pt idx="2">
                  <c:v>Argentina</c:v>
                </c:pt>
                <c:pt idx="3">
                  <c:v>Italia</c:v>
                </c:pt>
                <c:pt idx="4">
                  <c:v>Cuba</c:v>
                </c:pt>
                <c:pt idx="5">
                  <c:v>Chile</c:v>
                </c:pt>
                <c:pt idx="6">
                  <c:v>Alemania</c:v>
                </c:pt>
                <c:pt idx="7">
                  <c:v>Canadá</c:v>
                </c:pt>
                <c:pt idx="8">
                  <c:v>México</c:v>
                </c:pt>
                <c:pt idx="9">
                  <c:v>Francia</c:v>
                </c:pt>
                <c:pt idx="10">
                  <c:v>Colombia</c:v>
                </c:pt>
                <c:pt idx="11">
                  <c:v>Reino Unido</c:v>
                </c:pt>
                <c:pt idx="12">
                  <c:v>Venezuela</c:v>
                </c:pt>
                <c:pt idx="13">
                  <c:v>Bélgica</c:v>
                </c:pt>
                <c:pt idx="14">
                  <c:v>Brasil</c:v>
                </c:pt>
                <c:pt idx="15">
                  <c:v> Rusia</c:v>
                </c:pt>
                <c:pt idx="16">
                  <c:v> Suiza</c:v>
                </c:pt>
                <c:pt idx="17">
                  <c:v> Perú</c:v>
                </c:pt>
              </c:strCache>
            </c:strRef>
          </c:cat>
          <c:val>
            <c:numRef>
              <c:f>Estudio!$G$139:$G$156</c:f>
              <c:numCache>
                <c:formatCode>0,000</c:formatCode>
                <c:ptCount val="18"/>
                <c:pt idx="0">
                  <c:v>106.47836807890604</c:v>
                </c:pt>
                <c:pt idx="1">
                  <c:v>94.579397210976126</c:v>
                </c:pt>
                <c:pt idx="2">
                  <c:v>82.584269662921386</c:v>
                </c:pt>
                <c:pt idx="3">
                  <c:v>106.80851063829789</c:v>
                </c:pt>
                <c:pt idx="4">
                  <c:v>108.25174825174825</c:v>
                </c:pt>
                <c:pt idx="5">
                  <c:v>94.503171247357301</c:v>
                </c:pt>
                <c:pt idx="6">
                  <c:v>97.964376590330787</c:v>
                </c:pt>
                <c:pt idx="7">
                  <c:v>107.33944954128441</c:v>
                </c:pt>
                <c:pt idx="8">
                  <c:v>80.882352941176478</c:v>
                </c:pt>
                <c:pt idx="9">
                  <c:v>95.221843003412971</c:v>
                </c:pt>
                <c:pt idx="10">
                  <c:v>82.724252491694344</c:v>
                </c:pt>
                <c:pt idx="11">
                  <c:v>82.90598290598291</c:v>
                </c:pt>
                <c:pt idx="12">
                  <c:v>81.858407079646</c:v>
                </c:pt>
                <c:pt idx="13">
                  <c:v>81.481481481481481</c:v>
                </c:pt>
                <c:pt idx="14">
                  <c:v>53.932584269662897</c:v>
                </c:pt>
                <c:pt idx="15">
                  <c:v>59.375</c:v>
                </c:pt>
                <c:pt idx="16">
                  <c:v>133.33333333333337</c:v>
                </c:pt>
                <c:pt idx="17">
                  <c:v>79.797979797979806</c:v>
                </c:pt>
              </c:numCache>
            </c:numRef>
          </c:val>
        </c:ser>
        <c:dLbls>
          <c:showLegendKey val="0"/>
          <c:showVal val="0"/>
          <c:showCatName val="0"/>
          <c:showSerName val="0"/>
          <c:showPercent val="0"/>
          <c:showBubbleSize val="0"/>
        </c:dLbls>
        <c:gapWidth val="50"/>
        <c:axId val="289104256"/>
        <c:axId val="289106176"/>
      </c:barChart>
      <c:lineChart>
        <c:grouping val="standard"/>
        <c:varyColors val="0"/>
        <c:ser>
          <c:idx val="1"/>
          <c:order val="1"/>
          <c:tx>
            <c:strRef>
              <c:f>Trabajo!$H$155</c:f>
              <c:strCache>
                <c:ptCount val="1"/>
                <c:pt idx="0">
                  <c:v>100 Hombres</c:v>
                </c:pt>
              </c:strCache>
            </c:strRef>
          </c:tx>
          <c:spPr>
            <a:ln w="19050">
              <a:solidFill>
                <a:schemeClr val="tx1"/>
              </a:solidFill>
            </a:ln>
          </c:spPr>
          <c:marker>
            <c:symbol val="none"/>
          </c:marker>
          <c:cat>
            <c:strRef>
              <c:f>Trabajo!$F$156:$F$173</c:f>
              <c:strCache>
                <c:ptCount val="18"/>
                <c:pt idx="0">
                  <c:v>España</c:v>
                </c:pt>
                <c:pt idx="1">
                  <c:v>Estados Unidos</c:v>
                </c:pt>
                <c:pt idx="2">
                  <c:v>Italia</c:v>
                </c:pt>
                <c:pt idx="3">
                  <c:v>Chile</c:v>
                </c:pt>
                <c:pt idx="4">
                  <c:v>Venezuela</c:v>
                </c:pt>
                <c:pt idx="5">
                  <c:v>Colombia</c:v>
                </c:pt>
                <c:pt idx="6">
                  <c:v>Bélgica</c:v>
                </c:pt>
                <c:pt idx="7">
                  <c:v>Canadá</c:v>
                </c:pt>
                <c:pt idx="8">
                  <c:v>Reino Unido</c:v>
                </c:pt>
                <c:pt idx="9">
                  <c:v>Suiza</c:v>
                </c:pt>
                <c:pt idx="10">
                  <c:v>Francia</c:v>
                </c:pt>
                <c:pt idx="11">
                  <c:v>Alemania</c:v>
                </c:pt>
                <c:pt idx="12">
                  <c:v>Argentina</c:v>
                </c:pt>
                <c:pt idx="13">
                  <c:v>Perú</c:v>
                </c:pt>
                <c:pt idx="14">
                  <c:v>México</c:v>
                </c:pt>
                <c:pt idx="15">
                  <c:v> Brasil</c:v>
                </c:pt>
                <c:pt idx="16">
                  <c:v> Países Bajos</c:v>
                </c:pt>
                <c:pt idx="17">
                  <c:v> Panamá</c:v>
                </c:pt>
              </c:strCache>
            </c:strRef>
          </c:cat>
          <c:val>
            <c:numRef>
              <c:f>Trabajo!$H$156:$H$173</c:f>
              <c:numCache>
                <c:formatCode>0</c:formatCode>
                <c:ptCount val="1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numCache>
            </c:numRef>
          </c:val>
          <c:smooth val="0"/>
        </c:ser>
        <c:dLbls>
          <c:showLegendKey val="0"/>
          <c:showVal val="0"/>
          <c:showCatName val="0"/>
          <c:showSerName val="0"/>
          <c:showPercent val="0"/>
          <c:showBubbleSize val="0"/>
        </c:dLbls>
        <c:marker val="1"/>
        <c:smooth val="0"/>
        <c:axId val="289104256"/>
        <c:axId val="289106176"/>
      </c:lineChart>
      <c:catAx>
        <c:axId val="289104256"/>
        <c:scaling>
          <c:orientation val="minMax"/>
        </c:scaling>
        <c:delete val="0"/>
        <c:axPos val="b"/>
        <c:title>
          <c:tx>
            <c:rich>
              <a:bodyPr/>
              <a:lstStyle/>
              <a:p>
                <a:pPr>
                  <a:defRPr/>
                </a:pPr>
                <a:r>
                  <a:rPr lang="es-EC"/>
                  <a:t>País</a:t>
                </a:r>
                <a:r>
                  <a:rPr lang="es-EC" baseline="0"/>
                  <a:t> de residencia actual</a:t>
                </a:r>
                <a:endParaRPr lang="es-EC"/>
              </a:p>
            </c:rich>
          </c:tx>
          <c:overlay val="0"/>
        </c:title>
        <c:majorTickMark val="out"/>
        <c:minorTickMark val="none"/>
        <c:tickLblPos val="nextTo"/>
        <c:spPr>
          <a:ln>
            <a:solidFill>
              <a:schemeClr val="tx1"/>
            </a:solidFill>
          </a:ln>
        </c:spPr>
        <c:txPr>
          <a:bodyPr rot="-5400000" vert="horz"/>
          <a:lstStyle/>
          <a:p>
            <a:pPr>
              <a:defRPr sz="700"/>
            </a:pPr>
            <a:endParaRPr lang="es-EC"/>
          </a:p>
        </c:txPr>
        <c:crossAx val="289106176"/>
        <c:crosses val="autoZero"/>
        <c:auto val="1"/>
        <c:lblAlgn val="ctr"/>
        <c:lblOffset val="100"/>
        <c:noMultiLvlLbl val="0"/>
      </c:catAx>
      <c:valAx>
        <c:axId val="289106176"/>
        <c:scaling>
          <c:orientation val="minMax"/>
          <c:max val="200"/>
          <c:min val="0"/>
        </c:scaling>
        <c:delete val="0"/>
        <c:axPos val="l"/>
        <c:title>
          <c:tx>
            <c:rich>
              <a:bodyPr rot="-5400000" vert="horz"/>
              <a:lstStyle/>
              <a:p>
                <a:pPr>
                  <a:defRPr/>
                </a:pPr>
                <a:r>
                  <a:rPr lang="es-EC"/>
                  <a:t>Índice de Feminidad</a:t>
                </a:r>
              </a:p>
            </c:rich>
          </c:tx>
          <c:overlay val="0"/>
        </c:title>
        <c:numFmt formatCode="0" sourceLinked="0"/>
        <c:majorTickMark val="out"/>
        <c:minorTickMark val="none"/>
        <c:tickLblPos val="nextTo"/>
        <c:spPr>
          <a:ln>
            <a:solidFill>
              <a:schemeClr val="tx1"/>
            </a:solidFill>
          </a:ln>
        </c:spPr>
        <c:crossAx val="289104256"/>
        <c:crosses val="autoZero"/>
        <c:crossBetween val="between"/>
        <c:majorUnit val="20"/>
      </c:valAx>
      <c:spPr>
        <a:noFill/>
        <a:ln>
          <a:solidFill>
            <a:schemeClr val="tx1"/>
          </a:solidFill>
        </a:ln>
      </c:spPr>
    </c:plotArea>
    <c:legend>
      <c:legendPos val="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8873658431765"/>
          <c:y val="7.7924323600695011E-2"/>
          <c:w val="0.86616405980926559"/>
          <c:h val="0.65628725650812125"/>
        </c:manualLayout>
      </c:layout>
      <c:lineChart>
        <c:grouping val="standard"/>
        <c:varyColors val="0"/>
        <c:ser>
          <c:idx val="0"/>
          <c:order val="0"/>
          <c:spPr>
            <a:ln w="19050">
              <a:solidFill>
                <a:srgbClr val="0070C0"/>
              </a:solidFill>
            </a:ln>
          </c:spPr>
          <c:marker>
            <c:symbol val="none"/>
          </c:marker>
          <c:cat>
            <c:strRef>
              <c:f>Inmigrantes_Guayaquil!$U$330:$U$349</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Inmigrantes_Guayaquil!$V$330:$V$349</c:f>
              <c:numCache>
                <c:formatCode>0.00</c:formatCode>
                <c:ptCount val="20"/>
                <c:pt idx="0">
                  <c:v>4.3808787527380497</c:v>
                </c:pt>
                <c:pt idx="1">
                  <c:v>24.867469879518072</c:v>
                </c:pt>
                <c:pt idx="2">
                  <c:v>184.75336322869956</c:v>
                </c:pt>
                <c:pt idx="3">
                  <c:v>388.60998433672108</c:v>
                </c:pt>
                <c:pt idx="4">
                  <c:v>458.91949811620754</c:v>
                </c:pt>
                <c:pt idx="5">
                  <c:v>482.60426635384255</c:v>
                </c:pt>
                <c:pt idx="6">
                  <c:v>509.8156421065878</c:v>
                </c:pt>
                <c:pt idx="7">
                  <c:v>518.77110937906014</c:v>
                </c:pt>
                <c:pt idx="8">
                  <c:v>513.35965778216428</c:v>
                </c:pt>
                <c:pt idx="9">
                  <c:v>475.43502477624509</c:v>
                </c:pt>
                <c:pt idx="10">
                  <c:v>416.9867125767002</c:v>
                </c:pt>
                <c:pt idx="11">
                  <c:v>335.52952659834068</c:v>
                </c:pt>
                <c:pt idx="12">
                  <c:v>223.53032901917987</c:v>
                </c:pt>
                <c:pt idx="13">
                  <c:v>144.61988915612233</c:v>
                </c:pt>
                <c:pt idx="14">
                  <c:v>88.654111162149718</c:v>
                </c:pt>
                <c:pt idx="15">
                  <c:v>48.521449396084968</c:v>
                </c:pt>
                <c:pt idx="16">
                  <c:v>30.973451327433633</c:v>
                </c:pt>
                <c:pt idx="17">
                  <c:v>12.830793905372895</c:v>
                </c:pt>
                <c:pt idx="18">
                  <c:v>4.9261083743842384</c:v>
                </c:pt>
                <c:pt idx="19">
                  <c:v>16.806722689075606</c:v>
                </c:pt>
              </c:numCache>
            </c:numRef>
          </c:val>
          <c:smooth val="1"/>
        </c:ser>
        <c:ser>
          <c:idx val="1"/>
          <c:order val="1"/>
          <c:spPr>
            <a:ln w="19050">
              <a:solidFill>
                <a:schemeClr val="accent6">
                  <a:lumMod val="75000"/>
                </a:schemeClr>
              </a:solidFill>
            </a:ln>
          </c:spPr>
          <c:marker>
            <c:symbol val="none"/>
          </c:marker>
          <c:cat>
            <c:strRef>
              <c:f>Inmigrantes_Guayaquil!$U$330:$U$349</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Inmigrantes_Guayaquil!$W$330:$W$349</c:f>
              <c:numCache>
                <c:formatCode>0.00</c:formatCode>
                <c:ptCount val="20"/>
                <c:pt idx="0">
                  <c:v>0.38654812524159282</c:v>
                </c:pt>
                <c:pt idx="1">
                  <c:v>2.9879518072289195</c:v>
                </c:pt>
                <c:pt idx="2">
                  <c:v>45.321375186846034</c:v>
                </c:pt>
                <c:pt idx="3">
                  <c:v>59.962247479818387</c:v>
                </c:pt>
                <c:pt idx="4">
                  <c:v>49.497079257543795</c:v>
                </c:pt>
                <c:pt idx="5">
                  <c:v>39.206001296576417</c:v>
                </c:pt>
                <c:pt idx="6">
                  <c:v>34.512049329893621</c:v>
                </c:pt>
                <c:pt idx="7">
                  <c:v>31.566640685892427</c:v>
                </c:pt>
                <c:pt idx="8">
                  <c:v>31.819677525501813</c:v>
                </c:pt>
                <c:pt idx="9">
                  <c:v>24.737832750739447</c:v>
                </c:pt>
                <c:pt idx="10">
                  <c:v>21.763121882311349</c:v>
                </c:pt>
                <c:pt idx="11">
                  <c:v>5.4904831625183022</c:v>
                </c:pt>
                <c:pt idx="12">
                  <c:v>2.2610322781849415</c:v>
                </c:pt>
                <c:pt idx="13">
                  <c:v>1.0456969570218537</c:v>
                </c:pt>
                <c:pt idx="14">
                  <c:v>0.4593477262287553</c:v>
                </c:pt>
                <c:pt idx="15">
                  <c:v>0.41649312786339027</c:v>
                </c:pt>
                <c:pt idx="16">
                  <c:v>0.36873156342182889</c:v>
                </c:pt>
                <c:pt idx="17">
                  <c:v>0</c:v>
                </c:pt>
                <c:pt idx="18">
                  <c:v>0</c:v>
                </c:pt>
                <c:pt idx="19">
                  <c:v>0</c:v>
                </c:pt>
              </c:numCache>
            </c:numRef>
          </c:val>
          <c:smooth val="1"/>
        </c:ser>
        <c:ser>
          <c:idx val="2"/>
          <c:order val="2"/>
          <c:spPr>
            <a:ln w="19050">
              <a:solidFill>
                <a:srgbClr val="D60093"/>
              </a:solidFill>
            </a:ln>
          </c:spPr>
          <c:marker>
            <c:symbol val="none"/>
          </c:marker>
          <c:cat>
            <c:strRef>
              <c:f>Inmigrantes_Guayaquil!$U$330:$U$349</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Inmigrantes_Guayaquil!$X$330:$X$349</c:f>
              <c:numCache>
                <c:formatCode>0.00</c:formatCode>
                <c:ptCount val="20"/>
                <c:pt idx="0">
                  <c:v>995.23257312202043</c:v>
                </c:pt>
                <c:pt idx="1">
                  <c:v>972.14457831325308</c:v>
                </c:pt>
                <c:pt idx="2">
                  <c:v>769.92526158445298</c:v>
                </c:pt>
                <c:pt idx="3">
                  <c:v>551.42776818345976</c:v>
                </c:pt>
                <c:pt idx="4">
                  <c:v>491.58342262624871</c:v>
                </c:pt>
                <c:pt idx="5">
                  <c:v>478.18973234958167</c:v>
                </c:pt>
                <c:pt idx="6">
                  <c:v>455.67230856351858</c:v>
                </c:pt>
                <c:pt idx="7">
                  <c:v>449.66224993504846</c:v>
                </c:pt>
                <c:pt idx="8">
                  <c:v>454.82066469233354</c:v>
                </c:pt>
                <c:pt idx="9">
                  <c:v>499.82714247301504</c:v>
                </c:pt>
                <c:pt idx="10">
                  <c:v>561.25016554098795</c:v>
                </c:pt>
                <c:pt idx="11">
                  <c:v>658.97999023914235</c:v>
                </c:pt>
                <c:pt idx="12">
                  <c:v>774.20863870263554</c:v>
                </c:pt>
                <c:pt idx="13">
                  <c:v>854.33441388685549</c:v>
                </c:pt>
                <c:pt idx="14">
                  <c:v>910.88654111162145</c:v>
                </c:pt>
                <c:pt idx="15">
                  <c:v>951.06205747605168</c:v>
                </c:pt>
                <c:pt idx="16">
                  <c:v>968.65781710914439</c:v>
                </c:pt>
                <c:pt idx="17">
                  <c:v>987.16920609462716</c:v>
                </c:pt>
                <c:pt idx="18">
                  <c:v>995.07389162561662</c:v>
                </c:pt>
                <c:pt idx="19">
                  <c:v>983.1932773109246</c:v>
                </c:pt>
              </c:numCache>
            </c:numRef>
          </c:val>
          <c:smooth val="0"/>
        </c:ser>
        <c:dLbls>
          <c:showLegendKey val="0"/>
          <c:showVal val="0"/>
          <c:showCatName val="0"/>
          <c:showSerName val="0"/>
          <c:showPercent val="0"/>
          <c:showBubbleSize val="0"/>
        </c:dLbls>
        <c:marker val="1"/>
        <c:smooth val="0"/>
        <c:axId val="250586240"/>
        <c:axId val="250588160"/>
      </c:lineChart>
      <c:catAx>
        <c:axId val="250586240"/>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50588160"/>
        <c:crosses val="autoZero"/>
        <c:auto val="1"/>
        <c:lblAlgn val="ctr"/>
        <c:lblOffset val="100"/>
        <c:noMultiLvlLbl val="0"/>
      </c:catAx>
      <c:valAx>
        <c:axId val="250588160"/>
        <c:scaling>
          <c:orientation val="minMax"/>
          <c:max val="1000"/>
          <c:min val="0"/>
        </c:scaling>
        <c:delete val="0"/>
        <c:axPos val="l"/>
        <c:title>
          <c:tx>
            <c:rich>
              <a:bodyPr rot="-5400000" vert="horz"/>
              <a:lstStyle/>
              <a:p>
                <a:pPr>
                  <a:defRPr sz="700"/>
                </a:pPr>
                <a:r>
                  <a:rPr lang="es-EC" sz="700"/>
                  <a:t>Tasa por cada 1000 Inmigrantes</a:t>
                </a:r>
              </a:p>
            </c:rich>
          </c:tx>
          <c:overlay val="0"/>
        </c:title>
        <c:numFmt formatCode="0" sourceLinked="0"/>
        <c:majorTickMark val="out"/>
        <c:minorTickMark val="none"/>
        <c:tickLblPos val="nextTo"/>
        <c:spPr>
          <a:ln>
            <a:solidFill>
              <a:schemeClr val="tx1"/>
            </a:solidFill>
          </a:ln>
        </c:spPr>
        <c:txPr>
          <a:bodyPr/>
          <a:lstStyle/>
          <a:p>
            <a:pPr>
              <a:defRPr sz="700"/>
            </a:pPr>
            <a:endParaRPr lang="es-EC"/>
          </a:p>
        </c:txPr>
        <c:crossAx val="25058624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90542277049636"/>
          <c:y val="4.7908093278463702E-2"/>
          <c:w val="0.78039514263685461"/>
          <c:h val="0.86384670781893003"/>
        </c:manualLayout>
      </c:layout>
      <c:barChart>
        <c:barDir val="bar"/>
        <c:grouping val="stacked"/>
        <c:varyColors val="0"/>
        <c:ser>
          <c:idx val="0"/>
          <c:order val="0"/>
          <c:spPr>
            <a:solidFill>
              <a:schemeClr val="accent5">
                <a:lumMod val="40000"/>
                <a:lumOff val="60000"/>
              </a:schemeClr>
            </a:solidFill>
            <a:ln>
              <a:solidFill>
                <a:schemeClr val="accent5">
                  <a:lumMod val="75000"/>
                </a:schemeClr>
              </a:solidFill>
            </a:ln>
          </c:spPr>
          <c:invertIfNegative val="0"/>
          <c:cat>
            <c:strRef>
              <c:f>Estudio!$B$276:$B$287</c:f>
              <c:strCache>
                <c:ptCount val="12"/>
                <c:pt idx="0">
                  <c:v>5 a 9</c:v>
                </c:pt>
                <c:pt idx="1">
                  <c:v>10 a 14</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strCache>
            </c:strRef>
          </c:cat>
          <c:val>
            <c:numRef>
              <c:f>Estudio!$F$276:$F$287</c:f>
              <c:numCache>
                <c:formatCode>0.00%</c:formatCode>
                <c:ptCount val="12"/>
                <c:pt idx="0">
                  <c:v>-3.1528087826060376E-2</c:v>
                </c:pt>
                <c:pt idx="1">
                  <c:v>-6.5013302345494017E-2</c:v>
                </c:pt>
                <c:pt idx="2">
                  <c:v>-0.16923029876762208</c:v>
                </c:pt>
                <c:pt idx="3">
                  <c:v>-0.11195376288186906</c:v>
                </c:pt>
                <c:pt idx="4">
                  <c:v>-7.6908963028653562E-2</c:v>
                </c:pt>
                <c:pt idx="5">
                  <c:v>-3.2170270022323554E-2</c:v>
                </c:pt>
                <c:pt idx="6">
                  <c:v>-1.3027124552765987E-2</c:v>
                </c:pt>
                <c:pt idx="7">
                  <c:v>-6.4524020672150724E-3</c:v>
                </c:pt>
                <c:pt idx="8">
                  <c:v>-3.9448334913305457E-3</c:v>
                </c:pt>
                <c:pt idx="9">
                  <c:v>-1.804226170453505E-3</c:v>
                </c:pt>
                <c:pt idx="10">
                  <c:v>-1.1926240787743501E-3</c:v>
                </c:pt>
                <c:pt idx="11">
                  <c:v>-3.3638115042353508E-4</c:v>
                </c:pt>
              </c:numCache>
            </c:numRef>
          </c:val>
        </c:ser>
        <c:ser>
          <c:idx val="1"/>
          <c:order val="1"/>
          <c:spPr>
            <a:solidFill>
              <a:schemeClr val="accent6">
                <a:lumMod val="60000"/>
                <a:lumOff val="40000"/>
              </a:schemeClr>
            </a:solidFill>
            <a:ln>
              <a:solidFill>
                <a:schemeClr val="accent6">
                  <a:lumMod val="75000"/>
                </a:schemeClr>
              </a:solidFill>
            </a:ln>
          </c:spPr>
          <c:invertIfNegative val="0"/>
          <c:cat>
            <c:strRef>
              <c:f>Estudio!$B$276:$B$287</c:f>
              <c:strCache>
                <c:ptCount val="12"/>
                <c:pt idx="0">
                  <c:v>5 a 9</c:v>
                </c:pt>
                <c:pt idx="1">
                  <c:v>10 a 14</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strCache>
            </c:strRef>
          </c:cat>
          <c:val>
            <c:numRef>
              <c:f>Estudio!$G$276:$G$287</c:f>
              <c:numCache>
                <c:formatCode>0.00%</c:formatCode>
                <c:ptCount val="12"/>
                <c:pt idx="0">
                  <c:v>3.0641264793125622E-2</c:v>
                </c:pt>
                <c:pt idx="1">
                  <c:v>6.4095899207975329E-2</c:v>
                </c:pt>
                <c:pt idx="2">
                  <c:v>0.14485795541420751</c:v>
                </c:pt>
                <c:pt idx="3">
                  <c:v>0.10822299012262622</c:v>
                </c:pt>
                <c:pt idx="4">
                  <c:v>7.5716338949879336E-2</c:v>
                </c:pt>
                <c:pt idx="5">
                  <c:v>3.293477263692246E-2</c:v>
                </c:pt>
                <c:pt idx="6">
                  <c:v>1.3394085807773463E-2</c:v>
                </c:pt>
                <c:pt idx="7">
                  <c:v>6.9416837405584042E-3</c:v>
                </c:pt>
                <c:pt idx="8">
                  <c:v>4.8928167334332294E-3</c:v>
                </c:pt>
                <c:pt idx="9">
                  <c:v>2.782789517140154E-3</c:v>
                </c:pt>
                <c:pt idx="10">
                  <c:v>1.3761047062780972E-3</c:v>
                </c:pt>
                <c:pt idx="11">
                  <c:v>5.8102198709519587E-4</c:v>
                </c:pt>
              </c:numCache>
            </c:numRef>
          </c:val>
        </c:ser>
        <c:dLbls>
          <c:showLegendKey val="0"/>
          <c:showVal val="0"/>
          <c:showCatName val="0"/>
          <c:showSerName val="0"/>
          <c:showPercent val="0"/>
          <c:showBubbleSize val="0"/>
        </c:dLbls>
        <c:gapWidth val="0"/>
        <c:overlap val="100"/>
        <c:axId val="289143808"/>
        <c:axId val="289150080"/>
      </c:barChart>
      <c:catAx>
        <c:axId val="289143808"/>
        <c:scaling>
          <c:orientation val="minMax"/>
        </c:scaling>
        <c:delete val="0"/>
        <c:axPos val="l"/>
        <c:title>
          <c:tx>
            <c:rich>
              <a:bodyPr rot="-5400000" vert="horz"/>
              <a:lstStyle/>
              <a:p>
                <a:pPr>
                  <a:defRPr/>
                </a:pPr>
                <a:r>
                  <a:rPr lang="es-EC"/>
                  <a:t>Grupos Etarios</a:t>
                </a:r>
              </a:p>
            </c:rich>
          </c:tx>
          <c:overlay val="0"/>
        </c:title>
        <c:numFmt formatCode="General" sourceLinked="1"/>
        <c:majorTickMark val="out"/>
        <c:minorTickMark val="none"/>
        <c:tickLblPos val="nextTo"/>
        <c:spPr>
          <a:ln>
            <a:solidFill>
              <a:sysClr val="windowText" lastClr="000000"/>
            </a:solidFill>
          </a:ln>
        </c:spPr>
        <c:txPr>
          <a:bodyPr/>
          <a:lstStyle/>
          <a:p>
            <a:pPr>
              <a:defRPr sz="750"/>
            </a:pPr>
            <a:endParaRPr lang="es-EC"/>
          </a:p>
        </c:txPr>
        <c:crossAx val="289150080"/>
        <c:crossesAt val="-15"/>
        <c:auto val="1"/>
        <c:lblAlgn val="ctr"/>
        <c:lblOffset val="100"/>
        <c:noMultiLvlLbl val="0"/>
      </c:catAx>
      <c:valAx>
        <c:axId val="289150080"/>
        <c:scaling>
          <c:orientation val="minMax"/>
          <c:max val="0.18000000000000019"/>
          <c:min val="-0.18000000000000019"/>
        </c:scaling>
        <c:delete val="0"/>
        <c:axPos val="b"/>
        <c:majorGridlines>
          <c:spPr>
            <a:ln>
              <a:prstDash val="dash"/>
            </a:ln>
          </c:spPr>
        </c:majorGridlines>
        <c:numFmt formatCode="0%;0%" sourceLinked="0"/>
        <c:majorTickMark val="out"/>
        <c:minorTickMark val="none"/>
        <c:tickLblPos val="nextTo"/>
        <c:spPr>
          <a:ln>
            <a:solidFill>
              <a:schemeClr val="tx1"/>
            </a:solidFill>
          </a:ln>
        </c:spPr>
        <c:crossAx val="289143808"/>
        <c:crosses val="autoZero"/>
        <c:crossBetween val="between"/>
        <c:majorUnit val="4.0000000000000022E-2"/>
      </c:valAx>
      <c:spPr>
        <a:noFill/>
        <a:ln>
          <a:solidFill>
            <a:sysClr val="windowText" lastClr="000000"/>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916498061035404E-2"/>
          <c:y val="8.4614015522737798E-2"/>
          <c:w val="0.87164074355083576"/>
          <c:h val="0.60191329117632453"/>
        </c:manualLayout>
      </c:layout>
      <c:barChart>
        <c:barDir val="col"/>
        <c:grouping val="stacked"/>
        <c:varyColors val="0"/>
        <c:ser>
          <c:idx val="0"/>
          <c:order val="0"/>
          <c:tx>
            <c:strRef>
              <c:f>Estudio!$R$294</c:f>
              <c:strCache>
                <c:ptCount val="1"/>
                <c:pt idx="0">
                  <c:v>5 a 24</c:v>
                </c:pt>
              </c:strCache>
            </c:strRef>
          </c:tx>
          <c:spPr>
            <a:solidFill>
              <a:schemeClr val="accent6">
                <a:lumMod val="75000"/>
              </a:schemeClr>
            </a:solidFill>
          </c:spPr>
          <c:invertIfNegative val="0"/>
          <c:dLbls>
            <c:numFmt formatCode="#,##0.000" sourceLinked="0"/>
            <c:txPr>
              <a:bodyPr rot="-5400000" vert="horz"/>
              <a:lstStyle/>
              <a:p>
                <a:pPr>
                  <a:defRPr sz="700"/>
                </a:pPr>
                <a:endParaRPr lang="es-EC"/>
              </a:p>
            </c:txPr>
            <c:dLblPos val="ctr"/>
            <c:showLegendKey val="0"/>
            <c:showVal val="1"/>
            <c:showCatName val="0"/>
            <c:showSerName val="0"/>
            <c:showPercent val="0"/>
            <c:showBubbleSize val="0"/>
            <c:showLeaderLines val="0"/>
          </c:dLbls>
          <c:cat>
            <c:strRef>
              <c:f>Estudio!$Q$295:$Q$312</c:f>
              <c:strCache>
                <c:ptCount val="18"/>
                <c:pt idx="0">
                  <c:v>España</c:v>
                </c:pt>
                <c:pt idx="1">
                  <c:v>Estados Unidos</c:v>
                </c:pt>
                <c:pt idx="2">
                  <c:v>Argentina</c:v>
                </c:pt>
                <c:pt idx="3">
                  <c:v>Italia</c:v>
                </c:pt>
                <c:pt idx="4">
                  <c:v>Cuba</c:v>
                </c:pt>
                <c:pt idx="5">
                  <c:v>Chile</c:v>
                </c:pt>
                <c:pt idx="6">
                  <c:v>Alemania</c:v>
                </c:pt>
                <c:pt idx="7">
                  <c:v>Canadá</c:v>
                </c:pt>
                <c:pt idx="8">
                  <c:v>México</c:v>
                </c:pt>
                <c:pt idx="9">
                  <c:v>Francia</c:v>
                </c:pt>
                <c:pt idx="10">
                  <c:v>Colombia</c:v>
                </c:pt>
                <c:pt idx="11">
                  <c:v>Reino Unido</c:v>
                </c:pt>
                <c:pt idx="12">
                  <c:v>Venezuela</c:v>
                </c:pt>
                <c:pt idx="13">
                  <c:v>Bélgica</c:v>
                </c:pt>
                <c:pt idx="14">
                  <c:v>Brasil</c:v>
                </c:pt>
                <c:pt idx="15">
                  <c:v> Rusia</c:v>
                </c:pt>
                <c:pt idx="16">
                  <c:v> Suiza</c:v>
                </c:pt>
                <c:pt idx="17">
                  <c:v> Perú</c:v>
                </c:pt>
              </c:strCache>
            </c:strRef>
          </c:cat>
          <c:val>
            <c:numRef>
              <c:f>Estudio!$R$295:$R$312</c:f>
              <c:numCache>
                <c:formatCode>0.00%</c:formatCode>
                <c:ptCount val="18"/>
                <c:pt idx="0">
                  <c:v>0.78330257301053086</c:v>
                </c:pt>
                <c:pt idx="1">
                  <c:v>0.73332562709513438</c:v>
                </c:pt>
                <c:pt idx="2">
                  <c:v>0.55487179487179483</c:v>
                </c:pt>
                <c:pt idx="3">
                  <c:v>0.80504115226337603</c:v>
                </c:pt>
                <c:pt idx="4">
                  <c:v>0.86501007387508466</c:v>
                </c:pt>
                <c:pt idx="5">
                  <c:v>0.51847826086956517</c:v>
                </c:pt>
                <c:pt idx="6">
                  <c:v>0.69408740359897236</c:v>
                </c:pt>
                <c:pt idx="7">
                  <c:v>0.65339233038348221</c:v>
                </c:pt>
                <c:pt idx="8">
                  <c:v>0.5707317073170739</c:v>
                </c:pt>
                <c:pt idx="9">
                  <c:v>0.66958041958042036</c:v>
                </c:pt>
                <c:pt idx="10">
                  <c:v>0.78909090909090907</c:v>
                </c:pt>
                <c:pt idx="11">
                  <c:v>0.60046728971962515</c:v>
                </c:pt>
                <c:pt idx="12">
                  <c:v>0.83941605839416067</c:v>
                </c:pt>
                <c:pt idx="13">
                  <c:v>0.77891156462585065</c:v>
                </c:pt>
                <c:pt idx="14">
                  <c:v>0.41240875912408803</c:v>
                </c:pt>
                <c:pt idx="15">
                  <c:v>0.82843137254902033</c:v>
                </c:pt>
                <c:pt idx="16">
                  <c:v>0.61734693877551061</c:v>
                </c:pt>
                <c:pt idx="17">
                  <c:v>0.66853932584269649</c:v>
                </c:pt>
              </c:numCache>
            </c:numRef>
          </c:val>
        </c:ser>
        <c:ser>
          <c:idx val="1"/>
          <c:order val="1"/>
          <c:tx>
            <c:strRef>
              <c:f>Estudio!$S$294</c:f>
              <c:strCache>
                <c:ptCount val="1"/>
                <c:pt idx="0">
                  <c:v>25 a 44</c:v>
                </c:pt>
              </c:strCache>
            </c:strRef>
          </c:tx>
          <c:spPr>
            <a:solidFill>
              <a:srgbClr val="00B0F0"/>
            </a:solidFill>
          </c:spPr>
          <c:invertIfNegative val="0"/>
          <c:dLbls>
            <c:numFmt formatCode="#,##0.000" sourceLinked="0"/>
            <c:txPr>
              <a:bodyPr rot="-5400000" vert="horz"/>
              <a:lstStyle/>
              <a:p>
                <a:pPr>
                  <a:defRPr sz="700"/>
                </a:pPr>
                <a:endParaRPr lang="es-EC"/>
              </a:p>
            </c:txPr>
            <c:dLblPos val="ctr"/>
            <c:showLegendKey val="0"/>
            <c:showVal val="1"/>
            <c:showCatName val="0"/>
            <c:showSerName val="0"/>
            <c:showPercent val="0"/>
            <c:showBubbleSize val="0"/>
            <c:showLeaderLines val="0"/>
          </c:dLbls>
          <c:cat>
            <c:strRef>
              <c:f>Estudio!$Q$295:$Q$312</c:f>
              <c:strCache>
                <c:ptCount val="18"/>
                <c:pt idx="0">
                  <c:v>España</c:v>
                </c:pt>
                <c:pt idx="1">
                  <c:v>Estados Unidos</c:v>
                </c:pt>
                <c:pt idx="2">
                  <c:v>Argentina</c:v>
                </c:pt>
                <c:pt idx="3">
                  <c:v>Italia</c:v>
                </c:pt>
                <c:pt idx="4">
                  <c:v>Cuba</c:v>
                </c:pt>
                <c:pt idx="5">
                  <c:v>Chile</c:v>
                </c:pt>
                <c:pt idx="6">
                  <c:v>Alemania</c:v>
                </c:pt>
                <c:pt idx="7">
                  <c:v>Canadá</c:v>
                </c:pt>
                <c:pt idx="8">
                  <c:v>México</c:v>
                </c:pt>
                <c:pt idx="9">
                  <c:v>Francia</c:v>
                </c:pt>
                <c:pt idx="10">
                  <c:v>Colombia</c:v>
                </c:pt>
                <c:pt idx="11">
                  <c:v>Reino Unido</c:v>
                </c:pt>
                <c:pt idx="12">
                  <c:v>Venezuela</c:v>
                </c:pt>
                <c:pt idx="13">
                  <c:v>Bélgica</c:v>
                </c:pt>
                <c:pt idx="14">
                  <c:v>Brasil</c:v>
                </c:pt>
                <c:pt idx="15">
                  <c:v> Rusia</c:v>
                </c:pt>
                <c:pt idx="16">
                  <c:v> Suiza</c:v>
                </c:pt>
                <c:pt idx="17">
                  <c:v> Perú</c:v>
                </c:pt>
              </c:strCache>
            </c:strRef>
          </c:cat>
          <c:val>
            <c:numRef>
              <c:f>Estudio!$S$295:$S$312</c:f>
              <c:numCache>
                <c:formatCode>0.00%</c:formatCode>
                <c:ptCount val="18"/>
                <c:pt idx="0">
                  <c:v>0.19813266746281619</c:v>
                </c:pt>
                <c:pt idx="1">
                  <c:v>0.24898855623627342</c:v>
                </c:pt>
                <c:pt idx="2">
                  <c:v>0.43743589743589778</c:v>
                </c:pt>
                <c:pt idx="3">
                  <c:v>0.17541152263374485</c:v>
                </c:pt>
                <c:pt idx="4">
                  <c:v>0.12827400940228342</c:v>
                </c:pt>
                <c:pt idx="5">
                  <c:v>0.47065217391304404</c:v>
                </c:pt>
                <c:pt idx="6">
                  <c:v>0.29948586118252002</c:v>
                </c:pt>
                <c:pt idx="7">
                  <c:v>0.32743362831858408</c:v>
                </c:pt>
                <c:pt idx="8">
                  <c:v>0.40487804878048816</c:v>
                </c:pt>
                <c:pt idx="9">
                  <c:v>0.3251748251748261</c:v>
                </c:pt>
                <c:pt idx="10">
                  <c:v>0.2</c:v>
                </c:pt>
                <c:pt idx="11">
                  <c:v>0.3855140186915888</c:v>
                </c:pt>
                <c:pt idx="12">
                  <c:v>0.15328467153284689</c:v>
                </c:pt>
                <c:pt idx="13">
                  <c:v>0.20748299319727925</c:v>
                </c:pt>
                <c:pt idx="14">
                  <c:v>0.56569343065693511</c:v>
                </c:pt>
                <c:pt idx="15">
                  <c:v>0.15196078431372567</c:v>
                </c:pt>
                <c:pt idx="16">
                  <c:v>0.36224489795918408</c:v>
                </c:pt>
                <c:pt idx="17">
                  <c:v>0.32022471910112382</c:v>
                </c:pt>
              </c:numCache>
            </c:numRef>
          </c:val>
        </c:ser>
        <c:ser>
          <c:idx val="2"/>
          <c:order val="2"/>
          <c:tx>
            <c:strRef>
              <c:f>Estudio!$T$294</c:f>
              <c:strCache>
                <c:ptCount val="1"/>
                <c:pt idx="0">
                  <c:v>45 a 64</c:v>
                </c:pt>
              </c:strCache>
            </c:strRef>
          </c:tx>
          <c:spPr>
            <a:solidFill>
              <a:srgbClr val="D11FD1"/>
            </a:solidFill>
          </c:spPr>
          <c:invertIfNegative val="0"/>
          <c:cat>
            <c:strRef>
              <c:f>Estudio!$Q$295:$Q$312</c:f>
              <c:strCache>
                <c:ptCount val="18"/>
                <c:pt idx="0">
                  <c:v>España</c:v>
                </c:pt>
                <c:pt idx="1">
                  <c:v>Estados Unidos</c:v>
                </c:pt>
                <c:pt idx="2">
                  <c:v>Argentina</c:v>
                </c:pt>
                <c:pt idx="3">
                  <c:v>Italia</c:v>
                </c:pt>
                <c:pt idx="4">
                  <c:v>Cuba</c:v>
                </c:pt>
                <c:pt idx="5">
                  <c:v>Chile</c:v>
                </c:pt>
                <c:pt idx="6">
                  <c:v>Alemania</c:v>
                </c:pt>
                <c:pt idx="7">
                  <c:v>Canadá</c:v>
                </c:pt>
                <c:pt idx="8">
                  <c:v>México</c:v>
                </c:pt>
                <c:pt idx="9">
                  <c:v>Francia</c:v>
                </c:pt>
                <c:pt idx="10">
                  <c:v>Colombia</c:v>
                </c:pt>
                <c:pt idx="11">
                  <c:v>Reino Unido</c:v>
                </c:pt>
                <c:pt idx="12">
                  <c:v>Venezuela</c:v>
                </c:pt>
                <c:pt idx="13">
                  <c:v>Bélgica</c:v>
                </c:pt>
                <c:pt idx="14">
                  <c:v>Brasil</c:v>
                </c:pt>
                <c:pt idx="15">
                  <c:v> Rusia</c:v>
                </c:pt>
                <c:pt idx="16">
                  <c:v> Suiza</c:v>
                </c:pt>
                <c:pt idx="17">
                  <c:v> Perú</c:v>
                </c:pt>
              </c:strCache>
            </c:strRef>
          </c:cat>
          <c:val>
            <c:numRef>
              <c:f>Estudio!$T$295:$T$312</c:f>
              <c:numCache>
                <c:formatCode>0.00%</c:formatCode>
                <c:ptCount val="18"/>
                <c:pt idx="0">
                  <c:v>1.8564759526652937E-2</c:v>
                </c:pt>
                <c:pt idx="1">
                  <c:v>1.7685816668593229E-2</c:v>
                </c:pt>
                <c:pt idx="2">
                  <c:v>7.6923076923076988E-3</c:v>
                </c:pt>
                <c:pt idx="3">
                  <c:v>1.9547325102880684E-2</c:v>
                </c:pt>
                <c:pt idx="4">
                  <c:v>6.7159167226326444E-3</c:v>
                </c:pt>
                <c:pt idx="5">
                  <c:v>1.0869565217391325E-2</c:v>
                </c:pt>
                <c:pt idx="6">
                  <c:v>6.4267352185089976E-3</c:v>
                </c:pt>
                <c:pt idx="7">
                  <c:v>1.9174041297935134E-2</c:v>
                </c:pt>
                <c:pt idx="8">
                  <c:v>2.4390243902439025E-2</c:v>
                </c:pt>
                <c:pt idx="9">
                  <c:v>5.244755244755245E-3</c:v>
                </c:pt>
                <c:pt idx="10">
                  <c:v>1.090909090909091E-2</c:v>
                </c:pt>
                <c:pt idx="11">
                  <c:v>1.4018691588785038E-2</c:v>
                </c:pt>
                <c:pt idx="12">
                  <c:v>7.2992700729927126E-3</c:v>
                </c:pt>
                <c:pt idx="13">
                  <c:v>1.3605442176870748E-2</c:v>
                </c:pt>
                <c:pt idx="14">
                  <c:v>2.1897810218978159E-2</c:v>
                </c:pt>
                <c:pt idx="15">
                  <c:v>1.9607843137254902E-2</c:v>
                </c:pt>
                <c:pt idx="16">
                  <c:v>2.0408163265306142E-2</c:v>
                </c:pt>
                <c:pt idx="17">
                  <c:v>1.1235955056179775E-2</c:v>
                </c:pt>
              </c:numCache>
            </c:numRef>
          </c:val>
        </c:ser>
        <c:dLbls>
          <c:showLegendKey val="0"/>
          <c:showVal val="0"/>
          <c:showCatName val="0"/>
          <c:showSerName val="0"/>
          <c:showPercent val="0"/>
          <c:showBubbleSize val="0"/>
        </c:dLbls>
        <c:gapWidth val="40"/>
        <c:overlap val="100"/>
        <c:axId val="289184384"/>
        <c:axId val="289202944"/>
      </c:barChart>
      <c:catAx>
        <c:axId val="289184384"/>
        <c:scaling>
          <c:orientation val="minMax"/>
        </c:scaling>
        <c:delete val="0"/>
        <c:axPos val="b"/>
        <c:title>
          <c:tx>
            <c:rich>
              <a:bodyPr/>
              <a:lstStyle/>
              <a:p>
                <a:pPr>
                  <a:defRPr/>
                </a:pPr>
                <a:r>
                  <a:rPr lang="es-EC"/>
                  <a:t>País de residencia</a:t>
                </a:r>
                <a:r>
                  <a:rPr lang="es-EC" baseline="0"/>
                  <a:t> actual</a:t>
                </a:r>
                <a:endParaRPr lang="es-EC"/>
              </a:p>
            </c:rich>
          </c:tx>
          <c:overlay val="0"/>
        </c:title>
        <c:majorTickMark val="out"/>
        <c:minorTickMark val="none"/>
        <c:tickLblPos val="nextTo"/>
        <c:spPr>
          <a:ln>
            <a:solidFill>
              <a:schemeClr val="tx1"/>
            </a:solidFill>
          </a:ln>
        </c:spPr>
        <c:txPr>
          <a:bodyPr rot="-5400000" vert="horz"/>
          <a:lstStyle/>
          <a:p>
            <a:pPr>
              <a:defRPr sz="700"/>
            </a:pPr>
            <a:endParaRPr lang="es-EC"/>
          </a:p>
        </c:txPr>
        <c:crossAx val="289202944"/>
        <c:crosses val="autoZero"/>
        <c:auto val="1"/>
        <c:lblAlgn val="ctr"/>
        <c:lblOffset val="100"/>
        <c:noMultiLvlLbl val="0"/>
      </c:catAx>
      <c:valAx>
        <c:axId val="289202944"/>
        <c:scaling>
          <c:orientation val="minMax"/>
          <c:max val="1"/>
          <c:min val="0"/>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nextTo"/>
        <c:spPr>
          <a:ln>
            <a:solidFill>
              <a:schemeClr val="tx1"/>
            </a:solidFill>
          </a:ln>
        </c:spPr>
        <c:crossAx val="289184384"/>
        <c:crosses val="autoZero"/>
        <c:crossBetween val="between"/>
        <c:majorUnit val="0.1"/>
      </c:valAx>
      <c:spPr>
        <a:noFill/>
        <a:ln>
          <a:solidFill>
            <a:schemeClr val="tx1"/>
          </a:solidFill>
        </a:ln>
      </c:spPr>
    </c:plotArea>
    <c:legend>
      <c:legendPos val="t"/>
      <c:layout>
        <c:manualLayout>
          <c:xMode val="edge"/>
          <c:yMode val="edge"/>
          <c:x val="0.29688138380292889"/>
          <c:y val="0"/>
          <c:w val="0.42477933365930981"/>
          <c:h val="8.4953307875142228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Trabajo!$K$524</c:f>
              <c:strCache>
                <c:ptCount val="1"/>
                <c:pt idx="0">
                  <c:v>España</c:v>
                </c:pt>
              </c:strCache>
            </c:strRef>
          </c:tx>
          <c:spPr>
            <a:ln w="19050">
              <a:solidFill>
                <a:srgbClr val="0070C0"/>
              </a:solidFill>
            </a:ln>
          </c:spPr>
          <c:marker>
            <c:symbol val="none"/>
          </c:marker>
          <c:cat>
            <c:strRef>
              <c:f>Estudio!$J$417:$J$428</c:f>
              <c:strCache>
                <c:ptCount val="12"/>
                <c:pt idx="0">
                  <c:v>5 a 9</c:v>
                </c:pt>
                <c:pt idx="1">
                  <c:v>10 a 14</c:v>
                </c:pt>
                <c:pt idx="2">
                  <c:v>15 a 19</c:v>
                </c:pt>
                <c:pt idx="3">
                  <c:v>20 a 24</c:v>
                </c:pt>
                <c:pt idx="4">
                  <c:v>25 a 29</c:v>
                </c:pt>
                <c:pt idx="5">
                  <c:v>30 a 34</c:v>
                </c:pt>
                <c:pt idx="6">
                  <c:v>35 a 39</c:v>
                </c:pt>
                <c:pt idx="7">
                  <c:v>40 a 44</c:v>
                </c:pt>
                <c:pt idx="8">
                  <c:v>45 a 49</c:v>
                </c:pt>
                <c:pt idx="9">
                  <c:v>50 a 54</c:v>
                </c:pt>
                <c:pt idx="10">
                  <c:v>55 a 59</c:v>
                </c:pt>
                <c:pt idx="11">
                  <c:v>60 a 64</c:v>
                </c:pt>
              </c:strCache>
            </c:strRef>
          </c:cat>
          <c:val>
            <c:numRef>
              <c:f>Estudio!$K$417:$K$428</c:f>
              <c:numCache>
                <c:formatCode>0.00</c:formatCode>
                <c:ptCount val="12"/>
                <c:pt idx="0">
                  <c:v>524.73326867119351</c:v>
                </c:pt>
                <c:pt idx="1">
                  <c:v>493.88523047977424</c:v>
                </c:pt>
                <c:pt idx="2">
                  <c:v>259.84821105890853</c:v>
                </c:pt>
                <c:pt idx="3">
                  <c:v>151.87107347719203</c:v>
                </c:pt>
                <c:pt idx="4">
                  <c:v>169.38369781312127</c:v>
                </c:pt>
                <c:pt idx="5">
                  <c:v>200.57034220532321</c:v>
                </c:pt>
                <c:pt idx="6">
                  <c:v>272.30046948356846</c:v>
                </c:pt>
                <c:pt idx="7">
                  <c:v>274.88151658767691</c:v>
                </c:pt>
                <c:pt idx="8">
                  <c:v>317.82945736434147</c:v>
                </c:pt>
                <c:pt idx="9">
                  <c:v>288.13559322033905</c:v>
                </c:pt>
                <c:pt idx="10">
                  <c:v>153.84615384615378</c:v>
                </c:pt>
                <c:pt idx="11">
                  <c:v>90.909090909090907</c:v>
                </c:pt>
              </c:numCache>
            </c:numRef>
          </c:val>
          <c:smooth val="1"/>
        </c:ser>
        <c:ser>
          <c:idx val="1"/>
          <c:order val="1"/>
          <c:tx>
            <c:strRef>
              <c:f>Trabajo!$L$524</c:f>
              <c:strCache>
                <c:ptCount val="1"/>
                <c:pt idx="0">
                  <c:v>Estados Unidos</c:v>
                </c:pt>
              </c:strCache>
            </c:strRef>
          </c:tx>
          <c:spPr>
            <a:ln w="19050">
              <a:solidFill>
                <a:srgbClr val="E010C2"/>
              </a:solidFill>
            </a:ln>
          </c:spPr>
          <c:marker>
            <c:symbol val="none"/>
          </c:marker>
          <c:cat>
            <c:strRef>
              <c:f>Estudio!$J$417:$J$428</c:f>
              <c:strCache>
                <c:ptCount val="12"/>
                <c:pt idx="0">
                  <c:v>5 a 9</c:v>
                </c:pt>
                <c:pt idx="1">
                  <c:v>10 a 14</c:v>
                </c:pt>
                <c:pt idx="2">
                  <c:v>15 a 19</c:v>
                </c:pt>
                <c:pt idx="3">
                  <c:v>20 a 24</c:v>
                </c:pt>
                <c:pt idx="4">
                  <c:v>25 a 29</c:v>
                </c:pt>
                <c:pt idx="5">
                  <c:v>30 a 34</c:v>
                </c:pt>
                <c:pt idx="6">
                  <c:v>35 a 39</c:v>
                </c:pt>
                <c:pt idx="7">
                  <c:v>40 a 44</c:v>
                </c:pt>
                <c:pt idx="8">
                  <c:v>45 a 49</c:v>
                </c:pt>
                <c:pt idx="9">
                  <c:v>50 a 54</c:v>
                </c:pt>
                <c:pt idx="10">
                  <c:v>55 a 59</c:v>
                </c:pt>
                <c:pt idx="11">
                  <c:v>60 a 64</c:v>
                </c:pt>
              </c:strCache>
            </c:strRef>
          </c:cat>
          <c:val>
            <c:numRef>
              <c:f>Estudio!$L$417:$L$428</c:f>
              <c:numCache>
                <c:formatCode>0.00</c:formatCode>
                <c:ptCount val="12"/>
                <c:pt idx="0">
                  <c:v>198.8360814742968</c:v>
                </c:pt>
                <c:pt idx="1">
                  <c:v>243.17968015051716</c:v>
                </c:pt>
                <c:pt idx="2">
                  <c:v>294.90422840621613</c:v>
                </c:pt>
                <c:pt idx="3">
                  <c:v>278.61240098333843</c:v>
                </c:pt>
                <c:pt idx="4">
                  <c:v>222.66401590457235</c:v>
                </c:pt>
                <c:pt idx="5">
                  <c:v>250</c:v>
                </c:pt>
                <c:pt idx="6">
                  <c:v>269.95305164319223</c:v>
                </c:pt>
                <c:pt idx="7">
                  <c:v>293.8388625592417</c:v>
                </c:pt>
                <c:pt idx="8">
                  <c:v>240.31007751937986</c:v>
                </c:pt>
                <c:pt idx="9">
                  <c:v>338.98305084745721</c:v>
                </c:pt>
                <c:pt idx="10">
                  <c:v>461.53846153846172</c:v>
                </c:pt>
                <c:pt idx="11">
                  <c:v>272.72727272727218</c:v>
                </c:pt>
              </c:numCache>
            </c:numRef>
          </c:val>
          <c:smooth val="1"/>
        </c:ser>
        <c:ser>
          <c:idx val="2"/>
          <c:order val="2"/>
          <c:tx>
            <c:strRef>
              <c:f>Trabajo!$M$524</c:f>
              <c:strCache>
                <c:ptCount val="1"/>
                <c:pt idx="0">
                  <c:v>Italia</c:v>
                </c:pt>
              </c:strCache>
            </c:strRef>
          </c:tx>
          <c:spPr>
            <a:ln w="19050">
              <a:solidFill>
                <a:schemeClr val="accent6">
                  <a:lumMod val="75000"/>
                </a:schemeClr>
              </a:solidFill>
            </a:ln>
          </c:spPr>
          <c:marker>
            <c:symbol val="none"/>
          </c:marker>
          <c:cat>
            <c:strRef>
              <c:f>Estudio!$J$417:$J$428</c:f>
              <c:strCache>
                <c:ptCount val="12"/>
                <c:pt idx="0">
                  <c:v>5 a 9</c:v>
                </c:pt>
                <c:pt idx="1">
                  <c:v>10 a 14</c:v>
                </c:pt>
                <c:pt idx="2">
                  <c:v>15 a 19</c:v>
                </c:pt>
                <c:pt idx="3">
                  <c:v>20 a 24</c:v>
                </c:pt>
                <c:pt idx="4">
                  <c:v>25 a 29</c:v>
                </c:pt>
                <c:pt idx="5">
                  <c:v>30 a 34</c:v>
                </c:pt>
                <c:pt idx="6">
                  <c:v>35 a 39</c:v>
                </c:pt>
                <c:pt idx="7">
                  <c:v>40 a 44</c:v>
                </c:pt>
                <c:pt idx="8">
                  <c:v>45 a 49</c:v>
                </c:pt>
                <c:pt idx="9">
                  <c:v>50 a 54</c:v>
                </c:pt>
                <c:pt idx="10">
                  <c:v>55 a 59</c:v>
                </c:pt>
                <c:pt idx="11">
                  <c:v>60 a 64</c:v>
                </c:pt>
              </c:strCache>
            </c:strRef>
          </c:cat>
          <c:val>
            <c:numRef>
              <c:f>Estudio!$M$417:$M$428</c:f>
              <c:numCache>
                <c:formatCode>0.00</c:formatCode>
                <c:ptCount val="12"/>
                <c:pt idx="0">
                  <c:v>70.805043646944711</c:v>
                </c:pt>
                <c:pt idx="1">
                  <c:v>104.42144873000935</c:v>
                </c:pt>
                <c:pt idx="2">
                  <c:v>65.955908926635288</c:v>
                </c:pt>
                <c:pt idx="3">
                  <c:v>39.333515432941873</c:v>
                </c:pt>
                <c:pt idx="4">
                  <c:v>21.868787276341894</c:v>
                </c:pt>
                <c:pt idx="5">
                  <c:v>32.319391634980988</c:v>
                </c:pt>
                <c:pt idx="6">
                  <c:v>49.295774647887363</c:v>
                </c:pt>
                <c:pt idx="7">
                  <c:v>56.872037914691937</c:v>
                </c:pt>
                <c:pt idx="8">
                  <c:v>77.519379844961179</c:v>
                </c:pt>
                <c:pt idx="9">
                  <c:v>33.898305084745807</c:v>
                </c:pt>
                <c:pt idx="10">
                  <c:v>51.282051282051313</c:v>
                </c:pt>
                <c:pt idx="11">
                  <c:v>0</c:v>
                </c:pt>
              </c:numCache>
            </c:numRef>
          </c:val>
          <c:smooth val="0"/>
        </c:ser>
        <c:ser>
          <c:idx val="3"/>
          <c:order val="3"/>
          <c:tx>
            <c:strRef>
              <c:f>Trabajo!$N$524</c:f>
              <c:strCache>
                <c:ptCount val="1"/>
                <c:pt idx="0">
                  <c:v>Otros</c:v>
                </c:pt>
              </c:strCache>
            </c:strRef>
          </c:tx>
          <c:spPr>
            <a:ln w="19050">
              <a:solidFill>
                <a:srgbClr val="00B050"/>
              </a:solidFill>
            </a:ln>
          </c:spPr>
          <c:marker>
            <c:symbol val="none"/>
          </c:marker>
          <c:cat>
            <c:strRef>
              <c:f>Estudio!$J$417:$J$428</c:f>
              <c:strCache>
                <c:ptCount val="12"/>
                <c:pt idx="0">
                  <c:v>5 a 9</c:v>
                </c:pt>
                <c:pt idx="1">
                  <c:v>10 a 14</c:v>
                </c:pt>
                <c:pt idx="2">
                  <c:v>15 a 19</c:v>
                </c:pt>
                <c:pt idx="3">
                  <c:v>20 a 24</c:v>
                </c:pt>
                <c:pt idx="4">
                  <c:v>25 a 29</c:v>
                </c:pt>
                <c:pt idx="5">
                  <c:v>30 a 34</c:v>
                </c:pt>
                <c:pt idx="6">
                  <c:v>35 a 39</c:v>
                </c:pt>
                <c:pt idx="7">
                  <c:v>40 a 44</c:v>
                </c:pt>
                <c:pt idx="8">
                  <c:v>45 a 49</c:v>
                </c:pt>
                <c:pt idx="9">
                  <c:v>50 a 54</c:v>
                </c:pt>
                <c:pt idx="10">
                  <c:v>55 a 59</c:v>
                </c:pt>
                <c:pt idx="11">
                  <c:v>60 a 64</c:v>
                </c:pt>
              </c:strCache>
            </c:strRef>
          </c:cat>
          <c:val>
            <c:numRef>
              <c:f>Estudio!$N$417:$N$428</c:f>
              <c:numCache>
                <c:formatCode>0.00</c:formatCode>
                <c:ptCount val="12"/>
                <c:pt idx="0">
                  <c:v>205.62560620756548</c:v>
                </c:pt>
                <c:pt idx="1">
                  <c:v>158.51364063969879</c:v>
                </c:pt>
                <c:pt idx="2">
                  <c:v>379.29165160823953</c:v>
                </c:pt>
                <c:pt idx="3">
                  <c:v>530.18301010652851</c:v>
                </c:pt>
                <c:pt idx="4">
                  <c:v>586.0834990059642</c:v>
                </c:pt>
                <c:pt idx="5">
                  <c:v>517.11026615969581</c:v>
                </c:pt>
                <c:pt idx="6">
                  <c:v>408.45070422535218</c:v>
                </c:pt>
                <c:pt idx="7">
                  <c:v>374.4075829383886</c:v>
                </c:pt>
                <c:pt idx="8">
                  <c:v>364.34108527131781</c:v>
                </c:pt>
                <c:pt idx="9">
                  <c:v>338.98305084745721</c:v>
                </c:pt>
                <c:pt idx="10">
                  <c:v>333.33333333333331</c:v>
                </c:pt>
                <c:pt idx="11">
                  <c:v>636.3636363636366</c:v>
                </c:pt>
              </c:numCache>
            </c:numRef>
          </c:val>
          <c:smooth val="0"/>
        </c:ser>
        <c:dLbls>
          <c:showLegendKey val="0"/>
          <c:showVal val="0"/>
          <c:showCatName val="0"/>
          <c:showSerName val="0"/>
          <c:showPercent val="0"/>
          <c:showBubbleSize val="0"/>
        </c:dLbls>
        <c:marker val="1"/>
        <c:smooth val="0"/>
        <c:axId val="289299456"/>
        <c:axId val="289305728"/>
      </c:lineChart>
      <c:catAx>
        <c:axId val="289299456"/>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9305728"/>
        <c:crosses val="autoZero"/>
        <c:auto val="1"/>
        <c:lblAlgn val="ctr"/>
        <c:lblOffset val="100"/>
        <c:noMultiLvlLbl val="0"/>
      </c:catAx>
      <c:valAx>
        <c:axId val="289305728"/>
        <c:scaling>
          <c:orientation val="minMax"/>
          <c:max val="1000"/>
          <c:min val="0"/>
        </c:scaling>
        <c:delete val="0"/>
        <c:axPos val="l"/>
        <c:title>
          <c:tx>
            <c:rich>
              <a:bodyPr rot="-5400000" vert="horz"/>
              <a:lstStyle/>
              <a:p>
                <a:pPr>
                  <a:defRPr sz="600"/>
                </a:pPr>
                <a:r>
                  <a:rPr lang="es-EC" sz="600"/>
                  <a:t>Tasa por</a:t>
                </a:r>
                <a:r>
                  <a:rPr lang="es-EC" sz="600" baseline="0"/>
                  <a:t> cada 1000 emigrantes</a:t>
                </a:r>
                <a:endParaRPr lang="es-EC" sz="600"/>
              </a:p>
            </c:rich>
          </c:tx>
          <c:layout>
            <c:manualLayout>
              <c:xMode val="edge"/>
              <c:yMode val="edge"/>
              <c:x val="6.030453791647827E-3"/>
              <c:y val="5.0445934907395587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9299456"/>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Trabajo!$K$524</c:f>
              <c:strCache>
                <c:ptCount val="1"/>
                <c:pt idx="0">
                  <c:v>España</c:v>
                </c:pt>
              </c:strCache>
            </c:strRef>
          </c:tx>
          <c:spPr>
            <a:ln w="19050">
              <a:solidFill>
                <a:srgbClr val="0070C0"/>
              </a:solidFill>
            </a:ln>
          </c:spPr>
          <c:marker>
            <c:symbol val="none"/>
          </c:marker>
          <c:cat>
            <c:strRef>
              <c:f>Estudio!$J$417:$J$428</c:f>
              <c:strCache>
                <c:ptCount val="12"/>
                <c:pt idx="0">
                  <c:v>5 a 9</c:v>
                </c:pt>
                <c:pt idx="1">
                  <c:v>10 a 14</c:v>
                </c:pt>
                <c:pt idx="2">
                  <c:v>15 a 19</c:v>
                </c:pt>
                <c:pt idx="3">
                  <c:v>20 a 24</c:v>
                </c:pt>
                <c:pt idx="4">
                  <c:v>25 a 29</c:v>
                </c:pt>
                <c:pt idx="5">
                  <c:v>30 a 34</c:v>
                </c:pt>
                <c:pt idx="6">
                  <c:v>35 a 39</c:v>
                </c:pt>
                <c:pt idx="7">
                  <c:v>40 a 44</c:v>
                </c:pt>
                <c:pt idx="8">
                  <c:v>45 a 49</c:v>
                </c:pt>
                <c:pt idx="9">
                  <c:v>50 a 54</c:v>
                </c:pt>
                <c:pt idx="10">
                  <c:v>55 a 59</c:v>
                </c:pt>
                <c:pt idx="11">
                  <c:v>60 a 64</c:v>
                </c:pt>
              </c:strCache>
            </c:strRef>
          </c:cat>
          <c:val>
            <c:numRef>
              <c:f>Estudio!$K$430:$K$441</c:f>
              <c:numCache>
                <c:formatCode>0.00</c:formatCode>
                <c:ptCount val="12"/>
                <c:pt idx="0">
                  <c:v>557.88423153692679</c:v>
                </c:pt>
                <c:pt idx="1">
                  <c:v>518.12977099236741</c:v>
                </c:pt>
                <c:pt idx="2">
                  <c:v>273.80198437829853</c:v>
                </c:pt>
                <c:pt idx="3">
                  <c:v>194.40519920881599</c:v>
                </c:pt>
                <c:pt idx="4">
                  <c:v>213.24717285945073</c:v>
                </c:pt>
                <c:pt idx="5">
                  <c:v>233.98328690807801</c:v>
                </c:pt>
                <c:pt idx="6">
                  <c:v>363.01369863013701</c:v>
                </c:pt>
                <c:pt idx="7">
                  <c:v>330.39647577092478</c:v>
                </c:pt>
                <c:pt idx="8">
                  <c:v>356.25</c:v>
                </c:pt>
                <c:pt idx="9">
                  <c:v>351.64835164835171</c:v>
                </c:pt>
                <c:pt idx="10">
                  <c:v>311.11111111111114</c:v>
                </c:pt>
                <c:pt idx="11">
                  <c:v>157.89473684210546</c:v>
                </c:pt>
              </c:numCache>
            </c:numRef>
          </c:val>
          <c:smooth val="1"/>
        </c:ser>
        <c:ser>
          <c:idx val="1"/>
          <c:order val="1"/>
          <c:tx>
            <c:strRef>
              <c:f>Trabajo!$L$524</c:f>
              <c:strCache>
                <c:ptCount val="1"/>
                <c:pt idx="0">
                  <c:v>Estados Unidos</c:v>
                </c:pt>
              </c:strCache>
            </c:strRef>
          </c:tx>
          <c:spPr>
            <a:ln w="19050">
              <a:solidFill>
                <a:srgbClr val="E010C2"/>
              </a:solidFill>
            </a:ln>
          </c:spPr>
          <c:marker>
            <c:symbol val="none"/>
          </c:marker>
          <c:cat>
            <c:strRef>
              <c:f>Estudio!$J$417:$J$428</c:f>
              <c:strCache>
                <c:ptCount val="12"/>
                <c:pt idx="0">
                  <c:v>5 a 9</c:v>
                </c:pt>
                <c:pt idx="1">
                  <c:v>10 a 14</c:v>
                </c:pt>
                <c:pt idx="2">
                  <c:v>15 a 19</c:v>
                </c:pt>
                <c:pt idx="3">
                  <c:v>20 a 24</c:v>
                </c:pt>
                <c:pt idx="4">
                  <c:v>25 a 29</c:v>
                </c:pt>
                <c:pt idx="5">
                  <c:v>30 a 34</c:v>
                </c:pt>
                <c:pt idx="6">
                  <c:v>35 a 39</c:v>
                </c:pt>
                <c:pt idx="7">
                  <c:v>40 a 44</c:v>
                </c:pt>
                <c:pt idx="8">
                  <c:v>45 a 49</c:v>
                </c:pt>
                <c:pt idx="9">
                  <c:v>50 a 54</c:v>
                </c:pt>
                <c:pt idx="10">
                  <c:v>55 a 59</c:v>
                </c:pt>
                <c:pt idx="11">
                  <c:v>60 a 64</c:v>
                </c:pt>
              </c:strCache>
            </c:strRef>
          </c:cat>
          <c:val>
            <c:numRef>
              <c:f>Estudio!$L$430:$L$441</c:f>
              <c:numCache>
                <c:formatCode>0.00</c:formatCode>
                <c:ptCount val="12"/>
                <c:pt idx="0">
                  <c:v>186.62674650698619</c:v>
                </c:pt>
                <c:pt idx="1">
                  <c:v>208.49236641221421</c:v>
                </c:pt>
                <c:pt idx="2">
                  <c:v>287.10154105974271</c:v>
                </c:pt>
                <c:pt idx="3">
                  <c:v>278.60977677309967</c:v>
                </c:pt>
                <c:pt idx="4">
                  <c:v>273.82875605815786</c:v>
                </c:pt>
                <c:pt idx="5">
                  <c:v>264.62395543175489</c:v>
                </c:pt>
                <c:pt idx="6">
                  <c:v>287.67123287671234</c:v>
                </c:pt>
                <c:pt idx="7">
                  <c:v>286.34361233480223</c:v>
                </c:pt>
                <c:pt idx="8">
                  <c:v>262.5</c:v>
                </c:pt>
                <c:pt idx="9">
                  <c:v>230.76923076923075</c:v>
                </c:pt>
                <c:pt idx="10">
                  <c:v>266.66666666666708</c:v>
                </c:pt>
                <c:pt idx="11">
                  <c:v>315.78947368421052</c:v>
                </c:pt>
              </c:numCache>
            </c:numRef>
          </c:val>
          <c:smooth val="1"/>
        </c:ser>
        <c:ser>
          <c:idx val="2"/>
          <c:order val="2"/>
          <c:tx>
            <c:strRef>
              <c:f>Trabajo!$M$524</c:f>
              <c:strCache>
                <c:ptCount val="1"/>
                <c:pt idx="0">
                  <c:v>Italia</c:v>
                </c:pt>
              </c:strCache>
            </c:strRef>
          </c:tx>
          <c:spPr>
            <a:ln w="19050">
              <a:solidFill>
                <a:schemeClr val="accent6">
                  <a:lumMod val="75000"/>
                </a:schemeClr>
              </a:solidFill>
            </a:ln>
          </c:spPr>
          <c:marker>
            <c:symbol val="none"/>
          </c:marker>
          <c:cat>
            <c:strRef>
              <c:f>Estudio!$J$417:$J$428</c:f>
              <c:strCache>
                <c:ptCount val="12"/>
                <c:pt idx="0">
                  <c:v>5 a 9</c:v>
                </c:pt>
                <c:pt idx="1">
                  <c:v>10 a 14</c:v>
                </c:pt>
                <c:pt idx="2">
                  <c:v>15 a 19</c:v>
                </c:pt>
                <c:pt idx="3">
                  <c:v>20 a 24</c:v>
                </c:pt>
                <c:pt idx="4">
                  <c:v>25 a 29</c:v>
                </c:pt>
                <c:pt idx="5">
                  <c:v>30 a 34</c:v>
                </c:pt>
                <c:pt idx="6">
                  <c:v>35 a 39</c:v>
                </c:pt>
                <c:pt idx="7">
                  <c:v>40 a 44</c:v>
                </c:pt>
                <c:pt idx="8">
                  <c:v>45 a 49</c:v>
                </c:pt>
                <c:pt idx="9">
                  <c:v>50 a 54</c:v>
                </c:pt>
                <c:pt idx="10">
                  <c:v>55 a 59</c:v>
                </c:pt>
                <c:pt idx="11">
                  <c:v>60 a 64</c:v>
                </c:pt>
              </c:strCache>
            </c:strRef>
          </c:cat>
          <c:val>
            <c:numRef>
              <c:f>Estudio!$M$430:$M$441</c:f>
              <c:numCache>
                <c:formatCode>0.00</c:formatCode>
                <c:ptCount val="12"/>
                <c:pt idx="0">
                  <c:v>71.856287425149702</c:v>
                </c:pt>
                <c:pt idx="1">
                  <c:v>112.11832061068701</c:v>
                </c:pt>
                <c:pt idx="2">
                  <c:v>71.142073042009628</c:v>
                </c:pt>
                <c:pt idx="3">
                  <c:v>33.060186493359708</c:v>
                </c:pt>
                <c:pt idx="4">
                  <c:v>44.426494345718901</c:v>
                </c:pt>
                <c:pt idx="5">
                  <c:v>48.282265552460544</c:v>
                </c:pt>
                <c:pt idx="6">
                  <c:v>79.908675799086751</c:v>
                </c:pt>
                <c:pt idx="7">
                  <c:v>96.916299559471426</c:v>
                </c:pt>
                <c:pt idx="8">
                  <c:v>62.5</c:v>
                </c:pt>
                <c:pt idx="9">
                  <c:v>109.89010989010988</c:v>
                </c:pt>
                <c:pt idx="10">
                  <c:v>22.222222222222182</c:v>
                </c:pt>
                <c:pt idx="11">
                  <c:v>157.89473684210546</c:v>
                </c:pt>
              </c:numCache>
            </c:numRef>
          </c:val>
          <c:smooth val="0"/>
        </c:ser>
        <c:ser>
          <c:idx val="3"/>
          <c:order val="3"/>
          <c:tx>
            <c:strRef>
              <c:f>Trabajo!$N$524</c:f>
              <c:strCache>
                <c:ptCount val="1"/>
                <c:pt idx="0">
                  <c:v>Otros</c:v>
                </c:pt>
              </c:strCache>
            </c:strRef>
          </c:tx>
          <c:spPr>
            <a:ln w="19050">
              <a:solidFill>
                <a:srgbClr val="00B050"/>
              </a:solidFill>
            </a:ln>
          </c:spPr>
          <c:marker>
            <c:symbol val="none"/>
          </c:marker>
          <c:cat>
            <c:strRef>
              <c:f>Estudio!$J$417:$J$428</c:f>
              <c:strCache>
                <c:ptCount val="12"/>
                <c:pt idx="0">
                  <c:v>5 a 9</c:v>
                </c:pt>
                <c:pt idx="1">
                  <c:v>10 a 14</c:v>
                </c:pt>
                <c:pt idx="2">
                  <c:v>15 a 19</c:v>
                </c:pt>
                <c:pt idx="3">
                  <c:v>20 a 24</c:v>
                </c:pt>
                <c:pt idx="4">
                  <c:v>25 a 29</c:v>
                </c:pt>
                <c:pt idx="5">
                  <c:v>30 a 34</c:v>
                </c:pt>
                <c:pt idx="6">
                  <c:v>35 a 39</c:v>
                </c:pt>
                <c:pt idx="7">
                  <c:v>40 a 44</c:v>
                </c:pt>
                <c:pt idx="8">
                  <c:v>45 a 49</c:v>
                </c:pt>
                <c:pt idx="9">
                  <c:v>50 a 54</c:v>
                </c:pt>
                <c:pt idx="10">
                  <c:v>55 a 59</c:v>
                </c:pt>
                <c:pt idx="11">
                  <c:v>60 a 64</c:v>
                </c:pt>
              </c:strCache>
            </c:strRef>
          </c:cat>
          <c:val>
            <c:numRef>
              <c:f>Estudio!$N$430:$N$441</c:f>
              <c:numCache>
                <c:formatCode>0.00</c:formatCode>
                <c:ptCount val="12"/>
                <c:pt idx="0">
                  <c:v>183.63273453093811</c:v>
                </c:pt>
                <c:pt idx="1">
                  <c:v>161.25954198473278</c:v>
                </c:pt>
                <c:pt idx="2">
                  <c:v>367.95440151994967</c:v>
                </c:pt>
                <c:pt idx="3">
                  <c:v>493.92483752472447</c:v>
                </c:pt>
                <c:pt idx="4">
                  <c:v>468.49757673667153</c:v>
                </c:pt>
                <c:pt idx="5">
                  <c:v>453.11049210770705</c:v>
                </c:pt>
                <c:pt idx="6">
                  <c:v>269.40639269406392</c:v>
                </c:pt>
                <c:pt idx="7">
                  <c:v>286.34361233480223</c:v>
                </c:pt>
                <c:pt idx="8">
                  <c:v>318.75</c:v>
                </c:pt>
                <c:pt idx="9">
                  <c:v>307.69230769230774</c:v>
                </c:pt>
                <c:pt idx="10">
                  <c:v>400</c:v>
                </c:pt>
                <c:pt idx="11">
                  <c:v>368.42105263157856</c:v>
                </c:pt>
              </c:numCache>
            </c:numRef>
          </c:val>
          <c:smooth val="0"/>
        </c:ser>
        <c:dLbls>
          <c:showLegendKey val="0"/>
          <c:showVal val="0"/>
          <c:showCatName val="0"/>
          <c:showSerName val="0"/>
          <c:showPercent val="0"/>
          <c:showBubbleSize val="0"/>
        </c:dLbls>
        <c:marker val="1"/>
        <c:smooth val="0"/>
        <c:axId val="289332224"/>
        <c:axId val="289338496"/>
      </c:lineChart>
      <c:catAx>
        <c:axId val="289332224"/>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650"/>
            </a:pPr>
            <a:endParaRPr lang="es-EC"/>
          </a:p>
        </c:txPr>
        <c:crossAx val="289338496"/>
        <c:crosses val="autoZero"/>
        <c:auto val="1"/>
        <c:lblAlgn val="ctr"/>
        <c:lblOffset val="100"/>
        <c:noMultiLvlLbl val="0"/>
      </c:catAx>
      <c:valAx>
        <c:axId val="289338496"/>
        <c:scaling>
          <c:orientation val="minMax"/>
          <c:max val="1000"/>
          <c:min val="0"/>
        </c:scaling>
        <c:delete val="0"/>
        <c:axPos val="l"/>
        <c:title>
          <c:tx>
            <c:rich>
              <a:bodyPr rot="-5400000" vert="horz"/>
              <a:lstStyle/>
              <a:p>
                <a:pPr>
                  <a:defRPr sz="600"/>
                </a:pPr>
                <a:r>
                  <a:rPr lang="es-EC" sz="600"/>
                  <a:t>Tasa por</a:t>
                </a:r>
                <a:r>
                  <a:rPr lang="es-EC" sz="600" baseline="0"/>
                  <a:t> cada 1000 emigrantes</a:t>
                </a:r>
                <a:endParaRPr lang="es-EC" sz="600"/>
              </a:p>
            </c:rich>
          </c:tx>
          <c:layout>
            <c:manualLayout>
              <c:xMode val="edge"/>
              <c:yMode val="edge"/>
              <c:x val="6.030453791647827E-3"/>
              <c:y val="5.0445934907395587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89332224"/>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79370699964283"/>
          <c:y val="3.8647337649367716E-2"/>
          <c:w val="0.71841388360937664"/>
          <c:h val="0.86063476583033349"/>
        </c:manualLayout>
      </c:layout>
      <c:barChart>
        <c:barDir val="bar"/>
        <c:grouping val="clustered"/>
        <c:varyColors val="0"/>
        <c:ser>
          <c:idx val="0"/>
          <c:order val="0"/>
          <c:spPr>
            <a:gradFill>
              <a:gsLst>
                <a:gs pos="0">
                  <a:schemeClr val="bg1">
                    <a:lumMod val="65000"/>
                  </a:schemeClr>
                </a:gs>
                <a:gs pos="50000">
                  <a:schemeClr val="bg1">
                    <a:lumMod val="85000"/>
                  </a:schemeClr>
                </a:gs>
                <a:gs pos="99000">
                  <a:schemeClr val="bg1">
                    <a:lumMod val="85000"/>
                  </a:schemeClr>
                </a:gs>
              </a:gsLst>
              <a:lin ang="4800000" scaled="0"/>
            </a:gradFill>
            <a:ln>
              <a:solidFill>
                <a:schemeClr val="bg1">
                  <a:lumMod val="50000"/>
                </a:schemeClr>
              </a:solidFill>
            </a:ln>
          </c:spPr>
          <c:invertIfNegative val="0"/>
          <c:dLbls>
            <c:dLbl>
              <c:idx val="1"/>
              <c:layout>
                <c:manualLayout>
                  <c:x val="0"/>
                  <c:y val="-8.130081300813009E-3"/>
                </c:manualLayout>
              </c:layout>
              <c:dLblPos val="outEnd"/>
              <c:showLegendKey val="0"/>
              <c:showVal val="1"/>
              <c:showCatName val="0"/>
              <c:showSerName val="0"/>
              <c:showPercent val="0"/>
              <c:showBubbleSize val="0"/>
            </c:dLbl>
            <c:numFmt formatCode="#,##0.0000" sourceLinked="0"/>
            <c:dLblPos val="outEnd"/>
            <c:showLegendKey val="0"/>
            <c:showVal val="1"/>
            <c:showCatName val="0"/>
            <c:showSerName val="0"/>
            <c:showPercent val="0"/>
            <c:showBubbleSize val="0"/>
            <c:showLeaderLines val="0"/>
          </c:dLbls>
          <c:cat>
            <c:strRef>
              <c:f>Inmigrantes_Guayaquil!$A$356:$A$368</c:f>
              <c:strCache>
                <c:ptCount val="13"/>
                <c:pt idx="0">
                  <c:v>Sin dormitorio</c:v>
                </c:pt>
                <c:pt idx="1">
                  <c:v>[0 - 1)</c:v>
                </c:pt>
                <c:pt idx="2">
                  <c:v>[1 - 2)</c:v>
                </c:pt>
                <c:pt idx="3">
                  <c:v>[2 - 3)</c:v>
                </c:pt>
                <c:pt idx="4">
                  <c:v>[3 - 4)</c:v>
                </c:pt>
                <c:pt idx="5">
                  <c:v>[4 - 5)</c:v>
                </c:pt>
                <c:pt idx="6">
                  <c:v>[5 - 6)</c:v>
                </c:pt>
                <c:pt idx="7">
                  <c:v>[6 - 7)</c:v>
                </c:pt>
                <c:pt idx="8">
                  <c:v>[7 - 8)</c:v>
                </c:pt>
                <c:pt idx="9">
                  <c:v>[8 - 9)</c:v>
                </c:pt>
                <c:pt idx="10">
                  <c:v>[9 - 10)</c:v>
                </c:pt>
                <c:pt idx="11">
                  <c:v>[10 - 15)</c:v>
                </c:pt>
                <c:pt idx="12">
                  <c:v>[15 - 20)</c:v>
                </c:pt>
              </c:strCache>
            </c:strRef>
          </c:cat>
          <c:val>
            <c:numRef>
              <c:f>Inmigrantes_Guayaquil!$B$356:$B$368</c:f>
              <c:numCache>
                <c:formatCode>0.00%</c:formatCode>
                <c:ptCount val="13"/>
                <c:pt idx="0">
                  <c:v>8.6660839292577035E-2</c:v>
                </c:pt>
                <c:pt idx="1">
                  <c:v>5.2261749568598477E-2</c:v>
                </c:pt>
                <c:pt idx="2">
                  <c:v>0.34394568485460503</c:v>
                </c:pt>
                <c:pt idx="3">
                  <c:v>0.23978388479884272</c:v>
                </c:pt>
                <c:pt idx="4">
                  <c:v>0.1154498255555471</c:v>
                </c:pt>
                <c:pt idx="5">
                  <c:v>7.2490524237606324E-2</c:v>
                </c:pt>
                <c:pt idx="6">
                  <c:v>4.4455077727625532E-2</c:v>
                </c:pt>
                <c:pt idx="7">
                  <c:v>2.279834522670246E-2</c:v>
                </c:pt>
                <c:pt idx="8">
                  <c:v>1.1672330773809973E-2</c:v>
                </c:pt>
                <c:pt idx="9">
                  <c:v>5.1655150067441806E-3</c:v>
                </c:pt>
                <c:pt idx="10">
                  <c:v>2.4866811848659092E-3</c:v>
                </c:pt>
                <c:pt idx="11">
                  <c:v>2.7014400144679657E-3</c:v>
                </c:pt>
                <c:pt idx="12">
                  <c:v>1.2810175800824383E-4</c:v>
                </c:pt>
              </c:numCache>
            </c:numRef>
          </c:val>
        </c:ser>
        <c:dLbls>
          <c:showLegendKey val="0"/>
          <c:showVal val="1"/>
          <c:showCatName val="0"/>
          <c:showSerName val="0"/>
          <c:showPercent val="0"/>
          <c:showBubbleSize val="0"/>
        </c:dLbls>
        <c:gapWidth val="40"/>
        <c:axId val="250591488"/>
        <c:axId val="250868864"/>
      </c:barChart>
      <c:catAx>
        <c:axId val="250591488"/>
        <c:scaling>
          <c:orientation val="maxMin"/>
        </c:scaling>
        <c:delete val="0"/>
        <c:axPos val="l"/>
        <c:title>
          <c:tx>
            <c:rich>
              <a:bodyPr rot="-5400000" vert="horz"/>
              <a:lstStyle/>
              <a:p>
                <a:pPr>
                  <a:defRPr/>
                </a:pPr>
                <a:r>
                  <a:rPr lang="es-EC" sz="800"/>
                  <a:t>Número</a:t>
                </a:r>
                <a:r>
                  <a:rPr lang="es-EC" sz="800" baseline="0"/>
                  <a:t> de personas por dormitorio</a:t>
                </a:r>
                <a:endParaRPr lang="es-EC" sz="800"/>
              </a:p>
            </c:rich>
          </c:tx>
          <c:overlay val="0"/>
        </c:title>
        <c:majorTickMark val="out"/>
        <c:minorTickMark val="none"/>
        <c:tickLblPos val="nextTo"/>
        <c:spPr>
          <a:ln>
            <a:solidFill>
              <a:schemeClr val="tx1"/>
            </a:solidFill>
          </a:ln>
        </c:spPr>
        <c:txPr>
          <a:bodyPr/>
          <a:lstStyle/>
          <a:p>
            <a:pPr>
              <a:defRPr sz="700"/>
            </a:pPr>
            <a:endParaRPr lang="es-EC"/>
          </a:p>
        </c:txPr>
        <c:crossAx val="250868864"/>
        <c:crossesAt val="0"/>
        <c:auto val="1"/>
        <c:lblAlgn val="ctr"/>
        <c:lblOffset val="100"/>
        <c:noMultiLvlLbl val="0"/>
      </c:catAx>
      <c:valAx>
        <c:axId val="250868864"/>
        <c:scaling>
          <c:orientation val="minMax"/>
          <c:max val="1"/>
          <c:min val="0"/>
        </c:scaling>
        <c:delete val="0"/>
        <c:axPos val="t"/>
        <c:title>
          <c:tx>
            <c:rich>
              <a:bodyPr/>
              <a:lstStyle/>
              <a:p>
                <a:pPr>
                  <a:defRPr sz="800"/>
                </a:pPr>
                <a:r>
                  <a:rPr lang="es-EC" sz="800"/>
                  <a:t>Frecuencia Relativa</a:t>
                </a:r>
              </a:p>
            </c:rich>
          </c:tx>
          <c:layout>
            <c:manualLayout>
              <c:xMode val="edge"/>
              <c:yMode val="edge"/>
              <c:x val="0.38200090223097177"/>
              <c:y val="0.9531410590967196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50591488"/>
        <c:crossesAt val="14"/>
        <c:crossBetween val="between"/>
        <c:majorUnit val="0.2"/>
      </c:valAx>
      <c:spPr>
        <a:noFill/>
        <a:ln>
          <a:solidFill>
            <a:schemeClr val="tx1"/>
          </a:solidFill>
        </a:ln>
      </c:spPr>
    </c:plotArea>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18397503461655"/>
          <c:y val="3.8647337649367716E-2"/>
          <c:w val="0.68370595407857626"/>
          <c:h val="0.86063476583033349"/>
        </c:manualLayout>
      </c:layout>
      <c:barChart>
        <c:barDir val="bar"/>
        <c:grouping val="clustered"/>
        <c:varyColors val="0"/>
        <c:ser>
          <c:idx val="0"/>
          <c:order val="0"/>
          <c:spPr>
            <a:gradFill>
              <a:gsLst>
                <a:gs pos="0">
                  <a:schemeClr val="bg1">
                    <a:lumMod val="65000"/>
                  </a:schemeClr>
                </a:gs>
                <a:gs pos="50000">
                  <a:schemeClr val="bg1">
                    <a:lumMod val="85000"/>
                  </a:schemeClr>
                </a:gs>
                <a:gs pos="99000">
                  <a:schemeClr val="bg1">
                    <a:lumMod val="85000"/>
                  </a:schemeClr>
                </a:gs>
              </a:gsLst>
              <a:lin ang="4800000" scaled="0"/>
            </a:gradFill>
            <a:ln>
              <a:solidFill>
                <a:schemeClr val="bg1">
                  <a:lumMod val="50000"/>
                </a:schemeClr>
              </a:solidFill>
            </a:ln>
          </c:spPr>
          <c:invertIfNegative val="0"/>
          <c:dLbls>
            <c:numFmt formatCode="#,##0.0000" sourceLinked="0"/>
            <c:dLblPos val="outEnd"/>
            <c:showLegendKey val="0"/>
            <c:showVal val="1"/>
            <c:showCatName val="0"/>
            <c:showSerName val="0"/>
            <c:showPercent val="0"/>
            <c:showBubbleSize val="0"/>
            <c:showLeaderLines val="0"/>
          </c:dLbls>
          <c:cat>
            <c:strRef>
              <c:f>Inmigrantes_Guayaquil!$D$356:$D$364</c:f>
              <c:strCache>
                <c:ptCount val="9"/>
                <c:pt idx="0">
                  <c:v>1</c:v>
                </c:pt>
                <c:pt idx="1">
                  <c:v>2</c:v>
                </c:pt>
                <c:pt idx="2">
                  <c:v>3</c:v>
                </c:pt>
                <c:pt idx="3">
                  <c:v>4</c:v>
                </c:pt>
                <c:pt idx="4">
                  <c:v>5</c:v>
                </c:pt>
                <c:pt idx="5">
                  <c:v>[6 - 8)</c:v>
                </c:pt>
                <c:pt idx="6">
                  <c:v>[8 - 10)</c:v>
                </c:pt>
                <c:pt idx="7">
                  <c:v>[10 - 15)</c:v>
                </c:pt>
                <c:pt idx="8">
                  <c:v>[15 - 20)</c:v>
                </c:pt>
              </c:strCache>
            </c:strRef>
          </c:cat>
          <c:val>
            <c:numRef>
              <c:f>Inmigrantes_Guayaquil!$E$356:$E$364</c:f>
              <c:numCache>
                <c:formatCode>0,000</c:formatCode>
                <c:ptCount val="9"/>
                <c:pt idx="0">
                  <c:v>0.19273075083692037</c:v>
                </c:pt>
                <c:pt idx="1">
                  <c:v>0.15103691143863321</c:v>
                </c:pt>
                <c:pt idx="2">
                  <c:v>0.17503586800573889</c:v>
                </c:pt>
                <c:pt idx="3">
                  <c:v>0.18425285857136681</c:v>
                </c:pt>
                <c:pt idx="4">
                  <c:v>0.1352549889135255</c:v>
                </c:pt>
                <c:pt idx="5">
                  <c:v>0.12429894352419468</c:v>
                </c:pt>
                <c:pt idx="6">
                  <c:v>2.7520542585105032E-2</c:v>
                </c:pt>
                <c:pt idx="7">
                  <c:v>9.3908960479979313E-3</c:v>
                </c:pt>
                <c:pt idx="8">
                  <c:v>4.7824007651841368E-4</c:v>
                </c:pt>
              </c:numCache>
            </c:numRef>
          </c:val>
        </c:ser>
        <c:dLbls>
          <c:showLegendKey val="0"/>
          <c:showVal val="1"/>
          <c:showCatName val="0"/>
          <c:showSerName val="0"/>
          <c:showPercent val="0"/>
          <c:showBubbleSize val="0"/>
        </c:dLbls>
        <c:gapWidth val="40"/>
        <c:axId val="250904960"/>
        <c:axId val="251165696"/>
      </c:barChart>
      <c:catAx>
        <c:axId val="250904960"/>
        <c:scaling>
          <c:orientation val="maxMin"/>
        </c:scaling>
        <c:delete val="0"/>
        <c:axPos val="l"/>
        <c:title>
          <c:tx>
            <c:rich>
              <a:bodyPr rot="-5400000" vert="horz"/>
              <a:lstStyle/>
              <a:p>
                <a:pPr>
                  <a:defRPr/>
                </a:pPr>
                <a:r>
                  <a:rPr lang="es-EC" sz="800"/>
                  <a:t>Número</a:t>
                </a:r>
                <a:r>
                  <a:rPr lang="es-EC" sz="800" baseline="0"/>
                  <a:t> de personas por vivienda</a:t>
                </a:r>
                <a:endParaRPr lang="es-EC" sz="800"/>
              </a:p>
            </c:rich>
          </c:tx>
          <c:overlay val="0"/>
        </c:title>
        <c:majorTickMark val="out"/>
        <c:minorTickMark val="none"/>
        <c:tickLblPos val="nextTo"/>
        <c:spPr>
          <a:ln>
            <a:solidFill>
              <a:schemeClr val="tx1"/>
            </a:solidFill>
          </a:ln>
        </c:spPr>
        <c:txPr>
          <a:bodyPr/>
          <a:lstStyle/>
          <a:p>
            <a:pPr>
              <a:defRPr sz="700"/>
            </a:pPr>
            <a:endParaRPr lang="es-EC"/>
          </a:p>
        </c:txPr>
        <c:crossAx val="251165696"/>
        <c:crossesAt val="0"/>
        <c:auto val="1"/>
        <c:lblAlgn val="ctr"/>
        <c:lblOffset val="100"/>
        <c:noMultiLvlLbl val="0"/>
      </c:catAx>
      <c:valAx>
        <c:axId val="251165696"/>
        <c:scaling>
          <c:orientation val="minMax"/>
          <c:max val="1"/>
          <c:min val="0"/>
        </c:scaling>
        <c:delete val="0"/>
        <c:axPos val="t"/>
        <c:title>
          <c:tx>
            <c:rich>
              <a:bodyPr/>
              <a:lstStyle/>
              <a:p>
                <a:pPr>
                  <a:defRPr sz="800"/>
                </a:pPr>
                <a:r>
                  <a:rPr lang="es-EC" sz="800"/>
                  <a:t>Frecuencia Relativa</a:t>
                </a:r>
              </a:p>
            </c:rich>
          </c:tx>
          <c:layout>
            <c:manualLayout>
              <c:xMode val="edge"/>
              <c:yMode val="edge"/>
              <c:x val="0.40283433505723032"/>
              <c:y val="0.95473237279235956"/>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50904960"/>
        <c:crossesAt val="14"/>
        <c:crossBetween val="between"/>
        <c:majorUnit val="0.2"/>
      </c:valAx>
      <c:spPr>
        <a:noFill/>
        <a:ln>
          <a:solidFill>
            <a:schemeClr val="tx1"/>
          </a:solidFill>
        </a:ln>
      </c:spPr>
    </c:plotArea>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308567198331018"/>
          <c:y val="2.1234639274762556E-2"/>
          <c:w val="0.65662595060232976"/>
          <c:h val="0.86821590260941295"/>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600"/>
                </a:pPr>
                <a:endParaRPr lang="es-EC"/>
              </a:p>
            </c:txPr>
            <c:dLblPos val="outEnd"/>
            <c:showLegendKey val="0"/>
            <c:showVal val="1"/>
            <c:showCatName val="0"/>
            <c:showSerName val="0"/>
            <c:showPercent val="0"/>
            <c:showBubbleSize val="0"/>
            <c:showLeaderLines val="0"/>
          </c:dLbls>
          <c:cat>
            <c:strRef>
              <c:f>'Inmigracion(Perfil)'!$Q$63:$Q$87</c:f>
              <c:strCache>
                <c:ptCount val="25"/>
                <c:pt idx="0">
                  <c:v>Pichincha</c:v>
                </c:pt>
                <c:pt idx="1">
                  <c:v>Guayas</c:v>
                </c:pt>
                <c:pt idx="2">
                  <c:v>Carchi</c:v>
                </c:pt>
                <c:pt idx="3">
                  <c:v>Azuay</c:v>
                </c:pt>
                <c:pt idx="4">
                  <c:v>Sucumbíos</c:v>
                </c:pt>
                <c:pt idx="5">
                  <c:v>Esmeraldas</c:v>
                </c:pt>
                <c:pt idx="6">
                  <c:v>Imbabura</c:v>
                </c:pt>
                <c:pt idx="7">
                  <c:v>Santo Domingo</c:v>
                </c:pt>
                <c:pt idx="8">
                  <c:v>Manabí</c:v>
                </c:pt>
                <c:pt idx="9">
                  <c:v>El Oro</c:v>
                </c:pt>
                <c:pt idx="10">
                  <c:v>Loja</c:v>
                </c:pt>
                <c:pt idx="11">
                  <c:v>Tungurahua</c:v>
                </c:pt>
                <c:pt idx="12">
                  <c:v>Orellana</c:v>
                </c:pt>
                <c:pt idx="13">
                  <c:v>Los Ríos</c:v>
                </c:pt>
                <c:pt idx="14">
                  <c:v>Cañar</c:v>
                </c:pt>
                <c:pt idx="15">
                  <c:v>Chimborazo</c:v>
                </c:pt>
                <c:pt idx="16">
                  <c:v>Santa Elena</c:v>
                </c:pt>
                <c:pt idx="17">
                  <c:v>Cotopaxi</c:v>
                </c:pt>
                <c:pt idx="18">
                  <c:v>Zamora Chinchipe</c:v>
                </c:pt>
                <c:pt idx="19">
                  <c:v>Morona Santiago</c:v>
                </c:pt>
                <c:pt idx="20">
                  <c:v>Pastaza</c:v>
                </c:pt>
                <c:pt idx="21">
                  <c:v>Napo</c:v>
                </c:pt>
                <c:pt idx="22">
                  <c:v>Galápagos</c:v>
                </c:pt>
                <c:pt idx="23">
                  <c:v>Bolívar</c:v>
                </c:pt>
                <c:pt idx="24">
                  <c:v>Zonas No Delimitadas</c:v>
                </c:pt>
              </c:strCache>
            </c:strRef>
          </c:cat>
          <c:val>
            <c:numRef>
              <c:f>'Inmigracion(Perfil)'!$R$63:$R$87</c:f>
              <c:numCache>
                <c:formatCode>0,000</c:formatCode>
                <c:ptCount val="25"/>
                <c:pt idx="0">
                  <c:v>0.32639897056882738</c:v>
                </c:pt>
                <c:pt idx="1">
                  <c:v>0.16404359685011671</c:v>
                </c:pt>
                <c:pt idx="2">
                  <c:v>6.7457436980335378E-2</c:v>
                </c:pt>
                <c:pt idx="3">
                  <c:v>6.1815362280585956E-2</c:v>
                </c:pt>
                <c:pt idx="4">
                  <c:v>5.9285777132550316E-2</c:v>
                </c:pt>
                <c:pt idx="5">
                  <c:v>4.5873476749813034E-2</c:v>
                </c:pt>
                <c:pt idx="6">
                  <c:v>3.8851128414940005E-2</c:v>
                </c:pt>
                <c:pt idx="7">
                  <c:v>3.653600809467248E-2</c:v>
                </c:pt>
                <c:pt idx="8">
                  <c:v>3.5458184857683338E-2</c:v>
                </c:pt>
                <c:pt idx="9">
                  <c:v>3.174079450970041E-2</c:v>
                </c:pt>
                <c:pt idx="10">
                  <c:v>2.5515815406273443E-2</c:v>
                </c:pt>
                <c:pt idx="11">
                  <c:v>1.9202850732479897E-2</c:v>
                </c:pt>
                <c:pt idx="12">
                  <c:v>1.5661431525229863E-2</c:v>
                </c:pt>
                <c:pt idx="13">
                  <c:v>1.2922880647573824E-2</c:v>
                </c:pt>
                <c:pt idx="14">
                  <c:v>1.1179666534688304E-2</c:v>
                </c:pt>
                <c:pt idx="15">
                  <c:v>9.8378865865998092E-3</c:v>
                </c:pt>
                <c:pt idx="16">
                  <c:v>9.0625137477453807E-3</c:v>
                </c:pt>
                <c:pt idx="17">
                  <c:v>6.9123663719150115E-3</c:v>
                </c:pt>
                <c:pt idx="18">
                  <c:v>5.0646693942193576E-3</c:v>
                </c:pt>
                <c:pt idx="19">
                  <c:v>5.0536711979235517E-3</c:v>
                </c:pt>
                <c:pt idx="20">
                  <c:v>3.9813470590823194E-3</c:v>
                </c:pt>
                <c:pt idx="21">
                  <c:v>3.7998768202014903E-3</c:v>
                </c:pt>
                <c:pt idx="22">
                  <c:v>2.1831419647177909E-3</c:v>
                </c:pt>
                <c:pt idx="23">
                  <c:v>1.8147023888082376E-3</c:v>
                </c:pt>
                <c:pt idx="24">
                  <c:v>3.4644318331793634E-4</c:v>
                </c:pt>
              </c:numCache>
            </c:numRef>
          </c:val>
        </c:ser>
        <c:dLbls>
          <c:showLegendKey val="0"/>
          <c:showVal val="1"/>
          <c:showCatName val="0"/>
          <c:showSerName val="0"/>
          <c:showPercent val="0"/>
          <c:showBubbleSize val="0"/>
        </c:dLbls>
        <c:gapWidth val="30"/>
        <c:axId val="251455360"/>
        <c:axId val="251589760"/>
      </c:barChart>
      <c:catAx>
        <c:axId val="251455360"/>
        <c:scaling>
          <c:orientation val="maxMin"/>
        </c:scaling>
        <c:delete val="0"/>
        <c:axPos val="l"/>
        <c:title>
          <c:tx>
            <c:rich>
              <a:bodyPr rot="-5400000" vert="horz"/>
              <a:lstStyle/>
              <a:p>
                <a:pPr>
                  <a:defRPr/>
                </a:pPr>
                <a:r>
                  <a:rPr lang="es-EC"/>
                  <a:t>Provincia</a:t>
                </a:r>
                <a:r>
                  <a:rPr lang="es-EC" baseline="0"/>
                  <a:t> de residencia</a:t>
                </a:r>
                <a:endParaRPr lang="es-EC"/>
              </a:p>
            </c:rich>
          </c:tx>
          <c:overlay val="0"/>
        </c:title>
        <c:numFmt formatCode="0,000" sourceLinked="1"/>
        <c:majorTickMark val="out"/>
        <c:minorTickMark val="none"/>
        <c:tickLblPos val="low"/>
        <c:spPr>
          <a:ln>
            <a:solidFill>
              <a:schemeClr val="tx1"/>
            </a:solidFill>
          </a:ln>
        </c:spPr>
        <c:txPr>
          <a:bodyPr/>
          <a:lstStyle/>
          <a:p>
            <a:pPr>
              <a:defRPr sz="700"/>
            </a:pPr>
            <a:endParaRPr lang="es-EC"/>
          </a:p>
        </c:txPr>
        <c:crossAx val="251589760"/>
        <c:crosses val="autoZero"/>
        <c:auto val="1"/>
        <c:lblAlgn val="ctr"/>
        <c:lblOffset val="100"/>
        <c:noMultiLvlLbl val="0"/>
      </c:catAx>
      <c:valAx>
        <c:axId val="251589760"/>
        <c:scaling>
          <c:orientation val="minMax"/>
          <c:max val="1"/>
        </c:scaling>
        <c:delete val="0"/>
        <c:axPos val="t"/>
        <c:title>
          <c:tx>
            <c:rich>
              <a:bodyPr/>
              <a:lstStyle/>
              <a:p>
                <a:pPr>
                  <a:defRPr/>
                </a:pPr>
                <a:r>
                  <a:rPr lang="es-EC"/>
                  <a:t>Frecuencia Relativa</a:t>
                </a:r>
              </a:p>
            </c:rich>
          </c:tx>
          <c:layout>
            <c:manualLayout>
              <c:xMode val="edge"/>
              <c:yMode val="edge"/>
              <c:x val="0.4783538596137023"/>
              <c:y val="0.94928591876529245"/>
            </c:manualLayout>
          </c:layout>
          <c:overlay val="0"/>
        </c:title>
        <c:numFmt formatCode="#,##0.00" sourceLinked="0"/>
        <c:majorTickMark val="in"/>
        <c:minorTickMark val="none"/>
        <c:tickLblPos val="high"/>
        <c:spPr>
          <a:ln>
            <a:solidFill>
              <a:schemeClr val="tx1"/>
            </a:solidFill>
          </a:ln>
        </c:spPr>
        <c:crossAx val="251455360"/>
        <c:crossesAt val="26"/>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212588911372952E-2"/>
          <c:y val="5.1400554097404488E-2"/>
          <c:w val="0.89567450125198333"/>
          <c:h val="0.59074032749954863"/>
        </c:manualLayout>
      </c:layout>
      <c:lineChart>
        <c:grouping val="standard"/>
        <c:varyColors val="0"/>
        <c:ser>
          <c:idx val="1"/>
          <c:order val="0"/>
          <c:tx>
            <c:v>Tasa a nivel Nacional</c:v>
          </c:tx>
          <c:spPr>
            <a:ln w="19050">
              <a:solidFill>
                <a:schemeClr val="tx1"/>
              </a:solidFill>
            </a:ln>
          </c:spPr>
          <c:marker>
            <c:symbol val="none"/>
          </c:marker>
          <c:cat>
            <c:strRef>
              <c:f>'Inmigracion(Perfil)'!$A$95:$A$119</c:f>
              <c:strCache>
                <c:ptCount val="25"/>
                <c:pt idx="0">
                  <c:v>Carchi</c:v>
                </c:pt>
                <c:pt idx="1">
                  <c:v>Sucumbios</c:v>
                </c:pt>
                <c:pt idx="2">
                  <c:v>Pichincha</c:v>
                </c:pt>
                <c:pt idx="3">
                  <c:v>Orellana</c:v>
                </c:pt>
                <c:pt idx="4">
                  <c:v>Santo Domingo</c:v>
                </c:pt>
                <c:pt idx="5">
                  <c:v>Imbabura</c:v>
                </c:pt>
                <c:pt idx="6">
                  <c:v>Galápagos</c:v>
                </c:pt>
                <c:pt idx="7">
                  <c:v>Azuay</c:v>
                </c:pt>
                <c:pt idx="8">
                  <c:v>Esmeraldas</c:v>
                </c:pt>
                <c:pt idx="9">
                  <c:v>Loja</c:v>
                </c:pt>
                <c:pt idx="10">
                  <c:v>Zamora Chinchipe</c:v>
                </c:pt>
                <c:pt idx="11">
                  <c:v>El Oro</c:v>
                </c:pt>
                <c:pt idx="12">
                  <c:v>Cañar</c:v>
                </c:pt>
                <c:pt idx="13">
                  <c:v>Pastaza</c:v>
                </c:pt>
                <c:pt idx="14">
                  <c:v>Guayas</c:v>
                </c:pt>
                <c:pt idx="15">
                  <c:v>Tungurahua</c:v>
                </c:pt>
                <c:pt idx="16">
                  <c:v>Napo</c:v>
                </c:pt>
                <c:pt idx="17">
                  <c:v>Morona Santiago</c:v>
                </c:pt>
                <c:pt idx="18">
                  <c:v>Santa Elena</c:v>
                </c:pt>
                <c:pt idx="19">
                  <c:v>Manabí</c:v>
                </c:pt>
                <c:pt idx="20">
                  <c:v>Chimborazo</c:v>
                </c:pt>
                <c:pt idx="21">
                  <c:v>Cotopaxi</c:v>
                </c:pt>
                <c:pt idx="22">
                  <c:v>Los Ríos</c:v>
                </c:pt>
                <c:pt idx="23">
                  <c:v>Zonas No Delimitadas</c:v>
                </c:pt>
                <c:pt idx="24">
                  <c:v>Bolívar</c:v>
                </c:pt>
              </c:strCache>
            </c:strRef>
          </c:cat>
          <c:val>
            <c:numRef>
              <c:f>'Inmigracion(Perfil)'!$H$64:$H$88</c:f>
              <c:numCache>
                <c:formatCode>0.00</c:formatCode>
                <c:ptCount val="25"/>
                <c:pt idx="0">
                  <c:v>12.555529571963266</c:v>
                </c:pt>
                <c:pt idx="1">
                  <c:v>12.555529571963266</c:v>
                </c:pt>
                <c:pt idx="2">
                  <c:v>12.555529571963266</c:v>
                </c:pt>
                <c:pt idx="3">
                  <c:v>12.555529571963266</c:v>
                </c:pt>
                <c:pt idx="4">
                  <c:v>12.555529571963266</c:v>
                </c:pt>
                <c:pt idx="5">
                  <c:v>12.555529571963266</c:v>
                </c:pt>
                <c:pt idx="6">
                  <c:v>12.555529571963266</c:v>
                </c:pt>
                <c:pt idx="7">
                  <c:v>12.555529571963266</c:v>
                </c:pt>
                <c:pt idx="8">
                  <c:v>12.555529571963266</c:v>
                </c:pt>
                <c:pt idx="9">
                  <c:v>12.555529571963266</c:v>
                </c:pt>
                <c:pt idx="10">
                  <c:v>12.555529571963266</c:v>
                </c:pt>
                <c:pt idx="11">
                  <c:v>12.555529571963266</c:v>
                </c:pt>
                <c:pt idx="12">
                  <c:v>12.555529571963266</c:v>
                </c:pt>
                <c:pt idx="13">
                  <c:v>12.555529571963266</c:v>
                </c:pt>
                <c:pt idx="14">
                  <c:v>12.555529571963266</c:v>
                </c:pt>
                <c:pt idx="15">
                  <c:v>12.555529571963266</c:v>
                </c:pt>
                <c:pt idx="16">
                  <c:v>12.555529571963266</c:v>
                </c:pt>
                <c:pt idx="17">
                  <c:v>12.555529571963266</c:v>
                </c:pt>
                <c:pt idx="18">
                  <c:v>12.555529571963266</c:v>
                </c:pt>
                <c:pt idx="19">
                  <c:v>12.555529571963266</c:v>
                </c:pt>
                <c:pt idx="20">
                  <c:v>12.555529571963266</c:v>
                </c:pt>
                <c:pt idx="21">
                  <c:v>12.555529571963266</c:v>
                </c:pt>
                <c:pt idx="22">
                  <c:v>12.555529571963266</c:v>
                </c:pt>
                <c:pt idx="23">
                  <c:v>12.555529571963266</c:v>
                </c:pt>
                <c:pt idx="24">
                  <c:v>12.555529571963266</c:v>
                </c:pt>
              </c:numCache>
            </c:numRef>
          </c:val>
          <c:smooth val="0"/>
        </c:ser>
        <c:ser>
          <c:idx val="0"/>
          <c:order val="1"/>
          <c:tx>
            <c:v>Tasa a nivel Provincial</c:v>
          </c:tx>
          <c:spPr>
            <a:ln>
              <a:noFill/>
            </a:ln>
          </c:spPr>
          <c:marker>
            <c:symbol val="circle"/>
            <c:size val="5"/>
            <c:spPr>
              <a:solidFill>
                <a:schemeClr val="bg1">
                  <a:lumMod val="50000"/>
                </a:schemeClr>
              </a:solidFill>
              <a:ln>
                <a:solidFill>
                  <a:schemeClr val="bg1">
                    <a:lumMod val="50000"/>
                  </a:schemeClr>
                </a:solidFill>
              </a:ln>
            </c:spPr>
          </c:marker>
          <c:cat>
            <c:strRef>
              <c:f>'Inmigracion(Perfil)'!$A$95:$A$119</c:f>
              <c:strCache>
                <c:ptCount val="25"/>
                <c:pt idx="0">
                  <c:v>Carchi</c:v>
                </c:pt>
                <c:pt idx="1">
                  <c:v>Sucumbios</c:v>
                </c:pt>
                <c:pt idx="2">
                  <c:v>Pichincha</c:v>
                </c:pt>
                <c:pt idx="3">
                  <c:v>Orellana</c:v>
                </c:pt>
                <c:pt idx="4">
                  <c:v>Santo Domingo</c:v>
                </c:pt>
                <c:pt idx="5">
                  <c:v>Imbabura</c:v>
                </c:pt>
                <c:pt idx="6">
                  <c:v>Galápagos</c:v>
                </c:pt>
                <c:pt idx="7">
                  <c:v>Azuay</c:v>
                </c:pt>
                <c:pt idx="8">
                  <c:v>Esmeraldas</c:v>
                </c:pt>
                <c:pt idx="9">
                  <c:v>Loja</c:v>
                </c:pt>
                <c:pt idx="10">
                  <c:v>Zamora Chinchipe</c:v>
                </c:pt>
                <c:pt idx="11">
                  <c:v>El Oro</c:v>
                </c:pt>
                <c:pt idx="12">
                  <c:v>Cañar</c:v>
                </c:pt>
                <c:pt idx="13">
                  <c:v>Pastaza</c:v>
                </c:pt>
                <c:pt idx="14">
                  <c:v>Guayas</c:v>
                </c:pt>
                <c:pt idx="15">
                  <c:v>Tungurahua</c:v>
                </c:pt>
                <c:pt idx="16">
                  <c:v>Napo</c:v>
                </c:pt>
                <c:pt idx="17">
                  <c:v>Morona Santiago</c:v>
                </c:pt>
                <c:pt idx="18">
                  <c:v>Santa Elena</c:v>
                </c:pt>
                <c:pt idx="19">
                  <c:v>Manabí</c:v>
                </c:pt>
                <c:pt idx="20">
                  <c:v>Chimborazo</c:v>
                </c:pt>
                <c:pt idx="21">
                  <c:v>Cotopaxi</c:v>
                </c:pt>
                <c:pt idx="22">
                  <c:v>Los Ríos</c:v>
                </c:pt>
                <c:pt idx="23">
                  <c:v>Zonas No Delimitadas</c:v>
                </c:pt>
                <c:pt idx="24">
                  <c:v>Bolívar</c:v>
                </c:pt>
              </c:strCache>
            </c:strRef>
          </c:cat>
          <c:val>
            <c:numRef>
              <c:f>'Inmigracion(Perfil)'!$B$95:$B$119</c:f>
              <c:numCache>
                <c:formatCode>0.00</c:formatCode>
                <c:ptCount val="25"/>
                <c:pt idx="0">
                  <c:v>74.72496680108668</c:v>
                </c:pt>
                <c:pt idx="1">
                  <c:v>61.788962695078553</c:v>
                </c:pt>
                <c:pt idx="2">
                  <c:v>23.021616776477163</c:v>
                </c:pt>
                <c:pt idx="3">
                  <c:v>21.145008129839855</c:v>
                </c:pt>
                <c:pt idx="4">
                  <c:v>18.087623154553317</c:v>
                </c:pt>
                <c:pt idx="5">
                  <c:v>17.787053844546428</c:v>
                </c:pt>
                <c:pt idx="6">
                  <c:v>16.800677105374525</c:v>
                </c:pt>
                <c:pt idx="7">
                  <c:v>15.815331628130778</c:v>
                </c:pt>
                <c:pt idx="8">
                  <c:v>15.6494170395175</c:v>
                </c:pt>
                <c:pt idx="9">
                  <c:v>10.303280617841562</c:v>
                </c:pt>
                <c:pt idx="10">
                  <c:v>10.187264260510798</c:v>
                </c:pt>
                <c:pt idx="11">
                  <c:v>9.6523191820612677</c:v>
                </c:pt>
                <c:pt idx="12">
                  <c:v>9.058382679908938</c:v>
                </c:pt>
                <c:pt idx="13">
                  <c:v>8.6729437696159462</c:v>
                </c:pt>
                <c:pt idx="14">
                  <c:v>8.1996975861592247</c:v>
                </c:pt>
                <c:pt idx="15">
                  <c:v>6.9434364442924439</c:v>
                </c:pt>
                <c:pt idx="16">
                  <c:v>6.7178036379191335</c:v>
                </c:pt>
                <c:pt idx="17">
                  <c:v>6.2239680335918184</c:v>
                </c:pt>
                <c:pt idx="18">
                  <c:v>5.3761686968662925</c:v>
                </c:pt>
                <c:pt idx="19">
                  <c:v>4.7027933775800452</c:v>
                </c:pt>
                <c:pt idx="20">
                  <c:v>3.9013433356594547</c:v>
                </c:pt>
                <c:pt idx="21">
                  <c:v>3.0830510677854304</c:v>
                </c:pt>
                <c:pt idx="22">
                  <c:v>3.0200415095067048</c:v>
                </c:pt>
                <c:pt idx="23">
                  <c:v>1.9932924128330063</c:v>
                </c:pt>
                <c:pt idx="24">
                  <c:v>1.7959965603944645</c:v>
                </c:pt>
              </c:numCache>
            </c:numRef>
          </c:val>
          <c:smooth val="0"/>
        </c:ser>
        <c:dLbls>
          <c:showLegendKey val="0"/>
          <c:showVal val="0"/>
          <c:showCatName val="0"/>
          <c:showSerName val="0"/>
          <c:showPercent val="0"/>
          <c:showBubbleSize val="0"/>
        </c:dLbls>
        <c:marker val="1"/>
        <c:smooth val="0"/>
        <c:axId val="251905152"/>
        <c:axId val="251907456"/>
      </c:lineChart>
      <c:catAx>
        <c:axId val="251905152"/>
        <c:scaling>
          <c:orientation val="minMax"/>
        </c:scaling>
        <c:delete val="0"/>
        <c:axPos val="b"/>
        <c:title>
          <c:tx>
            <c:rich>
              <a:bodyPr/>
              <a:lstStyle/>
              <a:p>
                <a:pPr>
                  <a:defRPr/>
                </a:pPr>
                <a:r>
                  <a:rPr lang="es-EC"/>
                  <a:t>Provincia</a:t>
                </a:r>
              </a:p>
            </c:rich>
          </c:tx>
          <c:overlay val="0"/>
        </c:title>
        <c:numFmt formatCode="General" sourceLinked="1"/>
        <c:majorTickMark val="out"/>
        <c:minorTickMark val="none"/>
        <c:tickLblPos val="nextTo"/>
        <c:spPr>
          <a:ln>
            <a:solidFill>
              <a:schemeClr val="tx1"/>
            </a:solidFill>
          </a:ln>
        </c:spPr>
        <c:txPr>
          <a:bodyPr rot="-5400000" vert="horz"/>
          <a:lstStyle/>
          <a:p>
            <a:pPr>
              <a:defRPr sz="600"/>
            </a:pPr>
            <a:endParaRPr lang="es-EC"/>
          </a:p>
        </c:txPr>
        <c:crossAx val="251907456"/>
        <c:crosses val="autoZero"/>
        <c:auto val="1"/>
        <c:lblAlgn val="ctr"/>
        <c:lblOffset val="100"/>
        <c:noMultiLvlLbl val="0"/>
      </c:catAx>
      <c:valAx>
        <c:axId val="251907456"/>
        <c:scaling>
          <c:orientation val="minMax"/>
          <c:max val="80"/>
        </c:scaling>
        <c:delete val="0"/>
        <c:axPos val="l"/>
        <c:title>
          <c:tx>
            <c:rich>
              <a:bodyPr rot="-5400000" vert="horz"/>
              <a:lstStyle/>
              <a:p>
                <a:pPr>
                  <a:defRPr/>
                </a:pPr>
                <a:r>
                  <a:rPr lang="es-EC"/>
                  <a:t>Tasa de Inmigración</a:t>
                </a:r>
              </a:p>
            </c:rich>
          </c:tx>
          <c:overlay val="0"/>
        </c:title>
        <c:numFmt formatCode="0" sourceLinked="0"/>
        <c:majorTickMark val="out"/>
        <c:minorTickMark val="none"/>
        <c:tickLblPos val="nextTo"/>
        <c:spPr>
          <a:ln>
            <a:solidFill>
              <a:schemeClr val="tx1"/>
            </a:solidFill>
          </a:ln>
        </c:spPr>
        <c:crossAx val="251905152"/>
        <c:crosses val="autoZero"/>
        <c:crossBetween val="between"/>
      </c:valAx>
      <c:spPr>
        <a:noFill/>
        <a:ln>
          <a:solidFill>
            <a:schemeClr val="tx1"/>
          </a:solidFill>
        </a:ln>
      </c:spPr>
    </c:plotArea>
    <c:legend>
      <c:legendPos val="r"/>
      <c:layout>
        <c:manualLayout>
          <c:xMode val="edge"/>
          <c:yMode val="edge"/>
          <c:x val="0.35166626834801507"/>
          <c:y val="6.9060586176727903E-2"/>
          <c:w val="0.64223094455853391"/>
          <c:h val="7.9471420239136906E-2"/>
        </c:manualLayout>
      </c:layout>
      <c:overlay val="0"/>
      <c:spPr>
        <a:ln>
          <a:noFill/>
        </a:ln>
      </c:spPr>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75170603674542"/>
          <c:y val="8.477842003853564E-2"/>
          <c:w val="0.8009529308836395"/>
          <c:h val="0.71114036974886341"/>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'Inmigracion(Perfil)'!$D$125:$D$130</c:f>
              <c:strCache>
                <c:ptCount val="6"/>
                <c:pt idx="0">
                  <c:v>América</c:v>
                </c:pt>
                <c:pt idx="1">
                  <c:v>Europa</c:v>
                </c:pt>
                <c:pt idx="2">
                  <c:v>Asia</c:v>
                </c:pt>
                <c:pt idx="3">
                  <c:v>África</c:v>
                </c:pt>
                <c:pt idx="4">
                  <c:v>Oceanía</c:v>
                </c:pt>
                <c:pt idx="5">
                  <c:v>No se especifica</c:v>
                </c:pt>
              </c:strCache>
            </c:strRef>
          </c:cat>
          <c:val>
            <c:numRef>
              <c:f>'Inmigracion(Perfil)'!$E$125:$E$130</c:f>
              <c:numCache>
                <c:formatCode>0.00%</c:formatCode>
                <c:ptCount val="6"/>
                <c:pt idx="0">
                  <c:v>0.80919229246403668</c:v>
                </c:pt>
                <c:pt idx="1">
                  <c:v>0.1354482864810175</c:v>
                </c:pt>
                <c:pt idx="2">
                  <c:v>3.2961594298535034E-2</c:v>
                </c:pt>
                <c:pt idx="3">
                  <c:v>3.1564823368967487E-3</c:v>
                </c:pt>
                <c:pt idx="4">
                  <c:v>1.2592934758699572E-3</c:v>
                </c:pt>
                <c:pt idx="5">
                  <c:v>1.7982050943645241E-2</c:v>
                </c:pt>
              </c:numCache>
            </c:numRef>
          </c:val>
        </c:ser>
        <c:dLbls>
          <c:showLegendKey val="0"/>
          <c:showVal val="1"/>
          <c:showCatName val="0"/>
          <c:showSerName val="0"/>
          <c:showPercent val="0"/>
          <c:showBubbleSize val="0"/>
        </c:dLbls>
        <c:gapWidth val="30"/>
        <c:axId val="251918976"/>
        <c:axId val="252065664"/>
      </c:barChart>
      <c:catAx>
        <c:axId val="251918976"/>
        <c:scaling>
          <c:orientation val="minMax"/>
        </c:scaling>
        <c:delete val="0"/>
        <c:axPos val="b"/>
        <c:title>
          <c:tx>
            <c:rich>
              <a:bodyPr/>
              <a:lstStyle/>
              <a:p>
                <a:pPr>
                  <a:defRPr/>
                </a:pPr>
                <a:r>
                  <a:rPr lang="es-EC"/>
                  <a:t>Continente de nacimiento</a:t>
                </a:r>
              </a:p>
            </c:rich>
          </c:tx>
          <c:overlay val="0"/>
        </c:title>
        <c:majorTickMark val="out"/>
        <c:minorTickMark val="none"/>
        <c:tickLblPos val="low"/>
        <c:spPr>
          <a:ln>
            <a:solidFill>
              <a:schemeClr val="tx1"/>
            </a:solidFill>
          </a:ln>
        </c:spPr>
        <c:txPr>
          <a:bodyPr/>
          <a:lstStyle/>
          <a:p>
            <a:pPr>
              <a:defRPr sz="650"/>
            </a:pPr>
            <a:endParaRPr lang="es-EC"/>
          </a:p>
        </c:txPr>
        <c:crossAx val="252065664"/>
        <c:crosses val="autoZero"/>
        <c:auto val="1"/>
        <c:lblAlgn val="ctr"/>
        <c:lblOffset val="100"/>
        <c:noMultiLvlLbl val="0"/>
      </c:catAx>
      <c:valAx>
        <c:axId val="252065664"/>
        <c:scaling>
          <c:orientation val="minMax"/>
          <c:max val="1"/>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low"/>
        <c:spPr>
          <a:ln>
            <a:solidFill>
              <a:schemeClr val="tx1"/>
            </a:solidFill>
          </a:ln>
        </c:spPr>
        <c:crossAx val="251918976"/>
        <c:crossesAt val="1"/>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85344019497609"/>
          <c:y val="5.4726368159204022E-2"/>
          <c:w val="0.79794572553430865"/>
          <c:h val="0.75639909264735883"/>
        </c:manualLayout>
      </c:layout>
      <c:lineChart>
        <c:grouping val="standard"/>
        <c:varyColors val="0"/>
        <c:ser>
          <c:idx val="1"/>
          <c:order val="0"/>
          <c:spPr>
            <a:ln w="19050">
              <a:solidFill>
                <a:schemeClr val="bg1">
                  <a:lumMod val="65000"/>
                </a:schemeClr>
              </a:solidFill>
            </a:ln>
          </c:spPr>
          <c:marker>
            <c:symbol val="square"/>
            <c:size val="5"/>
            <c:spPr>
              <a:solidFill>
                <a:schemeClr val="bg1">
                  <a:lumMod val="65000"/>
                </a:schemeClr>
              </a:solidFill>
              <a:ln>
                <a:solidFill>
                  <a:schemeClr val="bg1">
                    <a:lumMod val="65000"/>
                  </a:schemeClr>
                </a:solidFill>
              </a:ln>
            </c:spPr>
          </c:marker>
          <c:dLbls>
            <c:dLbl>
              <c:idx val="1"/>
              <c:layout>
                <c:manualLayout>
                  <c:x val="-4.0022934026450636E-2"/>
                  <c:y val="-5.5615273897214476E-2"/>
                </c:manualLayout>
              </c:layout>
              <c:dLblPos val="r"/>
              <c:showLegendKey val="0"/>
              <c:showVal val="1"/>
              <c:showCatName val="0"/>
              <c:showSerName val="0"/>
              <c:showPercent val="0"/>
              <c:showBubbleSize val="0"/>
            </c:dLbl>
            <c:dLbl>
              <c:idx val="2"/>
              <c:layout>
                <c:manualLayout>
                  <c:x val="-4.9535968198149989E-2"/>
                  <c:y val="-6.3815764964863297E-2"/>
                </c:manualLayout>
              </c:layout>
              <c:dLblPos val="r"/>
              <c:showLegendKey val="0"/>
              <c:showVal val="1"/>
              <c:showCatName val="0"/>
              <c:showSerName val="0"/>
              <c:showPercent val="0"/>
              <c:showBubbleSize val="0"/>
            </c:dLbl>
            <c:dLbl>
              <c:idx val="3"/>
              <c:layout>
                <c:manualLayout>
                  <c:x val="-5.5161684886476596E-2"/>
                  <c:y val="-5.7179917026500736E-2"/>
                </c:manualLayout>
              </c:layout>
              <c:dLblPos val="r"/>
              <c:showLegendKey val="0"/>
              <c:showVal val="1"/>
              <c:showCatName val="0"/>
              <c:showSerName val="0"/>
              <c:showPercent val="0"/>
              <c:showBubbleSize val="0"/>
            </c:dLbl>
            <c:dLbl>
              <c:idx val="4"/>
              <c:layout>
                <c:manualLayout>
                  <c:x val="-6.9303963586830553E-2"/>
                  <c:y val="-5.2706793787630213E-2"/>
                </c:manualLayout>
              </c:layout>
              <c:dLblPos val="r"/>
              <c:showLegendKey val="0"/>
              <c:showVal val="1"/>
              <c:showCatName val="0"/>
              <c:showSerName val="0"/>
              <c:showPercent val="0"/>
              <c:showBubbleSize val="0"/>
            </c:dLbl>
            <c:dLbl>
              <c:idx val="5"/>
              <c:layout>
                <c:manualLayout>
                  <c:x val="-5.4490482379023035E-2"/>
                  <c:y val="-7.2666497332994726E-2"/>
                </c:manualLayout>
              </c:layout>
              <c:tx>
                <c:rich>
                  <a:bodyPr/>
                  <a:lstStyle/>
                  <a:p>
                    <a:r>
                      <a:rPr lang="en-US" sz="600"/>
                      <a:t>47464</a:t>
                    </a:r>
                    <a:endParaRPr lang="en-US"/>
                  </a:p>
                </c:rich>
              </c:tx>
              <c:dLblPos val="r"/>
              <c:showLegendKey val="0"/>
              <c:showVal val="1"/>
              <c:showCatName val="0"/>
              <c:showSerName val="0"/>
              <c:showPercent val="0"/>
              <c:showBubbleSize val="0"/>
            </c:dLbl>
            <c:dLbl>
              <c:idx val="6"/>
              <c:layout>
                <c:manualLayout>
                  <c:x val="-5.1786815483016092E-2"/>
                  <c:y val="7.2075184150368329E-2"/>
                </c:manualLayout>
              </c:layout>
              <c:dLblPos val="r"/>
              <c:showLegendKey val="0"/>
              <c:showVal val="1"/>
              <c:showCatName val="0"/>
              <c:showSerName val="0"/>
              <c:showPercent val="0"/>
              <c:showBubbleSize val="0"/>
            </c:dLbl>
            <c:dLbl>
              <c:idx val="7"/>
              <c:spPr>
                <a:solidFill>
                  <a:schemeClr val="bg1"/>
                </a:solidFill>
              </c:spPr>
              <c:txPr>
                <a:bodyPr/>
                <a:lstStyle/>
                <a:p>
                  <a:pPr>
                    <a:defRPr sz="600"/>
                  </a:pPr>
                  <a:endParaRPr lang="es-EC"/>
                </a:p>
              </c:txPr>
              <c:dLblPos val="t"/>
              <c:showLegendKey val="0"/>
              <c:showVal val="1"/>
              <c:showCatName val="0"/>
              <c:showSerName val="0"/>
              <c:showPercent val="0"/>
              <c:showBubbleSize val="0"/>
            </c:dLbl>
            <c:dLbl>
              <c:idx val="8"/>
              <c:layout>
                <c:manualLayout>
                  <c:x val="-5.248222612950084E-2"/>
                  <c:y val="5.2902548471763608E-2"/>
                </c:manualLayout>
              </c:layout>
              <c:dLblPos val="r"/>
              <c:showLegendKey val="0"/>
              <c:showVal val="1"/>
              <c:showCatName val="0"/>
              <c:showSerName val="0"/>
              <c:showPercent val="0"/>
              <c:showBubbleSize val="0"/>
            </c:dLbl>
            <c:txPr>
              <a:bodyPr/>
              <a:lstStyle/>
              <a:p>
                <a:pPr>
                  <a:defRPr sz="600"/>
                </a:pPr>
                <a:endParaRPr lang="es-EC"/>
              </a:p>
            </c:txPr>
            <c:dLblPos val="t"/>
            <c:showLegendKey val="0"/>
            <c:showVal val="1"/>
            <c:showCatName val="0"/>
            <c:showSerName val="0"/>
            <c:showPercent val="0"/>
            <c:showBubbleSize val="0"/>
            <c:showLeaderLines val="0"/>
          </c:dLbls>
          <c:cat>
            <c:strRef>
              <c:f>Hoja1!$A$39:$A$48</c:f>
              <c:strCache>
                <c:ptCount val="9"/>
                <c:pt idx="1">
                  <c:v>1930-39</c:v>
                </c:pt>
                <c:pt idx="2">
                  <c:v>1940-49</c:v>
                </c:pt>
                <c:pt idx="3">
                  <c:v>1950-59</c:v>
                </c:pt>
                <c:pt idx="4">
                  <c:v>1960-69</c:v>
                </c:pt>
                <c:pt idx="5">
                  <c:v>1970-79</c:v>
                </c:pt>
                <c:pt idx="6">
                  <c:v>1980-89</c:v>
                </c:pt>
                <c:pt idx="7">
                  <c:v>1990-99</c:v>
                </c:pt>
                <c:pt idx="8">
                  <c:v>2000-05</c:v>
                </c:pt>
              </c:strCache>
            </c:strRef>
          </c:cat>
          <c:val>
            <c:numRef>
              <c:f>Hoja1!$B$39:$B$48</c:f>
              <c:numCache>
                <c:formatCode>General</c:formatCode>
                <c:ptCount val="10"/>
                <c:pt idx="1">
                  <c:v>244</c:v>
                </c:pt>
                <c:pt idx="2">
                  <c:v>2207</c:v>
                </c:pt>
                <c:pt idx="3">
                  <c:v>8574</c:v>
                </c:pt>
                <c:pt idx="4">
                  <c:v>34107</c:v>
                </c:pt>
                <c:pt idx="5">
                  <c:v>47464</c:v>
                </c:pt>
                <c:pt idx="6">
                  <c:v>48015</c:v>
                </c:pt>
                <c:pt idx="7">
                  <c:v>81358</c:v>
                </c:pt>
                <c:pt idx="8">
                  <c:v>54718</c:v>
                </c:pt>
              </c:numCache>
            </c:numRef>
          </c:val>
          <c:smooth val="0"/>
        </c:ser>
        <c:dLbls>
          <c:showLegendKey val="0"/>
          <c:showVal val="1"/>
          <c:showCatName val="0"/>
          <c:showSerName val="0"/>
          <c:showPercent val="0"/>
          <c:showBubbleSize val="0"/>
        </c:dLbls>
        <c:marker val="1"/>
        <c:smooth val="0"/>
        <c:axId val="207701120"/>
        <c:axId val="208136448"/>
      </c:lineChart>
      <c:catAx>
        <c:axId val="207701120"/>
        <c:scaling>
          <c:orientation val="minMax"/>
        </c:scaling>
        <c:delete val="0"/>
        <c:axPos val="b"/>
        <c:title>
          <c:tx>
            <c:rich>
              <a:bodyPr/>
              <a:lstStyle/>
              <a:p>
                <a:pPr>
                  <a:defRPr/>
                </a:pPr>
                <a:r>
                  <a:rPr lang="es-EC"/>
                  <a:t>Año</a:t>
                </a:r>
              </a:p>
            </c:rich>
          </c:tx>
          <c:layout>
            <c:manualLayout>
              <c:xMode val="edge"/>
              <c:yMode val="edge"/>
              <c:x val="0.50949717589241006"/>
              <c:y val="0.90424911818149689"/>
            </c:manualLayout>
          </c:layout>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08136448"/>
        <c:crosses val="autoZero"/>
        <c:auto val="1"/>
        <c:lblAlgn val="ctr"/>
        <c:lblOffset val="100"/>
        <c:noMultiLvlLbl val="0"/>
      </c:catAx>
      <c:valAx>
        <c:axId val="208136448"/>
        <c:scaling>
          <c:orientation val="minMax"/>
        </c:scaling>
        <c:delete val="0"/>
        <c:axPos val="l"/>
        <c:majorGridlines>
          <c:spPr>
            <a:ln>
              <a:prstDash val="dash"/>
            </a:ln>
          </c:spPr>
        </c:majorGridlines>
        <c:title>
          <c:tx>
            <c:rich>
              <a:bodyPr rot="-5400000" vert="horz"/>
              <a:lstStyle/>
              <a:p>
                <a:pPr>
                  <a:defRPr/>
                </a:pPr>
                <a:r>
                  <a:rPr lang="es-EC"/>
                  <a:t>Número de personas</a:t>
                </a:r>
              </a:p>
            </c:rich>
          </c:tx>
          <c:layout>
            <c:manualLayout>
              <c:xMode val="edge"/>
              <c:yMode val="edge"/>
              <c:x val="1.1446465743506207E-2"/>
              <c:y val="9.1483558801409889E-2"/>
            </c:manualLayout>
          </c:layout>
          <c:overlay val="0"/>
        </c:title>
        <c:numFmt formatCode="General" sourceLinked="1"/>
        <c:majorTickMark val="out"/>
        <c:minorTickMark val="none"/>
        <c:tickLblPos val="nextTo"/>
        <c:spPr>
          <a:ln>
            <a:solidFill>
              <a:sysClr val="windowText" lastClr="000000"/>
            </a:solidFill>
          </a:ln>
        </c:spPr>
        <c:txPr>
          <a:bodyPr/>
          <a:lstStyle/>
          <a:p>
            <a:pPr>
              <a:defRPr sz="700"/>
            </a:pPr>
            <a:endParaRPr lang="es-EC"/>
          </a:p>
        </c:txPr>
        <c:crossAx val="207701120"/>
        <c:crosses val="autoZero"/>
        <c:crossBetween val="midCat"/>
        <c:majorUnit val="15000"/>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922604411290734"/>
          <c:y val="2.1234639274762556E-2"/>
          <c:w val="0.600485518257587"/>
          <c:h val="0.86821590260941295"/>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'Inmigracion(Perfil)'!$D$135:$D$151</c:f>
              <c:strCache>
                <c:ptCount val="17"/>
                <c:pt idx="0">
                  <c:v>Colombia</c:v>
                </c:pt>
                <c:pt idx="1">
                  <c:v>Perú</c:v>
                </c:pt>
                <c:pt idx="2">
                  <c:v>Estados Unidos</c:v>
                </c:pt>
                <c:pt idx="3">
                  <c:v>España</c:v>
                </c:pt>
                <c:pt idx="4">
                  <c:v>Cuba</c:v>
                </c:pt>
                <c:pt idx="5">
                  <c:v>Venezuela</c:v>
                </c:pt>
                <c:pt idx="6">
                  <c:v>Chile</c:v>
                </c:pt>
                <c:pt idx="7">
                  <c:v>Italia</c:v>
                </c:pt>
                <c:pt idx="8">
                  <c:v>China</c:v>
                </c:pt>
                <c:pt idx="9">
                  <c:v>Argentina</c:v>
                </c:pt>
                <c:pt idx="10">
                  <c:v>Alemania</c:v>
                </c:pt>
                <c:pt idx="11">
                  <c:v>Brasil</c:v>
                </c:pt>
                <c:pt idx="12">
                  <c:v>México</c:v>
                </c:pt>
                <c:pt idx="13">
                  <c:v>Francia</c:v>
                </c:pt>
                <c:pt idx="14">
                  <c:v>Reino Unido</c:v>
                </c:pt>
                <c:pt idx="15">
                  <c:v>Otros países</c:v>
                </c:pt>
                <c:pt idx="16">
                  <c:v>No especifica</c:v>
                </c:pt>
              </c:strCache>
            </c:strRef>
          </c:cat>
          <c:val>
            <c:numRef>
              <c:f>'Inmigracion(Perfil)'!$E$135:$E$151</c:f>
              <c:numCache>
                <c:formatCode>0.00%</c:formatCode>
                <c:ptCount val="17"/>
                <c:pt idx="0">
                  <c:v>0.49453939553913157</c:v>
                </c:pt>
                <c:pt idx="1">
                  <c:v>8.6203862566539252E-2</c:v>
                </c:pt>
                <c:pt idx="2">
                  <c:v>8.2579956887070524E-2</c:v>
                </c:pt>
                <c:pt idx="3">
                  <c:v>7.6948880383617066E-2</c:v>
                </c:pt>
                <c:pt idx="4">
                  <c:v>3.6937442259469495E-2</c:v>
                </c:pt>
                <c:pt idx="5">
                  <c:v>2.5955743258105672E-2</c:v>
                </c:pt>
                <c:pt idx="6">
                  <c:v>2.3860586863754338E-2</c:v>
                </c:pt>
                <c:pt idx="7">
                  <c:v>1.7212177202938723E-2</c:v>
                </c:pt>
                <c:pt idx="8">
                  <c:v>1.5980379217808323E-2</c:v>
                </c:pt>
                <c:pt idx="9">
                  <c:v>1.2845893273503151E-2</c:v>
                </c:pt>
                <c:pt idx="10">
                  <c:v>8.9525317847873199E-3</c:v>
                </c:pt>
                <c:pt idx="11">
                  <c:v>7.0003519422814717E-3</c:v>
                </c:pt>
                <c:pt idx="12">
                  <c:v>6.6924024459988594E-3</c:v>
                </c:pt>
                <c:pt idx="13">
                  <c:v>5.2626369275438831E-3</c:v>
                </c:pt>
                <c:pt idx="14">
                  <c:v>4.965685627557081E-3</c:v>
                </c:pt>
                <c:pt idx="15">
                  <c:v>7.6080022876248377E-2</c:v>
                </c:pt>
                <c:pt idx="16">
                  <c:v>1.7982050943645241E-2</c:v>
                </c:pt>
              </c:numCache>
            </c:numRef>
          </c:val>
        </c:ser>
        <c:dLbls>
          <c:showLegendKey val="0"/>
          <c:showVal val="1"/>
          <c:showCatName val="0"/>
          <c:showSerName val="0"/>
          <c:showPercent val="0"/>
          <c:showBubbleSize val="0"/>
        </c:dLbls>
        <c:gapWidth val="30"/>
        <c:axId val="252134144"/>
        <c:axId val="252153856"/>
      </c:barChart>
      <c:catAx>
        <c:axId val="252134144"/>
        <c:scaling>
          <c:orientation val="maxMin"/>
        </c:scaling>
        <c:delete val="0"/>
        <c:axPos val="l"/>
        <c:title>
          <c:tx>
            <c:rich>
              <a:bodyPr rot="-5400000" vert="horz"/>
              <a:lstStyle/>
              <a:p>
                <a:pPr>
                  <a:defRPr/>
                </a:pPr>
                <a:r>
                  <a:rPr lang="es-EC"/>
                  <a:t>País</a:t>
                </a:r>
                <a:r>
                  <a:rPr lang="es-EC" baseline="0"/>
                  <a:t> de nacimiento</a:t>
                </a:r>
                <a:endParaRPr lang="es-EC"/>
              </a:p>
            </c:rich>
          </c:tx>
          <c:overlay val="0"/>
        </c:title>
        <c:majorTickMark val="out"/>
        <c:minorTickMark val="none"/>
        <c:tickLblPos val="low"/>
        <c:spPr>
          <a:ln>
            <a:solidFill>
              <a:schemeClr val="tx1"/>
            </a:solidFill>
          </a:ln>
        </c:spPr>
        <c:txPr>
          <a:bodyPr/>
          <a:lstStyle/>
          <a:p>
            <a:pPr>
              <a:defRPr sz="700"/>
            </a:pPr>
            <a:endParaRPr lang="es-EC"/>
          </a:p>
        </c:txPr>
        <c:crossAx val="252153856"/>
        <c:crosses val="autoZero"/>
        <c:auto val="1"/>
        <c:lblAlgn val="ctr"/>
        <c:lblOffset val="100"/>
        <c:noMultiLvlLbl val="0"/>
      </c:catAx>
      <c:valAx>
        <c:axId val="252153856"/>
        <c:scaling>
          <c:orientation val="minMax"/>
          <c:max val="1"/>
        </c:scaling>
        <c:delete val="0"/>
        <c:axPos val="t"/>
        <c:title>
          <c:tx>
            <c:rich>
              <a:bodyPr/>
              <a:lstStyle/>
              <a:p>
                <a:pPr>
                  <a:defRPr/>
                </a:pPr>
                <a:r>
                  <a:rPr lang="es-EC"/>
                  <a:t>Frecuencia Relativa</a:t>
                </a:r>
              </a:p>
            </c:rich>
          </c:tx>
          <c:layout>
            <c:manualLayout>
              <c:xMode val="edge"/>
              <c:yMode val="edge"/>
              <c:x val="0.4783538596137023"/>
              <c:y val="0.94928591876529245"/>
            </c:manualLayout>
          </c:layout>
          <c:overlay val="0"/>
        </c:title>
        <c:numFmt formatCode="#,##0.00" sourceLinked="0"/>
        <c:majorTickMark val="in"/>
        <c:minorTickMark val="none"/>
        <c:tickLblPos val="high"/>
        <c:spPr>
          <a:ln>
            <a:solidFill>
              <a:schemeClr val="tx1"/>
            </a:solidFill>
          </a:ln>
        </c:spPr>
        <c:crossAx val="252134144"/>
        <c:crossesAt val="18"/>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6947817963441"/>
          <c:y val="8.6274456523417364E-2"/>
          <c:w val="0.7878635170603675"/>
          <c:h val="0.5479847769028876"/>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700"/>
                </a:pPr>
                <a:endParaRPr lang="es-EC"/>
              </a:p>
            </c:txPr>
            <c:dLblPos val="outEnd"/>
            <c:showLegendKey val="0"/>
            <c:showVal val="1"/>
            <c:showCatName val="0"/>
            <c:showSerName val="0"/>
            <c:showPercent val="0"/>
            <c:showBubbleSize val="0"/>
            <c:showLeaderLines val="0"/>
          </c:dLbls>
          <c:cat>
            <c:strRef>
              <c:f>Año_LLegó!$J$20:$J$27</c:f>
              <c:strCache>
                <c:ptCount val="8"/>
                <c:pt idx="0">
                  <c:v>Menos de 1</c:v>
                </c:pt>
                <c:pt idx="1">
                  <c:v>[1 - 20)</c:v>
                </c:pt>
                <c:pt idx="2">
                  <c:v>[20 - 40)</c:v>
                </c:pt>
                <c:pt idx="3">
                  <c:v>[40 - 60)</c:v>
                </c:pt>
                <c:pt idx="4">
                  <c:v>[60 - 80)</c:v>
                </c:pt>
                <c:pt idx="5">
                  <c:v>[80 - 100)</c:v>
                </c:pt>
                <c:pt idx="6">
                  <c:v>Más de 100</c:v>
                </c:pt>
                <c:pt idx="7">
                  <c:v>No especifican</c:v>
                </c:pt>
              </c:strCache>
            </c:strRef>
          </c:cat>
          <c:val>
            <c:numRef>
              <c:f>Año_LLegó!$K$20:$K$27</c:f>
              <c:numCache>
                <c:formatCode>0,000</c:formatCode>
                <c:ptCount val="8"/>
                <c:pt idx="0">
                  <c:v>0.14469776956579139</c:v>
                </c:pt>
                <c:pt idx="1">
                  <c:v>0.55555188949012368</c:v>
                </c:pt>
                <c:pt idx="2">
                  <c:v>0.11881901368175608</c:v>
                </c:pt>
                <c:pt idx="3">
                  <c:v>3.5320707403985754E-2</c:v>
                </c:pt>
                <c:pt idx="4">
                  <c:v>7.8197175663191239E-3</c:v>
                </c:pt>
                <c:pt idx="5">
                  <c:v>6.4339448330473872E-4</c:v>
                </c:pt>
                <c:pt idx="6">
                  <c:v>1.0998196295807515E-5</c:v>
                </c:pt>
                <c:pt idx="7">
                  <c:v>0.13713650961242371</c:v>
                </c:pt>
              </c:numCache>
            </c:numRef>
          </c:val>
        </c:ser>
        <c:dLbls>
          <c:showLegendKey val="0"/>
          <c:showVal val="1"/>
          <c:showCatName val="0"/>
          <c:showSerName val="0"/>
          <c:showPercent val="0"/>
          <c:showBubbleSize val="0"/>
        </c:dLbls>
        <c:gapWidth val="30"/>
        <c:axId val="252156928"/>
        <c:axId val="252970880"/>
      </c:barChart>
      <c:catAx>
        <c:axId val="252156928"/>
        <c:scaling>
          <c:orientation val="minMax"/>
        </c:scaling>
        <c:delete val="0"/>
        <c:axPos val="b"/>
        <c:title>
          <c:tx>
            <c:rich>
              <a:bodyPr/>
              <a:lstStyle/>
              <a:p>
                <a:pPr>
                  <a:defRPr/>
                </a:pPr>
                <a:r>
                  <a:rPr lang="es-EC"/>
                  <a:t>Años de residencia en Ecuador</a:t>
                </a:r>
              </a:p>
            </c:rich>
          </c:tx>
          <c:overlay val="0"/>
        </c:title>
        <c:majorTickMark val="out"/>
        <c:minorTickMark val="none"/>
        <c:tickLblPos val="low"/>
        <c:spPr>
          <a:ln>
            <a:solidFill>
              <a:schemeClr val="tx1"/>
            </a:solidFill>
          </a:ln>
        </c:spPr>
        <c:txPr>
          <a:bodyPr rot="-5400000" vert="horz"/>
          <a:lstStyle/>
          <a:p>
            <a:pPr>
              <a:defRPr sz="700"/>
            </a:pPr>
            <a:endParaRPr lang="es-EC"/>
          </a:p>
        </c:txPr>
        <c:crossAx val="252970880"/>
        <c:crosses val="autoZero"/>
        <c:auto val="1"/>
        <c:lblAlgn val="ctr"/>
        <c:lblOffset val="100"/>
        <c:noMultiLvlLbl val="0"/>
      </c:catAx>
      <c:valAx>
        <c:axId val="252970880"/>
        <c:scaling>
          <c:orientation val="minMax"/>
          <c:max val="1"/>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low"/>
        <c:spPr>
          <a:ln>
            <a:solidFill>
              <a:schemeClr val="tx1"/>
            </a:solidFill>
          </a:ln>
        </c:spPr>
        <c:crossAx val="252156928"/>
        <c:crossesAt val="1"/>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237971418685868E-2"/>
          <c:y val="3.2450158510786614E-2"/>
          <c:w val="0.9012325123806928"/>
          <c:h val="0.86067149102129537"/>
        </c:manualLayout>
      </c:layout>
      <c:lineChart>
        <c:grouping val="standard"/>
        <c:varyColors val="0"/>
        <c:ser>
          <c:idx val="0"/>
          <c:order val="0"/>
          <c:spPr>
            <a:ln w="15875">
              <a:solidFill>
                <a:schemeClr val="bg1">
                  <a:lumMod val="50000"/>
                </a:schemeClr>
              </a:solidFill>
            </a:ln>
          </c:spPr>
          <c:marker>
            <c:symbol val="diamond"/>
            <c:size val="3"/>
            <c:spPr>
              <a:solidFill>
                <a:schemeClr val="bg1">
                  <a:lumMod val="50000"/>
                </a:schemeClr>
              </a:solidFill>
              <a:ln>
                <a:solidFill>
                  <a:schemeClr val="bg1">
                    <a:lumMod val="50000"/>
                  </a:schemeClr>
                </a:solidFill>
              </a:ln>
            </c:spPr>
          </c:marker>
          <c:cat>
            <c:numRef>
              <c:f>Año_LLegó!$B$4:$B$100</c:f>
              <c:numCache>
                <c:formatCode>General</c:formatCode>
                <c:ptCount val="97"/>
                <c:pt idx="0">
                  <c:v>1908</c:v>
                </c:pt>
                <c:pt idx="1">
                  <c:v>1910</c:v>
                </c:pt>
                <c:pt idx="2">
                  <c:v>1915</c:v>
                </c:pt>
                <c:pt idx="3">
                  <c:v>1916</c:v>
                </c:pt>
                <c:pt idx="4">
                  <c:v>1917</c:v>
                </c:pt>
                <c:pt idx="5">
                  <c:v>1918</c:v>
                </c:pt>
                <c:pt idx="6">
                  <c:v>1920</c:v>
                </c:pt>
                <c:pt idx="7">
                  <c:v>1921</c:v>
                </c:pt>
                <c:pt idx="8">
                  <c:v>1922</c:v>
                </c:pt>
                <c:pt idx="9">
                  <c:v>1923</c:v>
                </c:pt>
                <c:pt idx="10">
                  <c:v>1924</c:v>
                </c:pt>
                <c:pt idx="11">
                  <c:v>1925</c:v>
                </c:pt>
                <c:pt idx="12">
                  <c:v>1926</c:v>
                </c:pt>
                <c:pt idx="13">
                  <c:v>1927</c:v>
                </c:pt>
                <c:pt idx="14">
                  <c:v>1928</c:v>
                </c:pt>
                <c:pt idx="15">
                  <c:v>1929</c:v>
                </c:pt>
                <c:pt idx="16">
                  <c:v>1930</c:v>
                </c:pt>
                <c:pt idx="17">
                  <c:v>1931</c:v>
                </c:pt>
                <c:pt idx="18">
                  <c:v>1932</c:v>
                </c:pt>
                <c:pt idx="19">
                  <c:v>1933</c:v>
                </c:pt>
                <c:pt idx="20">
                  <c:v>1934</c:v>
                </c:pt>
                <c:pt idx="21">
                  <c:v>1935</c:v>
                </c:pt>
                <c:pt idx="22">
                  <c:v>1936</c:v>
                </c:pt>
                <c:pt idx="23">
                  <c:v>1937</c:v>
                </c:pt>
                <c:pt idx="24">
                  <c:v>1938</c:v>
                </c:pt>
                <c:pt idx="25">
                  <c:v>1939</c:v>
                </c:pt>
                <c:pt idx="26">
                  <c:v>1940</c:v>
                </c:pt>
                <c:pt idx="27">
                  <c:v>1941</c:v>
                </c:pt>
                <c:pt idx="28">
                  <c:v>1942</c:v>
                </c:pt>
                <c:pt idx="29">
                  <c:v>1943</c:v>
                </c:pt>
                <c:pt idx="30">
                  <c:v>1944</c:v>
                </c:pt>
                <c:pt idx="31">
                  <c:v>1945</c:v>
                </c:pt>
                <c:pt idx="32">
                  <c:v>1946</c:v>
                </c:pt>
                <c:pt idx="33">
                  <c:v>1947</c:v>
                </c:pt>
                <c:pt idx="34">
                  <c:v>1948</c:v>
                </c:pt>
                <c:pt idx="35">
                  <c:v>1949</c:v>
                </c:pt>
                <c:pt idx="36">
                  <c:v>1950</c:v>
                </c:pt>
                <c:pt idx="37">
                  <c:v>1951</c:v>
                </c:pt>
                <c:pt idx="38">
                  <c:v>1952</c:v>
                </c:pt>
                <c:pt idx="39">
                  <c:v>1953</c:v>
                </c:pt>
                <c:pt idx="40">
                  <c:v>1954</c:v>
                </c:pt>
                <c:pt idx="41">
                  <c:v>1955</c:v>
                </c:pt>
                <c:pt idx="42">
                  <c:v>1956</c:v>
                </c:pt>
                <c:pt idx="43">
                  <c:v>1957</c:v>
                </c:pt>
                <c:pt idx="44">
                  <c:v>1958</c:v>
                </c:pt>
                <c:pt idx="45">
                  <c:v>1959</c:v>
                </c:pt>
                <c:pt idx="46">
                  <c:v>1960</c:v>
                </c:pt>
                <c:pt idx="47">
                  <c:v>1961</c:v>
                </c:pt>
                <c:pt idx="48">
                  <c:v>1962</c:v>
                </c:pt>
                <c:pt idx="49">
                  <c:v>1963</c:v>
                </c:pt>
                <c:pt idx="50">
                  <c:v>1964</c:v>
                </c:pt>
                <c:pt idx="51">
                  <c:v>1965</c:v>
                </c:pt>
                <c:pt idx="52">
                  <c:v>1966</c:v>
                </c:pt>
                <c:pt idx="53">
                  <c:v>1967</c:v>
                </c:pt>
                <c:pt idx="54">
                  <c:v>1968</c:v>
                </c:pt>
                <c:pt idx="55">
                  <c:v>1969</c:v>
                </c:pt>
                <c:pt idx="56">
                  <c:v>1970</c:v>
                </c:pt>
                <c:pt idx="57">
                  <c:v>1971</c:v>
                </c:pt>
                <c:pt idx="58">
                  <c:v>1972</c:v>
                </c:pt>
                <c:pt idx="59">
                  <c:v>1973</c:v>
                </c:pt>
                <c:pt idx="60">
                  <c:v>1974</c:v>
                </c:pt>
                <c:pt idx="61">
                  <c:v>1975</c:v>
                </c:pt>
                <c:pt idx="62">
                  <c:v>1976</c:v>
                </c:pt>
                <c:pt idx="63">
                  <c:v>1977</c:v>
                </c:pt>
                <c:pt idx="64">
                  <c:v>1978</c:v>
                </c:pt>
                <c:pt idx="65">
                  <c:v>1979</c:v>
                </c:pt>
                <c:pt idx="66">
                  <c:v>1980</c:v>
                </c:pt>
                <c:pt idx="67">
                  <c:v>1981</c:v>
                </c:pt>
                <c:pt idx="68">
                  <c:v>1982</c:v>
                </c:pt>
                <c:pt idx="69">
                  <c:v>1983</c:v>
                </c:pt>
                <c:pt idx="70">
                  <c:v>1984</c:v>
                </c:pt>
                <c:pt idx="71">
                  <c:v>1985</c:v>
                </c:pt>
                <c:pt idx="72">
                  <c:v>1986</c:v>
                </c:pt>
                <c:pt idx="73">
                  <c:v>1987</c:v>
                </c:pt>
                <c:pt idx="74">
                  <c:v>1988</c:v>
                </c:pt>
                <c:pt idx="75">
                  <c:v>1989</c:v>
                </c:pt>
                <c:pt idx="76">
                  <c:v>1990</c:v>
                </c:pt>
                <c:pt idx="77">
                  <c:v>1991</c:v>
                </c:pt>
                <c:pt idx="78">
                  <c:v>1992</c:v>
                </c:pt>
                <c:pt idx="79">
                  <c:v>1993</c:v>
                </c:pt>
                <c:pt idx="80">
                  <c:v>1994</c:v>
                </c:pt>
                <c:pt idx="81">
                  <c:v>1995</c:v>
                </c:pt>
                <c:pt idx="82">
                  <c:v>1996</c:v>
                </c:pt>
                <c:pt idx="83">
                  <c:v>1997</c:v>
                </c:pt>
                <c:pt idx="84">
                  <c:v>1998</c:v>
                </c:pt>
                <c:pt idx="85">
                  <c:v>1999</c:v>
                </c:pt>
                <c:pt idx="86">
                  <c:v>2000</c:v>
                </c:pt>
                <c:pt idx="87">
                  <c:v>2001</c:v>
                </c:pt>
                <c:pt idx="88">
                  <c:v>2002</c:v>
                </c:pt>
                <c:pt idx="89">
                  <c:v>2003</c:v>
                </c:pt>
                <c:pt idx="90">
                  <c:v>2004</c:v>
                </c:pt>
                <c:pt idx="91">
                  <c:v>2005</c:v>
                </c:pt>
                <c:pt idx="92">
                  <c:v>2006</c:v>
                </c:pt>
                <c:pt idx="93">
                  <c:v>2007</c:v>
                </c:pt>
                <c:pt idx="94">
                  <c:v>2008</c:v>
                </c:pt>
                <c:pt idx="95">
                  <c:v>2009</c:v>
                </c:pt>
                <c:pt idx="96">
                  <c:v>2010</c:v>
                </c:pt>
              </c:numCache>
            </c:numRef>
          </c:cat>
          <c:val>
            <c:numRef>
              <c:f>Año_LLegó!$H$4:$H$100</c:f>
              <c:numCache>
                <c:formatCode>###0</c:formatCode>
                <c:ptCount val="97"/>
                <c:pt idx="0">
                  <c:v>1</c:v>
                </c:pt>
                <c:pt idx="1">
                  <c:v>1</c:v>
                </c:pt>
                <c:pt idx="2">
                  <c:v>1</c:v>
                </c:pt>
                <c:pt idx="3">
                  <c:v>1.25</c:v>
                </c:pt>
                <c:pt idx="4">
                  <c:v>1.4</c:v>
                </c:pt>
                <c:pt idx="5">
                  <c:v>1.3333333333333333</c:v>
                </c:pt>
                <c:pt idx="6">
                  <c:v>2</c:v>
                </c:pt>
                <c:pt idx="7">
                  <c:v>2.25</c:v>
                </c:pt>
                <c:pt idx="8">
                  <c:v>2.3333333333333335</c:v>
                </c:pt>
                <c:pt idx="9">
                  <c:v>2.5</c:v>
                </c:pt>
                <c:pt idx="10">
                  <c:v>3.3</c:v>
                </c:pt>
                <c:pt idx="11">
                  <c:v>4.7</c:v>
                </c:pt>
                <c:pt idx="12">
                  <c:v>5.7</c:v>
                </c:pt>
                <c:pt idx="13">
                  <c:v>6.5</c:v>
                </c:pt>
                <c:pt idx="14">
                  <c:v>7</c:v>
                </c:pt>
                <c:pt idx="15">
                  <c:v>8.1</c:v>
                </c:pt>
                <c:pt idx="16">
                  <c:v>10.5</c:v>
                </c:pt>
                <c:pt idx="17">
                  <c:v>12.2</c:v>
                </c:pt>
                <c:pt idx="18">
                  <c:v>13.6</c:v>
                </c:pt>
                <c:pt idx="19">
                  <c:v>16.100000000000001</c:v>
                </c:pt>
                <c:pt idx="20">
                  <c:v>17.600000000000001</c:v>
                </c:pt>
                <c:pt idx="21">
                  <c:v>20.399999999999999</c:v>
                </c:pt>
                <c:pt idx="22">
                  <c:v>22.7</c:v>
                </c:pt>
                <c:pt idx="23">
                  <c:v>26.5</c:v>
                </c:pt>
                <c:pt idx="24">
                  <c:v>29.8</c:v>
                </c:pt>
                <c:pt idx="25">
                  <c:v>35.4</c:v>
                </c:pt>
                <c:pt idx="26">
                  <c:v>42</c:v>
                </c:pt>
                <c:pt idx="27">
                  <c:v>45.6</c:v>
                </c:pt>
                <c:pt idx="28">
                  <c:v>51.3</c:v>
                </c:pt>
                <c:pt idx="29">
                  <c:v>52.3</c:v>
                </c:pt>
                <c:pt idx="30">
                  <c:v>55.1</c:v>
                </c:pt>
                <c:pt idx="31">
                  <c:v>60.9</c:v>
                </c:pt>
                <c:pt idx="32">
                  <c:v>66</c:v>
                </c:pt>
                <c:pt idx="33">
                  <c:v>72.8</c:v>
                </c:pt>
                <c:pt idx="34">
                  <c:v>79.599999999999994</c:v>
                </c:pt>
                <c:pt idx="35">
                  <c:v>82.7</c:v>
                </c:pt>
                <c:pt idx="36">
                  <c:v>100.2</c:v>
                </c:pt>
                <c:pt idx="37">
                  <c:v>106.3</c:v>
                </c:pt>
                <c:pt idx="38">
                  <c:v>116.7</c:v>
                </c:pt>
                <c:pt idx="39">
                  <c:v>127.1</c:v>
                </c:pt>
                <c:pt idx="40">
                  <c:v>139.30000000000001</c:v>
                </c:pt>
                <c:pt idx="41">
                  <c:v>150.30000000000001</c:v>
                </c:pt>
                <c:pt idx="42">
                  <c:v>159.4</c:v>
                </c:pt>
                <c:pt idx="43">
                  <c:v>166</c:v>
                </c:pt>
                <c:pt idx="44">
                  <c:v>174.6</c:v>
                </c:pt>
                <c:pt idx="45">
                  <c:v>181.8</c:v>
                </c:pt>
                <c:pt idx="46">
                  <c:v>209.5</c:v>
                </c:pt>
                <c:pt idx="47">
                  <c:v>218.9</c:v>
                </c:pt>
                <c:pt idx="48">
                  <c:v>230.1</c:v>
                </c:pt>
                <c:pt idx="49">
                  <c:v>248.1</c:v>
                </c:pt>
                <c:pt idx="50">
                  <c:v>263.8</c:v>
                </c:pt>
                <c:pt idx="51">
                  <c:v>285.7</c:v>
                </c:pt>
                <c:pt idx="52">
                  <c:v>302.2</c:v>
                </c:pt>
                <c:pt idx="53">
                  <c:v>322.10000000000002</c:v>
                </c:pt>
                <c:pt idx="54">
                  <c:v>352.2</c:v>
                </c:pt>
                <c:pt idx="55">
                  <c:v>377.9</c:v>
                </c:pt>
                <c:pt idx="56">
                  <c:v>432.8</c:v>
                </c:pt>
                <c:pt idx="57">
                  <c:v>458.6</c:v>
                </c:pt>
                <c:pt idx="58">
                  <c:v>510.8</c:v>
                </c:pt>
                <c:pt idx="59">
                  <c:v>557.70000000000005</c:v>
                </c:pt>
                <c:pt idx="60">
                  <c:v>619.29999999999995</c:v>
                </c:pt>
                <c:pt idx="61">
                  <c:v>711.1</c:v>
                </c:pt>
                <c:pt idx="62">
                  <c:v>788.5</c:v>
                </c:pt>
                <c:pt idx="63">
                  <c:v>858.2</c:v>
                </c:pt>
                <c:pt idx="64">
                  <c:v>924</c:v>
                </c:pt>
                <c:pt idx="65">
                  <c:v>975.1</c:v>
                </c:pt>
                <c:pt idx="66">
                  <c:v>1043.8</c:v>
                </c:pt>
                <c:pt idx="67">
                  <c:v>1087.5999999999999</c:v>
                </c:pt>
                <c:pt idx="68">
                  <c:v>1114.5999999999999</c:v>
                </c:pt>
                <c:pt idx="69">
                  <c:v>1129.9000000000001</c:v>
                </c:pt>
                <c:pt idx="70">
                  <c:v>1134.0999999999999</c:v>
                </c:pt>
                <c:pt idx="71">
                  <c:v>1132.3</c:v>
                </c:pt>
                <c:pt idx="72">
                  <c:v>1122.5999999999999</c:v>
                </c:pt>
                <c:pt idx="73">
                  <c:v>1112.0999999999999</c:v>
                </c:pt>
                <c:pt idx="74">
                  <c:v>1091.0999999999999</c:v>
                </c:pt>
                <c:pt idx="75">
                  <c:v>1094.9000000000001</c:v>
                </c:pt>
                <c:pt idx="76">
                  <c:v>1116.9000000000001</c:v>
                </c:pt>
                <c:pt idx="77">
                  <c:v>1134.9000000000001</c:v>
                </c:pt>
                <c:pt idx="78">
                  <c:v>1156.8</c:v>
                </c:pt>
                <c:pt idx="79">
                  <c:v>1192.4000000000001</c:v>
                </c:pt>
                <c:pt idx="80">
                  <c:v>1240.3</c:v>
                </c:pt>
                <c:pt idx="81">
                  <c:v>1317.3</c:v>
                </c:pt>
                <c:pt idx="82">
                  <c:v>1383.2</c:v>
                </c:pt>
                <c:pt idx="83">
                  <c:v>1471.2</c:v>
                </c:pt>
                <c:pt idx="84">
                  <c:v>1601.9</c:v>
                </c:pt>
                <c:pt idx="85">
                  <c:v>1725.9</c:v>
                </c:pt>
                <c:pt idx="86">
                  <c:v>2085.6999999999998</c:v>
                </c:pt>
                <c:pt idx="87">
                  <c:v>2455.1999999999998</c:v>
                </c:pt>
                <c:pt idx="88">
                  <c:v>2965.5</c:v>
                </c:pt>
                <c:pt idx="89">
                  <c:v>3479.5</c:v>
                </c:pt>
                <c:pt idx="90">
                  <c:v>4057.7</c:v>
                </c:pt>
                <c:pt idx="91">
                  <c:v>4672.2</c:v>
                </c:pt>
                <c:pt idx="92">
                  <c:v>5282.3</c:v>
                </c:pt>
                <c:pt idx="93">
                  <c:v>6005.1</c:v>
                </c:pt>
                <c:pt idx="94">
                  <c:v>7053.6</c:v>
                </c:pt>
                <c:pt idx="95">
                  <c:v>8577.1</c:v>
                </c:pt>
                <c:pt idx="96">
                  <c:v>10648.2</c:v>
                </c:pt>
              </c:numCache>
            </c:numRef>
          </c:val>
          <c:smooth val="0"/>
        </c:ser>
        <c:dLbls>
          <c:showLegendKey val="0"/>
          <c:showVal val="0"/>
          <c:showCatName val="0"/>
          <c:showSerName val="0"/>
          <c:showPercent val="0"/>
          <c:showBubbleSize val="0"/>
        </c:dLbls>
        <c:marker val="1"/>
        <c:smooth val="0"/>
        <c:axId val="252990592"/>
        <c:axId val="252992896"/>
      </c:lineChart>
      <c:catAx>
        <c:axId val="252990592"/>
        <c:scaling>
          <c:orientation val="minMax"/>
        </c:scaling>
        <c:delete val="0"/>
        <c:axPos val="b"/>
        <c:title>
          <c:tx>
            <c:rich>
              <a:bodyPr/>
              <a:lstStyle/>
              <a:p>
                <a:pPr>
                  <a:defRPr/>
                </a:pPr>
                <a:r>
                  <a:rPr lang="es-EC"/>
                  <a:t>Año</a:t>
                </a:r>
              </a:p>
            </c:rich>
          </c:tx>
          <c:overlay val="0"/>
        </c:title>
        <c:numFmt formatCode="General" sourceLinked="1"/>
        <c:majorTickMark val="out"/>
        <c:minorTickMark val="none"/>
        <c:tickLblPos val="nextTo"/>
        <c:spPr>
          <a:ln>
            <a:solidFill>
              <a:schemeClr val="tx1"/>
            </a:solidFill>
          </a:ln>
        </c:spPr>
        <c:txPr>
          <a:bodyPr/>
          <a:lstStyle/>
          <a:p>
            <a:pPr>
              <a:defRPr sz="600"/>
            </a:pPr>
            <a:endParaRPr lang="es-EC"/>
          </a:p>
        </c:txPr>
        <c:crossAx val="252992896"/>
        <c:crosses val="autoZero"/>
        <c:auto val="1"/>
        <c:lblAlgn val="ctr"/>
        <c:lblOffset val="100"/>
        <c:noMultiLvlLbl val="0"/>
      </c:catAx>
      <c:valAx>
        <c:axId val="252992896"/>
        <c:scaling>
          <c:orientation val="minMax"/>
          <c:max val="12000"/>
          <c:min val="0"/>
        </c:scaling>
        <c:delete val="0"/>
        <c:axPos val="l"/>
        <c:majorGridlines>
          <c:spPr>
            <a:ln>
              <a:prstDash val="dash"/>
            </a:ln>
          </c:spPr>
        </c:majorGridlines>
        <c:title>
          <c:tx>
            <c:rich>
              <a:bodyPr rot="-5400000" vert="horz"/>
              <a:lstStyle/>
              <a:p>
                <a:pPr>
                  <a:defRPr/>
                </a:pPr>
                <a:r>
                  <a:rPr lang="es-EC"/>
                  <a:t>Total de Inmigrantes</a:t>
                </a:r>
              </a:p>
            </c:rich>
          </c:tx>
          <c:overlay val="0"/>
        </c:title>
        <c:numFmt formatCode="###0" sourceLinked="1"/>
        <c:majorTickMark val="out"/>
        <c:minorTickMark val="none"/>
        <c:tickLblPos val="nextTo"/>
        <c:spPr>
          <a:ln>
            <a:solidFill>
              <a:schemeClr val="tx1"/>
            </a:solidFill>
          </a:ln>
        </c:spPr>
        <c:crossAx val="252990592"/>
        <c:crosses val="autoZero"/>
        <c:crossBetween val="between"/>
        <c:majorUnit val="1000"/>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3819932259502"/>
          <c:y val="5.0925925925925923E-2"/>
          <c:w val="0.87948356040557163"/>
          <c:h val="0.67701581582744974"/>
        </c:manualLayout>
      </c:layout>
      <c:lineChart>
        <c:grouping val="standard"/>
        <c:varyColors val="0"/>
        <c:ser>
          <c:idx val="0"/>
          <c:order val="0"/>
          <c:tx>
            <c:v>Urbano por País</c:v>
          </c:tx>
          <c:spPr>
            <a:ln>
              <a:noFill/>
            </a:ln>
          </c:spPr>
          <c:marker>
            <c:symbol val="diamond"/>
            <c:size val="5"/>
            <c:spPr>
              <a:solidFill>
                <a:schemeClr val="tx1"/>
              </a:solidFill>
              <a:ln>
                <a:solidFill>
                  <a:schemeClr val="tx1"/>
                </a:solidFill>
              </a:ln>
            </c:spPr>
          </c:marker>
          <c:cat>
            <c:strRef>
              <c:f>'Inmigracion(Perfil)'!$A$215:$A$231</c:f>
              <c:strCache>
                <c:ptCount val="17"/>
                <c:pt idx="0">
                  <c:v>Colombia</c:v>
                </c:pt>
                <c:pt idx="1">
                  <c:v>Perú</c:v>
                </c:pt>
                <c:pt idx="2">
                  <c:v>Estados Unidos</c:v>
                </c:pt>
                <c:pt idx="3">
                  <c:v>España</c:v>
                </c:pt>
                <c:pt idx="4">
                  <c:v>Cuba</c:v>
                </c:pt>
                <c:pt idx="5">
                  <c:v>Venezuela</c:v>
                </c:pt>
                <c:pt idx="6">
                  <c:v>Chile</c:v>
                </c:pt>
                <c:pt idx="7">
                  <c:v>Italia</c:v>
                </c:pt>
                <c:pt idx="8">
                  <c:v>China</c:v>
                </c:pt>
                <c:pt idx="9">
                  <c:v>Argentina</c:v>
                </c:pt>
                <c:pt idx="10">
                  <c:v>Alemania</c:v>
                </c:pt>
                <c:pt idx="11">
                  <c:v>Brasil</c:v>
                </c:pt>
                <c:pt idx="12">
                  <c:v>México</c:v>
                </c:pt>
                <c:pt idx="13">
                  <c:v>Francia</c:v>
                </c:pt>
                <c:pt idx="14">
                  <c:v>Reino Unido</c:v>
                </c:pt>
                <c:pt idx="15">
                  <c:v>Otros países</c:v>
                </c:pt>
                <c:pt idx="16">
                  <c:v>No especifica</c:v>
                </c:pt>
              </c:strCache>
            </c:strRef>
          </c:cat>
          <c:val>
            <c:numRef>
              <c:f>'Inmigracion(Perfil)'!$B$215:$B$231</c:f>
              <c:numCache>
                <c:formatCode>0.00</c:formatCode>
                <c:ptCount val="17"/>
                <c:pt idx="0">
                  <c:v>681.85608966874599</c:v>
                </c:pt>
                <c:pt idx="1">
                  <c:v>758.1015565195205</c:v>
                </c:pt>
                <c:pt idx="2">
                  <c:v>795.43184391023499</c:v>
                </c:pt>
                <c:pt idx="3">
                  <c:v>780.81898091903156</c:v>
                </c:pt>
                <c:pt idx="4">
                  <c:v>933.89906208128627</c:v>
                </c:pt>
                <c:pt idx="5">
                  <c:v>845.12711864406776</c:v>
                </c:pt>
                <c:pt idx="6">
                  <c:v>846.96934777598517</c:v>
                </c:pt>
                <c:pt idx="7">
                  <c:v>831.94888178913754</c:v>
                </c:pt>
                <c:pt idx="8">
                  <c:v>942.87680660702051</c:v>
                </c:pt>
                <c:pt idx="9">
                  <c:v>832.61986301369859</c:v>
                </c:pt>
                <c:pt idx="10">
                  <c:v>681.81818181818244</c:v>
                </c:pt>
                <c:pt idx="11">
                  <c:v>821.68106834249795</c:v>
                </c:pt>
                <c:pt idx="12">
                  <c:v>805.25883319638524</c:v>
                </c:pt>
                <c:pt idx="13">
                  <c:v>729.3625914315561</c:v>
                </c:pt>
                <c:pt idx="14">
                  <c:v>748.61572535991161</c:v>
                </c:pt>
                <c:pt idx="15">
                  <c:v>822.2623780267437</c:v>
                </c:pt>
                <c:pt idx="16">
                  <c:v>713.76146788990718</c:v>
                </c:pt>
              </c:numCache>
            </c:numRef>
          </c:val>
          <c:smooth val="0"/>
        </c:ser>
        <c:ser>
          <c:idx val="1"/>
          <c:order val="1"/>
          <c:tx>
            <c:v>Rural por País</c:v>
          </c:tx>
          <c:spPr>
            <a:ln>
              <a:noFill/>
            </a:ln>
          </c:spPr>
          <c:marker>
            <c:symbol val="circle"/>
            <c:size val="5"/>
            <c:spPr>
              <a:solidFill>
                <a:schemeClr val="bg1">
                  <a:lumMod val="50000"/>
                </a:schemeClr>
              </a:solidFill>
              <a:ln>
                <a:solidFill>
                  <a:schemeClr val="bg1">
                    <a:lumMod val="50000"/>
                  </a:schemeClr>
                </a:solidFill>
              </a:ln>
            </c:spPr>
          </c:marker>
          <c:val>
            <c:numRef>
              <c:f>'Inmigracion(Perfil)'!$C$215:$C$231</c:f>
              <c:numCache>
                <c:formatCode>0.00</c:formatCode>
                <c:ptCount val="17"/>
                <c:pt idx="0">
                  <c:v>318.14391033125401</c:v>
                </c:pt>
                <c:pt idx="1">
                  <c:v>241.89844348048013</c:v>
                </c:pt>
                <c:pt idx="2">
                  <c:v>204.56815608976501</c:v>
                </c:pt>
                <c:pt idx="3">
                  <c:v>219.18101908096929</c:v>
                </c:pt>
                <c:pt idx="4">
                  <c:v>66.100937918713598</c:v>
                </c:pt>
                <c:pt idx="5">
                  <c:v>154.87288135593244</c:v>
                </c:pt>
                <c:pt idx="6">
                  <c:v>153.03065222401443</c:v>
                </c:pt>
                <c:pt idx="7">
                  <c:v>168.05111821086263</c:v>
                </c:pt>
                <c:pt idx="8">
                  <c:v>57.12319339298012</c:v>
                </c:pt>
                <c:pt idx="9">
                  <c:v>167.38013698630158</c:v>
                </c:pt>
                <c:pt idx="10">
                  <c:v>318.1818181818183</c:v>
                </c:pt>
                <c:pt idx="11">
                  <c:v>178.31893165750213</c:v>
                </c:pt>
                <c:pt idx="12">
                  <c:v>194.74116680361544</c:v>
                </c:pt>
                <c:pt idx="13">
                  <c:v>270.63740856844305</c:v>
                </c:pt>
                <c:pt idx="14">
                  <c:v>251.38427464008862</c:v>
                </c:pt>
                <c:pt idx="15">
                  <c:v>177.73762197325618</c:v>
                </c:pt>
                <c:pt idx="16">
                  <c:v>286.23853211009163</c:v>
                </c:pt>
              </c:numCache>
            </c:numRef>
          </c:val>
          <c:smooth val="0"/>
        </c:ser>
        <c:ser>
          <c:idx val="2"/>
          <c:order val="2"/>
          <c:tx>
            <c:v>Urbano Total</c:v>
          </c:tx>
          <c:spPr>
            <a:ln w="19050">
              <a:solidFill>
                <a:srgbClr val="D735B4"/>
              </a:solidFill>
            </a:ln>
          </c:spPr>
          <c:marker>
            <c:symbol val="none"/>
          </c:marker>
          <c:val>
            <c:numRef>
              <c:f>'Inmigracion(Perfil)'!$D$215:$D$231</c:f>
              <c:numCache>
                <c:formatCode>0.00</c:formatCode>
                <c:ptCount val="17"/>
                <c:pt idx="0">
                  <c:v>745.2432801020633</c:v>
                </c:pt>
                <c:pt idx="1">
                  <c:v>745.2432801020633</c:v>
                </c:pt>
                <c:pt idx="2">
                  <c:v>745.2432801020633</c:v>
                </c:pt>
                <c:pt idx="3">
                  <c:v>745.2432801020633</c:v>
                </c:pt>
                <c:pt idx="4">
                  <c:v>745.2432801020633</c:v>
                </c:pt>
                <c:pt idx="5">
                  <c:v>745.2432801020633</c:v>
                </c:pt>
                <c:pt idx="6">
                  <c:v>745.2432801020633</c:v>
                </c:pt>
                <c:pt idx="7">
                  <c:v>745.2432801020633</c:v>
                </c:pt>
                <c:pt idx="8">
                  <c:v>745.2432801020633</c:v>
                </c:pt>
                <c:pt idx="9">
                  <c:v>745.2432801020633</c:v>
                </c:pt>
                <c:pt idx="10">
                  <c:v>745.2432801020633</c:v>
                </c:pt>
                <c:pt idx="11">
                  <c:v>745.2432801020633</c:v>
                </c:pt>
                <c:pt idx="12">
                  <c:v>745.2432801020633</c:v>
                </c:pt>
                <c:pt idx="13">
                  <c:v>745.2432801020633</c:v>
                </c:pt>
                <c:pt idx="14">
                  <c:v>745.2432801020633</c:v>
                </c:pt>
                <c:pt idx="15">
                  <c:v>745.2432801020633</c:v>
                </c:pt>
                <c:pt idx="16">
                  <c:v>745.2432801020633</c:v>
                </c:pt>
              </c:numCache>
            </c:numRef>
          </c:val>
          <c:smooth val="0"/>
        </c:ser>
        <c:ser>
          <c:idx val="3"/>
          <c:order val="3"/>
          <c:tx>
            <c:v>Rural Total</c:v>
          </c:tx>
          <c:spPr>
            <a:ln w="19050">
              <a:solidFill>
                <a:srgbClr val="002060"/>
              </a:solidFill>
            </a:ln>
          </c:spPr>
          <c:marker>
            <c:symbol val="none"/>
          </c:marker>
          <c:val>
            <c:numRef>
              <c:f>'Inmigracion(Perfil)'!$E$215:$E$231</c:f>
              <c:numCache>
                <c:formatCode>0.00</c:formatCode>
                <c:ptCount val="17"/>
                <c:pt idx="0">
                  <c:v>254.7567198979369</c:v>
                </c:pt>
                <c:pt idx="1">
                  <c:v>254.7567198979369</c:v>
                </c:pt>
                <c:pt idx="2">
                  <c:v>254.7567198979369</c:v>
                </c:pt>
                <c:pt idx="3">
                  <c:v>254.7567198979369</c:v>
                </c:pt>
                <c:pt idx="4">
                  <c:v>254.7567198979369</c:v>
                </c:pt>
                <c:pt idx="5">
                  <c:v>254.7567198979369</c:v>
                </c:pt>
                <c:pt idx="6">
                  <c:v>254.7567198979369</c:v>
                </c:pt>
                <c:pt idx="7">
                  <c:v>254.7567198979369</c:v>
                </c:pt>
                <c:pt idx="8">
                  <c:v>254.7567198979369</c:v>
                </c:pt>
                <c:pt idx="9">
                  <c:v>254.7567198979369</c:v>
                </c:pt>
                <c:pt idx="10">
                  <c:v>254.7567198979369</c:v>
                </c:pt>
                <c:pt idx="11">
                  <c:v>254.7567198979369</c:v>
                </c:pt>
                <c:pt idx="12">
                  <c:v>254.7567198979369</c:v>
                </c:pt>
                <c:pt idx="13">
                  <c:v>254.7567198979369</c:v>
                </c:pt>
                <c:pt idx="14">
                  <c:v>254.7567198979369</c:v>
                </c:pt>
                <c:pt idx="15">
                  <c:v>254.7567198979369</c:v>
                </c:pt>
                <c:pt idx="16">
                  <c:v>254.7567198979369</c:v>
                </c:pt>
              </c:numCache>
            </c:numRef>
          </c:val>
          <c:smooth val="0"/>
        </c:ser>
        <c:dLbls>
          <c:showLegendKey val="0"/>
          <c:showVal val="0"/>
          <c:showCatName val="0"/>
          <c:showSerName val="0"/>
          <c:showPercent val="0"/>
          <c:showBubbleSize val="0"/>
        </c:dLbls>
        <c:hiLowLines/>
        <c:marker val="1"/>
        <c:smooth val="0"/>
        <c:axId val="253073280"/>
        <c:axId val="253079552"/>
      </c:lineChart>
      <c:catAx>
        <c:axId val="253073280"/>
        <c:scaling>
          <c:orientation val="minMax"/>
        </c:scaling>
        <c:delete val="0"/>
        <c:axPos val="b"/>
        <c:title>
          <c:tx>
            <c:rich>
              <a:bodyPr/>
              <a:lstStyle/>
              <a:p>
                <a:pPr>
                  <a:defRPr/>
                </a:pPr>
                <a:r>
                  <a:rPr lang="es-EC"/>
                  <a:t>País de nacimiento</a:t>
                </a:r>
              </a:p>
            </c:rich>
          </c:tx>
          <c:layout>
            <c:manualLayout>
              <c:xMode val="edge"/>
              <c:yMode val="edge"/>
              <c:x val="0.48420914490951789"/>
              <c:y val="0.93428222513852432"/>
            </c:manualLayout>
          </c:layout>
          <c:overlay val="0"/>
        </c:title>
        <c:majorTickMark val="out"/>
        <c:minorTickMark val="none"/>
        <c:tickLblPos val="nextTo"/>
        <c:spPr>
          <a:ln>
            <a:solidFill>
              <a:schemeClr val="tx1"/>
            </a:solidFill>
          </a:ln>
        </c:spPr>
        <c:txPr>
          <a:bodyPr rot="-5400000" vert="horz"/>
          <a:lstStyle/>
          <a:p>
            <a:pPr>
              <a:defRPr sz="600"/>
            </a:pPr>
            <a:endParaRPr lang="es-EC"/>
          </a:p>
        </c:txPr>
        <c:crossAx val="253079552"/>
        <c:crosses val="autoZero"/>
        <c:auto val="1"/>
        <c:lblAlgn val="ctr"/>
        <c:lblOffset val="100"/>
        <c:noMultiLvlLbl val="0"/>
      </c:catAx>
      <c:valAx>
        <c:axId val="253079552"/>
        <c:scaling>
          <c:orientation val="minMax"/>
          <c:max val="1100"/>
        </c:scaling>
        <c:delete val="0"/>
        <c:axPos val="l"/>
        <c:majorGridlines>
          <c:spPr>
            <a:ln>
              <a:prstDash val="dash"/>
            </a:ln>
          </c:spPr>
        </c:majorGridlines>
        <c:title>
          <c:tx>
            <c:rich>
              <a:bodyPr rot="-5400000" vert="horz"/>
              <a:lstStyle/>
              <a:p>
                <a:pPr>
                  <a:defRPr sz="700"/>
                </a:pPr>
                <a:r>
                  <a:rPr lang="es-EC" sz="700"/>
                  <a:t>Tasa por cada 1000 inmigrantes</a:t>
                </a:r>
              </a:p>
            </c:rich>
          </c:tx>
          <c:layout>
            <c:manualLayout>
              <c:xMode val="edge"/>
              <c:yMode val="edge"/>
              <c:x val="0"/>
              <c:y val="6.0641842080496881E-2"/>
            </c:manualLayout>
          </c:layout>
          <c:overlay val="0"/>
        </c:title>
        <c:numFmt formatCode="General" sourceLinked="0"/>
        <c:majorTickMark val="out"/>
        <c:minorTickMark val="none"/>
        <c:tickLblPos val="nextTo"/>
        <c:spPr>
          <a:ln>
            <a:solidFill>
              <a:schemeClr val="tx1"/>
            </a:solidFill>
          </a:ln>
        </c:spPr>
        <c:crossAx val="253073280"/>
        <c:crosses val="autoZero"/>
        <c:crossBetween val="between"/>
        <c:majorUnit val="100"/>
      </c:valAx>
      <c:spPr>
        <a:noFill/>
        <a:ln>
          <a:solidFill>
            <a:schemeClr val="tx1"/>
          </a:solidFill>
        </a:ln>
      </c:spPr>
    </c:plotArea>
    <c:legend>
      <c:legendPos val="r"/>
      <c:layout>
        <c:manualLayout>
          <c:xMode val="edge"/>
          <c:yMode val="edge"/>
          <c:x val="9.8889578636695327E-2"/>
          <c:y val="3.3837124526100958E-2"/>
          <c:w val="0.89453153418063369"/>
          <c:h val="8.5103528725576028E-2"/>
        </c:manualLayout>
      </c:layout>
      <c:overlay val="0"/>
      <c:txPr>
        <a:bodyPr/>
        <a:lstStyle/>
        <a:p>
          <a:pPr>
            <a:defRPr sz="750"/>
          </a:pPr>
          <a:endParaRPr lang="es-EC"/>
        </a:p>
      </c:txPr>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3798150749825"/>
          <c:y val="5.0925925925925923E-2"/>
          <c:w val="0.88481785212533093"/>
          <c:h val="0.60088950875561753"/>
        </c:manualLayout>
      </c:layout>
      <c:lineChart>
        <c:grouping val="standard"/>
        <c:varyColors val="0"/>
        <c:ser>
          <c:idx val="0"/>
          <c:order val="0"/>
          <c:tx>
            <c:v>Tasa Área Urbana</c:v>
          </c:tx>
          <c:spPr>
            <a:ln>
              <a:noFill/>
            </a:ln>
          </c:spPr>
          <c:marker>
            <c:symbol val="diamond"/>
            <c:size val="5"/>
            <c:spPr>
              <a:solidFill>
                <a:schemeClr val="tx1"/>
              </a:solidFill>
              <a:ln>
                <a:solidFill>
                  <a:schemeClr val="tx1"/>
                </a:solidFill>
              </a:ln>
            </c:spPr>
          </c:marker>
          <c:cat>
            <c:strRef>
              <c:f>'Inmigracion(Perfil)'!$P$211:$P$235</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'Inmigracion(Perfil)'!$T$211:$T$235</c:f>
              <c:numCache>
                <c:formatCode>0.00</c:formatCode>
                <c:ptCount val="25"/>
                <c:pt idx="0">
                  <c:v>806.68979628146963</c:v>
                </c:pt>
                <c:pt idx="1">
                  <c:v>596.96969696969757</c:v>
                </c:pt>
                <c:pt idx="2">
                  <c:v>662.07575012297093</c:v>
                </c:pt>
                <c:pt idx="3">
                  <c:v>483.41077688106304</c:v>
                </c:pt>
                <c:pt idx="4">
                  <c:v>693.71519490851301</c:v>
                </c:pt>
                <c:pt idx="5">
                  <c:v>858.58021240916753</c:v>
                </c:pt>
                <c:pt idx="6">
                  <c:v>823.4580734580735</c:v>
                </c:pt>
                <c:pt idx="7">
                  <c:v>648.16590745624558</c:v>
                </c:pt>
                <c:pt idx="8">
                  <c:v>969.22664342462542</c:v>
                </c:pt>
                <c:pt idx="9">
                  <c:v>781.03326256192497</c:v>
                </c:pt>
                <c:pt idx="10">
                  <c:v>695.04310344827593</c:v>
                </c:pt>
                <c:pt idx="11">
                  <c:v>771.48936170212801</c:v>
                </c:pt>
                <c:pt idx="12">
                  <c:v>831.42059553349839</c:v>
                </c:pt>
                <c:pt idx="13">
                  <c:v>744.28726877040242</c:v>
                </c:pt>
                <c:pt idx="14">
                  <c:v>642.54703328509345</c:v>
                </c:pt>
                <c:pt idx="15">
                  <c:v>556.62983425414461</c:v>
                </c:pt>
                <c:pt idx="16">
                  <c:v>740.25777103866665</c:v>
                </c:pt>
                <c:pt idx="17">
                  <c:v>788.37342497136353</c:v>
                </c:pt>
                <c:pt idx="18">
                  <c:v>602.6058631921826</c:v>
                </c:pt>
                <c:pt idx="19">
                  <c:v>811.08312342569263</c:v>
                </c:pt>
                <c:pt idx="20">
                  <c:v>454.31778128188483</c:v>
                </c:pt>
                <c:pt idx="21">
                  <c:v>647.12078651685499</c:v>
                </c:pt>
                <c:pt idx="22">
                  <c:v>684.3768813967489</c:v>
                </c:pt>
                <c:pt idx="23">
                  <c:v>725.12135922330151</c:v>
                </c:pt>
                <c:pt idx="24">
                  <c:v>0</c:v>
                </c:pt>
              </c:numCache>
            </c:numRef>
          </c:val>
          <c:smooth val="0"/>
        </c:ser>
        <c:ser>
          <c:idx val="1"/>
          <c:order val="1"/>
          <c:tx>
            <c:v>Tasa Área Rural</c:v>
          </c:tx>
          <c:spPr>
            <a:ln>
              <a:noFill/>
            </a:ln>
          </c:spPr>
          <c:marker>
            <c:symbol val="circle"/>
            <c:size val="5"/>
            <c:spPr>
              <a:solidFill>
                <a:schemeClr val="bg1">
                  <a:lumMod val="50000"/>
                </a:schemeClr>
              </a:solidFill>
              <a:ln>
                <a:solidFill>
                  <a:schemeClr val="bg1">
                    <a:lumMod val="50000"/>
                  </a:schemeClr>
                </a:solidFill>
              </a:ln>
            </c:spPr>
          </c:marker>
          <c:cat>
            <c:strRef>
              <c:f>'Inmigracion(Perfil)'!$P$211:$P$235</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'Inmigracion(Perfil)'!$U$211:$U$235</c:f>
              <c:numCache>
                <c:formatCode>0.00</c:formatCode>
                <c:ptCount val="25"/>
                <c:pt idx="0">
                  <c:v>193.31020371853037</c:v>
                </c:pt>
                <c:pt idx="1">
                  <c:v>403.030303030303</c:v>
                </c:pt>
                <c:pt idx="2">
                  <c:v>337.92424987702896</c:v>
                </c:pt>
                <c:pt idx="3">
                  <c:v>516.58922311893696</c:v>
                </c:pt>
                <c:pt idx="4">
                  <c:v>306.28480509148767</c:v>
                </c:pt>
                <c:pt idx="5">
                  <c:v>141.41978759083261</c:v>
                </c:pt>
                <c:pt idx="6">
                  <c:v>176.54192654192661</c:v>
                </c:pt>
                <c:pt idx="7">
                  <c:v>351.83409254375448</c:v>
                </c:pt>
                <c:pt idx="8">
                  <c:v>30.773356575374589</c:v>
                </c:pt>
                <c:pt idx="9">
                  <c:v>218.9667374380752</c:v>
                </c:pt>
                <c:pt idx="10">
                  <c:v>304.95689655172413</c:v>
                </c:pt>
                <c:pt idx="11">
                  <c:v>228.51063829787219</c:v>
                </c:pt>
                <c:pt idx="12">
                  <c:v>168.57940446650102</c:v>
                </c:pt>
                <c:pt idx="13">
                  <c:v>255.71273122959715</c:v>
                </c:pt>
                <c:pt idx="14">
                  <c:v>357.45296671490598</c:v>
                </c:pt>
                <c:pt idx="15">
                  <c:v>443.37016574585635</c:v>
                </c:pt>
                <c:pt idx="16">
                  <c:v>259.74222896133426</c:v>
                </c:pt>
                <c:pt idx="17">
                  <c:v>211.62657502863678</c:v>
                </c:pt>
                <c:pt idx="18">
                  <c:v>397.39413680781729</c:v>
                </c:pt>
                <c:pt idx="19">
                  <c:v>188.91687657430714</c:v>
                </c:pt>
                <c:pt idx="20">
                  <c:v>545.68221871811522</c:v>
                </c:pt>
                <c:pt idx="21">
                  <c:v>352.87921348314632</c:v>
                </c:pt>
                <c:pt idx="22">
                  <c:v>315.62311860325104</c:v>
                </c:pt>
                <c:pt idx="23">
                  <c:v>274.87864077669894</c:v>
                </c:pt>
                <c:pt idx="24">
                  <c:v>1000</c:v>
                </c:pt>
              </c:numCache>
            </c:numRef>
          </c:val>
          <c:smooth val="0"/>
        </c:ser>
        <c:dLbls>
          <c:showLegendKey val="0"/>
          <c:showVal val="0"/>
          <c:showCatName val="0"/>
          <c:showSerName val="0"/>
          <c:showPercent val="0"/>
          <c:showBubbleSize val="0"/>
        </c:dLbls>
        <c:hiLowLines/>
        <c:marker val="1"/>
        <c:smooth val="0"/>
        <c:axId val="253113472"/>
        <c:axId val="253115392"/>
      </c:lineChart>
      <c:catAx>
        <c:axId val="253113472"/>
        <c:scaling>
          <c:orientation val="minMax"/>
        </c:scaling>
        <c:delete val="0"/>
        <c:axPos val="b"/>
        <c:title>
          <c:tx>
            <c:rich>
              <a:bodyPr/>
              <a:lstStyle/>
              <a:p>
                <a:pPr>
                  <a:defRPr/>
                </a:pPr>
                <a:r>
                  <a:rPr lang="es-EC"/>
                  <a:t>Provincia de residencia habitual</a:t>
                </a:r>
              </a:p>
            </c:rich>
          </c:tx>
          <c:layout>
            <c:manualLayout>
              <c:xMode val="edge"/>
              <c:yMode val="edge"/>
              <c:x val="0.40209532808398929"/>
              <c:y val="0.92466946183892351"/>
            </c:manualLayout>
          </c:layout>
          <c:overlay val="0"/>
        </c:title>
        <c:majorTickMark val="out"/>
        <c:minorTickMark val="none"/>
        <c:tickLblPos val="nextTo"/>
        <c:spPr>
          <a:ln>
            <a:solidFill>
              <a:schemeClr val="tx1"/>
            </a:solidFill>
          </a:ln>
        </c:spPr>
        <c:txPr>
          <a:bodyPr rot="-5400000" vert="horz"/>
          <a:lstStyle/>
          <a:p>
            <a:pPr>
              <a:defRPr sz="550"/>
            </a:pPr>
            <a:endParaRPr lang="es-EC"/>
          </a:p>
        </c:txPr>
        <c:crossAx val="253115392"/>
        <c:crosses val="autoZero"/>
        <c:auto val="1"/>
        <c:lblAlgn val="ctr"/>
        <c:lblOffset val="100"/>
        <c:noMultiLvlLbl val="0"/>
      </c:catAx>
      <c:valAx>
        <c:axId val="253115392"/>
        <c:scaling>
          <c:orientation val="minMax"/>
          <c:max val="1200"/>
        </c:scaling>
        <c:delete val="0"/>
        <c:axPos val="l"/>
        <c:majorGridlines>
          <c:spPr>
            <a:ln>
              <a:prstDash val="dash"/>
            </a:ln>
          </c:spPr>
        </c:majorGridlines>
        <c:title>
          <c:tx>
            <c:rich>
              <a:bodyPr rot="-5400000" vert="horz"/>
              <a:lstStyle/>
              <a:p>
                <a:pPr>
                  <a:defRPr sz="700"/>
                </a:pPr>
                <a:r>
                  <a:rPr lang="es-EC" sz="700"/>
                  <a:t>Tasa por cada 1000 inmigrantes</a:t>
                </a:r>
              </a:p>
            </c:rich>
          </c:tx>
          <c:layout>
            <c:manualLayout>
              <c:xMode val="edge"/>
              <c:yMode val="edge"/>
              <c:x val="0"/>
              <c:y val="2.9157212491295739E-2"/>
            </c:manualLayout>
          </c:layout>
          <c:overlay val="0"/>
        </c:title>
        <c:numFmt formatCode="General" sourceLinked="0"/>
        <c:majorTickMark val="out"/>
        <c:minorTickMark val="none"/>
        <c:tickLblPos val="nextTo"/>
        <c:spPr>
          <a:ln>
            <a:solidFill>
              <a:schemeClr val="tx1"/>
            </a:solidFill>
          </a:ln>
        </c:spPr>
        <c:crossAx val="253113472"/>
        <c:crosses val="autoZero"/>
        <c:crossBetween val="between"/>
        <c:majorUnit val="200"/>
      </c:valAx>
      <c:spPr>
        <a:noFill/>
        <a:ln>
          <a:solidFill>
            <a:schemeClr val="tx1"/>
          </a:solidFill>
        </a:ln>
      </c:spPr>
    </c:plotArea>
    <c:legend>
      <c:legendPos val="r"/>
      <c:layout>
        <c:manualLayout>
          <c:xMode val="edge"/>
          <c:yMode val="edge"/>
          <c:x val="0.39960296464264811"/>
          <c:y val="5.5979776847977683E-2"/>
          <c:w val="0.49513395481649453"/>
          <c:h val="5.2673175267317462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69873997709052"/>
          <c:y val="3.4218197908906185E-2"/>
          <c:w val="0.88700219549446357"/>
          <c:h val="0.77460049210049275"/>
        </c:manualLayout>
      </c:layout>
      <c:barChart>
        <c:barDir val="col"/>
        <c:grouping val="clustered"/>
        <c:varyColors val="0"/>
        <c:ser>
          <c:idx val="0"/>
          <c:order val="0"/>
          <c:tx>
            <c:v>Índice de Feminidad</c:v>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'Inmigracion(Perfil)'!$A$161:$A$171</c:f>
              <c:strCache>
                <c:ptCount val="11"/>
                <c:pt idx="0">
                  <c:v>Colombia</c:v>
                </c:pt>
                <c:pt idx="1">
                  <c:v>Perú</c:v>
                </c:pt>
                <c:pt idx="2">
                  <c:v>Estados Unidos</c:v>
                </c:pt>
                <c:pt idx="3">
                  <c:v>Cuba</c:v>
                </c:pt>
                <c:pt idx="4">
                  <c:v>Venezuela</c:v>
                </c:pt>
                <c:pt idx="5">
                  <c:v>Chile</c:v>
                </c:pt>
                <c:pt idx="6">
                  <c:v>Argentina</c:v>
                </c:pt>
                <c:pt idx="7">
                  <c:v>Brasil</c:v>
                </c:pt>
                <c:pt idx="8">
                  <c:v>México</c:v>
                </c:pt>
                <c:pt idx="9">
                  <c:v>Canadá</c:v>
                </c:pt>
                <c:pt idx="10">
                  <c:v>Otros países</c:v>
                </c:pt>
              </c:strCache>
            </c:strRef>
          </c:cat>
          <c:val>
            <c:numRef>
              <c:f>'Inmigracion(Perfil)'!$E$161:$E$171</c:f>
              <c:numCache>
                <c:formatCode>0.00</c:formatCode>
                <c:ptCount val="11"/>
                <c:pt idx="0">
                  <c:v>111.78174453654859</c:v>
                </c:pt>
                <c:pt idx="1">
                  <c:v>75.523457619527463</c:v>
                </c:pt>
                <c:pt idx="2">
                  <c:v>95.61026442620819</c:v>
                </c:pt>
                <c:pt idx="3">
                  <c:v>59.662467316377466</c:v>
                </c:pt>
                <c:pt idx="4">
                  <c:v>107.47252747252745</c:v>
                </c:pt>
                <c:pt idx="5">
                  <c:v>84.481292517006779</c:v>
                </c:pt>
                <c:pt idx="6">
                  <c:v>69.521044992743114</c:v>
                </c:pt>
                <c:pt idx="7">
                  <c:v>131.87613843351554</c:v>
                </c:pt>
                <c:pt idx="8">
                  <c:v>107.32538330494035</c:v>
                </c:pt>
                <c:pt idx="9">
                  <c:v>105.01138952164011</c:v>
                </c:pt>
                <c:pt idx="10">
                  <c:v>93.901968351987662</c:v>
                </c:pt>
              </c:numCache>
            </c:numRef>
          </c:val>
        </c:ser>
        <c:dLbls>
          <c:showLegendKey val="0"/>
          <c:showVal val="0"/>
          <c:showCatName val="0"/>
          <c:showSerName val="0"/>
          <c:showPercent val="0"/>
          <c:showBubbleSize val="0"/>
        </c:dLbls>
        <c:gapWidth val="50"/>
        <c:axId val="253297024"/>
        <c:axId val="253298944"/>
      </c:barChart>
      <c:lineChart>
        <c:grouping val="standard"/>
        <c:varyColors val="0"/>
        <c:ser>
          <c:idx val="1"/>
          <c:order val="1"/>
          <c:tx>
            <c:v>100 Hombres</c:v>
          </c:tx>
          <c:spPr>
            <a:ln w="19050">
              <a:solidFill>
                <a:schemeClr val="tx1"/>
              </a:solidFill>
            </a:ln>
          </c:spPr>
          <c:marker>
            <c:symbol val="none"/>
          </c:marker>
          <c:val>
            <c:numRef>
              <c:f>'Inmigracion(Perfil)'!$F$161:$F$171</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ser>
        <c:dLbls>
          <c:showLegendKey val="0"/>
          <c:showVal val="0"/>
          <c:showCatName val="0"/>
          <c:showSerName val="0"/>
          <c:showPercent val="0"/>
          <c:showBubbleSize val="0"/>
        </c:dLbls>
        <c:marker val="1"/>
        <c:smooth val="0"/>
        <c:axId val="253297024"/>
        <c:axId val="253298944"/>
      </c:lineChart>
      <c:catAx>
        <c:axId val="253297024"/>
        <c:scaling>
          <c:orientation val="minMax"/>
        </c:scaling>
        <c:delete val="0"/>
        <c:axPos val="b"/>
        <c:title>
          <c:tx>
            <c:rich>
              <a:bodyPr/>
              <a:lstStyle/>
              <a:p>
                <a:pPr>
                  <a:defRPr/>
                </a:pPr>
                <a:r>
                  <a:rPr lang="es-EC"/>
                  <a:t>País</a:t>
                </a:r>
              </a:p>
            </c:rich>
          </c:tx>
          <c:overlay val="0"/>
        </c:title>
        <c:majorTickMark val="out"/>
        <c:minorTickMark val="none"/>
        <c:tickLblPos val="nextTo"/>
        <c:spPr>
          <a:ln>
            <a:solidFill>
              <a:schemeClr val="tx1"/>
            </a:solidFill>
          </a:ln>
        </c:spPr>
        <c:txPr>
          <a:bodyPr rot="0" vert="horz"/>
          <a:lstStyle/>
          <a:p>
            <a:pPr>
              <a:defRPr sz="550"/>
            </a:pPr>
            <a:endParaRPr lang="es-EC"/>
          </a:p>
        </c:txPr>
        <c:crossAx val="253298944"/>
        <c:crosses val="autoZero"/>
        <c:auto val="1"/>
        <c:lblAlgn val="ctr"/>
        <c:lblOffset val="100"/>
        <c:noMultiLvlLbl val="0"/>
      </c:catAx>
      <c:valAx>
        <c:axId val="253298944"/>
        <c:scaling>
          <c:orientation val="minMax"/>
          <c:max val="180"/>
        </c:scaling>
        <c:delete val="0"/>
        <c:axPos val="l"/>
        <c:title>
          <c:tx>
            <c:rich>
              <a:bodyPr rot="-5400000" vert="horz"/>
              <a:lstStyle/>
              <a:p>
                <a:pPr>
                  <a:defRPr/>
                </a:pPr>
                <a:r>
                  <a:rPr lang="es-EC"/>
                  <a:t>Índice de Feminidad</a:t>
                </a:r>
              </a:p>
            </c:rich>
          </c:tx>
          <c:overlay val="0"/>
        </c:title>
        <c:numFmt formatCode="0" sourceLinked="0"/>
        <c:majorTickMark val="out"/>
        <c:minorTickMark val="none"/>
        <c:tickLblPos val="nextTo"/>
        <c:spPr>
          <a:ln>
            <a:solidFill>
              <a:schemeClr val="tx1"/>
            </a:solidFill>
          </a:ln>
        </c:spPr>
        <c:crossAx val="253297024"/>
        <c:crosses val="autoZero"/>
        <c:crossBetween val="between"/>
        <c:majorUnit val="30"/>
      </c:valAx>
      <c:spPr>
        <a:noFill/>
        <a:ln>
          <a:solidFill>
            <a:schemeClr val="tx1"/>
          </a:solidFill>
        </a:ln>
      </c:spPr>
    </c:plotArea>
    <c:legend>
      <c:legendPos val="r"/>
      <c:layout>
        <c:manualLayout>
          <c:xMode val="edge"/>
          <c:yMode val="edge"/>
          <c:x val="0.16575267277586866"/>
          <c:y val="6.8510101010101035E-2"/>
          <c:w val="0.72082832187857981"/>
          <c:h val="7.0212160979877508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69873997709052"/>
          <c:y val="3.4218197908906185E-2"/>
          <c:w val="0.88700219549446357"/>
          <c:h val="0.77460049210049275"/>
        </c:manualLayout>
      </c:layout>
      <c:barChart>
        <c:barDir val="col"/>
        <c:grouping val="clustered"/>
        <c:varyColors val="0"/>
        <c:ser>
          <c:idx val="0"/>
          <c:order val="0"/>
          <c:tx>
            <c:v>Índice de Feminidad</c:v>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'Inmigracion(Perfil)'!$A$174:$A$179</c:f>
              <c:strCache>
                <c:ptCount val="6"/>
                <c:pt idx="0">
                  <c:v>España</c:v>
                </c:pt>
                <c:pt idx="1">
                  <c:v>Italia</c:v>
                </c:pt>
                <c:pt idx="2">
                  <c:v>Alemania</c:v>
                </c:pt>
                <c:pt idx="3">
                  <c:v>Francia</c:v>
                </c:pt>
                <c:pt idx="4">
                  <c:v>Reino Unido</c:v>
                </c:pt>
                <c:pt idx="5">
                  <c:v>Otros países</c:v>
                </c:pt>
              </c:strCache>
            </c:strRef>
          </c:cat>
          <c:val>
            <c:numRef>
              <c:f>'Inmigracion(Perfil)'!$E$174:$E$179</c:f>
              <c:numCache>
                <c:formatCode>0.00</c:formatCode>
                <c:ptCount val="6"/>
                <c:pt idx="0">
                  <c:v>89.890080065137766</c:v>
                </c:pt>
                <c:pt idx="1">
                  <c:v>73.695893451720309</c:v>
                </c:pt>
                <c:pt idx="2">
                  <c:v>102.48756218905473</c:v>
                </c:pt>
                <c:pt idx="3">
                  <c:v>94.908350305498956</c:v>
                </c:pt>
                <c:pt idx="4">
                  <c:v>83.536585365853654</c:v>
                </c:pt>
                <c:pt idx="5">
                  <c:v>97.737333989178609</c:v>
                </c:pt>
              </c:numCache>
            </c:numRef>
          </c:val>
        </c:ser>
        <c:dLbls>
          <c:showLegendKey val="0"/>
          <c:showVal val="0"/>
          <c:showCatName val="0"/>
          <c:showSerName val="0"/>
          <c:showPercent val="0"/>
          <c:showBubbleSize val="0"/>
        </c:dLbls>
        <c:gapWidth val="50"/>
        <c:axId val="253320576"/>
        <c:axId val="253322752"/>
      </c:barChart>
      <c:lineChart>
        <c:grouping val="standard"/>
        <c:varyColors val="0"/>
        <c:ser>
          <c:idx val="1"/>
          <c:order val="1"/>
          <c:tx>
            <c:v>100 Hombres</c:v>
          </c:tx>
          <c:spPr>
            <a:ln w="19050">
              <a:solidFill>
                <a:schemeClr val="tx1"/>
              </a:solidFill>
            </a:ln>
          </c:spPr>
          <c:marker>
            <c:symbol val="none"/>
          </c:marker>
          <c:cat>
            <c:strRef>
              <c:f>'Inmigracion(Perfil)'!$A$174:$A$179</c:f>
              <c:strCache>
                <c:ptCount val="6"/>
                <c:pt idx="0">
                  <c:v>España</c:v>
                </c:pt>
                <c:pt idx="1">
                  <c:v>Italia</c:v>
                </c:pt>
                <c:pt idx="2">
                  <c:v>Alemania</c:v>
                </c:pt>
                <c:pt idx="3">
                  <c:v>Francia</c:v>
                </c:pt>
                <c:pt idx="4">
                  <c:v>Reino Unido</c:v>
                </c:pt>
                <c:pt idx="5">
                  <c:v>Otros países</c:v>
                </c:pt>
              </c:strCache>
            </c:strRef>
          </c:cat>
          <c:val>
            <c:numRef>
              <c:f>'Inmigracion(Perfil)'!$F$174:$F$179</c:f>
              <c:numCache>
                <c:formatCode>General</c:formatCode>
                <c:ptCount val="6"/>
                <c:pt idx="0">
                  <c:v>100</c:v>
                </c:pt>
                <c:pt idx="1">
                  <c:v>100</c:v>
                </c:pt>
                <c:pt idx="2">
                  <c:v>100</c:v>
                </c:pt>
                <c:pt idx="3">
                  <c:v>100</c:v>
                </c:pt>
                <c:pt idx="4">
                  <c:v>100</c:v>
                </c:pt>
                <c:pt idx="5">
                  <c:v>100</c:v>
                </c:pt>
              </c:numCache>
            </c:numRef>
          </c:val>
          <c:smooth val="0"/>
        </c:ser>
        <c:dLbls>
          <c:showLegendKey val="0"/>
          <c:showVal val="0"/>
          <c:showCatName val="0"/>
          <c:showSerName val="0"/>
          <c:showPercent val="0"/>
          <c:showBubbleSize val="0"/>
        </c:dLbls>
        <c:marker val="1"/>
        <c:smooth val="0"/>
        <c:axId val="253320576"/>
        <c:axId val="253322752"/>
      </c:lineChart>
      <c:catAx>
        <c:axId val="253320576"/>
        <c:scaling>
          <c:orientation val="minMax"/>
        </c:scaling>
        <c:delete val="0"/>
        <c:axPos val="b"/>
        <c:title>
          <c:tx>
            <c:rich>
              <a:bodyPr/>
              <a:lstStyle/>
              <a:p>
                <a:pPr>
                  <a:defRPr/>
                </a:pPr>
                <a:r>
                  <a:rPr lang="es-EC"/>
                  <a:t>País</a:t>
                </a:r>
              </a:p>
            </c:rich>
          </c:tx>
          <c:overlay val="0"/>
        </c:title>
        <c:majorTickMark val="out"/>
        <c:minorTickMark val="none"/>
        <c:tickLblPos val="nextTo"/>
        <c:spPr>
          <a:ln>
            <a:solidFill>
              <a:schemeClr val="tx1"/>
            </a:solidFill>
          </a:ln>
        </c:spPr>
        <c:txPr>
          <a:bodyPr rot="0" vert="horz"/>
          <a:lstStyle/>
          <a:p>
            <a:pPr>
              <a:defRPr sz="700"/>
            </a:pPr>
            <a:endParaRPr lang="es-EC"/>
          </a:p>
        </c:txPr>
        <c:crossAx val="253322752"/>
        <c:crosses val="autoZero"/>
        <c:auto val="1"/>
        <c:lblAlgn val="ctr"/>
        <c:lblOffset val="100"/>
        <c:noMultiLvlLbl val="0"/>
      </c:catAx>
      <c:valAx>
        <c:axId val="253322752"/>
        <c:scaling>
          <c:orientation val="minMax"/>
          <c:max val="180"/>
        </c:scaling>
        <c:delete val="0"/>
        <c:axPos val="l"/>
        <c:title>
          <c:tx>
            <c:rich>
              <a:bodyPr rot="-5400000" vert="horz"/>
              <a:lstStyle/>
              <a:p>
                <a:pPr>
                  <a:defRPr/>
                </a:pPr>
                <a:r>
                  <a:rPr lang="es-EC"/>
                  <a:t>Índice de Feminidad</a:t>
                </a:r>
              </a:p>
            </c:rich>
          </c:tx>
          <c:overlay val="0"/>
        </c:title>
        <c:numFmt formatCode="0" sourceLinked="0"/>
        <c:majorTickMark val="out"/>
        <c:minorTickMark val="none"/>
        <c:tickLblPos val="nextTo"/>
        <c:spPr>
          <a:ln>
            <a:solidFill>
              <a:schemeClr val="tx1"/>
            </a:solidFill>
          </a:ln>
        </c:spPr>
        <c:crossAx val="253320576"/>
        <c:crosses val="autoZero"/>
        <c:crossBetween val="between"/>
        <c:majorUnit val="30"/>
      </c:valAx>
      <c:spPr>
        <a:noFill/>
        <a:ln>
          <a:solidFill>
            <a:schemeClr val="tx1"/>
          </a:solidFill>
        </a:ln>
      </c:spPr>
    </c:plotArea>
    <c:legend>
      <c:legendPos val="r"/>
      <c:layout>
        <c:manualLayout>
          <c:xMode val="edge"/>
          <c:yMode val="edge"/>
          <c:x val="0.16575267277586866"/>
          <c:y val="6.8510101010101035E-2"/>
          <c:w val="0.72082832187857981"/>
          <c:h val="7.0212160979877508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69873997709052"/>
          <c:y val="3.4218197908906185E-2"/>
          <c:w val="0.88700219549446357"/>
          <c:h val="0.77460049210049275"/>
        </c:manualLayout>
      </c:layout>
      <c:barChart>
        <c:barDir val="col"/>
        <c:grouping val="clustered"/>
        <c:varyColors val="0"/>
        <c:ser>
          <c:idx val="0"/>
          <c:order val="0"/>
          <c:tx>
            <c:v>Índice de Feminidad</c:v>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'Inmigracion(Perfil)'!$A$182:$A$187</c:f>
              <c:strCache>
                <c:ptCount val="6"/>
                <c:pt idx="0">
                  <c:v>China</c:v>
                </c:pt>
                <c:pt idx="1">
                  <c:v>Taiwán</c:v>
                </c:pt>
                <c:pt idx="2">
                  <c:v>Corea del Sur</c:v>
                </c:pt>
                <c:pt idx="3">
                  <c:v>Japón</c:v>
                </c:pt>
                <c:pt idx="4">
                  <c:v>Pakistán</c:v>
                </c:pt>
                <c:pt idx="5">
                  <c:v>Otros países</c:v>
                </c:pt>
              </c:strCache>
            </c:strRef>
          </c:cat>
          <c:val>
            <c:numRef>
              <c:f>'Inmigracion(Perfil)'!$E$182:$E$187</c:f>
              <c:numCache>
                <c:formatCode>0.00</c:formatCode>
                <c:ptCount val="6"/>
                <c:pt idx="0">
                  <c:v>68.561484918793482</c:v>
                </c:pt>
                <c:pt idx="1">
                  <c:v>80.569948186528435</c:v>
                </c:pt>
                <c:pt idx="2">
                  <c:v>81.481481481481481</c:v>
                </c:pt>
                <c:pt idx="3">
                  <c:v>101.5748031496063</c:v>
                </c:pt>
                <c:pt idx="4">
                  <c:v>10.964912280701753</c:v>
                </c:pt>
                <c:pt idx="5">
                  <c:v>51.365546218487388</c:v>
                </c:pt>
              </c:numCache>
            </c:numRef>
          </c:val>
        </c:ser>
        <c:dLbls>
          <c:showLegendKey val="0"/>
          <c:showVal val="0"/>
          <c:showCatName val="0"/>
          <c:showSerName val="0"/>
          <c:showPercent val="0"/>
          <c:showBubbleSize val="0"/>
        </c:dLbls>
        <c:gapWidth val="50"/>
        <c:axId val="253467264"/>
        <c:axId val="253473536"/>
      </c:barChart>
      <c:lineChart>
        <c:grouping val="standard"/>
        <c:varyColors val="0"/>
        <c:ser>
          <c:idx val="1"/>
          <c:order val="1"/>
          <c:tx>
            <c:v>100 Hombres</c:v>
          </c:tx>
          <c:spPr>
            <a:ln w="19050">
              <a:solidFill>
                <a:schemeClr val="tx1"/>
              </a:solidFill>
            </a:ln>
          </c:spPr>
          <c:marker>
            <c:symbol val="none"/>
          </c:marker>
          <c:cat>
            <c:strRef>
              <c:f>'Inmigracion(Perfil)'!$A$182:$A$187</c:f>
              <c:strCache>
                <c:ptCount val="6"/>
                <c:pt idx="0">
                  <c:v>China</c:v>
                </c:pt>
                <c:pt idx="1">
                  <c:v>Taiwán</c:v>
                </c:pt>
                <c:pt idx="2">
                  <c:v>Corea del Sur</c:v>
                </c:pt>
                <c:pt idx="3">
                  <c:v>Japón</c:v>
                </c:pt>
                <c:pt idx="4">
                  <c:v>Pakistán</c:v>
                </c:pt>
                <c:pt idx="5">
                  <c:v>Otros países</c:v>
                </c:pt>
              </c:strCache>
            </c:strRef>
          </c:cat>
          <c:val>
            <c:numRef>
              <c:f>'Inmigracion(Perfil)'!$F$182:$F$187</c:f>
              <c:numCache>
                <c:formatCode>General</c:formatCode>
                <c:ptCount val="6"/>
                <c:pt idx="0">
                  <c:v>100</c:v>
                </c:pt>
                <c:pt idx="1">
                  <c:v>100</c:v>
                </c:pt>
                <c:pt idx="2">
                  <c:v>100</c:v>
                </c:pt>
                <c:pt idx="3">
                  <c:v>100</c:v>
                </c:pt>
                <c:pt idx="4">
                  <c:v>100</c:v>
                </c:pt>
                <c:pt idx="5">
                  <c:v>100</c:v>
                </c:pt>
              </c:numCache>
            </c:numRef>
          </c:val>
          <c:smooth val="0"/>
        </c:ser>
        <c:dLbls>
          <c:showLegendKey val="0"/>
          <c:showVal val="0"/>
          <c:showCatName val="0"/>
          <c:showSerName val="0"/>
          <c:showPercent val="0"/>
          <c:showBubbleSize val="0"/>
        </c:dLbls>
        <c:marker val="1"/>
        <c:smooth val="0"/>
        <c:axId val="253467264"/>
        <c:axId val="253473536"/>
      </c:lineChart>
      <c:catAx>
        <c:axId val="253467264"/>
        <c:scaling>
          <c:orientation val="minMax"/>
        </c:scaling>
        <c:delete val="0"/>
        <c:axPos val="b"/>
        <c:title>
          <c:tx>
            <c:rich>
              <a:bodyPr/>
              <a:lstStyle/>
              <a:p>
                <a:pPr>
                  <a:defRPr/>
                </a:pPr>
                <a:r>
                  <a:rPr lang="es-EC"/>
                  <a:t>País</a:t>
                </a:r>
              </a:p>
            </c:rich>
          </c:tx>
          <c:overlay val="0"/>
        </c:title>
        <c:majorTickMark val="out"/>
        <c:minorTickMark val="none"/>
        <c:tickLblPos val="nextTo"/>
        <c:spPr>
          <a:ln>
            <a:solidFill>
              <a:schemeClr val="tx1"/>
            </a:solidFill>
          </a:ln>
        </c:spPr>
        <c:txPr>
          <a:bodyPr rot="0" vert="horz"/>
          <a:lstStyle/>
          <a:p>
            <a:pPr>
              <a:defRPr sz="700"/>
            </a:pPr>
            <a:endParaRPr lang="es-EC"/>
          </a:p>
        </c:txPr>
        <c:crossAx val="253473536"/>
        <c:crosses val="autoZero"/>
        <c:auto val="1"/>
        <c:lblAlgn val="ctr"/>
        <c:lblOffset val="100"/>
        <c:noMultiLvlLbl val="0"/>
      </c:catAx>
      <c:valAx>
        <c:axId val="253473536"/>
        <c:scaling>
          <c:orientation val="minMax"/>
          <c:max val="180"/>
        </c:scaling>
        <c:delete val="0"/>
        <c:axPos val="l"/>
        <c:title>
          <c:tx>
            <c:rich>
              <a:bodyPr rot="-5400000" vert="horz"/>
              <a:lstStyle/>
              <a:p>
                <a:pPr>
                  <a:defRPr/>
                </a:pPr>
                <a:r>
                  <a:rPr lang="es-EC"/>
                  <a:t>Índice de Feminidad</a:t>
                </a:r>
              </a:p>
            </c:rich>
          </c:tx>
          <c:overlay val="0"/>
        </c:title>
        <c:numFmt formatCode="0" sourceLinked="0"/>
        <c:majorTickMark val="out"/>
        <c:minorTickMark val="none"/>
        <c:tickLblPos val="nextTo"/>
        <c:spPr>
          <a:ln>
            <a:solidFill>
              <a:schemeClr val="tx1"/>
            </a:solidFill>
          </a:ln>
        </c:spPr>
        <c:crossAx val="253467264"/>
        <c:crosses val="autoZero"/>
        <c:crossBetween val="between"/>
        <c:majorUnit val="30"/>
      </c:valAx>
      <c:spPr>
        <a:noFill/>
        <a:ln>
          <a:solidFill>
            <a:schemeClr val="tx1"/>
          </a:solidFill>
        </a:ln>
      </c:spPr>
    </c:plotArea>
    <c:legend>
      <c:legendPos val="r"/>
      <c:layout>
        <c:manualLayout>
          <c:xMode val="edge"/>
          <c:yMode val="edge"/>
          <c:x val="0.16575267277586866"/>
          <c:y val="6.8510101010101035E-2"/>
          <c:w val="0.72082832187857981"/>
          <c:h val="7.0212160979877508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69873997709052"/>
          <c:y val="3.4218197908906185E-2"/>
          <c:w val="0.88700219549446357"/>
          <c:h val="0.77460049210049275"/>
        </c:manualLayout>
      </c:layout>
      <c:barChart>
        <c:barDir val="col"/>
        <c:grouping val="clustered"/>
        <c:varyColors val="0"/>
        <c:ser>
          <c:idx val="0"/>
          <c:order val="0"/>
          <c:tx>
            <c:v>Índice de Feminidad</c:v>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'Inmigracion(Perfil)'!$A$190:$A$195</c:f>
              <c:strCache>
                <c:ptCount val="6"/>
                <c:pt idx="0">
                  <c:v>Nigeria</c:v>
                </c:pt>
                <c:pt idx="1">
                  <c:v>Camerún</c:v>
                </c:pt>
                <c:pt idx="2">
                  <c:v>Sudáfrica</c:v>
                </c:pt>
                <c:pt idx="3">
                  <c:v>Egipto</c:v>
                </c:pt>
                <c:pt idx="4">
                  <c:v>Marruecos</c:v>
                </c:pt>
                <c:pt idx="5">
                  <c:v>Otros países</c:v>
                </c:pt>
              </c:strCache>
            </c:strRef>
          </c:cat>
          <c:val>
            <c:numRef>
              <c:f>'Inmigracion(Perfil)'!$E$190:$E$195</c:f>
              <c:numCache>
                <c:formatCode>0.00</c:formatCode>
                <c:ptCount val="6"/>
                <c:pt idx="0">
                  <c:v>13.750000000000002</c:v>
                </c:pt>
                <c:pt idx="1">
                  <c:v>71.794871794871781</c:v>
                </c:pt>
                <c:pt idx="2">
                  <c:v>51.612903225806448</c:v>
                </c:pt>
                <c:pt idx="3">
                  <c:v>24.137931034482769</c:v>
                </c:pt>
                <c:pt idx="4">
                  <c:v>78.571428571428541</c:v>
                </c:pt>
                <c:pt idx="5">
                  <c:v>55.000000000000007</c:v>
                </c:pt>
              </c:numCache>
            </c:numRef>
          </c:val>
        </c:ser>
        <c:dLbls>
          <c:showLegendKey val="0"/>
          <c:showVal val="0"/>
          <c:showCatName val="0"/>
          <c:showSerName val="0"/>
          <c:showPercent val="0"/>
          <c:showBubbleSize val="0"/>
        </c:dLbls>
        <c:gapWidth val="50"/>
        <c:axId val="253499264"/>
        <c:axId val="253505536"/>
      </c:barChart>
      <c:lineChart>
        <c:grouping val="standard"/>
        <c:varyColors val="0"/>
        <c:ser>
          <c:idx val="1"/>
          <c:order val="1"/>
          <c:tx>
            <c:v>100 Hombres</c:v>
          </c:tx>
          <c:spPr>
            <a:ln w="19050">
              <a:solidFill>
                <a:schemeClr val="tx1"/>
              </a:solidFill>
            </a:ln>
          </c:spPr>
          <c:marker>
            <c:symbol val="none"/>
          </c:marker>
          <c:cat>
            <c:strRef>
              <c:f>'Inmigracion(Perfil)'!$A$190:$A$195</c:f>
              <c:strCache>
                <c:ptCount val="6"/>
                <c:pt idx="0">
                  <c:v>Nigeria</c:v>
                </c:pt>
                <c:pt idx="1">
                  <c:v>Camerún</c:v>
                </c:pt>
                <c:pt idx="2">
                  <c:v>Sudáfrica</c:v>
                </c:pt>
                <c:pt idx="3">
                  <c:v>Egipto</c:v>
                </c:pt>
                <c:pt idx="4">
                  <c:v>Marruecos</c:v>
                </c:pt>
                <c:pt idx="5">
                  <c:v>Otros países</c:v>
                </c:pt>
              </c:strCache>
            </c:strRef>
          </c:cat>
          <c:val>
            <c:numRef>
              <c:f>'Inmigracion(Perfil)'!$F$190:$F$195</c:f>
              <c:numCache>
                <c:formatCode>General</c:formatCode>
                <c:ptCount val="6"/>
                <c:pt idx="0">
                  <c:v>100</c:v>
                </c:pt>
                <c:pt idx="1">
                  <c:v>100</c:v>
                </c:pt>
                <c:pt idx="2">
                  <c:v>100</c:v>
                </c:pt>
                <c:pt idx="3">
                  <c:v>100</c:v>
                </c:pt>
                <c:pt idx="4">
                  <c:v>100</c:v>
                </c:pt>
                <c:pt idx="5">
                  <c:v>100</c:v>
                </c:pt>
              </c:numCache>
            </c:numRef>
          </c:val>
          <c:smooth val="0"/>
        </c:ser>
        <c:dLbls>
          <c:showLegendKey val="0"/>
          <c:showVal val="0"/>
          <c:showCatName val="0"/>
          <c:showSerName val="0"/>
          <c:showPercent val="0"/>
          <c:showBubbleSize val="0"/>
        </c:dLbls>
        <c:marker val="1"/>
        <c:smooth val="0"/>
        <c:axId val="253499264"/>
        <c:axId val="253505536"/>
      </c:lineChart>
      <c:catAx>
        <c:axId val="253499264"/>
        <c:scaling>
          <c:orientation val="minMax"/>
        </c:scaling>
        <c:delete val="0"/>
        <c:axPos val="b"/>
        <c:title>
          <c:tx>
            <c:rich>
              <a:bodyPr/>
              <a:lstStyle/>
              <a:p>
                <a:pPr>
                  <a:defRPr/>
                </a:pPr>
                <a:r>
                  <a:rPr lang="es-EC"/>
                  <a:t>País</a:t>
                </a:r>
              </a:p>
            </c:rich>
          </c:tx>
          <c:overlay val="0"/>
        </c:title>
        <c:majorTickMark val="out"/>
        <c:minorTickMark val="none"/>
        <c:tickLblPos val="nextTo"/>
        <c:spPr>
          <a:ln>
            <a:solidFill>
              <a:schemeClr val="tx1"/>
            </a:solidFill>
          </a:ln>
        </c:spPr>
        <c:txPr>
          <a:bodyPr rot="0" vert="horz"/>
          <a:lstStyle/>
          <a:p>
            <a:pPr>
              <a:defRPr sz="700"/>
            </a:pPr>
            <a:endParaRPr lang="es-EC"/>
          </a:p>
        </c:txPr>
        <c:crossAx val="253505536"/>
        <c:crosses val="autoZero"/>
        <c:auto val="1"/>
        <c:lblAlgn val="ctr"/>
        <c:lblOffset val="100"/>
        <c:noMultiLvlLbl val="0"/>
      </c:catAx>
      <c:valAx>
        <c:axId val="253505536"/>
        <c:scaling>
          <c:orientation val="minMax"/>
          <c:max val="180"/>
        </c:scaling>
        <c:delete val="0"/>
        <c:axPos val="l"/>
        <c:title>
          <c:tx>
            <c:rich>
              <a:bodyPr rot="-5400000" vert="horz"/>
              <a:lstStyle/>
              <a:p>
                <a:pPr>
                  <a:defRPr/>
                </a:pPr>
                <a:r>
                  <a:rPr lang="es-EC"/>
                  <a:t>Índice de Feminidad</a:t>
                </a:r>
              </a:p>
            </c:rich>
          </c:tx>
          <c:overlay val="0"/>
        </c:title>
        <c:numFmt formatCode="0" sourceLinked="0"/>
        <c:majorTickMark val="out"/>
        <c:minorTickMark val="none"/>
        <c:tickLblPos val="nextTo"/>
        <c:spPr>
          <a:ln>
            <a:solidFill>
              <a:schemeClr val="tx1"/>
            </a:solidFill>
          </a:ln>
        </c:spPr>
        <c:crossAx val="253499264"/>
        <c:crosses val="autoZero"/>
        <c:crossBetween val="between"/>
        <c:majorUnit val="30"/>
      </c:valAx>
      <c:spPr>
        <a:noFill/>
        <a:ln>
          <a:solidFill>
            <a:schemeClr val="tx1"/>
          </a:solidFill>
        </a:ln>
      </c:spPr>
    </c:plotArea>
    <c:legend>
      <c:legendPos val="r"/>
      <c:layout>
        <c:manualLayout>
          <c:xMode val="edge"/>
          <c:yMode val="edge"/>
          <c:x val="0.16575267277586866"/>
          <c:y val="6.8510101010101035E-2"/>
          <c:w val="0.72082832187857981"/>
          <c:h val="7.0212160979877508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43058037990673"/>
          <c:y val="5.0389863161042325E-2"/>
          <c:w val="0.8038355214206353"/>
          <c:h val="0.85679359597862204"/>
        </c:manualLayout>
      </c:layout>
      <c:barChart>
        <c:barDir val="bar"/>
        <c:grouping val="stacked"/>
        <c:varyColors val="0"/>
        <c:ser>
          <c:idx val="0"/>
          <c:order val="0"/>
          <c:spPr>
            <a:solidFill>
              <a:schemeClr val="accent5">
                <a:lumMod val="40000"/>
                <a:lumOff val="60000"/>
              </a:schemeClr>
            </a:solidFill>
            <a:ln>
              <a:solidFill>
                <a:schemeClr val="accent5">
                  <a:lumMod val="75000"/>
                </a:schemeClr>
              </a:solidFill>
            </a:ln>
          </c:spPr>
          <c:invertIfNegative val="0"/>
          <c:cat>
            <c:strRef>
              <c:f>'C:\Users\Andreina\Documents\5_TESIS\RESULTADOS_FINAL\[CAPITULO2.xlsx]Inmigrantes_Guayaquil'!$G$36:$G$57</c:f>
              <c:strCache>
                <c:ptCount val="22"/>
                <c:pt idx="0">
                  <c:v>Menores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Más de 100</c:v>
                </c:pt>
              </c:strCache>
            </c:strRef>
          </c:cat>
          <c:val>
            <c:numRef>
              <c:f>'Inmigracion(Perfil)'!$G$300:$G$321</c:f>
              <c:numCache>
                <c:formatCode>0,000%</c:formatCode>
                <c:ptCount val="22"/>
                <c:pt idx="0">
                  <c:v>-2.5625797369231446E-3</c:v>
                </c:pt>
                <c:pt idx="1">
                  <c:v>-3.23127007170824E-2</c:v>
                </c:pt>
                <c:pt idx="2">
                  <c:v>-5.4727024767938136E-2</c:v>
                </c:pt>
                <c:pt idx="3">
                  <c:v>-3.3923936474418201E-2</c:v>
                </c:pt>
                <c:pt idx="4">
                  <c:v>-3.3407021248515245E-2</c:v>
                </c:pt>
                <c:pt idx="5">
                  <c:v>-4.3052439399938497E-2</c:v>
                </c:pt>
                <c:pt idx="6">
                  <c:v>-5.1493555056970702E-2</c:v>
                </c:pt>
                <c:pt idx="7">
                  <c:v>-4.6802824336808838E-2</c:v>
                </c:pt>
                <c:pt idx="8">
                  <c:v>-4.281047908143075E-2</c:v>
                </c:pt>
                <c:pt idx="9">
                  <c:v>-3.5755136157670182E-2</c:v>
                </c:pt>
                <c:pt idx="10">
                  <c:v>-3.3808455413312219E-2</c:v>
                </c:pt>
                <c:pt idx="11">
                  <c:v>-2.6032730632176364E-2</c:v>
                </c:pt>
                <c:pt idx="12">
                  <c:v>-2.2425322247151491E-2</c:v>
                </c:pt>
                <c:pt idx="13">
                  <c:v>-1.7360652852932121E-2</c:v>
                </c:pt>
                <c:pt idx="14">
                  <c:v>-1.3043860806827694E-2</c:v>
                </c:pt>
                <c:pt idx="15">
                  <c:v>-8.2046544366723862E-3</c:v>
                </c:pt>
                <c:pt idx="16">
                  <c:v>-4.9546874312612734E-3</c:v>
                </c:pt>
                <c:pt idx="17">
                  <c:v>-2.931019312832699E-3</c:v>
                </c:pt>
                <c:pt idx="18">
                  <c:v>-1.24829527957415E-3</c:v>
                </c:pt>
                <c:pt idx="19">
                  <c:v>-5.5540891293827811E-4</c:v>
                </c:pt>
                <c:pt idx="20">
                  <c:v>-1.5947384628920878E-4</c:v>
                </c:pt>
                <c:pt idx="21">
                  <c:v>-4.9491883331133822E-5</c:v>
                </c:pt>
              </c:numCache>
            </c:numRef>
          </c:val>
        </c:ser>
        <c:ser>
          <c:idx val="1"/>
          <c:order val="1"/>
          <c:spPr>
            <a:solidFill>
              <a:schemeClr val="accent6">
                <a:lumMod val="60000"/>
                <a:lumOff val="40000"/>
              </a:schemeClr>
            </a:solidFill>
            <a:ln>
              <a:solidFill>
                <a:schemeClr val="accent6">
                  <a:lumMod val="75000"/>
                </a:schemeClr>
              </a:solidFill>
            </a:ln>
          </c:spPr>
          <c:invertIfNegative val="0"/>
          <c:cat>
            <c:strRef>
              <c:f>'C:\Users\Andreina\Documents\5_TESIS\RESULTADOS_FINAL\[CAPITULO2.xlsx]Inmigrantes_Guayaquil'!$G$36:$G$57</c:f>
              <c:strCache>
                <c:ptCount val="22"/>
                <c:pt idx="0">
                  <c:v>Menores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Más de 100</c:v>
                </c:pt>
              </c:strCache>
            </c:strRef>
          </c:cat>
          <c:val>
            <c:numRef>
              <c:f>'Inmigracion(Perfil)'!$H$300:$H$321</c:f>
              <c:numCache>
                <c:formatCode>0,000%</c:formatCode>
                <c:ptCount val="22"/>
                <c:pt idx="0">
                  <c:v>2.3426158110069952E-3</c:v>
                </c:pt>
                <c:pt idx="1">
                  <c:v>3.078395143196519E-2</c:v>
                </c:pt>
                <c:pt idx="2">
                  <c:v>5.2136949540275403E-2</c:v>
                </c:pt>
                <c:pt idx="3">
                  <c:v>3.2246711539307596E-2</c:v>
                </c:pt>
                <c:pt idx="4">
                  <c:v>3.3731468039241562E-2</c:v>
                </c:pt>
                <c:pt idx="5">
                  <c:v>4.6747833355329733E-2</c:v>
                </c:pt>
                <c:pt idx="6">
                  <c:v>5.2769345827284327E-2</c:v>
                </c:pt>
                <c:pt idx="7">
                  <c:v>4.6835818925696188E-2</c:v>
                </c:pt>
                <c:pt idx="8">
                  <c:v>4.0159913774141062E-2</c:v>
                </c:pt>
                <c:pt idx="9">
                  <c:v>3.4259381461440364E-2</c:v>
                </c:pt>
                <c:pt idx="10">
                  <c:v>3.121288108750165E-2</c:v>
                </c:pt>
                <c:pt idx="11">
                  <c:v>2.4965905591482998E-2</c:v>
                </c:pt>
                <c:pt idx="12">
                  <c:v>2.0495138797237248E-2</c:v>
                </c:pt>
                <c:pt idx="13">
                  <c:v>1.4765078527121552E-2</c:v>
                </c:pt>
                <c:pt idx="14">
                  <c:v>1.1421626853196075E-2</c:v>
                </c:pt>
                <c:pt idx="15">
                  <c:v>7.0993357089437431E-3</c:v>
                </c:pt>
                <c:pt idx="16">
                  <c:v>4.9216928423738582E-3</c:v>
                </c:pt>
                <c:pt idx="17">
                  <c:v>2.9860102943117363E-3</c:v>
                </c:pt>
                <c:pt idx="18">
                  <c:v>1.5562447758567621E-3</c:v>
                </c:pt>
                <c:pt idx="19">
                  <c:v>6.4889358145264178E-4</c:v>
                </c:pt>
                <c:pt idx="20">
                  <c:v>2.0346663147243849E-4</c:v>
                </c:pt>
                <c:pt idx="21">
                  <c:v>8.7985570366460122E-5</c:v>
                </c:pt>
              </c:numCache>
            </c:numRef>
          </c:val>
        </c:ser>
        <c:dLbls>
          <c:showLegendKey val="0"/>
          <c:showVal val="0"/>
          <c:showCatName val="0"/>
          <c:showSerName val="0"/>
          <c:showPercent val="0"/>
          <c:showBubbleSize val="0"/>
        </c:dLbls>
        <c:gapWidth val="0"/>
        <c:overlap val="100"/>
        <c:axId val="253527552"/>
        <c:axId val="253529472"/>
      </c:barChart>
      <c:catAx>
        <c:axId val="253527552"/>
        <c:scaling>
          <c:orientation val="minMax"/>
        </c:scaling>
        <c:delete val="0"/>
        <c:axPos val="l"/>
        <c:title>
          <c:tx>
            <c:rich>
              <a:bodyPr rot="-5400000" vert="horz"/>
              <a:lstStyle/>
              <a:p>
                <a:pPr>
                  <a:defRPr/>
                </a:pPr>
                <a:r>
                  <a:rPr lang="es-EC"/>
                  <a:t>Grupos Etarios</a:t>
                </a:r>
              </a:p>
            </c:rich>
          </c:tx>
          <c:overlay val="0"/>
        </c:title>
        <c:majorTickMark val="out"/>
        <c:minorTickMark val="none"/>
        <c:tickLblPos val="nextTo"/>
        <c:spPr>
          <a:ln>
            <a:solidFill>
              <a:sysClr val="windowText" lastClr="000000"/>
            </a:solidFill>
          </a:ln>
        </c:spPr>
        <c:txPr>
          <a:bodyPr/>
          <a:lstStyle/>
          <a:p>
            <a:pPr>
              <a:defRPr sz="700"/>
            </a:pPr>
            <a:endParaRPr lang="es-EC"/>
          </a:p>
        </c:txPr>
        <c:crossAx val="253529472"/>
        <c:crossesAt val="-15"/>
        <c:auto val="1"/>
        <c:lblAlgn val="ctr"/>
        <c:lblOffset val="100"/>
        <c:noMultiLvlLbl val="0"/>
      </c:catAx>
      <c:valAx>
        <c:axId val="253529472"/>
        <c:scaling>
          <c:orientation val="minMax"/>
          <c:max val="6.0000000000000032E-2"/>
          <c:min val="-6.0000000000000032E-2"/>
        </c:scaling>
        <c:delete val="0"/>
        <c:axPos val="b"/>
        <c:majorGridlines>
          <c:spPr>
            <a:ln>
              <a:prstDash val="dash"/>
            </a:ln>
          </c:spPr>
        </c:majorGridlines>
        <c:numFmt formatCode="0%;0%" sourceLinked="0"/>
        <c:majorTickMark val="out"/>
        <c:minorTickMark val="none"/>
        <c:tickLblPos val="nextTo"/>
        <c:spPr>
          <a:ln>
            <a:solidFill>
              <a:schemeClr val="tx1"/>
            </a:solidFill>
          </a:ln>
        </c:spPr>
        <c:crossAx val="253527552"/>
        <c:crosses val="autoZero"/>
        <c:crossBetween val="between"/>
        <c:majorUnit val="2.0000000000000011E-2"/>
      </c:valAx>
      <c:spPr>
        <a:noFill/>
        <a:ln>
          <a:solidFill>
            <a:sysClr val="windowText" lastClr="000000"/>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45613575796692"/>
          <c:y val="5.4726368159204022E-2"/>
          <c:w val="0.8097339750689736"/>
          <c:h val="0.75639909264735983"/>
        </c:manualLayout>
      </c:layout>
      <c:lineChart>
        <c:grouping val="standard"/>
        <c:varyColors val="0"/>
        <c:ser>
          <c:idx val="1"/>
          <c:order val="0"/>
          <c:spPr>
            <a:ln w="19050">
              <a:solidFill>
                <a:schemeClr val="bg1">
                  <a:lumMod val="65000"/>
                </a:schemeClr>
              </a:solidFill>
            </a:ln>
          </c:spPr>
          <c:marker>
            <c:symbol val="square"/>
            <c:size val="5"/>
            <c:spPr>
              <a:solidFill>
                <a:schemeClr val="bg1">
                  <a:lumMod val="65000"/>
                </a:schemeClr>
              </a:solidFill>
              <a:ln>
                <a:solidFill>
                  <a:schemeClr val="bg1">
                    <a:lumMod val="65000"/>
                  </a:schemeClr>
                </a:solidFill>
              </a:ln>
            </c:spPr>
          </c:marker>
          <c:dLbls>
            <c:dLbl>
              <c:idx val="1"/>
              <c:layout>
                <c:manualLayout>
                  <c:x val="-4.8688670949379412E-2"/>
                  <c:y val="-4.1719631199946393E-2"/>
                </c:manualLayout>
              </c:layout>
              <c:dLblPos val="r"/>
              <c:showLegendKey val="0"/>
              <c:showVal val="1"/>
              <c:showCatName val="0"/>
              <c:showSerName val="0"/>
              <c:showPercent val="0"/>
              <c:showBubbleSize val="0"/>
            </c:dLbl>
            <c:dLbl>
              <c:idx val="2"/>
              <c:layout>
                <c:manualLayout>
                  <c:x val="-4.6125756019627956E-2"/>
                  <c:y val="-5.8521838616326809E-2"/>
                </c:manualLayout>
              </c:layout>
              <c:dLblPos val="r"/>
              <c:showLegendKey val="0"/>
              <c:showVal val="1"/>
              <c:showCatName val="0"/>
              <c:showSerName val="0"/>
              <c:showPercent val="0"/>
              <c:showBubbleSize val="0"/>
            </c:dLbl>
            <c:dLbl>
              <c:idx val="3"/>
              <c:layout>
                <c:manualLayout>
                  <c:x val="-5.1751817467829309E-2"/>
                  <c:y val="-4.5048522780806254E-2"/>
                </c:manualLayout>
              </c:layout>
              <c:dLblPos val="r"/>
              <c:showLegendKey val="0"/>
              <c:showVal val="1"/>
              <c:showCatName val="0"/>
              <c:showSerName val="0"/>
              <c:showPercent val="0"/>
              <c:showBubbleSize val="0"/>
            </c:dLbl>
            <c:dLbl>
              <c:idx val="4"/>
              <c:layout>
                <c:manualLayout>
                  <c:x val="-5.9073779460431894E-2"/>
                  <c:y val="-5.2706642438926012E-2"/>
                </c:manualLayout>
              </c:layout>
              <c:dLblPos val="r"/>
              <c:showLegendKey val="0"/>
              <c:showVal val="1"/>
              <c:showCatName val="0"/>
              <c:showSerName val="0"/>
              <c:showPercent val="0"/>
              <c:showBubbleSize val="0"/>
            </c:dLbl>
            <c:dLbl>
              <c:idx val="5"/>
              <c:layout>
                <c:manualLayout>
                  <c:x val="-1.4739244550952836E-2"/>
                  <c:y val="-1.6566390739619131E-3"/>
                </c:manualLayout>
              </c:layout>
              <c:tx>
                <c:rich>
                  <a:bodyPr/>
                  <a:lstStyle/>
                  <a:p>
                    <a:r>
                      <a:rPr lang="en-US" sz="700"/>
                      <a:t>8973</a:t>
                    </a:r>
                    <a:endParaRPr lang="en-US"/>
                  </a:p>
                </c:rich>
              </c:tx>
              <c:dLblPos val="r"/>
              <c:showLegendKey val="0"/>
              <c:showVal val="1"/>
              <c:showCatName val="0"/>
              <c:showSerName val="0"/>
              <c:showPercent val="0"/>
              <c:showBubbleSize val="0"/>
            </c:dLbl>
            <c:dLbl>
              <c:idx val="6"/>
              <c:layout>
                <c:manualLayout>
                  <c:x val="-0.10637801988306445"/>
                  <c:y val="-4.8369338448078624E-3"/>
                </c:manualLayout>
              </c:layout>
              <c:spPr>
                <a:noFill/>
              </c:spPr>
              <c:txPr>
                <a:bodyPr/>
                <a:lstStyle/>
                <a:p>
                  <a:pPr>
                    <a:defRPr sz="700"/>
                  </a:pPr>
                  <a:endParaRPr lang="es-EC"/>
                </a:p>
              </c:txPr>
              <c:dLblPos val="r"/>
              <c:showLegendKey val="0"/>
              <c:showVal val="1"/>
              <c:showCatName val="0"/>
              <c:showSerName val="0"/>
              <c:showPercent val="0"/>
              <c:showBubbleSize val="0"/>
            </c:dLbl>
            <c:dLbl>
              <c:idx val="7"/>
              <c:layout>
                <c:manualLayout>
                  <c:x val="-6.2190896214699504E-2"/>
                  <c:y val="4.7692576889427428E-2"/>
                </c:manualLayout>
              </c:layout>
              <c:spPr>
                <a:solidFill>
                  <a:schemeClr val="bg1"/>
                </a:solidFill>
              </c:spPr>
              <c:txPr>
                <a:bodyPr/>
                <a:lstStyle/>
                <a:p>
                  <a:pPr>
                    <a:defRPr sz="700"/>
                  </a:pPr>
                  <a:endParaRPr lang="es-EC"/>
                </a:p>
              </c:txPr>
              <c:dLblPos val="r"/>
              <c:showLegendKey val="0"/>
              <c:showVal val="1"/>
              <c:showCatName val="0"/>
              <c:showSerName val="0"/>
              <c:showPercent val="0"/>
              <c:showBubbleSize val="0"/>
            </c:dLbl>
            <c:dLbl>
              <c:idx val="8"/>
              <c:layout>
                <c:manualLayout>
                  <c:x val="-5.3563176725671437E-2"/>
                  <c:y val="-5.635749377481674E-2"/>
                </c:manualLayout>
              </c:layout>
              <c:spPr>
                <a:noFill/>
              </c:spPr>
              <c:txPr>
                <a:bodyPr/>
                <a:lstStyle/>
                <a:p>
                  <a:pPr>
                    <a:defRPr sz="700"/>
                  </a:pPr>
                  <a:endParaRPr lang="es-EC"/>
                </a:p>
              </c:txPr>
              <c:dLblPos val="r"/>
              <c:showLegendKey val="0"/>
              <c:showVal val="1"/>
              <c:showCatName val="0"/>
              <c:showSerName val="0"/>
              <c:showPercent val="0"/>
              <c:showBubbleSize val="0"/>
            </c:dLbl>
            <c:dLbl>
              <c:idx val="9"/>
              <c:layout>
                <c:manualLayout>
                  <c:x val="-4.2198817219458824E-3"/>
                  <c:y val="1.3504542701393127E-2"/>
                </c:manualLayout>
              </c:layout>
              <c:dLblPos val="r"/>
              <c:showLegendKey val="0"/>
              <c:showVal val="1"/>
              <c:showCatName val="0"/>
              <c:showSerName val="0"/>
              <c:showPercent val="0"/>
              <c:showBubbleSize val="0"/>
            </c:dLbl>
            <c:dLbl>
              <c:idx val="10"/>
              <c:layout>
                <c:manualLayout>
                  <c:x val="-6.2190896214699504E-2"/>
                  <c:y val="6.1367790564641075E-2"/>
                </c:manualLayout>
              </c:layout>
              <c:dLblPos val="r"/>
              <c:showLegendKey val="0"/>
              <c:showVal val="1"/>
              <c:showCatName val="0"/>
              <c:showSerName val="0"/>
              <c:showPercent val="0"/>
              <c:showBubbleSize val="0"/>
            </c:dLbl>
            <c:txPr>
              <a:bodyPr/>
              <a:lstStyle/>
              <a:p>
                <a:pPr>
                  <a:defRPr sz="700"/>
                </a:pPr>
                <a:endParaRPr lang="es-EC"/>
              </a:p>
            </c:txPr>
            <c:dLblPos val="t"/>
            <c:showLegendKey val="0"/>
            <c:showVal val="1"/>
            <c:showCatName val="0"/>
            <c:showSerName val="0"/>
            <c:showPercent val="0"/>
            <c:showBubbleSize val="0"/>
            <c:showLeaderLines val="0"/>
          </c:dLbls>
          <c:cat>
            <c:numRef>
              <c:f>Hoja1!$A$53:$A$64</c:f>
              <c:numCache>
                <c:formatCode>General</c:formatCode>
                <c:ptCount val="12"/>
                <c:pt idx="1">
                  <c:v>1995</c:v>
                </c:pt>
                <c:pt idx="2">
                  <c:v>1996</c:v>
                </c:pt>
                <c:pt idx="3">
                  <c:v>1997</c:v>
                </c:pt>
                <c:pt idx="4">
                  <c:v>1998</c:v>
                </c:pt>
                <c:pt idx="5">
                  <c:v>1999</c:v>
                </c:pt>
                <c:pt idx="6">
                  <c:v>2000</c:v>
                </c:pt>
                <c:pt idx="7">
                  <c:v>2001</c:v>
                </c:pt>
                <c:pt idx="8">
                  <c:v>2002</c:v>
                </c:pt>
                <c:pt idx="9">
                  <c:v>2003</c:v>
                </c:pt>
                <c:pt idx="10">
                  <c:v>2004</c:v>
                </c:pt>
              </c:numCache>
            </c:numRef>
          </c:cat>
          <c:val>
            <c:numRef>
              <c:f>Hoja1!$B$53:$B$64</c:f>
              <c:numCache>
                <c:formatCode>General</c:formatCode>
                <c:ptCount val="12"/>
                <c:pt idx="1">
                  <c:v>189</c:v>
                </c:pt>
                <c:pt idx="2">
                  <c:v>225</c:v>
                </c:pt>
                <c:pt idx="3">
                  <c:v>579</c:v>
                </c:pt>
                <c:pt idx="4">
                  <c:v>1954</c:v>
                </c:pt>
                <c:pt idx="5">
                  <c:v>8973</c:v>
                </c:pt>
                <c:pt idx="6">
                  <c:v>91120</c:v>
                </c:pt>
                <c:pt idx="7">
                  <c:v>82571</c:v>
                </c:pt>
                <c:pt idx="8">
                  <c:v>88732</c:v>
                </c:pt>
                <c:pt idx="9">
                  <c:v>72581</c:v>
                </c:pt>
                <c:pt idx="10">
                  <c:v>11936</c:v>
                </c:pt>
              </c:numCache>
            </c:numRef>
          </c:val>
          <c:smooth val="0"/>
        </c:ser>
        <c:dLbls>
          <c:showLegendKey val="0"/>
          <c:showVal val="1"/>
          <c:showCatName val="0"/>
          <c:showSerName val="0"/>
          <c:showPercent val="0"/>
          <c:showBubbleSize val="0"/>
        </c:dLbls>
        <c:marker val="1"/>
        <c:smooth val="0"/>
        <c:axId val="209379328"/>
        <c:axId val="209893632"/>
      </c:lineChart>
      <c:catAx>
        <c:axId val="209379328"/>
        <c:scaling>
          <c:orientation val="minMax"/>
        </c:scaling>
        <c:delete val="0"/>
        <c:axPos val="b"/>
        <c:title>
          <c:tx>
            <c:rich>
              <a:bodyPr/>
              <a:lstStyle/>
              <a:p>
                <a:pPr>
                  <a:defRPr/>
                </a:pPr>
                <a:r>
                  <a:rPr lang="es-EC"/>
                  <a:t>Año</a:t>
                </a:r>
              </a:p>
            </c:rich>
          </c:tx>
          <c:layout>
            <c:manualLayout>
              <c:xMode val="edge"/>
              <c:yMode val="edge"/>
              <c:x val="0.50949717589240906"/>
              <c:y val="0.90424911818149778"/>
            </c:manualLayout>
          </c:layout>
          <c:overlay val="0"/>
        </c:title>
        <c:numFmt formatCode="General" sourceLinked="1"/>
        <c:majorTickMark val="out"/>
        <c:minorTickMark val="none"/>
        <c:tickLblPos val="nextTo"/>
        <c:spPr>
          <a:ln>
            <a:solidFill>
              <a:schemeClr val="tx1"/>
            </a:solidFill>
          </a:ln>
        </c:spPr>
        <c:txPr>
          <a:bodyPr rot="0" vert="horz"/>
          <a:lstStyle/>
          <a:p>
            <a:pPr>
              <a:defRPr sz="700"/>
            </a:pPr>
            <a:endParaRPr lang="es-EC"/>
          </a:p>
        </c:txPr>
        <c:crossAx val="209893632"/>
        <c:crosses val="autoZero"/>
        <c:auto val="1"/>
        <c:lblAlgn val="ctr"/>
        <c:lblOffset val="100"/>
        <c:noMultiLvlLbl val="0"/>
      </c:catAx>
      <c:valAx>
        <c:axId val="209893632"/>
        <c:scaling>
          <c:orientation val="minMax"/>
        </c:scaling>
        <c:delete val="0"/>
        <c:axPos val="l"/>
        <c:majorGridlines>
          <c:spPr>
            <a:ln>
              <a:prstDash val="dash"/>
            </a:ln>
          </c:spPr>
        </c:majorGridlines>
        <c:title>
          <c:tx>
            <c:rich>
              <a:bodyPr rot="-5400000" vert="horz"/>
              <a:lstStyle/>
              <a:p>
                <a:pPr>
                  <a:defRPr/>
                </a:pPr>
                <a:r>
                  <a:rPr lang="es-EC"/>
                  <a:t>Total de Inmigrantes</a:t>
                </a:r>
              </a:p>
            </c:rich>
          </c:tx>
          <c:overlay val="0"/>
        </c:title>
        <c:numFmt formatCode="General" sourceLinked="1"/>
        <c:majorTickMark val="out"/>
        <c:minorTickMark val="none"/>
        <c:tickLblPos val="nextTo"/>
        <c:spPr>
          <a:ln>
            <a:solidFill>
              <a:sysClr val="windowText" lastClr="000000"/>
            </a:solidFill>
          </a:ln>
        </c:spPr>
        <c:txPr>
          <a:bodyPr/>
          <a:lstStyle/>
          <a:p>
            <a:pPr>
              <a:defRPr sz="700"/>
            </a:pPr>
            <a:endParaRPr lang="es-EC"/>
          </a:p>
        </c:txPr>
        <c:crossAx val="209379328"/>
        <c:crosses val="autoZero"/>
        <c:crossBetween val="midCat"/>
        <c:majorUnit val="20000"/>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703097315930327E-2"/>
          <c:y val="3.4218197908906185E-2"/>
          <c:w val="0.87990577580123552"/>
          <c:h val="0.71347817633906874"/>
        </c:manualLayout>
      </c:layout>
      <c:barChart>
        <c:barDir val="col"/>
        <c:grouping val="clustered"/>
        <c:varyColors val="0"/>
        <c:ser>
          <c:idx val="0"/>
          <c:order val="1"/>
          <c:tx>
            <c:v>Índice de Feminidad</c:v>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'Inmigracion(Perfil)'!$A$266:$A$287</c:f>
              <c:strCache>
                <c:ptCount val="22"/>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&gt; 100</c:v>
                </c:pt>
              </c:strCache>
            </c:strRef>
          </c:cat>
          <c:val>
            <c:numRef>
              <c:f>'Inmigracion(Perfil)'!$B$266:$B$287</c:f>
              <c:numCache>
                <c:formatCode>0.00</c:formatCode>
                <c:ptCount val="22"/>
                <c:pt idx="0">
                  <c:v>91.416309012875544</c:v>
                </c:pt>
                <c:pt idx="1">
                  <c:v>95.268890401633769</c:v>
                </c:pt>
                <c:pt idx="2">
                  <c:v>95.26728295819936</c:v>
                </c:pt>
                <c:pt idx="3">
                  <c:v>95.055924785216448</c:v>
                </c:pt>
                <c:pt idx="4">
                  <c:v>100.97119341563788</c:v>
                </c:pt>
                <c:pt idx="5">
                  <c:v>108.58347170775316</c:v>
                </c:pt>
                <c:pt idx="6">
                  <c:v>102.47757368645878</c:v>
                </c:pt>
                <c:pt idx="7">
                  <c:v>100.07049700387734</c:v>
                </c:pt>
                <c:pt idx="8">
                  <c:v>93.80860629415541</c:v>
                </c:pt>
                <c:pt idx="9">
                  <c:v>95.816671793294347</c:v>
                </c:pt>
                <c:pt idx="10">
                  <c:v>92.322706571242662</c:v>
                </c:pt>
                <c:pt idx="11">
                  <c:v>95.901985635825937</c:v>
                </c:pt>
                <c:pt idx="12">
                  <c:v>91.392839627268273</c:v>
                </c:pt>
                <c:pt idx="13">
                  <c:v>85.049097244219197</c:v>
                </c:pt>
                <c:pt idx="14">
                  <c:v>87.563237774030355</c:v>
                </c:pt>
                <c:pt idx="15">
                  <c:v>86.528150134048232</c:v>
                </c:pt>
                <c:pt idx="16">
                  <c:v>99.334073251942314</c:v>
                </c:pt>
                <c:pt idx="17">
                  <c:v>101.87617260787989</c:v>
                </c:pt>
                <c:pt idx="18">
                  <c:v>124.66960352422906</c:v>
                </c:pt>
                <c:pt idx="19">
                  <c:v>116.83168316831686</c:v>
                </c:pt>
                <c:pt idx="20">
                  <c:v>127.58620689655167</c:v>
                </c:pt>
                <c:pt idx="21">
                  <c:v>177.77777777777771</c:v>
                </c:pt>
              </c:numCache>
            </c:numRef>
          </c:val>
        </c:ser>
        <c:dLbls>
          <c:showLegendKey val="0"/>
          <c:showVal val="0"/>
          <c:showCatName val="0"/>
          <c:showSerName val="0"/>
          <c:showPercent val="0"/>
          <c:showBubbleSize val="0"/>
        </c:dLbls>
        <c:gapWidth val="0"/>
        <c:axId val="253841408"/>
        <c:axId val="253843328"/>
      </c:barChart>
      <c:lineChart>
        <c:grouping val="standard"/>
        <c:varyColors val="0"/>
        <c:ser>
          <c:idx val="1"/>
          <c:order val="0"/>
          <c:tx>
            <c:v>100 Hombres</c:v>
          </c:tx>
          <c:spPr>
            <a:ln w="19050">
              <a:solidFill>
                <a:schemeClr val="tx1"/>
              </a:solidFill>
            </a:ln>
          </c:spPr>
          <c:marker>
            <c:symbol val="none"/>
          </c:marker>
          <c:cat>
            <c:strRef>
              <c:f>'Inmigracion(Perfil)'!$A$266:$A$287</c:f>
              <c:strCache>
                <c:ptCount val="22"/>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&gt; 100</c:v>
                </c:pt>
              </c:strCache>
            </c:strRef>
          </c:cat>
          <c:val>
            <c:numRef>
              <c:f>'Inmigracion(Perfil)'!$C$266:$C$287</c:f>
              <c:numCache>
                <c:formatCode>General</c:formatCode>
                <c:ptCount val="22"/>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numCache>
            </c:numRef>
          </c:val>
          <c:smooth val="0"/>
        </c:ser>
        <c:dLbls>
          <c:showLegendKey val="0"/>
          <c:showVal val="0"/>
          <c:showCatName val="0"/>
          <c:showSerName val="0"/>
          <c:showPercent val="0"/>
          <c:showBubbleSize val="0"/>
        </c:dLbls>
        <c:marker val="1"/>
        <c:smooth val="0"/>
        <c:axId val="253841408"/>
        <c:axId val="253843328"/>
      </c:lineChart>
      <c:catAx>
        <c:axId val="253841408"/>
        <c:scaling>
          <c:orientation val="minMax"/>
        </c:scaling>
        <c:delete val="0"/>
        <c:axPos val="b"/>
        <c:title>
          <c:tx>
            <c:rich>
              <a:bodyPr/>
              <a:lstStyle/>
              <a:p>
                <a:pPr>
                  <a:defRPr/>
                </a:pPr>
                <a:r>
                  <a:rPr lang="es-EC"/>
                  <a:t>Grupos Etarios</a:t>
                </a:r>
              </a:p>
            </c:rich>
          </c:tx>
          <c:overlay val="0"/>
        </c:title>
        <c:majorTickMark val="out"/>
        <c:minorTickMark val="none"/>
        <c:tickLblPos val="nextTo"/>
        <c:spPr>
          <a:ln>
            <a:solidFill>
              <a:schemeClr val="tx1"/>
            </a:solidFill>
          </a:ln>
        </c:spPr>
        <c:txPr>
          <a:bodyPr rot="-5400000" vert="horz"/>
          <a:lstStyle/>
          <a:p>
            <a:pPr>
              <a:defRPr sz="700"/>
            </a:pPr>
            <a:endParaRPr lang="es-EC"/>
          </a:p>
        </c:txPr>
        <c:crossAx val="253843328"/>
        <c:crosses val="autoZero"/>
        <c:auto val="1"/>
        <c:lblAlgn val="ctr"/>
        <c:lblOffset val="100"/>
        <c:noMultiLvlLbl val="0"/>
      </c:catAx>
      <c:valAx>
        <c:axId val="253843328"/>
        <c:scaling>
          <c:orientation val="minMax"/>
        </c:scaling>
        <c:delete val="0"/>
        <c:axPos val="l"/>
        <c:title>
          <c:tx>
            <c:rich>
              <a:bodyPr rot="-5400000" vert="horz"/>
              <a:lstStyle/>
              <a:p>
                <a:pPr>
                  <a:defRPr/>
                </a:pPr>
                <a:r>
                  <a:rPr lang="es-EC"/>
                  <a:t>Índice de Feminidad</a:t>
                </a:r>
              </a:p>
            </c:rich>
          </c:tx>
          <c:overlay val="0"/>
        </c:title>
        <c:numFmt formatCode="0" sourceLinked="0"/>
        <c:majorTickMark val="out"/>
        <c:minorTickMark val="none"/>
        <c:tickLblPos val="nextTo"/>
        <c:spPr>
          <a:ln>
            <a:solidFill>
              <a:schemeClr val="tx1"/>
            </a:solidFill>
          </a:ln>
        </c:spPr>
        <c:crossAx val="253841408"/>
        <c:crosses val="autoZero"/>
        <c:crossBetween val="between"/>
      </c:valAx>
      <c:spPr>
        <a:noFill/>
        <a:ln>
          <a:solidFill>
            <a:schemeClr val="tx1"/>
          </a:solidFill>
        </a:ln>
      </c:spPr>
    </c:plotArea>
    <c:legend>
      <c:legendPos val="r"/>
      <c:layout>
        <c:manualLayout>
          <c:xMode val="edge"/>
          <c:yMode val="edge"/>
          <c:x val="0.26258720561283816"/>
          <c:y val="3.7572078299372882E-2"/>
          <c:w val="0.5690193271295636"/>
          <c:h val="7.0212160979877508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254740518962144E-2"/>
          <c:y val="4.6487049845963822E-2"/>
          <c:w val="0.88510208749168329"/>
          <c:h val="0.68990153078775351"/>
        </c:manualLayout>
      </c:layout>
      <c:lineChart>
        <c:grouping val="standard"/>
        <c:varyColors val="0"/>
        <c:ser>
          <c:idx val="0"/>
          <c:order val="0"/>
          <c:tx>
            <c:strRef>
              <c:f>'Inmigracion(Perfil)'!$B$522</c:f>
              <c:strCache>
                <c:ptCount val="1"/>
                <c:pt idx="0">
                  <c:v>Colombianos</c:v>
                </c:pt>
              </c:strCache>
            </c:strRef>
          </c:tx>
          <c:spPr>
            <a:ln w="15875">
              <a:solidFill>
                <a:srgbClr val="00B0F0"/>
              </a:solidFill>
            </a:ln>
          </c:spPr>
          <c:marker>
            <c:symbol val="none"/>
          </c:marker>
          <c:cat>
            <c:strRef>
              <c:f>'Inmigracion(Perfil)'!$A$523:$A$542</c:f>
              <c:strCache>
                <c:ptCount val="20"/>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strCache>
            </c:strRef>
          </c:cat>
          <c:val>
            <c:numRef>
              <c:f>'Inmigracion(Perfil)'!$B$523:$B$542</c:f>
              <c:numCache>
                <c:formatCode>0.00</c:formatCode>
                <c:ptCount val="20"/>
                <c:pt idx="0">
                  <c:v>71.698113207547166</c:v>
                </c:pt>
                <c:pt idx="1">
                  <c:v>99.395770392749199</c:v>
                </c:pt>
                <c:pt idx="2">
                  <c:v>96.952458350264067</c:v>
                </c:pt>
                <c:pt idx="3">
                  <c:v>96.211139896373084</c:v>
                </c:pt>
                <c:pt idx="4">
                  <c:v>104.63101284732595</c:v>
                </c:pt>
                <c:pt idx="5">
                  <c:v>118.46812799193756</c:v>
                </c:pt>
                <c:pt idx="6">
                  <c:v>119.36170212765951</c:v>
                </c:pt>
                <c:pt idx="7">
                  <c:v>121.42515542802488</c:v>
                </c:pt>
                <c:pt idx="8">
                  <c:v>116.05761536409712</c:v>
                </c:pt>
                <c:pt idx="9">
                  <c:v>116.48517846339988</c:v>
                </c:pt>
                <c:pt idx="10">
                  <c:v>114.17910447761192</c:v>
                </c:pt>
                <c:pt idx="11">
                  <c:v>112.85996055226821</c:v>
                </c:pt>
                <c:pt idx="12">
                  <c:v>112.3320537428023</c:v>
                </c:pt>
                <c:pt idx="13">
                  <c:v>101.79142674344213</c:v>
                </c:pt>
                <c:pt idx="14">
                  <c:v>112.71262309758282</c:v>
                </c:pt>
                <c:pt idx="15">
                  <c:v>102.69541778975741</c:v>
                </c:pt>
                <c:pt idx="16">
                  <c:v>119.15789473684211</c:v>
                </c:pt>
                <c:pt idx="17">
                  <c:v>106.52920962199318</c:v>
                </c:pt>
                <c:pt idx="18">
                  <c:v>133.0645161290322</c:v>
                </c:pt>
                <c:pt idx="19">
                  <c:v>108.19672131147539</c:v>
                </c:pt>
              </c:numCache>
            </c:numRef>
          </c:val>
          <c:smooth val="0"/>
        </c:ser>
        <c:ser>
          <c:idx val="1"/>
          <c:order val="1"/>
          <c:tx>
            <c:strRef>
              <c:f>'Inmigracion(Perfil)'!$C$522</c:f>
              <c:strCache>
                <c:ptCount val="1"/>
                <c:pt idx="0">
                  <c:v>Peruanos</c:v>
                </c:pt>
              </c:strCache>
            </c:strRef>
          </c:tx>
          <c:spPr>
            <a:ln w="15875">
              <a:solidFill>
                <a:schemeClr val="accent6"/>
              </a:solidFill>
            </a:ln>
          </c:spPr>
          <c:marker>
            <c:symbol val="none"/>
          </c:marker>
          <c:cat>
            <c:strRef>
              <c:f>'Inmigracion(Perfil)'!$A$523:$A$542</c:f>
              <c:strCache>
                <c:ptCount val="20"/>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strCache>
            </c:strRef>
          </c:cat>
          <c:val>
            <c:numRef>
              <c:f>'Inmigracion(Perfil)'!$C$523:$C$542</c:f>
              <c:numCache>
                <c:formatCode>0,000</c:formatCode>
                <c:ptCount val="20"/>
                <c:pt idx="0">
                  <c:v>47.916666666666629</c:v>
                </c:pt>
                <c:pt idx="1">
                  <c:v>91.093117408906892</c:v>
                </c:pt>
                <c:pt idx="2">
                  <c:v>107.59075907590761</c:v>
                </c:pt>
                <c:pt idx="3">
                  <c:v>99.684542586750737</c:v>
                </c:pt>
                <c:pt idx="4">
                  <c:v>83.111111111111114</c:v>
                </c:pt>
                <c:pt idx="5">
                  <c:v>86.904761904761912</c:v>
                </c:pt>
                <c:pt idx="6">
                  <c:v>70.603674540682391</c:v>
                </c:pt>
                <c:pt idx="7">
                  <c:v>70.757180156657924</c:v>
                </c:pt>
                <c:pt idx="8">
                  <c:v>69.400630914826479</c:v>
                </c:pt>
                <c:pt idx="9">
                  <c:v>67.128987517336995</c:v>
                </c:pt>
                <c:pt idx="10">
                  <c:v>66.412213740458043</c:v>
                </c:pt>
                <c:pt idx="11">
                  <c:v>64.851485148514826</c:v>
                </c:pt>
                <c:pt idx="12">
                  <c:v>67.114093959731562</c:v>
                </c:pt>
                <c:pt idx="13">
                  <c:v>63.243243243243228</c:v>
                </c:pt>
                <c:pt idx="14">
                  <c:v>60.909090909090914</c:v>
                </c:pt>
                <c:pt idx="15">
                  <c:v>67.605633802816854</c:v>
                </c:pt>
                <c:pt idx="16">
                  <c:v>72.727272727272734</c:v>
                </c:pt>
                <c:pt idx="17">
                  <c:v>60</c:v>
                </c:pt>
                <c:pt idx="18">
                  <c:v>111.11111111111111</c:v>
                </c:pt>
                <c:pt idx="19">
                  <c:v>250</c:v>
                </c:pt>
              </c:numCache>
            </c:numRef>
          </c:val>
          <c:smooth val="0"/>
        </c:ser>
        <c:ser>
          <c:idx val="2"/>
          <c:order val="2"/>
          <c:tx>
            <c:strRef>
              <c:f>'Inmigracion(Perfil)'!$D$522</c:f>
              <c:strCache>
                <c:ptCount val="1"/>
                <c:pt idx="0">
                  <c:v>Estadounidenses</c:v>
                </c:pt>
              </c:strCache>
            </c:strRef>
          </c:tx>
          <c:spPr>
            <a:ln w="15875">
              <a:solidFill>
                <a:srgbClr val="C00000"/>
              </a:solidFill>
            </a:ln>
          </c:spPr>
          <c:marker>
            <c:symbol val="none"/>
          </c:marker>
          <c:cat>
            <c:strRef>
              <c:f>'Inmigracion(Perfil)'!$A$523:$A$542</c:f>
              <c:strCache>
                <c:ptCount val="20"/>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strCache>
            </c:strRef>
          </c:cat>
          <c:val>
            <c:numRef>
              <c:f>'Inmigracion(Perfil)'!$D$523:$D$542</c:f>
              <c:numCache>
                <c:formatCode>0.00</c:formatCode>
                <c:ptCount val="20"/>
                <c:pt idx="0">
                  <c:v>101.6</c:v>
                </c:pt>
                <c:pt idx="1">
                  <c:v>96</c:v>
                </c:pt>
                <c:pt idx="2">
                  <c:v>96.729222520107271</c:v>
                </c:pt>
                <c:pt idx="3">
                  <c:v>91.037735849056588</c:v>
                </c:pt>
                <c:pt idx="4">
                  <c:v>96.382054992764068</c:v>
                </c:pt>
                <c:pt idx="5">
                  <c:v>127.98434442270059</c:v>
                </c:pt>
                <c:pt idx="6">
                  <c:v>118.82716049382718</c:v>
                </c:pt>
                <c:pt idx="7">
                  <c:v>88.275862068965509</c:v>
                </c:pt>
                <c:pt idx="8">
                  <c:v>92.096219931271506</c:v>
                </c:pt>
                <c:pt idx="9">
                  <c:v>103.55555555555553</c:v>
                </c:pt>
                <c:pt idx="10">
                  <c:v>90.610328638497649</c:v>
                </c:pt>
                <c:pt idx="11">
                  <c:v>97.660818713450226</c:v>
                </c:pt>
                <c:pt idx="12">
                  <c:v>69.148936170212778</c:v>
                </c:pt>
                <c:pt idx="13">
                  <c:v>71.122994652406376</c:v>
                </c:pt>
                <c:pt idx="14">
                  <c:v>66.666666666666657</c:v>
                </c:pt>
                <c:pt idx="15">
                  <c:v>70.129870129870085</c:v>
                </c:pt>
                <c:pt idx="16">
                  <c:v>41.304347826086946</c:v>
                </c:pt>
                <c:pt idx="17">
                  <c:v>40.625000000000014</c:v>
                </c:pt>
                <c:pt idx="18">
                  <c:v>72.727272727272734</c:v>
                </c:pt>
                <c:pt idx="19">
                  <c:v>75</c:v>
                </c:pt>
              </c:numCache>
            </c:numRef>
          </c:val>
          <c:smooth val="0"/>
        </c:ser>
        <c:ser>
          <c:idx val="3"/>
          <c:order val="3"/>
          <c:tx>
            <c:strRef>
              <c:f>'Inmigracion(Perfil)'!$E$522</c:f>
              <c:strCache>
                <c:ptCount val="1"/>
                <c:pt idx="0">
                  <c:v>Españoles</c:v>
                </c:pt>
              </c:strCache>
            </c:strRef>
          </c:tx>
          <c:spPr>
            <a:ln w="15875">
              <a:solidFill>
                <a:srgbClr val="D735B4"/>
              </a:solidFill>
            </a:ln>
          </c:spPr>
          <c:marker>
            <c:symbol val="none"/>
          </c:marker>
          <c:cat>
            <c:strRef>
              <c:f>'Inmigracion(Perfil)'!$A$523:$A$542</c:f>
              <c:strCache>
                <c:ptCount val="20"/>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strCache>
            </c:strRef>
          </c:cat>
          <c:val>
            <c:numRef>
              <c:f>'Inmigracion(Perfil)'!$E$523:$E$542</c:f>
              <c:numCache>
                <c:formatCode>0.00</c:formatCode>
                <c:ptCount val="20"/>
                <c:pt idx="0">
                  <c:v>112.26415094339627</c:v>
                </c:pt>
                <c:pt idx="1">
                  <c:v>93.743937924345332</c:v>
                </c:pt>
                <c:pt idx="2">
                  <c:v>92.793857058476078</c:v>
                </c:pt>
                <c:pt idx="3">
                  <c:v>97.196261682243019</c:v>
                </c:pt>
                <c:pt idx="4">
                  <c:v>117.85714285714285</c:v>
                </c:pt>
                <c:pt idx="5">
                  <c:v>118.64406779661016</c:v>
                </c:pt>
                <c:pt idx="6">
                  <c:v>146.93877551020415</c:v>
                </c:pt>
                <c:pt idx="7">
                  <c:v>103.1007751937984</c:v>
                </c:pt>
                <c:pt idx="8">
                  <c:v>66.666666666666657</c:v>
                </c:pt>
                <c:pt idx="9">
                  <c:v>50.354609929077995</c:v>
                </c:pt>
                <c:pt idx="10">
                  <c:v>54.621848739495803</c:v>
                </c:pt>
                <c:pt idx="11">
                  <c:v>60.526315789473699</c:v>
                </c:pt>
                <c:pt idx="12">
                  <c:v>63.793103448275893</c:v>
                </c:pt>
                <c:pt idx="13">
                  <c:v>45.967741935483872</c:v>
                </c:pt>
                <c:pt idx="14">
                  <c:v>29.36507936507936</c:v>
                </c:pt>
                <c:pt idx="15">
                  <c:v>51.190476190476204</c:v>
                </c:pt>
                <c:pt idx="16">
                  <c:v>129.26829268292684</c:v>
                </c:pt>
                <c:pt idx="17">
                  <c:v>88.888888888888829</c:v>
                </c:pt>
                <c:pt idx="18">
                  <c:v>69.230769230769212</c:v>
                </c:pt>
                <c:pt idx="19">
                  <c:v>500</c:v>
                </c:pt>
              </c:numCache>
            </c:numRef>
          </c:val>
          <c:smooth val="0"/>
        </c:ser>
        <c:ser>
          <c:idx val="4"/>
          <c:order val="4"/>
          <c:tx>
            <c:v>100 Hombres</c:v>
          </c:tx>
          <c:spPr>
            <a:ln w="15875">
              <a:solidFill>
                <a:schemeClr val="tx1"/>
              </a:solidFill>
              <a:prstDash val="sysDash"/>
            </a:ln>
          </c:spPr>
          <c:marker>
            <c:symbol val="none"/>
          </c:marker>
          <c:cat>
            <c:strRef>
              <c:f>'Inmigracion(Perfil)'!$A$523:$A$542</c:f>
              <c:strCache>
                <c:ptCount val="20"/>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strCache>
            </c:strRef>
          </c:cat>
          <c:val>
            <c:numRef>
              <c:f>'Inmigracion(Perfil)'!$F$523:$F$542</c:f>
              <c:numCache>
                <c:formatCode>General</c:formatCode>
                <c:ptCount val="2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smooth val="0"/>
        </c:ser>
        <c:dLbls>
          <c:showLegendKey val="0"/>
          <c:showVal val="0"/>
          <c:showCatName val="0"/>
          <c:showSerName val="0"/>
          <c:showPercent val="0"/>
          <c:showBubbleSize val="0"/>
        </c:dLbls>
        <c:marker val="1"/>
        <c:smooth val="0"/>
        <c:axId val="254697856"/>
        <c:axId val="254699776"/>
      </c:lineChart>
      <c:catAx>
        <c:axId val="254697856"/>
        <c:scaling>
          <c:orientation val="minMax"/>
        </c:scaling>
        <c:delete val="0"/>
        <c:axPos val="b"/>
        <c:title>
          <c:tx>
            <c:rich>
              <a:bodyPr/>
              <a:lstStyle/>
              <a:p>
                <a:pPr>
                  <a:defRPr/>
                </a:pPr>
                <a:r>
                  <a:rPr lang="es-EC" sz="800"/>
                  <a:t>Grupos Etarios</a:t>
                </a:r>
              </a:p>
            </c:rich>
          </c:tx>
          <c:overlay val="0"/>
        </c:title>
        <c:majorTickMark val="out"/>
        <c:minorTickMark val="none"/>
        <c:tickLblPos val="nextTo"/>
        <c:spPr>
          <a:ln>
            <a:solidFill>
              <a:schemeClr val="tx1"/>
            </a:solidFill>
          </a:ln>
        </c:spPr>
        <c:txPr>
          <a:bodyPr rot="-5400000" vert="horz"/>
          <a:lstStyle/>
          <a:p>
            <a:pPr>
              <a:defRPr sz="700"/>
            </a:pPr>
            <a:endParaRPr lang="es-EC"/>
          </a:p>
        </c:txPr>
        <c:crossAx val="254699776"/>
        <c:crosses val="autoZero"/>
        <c:auto val="1"/>
        <c:lblAlgn val="ctr"/>
        <c:lblOffset val="100"/>
        <c:noMultiLvlLbl val="0"/>
      </c:catAx>
      <c:valAx>
        <c:axId val="254699776"/>
        <c:scaling>
          <c:orientation val="minMax"/>
        </c:scaling>
        <c:delete val="0"/>
        <c:axPos val="l"/>
        <c:majorGridlines>
          <c:spPr>
            <a:ln>
              <a:prstDash val="dash"/>
            </a:ln>
          </c:spPr>
        </c:majorGridlines>
        <c:title>
          <c:tx>
            <c:rich>
              <a:bodyPr rot="-5400000" vert="horz"/>
              <a:lstStyle/>
              <a:p>
                <a:pPr>
                  <a:defRPr sz="800"/>
                </a:pPr>
                <a:r>
                  <a:rPr lang="es-EC" sz="800"/>
                  <a:t>Índice de Feminidad</a:t>
                </a:r>
              </a:p>
            </c:rich>
          </c:tx>
          <c:overlay val="0"/>
        </c:title>
        <c:numFmt formatCode="General" sourceLinked="0"/>
        <c:majorTickMark val="out"/>
        <c:minorTickMark val="none"/>
        <c:tickLblPos val="nextTo"/>
        <c:spPr>
          <a:ln>
            <a:solidFill>
              <a:schemeClr val="tx1"/>
            </a:solidFill>
          </a:ln>
        </c:spPr>
        <c:txPr>
          <a:bodyPr/>
          <a:lstStyle/>
          <a:p>
            <a:pPr>
              <a:defRPr sz="800"/>
            </a:pPr>
            <a:endParaRPr lang="es-EC"/>
          </a:p>
        </c:txPr>
        <c:crossAx val="254697856"/>
        <c:crosses val="autoZero"/>
        <c:crossBetween val="between"/>
      </c:valAx>
      <c:spPr>
        <a:noFill/>
        <a:ln>
          <a:solidFill>
            <a:schemeClr val="tx1"/>
          </a:solidFill>
        </a:ln>
      </c:spPr>
    </c:plotArea>
    <c:legend>
      <c:legendPos val="r"/>
      <c:layout>
        <c:manualLayout>
          <c:xMode val="edge"/>
          <c:yMode val="edge"/>
          <c:x val="0.10578488855622094"/>
          <c:y val="2.7210397658942797E-2"/>
          <c:w val="0.86903152029274788"/>
          <c:h val="9.1907592929176676E-2"/>
        </c:manualLayout>
      </c:layout>
      <c:overlay val="0"/>
      <c:txPr>
        <a:bodyPr/>
        <a:lstStyle/>
        <a:p>
          <a:pPr>
            <a:defRPr sz="500"/>
          </a:pPr>
          <a:endParaRPr lang="es-EC"/>
        </a:p>
      </c:txPr>
    </c:legend>
    <c:plotVisOnly val="1"/>
    <c:dispBlanksAs val="gap"/>
    <c:showDLblsOverMax val="0"/>
  </c:chart>
  <c:spPr>
    <a:noFill/>
    <a:ln>
      <a:noFill/>
    </a:ln>
  </c:spPr>
  <c:txPr>
    <a:bodyPr/>
    <a:lstStyle/>
    <a:p>
      <a:pPr>
        <a:defRPr sz="900">
          <a:latin typeface="Arial" pitchFamily="34" charset="0"/>
          <a:cs typeface="Arial" pitchFamily="34" charset="0"/>
        </a:defRPr>
      </a:pPr>
      <a:endParaRPr lang="es-EC"/>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spPr>
            <a:ln w="19050">
              <a:solidFill>
                <a:srgbClr val="0070C0"/>
              </a:solidFill>
            </a:ln>
          </c:spPr>
          <c:marker>
            <c:symbol val="none"/>
          </c:marker>
          <c:cat>
            <c:strRef>
              <c:f>'Inmigracion(Perfil)'!$F$407:$F$424</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'Inmigracion(Perfil)'!$G$407:$G$424</c:f>
              <c:numCache>
                <c:formatCode>0.00</c:formatCode>
                <c:ptCount val="18"/>
                <c:pt idx="0">
                  <c:v>984.03292181069946</c:v>
                </c:pt>
                <c:pt idx="1">
                  <c:v>984.67237195044152</c:v>
                </c:pt>
                <c:pt idx="2">
                  <c:v>982.058949167023</c:v>
                </c:pt>
                <c:pt idx="3">
                  <c:v>982.37574903066707</c:v>
                </c:pt>
                <c:pt idx="4">
                  <c:v>977.39242132305719</c:v>
                </c:pt>
                <c:pt idx="5">
                  <c:v>971.39341741002772</c:v>
                </c:pt>
                <c:pt idx="6">
                  <c:v>961.61353285621351</c:v>
                </c:pt>
                <c:pt idx="7">
                  <c:v>948.24672581326547</c:v>
                </c:pt>
                <c:pt idx="8">
                  <c:v>943.3545855811675</c:v>
                </c:pt>
                <c:pt idx="9">
                  <c:v>929.04656319290291</c:v>
                </c:pt>
                <c:pt idx="10">
                  <c:v>906.82967959527798</c:v>
                </c:pt>
                <c:pt idx="11">
                  <c:v>876.67560321715905</c:v>
                </c:pt>
                <c:pt idx="12">
                  <c:v>837.95782463928947</c:v>
                </c:pt>
                <c:pt idx="13">
                  <c:v>814.25891181988754</c:v>
                </c:pt>
                <c:pt idx="14">
                  <c:v>814.97797356828323</c:v>
                </c:pt>
                <c:pt idx="15">
                  <c:v>801.98019801980251</c:v>
                </c:pt>
                <c:pt idx="16">
                  <c:v>793.10344827586323</c:v>
                </c:pt>
                <c:pt idx="17">
                  <c:v>555.55555555555543</c:v>
                </c:pt>
              </c:numCache>
            </c:numRef>
          </c:val>
          <c:smooth val="1"/>
        </c:ser>
        <c:ser>
          <c:idx val="1"/>
          <c:order val="1"/>
          <c:spPr>
            <a:ln w="19050">
              <a:solidFill>
                <a:schemeClr val="accent6">
                  <a:lumMod val="75000"/>
                </a:schemeClr>
              </a:solidFill>
            </a:ln>
          </c:spPr>
          <c:marker>
            <c:symbol val="none"/>
          </c:marker>
          <c:cat>
            <c:strRef>
              <c:f>'Inmigracion(Perfil)'!$F$407:$F$424</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'Inmigracion(Perfil)'!$H$407:$H$424</c:f>
              <c:numCache>
                <c:formatCode>0.00</c:formatCode>
                <c:ptCount val="18"/>
                <c:pt idx="0">
                  <c:v>15.967078189300411</c:v>
                </c:pt>
                <c:pt idx="1">
                  <c:v>15.32762804955933</c:v>
                </c:pt>
                <c:pt idx="2">
                  <c:v>17.941050832977318</c:v>
                </c:pt>
                <c:pt idx="3">
                  <c:v>17.624250969333801</c:v>
                </c:pt>
                <c:pt idx="4">
                  <c:v>22.60757867694284</c:v>
                </c:pt>
                <c:pt idx="5">
                  <c:v>28.606582589972284</c:v>
                </c:pt>
                <c:pt idx="6">
                  <c:v>38.38646714378649</c:v>
                </c:pt>
                <c:pt idx="7">
                  <c:v>51.753274186734245</c:v>
                </c:pt>
                <c:pt idx="8">
                  <c:v>56.645414418832758</c:v>
                </c:pt>
                <c:pt idx="9">
                  <c:v>70.953436807095258</c:v>
                </c:pt>
                <c:pt idx="10">
                  <c:v>93.170320404721608</c:v>
                </c:pt>
                <c:pt idx="11">
                  <c:v>123.32439678284175</c:v>
                </c:pt>
                <c:pt idx="12">
                  <c:v>162.04217536071033</c:v>
                </c:pt>
                <c:pt idx="13">
                  <c:v>185.7410881801124</c:v>
                </c:pt>
                <c:pt idx="14">
                  <c:v>185.02202643171807</c:v>
                </c:pt>
                <c:pt idx="15">
                  <c:v>198.01980198019785</c:v>
                </c:pt>
                <c:pt idx="16">
                  <c:v>206.89655172413759</c:v>
                </c:pt>
                <c:pt idx="17">
                  <c:v>444.4444444444444</c:v>
                </c:pt>
              </c:numCache>
            </c:numRef>
          </c:val>
          <c:smooth val="1"/>
        </c:ser>
        <c:dLbls>
          <c:showLegendKey val="0"/>
          <c:showVal val="0"/>
          <c:showCatName val="0"/>
          <c:showSerName val="0"/>
          <c:showPercent val="0"/>
          <c:showBubbleSize val="0"/>
        </c:dLbls>
        <c:marker val="1"/>
        <c:smooth val="0"/>
        <c:axId val="254716928"/>
        <c:axId val="254719104"/>
      </c:lineChart>
      <c:catAx>
        <c:axId val="254716928"/>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54719104"/>
        <c:crosses val="autoZero"/>
        <c:auto val="1"/>
        <c:lblAlgn val="l"/>
        <c:lblOffset val="100"/>
        <c:noMultiLvlLbl val="0"/>
      </c:catAx>
      <c:valAx>
        <c:axId val="254719104"/>
        <c:scaling>
          <c:orientation val="minMax"/>
          <c:max val="1000"/>
          <c:min val="0"/>
        </c:scaling>
        <c:delete val="0"/>
        <c:axPos val="l"/>
        <c:title>
          <c:tx>
            <c:rich>
              <a:bodyPr rot="-5400000" vert="horz"/>
              <a:lstStyle/>
              <a:p>
                <a:pPr>
                  <a:defRPr sz="700"/>
                </a:pPr>
                <a:r>
                  <a:rPr lang="es-EC" sz="700"/>
                  <a:t>Tasa por</a:t>
                </a:r>
                <a:r>
                  <a:rPr lang="es-EC" sz="700" baseline="0"/>
                  <a:t> cada 1000 Inmigrantes</a:t>
                </a:r>
                <a:endParaRPr lang="es-EC" sz="700"/>
              </a:p>
            </c:rich>
          </c:tx>
          <c:layout>
            <c:manualLayout>
              <c:xMode val="edge"/>
              <c:yMode val="edge"/>
              <c:x val="0"/>
              <c:y val="6.59123690619753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54716928"/>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3894609327679"/>
          <c:y val="7.7924323600695011E-2"/>
          <c:w val="0.85671547843849982"/>
          <c:h val="0.66228878252639312"/>
        </c:manualLayout>
      </c:layout>
      <c:lineChart>
        <c:grouping val="standard"/>
        <c:varyColors val="0"/>
        <c:ser>
          <c:idx val="0"/>
          <c:order val="0"/>
          <c:spPr>
            <a:ln w="19050">
              <a:solidFill>
                <a:srgbClr val="0070C0"/>
              </a:solidFill>
            </a:ln>
          </c:spPr>
          <c:marker>
            <c:symbol val="none"/>
          </c:marker>
          <c:cat>
            <c:strRef>
              <c:f>'Inmigracion(Perfil)'!$F$407:$F$424</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'Inmigracion(Perfil)'!$I$407:$I$424</c:f>
              <c:numCache>
                <c:formatCode>0.00</c:formatCode>
                <c:ptCount val="18"/>
                <c:pt idx="0">
                  <c:v>987.77306814476685</c:v>
                </c:pt>
                <c:pt idx="1">
                  <c:v>985.76638042583215</c:v>
                </c:pt>
                <c:pt idx="2">
                  <c:v>984.6811171321383</c:v>
                </c:pt>
                <c:pt idx="3">
                  <c:v>979.33544675355176</c:v>
                </c:pt>
                <c:pt idx="4">
                  <c:v>973.84636450773644</c:v>
                </c:pt>
                <c:pt idx="5">
                  <c:v>960.19261637239163</c:v>
                </c:pt>
                <c:pt idx="6">
                  <c:v>952.43128964059201</c:v>
                </c:pt>
                <c:pt idx="7">
                  <c:v>937.88546255506651</c:v>
                </c:pt>
                <c:pt idx="8">
                  <c:v>907.16393882479213</c:v>
                </c:pt>
                <c:pt idx="9">
                  <c:v>881.56424581005547</c:v>
                </c:pt>
                <c:pt idx="10">
                  <c:v>830.04333172845452</c:v>
                </c:pt>
                <c:pt idx="11">
                  <c:v>812.5484120836561</c:v>
                </c:pt>
                <c:pt idx="12">
                  <c:v>764.24581005586595</c:v>
                </c:pt>
                <c:pt idx="13">
                  <c:v>744.0147329650099</c:v>
                </c:pt>
                <c:pt idx="14">
                  <c:v>749.11660777385157</c:v>
                </c:pt>
                <c:pt idx="15">
                  <c:v>661.01694915254234</c:v>
                </c:pt>
                <c:pt idx="16">
                  <c:v>675.67567567567664</c:v>
                </c:pt>
                <c:pt idx="17">
                  <c:v>687.5</c:v>
                </c:pt>
              </c:numCache>
            </c:numRef>
          </c:val>
          <c:smooth val="1"/>
        </c:ser>
        <c:ser>
          <c:idx val="1"/>
          <c:order val="1"/>
          <c:spPr>
            <a:ln w="19050">
              <a:solidFill>
                <a:schemeClr val="accent6">
                  <a:lumMod val="75000"/>
                </a:schemeClr>
              </a:solidFill>
            </a:ln>
          </c:spPr>
          <c:marker>
            <c:symbol val="none"/>
          </c:marker>
          <c:cat>
            <c:strRef>
              <c:f>'Inmigracion(Perfil)'!$F$407:$F$424</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'Inmigracion(Perfil)'!$J$407:$J$424</c:f>
              <c:numCache>
                <c:formatCode>0.00</c:formatCode>
                <c:ptCount val="18"/>
                <c:pt idx="0">
                  <c:v>12.226931855233119</c:v>
                </c:pt>
                <c:pt idx="1">
                  <c:v>14.233619574167752</c:v>
                </c:pt>
                <c:pt idx="2">
                  <c:v>15.318882867861623</c:v>
                </c:pt>
                <c:pt idx="3">
                  <c:v>20.664553246448293</c:v>
                </c:pt>
                <c:pt idx="4">
                  <c:v>26.153635492263454</c:v>
                </c:pt>
                <c:pt idx="5">
                  <c:v>39.807383627608274</c:v>
                </c:pt>
                <c:pt idx="6">
                  <c:v>47.56871035940808</c:v>
                </c:pt>
                <c:pt idx="7">
                  <c:v>62.114537444933923</c:v>
                </c:pt>
                <c:pt idx="8">
                  <c:v>92.836061175207945</c:v>
                </c:pt>
                <c:pt idx="9">
                  <c:v>118.43575418994413</c:v>
                </c:pt>
                <c:pt idx="10">
                  <c:v>169.95666827154531</c:v>
                </c:pt>
                <c:pt idx="11">
                  <c:v>187.45158791634401</c:v>
                </c:pt>
                <c:pt idx="12">
                  <c:v>235.75418994413408</c:v>
                </c:pt>
                <c:pt idx="13">
                  <c:v>255.98526703499081</c:v>
                </c:pt>
                <c:pt idx="14">
                  <c:v>250.88339222614812</c:v>
                </c:pt>
                <c:pt idx="15">
                  <c:v>338.98305084745721</c:v>
                </c:pt>
                <c:pt idx="16">
                  <c:v>324.32432432432432</c:v>
                </c:pt>
                <c:pt idx="17">
                  <c:v>312.5</c:v>
                </c:pt>
              </c:numCache>
            </c:numRef>
          </c:val>
          <c:smooth val="1"/>
        </c:ser>
        <c:dLbls>
          <c:showLegendKey val="0"/>
          <c:showVal val="0"/>
          <c:showCatName val="0"/>
          <c:showSerName val="0"/>
          <c:showPercent val="0"/>
          <c:showBubbleSize val="0"/>
        </c:dLbls>
        <c:marker val="1"/>
        <c:smooth val="0"/>
        <c:axId val="255014400"/>
        <c:axId val="255016320"/>
      </c:lineChart>
      <c:catAx>
        <c:axId val="255014400"/>
        <c:scaling>
          <c:orientation val="minMax"/>
        </c:scaling>
        <c:delete val="0"/>
        <c:axPos val="b"/>
        <c:title>
          <c:tx>
            <c:rich>
              <a:bodyPr/>
              <a:lstStyle/>
              <a:p>
                <a:pPr>
                  <a:defRPr sz="800"/>
                </a:pPr>
                <a:r>
                  <a:rPr lang="es-EC" sz="800"/>
                  <a:t>Grupos</a:t>
                </a:r>
                <a:r>
                  <a:rPr lang="es-EC" sz="800" baseline="0"/>
                  <a:t> Etarios</a:t>
                </a:r>
                <a:endParaRPr lang="es-EC" sz="800"/>
              </a:p>
            </c:rich>
          </c:tx>
          <c:overlay val="0"/>
        </c:title>
        <c:numFmt formatCode="General" sourceLinked="1"/>
        <c:majorTickMark val="out"/>
        <c:minorTickMark val="none"/>
        <c:tickLblPos val="nextTo"/>
        <c:spPr>
          <a:ln>
            <a:solidFill>
              <a:schemeClr val="tx1"/>
            </a:solidFill>
          </a:ln>
        </c:spPr>
        <c:txPr>
          <a:bodyPr rot="-5400000" vert="horz"/>
          <a:lstStyle/>
          <a:p>
            <a:pPr>
              <a:defRPr/>
            </a:pPr>
            <a:endParaRPr lang="es-EC"/>
          </a:p>
        </c:txPr>
        <c:crossAx val="255016320"/>
        <c:crosses val="autoZero"/>
        <c:auto val="1"/>
        <c:lblAlgn val="l"/>
        <c:lblOffset val="100"/>
        <c:noMultiLvlLbl val="0"/>
      </c:catAx>
      <c:valAx>
        <c:axId val="255016320"/>
        <c:scaling>
          <c:orientation val="minMax"/>
          <c:max val="1000"/>
          <c:min val="0"/>
        </c:scaling>
        <c:delete val="0"/>
        <c:axPos val="l"/>
        <c:title>
          <c:tx>
            <c:rich>
              <a:bodyPr rot="-5400000" vert="horz"/>
              <a:lstStyle/>
              <a:p>
                <a:pPr>
                  <a:defRPr sz="700"/>
                </a:pPr>
                <a:r>
                  <a:rPr lang="es-EC" sz="700"/>
                  <a:t>Tasa por</a:t>
                </a:r>
                <a:r>
                  <a:rPr lang="es-EC" sz="700" baseline="0"/>
                  <a:t> cada 1000 Inmigrantes</a:t>
                </a:r>
                <a:endParaRPr lang="es-EC" sz="700"/>
              </a:p>
            </c:rich>
          </c:tx>
          <c:layout>
            <c:manualLayout>
              <c:xMode val="edge"/>
              <c:yMode val="edge"/>
              <c:x val="7.3839978147527989E-3"/>
              <c:y val="5.9906363055969414E-2"/>
            </c:manualLayout>
          </c:layout>
          <c:overlay val="0"/>
        </c:title>
        <c:numFmt formatCode="0" sourceLinked="0"/>
        <c:majorTickMark val="out"/>
        <c:minorTickMark val="none"/>
        <c:tickLblPos val="nextTo"/>
        <c:spPr>
          <a:ln>
            <a:solidFill>
              <a:schemeClr val="tx1"/>
            </a:solidFill>
          </a:ln>
        </c:spPr>
        <c:crossAx val="25501440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19869674387351"/>
          <c:y val="3.3409263477600655E-2"/>
          <c:w val="0.6901440653251677"/>
          <c:h val="0.86646926128378454"/>
        </c:manualLayout>
      </c:layout>
      <c:barChart>
        <c:barDir val="bar"/>
        <c:grouping val="stacked"/>
        <c:varyColors val="0"/>
        <c:ser>
          <c:idx val="0"/>
          <c:order val="0"/>
          <c:tx>
            <c:strRef>
              <c:f>'Inmigracion(Perfil)'!$N$330</c:f>
              <c:strCache>
                <c:ptCount val="1"/>
                <c:pt idx="0">
                  <c:v>Se ignora</c:v>
                </c:pt>
              </c:strCache>
            </c:strRef>
          </c:tx>
          <c:spPr>
            <a:solidFill>
              <a:schemeClr val="bg1">
                <a:lumMod val="65000"/>
              </a:schemeClr>
            </a:solidFill>
            <a:ln>
              <a:noFill/>
            </a:ln>
          </c:spPr>
          <c:invertIfNegative val="0"/>
          <c:cat>
            <c:strRef>
              <c:f>'Inmigracion(Perfil)'!$M$331:$M$350</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'Inmigracion(Perfil)'!$N$331:$N$350</c:f>
              <c:numCache>
                <c:formatCode>0.00%</c:formatCode>
                <c:ptCount val="20"/>
                <c:pt idx="0">
                  <c:v>-1.8704051167675653E-3</c:v>
                </c:pt>
                <c:pt idx="1">
                  <c:v>-4.8972752268677496E-4</c:v>
                </c:pt>
                <c:pt idx="2">
                  <c:v>-4.8382719108814014E-4</c:v>
                </c:pt>
                <c:pt idx="3">
                  <c:v>-9.5585371897900762E-4</c:v>
                </c:pt>
                <c:pt idx="4">
                  <c:v>-9.9715604016945751E-4</c:v>
                </c:pt>
                <c:pt idx="5">
                  <c:v>-9.086510661899215E-4</c:v>
                </c:pt>
                <c:pt idx="6">
                  <c:v>-6.8443846544175783E-4</c:v>
                </c:pt>
                <c:pt idx="7">
                  <c:v>-7.0213946023766607E-4</c:v>
                </c:pt>
                <c:pt idx="8">
                  <c:v>-5.8413282826494948E-4</c:v>
                </c:pt>
                <c:pt idx="9">
                  <c:v>-4.4842520149632528E-4</c:v>
                </c:pt>
                <c:pt idx="10">
                  <c:v>-4.7792685948950506E-4</c:v>
                </c:pt>
                <c:pt idx="11">
                  <c:v>-4.0122254870723824E-4</c:v>
                </c:pt>
                <c:pt idx="12">
                  <c:v>-3.1271757472770077E-4</c:v>
                </c:pt>
                <c:pt idx="13">
                  <c:v>-1.4160795836726025E-4</c:v>
                </c:pt>
                <c:pt idx="14">
                  <c:v>-1.1210630037408123E-4</c:v>
                </c:pt>
                <c:pt idx="15">
                  <c:v>-1.0030563717680949E-4</c:v>
                </c:pt>
                <c:pt idx="16">
                  <c:v>-1.7700994795907569E-5</c:v>
                </c:pt>
                <c:pt idx="17">
                  <c:v>-2.9501657993179275E-5</c:v>
                </c:pt>
                <c:pt idx="18">
                  <c:v>0</c:v>
                </c:pt>
                <c:pt idx="19">
                  <c:v>-5.9003315986358546E-6</c:v>
                </c:pt>
              </c:numCache>
            </c:numRef>
          </c:val>
        </c:ser>
        <c:ser>
          <c:idx val="2"/>
          <c:order val="1"/>
          <c:tx>
            <c:strRef>
              <c:f>'Inmigracion(Perfil)'!$O$330</c:f>
              <c:strCache>
                <c:ptCount val="1"/>
                <c:pt idx="0">
                  <c:v>Ninguno</c:v>
                </c:pt>
              </c:strCache>
            </c:strRef>
          </c:tx>
          <c:spPr>
            <a:solidFill>
              <a:srgbClr val="C00000"/>
            </a:solidFill>
            <a:ln>
              <a:noFill/>
            </a:ln>
          </c:spPr>
          <c:invertIfNegative val="0"/>
          <c:cat>
            <c:strRef>
              <c:f>'Inmigracion(Perfil)'!$M$331:$M$350</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'Inmigracion(Perfil)'!$O$331:$O$350</c:f>
              <c:numCache>
                <c:formatCode>0.00%</c:formatCode>
                <c:ptCount val="20"/>
                <c:pt idx="0">
                  <c:v>0</c:v>
                </c:pt>
                <c:pt idx="1">
                  <c:v>0</c:v>
                </c:pt>
                <c:pt idx="2">
                  <c:v>-7.6704310782265978E-4</c:v>
                </c:pt>
                <c:pt idx="3">
                  <c:v>-1.0502590245571816E-3</c:v>
                </c:pt>
                <c:pt idx="4">
                  <c:v>-1.3157739464957944E-3</c:v>
                </c:pt>
                <c:pt idx="5">
                  <c:v>-1.2331693041148914E-3</c:v>
                </c:pt>
                <c:pt idx="6">
                  <c:v>-1.3688769308835189E-3</c:v>
                </c:pt>
                <c:pt idx="7">
                  <c:v>-1.2685712937067063E-3</c:v>
                </c:pt>
                <c:pt idx="8">
                  <c:v>-1.3924782572780601E-3</c:v>
                </c:pt>
                <c:pt idx="9">
                  <c:v>-1.3511759360876096E-3</c:v>
                </c:pt>
                <c:pt idx="10">
                  <c:v>-1.4809832312575979E-3</c:v>
                </c:pt>
                <c:pt idx="11">
                  <c:v>-1.2685712937067063E-3</c:v>
                </c:pt>
                <c:pt idx="12">
                  <c:v>-1.2921726201012523E-3</c:v>
                </c:pt>
                <c:pt idx="13">
                  <c:v>-9.7945504537355014E-4</c:v>
                </c:pt>
                <c:pt idx="14">
                  <c:v>-8.2604642380901955E-4</c:v>
                </c:pt>
                <c:pt idx="15">
                  <c:v>-5.546311702717703E-4</c:v>
                </c:pt>
                <c:pt idx="16">
                  <c:v>-2.4191359554406988E-4</c:v>
                </c:pt>
                <c:pt idx="17">
                  <c:v>-1.0030563717680949E-4</c:v>
                </c:pt>
                <c:pt idx="18">
                  <c:v>-2.3601326394543408E-5</c:v>
                </c:pt>
                <c:pt idx="19">
                  <c:v>-1.1800663197271702E-5</c:v>
                </c:pt>
              </c:numCache>
            </c:numRef>
          </c:val>
        </c:ser>
        <c:ser>
          <c:idx val="3"/>
          <c:order val="2"/>
          <c:tx>
            <c:strRef>
              <c:f>'Inmigracion(Perfil)'!$P$330</c:f>
              <c:strCache>
                <c:ptCount val="1"/>
                <c:pt idx="0">
                  <c:v>Centro de Alfabetización</c:v>
                </c:pt>
              </c:strCache>
            </c:strRef>
          </c:tx>
          <c:spPr>
            <a:solidFill>
              <a:schemeClr val="accent3">
                <a:lumMod val="75000"/>
              </a:schemeClr>
            </a:solidFill>
          </c:spPr>
          <c:invertIfNegative val="0"/>
          <c:cat>
            <c:strRef>
              <c:f>'Inmigracion(Perfil)'!$M$331:$M$350</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'Inmigracion(Perfil)'!$P$331:$P$350</c:f>
              <c:numCache>
                <c:formatCode>0.00%</c:formatCode>
                <c:ptCount val="20"/>
                <c:pt idx="0">
                  <c:v>0</c:v>
                </c:pt>
                <c:pt idx="1">
                  <c:v>0</c:v>
                </c:pt>
                <c:pt idx="2">
                  <c:v>-3.5401989591815138E-5</c:v>
                </c:pt>
                <c:pt idx="3">
                  <c:v>-5.3102984387722704E-5</c:v>
                </c:pt>
                <c:pt idx="4">
                  <c:v>-7.6704310782265973E-5</c:v>
                </c:pt>
                <c:pt idx="5">
                  <c:v>-5.3102984387722704E-5</c:v>
                </c:pt>
                <c:pt idx="6">
                  <c:v>-5.3102984387722704E-5</c:v>
                </c:pt>
                <c:pt idx="7">
                  <c:v>-7.6704310782265973E-5</c:v>
                </c:pt>
                <c:pt idx="8">
                  <c:v>-1.357076267686246E-4</c:v>
                </c:pt>
                <c:pt idx="9">
                  <c:v>-1.4160795836726025E-4</c:v>
                </c:pt>
                <c:pt idx="10">
                  <c:v>-1.4160795836726025E-4</c:v>
                </c:pt>
                <c:pt idx="11">
                  <c:v>-6.4903647584994376E-5</c:v>
                </c:pt>
                <c:pt idx="12">
                  <c:v>-1.239069635713528E-4</c:v>
                </c:pt>
                <c:pt idx="13">
                  <c:v>-5.9003315986358543E-5</c:v>
                </c:pt>
                <c:pt idx="14">
                  <c:v>-1.7700994795907569E-5</c:v>
                </c:pt>
                <c:pt idx="15">
                  <c:v>-4.1302321190450923E-5</c:v>
                </c:pt>
                <c:pt idx="16">
                  <c:v>-1.1800663197271702E-5</c:v>
                </c:pt>
                <c:pt idx="17">
                  <c:v>0</c:v>
                </c:pt>
                <c:pt idx="18">
                  <c:v>0</c:v>
                </c:pt>
                <c:pt idx="19">
                  <c:v>0</c:v>
                </c:pt>
              </c:numCache>
            </c:numRef>
          </c:val>
        </c:ser>
        <c:ser>
          <c:idx val="4"/>
          <c:order val="3"/>
          <c:tx>
            <c:strRef>
              <c:f>'Inmigracion(Perfil)'!$Q$330</c:f>
              <c:strCache>
                <c:ptCount val="1"/>
                <c:pt idx="0">
                  <c:v>Primaria</c:v>
                </c:pt>
              </c:strCache>
            </c:strRef>
          </c:tx>
          <c:spPr>
            <a:solidFill>
              <a:schemeClr val="accent6">
                <a:lumMod val="75000"/>
              </a:schemeClr>
            </a:solidFill>
          </c:spPr>
          <c:invertIfNegative val="0"/>
          <c:cat>
            <c:strRef>
              <c:f>'Inmigracion(Perfil)'!$M$331:$M$350</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'Inmigracion(Perfil)'!$Q$331:$Q$350</c:f>
              <c:numCache>
                <c:formatCode>0.00%</c:formatCode>
                <c:ptCount val="20"/>
                <c:pt idx="0">
                  <c:v>-5.6849694952856439E-2</c:v>
                </c:pt>
                <c:pt idx="1">
                  <c:v>-2.3093897877060725E-2</c:v>
                </c:pt>
                <c:pt idx="2">
                  <c:v>-7.7176337310156922E-3</c:v>
                </c:pt>
                <c:pt idx="3">
                  <c:v>-9.3225239258446484E-3</c:v>
                </c:pt>
                <c:pt idx="4">
                  <c:v>-1.1753460544482616E-2</c:v>
                </c:pt>
                <c:pt idx="5">
                  <c:v>-1.0189872670844102E-2</c:v>
                </c:pt>
                <c:pt idx="6">
                  <c:v>-9.5585371897900766E-3</c:v>
                </c:pt>
                <c:pt idx="7">
                  <c:v>-8.7088894395865174E-3</c:v>
                </c:pt>
                <c:pt idx="8">
                  <c:v>-8.3076668908792888E-3</c:v>
                </c:pt>
                <c:pt idx="9">
                  <c:v>-6.6378730484653297E-3</c:v>
                </c:pt>
                <c:pt idx="10">
                  <c:v>-6.1599461889758293E-3</c:v>
                </c:pt>
                <c:pt idx="11">
                  <c:v>-5.1096871644186505E-3</c:v>
                </c:pt>
                <c:pt idx="12">
                  <c:v>-3.9886241606778361E-3</c:v>
                </c:pt>
                <c:pt idx="13">
                  <c:v>-2.8911624833315628E-3</c:v>
                </c:pt>
                <c:pt idx="14">
                  <c:v>-1.6992955004071243E-3</c:v>
                </c:pt>
                <c:pt idx="15">
                  <c:v>-1.0502590245571816E-3</c:v>
                </c:pt>
                <c:pt idx="16">
                  <c:v>-4.9562785428541238E-4</c:v>
                </c:pt>
                <c:pt idx="17">
                  <c:v>-2.4191359554406988E-4</c:v>
                </c:pt>
                <c:pt idx="18">
                  <c:v>-8.2604642380902036E-5</c:v>
                </c:pt>
                <c:pt idx="19">
                  <c:v>-1.7700994795907569E-5</c:v>
                </c:pt>
              </c:numCache>
            </c:numRef>
          </c:val>
        </c:ser>
        <c:ser>
          <c:idx val="5"/>
          <c:order val="4"/>
          <c:tx>
            <c:strRef>
              <c:f>'Inmigracion(Perfil)'!$R$330</c:f>
              <c:strCache>
                <c:ptCount val="1"/>
                <c:pt idx="0">
                  <c:v>Secundaria</c:v>
                </c:pt>
              </c:strCache>
            </c:strRef>
          </c:tx>
          <c:spPr>
            <a:solidFill>
              <a:srgbClr val="0DC0FF"/>
            </a:solidFill>
          </c:spPr>
          <c:invertIfNegative val="0"/>
          <c:cat>
            <c:strRef>
              <c:f>'Inmigracion(Perfil)'!$M$331:$M$350</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'Inmigracion(Perfil)'!$R$331:$R$350</c:f>
              <c:numCache>
                <c:formatCode>0.00%</c:formatCode>
                <c:ptCount val="20"/>
                <c:pt idx="0">
                  <c:v>0</c:v>
                </c:pt>
                <c:pt idx="1">
                  <c:v>-1.2815520232237082E-2</c:v>
                </c:pt>
                <c:pt idx="2">
                  <c:v>-2.4026150269645153E-2</c:v>
                </c:pt>
                <c:pt idx="3">
                  <c:v>-2.3052595555870241E-2</c:v>
                </c:pt>
                <c:pt idx="4">
                  <c:v>-2.3630828052536551E-2</c:v>
                </c:pt>
                <c:pt idx="5">
                  <c:v>-1.9276383332743299E-2</c:v>
                </c:pt>
                <c:pt idx="6">
                  <c:v>-1.6060702611486788E-2</c:v>
                </c:pt>
                <c:pt idx="7">
                  <c:v>-1.2331693041148912E-2</c:v>
                </c:pt>
                <c:pt idx="8">
                  <c:v>-1.0897912462680398E-2</c:v>
                </c:pt>
                <c:pt idx="9">
                  <c:v>-7.8651420209815814E-3</c:v>
                </c:pt>
                <c:pt idx="10">
                  <c:v>-5.953434583023577E-3</c:v>
                </c:pt>
                <c:pt idx="11">
                  <c:v>-4.0830294662560097E-3</c:v>
                </c:pt>
                <c:pt idx="12">
                  <c:v>-2.6728502141820372E-3</c:v>
                </c:pt>
                <c:pt idx="13">
                  <c:v>-1.5694882052371339E-3</c:v>
                </c:pt>
                <c:pt idx="14">
                  <c:v>-1.0974616773462668E-3</c:v>
                </c:pt>
                <c:pt idx="15">
                  <c:v>-5.0152818588404687E-4</c:v>
                </c:pt>
                <c:pt idx="16">
                  <c:v>-2.0061127435361899E-4</c:v>
                </c:pt>
                <c:pt idx="17">
                  <c:v>-9.4405305578173783E-5</c:v>
                </c:pt>
                <c:pt idx="18">
                  <c:v>-4.1302321190450923E-5</c:v>
                </c:pt>
                <c:pt idx="19">
                  <c:v>-5.9003315986358546E-6</c:v>
                </c:pt>
              </c:numCache>
            </c:numRef>
          </c:val>
        </c:ser>
        <c:ser>
          <c:idx val="6"/>
          <c:order val="5"/>
          <c:tx>
            <c:strRef>
              <c:f>'Inmigracion(Perfil)'!$S$330</c:f>
              <c:strCache>
                <c:ptCount val="1"/>
                <c:pt idx="0">
                  <c:v>Superior</c:v>
                </c:pt>
              </c:strCache>
            </c:strRef>
          </c:tx>
          <c:spPr>
            <a:solidFill>
              <a:srgbClr val="DD55C0"/>
            </a:solidFill>
          </c:spPr>
          <c:invertIfNegative val="0"/>
          <c:cat>
            <c:strRef>
              <c:f>'Inmigracion(Perfil)'!$M$331:$M$350</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'Inmigracion(Perfil)'!$S$331:$S$350</c:f>
              <c:numCache>
                <c:formatCode>0.00%</c:formatCode>
                <c:ptCount val="20"/>
                <c:pt idx="0">
                  <c:v>0</c:v>
                </c:pt>
                <c:pt idx="1">
                  <c:v>0</c:v>
                </c:pt>
                <c:pt idx="2">
                  <c:v>-2.8144581725492949E-3</c:v>
                </c:pt>
                <c:pt idx="3">
                  <c:v>-1.1759360876081234E-2</c:v>
                </c:pt>
                <c:pt idx="4">
                  <c:v>-1.7476782195159368E-2</c:v>
                </c:pt>
                <c:pt idx="5">
                  <c:v>-1.8556542877709727E-2</c:v>
                </c:pt>
                <c:pt idx="6">
                  <c:v>-1.8208423313390221E-2</c:v>
                </c:pt>
                <c:pt idx="7">
                  <c:v>-1.52759585088682E-2</c:v>
                </c:pt>
                <c:pt idx="8">
                  <c:v>-1.4957340602541848E-2</c:v>
                </c:pt>
                <c:pt idx="9">
                  <c:v>-1.1487945622543986E-2</c:v>
                </c:pt>
                <c:pt idx="10">
                  <c:v>-9.8476534381232422E-3</c:v>
                </c:pt>
                <c:pt idx="11">
                  <c:v>-7.6999327362197783E-3</c:v>
                </c:pt>
                <c:pt idx="12">
                  <c:v>-5.6053150187040509E-3</c:v>
                </c:pt>
                <c:pt idx="13">
                  <c:v>-3.1625777368688174E-3</c:v>
                </c:pt>
                <c:pt idx="14">
                  <c:v>-1.5635878736385007E-3</c:v>
                </c:pt>
                <c:pt idx="15">
                  <c:v>-8.9685040299265057E-4</c:v>
                </c:pt>
                <c:pt idx="16">
                  <c:v>-3.7172089071405858E-4</c:v>
                </c:pt>
                <c:pt idx="17">
                  <c:v>-1.2980729516998883E-4</c:v>
                </c:pt>
                <c:pt idx="18">
                  <c:v>-2.3601326394543408E-5</c:v>
                </c:pt>
                <c:pt idx="19">
                  <c:v>-1.1800663197271702E-5</c:v>
                </c:pt>
              </c:numCache>
            </c:numRef>
          </c:val>
        </c:ser>
        <c:ser>
          <c:idx val="1"/>
          <c:order val="6"/>
          <c:tx>
            <c:strRef>
              <c:f>'Inmigracion(Perfil)'!$N$358</c:f>
              <c:strCache>
                <c:ptCount val="1"/>
                <c:pt idx="0">
                  <c:v>Se ignora</c:v>
                </c:pt>
              </c:strCache>
            </c:strRef>
          </c:tx>
          <c:spPr>
            <a:solidFill>
              <a:schemeClr val="bg1">
                <a:lumMod val="65000"/>
              </a:schemeClr>
            </a:solidFill>
            <a:ln>
              <a:noFill/>
            </a:ln>
          </c:spPr>
          <c:invertIfNegative val="0"/>
          <c:cat>
            <c:strRef>
              <c:f>'Inmigracion(Perfil)'!$M$331:$M$350</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'Inmigracion(Perfil)'!$N$359:$N$378</c:f>
              <c:numCache>
                <c:formatCode>0.00%</c:formatCode>
                <c:ptCount val="20"/>
                <c:pt idx="0">
                  <c:v>1.5871892000330421E-3</c:v>
                </c:pt>
                <c:pt idx="1">
                  <c:v>4.4252486989768933E-4</c:v>
                </c:pt>
                <c:pt idx="2">
                  <c:v>3.5992022751678651E-4</c:v>
                </c:pt>
                <c:pt idx="3">
                  <c:v>7.4344178142811759E-4</c:v>
                </c:pt>
                <c:pt idx="4">
                  <c:v>8.0244509741447616E-4</c:v>
                </c:pt>
                <c:pt idx="5">
                  <c:v>8.1424576061174742E-4</c:v>
                </c:pt>
                <c:pt idx="6">
                  <c:v>5.3102984387722713E-4</c:v>
                </c:pt>
                <c:pt idx="7">
                  <c:v>5.4283050707449828E-4</c:v>
                </c:pt>
                <c:pt idx="8">
                  <c:v>4.3072420670041769E-4</c:v>
                </c:pt>
                <c:pt idx="9">
                  <c:v>4.6022586469359557E-4</c:v>
                </c:pt>
                <c:pt idx="10">
                  <c:v>3.1271757472770077E-4</c:v>
                </c:pt>
                <c:pt idx="11">
                  <c:v>3.0091691153042799E-4</c:v>
                </c:pt>
                <c:pt idx="12">
                  <c:v>3.1271757472770077E-4</c:v>
                </c:pt>
                <c:pt idx="13">
                  <c:v>1.5340862156453205E-4</c:v>
                </c:pt>
                <c:pt idx="14">
                  <c:v>8.2604642380902036E-5</c:v>
                </c:pt>
                <c:pt idx="15">
                  <c:v>9.4405305578173783E-5</c:v>
                </c:pt>
                <c:pt idx="16">
                  <c:v>5.3102984387722704E-5</c:v>
                </c:pt>
                <c:pt idx="17">
                  <c:v>2.9501657993179275E-5</c:v>
                </c:pt>
                <c:pt idx="18">
                  <c:v>0</c:v>
                </c:pt>
                <c:pt idx="19">
                  <c:v>5.9003315986358546E-6</c:v>
                </c:pt>
              </c:numCache>
            </c:numRef>
          </c:val>
        </c:ser>
        <c:ser>
          <c:idx val="7"/>
          <c:order val="7"/>
          <c:tx>
            <c:strRef>
              <c:f>'Inmigracion(Perfil)'!$O$358</c:f>
              <c:strCache>
                <c:ptCount val="1"/>
                <c:pt idx="0">
                  <c:v>Ninguno</c:v>
                </c:pt>
              </c:strCache>
            </c:strRef>
          </c:tx>
          <c:spPr>
            <a:solidFill>
              <a:srgbClr val="C00000"/>
            </a:solidFill>
          </c:spPr>
          <c:invertIfNegative val="0"/>
          <c:cat>
            <c:strRef>
              <c:f>'Inmigracion(Perfil)'!$M$331:$M$350</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'Inmigracion(Perfil)'!$O$359:$O$378</c:f>
              <c:numCache>
                <c:formatCode>0.00%</c:formatCode>
                <c:ptCount val="20"/>
                <c:pt idx="0">
                  <c:v>0</c:v>
                </c:pt>
                <c:pt idx="1">
                  <c:v>0</c:v>
                </c:pt>
                <c:pt idx="2">
                  <c:v>5.9593349146222095E-4</c:v>
                </c:pt>
                <c:pt idx="3">
                  <c:v>9.1455139778855567E-4</c:v>
                </c:pt>
                <c:pt idx="4">
                  <c:v>1.215468309318984E-3</c:v>
                </c:pt>
                <c:pt idx="5">
                  <c:v>1.1741659881285358E-3</c:v>
                </c:pt>
                <c:pt idx="6">
                  <c:v>1.3098736148971573E-3</c:v>
                </c:pt>
                <c:pt idx="7">
                  <c:v>1.3865779256794254E-3</c:v>
                </c:pt>
                <c:pt idx="8">
                  <c:v>1.3393752728903365E-3</c:v>
                </c:pt>
                <c:pt idx="9">
                  <c:v>1.439680910067146E-3</c:v>
                </c:pt>
                <c:pt idx="10">
                  <c:v>1.6815945056112176E-3</c:v>
                </c:pt>
                <c:pt idx="11">
                  <c:v>1.5163852208494133E-3</c:v>
                </c:pt>
                <c:pt idx="12">
                  <c:v>1.7819001427880261E-3</c:v>
                </c:pt>
                <c:pt idx="13">
                  <c:v>1.239069635713528E-3</c:v>
                </c:pt>
                <c:pt idx="14">
                  <c:v>1.1210630037408115E-3</c:v>
                </c:pt>
                <c:pt idx="15">
                  <c:v>6.9033879704039438E-4</c:v>
                </c:pt>
                <c:pt idx="16">
                  <c:v>3.9532221710860202E-4</c:v>
                </c:pt>
                <c:pt idx="17">
                  <c:v>2.0651160595225497E-4</c:v>
                </c:pt>
                <c:pt idx="18">
                  <c:v>6.4903647584994376E-5</c:v>
                </c:pt>
                <c:pt idx="19">
                  <c:v>2.9501657993179275E-5</c:v>
                </c:pt>
              </c:numCache>
            </c:numRef>
          </c:val>
        </c:ser>
        <c:ser>
          <c:idx val="8"/>
          <c:order val="8"/>
          <c:tx>
            <c:strRef>
              <c:f>'Inmigracion(Perfil)'!$P$358</c:f>
              <c:strCache>
                <c:ptCount val="1"/>
                <c:pt idx="0">
                  <c:v>Centro de Alfabetización</c:v>
                </c:pt>
              </c:strCache>
            </c:strRef>
          </c:tx>
          <c:spPr>
            <a:solidFill>
              <a:schemeClr val="accent3">
                <a:lumMod val="75000"/>
              </a:schemeClr>
            </a:solidFill>
          </c:spPr>
          <c:invertIfNegative val="0"/>
          <c:cat>
            <c:strRef>
              <c:f>'Inmigracion(Perfil)'!$M$331:$M$350</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'Inmigracion(Perfil)'!$P$359:$P$378</c:f>
              <c:numCache>
                <c:formatCode>0.00%</c:formatCode>
                <c:ptCount val="20"/>
                <c:pt idx="0">
                  <c:v>0</c:v>
                </c:pt>
                <c:pt idx="1">
                  <c:v>0</c:v>
                </c:pt>
                <c:pt idx="2">
                  <c:v>7.6704310782265973E-5</c:v>
                </c:pt>
                <c:pt idx="3">
                  <c:v>1.1210630037408123E-4</c:v>
                </c:pt>
                <c:pt idx="4">
                  <c:v>1.0620596877544519E-4</c:v>
                </c:pt>
                <c:pt idx="5">
                  <c:v>1.239069635713528E-4</c:v>
                </c:pt>
                <c:pt idx="6">
                  <c:v>1.357076267686246E-4</c:v>
                </c:pt>
                <c:pt idx="7">
                  <c:v>2.0061127435361899E-4</c:v>
                </c:pt>
                <c:pt idx="8">
                  <c:v>3.1271757472770077E-4</c:v>
                </c:pt>
                <c:pt idx="9">
                  <c:v>2.5961459033997707E-4</c:v>
                </c:pt>
                <c:pt idx="10">
                  <c:v>2.6551492193861302E-4</c:v>
                </c:pt>
                <c:pt idx="11">
                  <c:v>1.7700994795907566E-4</c:v>
                </c:pt>
                <c:pt idx="12">
                  <c:v>1.0620596877544519E-4</c:v>
                </c:pt>
                <c:pt idx="13">
                  <c:v>8.2604642380902036E-5</c:v>
                </c:pt>
                <c:pt idx="14">
                  <c:v>2.9501657993179275E-5</c:v>
                </c:pt>
                <c:pt idx="15">
                  <c:v>1.1800663197271702E-5</c:v>
                </c:pt>
                <c:pt idx="16">
                  <c:v>0</c:v>
                </c:pt>
                <c:pt idx="17">
                  <c:v>0</c:v>
                </c:pt>
                <c:pt idx="18">
                  <c:v>0</c:v>
                </c:pt>
                <c:pt idx="19">
                  <c:v>0</c:v>
                </c:pt>
              </c:numCache>
            </c:numRef>
          </c:val>
        </c:ser>
        <c:ser>
          <c:idx val="9"/>
          <c:order val="9"/>
          <c:tx>
            <c:strRef>
              <c:f>'Inmigracion(Perfil)'!$Q$358</c:f>
              <c:strCache>
                <c:ptCount val="1"/>
                <c:pt idx="0">
                  <c:v>Primaria</c:v>
                </c:pt>
              </c:strCache>
            </c:strRef>
          </c:tx>
          <c:spPr>
            <a:solidFill>
              <a:schemeClr val="accent6">
                <a:lumMod val="75000"/>
              </a:schemeClr>
            </a:solidFill>
            <a:ln>
              <a:noFill/>
            </a:ln>
          </c:spPr>
          <c:invertIfNegative val="0"/>
          <c:cat>
            <c:strRef>
              <c:f>'Inmigracion(Perfil)'!$M$331:$M$350</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'Inmigracion(Perfil)'!$Q$359:$Q$378</c:f>
              <c:numCache>
                <c:formatCode>0.00%</c:formatCode>
                <c:ptCount val="20"/>
                <c:pt idx="0">
                  <c:v>5.4353854686633424E-2</c:v>
                </c:pt>
                <c:pt idx="1">
                  <c:v>2.1518509340224909E-2</c:v>
                </c:pt>
                <c:pt idx="2">
                  <c:v>6.7558796804380464E-3</c:v>
                </c:pt>
                <c:pt idx="3">
                  <c:v>9.2163179570691877E-3</c:v>
                </c:pt>
                <c:pt idx="4">
                  <c:v>1.1358138327374E-2</c:v>
                </c:pt>
                <c:pt idx="5">
                  <c:v>1.076220483591178E-2</c:v>
                </c:pt>
                <c:pt idx="6">
                  <c:v>1.047308858757862E-2</c:v>
                </c:pt>
                <c:pt idx="7">
                  <c:v>9.5526368581914656E-3</c:v>
                </c:pt>
                <c:pt idx="8">
                  <c:v>9.3402249206405406E-3</c:v>
                </c:pt>
                <c:pt idx="9">
                  <c:v>7.906444342172041E-3</c:v>
                </c:pt>
                <c:pt idx="10">
                  <c:v>6.9623912863903004E-3</c:v>
                </c:pt>
                <c:pt idx="11">
                  <c:v>4.8323715792827557E-3</c:v>
                </c:pt>
                <c:pt idx="12">
                  <c:v>3.8529165339092047E-3</c:v>
                </c:pt>
                <c:pt idx="13">
                  <c:v>2.4663386082297832E-3</c:v>
                </c:pt>
                <c:pt idx="14">
                  <c:v>1.8586044535702925E-3</c:v>
                </c:pt>
                <c:pt idx="15">
                  <c:v>1.0502590245571816E-3</c:v>
                </c:pt>
                <c:pt idx="16">
                  <c:v>5.546311702717703E-4</c:v>
                </c:pt>
                <c:pt idx="17">
                  <c:v>2.4781392714270614E-4</c:v>
                </c:pt>
                <c:pt idx="18">
                  <c:v>4.7202652789086817E-5</c:v>
                </c:pt>
                <c:pt idx="19">
                  <c:v>3.5401989591815138E-5</c:v>
                </c:pt>
              </c:numCache>
            </c:numRef>
          </c:val>
        </c:ser>
        <c:ser>
          <c:idx val="10"/>
          <c:order val="10"/>
          <c:tx>
            <c:strRef>
              <c:f>'Inmigracion(Perfil)'!$R$358</c:f>
              <c:strCache>
                <c:ptCount val="1"/>
                <c:pt idx="0">
                  <c:v>Secundaria</c:v>
                </c:pt>
              </c:strCache>
            </c:strRef>
          </c:tx>
          <c:spPr>
            <a:solidFill>
              <a:srgbClr val="0DC0FF"/>
            </a:solidFill>
          </c:spPr>
          <c:invertIfNegative val="0"/>
          <c:cat>
            <c:strRef>
              <c:f>'Inmigracion(Perfil)'!$M$331:$M$350</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'Inmigracion(Perfil)'!$R$359:$R$378</c:f>
              <c:numCache>
                <c:formatCode>0.00%</c:formatCode>
                <c:ptCount val="20"/>
                <c:pt idx="0">
                  <c:v>0</c:v>
                </c:pt>
                <c:pt idx="1">
                  <c:v>1.2638510284277983E-2</c:v>
                </c:pt>
                <c:pt idx="2">
                  <c:v>2.5318322889746402E-2</c:v>
                </c:pt>
                <c:pt idx="3">
                  <c:v>2.4462774807944208E-2</c:v>
                </c:pt>
                <c:pt idx="4">
                  <c:v>2.4415572155155156E-2</c:v>
                </c:pt>
                <c:pt idx="5">
                  <c:v>1.8975466421212873E-2</c:v>
                </c:pt>
                <c:pt idx="6">
                  <c:v>1.5211054861283217E-2</c:v>
                </c:pt>
                <c:pt idx="7">
                  <c:v>1.2597207963087526E-2</c:v>
                </c:pt>
                <c:pt idx="8">
                  <c:v>1.139354031696584E-2</c:v>
                </c:pt>
                <c:pt idx="9">
                  <c:v>8.2545639064915445E-3</c:v>
                </c:pt>
                <c:pt idx="10">
                  <c:v>6.4785640953021733E-3</c:v>
                </c:pt>
                <c:pt idx="11">
                  <c:v>4.4429496937727995E-3</c:v>
                </c:pt>
                <c:pt idx="12">
                  <c:v>3.2569830424469927E-3</c:v>
                </c:pt>
                <c:pt idx="13">
                  <c:v>2.0415147331280048E-3</c:v>
                </c:pt>
                <c:pt idx="14">
                  <c:v>1.4337805784685113E-3</c:v>
                </c:pt>
                <c:pt idx="15">
                  <c:v>9.1455139778855567E-4</c:v>
                </c:pt>
                <c:pt idx="16">
                  <c:v>4.8972752268677496E-4</c:v>
                </c:pt>
                <c:pt idx="17">
                  <c:v>1.6520928476180391E-4</c:v>
                </c:pt>
                <c:pt idx="18">
                  <c:v>8.8504973979537923E-5</c:v>
                </c:pt>
                <c:pt idx="19">
                  <c:v>1.7700994795907569E-5</c:v>
                </c:pt>
              </c:numCache>
            </c:numRef>
          </c:val>
        </c:ser>
        <c:ser>
          <c:idx val="11"/>
          <c:order val="11"/>
          <c:tx>
            <c:strRef>
              <c:f>'Inmigracion(Perfil)'!$S$358</c:f>
              <c:strCache>
                <c:ptCount val="1"/>
                <c:pt idx="0">
                  <c:v>Superior</c:v>
                </c:pt>
              </c:strCache>
            </c:strRef>
          </c:tx>
          <c:spPr>
            <a:solidFill>
              <a:srgbClr val="DD55C0"/>
            </a:solidFill>
          </c:spPr>
          <c:invertIfNegative val="0"/>
          <c:cat>
            <c:strRef>
              <c:f>'Inmigracion(Perfil)'!$M$331:$M$350</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'Inmigracion(Perfil)'!$S$359:$S$378</c:f>
              <c:numCache>
                <c:formatCode>0.00%</c:formatCode>
                <c:ptCount val="20"/>
                <c:pt idx="0">
                  <c:v>0</c:v>
                </c:pt>
                <c:pt idx="1">
                  <c:v>0</c:v>
                </c:pt>
                <c:pt idx="2">
                  <c:v>3.0858734260865487E-3</c:v>
                </c:pt>
                <c:pt idx="3">
                  <c:v>1.4709526675399157E-2</c:v>
                </c:pt>
                <c:pt idx="4">
                  <c:v>1.8721752162471531E-2</c:v>
                </c:pt>
                <c:pt idx="5">
                  <c:v>1.8403134256145218E-2</c:v>
                </c:pt>
                <c:pt idx="6">
                  <c:v>1.5429367130432733E-2</c:v>
                </c:pt>
                <c:pt idx="7">
                  <c:v>1.2479201331114808E-2</c:v>
                </c:pt>
                <c:pt idx="8">
                  <c:v>1.0673699861932241E-2</c:v>
                </c:pt>
                <c:pt idx="9">
                  <c:v>8.4669758440424348E-3</c:v>
                </c:pt>
                <c:pt idx="10">
                  <c:v>6.2897534841458271E-3</c:v>
                </c:pt>
                <c:pt idx="11">
                  <c:v>4.5727569889427834E-3</c:v>
                </c:pt>
                <c:pt idx="12">
                  <c:v>2.9442654677192858E-3</c:v>
                </c:pt>
                <c:pt idx="13">
                  <c:v>1.6343918528221287E-3</c:v>
                </c:pt>
                <c:pt idx="14">
                  <c:v>7.5524244462538863E-4</c:v>
                </c:pt>
                <c:pt idx="15">
                  <c:v>4.4252486989768933E-4</c:v>
                </c:pt>
                <c:pt idx="16">
                  <c:v>1.7700994795907566E-4</c:v>
                </c:pt>
                <c:pt idx="17">
                  <c:v>4.7202652789086817E-5</c:v>
                </c:pt>
                <c:pt idx="18">
                  <c:v>1.7700994795907569E-5</c:v>
                </c:pt>
                <c:pt idx="19">
                  <c:v>5.9003315986358546E-6</c:v>
                </c:pt>
              </c:numCache>
            </c:numRef>
          </c:val>
        </c:ser>
        <c:dLbls>
          <c:showLegendKey val="0"/>
          <c:showVal val="0"/>
          <c:showCatName val="0"/>
          <c:showSerName val="0"/>
          <c:showPercent val="0"/>
          <c:showBubbleSize val="0"/>
        </c:dLbls>
        <c:gapWidth val="0"/>
        <c:overlap val="100"/>
        <c:axId val="255164416"/>
        <c:axId val="255166336"/>
      </c:barChart>
      <c:catAx>
        <c:axId val="255164416"/>
        <c:scaling>
          <c:orientation val="minMax"/>
        </c:scaling>
        <c:delete val="0"/>
        <c:axPos val="l"/>
        <c:title>
          <c:tx>
            <c:rich>
              <a:bodyPr rot="-5400000" vert="horz"/>
              <a:lstStyle/>
              <a:p>
                <a:pPr>
                  <a:defRPr/>
                </a:pPr>
                <a:r>
                  <a:rPr lang="es-EC"/>
                  <a:t>Grupos Etarios</a:t>
                </a:r>
              </a:p>
            </c:rich>
          </c:tx>
          <c:overlay val="0"/>
        </c:title>
        <c:majorTickMark val="out"/>
        <c:minorTickMark val="none"/>
        <c:tickLblPos val="nextTo"/>
        <c:spPr>
          <a:ln>
            <a:solidFill>
              <a:sysClr val="windowText" lastClr="000000"/>
            </a:solidFill>
          </a:ln>
        </c:spPr>
        <c:txPr>
          <a:bodyPr/>
          <a:lstStyle/>
          <a:p>
            <a:pPr>
              <a:defRPr sz="750"/>
            </a:pPr>
            <a:endParaRPr lang="es-EC"/>
          </a:p>
        </c:txPr>
        <c:crossAx val="255166336"/>
        <c:crossesAt val="-15"/>
        <c:auto val="1"/>
        <c:lblAlgn val="ctr"/>
        <c:lblOffset val="100"/>
        <c:noMultiLvlLbl val="0"/>
      </c:catAx>
      <c:valAx>
        <c:axId val="255166336"/>
        <c:scaling>
          <c:orientation val="minMax"/>
          <c:max val="6.0000000000000032E-2"/>
          <c:min val="-6.0000000000000032E-2"/>
        </c:scaling>
        <c:delete val="0"/>
        <c:axPos val="b"/>
        <c:majorGridlines>
          <c:spPr>
            <a:ln>
              <a:prstDash val="dash"/>
            </a:ln>
          </c:spPr>
        </c:majorGridlines>
        <c:numFmt formatCode="0%;0%" sourceLinked="0"/>
        <c:majorTickMark val="out"/>
        <c:minorTickMark val="none"/>
        <c:tickLblPos val="nextTo"/>
        <c:spPr>
          <a:ln>
            <a:solidFill>
              <a:schemeClr val="tx1"/>
            </a:solidFill>
          </a:ln>
        </c:spPr>
        <c:crossAx val="255164416"/>
        <c:crosses val="autoZero"/>
        <c:crossBetween val="between"/>
        <c:majorUnit val="2.0000000000000011E-2"/>
      </c:valAx>
      <c:spPr>
        <a:noFill/>
        <a:ln>
          <a:solidFill>
            <a:sysClr val="windowText" lastClr="000000"/>
          </a:solidFill>
        </a:ln>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84658843879539969"/>
          <c:y val="0.17123658438708694"/>
          <c:w val="0.14924686010663632"/>
          <c:h val="0.58505798356207428"/>
        </c:manualLayout>
      </c:layout>
      <c:overlay val="0"/>
      <c:txPr>
        <a:bodyPr/>
        <a:lstStyle/>
        <a:p>
          <a:pPr>
            <a:defRPr sz="700"/>
          </a:pPr>
          <a:endParaRPr lang="es-EC"/>
        </a:p>
      </c:txPr>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32478632478641"/>
          <c:y val="4.7875260268786683E-2"/>
          <c:w val="0.85695346628680036"/>
          <c:h val="0.69220802574294793"/>
        </c:manualLayout>
      </c:layout>
      <c:lineChart>
        <c:grouping val="standard"/>
        <c:varyColors val="0"/>
        <c:ser>
          <c:idx val="0"/>
          <c:order val="0"/>
          <c:spPr>
            <a:ln w="19050">
              <a:solidFill>
                <a:srgbClr val="0070C0"/>
              </a:solidFill>
            </a:ln>
          </c:spPr>
          <c:marker>
            <c:symbol val="none"/>
          </c:marker>
          <c:cat>
            <c:strRef>
              <c:f>'Inmigracion(Perfil)'!$A$458:$A$475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'Inmigracion(Perfil)'!$B$458:$B$475</c:f>
              <c:numCache>
                <c:formatCode>0.00</c:formatCode>
                <c:ptCount val="18"/>
                <c:pt idx="0">
                  <c:v>78.518518518518519</c:v>
                </c:pt>
                <c:pt idx="1">
                  <c:v>254.56635585643124</c:v>
                </c:pt>
                <c:pt idx="2">
                  <c:v>316.3178129004699</c:v>
                </c:pt>
                <c:pt idx="3">
                  <c:v>369.52179532369865</c:v>
                </c:pt>
                <c:pt idx="4">
                  <c:v>396.40333975594024</c:v>
                </c:pt>
                <c:pt idx="5">
                  <c:v>398.1851737926786</c:v>
                </c:pt>
                <c:pt idx="6">
                  <c:v>412.32921275211396</c:v>
                </c:pt>
                <c:pt idx="7">
                  <c:v>411.28010139416983</c:v>
                </c:pt>
                <c:pt idx="8">
                  <c:v>409.26924963217266</c:v>
                </c:pt>
                <c:pt idx="9">
                  <c:v>413.36712068419382</c:v>
                </c:pt>
                <c:pt idx="10">
                  <c:v>400.50590219224284</c:v>
                </c:pt>
                <c:pt idx="11">
                  <c:v>359.24932975871315</c:v>
                </c:pt>
                <c:pt idx="12">
                  <c:v>294.11764705882371</c:v>
                </c:pt>
                <c:pt idx="13">
                  <c:v>285.17823639774872</c:v>
                </c:pt>
                <c:pt idx="14">
                  <c:v>277.53303964757646</c:v>
                </c:pt>
                <c:pt idx="15">
                  <c:v>217.82178217821783</c:v>
                </c:pt>
                <c:pt idx="16">
                  <c:v>137.93103448275861</c:v>
                </c:pt>
                <c:pt idx="17">
                  <c:v>222.2222222222222</c:v>
                </c:pt>
              </c:numCache>
            </c:numRef>
          </c:val>
          <c:smooth val="1"/>
        </c:ser>
        <c:ser>
          <c:idx val="1"/>
          <c:order val="1"/>
          <c:spPr>
            <a:ln w="19050">
              <a:solidFill>
                <a:schemeClr val="accent6">
                  <a:lumMod val="75000"/>
                </a:schemeClr>
              </a:solidFill>
            </a:ln>
          </c:spPr>
          <c:marker>
            <c:symbol val="none"/>
          </c:marker>
          <c:cat>
            <c:strRef>
              <c:f>'Inmigracion(Perfil)'!$A$458:$A$475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'Inmigracion(Perfil)'!$C$458:$C$475</c:f>
              <c:numCache>
                <c:formatCode>0.00</c:formatCode>
                <c:ptCount val="18"/>
                <c:pt idx="0">
                  <c:v>907.9835390946505</c:v>
                </c:pt>
                <c:pt idx="1">
                  <c:v>724.74134627666513</c:v>
                </c:pt>
                <c:pt idx="2">
                  <c:v>665.63434429730955</c:v>
                </c:pt>
                <c:pt idx="3">
                  <c:v>612.38397368111862</c:v>
                </c:pt>
                <c:pt idx="4">
                  <c:v>588.69621066152843</c:v>
                </c:pt>
                <c:pt idx="5">
                  <c:v>583.51276530298298</c:v>
                </c:pt>
                <c:pt idx="6">
                  <c:v>571.56798959011041</c:v>
                </c:pt>
                <c:pt idx="7">
                  <c:v>572.66582171525067</c:v>
                </c:pt>
                <c:pt idx="8">
                  <c:v>570.86807258460021</c:v>
                </c:pt>
                <c:pt idx="9">
                  <c:v>565.09344314222358</c:v>
                </c:pt>
                <c:pt idx="10">
                  <c:v>577.15008431703268</c:v>
                </c:pt>
                <c:pt idx="11">
                  <c:v>624.66487935656914</c:v>
                </c:pt>
                <c:pt idx="12">
                  <c:v>684.79467258601642</c:v>
                </c:pt>
                <c:pt idx="13">
                  <c:v>682.92682926829264</c:v>
                </c:pt>
                <c:pt idx="14">
                  <c:v>709.25110132158591</c:v>
                </c:pt>
                <c:pt idx="15">
                  <c:v>732.67326732673303</c:v>
                </c:pt>
                <c:pt idx="16">
                  <c:v>862.06896551724151</c:v>
                </c:pt>
                <c:pt idx="17">
                  <c:v>666.66666666666674</c:v>
                </c:pt>
              </c:numCache>
            </c:numRef>
          </c:val>
          <c:smooth val="1"/>
        </c:ser>
        <c:ser>
          <c:idx val="2"/>
          <c:order val="2"/>
          <c:tx>
            <c:strRef>
              <c:f>'Inmigracion(Perfil)'!$D$457</c:f>
              <c:strCache>
                <c:ptCount val="1"/>
                <c:pt idx="0">
                  <c:v>Se ignora</c:v>
                </c:pt>
              </c:strCache>
            </c:strRef>
          </c:tx>
          <c:spPr>
            <a:ln w="19050">
              <a:solidFill>
                <a:srgbClr val="D735B4"/>
              </a:solidFill>
            </a:ln>
          </c:spPr>
          <c:marker>
            <c:symbol val="none"/>
          </c:marker>
          <c:val>
            <c:numRef>
              <c:f>'Inmigracion(Perfil)'!$D$458:$D$475</c:f>
              <c:numCache>
                <c:formatCode>0.00</c:formatCode>
                <c:ptCount val="18"/>
                <c:pt idx="0">
                  <c:v>13.497942386831275</c:v>
                </c:pt>
                <c:pt idx="1">
                  <c:v>20.692297866905086</c:v>
                </c:pt>
                <c:pt idx="2">
                  <c:v>18.047842802221233</c:v>
                </c:pt>
                <c:pt idx="3">
                  <c:v>18.094230995182706</c:v>
                </c:pt>
                <c:pt idx="4">
                  <c:v>14.900449582530507</c:v>
                </c:pt>
                <c:pt idx="5">
                  <c:v>18.302060904337129</c:v>
                </c:pt>
                <c:pt idx="6">
                  <c:v>16.102797657774886</c:v>
                </c:pt>
                <c:pt idx="7">
                  <c:v>16.054076890578788</c:v>
                </c:pt>
                <c:pt idx="8">
                  <c:v>19.862677783227049</c:v>
                </c:pt>
                <c:pt idx="9">
                  <c:v>21.539436173582516</c:v>
                </c:pt>
                <c:pt idx="10">
                  <c:v>22.344013490725104</c:v>
                </c:pt>
                <c:pt idx="11">
                  <c:v>16.085790884718474</c:v>
                </c:pt>
                <c:pt idx="12">
                  <c:v>21.087680355160909</c:v>
                </c:pt>
                <c:pt idx="13">
                  <c:v>31.89493433395873</c:v>
                </c:pt>
                <c:pt idx="14">
                  <c:v>13.215859030837004</c:v>
                </c:pt>
                <c:pt idx="15">
                  <c:v>49.504950495049464</c:v>
                </c:pt>
                <c:pt idx="16">
                  <c:v>0</c:v>
                </c:pt>
                <c:pt idx="17">
                  <c:v>111.1111111111111</c:v>
                </c:pt>
              </c:numCache>
            </c:numRef>
          </c:val>
          <c:smooth val="0"/>
        </c:ser>
        <c:dLbls>
          <c:showLegendKey val="0"/>
          <c:showVal val="0"/>
          <c:showCatName val="0"/>
          <c:showSerName val="0"/>
          <c:showPercent val="0"/>
          <c:showBubbleSize val="0"/>
        </c:dLbls>
        <c:marker val="1"/>
        <c:smooth val="0"/>
        <c:axId val="255202816"/>
        <c:axId val="255204736"/>
      </c:lineChart>
      <c:catAx>
        <c:axId val="255202816"/>
        <c:scaling>
          <c:orientation val="minMax"/>
        </c:scaling>
        <c:delete val="0"/>
        <c:axPos val="b"/>
        <c:title>
          <c:tx>
            <c:rich>
              <a:bodyPr/>
              <a:lstStyle/>
              <a:p>
                <a:pPr>
                  <a:defRPr/>
                </a:pPr>
                <a:r>
                  <a:rPr lang="es-EC"/>
                  <a:t>Grupo Etario</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55204736"/>
        <c:crosses val="autoZero"/>
        <c:auto val="1"/>
        <c:lblAlgn val="l"/>
        <c:lblOffset val="100"/>
        <c:noMultiLvlLbl val="0"/>
      </c:catAx>
      <c:valAx>
        <c:axId val="255204736"/>
        <c:scaling>
          <c:orientation val="minMax"/>
          <c:max val="1000"/>
          <c:min val="0"/>
        </c:scaling>
        <c:delete val="0"/>
        <c:axPos val="l"/>
        <c:title>
          <c:tx>
            <c:rich>
              <a:bodyPr rot="-5400000" vert="horz"/>
              <a:lstStyle/>
              <a:p>
                <a:pPr>
                  <a:defRPr sz="750"/>
                </a:pPr>
                <a:r>
                  <a:rPr lang="es-EC" sz="750"/>
                  <a:t>Tasa</a:t>
                </a:r>
                <a:r>
                  <a:rPr lang="es-EC" sz="750" baseline="0"/>
                  <a:t> por cada 1000 Inmigrantes</a:t>
                </a:r>
                <a:endParaRPr lang="es-EC" sz="750"/>
              </a:p>
            </c:rich>
          </c:tx>
          <c:layout>
            <c:manualLayout>
              <c:xMode val="edge"/>
              <c:yMode val="edge"/>
              <c:x val="9.943494776828132E-3"/>
              <c:y val="1.1816202915010411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55202816"/>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09211775878459"/>
          <c:y val="5.3885103161082686E-2"/>
          <c:w val="0.85970512820512901"/>
          <c:h val="0.69220802574294793"/>
        </c:manualLayout>
      </c:layout>
      <c:lineChart>
        <c:grouping val="standard"/>
        <c:varyColors val="0"/>
        <c:ser>
          <c:idx val="0"/>
          <c:order val="0"/>
          <c:spPr>
            <a:ln w="19050">
              <a:solidFill>
                <a:srgbClr val="0070C0"/>
              </a:solidFill>
            </a:ln>
          </c:spPr>
          <c:marker>
            <c:symbol val="none"/>
          </c:marker>
          <c:cat>
            <c:strRef>
              <c:f>'Inmigracion(Perfil)'!$A$458:$A$475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'Inmigracion(Perfil)'!$E$458:$E$475</c:f>
              <c:numCache>
                <c:formatCode>0.00</c:formatCode>
                <c:ptCount val="18"/>
                <c:pt idx="0">
                  <c:v>85.262471470492258</c:v>
                </c:pt>
                <c:pt idx="1">
                  <c:v>293.25961651570401</c:v>
                </c:pt>
                <c:pt idx="2">
                  <c:v>330.65860775323051</c:v>
                </c:pt>
                <c:pt idx="3">
                  <c:v>366.20875895268188</c:v>
                </c:pt>
                <c:pt idx="4">
                  <c:v>358.07202519512532</c:v>
                </c:pt>
                <c:pt idx="5">
                  <c:v>339.48635634028801</c:v>
                </c:pt>
                <c:pt idx="6">
                  <c:v>318.71035940803318</c:v>
                </c:pt>
                <c:pt idx="7">
                  <c:v>316.07929515418505</c:v>
                </c:pt>
                <c:pt idx="8">
                  <c:v>286.02092836061166</c:v>
                </c:pt>
                <c:pt idx="9">
                  <c:v>288.64059590316572</c:v>
                </c:pt>
                <c:pt idx="10">
                  <c:v>240.25036109773711</c:v>
                </c:pt>
                <c:pt idx="11">
                  <c:v>214.56235476374874</c:v>
                </c:pt>
                <c:pt idx="12">
                  <c:v>143.01675977653613</c:v>
                </c:pt>
                <c:pt idx="13">
                  <c:v>138.121546961326</c:v>
                </c:pt>
                <c:pt idx="14">
                  <c:v>106.0070671378091</c:v>
                </c:pt>
                <c:pt idx="15">
                  <c:v>67.79661016949153</c:v>
                </c:pt>
                <c:pt idx="16">
                  <c:v>81.081081081081081</c:v>
                </c:pt>
                <c:pt idx="17">
                  <c:v>62.5</c:v>
                </c:pt>
              </c:numCache>
            </c:numRef>
          </c:val>
          <c:smooth val="1"/>
        </c:ser>
        <c:ser>
          <c:idx val="1"/>
          <c:order val="1"/>
          <c:spPr>
            <a:ln w="19050">
              <a:solidFill>
                <a:schemeClr val="accent6">
                  <a:lumMod val="75000"/>
                </a:schemeClr>
              </a:solidFill>
            </a:ln>
          </c:spPr>
          <c:marker>
            <c:symbol val="none"/>
          </c:marker>
          <c:cat>
            <c:strRef>
              <c:f>'Inmigracion(Perfil)'!$A$458:$A$475</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'Inmigracion(Perfil)'!$F$458:$F$475</c:f>
              <c:numCache>
                <c:formatCode>0.00</c:formatCode>
                <c:ptCount val="18"/>
                <c:pt idx="0">
                  <c:v>904.79295728725151</c:v>
                </c:pt>
                <c:pt idx="1">
                  <c:v>691.91859781202209</c:v>
                </c:pt>
                <c:pt idx="2">
                  <c:v>655.16882034180912</c:v>
                </c:pt>
                <c:pt idx="3">
                  <c:v>617.58835270635325</c:v>
                </c:pt>
                <c:pt idx="4">
                  <c:v>629.60427221689849</c:v>
                </c:pt>
                <c:pt idx="5">
                  <c:v>645.74638844301762</c:v>
                </c:pt>
                <c:pt idx="6">
                  <c:v>668.42847075405291</c:v>
                </c:pt>
                <c:pt idx="7">
                  <c:v>666.74008810572639</c:v>
                </c:pt>
                <c:pt idx="8">
                  <c:v>699.75851891601815</c:v>
                </c:pt>
                <c:pt idx="9">
                  <c:v>692.36499068901298</c:v>
                </c:pt>
                <c:pt idx="10">
                  <c:v>734.23206547905659</c:v>
                </c:pt>
                <c:pt idx="11">
                  <c:v>765.29821843532159</c:v>
                </c:pt>
                <c:pt idx="12">
                  <c:v>841.34078212290433</c:v>
                </c:pt>
                <c:pt idx="13">
                  <c:v>832.41252302025748</c:v>
                </c:pt>
                <c:pt idx="14">
                  <c:v>862.19081272084804</c:v>
                </c:pt>
                <c:pt idx="15">
                  <c:v>889.83050847457628</c:v>
                </c:pt>
                <c:pt idx="16">
                  <c:v>918.91891891891896</c:v>
                </c:pt>
                <c:pt idx="17">
                  <c:v>875</c:v>
                </c:pt>
              </c:numCache>
            </c:numRef>
          </c:val>
          <c:smooth val="1"/>
        </c:ser>
        <c:ser>
          <c:idx val="2"/>
          <c:order val="2"/>
          <c:tx>
            <c:strRef>
              <c:f>'Inmigracion(Perfil)'!$G$457</c:f>
              <c:strCache>
                <c:ptCount val="1"/>
                <c:pt idx="0">
                  <c:v>Se ignora</c:v>
                </c:pt>
              </c:strCache>
            </c:strRef>
          </c:tx>
          <c:spPr>
            <a:ln w="19050">
              <a:solidFill>
                <a:srgbClr val="D735B4"/>
              </a:solidFill>
            </a:ln>
          </c:spPr>
          <c:marker>
            <c:symbol val="none"/>
          </c:marker>
          <c:val>
            <c:numRef>
              <c:f>'Inmigracion(Perfil)'!$G$458:$G$475</c:f>
              <c:numCache>
                <c:formatCode>0.00</c:formatCode>
                <c:ptCount val="18"/>
                <c:pt idx="0">
                  <c:v>9.9445712422562682</c:v>
                </c:pt>
                <c:pt idx="1">
                  <c:v>14.821785672273849</c:v>
                </c:pt>
                <c:pt idx="2">
                  <c:v>14.1725719049604</c:v>
                </c:pt>
                <c:pt idx="3">
                  <c:v>16.202888340965107</c:v>
                </c:pt>
                <c:pt idx="4">
                  <c:v>12.32370258797755</c:v>
                </c:pt>
                <c:pt idx="5">
                  <c:v>14.767255216693419</c:v>
                </c:pt>
                <c:pt idx="6">
                  <c:v>12.861169837914026</c:v>
                </c:pt>
                <c:pt idx="7">
                  <c:v>17.180616740088102</c:v>
                </c:pt>
                <c:pt idx="8">
                  <c:v>14.220552723369998</c:v>
                </c:pt>
                <c:pt idx="9">
                  <c:v>18.994413407821206</c:v>
                </c:pt>
                <c:pt idx="10">
                  <c:v>25.517573423206592</c:v>
                </c:pt>
                <c:pt idx="11">
                  <c:v>20.139426800929488</c:v>
                </c:pt>
                <c:pt idx="12">
                  <c:v>15.64245810055866</c:v>
                </c:pt>
                <c:pt idx="13">
                  <c:v>29.465930018416206</c:v>
                </c:pt>
                <c:pt idx="14">
                  <c:v>31.802120141342733</c:v>
                </c:pt>
                <c:pt idx="15">
                  <c:v>42.372881355932122</c:v>
                </c:pt>
                <c:pt idx="16">
                  <c:v>0</c:v>
                </c:pt>
                <c:pt idx="17">
                  <c:v>62.5</c:v>
                </c:pt>
              </c:numCache>
            </c:numRef>
          </c:val>
          <c:smooth val="0"/>
        </c:ser>
        <c:dLbls>
          <c:showLegendKey val="0"/>
          <c:showVal val="0"/>
          <c:showCatName val="0"/>
          <c:showSerName val="0"/>
          <c:showPercent val="0"/>
          <c:showBubbleSize val="0"/>
        </c:dLbls>
        <c:marker val="1"/>
        <c:smooth val="0"/>
        <c:axId val="255230720"/>
        <c:axId val="255232640"/>
      </c:lineChart>
      <c:catAx>
        <c:axId val="255230720"/>
        <c:scaling>
          <c:orientation val="minMax"/>
        </c:scaling>
        <c:delete val="0"/>
        <c:axPos val="b"/>
        <c:title>
          <c:tx>
            <c:rich>
              <a:bodyPr/>
              <a:lstStyle/>
              <a:p>
                <a:pPr>
                  <a:defRPr/>
                </a:pPr>
                <a:r>
                  <a:rPr lang="es-EC"/>
                  <a:t>Grupo Etario</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55232640"/>
        <c:crosses val="autoZero"/>
        <c:auto val="1"/>
        <c:lblAlgn val="l"/>
        <c:lblOffset val="100"/>
        <c:noMultiLvlLbl val="0"/>
      </c:catAx>
      <c:valAx>
        <c:axId val="255232640"/>
        <c:scaling>
          <c:orientation val="minMax"/>
          <c:max val="1000"/>
          <c:min val="0"/>
        </c:scaling>
        <c:delete val="0"/>
        <c:axPos val="l"/>
        <c:title>
          <c:tx>
            <c:rich>
              <a:bodyPr rot="-5400000" vert="horz"/>
              <a:lstStyle/>
              <a:p>
                <a:pPr>
                  <a:defRPr sz="750"/>
                </a:pPr>
                <a:r>
                  <a:rPr lang="es-EC" sz="750"/>
                  <a:t>Tasa por cada 1000 Inmigrantes</a:t>
                </a:r>
              </a:p>
            </c:rich>
          </c:tx>
          <c:layout>
            <c:manualLayout>
              <c:xMode val="edge"/>
              <c:yMode val="edge"/>
              <c:x val="5.4423076923077011E-3"/>
              <c:y val="2.3835888699602511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5523072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62796771130106"/>
          <c:y val="5.0925925925925923E-2"/>
          <c:w val="0.7048960113960121"/>
          <c:h val="0.5851405160227473"/>
        </c:manualLayout>
      </c:layout>
      <c:lineChart>
        <c:grouping val="standard"/>
        <c:varyColors val="0"/>
        <c:ser>
          <c:idx val="0"/>
          <c:order val="0"/>
          <c:tx>
            <c:strRef>
              <c:f>Etnia!$M$5</c:f>
              <c:strCache>
                <c:ptCount val="1"/>
                <c:pt idx="0">
                  <c:v>Colombia</c:v>
                </c:pt>
              </c:strCache>
            </c:strRef>
          </c:tx>
          <c:spPr>
            <a:ln>
              <a:noFill/>
            </a:ln>
          </c:spPr>
          <c:marker>
            <c:symbol val="circle"/>
            <c:size val="5"/>
            <c:spPr>
              <a:solidFill>
                <a:srgbClr val="C00000"/>
              </a:solidFill>
              <a:ln>
                <a:solidFill>
                  <a:srgbClr val="C00000"/>
                </a:solidFill>
              </a:ln>
            </c:spPr>
          </c:marker>
          <c:cat>
            <c:strRef>
              <c:f>Etnia!$N$4:$U$4</c:f>
              <c:strCache>
                <c:ptCount val="8"/>
                <c:pt idx="0">
                  <c:v> Indígena</c:v>
                </c:pt>
                <c:pt idx="1">
                  <c:v>Afrodescendiente</c:v>
                </c:pt>
                <c:pt idx="2">
                  <c:v> Negro/a</c:v>
                </c:pt>
                <c:pt idx="3">
                  <c:v> Mulato/a</c:v>
                </c:pt>
                <c:pt idx="4">
                  <c:v> Montubio/a</c:v>
                </c:pt>
                <c:pt idx="5">
                  <c:v> Mestizo/a</c:v>
                </c:pt>
                <c:pt idx="6">
                  <c:v> Blanco/a</c:v>
                </c:pt>
                <c:pt idx="7">
                  <c:v> Otro/a</c:v>
                </c:pt>
              </c:strCache>
            </c:strRef>
          </c:cat>
          <c:val>
            <c:numRef>
              <c:f>Etnia!$N$5:$U$5</c:f>
              <c:numCache>
                <c:formatCode>0,000</c:formatCode>
                <c:ptCount val="8"/>
                <c:pt idx="0">
                  <c:v>2.7554458418120594E-2</c:v>
                </c:pt>
                <c:pt idx="1">
                  <c:v>3.8607376766632201E-2</c:v>
                </c:pt>
                <c:pt idx="2">
                  <c:v>4.8759604585737963E-2</c:v>
                </c:pt>
                <c:pt idx="3">
                  <c:v>3.8729692764452747E-2</c:v>
                </c:pt>
                <c:pt idx="4">
                  <c:v>5.5598180827523434E-3</c:v>
                </c:pt>
                <c:pt idx="5">
                  <c:v>0.63800024463199634</c:v>
                </c:pt>
                <c:pt idx="6">
                  <c:v>0.18024930224283101</c:v>
                </c:pt>
                <c:pt idx="7">
                  <c:v>2.2539502507478007E-2</c:v>
                </c:pt>
              </c:numCache>
            </c:numRef>
          </c:val>
          <c:smooth val="0"/>
        </c:ser>
        <c:ser>
          <c:idx val="1"/>
          <c:order val="1"/>
          <c:tx>
            <c:strRef>
              <c:f>Etnia!$M$6</c:f>
              <c:strCache>
                <c:ptCount val="1"/>
                <c:pt idx="0">
                  <c:v>Perú</c:v>
                </c:pt>
              </c:strCache>
            </c:strRef>
          </c:tx>
          <c:spPr>
            <a:ln>
              <a:noFill/>
            </a:ln>
          </c:spPr>
          <c:marker>
            <c:symbol val="circle"/>
            <c:size val="5"/>
            <c:spPr>
              <a:solidFill>
                <a:schemeClr val="accent6">
                  <a:lumMod val="75000"/>
                </a:schemeClr>
              </a:solidFill>
              <a:ln>
                <a:solidFill>
                  <a:schemeClr val="accent6">
                    <a:lumMod val="75000"/>
                  </a:schemeClr>
                </a:solidFill>
              </a:ln>
            </c:spPr>
          </c:marker>
          <c:cat>
            <c:strRef>
              <c:f>Etnia!$N$4:$U$4</c:f>
              <c:strCache>
                <c:ptCount val="8"/>
                <c:pt idx="0">
                  <c:v> Indígena</c:v>
                </c:pt>
                <c:pt idx="1">
                  <c:v>Afrodescendiente</c:v>
                </c:pt>
                <c:pt idx="2">
                  <c:v> Negro/a</c:v>
                </c:pt>
                <c:pt idx="3">
                  <c:v> Mulato/a</c:v>
                </c:pt>
                <c:pt idx="4">
                  <c:v> Montubio/a</c:v>
                </c:pt>
                <c:pt idx="5">
                  <c:v> Mestizo/a</c:v>
                </c:pt>
                <c:pt idx="6">
                  <c:v> Blanco/a</c:v>
                </c:pt>
                <c:pt idx="7">
                  <c:v> Otro/a</c:v>
                </c:pt>
              </c:strCache>
            </c:strRef>
          </c:cat>
          <c:val>
            <c:numRef>
              <c:f>Etnia!$N$6:$U$6</c:f>
              <c:numCache>
                <c:formatCode>0,000</c:formatCode>
                <c:ptCount val="8"/>
                <c:pt idx="0">
                  <c:v>1.3268690992600153E-2</c:v>
                </c:pt>
                <c:pt idx="1">
                  <c:v>1.5756570553712702E-2</c:v>
                </c:pt>
                <c:pt idx="2">
                  <c:v>5.103342689461607E-3</c:v>
                </c:pt>
                <c:pt idx="3">
                  <c:v>1.4480734881347285E-2</c:v>
                </c:pt>
                <c:pt idx="4">
                  <c:v>9.3136004082674285E-3</c:v>
                </c:pt>
                <c:pt idx="5">
                  <c:v>0.80664710385302374</c:v>
                </c:pt>
                <c:pt idx="6">
                  <c:v>0.10525644297014561</c:v>
                </c:pt>
                <c:pt idx="7">
                  <c:v>3.0173513651441695E-2</c:v>
                </c:pt>
              </c:numCache>
            </c:numRef>
          </c:val>
          <c:smooth val="0"/>
        </c:ser>
        <c:ser>
          <c:idx val="2"/>
          <c:order val="2"/>
          <c:tx>
            <c:strRef>
              <c:f>Etnia!$M$7</c:f>
              <c:strCache>
                <c:ptCount val="1"/>
                <c:pt idx="0">
                  <c:v>Estados Unidos</c:v>
                </c:pt>
              </c:strCache>
            </c:strRef>
          </c:tx>
          <c:spPr>
            <a:ln>
              <a:noFill/>
            </a:ln>
          </c:spPr>
          <c:marker>
            <c:symbol val="circle"/>
            <c:size val="5"/>
            <c:spPr>
              <a:solidFill>
                <a:srgbClr val="00B0F0"/>
              </a:solidFill>
              <a:ln>
                <a:solidFill>
                  <a:srgbClr val="00B0F0"/>
                </a:solidFill>
              </a:ln>
            </c:spPr>
          </c:marker>
          <c:cat>
            <c:strRef>
              <c:f>Etnia!$N$4:$U$4</c:f>
              <c:strCache>
                <c:ptCount val="8"/>
                <c:pt idx="0">
                  <c:v> Indígena</c:v>
                </c:pt>
                <c:pt idx="1">
                  <c:v>Afrodescendiente</c:v>
                </c:pt>
                <c:pt idx="2">
                  <c:v> Negro/a</c:v>
                </c:pt>
                <c:pt idx="3">
                  <c:v> Mulato/a</c:v>
                </c:pt>
                <c:pt idx="4">
                  <c:v> Montubio/a</c:v>
                </c:pt>
                <c:pt idx="5">
                  <c:v> Mestizo/a</c:v>
                </c:pt>
                <c:pt idx="6">
                  <c:v> Blanco/a</c:v>
                </c:pt>
                <c:pt idx="7">
                  <c:v> Otro/a</c:v>
                </c:pt>
              </c:strCache>
            </c:strRef>
          </c:cat>
          <c:val>
            <c:numRef>
              <c:f>Etnia!$N$7:$U$7</c:f>
              <c:numCache>
                <c:formatCode>0,000</c:formatCode>
                <c:ptCount val="8"/>
                <c:pt idx="0">
                  <c:v>1.0787773856296199E-2</c:v>
                </c:pt>
                <c:pt idx="1">
                  <c:v>4.7945661583538727E-3</c:v>
                </c:pt>
                <c:pt idx="2">
                  <c:v>3.1297862422587789E-3</c:v>
                </c:pt>
                <c:pt idx="3">
                  <c:v>5.2607045348604916E-3</c:v>
                </c:pt>
                <c:pt idx="4">
                  <c:v>3.5959246187654051E-3</c:v>
                </c:pt>
                <c:pt idx="5">
                  <c:v>0.55284011453685888</c:v>
                </c:pt>
                <c:pt idx="6">
                  <c:v>0.39182260105214195</c:v>
                </c:pt>
                <c:pt idx="7">
                  <c:v>2.7768529000466138E-2</c:v>
                </c:pt>
              </c:numCache>
            </c:numRef>
          </c:val>
          <c:smooth val="0"/>
        </c:ser>
        <c:ser>
          <c:idx val="3"/>
          <c:order val="3"/>
          <c:tx>
            <c:strRef>
              <c:f>Etnia!$M$8</c:f>
              <c:strCache>
                <c:ptCount val="1"/>
                <c:pt idx="0">
                  <c:v>España</c:v>
                </c:pt>
              </c:strCache>
            </c:strRef>
          </c:tx>
          <c:spPr>
            <a:ln>
              <a:noFill/>
            </a:ln>
          </c:spPr>
          <c:marker>
            <c:symbol val="circle"/>
            <c:size val="5"/>
            <c:spPr>
              <a:solidFill>
                <a:srgbClr val="7030A0"/>
              </a:solidFill>
              <a:ln>
                <a:solidFill>
                  <a:srgbClr val="7030A0"/>
                </a:solidFill>
              </a:ln>
            </c:spPr>
          </c:marker>
          <c:cat>
            <c:strRef>
              <c:f>Etnia!$N$4:$U$4</c:f>
              <c:strCache>
                <c:ptCount val="8"/>
                <c:pt idx="0">
                  <c:v> Indígena</c:v>
                </c:pt>
                <c:pt idx="1">
                  <c:v>Afrodescendiente</c:v>
                </c:pt>
                <c:pt idx="2">
                  <c:v> Negro/a</c:v>
                </c:pt>
                <c:pt idx="3">
                  <c:v> Mulato/a</c:v>
                </c:pt>
                <c:pt idx="4">
                  <c:v> Montubio/a</c:v>
                </c:pt>
                <c:pt idx="5">
                  <c:v> Mestizo/a</c:v>
                </c:pt>
                <c:pt idx="6">
                  <c:v> Blanco/a</c:v>
                </c:pt>
                <c:pt idx="7">
                  <c:v> Otro/a</c:v>
                </c:pt>
              </c:strCache>
            </c:strRef>
          </c:cat>
          <c:val>
            <c:numRef>
              <c:f>Etnia!$N$8:$U$8</c:f>
              <c:numCache>
                <c:formatCode>0,000</c:formatCode>
                <c:ptCount val="8"/>
                <c:pt idx="0">
                  <c:v>1.9438290573858357E-2</c:v>
                </c:pt>
                <c:pt idx="1">
                  <c:v>1.5364825269777786E-2</c:v>
                </c:pt>
                <c:pt idx="2">
                  <c:v>2.2868577145715749E-3</c:v>
                </c:pt>
                <c:pt idx="3">
                  <c:v>1.2792110340884727E-2</c:v>
                </c:pt>
                <c:pt idx="4">
                  <c:v>9.4332880726077425E-3</c:v>
                </c:pt>
                <c:pt idx="5">
                  <c:v>0.66797684556564063</c:v>
                </c:pt>
                <c:pt idx="6">
                  <c:v>0.25648538554991818</c:v>
                </c:pt>
                <c:pt idx="7">
                  <c:v>1.6222396912742087E-2</c:v>
                </c:pt>
              </c:numCache>
            </c:numRef>
          </c:val>
          <c:smooth val="0"/>
        </c:ser>
        <c:ser>
          <c:idx val="4"/>
          <c:order val="4"/>
          <c:tx>
            <c:strRef>
              <c:f>Etnia!$M$9</c:f>
              <c:strCache>
                <c:ptCount val="1"/>
                <c:pt idx="0">
                  <c:v>Otros Países</c:v>
                </c:pt>
              </c:strCache>
            </c:strRef>
          </c:tx>
          <c:spPr>
            <a:ln>
              <a:noFill/>
            </a:ln>
          </c:spPr>
          <c:marker>
            <c:symbol val="circle"/>
            <c:size val="5"/>
            <c:spPr>
              <a:solidFill>
                <a:srgbClr val="D735B4"/>
              </a:solidFill>
              <a:ln>
                <a:solidFill>
                  <a:srgbClr val="D735B4"/>
                </a:solidFill>
              </a:ln>
            </c:spPr>
          </c:marker>
          <c:cat>
            <c:strRef>
              <c:f>Etnia!$N$4:$U$4</c:f>
              <c:strCache>
                <c:ptCount val="8"/>
                <c:pt idx="0">
                  <c:v> Indígena</c:v>
                </c:pt>
                <c:pt idx="1">
                  <c:v>Afrodescendiente</c:v>
                </c:pt>
                <c:pt idx="2">
                  <c:v> Negro/a</c:v>
                </c:pt>
                <c:pt idx="3">
                  <c:v> Mulato/a</c:v>
                </c:pt>
                <c:pt idx="4">
                  <c:v> Montubio/a</c:v>
                </c:pt>
                <c:pt idx="5">
                  <c:v> Mestizo/a</c:v>
                </c:pt>
                <c:pt idx="6">
                  <c:v> Blanco/a</c:v>
                </c:pt>
                <c:pt idx="7">
                  <c:v> Otro/a</c:v>
                </c:pt>
              </c:strCache>
            </c:strRef>
          </c:cat>
          <c:val>
            <c:numRef>
              <c:f>Etnia!$N$9:$U$9</c:f>
              <c:numCache>
                <c:formatCode>0,000</c:formatCode>
                <c:ptCount val="8"/>
                <c:pt idx="0">
                  <c:v>7.9843497645640579E-3</c:v>
                </c:pt>
                <c:pt idx="1">
                  <c:v>1.4785832897340824E-2</c:v>
                </c:pt>
                <c:pt idx="2">
                  <c:v>2.3748322376652028E-2</c:v>
                </c:pt>
                <c:pt idx="3">
                  <c:v>2.1200609631264081E-2</c:v>
                </c:pt>
                <c:pt idx="4">
                  <c:v>4.1172857760287439E-3</c:v>
                </c:pt>
                <c:pt idx="5">
                  <c:v>0.35640681513159422</c:v>
                </c:pt>
                <c:pt idx="6">
                  <c:v>0.4369554832692622</c:v>
                </c:pt>
                <c:pt idx="7">
                  <c:v>0.13480130115329514</c:v>
                </c:pt>
              </c:numCache>
            </c:numRef>
          </c:val>
          <c:smooth val="0"/>
        </c:ser>
        <c:ser>
          <c:idx val="5"/>
          <c:order val="5"/>
          <c:tx>
            <c:strRef>
              <c:f>Etnia!$M$10</c:f>
              <c:strCache>
                <c:ptCount val="1"/>
                <c:pt idx="0">
                  <c:v>No especifican</c:v>
                </c:pt>
              </c:strCache>
            </c:strRef>
          </c:tx>
          <c:spPr>
            <a:ln>
              <a:noFill/>
            </a:ln>
          </c:spPr>
          <c:marker>
            <c:symbol val="circle"/>
            <c:size val="5"/>
            <c:spPr>
              <a:solidFill>
                <a:srgbClr val="00B050"/>
              </a:solidFill>
              <a:ln>
                <a:solidFill>
                  <a:srgbClr val="00B050"/>
                </a:solidFill>
              </a:ln>
            </c:spPr>
          </c:marker>
          <c:cat>
            <c:strRef>
              <c:f>Etnia!$N$4:$U$4</c:f>
              <c:strCache>
                <c:ptCount val="8"/>
                <c:pt idx="0">
                  <c:v> Indígena</c:v>
                </c:pt>
                <c:pt idx="1">
                  <c:v>Afrodescendiente</c:v>
                </c:pt>
                <c:pt idx="2">
                  <c:v> Negro/a</c:v>
                </c:pt>
                <c:pt idx="3">
                  <c:v> Mulato/a</c:v>
                </c:pt>
                <c:pt idx="4">
                  <c:v> Montubio/a</c:v>
                </c:pt>
                <c:pt idx="5">
                  <c:v> Mestizo/a</c:v>
                </c:pt>
                <c:pt idx="6">
                  <c:v> Blanco/a</c:v>
                </c:pt>
                <c:pt idx="7">
                  <c:v> Otro/a</c:v>
                </c:pt>
              </c:strCache>
            </c:strRef>
          </c:cat>
          <c:val>
            <c:numRef>
              <c:f>Etnia!$N$10:$U$10</c:f>
              <c:numCache>
                <c:formatCode>0,000</c:formatCode>
                <c:ptCount val="8"/>
                <c:pt idx="0">
                  <c:v>3.8532110091743142E-2</c:v>
                </c:pt>
                <c:pt idx="1">
                  <c:v>2.4770642201834871E-2</c:v>
                </c:pt>
                <c:pt idx="2">
                  <c:v>2.7828746177370071E-2</c:v>
                </c:pt>
                <c:pt idx="3">
                  <c:v>2.2629969418960286E-2</c:v>
                </c:pt>
                <c:pt idx="4">
                  <c:v>1.5290519877675841E-2</c:v>
                </c:pt>
                <c:pt idx="5">
                  <c:v>0.59143730886850088</c:v>
                </c:pt>
                <c:pt idx="6">
                  <c:v>0.23211009174311928</c:v>
                </c:pt>
                <c:pt idx="7">
                  <c:v>4.7400611620795181E-2</c:v>
                </c:pt>
              </c:numCache>
            </c:numRef>
          </c:val>
          <c:smooth val="0"/>
        </c:ser>
        <c:dLbls>
          <c:showLegendKey val="0"/>
          <c:showVal val="0"/>
          <c:showCatName val="0"/>
          <c:showSerName val="0"/>
          <c:showPercent val="0"/>
          <c:showBubbleSize val="0"/>
        </c:dLbls>
        <c:dropLines>
          <c:spPr>
            <a:ln>
              <a:prstDash val="dash"/>
            </a:ln>
          </c:spPr>
        </c:dropLines>
        <c:marker val="1"/>
        <c:smooth val="0"/>
        <c:axId val="255281792"/>
        <c:axId val="255292160"/>
      </c:lineChart>
      <c:catAx>
        <c:axId val="255281792"/>
        <c:scaling>
          <c:orientation val="minMax"/>
        </c:scaling>
        <c:delete val="0"/>
        <c:axPos val="b"/>
        <c:title>
          <c:tx>
            <c:rich>
              <a:bodyPr/>
              <a:lstStyle/>
              <a:p>
                <a:pPr>
                  <a:defRPr/>
                </a:pPr>
                <a:r>
                  <a:rPr lang="es-EC"/>
                  <a:t>Identificación</a:t>
                </a:r>
                <a:r>
                  <a:rPr lang="es-EC" baseline="0"/>
                  <a:t> étnica</a:t>
                </a:r>
                <a:endParaRPr lang="es-EC"/>
              </a:p>
            </c:rich>
          </c:tx>
          <c:overlay val="0"/>
        </c:title>
        <c:majorTickMark val="out"/>
        <c:minorTickMark val="none"/>
        <c:tickLblPos val="nextTo"/>
        <c:spPr>
          <a:ln>
            <a:solidFill>
              <a:schemeClr val="tx1"/>
            </a:solidFill>
          </a:ln>
        </c:spPr>
        <c:txPr>
          <a:bodyPr rot="-5400000" vert="horz"/>
          <a:lstStyle/>
          <a:p>
            <a:pPr>
              <a:defRPr sz="700"/>
            </a:pPr>
            <a:endParaRPr lang="es-EC"/>
          </a:p>
        </c:txPr>
        <c:crossAx val="255292160"/>
        <c:crosses val="autoZero"/>
        <c:auto val="1"/>
        <c:lblAlgn val="ctr"/>
        <c:lblOffset val="100"/>
        <c:noMultiLvlLbl val="0"/>
      </c:catAx>
      <c:valAx>
        <c:axId val="255292160"/>
        <c:scaling>
          <c:orientation val="minMax"/>
          <c:max val="1"/>
        </c:scaling>
        <c:delete val="0"/>
        <c:axPos val="l"/>
        <c:majorGridlines>
          <c:spPr>
            <a:ln>
              <a:prstDash val="dash"/>
            </a:ln>
          </c:spPr>
        </c:majorGridlines>
        <c:title>
          <c:tx>
            <c:rich>
              <a:bodyPr rot="-5400000" vert="horz"/>
              <a:lstStyle/>
              <a:p>
                <a:pPr>
                  <a:defRPr/>
                </a:pPr>
                <a:r>
                  <a:rPr lang="es-EC"/>
                  <a:t>Frecuencia Relativa</a:t>
                </a:r>
              </a:p>
            </c:rich>
          </c:tx>
          <c:layout>
            <c:manualLayout>
              <c:xMode val="edge"/>
              <c:yMode val="edge"/>
              <c:x val="6.5578030291123853E-3"/>
              <c:y val="0.12355034888931567"/>
            </c:manualLayout>
          </c:layout>
          <c:overlay val="0"/>
        </c:title>
        <c:numFmt formatCode="#,##0.00" sourceLinked="0"/>
        <c:majorTickMark val="out"/>
        <c:minorTickMark val="none"/>
        <c:tickLblPos val="nextTo"/>
        <c:spPr>
          <a:ln>
            <a:solidFill>
              <a:schemeClr val="tx1"/>
            </a:solidFill>
          </a:ln>
        </c:spPr>
        <c:txPr>
          <a:bodyPr/>
          <a:lstStyle/>
          <a:p>
            <a:pPr>
              <a:defRPr sz="700"/>
            </a:pPr>
            <a:endParaRPr lang="es-EC"/>
          </a:p>
        </c:txPr>
        <c:crossAx val="255281792"/>
        <c:crosses val="autoZero"/>
        <c:crossBetween val="between"/>
        <c:majorUnit val="0.2"/>
      </c:valAx>
      <c:spPr>
        <a:noFill/>
        <a:ln>
          <a:solidFill>
            <a:schemeClr val="tx1"/>
          </a:solidFill>
        </a:ln>
      </c:spPr>
    </c:plotArea>
    <c:legend>
      <c:legendPos val="r"/>
      <c:layout>
        <c:manualLayout>
          <c:xMode val="edge"/>
          <c:yMode val="edge"/>
          <c:x val="0.81010652562901997"/>
          <c:y val="5.4403980752406073E-2"/>
          <c:w val="0.17649313936260508"/>
          <c:h val="0.59366547619047705"/>
        </c:manualLayout>
      </c:layout>
      <c:overlay val="0"/>
      <c:txPr>
        <a:bodyPr/>
        <a:lstStyle/>
        <a:p>
          <a:pPr>
            <a:defRPr sz="700"/>
          </a:pPr>
          <a:endParaRPr lang="es-EC"/>
        </a:p>
      </c:txPr>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15206118103164"/>
          <c:y val="7.7924323600695011E-2"/>
          <c:w val="0.85221169868979463"/>
          <c:h val="0.64335712899700759"/>
        </c:manualLayout>
      </c:layout>
      <c:lineChart>
        <c:grouping val="standard"/>
        <c:varyColors val="0"/>
        <c:ser>
          <c:idx val="0"/>
          <c:order val="0"/>
          <c:tx>
            <c:v>Urbano</c:v>
          </c:tx>
          <c:spPr>
            <a:ln w="19050">
              <a:noFill/>
            </a:ln>
          </c:spPr>
          <c:marker>
            <c:symbol val="circle"/>
            <c:size val="5"/>
            <c:spPr>
              <a:solidFill>
                <a:schemeClr val="bg1">
                  <a:lumMod val="50000"/>
                </a:schemeClr>
              </a:solidFill>
              <a:ln>
                <a:solidFill>
                  <a:schemeClr val="bg1">
                    <a:lumMod val="50000"/>
                  </a:schemeClr>
                </a:solidFill>
              </a:ln>
            </c:spPr>
          </c:marker>
          <c:cat>
            <c:strRef>
              <c:f>'Inmigracion(Perfil)'!$A$481:$A$488</c:f>
              <c:strCache>
                <c:ptCount val="8"/>
                <c:pt idx="0">
                  <c:v> Indígena</c:v>
                </c:pt>
                <c:pt idx="1">
                  <c:v>Afrodescendiente</c:v>
                </c:pt>
                <c:pt idx="2">
                  <c:v> Negro/a</c:v>
                </c:pt>
                <c:pt idx="3">
                  <c:v> Mulato/a</c:v>
                </c:pt>
                <c:pt idx="4">
                  <c:v> Montubio/a</c:v>
                </c:pt>
                <c:pt idx="5">
                  <c:v> Mestizo/a</c:v>
                </c:pt>
                <c:pt idx="6">
                  <c:v> Blanco/a</c:v>
                </c:pt>
                <c:pt idx="7">
                  <c:v> Otro/a</c:v>
                </c:pt>
              </c:strCache>
            </c:strRef>
          </c:cat>
          <c:val>
            <c:numRef>
              <c:f>'Inmigracion(Perfil)'!$F$481:$F$488</c:f>
              <c:numCache>
                <c:formatCode>0.00</c:formatCode>
                <c:ptCount val="8"/>
                <c:pt idx="0">
                  <c:v>480.40033361134266</c:v>
                </c:pt>
                <c:pt idx="1">
                  <c:v>770.74097530082361</c:v>
                </c:pt>
                <c:pt idx="2">
                  <c:v>738.15812643070899</c:v>
                </c:pt>
                <c:pt idx="3">
                  <c:v>817.85283474065159</c:v>
                </c:pt>
                <c:pt idx="4">
                  <c:v>593.60301034807242</c:v>
                </c:pt>
                <c:pt idx="5">
                  <c:v>708.23200851128513</c:v>
                </c:pt>
                <c:pt idx="6">
                  <c:v>816.43094226337791</c:v>
                </c:pt>
                <c:pt idx="7">
                  <c:v>875.44715447154397</c:v>
                </c:pt>
              </c:numCache>
            </c:numRef>
          </c:val>
          <c:smooth val="1"/>
        </c:ser>
        <c:ser>
          <c:idx val="1"/>
          <c:order val="1"/>
          <c:tx>
            <c:v>Rural</c:v>
          </c:tx>
          <c:spPr>
            <a:ln w="19050">
              <a:noFill/>
            </a:ln>
          </c:spPr>
          <c:marker>
            <c:symbol val="diamond"/>
            <c:size val="5"/>
            <c:spPr>
              <a:solidFill>
                <a:schemeClr val="tx1"/>
              </a:solidFill>
              <a:ln>
                <a:solidFill>
                  <a:schemeClr val="tx1"/>
                </a:solidFill>
              </a:ln>
            </c:spPr>
          </c:marker>
          <c:cat>
            <c:strRef>
              <c:f>'Inmigracion(Perfil)'!$A$481:$A$488</c:f>
              <c:strCache>
                <c:ptCount val="8"/>
                <c:pt idx="0">
                  <c:v> Indígena</c:v>
                </c:pt>
                <c:pt idx="1">
                  <c:v>Afrodescendiente</c:v>
                </c:pt>
                <c:pt idx="2">
                  <c:v> Negro/a</c:v>
                </c:pt>
                <c:pt idx="3">
                  <c:v> Mulato/a</c:v>
                </c:pt>
                <c:pt idx="4">
                  <c:v> Montubio/a</c:v>
                </c:pt>
                <c:pt idx="5">
                  <c:v> Mestizo/a</c:v>
                </c:pt>
                <c:pt idx="6">
                  <c:v> Blanco/a</c:v>
                </c:pt>
                <c:pt idx="7">
                  <c:v> Otro/a</c:v>
                </c:pt>
              </c:strCache>
            </c:strRef>
          </c:cat>
          <c:val>
            <c:numRef>
              <c:f>'Inmigracion(Perfil)'!$G$481:$G$488</c:f>
              <c:numCache>
                <c:formatCode>0.00</c:formatCode>
                <c:ptCount val="8"/>
                <c:pt idx="0">
                  <c:v>519.59966638865751</c:v>
                </c:pt>
                <c:pt idx="1">
                  <c:v>229.25902469917636</c:v>
                </c:pt>
                <c:pt idx="2">
                  <c:v>261.84187356929039</c:v>
                </c:pt>
                <c:pt idx="3">
                  <c:v>182.14716525934824</c:v>
                </c:pt>
                <c:pt idx="4">
                  <c:v>406.39698965192849</c:v>
                </c:pt>
                <c:pt idx="5">
                  <c:v>291.76799148871493</c:v>
                </c:pt>
                <c:pt idx="6">
                  <c:v>183.56905773662274</c:v>
                </c:pt>
                <c:pt idx="7">
                  <c:v>124.55284552845515</c:v>
                </c:pt>
              </c:numCache>
            </c:numRef>
          </c:val>
          <c:smooth val="1"/>
        </c:ser>
        <c:dLbls>
          <c:showLegendKey val="0"/>
          <c:showVal val="0"/>
          <c:showCatName val="0"/>
          <c:showSerName val="0"/>
          <c:showPercent val="0"/>
          <c:showBubbleSize val="0"/>
        </c:dLbls>
        <c:hiLowLines/>
        <c:marker val="1"/>
        <c:smooth val="0"/>
        <c:axId val="255321984"/>
        <c:axId val="255459328"/>
      </c:lineChart>
      <c:catAx>
        <c:axId val="255321984"/>
        <c:scaling>
          <c:orientation val="minMax"/>
        </c:scaling>
        <c:delete val="0"/>
        <c:axPos val="b"/>
        <c:title>
          <c:tx>
            <c:rich>
              <a:bodyPr/>
              <a:lstStyle/>
              <a:p>
                <a:pPr>
                  <a:defRPr/>
                </a:pPr>
                <a:r>
                  <a:rPr lang="es-EC"/>
                  <a:t>Identificación étnica</a:t>
                </a:r>
              </a:p>
            </c:rich>
          </c:tx>
          <c:overlay val="0"/>
        </c:title>
        <c:numFmt formatCode="General" sourceLinked="1"/>
        <c:majorTickMark val="out"/>
        <c:minorTickMark val="none"/>
        <c:tickLblPos val="nextTo"/>
        <c:spPr>
          <a:ln>
            <a:solidFill>
              <a:schemeClr val="tx1"/>
            </a:solidFill>
          </a:ln>
        </c:spPr>
        <c:txPr>
          <a:bodyPr rot="-5400000" vert="horz"/>
          <a:lstStyle/>
          <a:p>
            <a:pPr>
              <a:defRPr sz="550"/>
            </a:pPr>
            <a:endParaRPr lang="es-EC"/>
          </a:p>
        </c:txPr>
        <c:crossAx val="255459328"/>
        <c:crosses val="autoZero"/>
        <c:auto val="1"/>
        <c:lblAlgn val="ctr"/>
        <c:lblOffset val="100"/>
        <c:noMultiLvlLbl val="0"/>
      </c:catAx>
      <c:valAx>
        <c:axId val="255459328"/>
        <c:scaling>
          <c:orientation val="minMax"/>
          <c:max val="1000"/>
          <c:min val="0"/>
        </c:scaling>
        <c:delete val="0"/>
        <c:axPos val="l"/>
        <c:title>
          <c:tx>
            <c:rich>
              <a:bodyPr rot="-5400000" vert="horz"/>
              <a:lstStyle/>
              <a:p>
                <a:pPr>
                  <a:defRPr/>
                </a:pPr>
                <a:r>
                  <a:rPr lang="es-EC"/>
                  <a:t>Tasa por cda 1000 inmigrantes</a:t>
                </a:r>
              </a:p>
            </c:rich>
          </c:tx>
          <c:overlay val="0"/>
        </c:title>
        <c:numFmt formatCode="0" sourceLinked="0"/>
        <c:majorTickMark val="out"/>
        <c:minorTickMark val="none"/>
        <c:tickLblPos val="nextTo"/>
        <c:spPr>
          <a:ln>
            <a:solidFill>
              <a:schemeClr val="tx1"/>
            </a:solidFill>
          </a:ln>
        </c:spPr>
        <c:txPr>
          <a:bodyPr/>
          <a:lstStyle/>
          <a:p>
            <a:pPr>
              <a:defRPr sz="700"/>
            </a:pPr>
            <a:endParaRPr lang="es-EC"/>
          </a:p>
        </c:txPr>
        <c:crossAx val="255321984"/>
        <c:crosses val="autoZero"/>
        <c:crossBetween val="between"/>
        <c:majorUnit val="100"/>
      </c:valAx>
      <c:spPr>
        <a:noFill/>
        <a:ln>
          <a:solidFill>
            <a:schemeClr val="tx1"/>
          </a:solidFill>
        </a:ln>
      </c:spPr>
    </c:plotArea>
    <c:legend>
      <c:legendPos val="t"/>
      <c:layout>
        <c:manualLayout>
          <c:xMode val="edge"/>
          <c:yMode val="edge"/>
          <c:x val="0.13434763859385734"/>
          <c:y val="8.636977058029699E-2"/>
          <c:w val="0.34996576746365177"/>
          <c:h val="8.0138140627158447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80234485906653052"/>
        </c:manualLayout>
      </c:layout>
      <c:barChart>
        <c:barDir val="bar"/>
        <c:grouping val="clustered"/>
        <c:varyColors val="0"/>
        <c:ser>
          <c:idx val="0"/>
          <c:order val="0"/>
          <c:tx>
            <c:v>Teléfono Celular</c:v>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dLbl>
              <c:idx val="0"/>
              <c:numFmt formatCode="#,##0.000" sourceLinked="0"/>
              <c:spPr>
                <a:solidFill>
                  <a:schemeClr val="bg1"/>
                </a:solidFill>
              </c:spPr>
              <c:txPr>
                <a:bodyPr/>
                <a:lstStyle/>
                <a:p>
                  <a:pPr>
                    <a:defRPr sz="650"/>
                  </a:pPr>
                  <a:endParaRPr lang="es-EC"/>
                </a:p>
              </c:txPr>
              <c:dLblPos val="outEnd"/>
              <c:showLegendKey val="0"/>
              <c:showVal val="1"/>
              <c:showCatName val="0"/>
              <c:showSerName val="0"/>
              <c:showPercent val="0"/>
              <c:showBubbleSize val="0"/>
            </c:dLbl>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'Inmigracion(Perfil)'!$B$549:$B$551</c:f>
              <c:strCache>
                <c:ptCount val="3"/>
                <c:pt idx="0">
                  <c:v>Sí</c:v>
                </c:pt>
                <c:pt idx="1">
                  <c:v>No</c:v>
                </c:pt>
                <c:pt idx="2">
                  <c:v>Se ignora</c:v>
                </c:pt>
              </c:strCache>
            </c:strRef>
          </c:cat>
          <c:val>
            <c:numRef>
              <c:f>'Inmigracion(Perfil)'!$G$549:$G$551</c:f>
              <c:numCache>
                <c:formatCode>0,000</c:formatCode>
                <c:ptCount val="3"/>
                <c:pt idx="0">
                  <c:v>0.70661781192103001</c:v>
                </c:pt>
                <c:pt idx="1">
                  <c:v>0.2624408491757238</c:v>
                </c:pt>
                <c:pt idx="2">
                  <c:v>3.0941338903246404E-2</c:v>
                </c:pt>
              </c:numCache>
            </c:numRef>
          </c:val>
        </c:ser>
        <c:dLbls>
          <c:showLegendKey val="0"/>
          <c:showVal val="1"/>
          <c:showCatName val="0"/>
          <c:showSerName val="0"/>
          <c:showPercent val="0"/>
          <c:showBubbleSize val="0"/>
        </c:dLbls>
        <c:gapWidth val="50"/>
        <c:axId val="255484672"/>
        <c:axId val="255486592"/>
      </c:barChart>
      <c:catAx>
        <c:axId val="255484672"/>
        <c:scaling>
          <c:orientation val="maxMin"/>
        </c:scaling>
        <c:delete val="0"/>
        <c:axPos val="l"/>
        <c:title>
          <c:tx>
            <c:rich>
              <a:bodyPr rot="-5400000" vert="horz"/>
              <a:lstStyle/>
              <a:p>
                <a:pPr>
                  <a:defRPr sz="700"/>
                </a:pPr>
                <a:r>
                  <a:rPr lang="es-EC" sz="700"/>
                  <a:t>Teléfono Celular</a:t>
                </a:r>
              </a:p>
            </c:rich>
          </c:tx>
          <c:overlay val="0"/>
        </c:title>
        <c:numFmt formatCode="###0" sourceLinked="1"/>
        <c:majorTickMark val="out"/>
        <c:minorTickMark val="none"/>
        <c:tickLblPos val="nextTo"/>
        <c:spPr>
          <a:ln>
            <a:solidFill>
              <a:schemeClr val="tx1"/>
            </a:solidFill>
          </a:ln>
        </c:spPr>
        <c:txPr>
          <a:bodyPr rot="0" vert="horz"/>
          <a:lstStyle/>
          <a:p>
            <a:pPr>
              <a:defRPr sz="600"/>
            </a:pPr>
            <a:endParaRPr lang="es-EC"/>
          </a:p>
        </c:txPr>
        <c:crossAx val="255486592"/>
        <c:crosses val="autoZero"/>
        <c:auto val="1"/>
        <c:lblAlgn val="ctr"/>
        <c:lblOffset val="100"/>
        <c:noMultiLvlLbl val="0"/>
      </c:catAx>
      <c:valAx>
        <c:axId val="255486592"/>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55484672"/>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72178477690291"/>
          <c:y val="6.8204365079365045E-2"/>
          <c:w val="0.81933804428292556"/>
          <c:h val="0.75393615332967334"/>
        </c:manualLayout>
      </c:layout>
      <c:scatterChart>
        <c:scatterStyle val="smoothMarker"/>
        <c:varyColors val="0"/>
        <c:ser>
          <c:idx val="0"/>
          <c:order val="0"/>
          <c:spPr>
            <a:ln w="19050">
              <a:solidFill>
                <a:schemeClr val="bg1">
                  <a:lumMod val="65000"/>
                </a:schemeClr>
              </a:solidFill>
            </a:ln>
          </c:spPr>
          <c:marker>
            <c:symbol val="square"/>
            <c:size val="5"/>
            <c:spPr>
              <a:solidFill>
                <a:schemeClr val="bg1">
                  <a:lumMod val="65000"/>
                </a:schemeClr>
              </a:solidFill>
              <a:ln>
                <a:solidFill>
                  <a:schemeClr val="bg1">
                    <a:lumMod val="65000"/>
                  </a:schemeClr>
                </a:solidFill>
              </a:ln>
            </c:spPr>
          </c:marker>
          <c:dLbls>
            <c:dLbl>
              <c:idx val="3"/>
              <c:layout>
                <c:manualLayout>
                  <c:x val="-4.7993357973110523E-2"/>
                  <c:y val="5.6542513581151158E-2"/>
                </c:manualLayout>
              </c:layout>
              <c:dLblPos val="r"/>
              <c:showLegendKey val="0"/>
              <c:showVal val="1"/>
              <c:showCatName val="0"/>
              <c:showSerName val="0"/>
              <c:showPercent val="0"/>
              <c:showBubbleSize val="0"/>
            </c:dLbl>
            <c:dLbl>
              <c:idx val="6"/>
              <c:layout>
                <c:manualLayout>
                  <c:x val="-5.0714446408484694E-2"/>
                  <c:y val="-5.5085393395592985E-2"/>
                </c:manualLayout>
              </c:layout>
              <c:spPr>
                <a:noFill/>
              </c:spPr>
              <c:txPr>
                <a:bodyPr/>
                <a:lstStyle/>
                <a:p>
                  <a:pPr>
                    <a:defRPr sz="700"/>
                  </a:pPr>
                  <a:endParaRPr lang="es-EC"/>
                </a:p>
              </c:txPr>
              <c:dLblPos val="r"/>
              <c:showLegendKey val="0"/>
              <c:showVal val="1"/>
              <c:showCatName val="0"/>
              <c:showSerName val="0"/>
              <c:showPercent val="0"/>
              <c:showBubbleSize val="0"/>
            </c:dLbl>
            <c:txPr>
              <a:bodyPr/>
              <a:lstStyle/>
              <a:p>
                <a:pPr>
                  <a:defRPr sz="700"/>
                </a:pPr>
                <a:endParaRPr lang="es-EC"/>
              </a:p>
            </c:txPr>
            <c:dLblPos val="t"/>
            <c:showLegendKey val="0"/>
            <c:showVal val="1"/>
            <c:showCatName val="0"/>
            <c:showSerName val="0"/>
            <c:showPercent val="0"/>
            <c:showBubbleSize val="0"/>
            <c:showLeaderLines val="0"/>
          </c:dLbls>
          <c:xVal>
            <c:numRef>
              <c:f>Hoja1!$A$69:$A$75</c:f>
              <c:numCache>
                <c:formatCode>General</c:formatCode>
                <c:ptCount val="7"/>
                <c:pt idx="0">
                  <c:v>1993</c:v>
                </c:pt>
                <c:pt idx="1">
                  <c:v>1998</c:v>
                </c:pt>
                <c:pt idx="2">
                  <c:v>2001</c:v>
                </c:pt>
                <c:pt idx="3">
                  <c:v>2002</c:v>
                </c:pt>
                <c:pt idx="4">
                  <c:v>2003</c:v>
                </c:pt>
                <c:pt idx="5">
                  <c:v>2004</c:v>
                </c:pt>
                <c:pt idx="6">
                  <c:v>2005</c:v>
                </c:pt>
              </c:numCache>
            </c:numRef>
          </c:xVal>
          <c:yVal>
            <c:numRef>
              <c:f>Hoja1!$B$69:$B$75</c:f>
              <c:numCache>
                <c:formatCode>General</c:formatCode>
                <c:ptCount val="7"/>
                <c:pt idx="0">
                  <c:v>1280</c:v>
                </c:pt>
                <c:pt idx="1">
                  <c:v>4908</c:v>
                </c:pt>
                <c:pt idx="2">
                  <c:v>13716</c:v>
                </c:pt>
                <c:pt idx="3">
                  <c:v>12108</c:v>
                </c:pt>
                <c:pt idx="4">
                  <c:v>45859</c:v>
                </c:pt>
                <c:pt idx="5">
                  <c:v>33506</c:v>
                </c:pt>
                <c:pt idx="6">
                  <c:v>53220</c:v>
                </c:pt>
              </c:numCache>
            </c:numRef>
          </c:yVal>
          <c:smooth val="0"/>
        </c:ser>
        <c:dLbls>
          <c:showLegendKey val="0"/>
          <c:showVal val="1"/>
          <c:showCatName val="0"/>
          <c:showSerName val="0"/>
          <c:showPercent val="0"/>
          <c:showBubbleSize val="0"/>
        </c:dLbls>
        <c:axId val="213575168"/>
        <c:axId val="213858176"/>
      </c:scatterChart>
      <c:valAx>
        <c:axId val="213575168"/>
        <c:scaling>
          <c:orientation val="minMax"/>
        </c:scaling>
        <c:delete val="0"/>
        <c:axPos val="b"/>
        <c:title>
          <c:tx>
            <c:rich>
              <a:bodyPr/>
              <a:lstStyle/>
              <a:p>
                <a:pPr>
                  <a:defRPr/>
                </a:pPr>
                <a:r>
                  <a:rPr lang="en-US"/>
                  <a:t>Año</a:t>
                </a:r>
              </a:p>
            </c:rich>
          </c:tx>
          <c:overlay val="0"/>
        </c:title>
        <c:numFmt formatCode="General" sourceLinked="1"/>
        <c:majorTickMark val="out"/>
        <c:minorTickMark val="none"/>
        <c:tickLblPos val="nextTo"/>
        <c:spPr>
          <a:ln>
            <a:solidFill>
              <a:schemeClr val="tx1"/>
            </a:solidFill>
          </a:ln>
        </c:spPr>
        <c:crossAx val="213858176"/>
        <c:crosses val="autoZero"/>
        <c:crossBetween val="midCat"/>
      </c:valAx>
      <c:valAx>
        <c:axId val="213858176"/>
        <c:scaling>
          <c:orientation val="minMax"/>
        </c:scaling>
        <c:delete val="0"/>
        <c:axPos val="l"/>
        <c:majorGridlines>
          <c:spPr>
            <a:ln>
              <a:prstDash val="dash"/>
            </a:ln>
          </c:spPr>
        </c:majorGridlines>
        <c:title>
          <c:tx>
            <c:rich>
              <a:bodyPr rot="-5400000" vert="horz"/>
              <a:lstStyle/>
              <a:p>
                <a:pPr>
                  <a:defRPr/>
                </a:pPr>
                <a:r>
                  <a:rPr lang="en-US"/>
                  <a:t>Total de inmigrantes</a:t>
                </a:r>
              </a:p>
            </c:rich>
          </c:tx>
          <c:overlay val="0"/>
        </c:title>
        <c:numFmt formatCode="General" sourceLinked="1"/>
        <c:majorTickMark val="out"/>
        <c:minorTickMark val="none"/>
        <c:tickLblPos val="nextTo"/>
        <c:spPr>
          <a:ln>
            <a:solidFill>
              <a:sysClr val="windowText" lastClr="000000"/>
            </a:solidFill>
          </a:ln>
        </c:spPr>
        <c:txPr>
          <a:bodyPr/>
          <a:lstStyle/>
          <a:p>
            <a:pPr>
              <a:defRPr sz="700"/>
            </a:pPr>
            <a:endParaRPr lang="es-EC"/>
          </a:p>
        </c:txPr>
        <c:crossAx val="213575168"/>
        <c:crosses val="autoZero"/>
        <c:crossBetween val="midCat"/>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80234485906653052"/>
        </c:manualLayout>
      </c:layout>
      <c:barChart>
        <c:barDir val="bar"/>
        <c:grouping val="clustered"/>
        <c:varyColors val="0"/>
        <c:ser>
          <c:idx val="0"/>
          <c:order val="0"/>
          <c:tx>
            <c:v>Internet</c:v>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'Inmigracion(Perfil)'!$B$577:$B$579</c:f>
              <c:strCache>
                <c:ptCount val="3"/>
                <c:pt idx="0">
                  <c:v>Sí</c:v>
                </c:pt>
                <c:pt idx="1">
                  <c:v>No</c:v>
                </c:pt>
                <c:pt idx="2">
                  <c:v>Se ignora</c:v>
                </c:pt>
              </c:strCache>
            </c:strRef>
          </c:cat>
          <c:val>
            <c:numRef>
              <c:f>'Inmigracion(Perfil)'!$G$577:$G$579</c:f>
              <c:numCache>
                <c:formatCode>0,000</c:formatCode>
                <c:ptCount val="3"/>
                <c:pt idx="0">
                  <c:v>0.47033903305365782</c:v>
                </c:pt>
                <c:pt idx="1">
                  <c:v>0.46216117345794838</c:v>
                </c:pt>
                <c:pt idx="2">
                  <c:v>6.7499793488394064E-2</c:v>
                </c:pt>
              </c:numCache>
            </c:numRef>
          </c:val>
        </c:ser>
        <c:dLbls>
          <c:showLegendKey val="0"/>
          <c:showVal val="1"/>
          <c:showCatName val="0"/>
          <c:showSerName val="0"/>
          <c:showPercent val="0"/>
          <c:showBubbleSize val="0"/>
        </c:dLbls>
        <c:gapWidth val="50"/>
        <c:axId val="255505920"/>
        <c:axId val="255521536"/>
      </c:barChart>
      <c:catAx>
        <c:axId val="255505920"/>
        <c:scaling>
          <c:orientation val="maxMin"/>
        </c:scaling>
        <c:delete val="0"/>
        <c:axPos val="l"/>
        <c:title>
          <c:tx>
            <c:rich>
              <a:bodyPr rot="-5400000" vert="horz"/>
              <a:lstStyle/>
              <a:p>
                <a:pPr>
                  <a:defRPr sz="700"/>
                </a:pPr>
                <a:r>
                  <a:rPr lang="es-EC" sz="700"/>
                  <a:t>Internet</a:t>
                </a:r>
              </a:p>
            </c:rich>
          </c:tx>
          <c:overlay val="0"/>
        </c:title>
        <c:majorTickMark val="out"/>
        <c:minorTickMark val="none"/>
        <c:tickLblPos val="nextTo"/>
        <c:spPr>
          <a:ln>
            <a:solidFill>
              <a:schemeClr val="tx1"/>
            </a:solidFill>
          </a:ln>
        </c:spPr>
        <c:txPr>
          <a:bodyPr rot="0" vert="horz"/>
          <a:lstStyle/>
          <a:p>
            <a:pPr>
              <a:defRPr sz="600"/>
            </a:pPr>
            <a:endParaRPr lang="es-EC"/>
          </a:p>
        </c:txPr>
        <c:crossAx val="255521536"/>
        <c:crosses val="autoZero"/>
        <c:auto val="1"/>
        <c:lblAlgn val="ctr"/>
        <c:lblOffset val="100"/>
        <c:noMultiLvlLbl val="0"/>
      </c:catAx>
      <c:valAx>
        <c:axId val="255521536"/>
        <c:scaling>
          <c:orientation val="minMax"/>
          <c:max val="1"/>
          <c:min val="0"/>
        </c:scaling>
        <c:delete val="0"/>
        <c:axPos val="t"/>
        <c:title>
          <c:tx>
            <c:rich>
              <a:bodyPr/>
              <a:lstStyle/>
              <a:p>
                <a:pPr>
                  <a:defRPr sz="700"/>
                </a:pPr>
                <a:r>
                  <a:rPr lang="es-EC" sz="700"/>
                  <a:t>Frecuencia Relativa</a:t>
                </a:r>
              </a:p>
            </c:rich>
          </c:tx>
          <c:layout>
            <c:manualLayout>
              <c:xMode val="edge"/>
              <c:yMode val="edge"/>
              <c:x val="0.28229433104301455"/>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55505920"/>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62488122105755883"/>
          <c:h val="0.80234485906653052"/>
        </c:manualLayout>
      </c:layout>
      <c:barChart>
        <c:barDir val="bar"/>
        <c:grouping val="clustered"/>
        <c:varyColors val="0"/>
        <c:ser>
          <c:idx val="0"/>
          <c:order val="0"/>
          <c:tx>
            <c:v>Computadora</c:v>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'Inmigracion(Perfil)'!$B$604:$B$606</c:f>
              <c:strCache>
                <c:ptCount val="3"/>
                <c:pt idx="0">
                  <c:v>Sí</c:v>
                </c:pt>
                <c:pt idx="1">
                  <c:v>No</c:v>
                </c:pt>
                <c:pt idx="2">
                  <c:v>Se ignora</c:v>
                </c:pt>
              </c:strCache>
            </c:strRef>
          </c:cat>
          <c:val>
            <c:numRef>
              <c:f>'Inmigracion(Perfil)'!$G$604:$G$606</c:f>
              <c:numCache>
                <c:formatCode>0,000</c:formatCode>
                <c:ptCount val="3"/>
                <c:pt idx="0">
                  <c:v>0.50829586622768264</c:v>
                </c:pt>
                <c:pt idx="1">
                  <c:v>0.42604524374269837</c:v>
                </c:pt>
                <c:pt idx="2">
                  <c:v>6.5658890029619679E-2</c:v>
                </c:pt>
              </c:numCache>
            </c:numRef>
          </c:val>
        </c:ser>
        <c:dLbls>
          <c:showLegendKey val="0"/>
          <c:showVal val="1"/>
          <c:showCatName val="0"/>
          <c:showSerName val="0"/>
          <c:showPercent val="0"/>
          <c:showBubbleSize val="0"/>
        </c:dLbls>
        <c:gapWidth val="50"/>
        <c:axId val="255548800"/>
        <c:axId val="255560320"/>
      </c:barChart>
      <c:catAx>
        <c:axId val="255548800"/>
        <c:scaling>
          <c:orientation val="maxMin"/>
        </c:scaling>
        <c:delete val="0"/>
        <c:axPos val="l"/>
        <c:title>
          <c:tx>
            <c:rich>
              <a:bodyPr rot="-5400000" vert="horz"/>
              <a:lstStyle/>
              <a:p>
                <a:pPr>
                  <a:defRPr sz="700"/>
                </a:pPr>
                <a:r>
                  <a:rPr lang="es-EC" sz="700"/>
                  <a:t>Computadora</a:t>
                </a:r>
              </a:p>
            </c:rich>
          </c:tx>
          <c:overlay val="0"/>
        </c:title>
        <c:majorTickMark val="out"/>
        <c:minorTickMark val="none"/>
        <c:tickLblPos val="nextTo"/>
        <c:spPr>
          <a:ln>
            <a:solidFill>
              <a:schemeClr val="tx1"/>
            </a:solidFill>
          </a:ln>
        </c:spPr>
        <c:txPr>
          <a:bodyPr rot="0" vert="horz"/>
          <a:lstStyle/>
          <a:p>
            <a:pPr>
              <a:defRPr sz="600"/>
            </a:pPr>
            <a:endParaRPr lang="es-EC"/>
          </a:p>
        </c:txPr>
        <c:crossAx val="255560320"/>
        <c:crosses val="autoZero"/>
        <c:auto val="1"/>
        <c:lblAlgn val="ctr"/>
        <c:lblOffset val="100"/>
        <c:noMultiLvlLbl val="0"/>
      </c:catAx>
      <c:valAx>
        <c:axId val="255560320"/>
        <c:scaling>
          <c:orientation val="minMax"/>
          <c:max val="1"/>
          <c:min val="0"/>
        </c:scaling>
        <c:delete val="0"/>
        <c:axPos val="t"/>
        <c:title>
          <c:tx>
            <c:rich>
              <a:bodyPr/>
              <a:lstStyle/>
              <a:p>
                <a:pPr>
                  <a:defRPr sz="700"/>
                </a:pPr>
                <a:r>
                  <a:rPr lang="es-EC" sz="700"/>
                  <a:t>Frecuencia Relativa</a:t>
                </a:r>
              </a:p>
            </c:rich>
          </c:tx>
          <c:layout>
            <c:manualLayout>
              <c:xMode val="edge"/>
              <c:yMode val="edge"/>
              <c:x val="0.28229433104301455"/>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55548800"/>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45331218843545"/>
          <c:y val="5.1400554097404488E-2"/>
          <c:w val="0.86511522125308193"/>
          <c:h val="0.70331552446055312"/>
        </c:manualLayout>
      </c:layout>
      <c:lineChart>
        <c:grouping val="standard"/>
        <c:varyColors val="0"/>
        <c:ser>
          <c:idx val="0"/>
          <c:order val="0"/>
          <c:tx>
            <c:strRef>
              <c:f>'Inmigracion(Perfil)'!$N$551</c:f>
              <c:strCache>
                <c:ptCount val="1"/>
                <c:pt idx="0">
                  <c:v>Sí</c:v>
                </c:pt>
              </c:strCache>
            </c:strRef>
          </c:tx>
          <c:spPr>
            <a:ln w="19050">
              <a:solidFill>
                <a:srgbClr val="0070C0"/>
              </a:solidFill>
            </a:ln>
          </c:spPr>
          <c:marker>
            <c:symbol val="none"/>
          </c:marker>
          <c:cat>
            <c:strRef>
              <c:f>'Inmigracion(Perfil)'!$I$552:$I$571</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'Inmigracion(Perfil)'!$N$552:$N$571</c:f>
              <c:numCache>
                <c:formatCode>#,##0,000</c:formatCode>
                <c:ptCount val="20"/>
                <c:pt idx="0">
                  <c:v>0.21020943755467536</c:v>
                </c:pt>
                <c:pt idx="1">
                  <c:v>0.48940413861879828</c:v>
                </c:pt>
                <c:pt idx="2">
                  <c:v>0.76689327545253594</c:v>
                </c:pt>
                <c:pt idx="3">
                  <c:v>0.81579914268218146</c:v>
                </c:pt>
                <c:pt idx="4">
                  <c:v>0.84145569620253235</c:v>
                </c:pt>
                <c:pt idx="5">
                  <c:v>0.85934930702372636</c:v>
                </c:pt>
                <c:pt idx="6">
                  <c:v>0.85584570519618353</c:v>
                </c:pt>
                <c:pt idx="7">
                  <c:v>0.84228715048696157</c:v>
                </c:pt>
                <c:pt idx="8">
                  <c:v>0.83119079837618493</c:v>
                </c:pt>
                <c:pt idx="9">
                  <c:v>0.80019409100711669</c:v>
                </c:pt>
                <c:pt idx="10">
                  <c:v>0.75208199871877079</c:v>
                </c:pt>
                <c:pt idx="11">
                  <c:v>0.71824717562478679</c:v>
                </c:pt>
                <c:pt idx="12">
                  <c:v>0.64014385255113671</c:v>
                </c:pt>
                <c:pt idx="13">
                  <c:v>0.53287818900467121</c:v>
                </c:pt>
                <c:pt idx="14">
                  <c:v>0.41815144766146994</c:v>
                </c:pt>
                <c:pt idx="15">
                  <c:v>0.31133828996282609</c:v>
                </c:pt>
                <c:pt idx="16">
                  <c:v>0.22156862745098038</c:v>
                </c:pt>
                <c:pt idx="17">
                  <c:v>0.10045662100456618</c:v>
                </c:pt>
                <c:pt idx="18">
                  <c:v>7.5757575757575774E-2</c:v>
                </c:pt>
                <c:pt idx="19">
                  <c:v>0.16</c:v>
                </c:pt>
              </c:numCache>
            </c:numRef>
          </c:val>
          <c:smooth val="0"/>
        </c:ser>
        <c:ser>
          <c:idx val="1"/>
          <c:order val="1"/>
          <c:tx>
            <c:strRef>
              <c:f>'Inmigracion(Perfil)'!$O$551</c:f>
              <c:strCache>
                <c:ptCount val="1"/>
                <c:pt idx="0">
                  <c:v>No</c:v>
                </c:pt>
              </c:strCache>
            </c:strRef>
          </c:tx>
          <c:spPr>
            <a:ln w="19050">
              <a:solidFill>
                <a:schemeClr val="accent6">
                  <a:lumMod val="75000"/>
                </a:schemeClr>
              </a:solidFill>
            </a:ln>
          </c:spPr>
          <c:marker>
            <c:symbol val="none"/>
          </c:marker>
          <c:cat>
            <c:strRef>
              <c:f>'Inmigracion(Perfil)'!$I$552:$I$571</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'Inmigracion(Perfil)'!$O$552:$O$571</c:f>
              <c:numCache>
                <c:formatCode>#,##0,000</c:formatCode>
                <c:ptCount val="20"/>
                <c:pt idx="0">
                  <c:v>0.6683991149076316</c:v>
                </c:pt>
                <c:pt idx="1">
                  <c:v>0.45682705892129977</c:v>
                </c:pt>
                <c:pt idx="2">
                  <c:v>0.21123761159800164</c:v>
                </c:pt>
                <c:pt idx="3">
                  <c:v>0.16662584200857317</c:v>
                </c:pt>
                <c:pt idx="4">
                  <c:v>0.1438818565400844</c:v>
                </c:pt>
                <c:pt idx="5">
                  <c:v>0.12538172421893318</c:v>
                </c:pt>
                <c:pt idx="6">
                  <c:v>0.13069989395546144</c:v>
                </c:pt>
                <c:pt idx="7">
                  <c:v>0.14538171536286523</c:v>
                </c:pt>
                <c:pt idx="8">
                  <c:v>0.15536197564276066</c:v>
                </c:pt>
                <c:pt idx="9">
                  <c:v>0.18514125512184626</c:v>
                </c:pt>
                <c:pt idx="10">
                  <c:v>0.23023702754644482</c:v>
                </c:pt>
                <c:pt idx="11">
                  <c:v>0.26360835330366345</c:v>
                </c:pt>
                <c:pt idx="12">
                  <c:v>0.33895257361204867</c:v>
                </c:pt>
                <c:pt idx="13">
                  <c:v>0.44699964067552966</c:v>
                </c:pt>
                <c:pt idx="14">
                  <c:v>0.56458797327394206</c:v>
                </c:pt>
                <c:pt idx="15">
                  <c:v>0.65427509293680408</c:v>
                </c:pt>
                <c:pt idx="16">
                  <c:v>0.74313725490196059</c:v>
                </c:pt>
                <c:pt idx="17">
                  <c:v>0.85844748858447584</c:v>
                </c:pt>
                <c:pt idx="18">
                  <c:v>0.89393939393939392</c:v>
                </c:pt>
                <c:pt idx="19">
                  <c:v>0.8</c:v>
                </c:pt>
              </c:numCache>
            </c:numRef>
          </c:val>
          <c:smooth val="0"/>
        </c:ser>
        <c:ser>
          <c:idx val="2"/>
          <c:order val="2"/>
          <c:tx>
            <c:strRef>
              <c:f>'Inmigracion(Perfil)'!$P$551</c:f>
              <c:strCache>
                <c:ptCount val="1"/>
                <c:pt idx="0">
                  <c:v>Se ignora</c:v>
                </c:pt>
              </c:strCache>
            </c:strRef>
          </c:tx>
          <c:spPr>
            <a:ln w="19050">
              <a:solidFill>
                <a:srgbClr val="D735B4"/>
              </a:solidFill>
            </a:ln>
          </c:spPr>
          <c:marker>
            <c:symbol val="none"/>
          </c:marker>
          <c:cat>
            <c:strRef>
              <c:f>'Inmigracion(Perfil)'!$I$552:$I$571</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'Inmigracion(Perfil)'!$P$552:$P$571</c:f>
              <c:numCache>
                <c:formatCode>#,##0,000</c:formatCode>
                <c:ptCount val="20"/>
                <c:pt idx="0">
                  <c:v>0.12139144753769369</c:v>
                </c:pt>
                <c:pt idx="1">
                  <c:v>5.3768802459901933E-2</c:v>
                </c:pt>
                <c:pt idx="2">
                  <c:v>2.1869112949463566E-2</c:v>
                </c:pt>
                <c:pt idx="3">
                  <c:v>1.7575015309246784E-2</c:v>
                </c:pt>
                <c:pt idx="4">
                  <c:v>1.4662447257383967E-2</c:v>
                </c:pt>
                <c:pt idx="5">
                  <c:v>1.5268968757340851E-2</c:v>
                </c:pt>
                <c:pt idx="6">
                  <c:v>1.3454400848356324E-2</c:v>
                </c:pt>
                <c:pt idx="7">
                  <c:v>1.2331134150172793E-2</c:v>
                </c:pt>
                <c:pt idx="8">
                  <c:v>1.3447225981055485E-2</c:v>
                </c:pt>
                <c:pt idx="9">
                  <c:v>1.4664653871037311E-2</c:v>
                </c:pt>
                <c:pt idx="10">
                  <c:v>1.7680973734785416E-2</c:v>
                </c:pt>
                <c:pt idx="11">
                  <c:v>1.8144471071550861E-2</c:v>
                </c:pt>
                <c:pt idx="12">
                  <c:v>2.0903573836817266E-2</c:v>
                </c:pt>
                <c:pt idx="13">
                  <c:v>2.0122170319798779E-2</c:v>
                </c:pt>
                <c:pt idx="14">
                  <c:v>1.7260579064588014E-2</c:v>
                </c:pt>
                <c:pt idx="15">
                  <c:v>3.4386617100371789E-2</c:v>
                </c:pt>
                <c:pt idx="16">
                  <c:v>3.5294117647058851E-2</c:v>
                </c:pt>
                <c:pt idx="17">
                  <c:v>4.1095890410958895E-2</c:v>
                </c:pt>
                <c:pt idx="18">
                  <c:v>3.0303030303030311E-2</c:v>
                </c:pt>
                <c:pt idx="19">
                  <c:v>4.0000000000000022E-2</c:v>
                </c:pt>
              </c:numCache>
            </c:numRef>
          </c:val>
          <c:smooth val="0"/>
        </c:ser>
        <c:dLbls>
          <c:showLegendKey val="0"/>
          <c:showVal val="0"/>
          <c:showCatName val="0"/>
          <c:showSerName val="0"/>
          <c:showPercent val="0"/>
          <c:showBubbleSize val="0"/>
        </c:dLbls>
        <c:marker val="1"/>
        <c:smooth val="0"/>
        <c:axId val="186322944"/>
        <c:axId val="186324864"/>
      </c:lineChart>
      <c:catAx>
        <c:axId val="186322944"/>
        <c:scaling>
          <c:orientation val="minMax"/>
        </c:scaling>
        <c:delete val="0"/>
        <c:axPos val="b"/>
        <c:title>
          <c:tx>
            <c:rich>
              <a:bodyPr/>
              <a:lstStyle/>
              <a:p>
                <a:pPr>
                  <a:defRPr/>
                </a:pPr>
                <a:r>
                  <a:rPr lang="es-EC"/>
                  <a:t>Grupos Etarios</a:t>
                </a:r>
              </a:p>
            </c:rich>
          </c:tx>
          <c:overlay val="0"/>
        </c:title>
        <c:majorTickMark val="out"/>
        <c:minorTickMark val="none"/>
        <c:tickLblPos val="nextTo"/>
        <c:spPr>
          <a:ln>
            <a:solidFill>
              <a:schemeClr val="tx1"/>
            </a:solidFill>
          </a:ln>
        </c:spPr>
        <c:txPr>
          <a:bodyPr rot="-5400000" vert="horz"/>
          <a:lstStyle/>
          <a:p>
            <a:pPr>
              <a:defRPr sz="700"/>
            </a:pPr>
            <a:endParaRPr lang="es-EC"/>
          </a:p>
        </c:txPr>
        <c:crossAx val="186324864"/>
        <c:crosses val="autoZero"/>
        <c:auto val="1"/>
        <c:lblAlgn val="ctr"/>
        <c:lblOffset val="100"/>
        <c:noMultiLvlLbl val="0"/>
      </c:catAx>
      <c:valAx>
        <c:axId val="186324864"/>
        <c:scaling>
          <c:orientation val="minMax"/>
        </c:scaling>
        <c:delete val="0"/>
        <c:axPos val="l"/>
        <c:title>
          <c:tx>
            <c:rich>
              <a:bodyPr rot="-5400000" vert="horz"/>
              <a:lstStyle/>
              <a:p>
                <a:pPr>
                  <a:defRPr/>
                </a:pPr>
                <a:r>
                  <a:rPr lang="es-EC"/>
                  <a:t>Proporción</a:t>
                </a:r>
              </a:p>
            </c:rich>
          </c:tx>
          <c:overlay val="0"/>
        </c:title>
        <c:numFmt formatCode="#,##0.00" sourceLinked="0"/>
        <c:majorTickMark val="out"/>
        <c:minorTickMark val="none"/>
        <c:tickLblPos val="nextTo"/>
        <c:spPr>
          <a:ln>
            <a:solidFill>
              <a:schemeClr val="tx1"/>
            </a:solidFill>
          </a:ln>
        </c:spPr>
        <c:crossAx val="186322944"/>
        <c:crosses val="autoZero"/>
        <c:crossBetween val="between"/>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45331218843545"/>
          <c:y val="5.1400554097404488E-2"/>
          <c:w val="0.86511522125308193"/>
          <c:h val="0.70331552446055312"/>
        </c:manualLayout>
      </c:layout>
      <c:lineChart>
        <c:grouping val="standard"/>
        <c:varyColors val="0"/>
        <c:ser>
          <c:idx val="0"/>
          <c:order val="0"/>
          <c:tx>
            <c:strRef>
              <c:f>'Inmigracion(Perfil)'!$N$551</c:f>
              <c:strCache>
                <c:ptCount val="1"/>
                <c:pt idx="0">
                  <c:v>Sí</c:v>
                </c:pt>
              </c:strCache>
            </c:strRef>
          </c:tx>
          <c:spPr>
            <a:ln w="19050">
              <a:solidFill>
                <a:srgbClr val="0070C0"/>
              </a:solidFill>
            </a:ln>
          </c:spPr>
          <c:marker>
            <c:symbol val="none"/>
          </c:marker>
          <c:cat>
            <c:strRef>
              <c:f>'Inmigracion(Perfil)'!$I$579:$I$598</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'Inmigracion(Perfil)'!$N$579:$N$598</c:f>
              <c:numCache>
                <c:formatCode>#,##0,000</c:formatCode>
                <c:ptCount val="20"/>
                <c:pt idx="0">
                  <c:v>0.31739824010703477</c:v>
                </c:pt>
                <c:pt idx="1">
                  <c:v>0.55405966924291528</c:v>
                </c:pt>
                <c:pt idx="2">
                  <c:v>0.56622163977393725</c:v>
                </c:pt>
                <c:pt idx="3">
                  <c:v>0.51843233312920933</c:v>
                </c:pt>
                <c:pt idx="4">
                  <c:v>0.51687763713080248</c:v>
                </c:pt>
                <c:pt idx="5">
                  <c:v>0.52807141179234207</c:v>
                </c:pt>
                <c:pt idx="6">
                  <c:v>0.52293213149522733</c:v>
                </c:pt>
                <c:pt idx="7">
                  <c:v>0.49811498586239461</c:v>
                </c:pt>
                <c:pt idx="8">
                  <c:v>0.48173207036535881</c:v>
                </c:pt>
                <c:pt idx="9">
                  <c:v>0.45158507655811925</c:v>
                </c:pt>
                <c:pt idx="10">
                  <c:v>0.41883408071748918</c:v>
                </c:pt>
                <c:pt idx="11" formatCode="0,000">
                  <c:v>0.41030469017459825</c:v>
                </c:pt>
                <c:pt idx="12">
                  <c:v>0.35760845133737956</c:v>
                </c:pt>
                <c:pt idx="13">
                  <c:v>0.28386633129716188</c:v>
                </c:pt>
                <c:pt idx="14">
                  <c:v>0.17928730512249488</c:v>
                </c:pt>
                <c:pt idx="15">
                  <c:v>0.14219330855018594</c:v>
                </c:pt>
                <c:pt idx="16">
                  <c:v>0.10784313725490199</c:v>
                </c:pt>
                <c:pt idx="17">
                  <c:v>4.5662100456621058E-2</c:v>
                </c:pt>
                <c:pt idx="18">
                  <c:v>4.5454545454545463E-2</c:v>
                </c:pt>
                <c:pt idx="19" formatCode="0.00%">
                  <c:v>8.0000000000000043E-2</c:v>
                </c:pt>
              </c:numCache>
            </c:numRef>
          </c:val>
          <c:smooth val="0"/>
        </c:ser>
        <c:ser>
          <c:idx val="1"/>
          <c:order val="1"/>
          <c:tx>
            <c:strRef>
              <c:f>'Inmigracion(Perfil)'!$O$551</c:f>
              <c:strCache>
                <c:ptCount val="1"/>
                <c:pt idx="0">
                  <c:v>No</c:v>
                </c:pt>
              </c:strCache>
            </c:strRef>
          </c:tx>
          <c:spPr>
            <a:ln w="19050">
              <a:solidFill>
                <a:schemeClr val="accent6">
                  <a:lumMod val="75000"/>
                </a:schemeClr>
              </a:solidFill>
            </a:ln>
          </c:spPr>
          <c:marker>
            <c:symbol val="none"/>
          </c:marker>
          <c:cat>
            <c:strRef>
              <c:f>'Inmigracion(Perfil)'!$I$579:$I$598</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'Inmigracion(Perfil)'!$O$579:$O$598</c:f>
              <c:numCache>
                <c:formatCode>#,##0,000</c:formatCode>
                <c:ptCount val="20"/>
                <c:pt idx="0">
                  <c:v>0.56892914115164928</c:v>
                </c:pt>
                <c:pt idx="1">
                  <c:v>0.38718524058838194</c:v>
                </c:pt>
                <c:pt idx="2">
                  <c:v>0.37341305594233781</c:v>
                </c:pt>
                <c:pt idx="3">
                  <c:v>0.41586037966932088</c:v>
                </c:pt>
                <c:pt idx="4">
                  <c:v>0.42431434599156176</c:v>
                </c:pt>
                <c:pt idx="5">
                  <c:v>0.41167488841907485</c:v>
                </c:pt>
                <c:pt idx="6">
                  <c:v>0.4155620360551433</c:v>
                </c:pt>
                <c:pt idx="7">
                  <c:v>0.44093622368834434</c:v>
                </c:pt>
                <c:pt idx="8">
                  <c:v>0.45830514208389717</c:v>
                </c:pt>
                <c:pt idx="9">
                  <c:v>0.48436489109337988</c:v>
                </c:pt>
                <c:pt idx="10">
                  <c:v>0.5165919282511211</c:v>
                </c:pt>
                <c:pt idx="11" formatCode="0,000">
                  <c:v>0.52618966107497434</c:v>
                </c:pt>
                <c:pt idx="12">
                  <c:v>0.57563497415149534</c:v>
                </c:pt>
                <c:pt idx="13">
                  <c:v>0.65612648221343972</c:v>
                </c:pt>
                <c:pt idx="14">
                  <c:v>0.76336302895322938</c:v>
                </c:pt>
                <c:pt idx="15">
                  <c:v>0.78903345724907148</c:v>
                </c:pt>
                <c:pt idx="16">
                  <c:v>0.83529411764705885</c:v>
                </c:pt>
                <c:pt idx="17">
                  <c:v>0.88584474885844744</c:v>
                </c:pt>
                <c:pt idx="18">
                  <c:v>0.90909090909090906</c:v>
                </c:pt>
                <c:pt idx="19" formatCode="0.00%">
                  <c:v>0.8</c:v>
                </c:pt>
              </c:numCache>
            </c:numRef>
          </c:val>
          <c:smooth val="0"/>
        </c:ser>
        <c:ser>
          <c:idx val="2"/>
          <c:order val="2"/>
          <c:tx>
            <c:strRef>
              <c:f>'Inmigracion(Perfil)'!$P$551</c:f>
              <c:strCache>
                <c:ptCount val="1"/>
                <c:pt idx="0">
                  <c:v>Se ignora</c:v>
                </c:pt>
              </c:strCache>
            </c:strRef>
          </c:tx>
          <c:spPr>
            <a:ln w="19050">
              <a:solidFill>
                <a:srgbClr val="D735B4"/>
              </a:solidFill>
            </a:ln>
          </c:spPr>
          <c:marker>
            <c:symbol val="none"/>
          </c:marker>
          <c:cat>
            <c:strRef>
              <c:f>'Inmigracion(Perfil)'!$I$579:$I$598</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'Inmigracion(Perfil)'!$P$579:$P$598</c:f>
              <c:numCache>
                <c:formatCode>#,##0,000</c:formatCode>
                <c:ptCount val="20"/>
                <c:pt idx="0">
                  <c:v>0.1136726187413164</c:v>
                </c:pt>
                <c:pt idx="1">
                  <c:v>5.8755090168702763E-2</c:v>
                </c:pt>
                <c:pt idx="2">
                  <c:v>6.0365304283725121E-2</c:v>
                </c:pt>
                <c:pt idx="3">
                  <c:v>6.5707287201469733E-2</c:v>
                </c:pt>
                <c:pt idx="4">
                  <c:v>5.8808016877637134E-2</c:v>
                </c:pt>
                <c:pt idx="5">
                  <c:v>6.0253699788583512E-2</c:v>
                </c:pt>
                <c:pt idx="6">
                  <c:v>6.1505832449628844E-2</c:v>
                </c:pt>
                <c:pt idx="7">
                  <c:v>6.0948790449261714E-2</c:v>
                </c:pt>
                <c:pt idx="8">
                  <c:v>5.9962787550744405E-2</c:v>
                </c:pt>
                <c:pt idx="9">
                  <c:v>6.4050032348501318E-2</c:v>
                </c:pt>
                <c:pt idx="10">
                  <c:v>6.4573991031390235E-2</c:v>
                </c:pt>
                <c:pt idx="11" formatCode="0,000">
                  <c:v>6.350564875042794E-2</c:v>
                </c:pt>
                <c:pt idx="12">
                  <c:v>6.6756574511126182E-2</c:v>
                </c:pt>
                <c:pt idx="13">
                  <c:v>6.0007186489399907E-2</c:v>
                </c:pt>
                <c:pt idx="14">
                  <c:v>5.7349665924276184E-2</c:v>
                </c:pt>
                <c:pt idx="15">
                  <c:v>6.8773234200743591E-2</c:v>
                </c:pt>
                <c:pt idx="16">
                  <c:v>5.6862745098039222E-2</c:v>
                </c:pt>
                <c:pt idx="17">
                  <c:v>6.8493150684931503E-2</c:v>
                </c:pt>
                <c:pt idx="18">
                  <c:v>4.5454545454545463E-2</c:v>
                </c:pt>
                <c:pt idx="19" formatCode="0.00%">
                  <c:v>0.12000000000000002</c:v>
                </c:pt>
              </c:numCache>
            </c:numRef>
          </c:val>
          <c:smooth val="0"/>
        </c:ser>
        <c:dLbls>
          <c:showLegendKey val="0"/>
          <c:showVal val="0"/>
          <c:showCatName val="0"/>
          <c:showSerName val="0"/>
          <c:showPercent val="0"/>
          <c:showBubbleSize val="0"/>
        </c:dLbls>
        <c:marker val="1"/>
        <c:smooth val="0"/>
        <c:axId val="186342400"/>
        <c:axId val="219571328"/>
      </c:lineChart>
      <c:catAx>
        <c:axId val="186342400"/>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19571328"/>
        <c:crosses val="autoZero"/>
        <c:auto val="1"/>
        <c:lblAlgn val="ctr"/>
        <c:lblOffset val="100"/>
        <c:noMultiLvlLbl val="0"/>
      </c:catAx>
      <c:valAx>
        <c:axId val="219571328"/>
        <c:scaling>
          <c:orientation val="minMax"/>
        </c:scaling>
        <c:delete val="0"/>
        <c:axPos val="l"/>
        <c:title>
          <c:tx>
            <c:rich>
              <a:bodyPr rot="-5400000" vert="horz"/>
              <a:lstStyle/>
              <a:p>
                <a:pPr>
                  <a:defRPr/>
                </a:pPr>
                <a:r>
                  <a:rPr lang="es-EC"/>
                  <a:t>Proporción</a:t>
                </a:r>
              </a:p>
            </c:rich>
          </c:tx>
          <c:overlay val="0"/>
        </c:title>
        <c:numFmt formatCode="#,##0.00" sourceLinked="0"/>
        <c:majorTickMark val="out"/>
        <c:minorTickMark val="none"/>
        <c:tickLblPos val="nextTo"/>
        <c:spPr>
          <a:ln>
            <a:solidFill>
              <a:schemeClr val="tx1"/>
            </a:solidFill>
          </a:ln>
        </c:spPr>
        <c:crossAx val="186342400"/>
        <c:crosses val="autoZero"/>
        <c:crossBetween val="between"/>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45331218843545"/>
          <c:y val="5.1400554097404488E-2"/>
          <c:w val="0.86511522125308193"/>
          <c:h val="0.70331552446055312"/>
        </c:manualLayout>
      </c:layout>
      <c:lineChart>
        <c:grouping val="standard"/>
        <c:varyColors val="0"/>
        <c:ser>
          <c:idx val="0"/>
          <c:order val="0"/>
          <c:tx>
            <c:strRef>
              <c:f>'Inmigracion(Perfil)'!$N$551</c:f>
              <c:strCache>
                <c:ptCount val="1"/>
                <c:pt idx="0">
                  <c:v>Sí</c:v>
                </c:pt>
              </c:strCache>
            </c:strRef>
          </c:tx>
          <c:spPr>
            <a:ln w="19050">
              <a:solidFill>
                <a:srgbClr val="0070C0"/>
              </a:solidFill>
            </a:ln>
          </c:spPr>
          <c:marker>
            <c:symbol val="none"/>
          </c:marker>
          <c:cat>
            <c:strRef>
              <c:f>'Inmigracion(Perfil)'!$I$606:$I$625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'Inmigracion(Perfil)'!$N$606:$N$625</c:f>
              <c:numCache>
                <c:formatCode>#,##0,000</c:formatCode>
                <c:ptCount val="20"/>
                <c:pt idx="0">
                  <c:v>0.480728657438378</c:v>
                </c:pt>
                <c:pt idx="1">
                  <c:v>0.63167954790991465</c:v>
                </c:pt>
                <c:pt idx="2">
                  <c:v>0.58620689655172409</c:v>
                </c:pt>
                <c:pt idx="3">
                  <c:v>0.53196570728720149</c:v>
                </c:pt>
                <c:pt idx="4">
                  <c:v>0.53386075949367084</c:v>
                </c:pt>
                <c:pt idx="5">
                  <c:v>0.546394174301151</c:v>
                </c:pt>
                <c:pt idx="6">
                  <c:v>0.54314687168610865</c:v>
                </c:pt>
                <c:pt idx="7">
                  <c:v>0.51610116242538484</c:v>
                </c:pt>
                <c:pt idx="8">
                  <c:v>0.49974627875507477</c:v>
                </c:pt>
                <c:pt idx="9" formatCode="0.00%">
                  <c:v>0.46722018546474064</c:v>
                </c:pt>
                <c:pt idx="10">
                  <c:v>0.43574631646380535</c:v>
                </c:pt>
                <c:pt idx="11">
                  <c:v>0.42262923656282098</c:v>
                </c:pt>
                <c:pt idx="12">
                  <c:v>0.37244324567318499</c:v>
                </c:pt>
                <c:pt idx="13">
                  <c:v>0.2953647143370472</c:v>
                </c:pt>
                <c:pt idx="14">
                  <c:v>0.18930957683741667</c:v>
                </c:pt>
                <c:pt idx="15">
                  <c:v>0.14776951672862454</c:v>
                </c:pt>
                <c:pt idx="16">
                  <c:v>0.12352941176470589</c:v>
                </c:pt>
                <c:pt idx="17">
                  <c:v>4.5662100456621058E-2</c:v>
                </c:pt>
                <c:pt idx="18">
                  <c:v>4.5454545454545463E-2</c:v>
                </c:pt>
                <c:pt idx="19">
                  <c:v>8.0000000000000043E-2</c:v>
                </c:pt>
              </c:numCache>
            </c:numRef>
          </c:val>
          <c:smooth val="0"/>
        </c:ser>
        <c:ser>
          <c:idx val="1"/>
          <c:order val="1"/>
          <c:tx>
            <c:strRef>
              <c:f>'Inmigracion(Perfil)'!$O$551</c:f>
              <c:strCache>
                <c:ptCount val="1"/>
                <c:pt idx="0">
                  <c:v>No</c:v>
                </c:pt>
              </c:strCache>
            </c:strRef>
          </c:tx>
          <c:spPr>
            <a:ln w="19050">
              <a:solidFill>
                <a:schemeClr val="accent6">
                  <a:lumMod val="75000"/>
                </a:schemeClr>
              </a:solidFill>
            </a:ln>
          </c:spPr>
          <c:marker>
            <c:symbol val="none"/>
          </c:marker>
          <c:cat>
            <c:strRef>
              <c:f>'Inmigracion(Perfil)'!$I$606:$I$625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'Inmigracion(Perfil)'!$O$606:$O$625</c:f>
              <c:numCache>
                <c:formatCode>#,##0,000</c:formatCode>
                <c:ptCount val="20"/>
                <c:pt idx="0">
                  <c:v>0.41990428652292527</c:v>
                </c:pt>
                <c:pt idx="1">
                  <c:v>0.31696168868943786</c:v>
                </c:pt>
                <c:pt idx="2">
                  <c:v>0.354001146695061</c:v>
                </c:pt>
                <c:pt idx="3">
                  <c:v>0.40042865890998214</c:v>
                </c:pt>
                <c:pt idx="4">
                  <c:v>0.40748945147679327</c:v>
                </c:pt>
                <c:pt idx="5">
                  <c:v>0.39341085271317838</c:v>
                </c:pt>
                <c:pt idx="6">
                  <c:v>0.39501590668080655</c:v>
                </c:pt>
                <c:pt idx="7">
                  <c:v>0.42365692742695582</c:v>
                </c:pt>
                <c:pt idx="8">
                  <c:v>0.43885317997293694</c:v>
                </c:pt>
                <c:pt idx="9" formatCode="0.00%">
                  <c:v>0.46872978218675881</c:v>
                </c:pt>
                <c:pt idx="10">
                  <c:v>0.49814221652786711</c:v>
                </c:pt>
                <c:pt idx="11">
                  <c:v>0.51335159192057511</c:v>
                </c:pt>
                <c:pt idx="12">
                  <c:v>0.55945156214879765</c:v>
                </c:pt>
                <c:pt idx="13">
                  <c:v>0.64534674811354664</c:v>
                </c:pt>
                <c:pt idx="14">
                  <c:v>0.75111358574610176</c:v>
                </c:pt>
                <c:pt idx="15">
                  <c:v>0.78438661710037172</c:v>
                </c:pt>
                <c:pt idx="16">
                  <c:v>0.81960784313725488</c:v>
                </c:pt>
                <c:pt idx="17">
                  <c:v>0.88584474885844744</c:v>
                </c:pt>
                <c:pt idx="18">
                  <c:v>0.90909090909090906</c:v>
                </c:pt>
                <c:pt idx="19">
                  <c:v>0.8</c:v>
                </c:pt>
              </c:numCache>
            </c:numRef>
          </c:val>
          <c:smooth val="0"/>
        </c:ser>
        <c:ser>
          <c:idx val="2"/>
          <c:order val="2"/>
          <c:tx>
            <c:strRef>
              <c:f>'Inmigracion(Perfil)'!$P$551</c:f>
              <c:strCache>
                <c:ptCount val="1"/>
                <c:pt idx="0">
                  <c:v>Se ignora</c:v>
                </c:pt>
              </c:strCache>
            </c:strRef>
          </c:tx>
          <c:spPr>
            <a:ln w="19050">
              <a:solidFill>
                <a:srgbClr val="D735B4"/>
              </a:solidFill>
            </a:ln>
          </c:spPr>
          <c:marker>
            <c:symbol val="none"/>
          </c:marker>
          <c:cat>
            <c:strRef>
              <c:f>'Inmigracion(Perfil)'!$I$606:$I$625</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'Inmigracion(Perfil)'!$P$606:$P$625</c:f>
              <c:numCache>
                <c:formatCode>#,##0,000</c:formatCode>
                <c:ptCount val="20"/>
                <c:pt idx="0">
                  <c:v>9.9367056038697221E-2</c:v>
                </c:pt>
                <c:pt idx="1">
                  <c:v>5.1358763400648287E-2</c:v>
                </c:pt>
                <c:pt idx="2">
                  <c:v>5.9791956753214914E-2</c:v>
                </c:pt>
                <c:pt idx="3">
                  <c:v>6.7605633802816992E-2</c:v>
                </c:pt>
                <c:pt idx="4">
                  <c:v>5.8649789029535868E-2</c:v>
                </c:pt>
                <c:pt idx="5">
                  <c:v>6.0194972985670704E-2</c:v>
                </c:pt>
                <c:pt idx="6">
                  <c:v>6.1837221633085943E-2</c:v>
                </c:pt>
                <c:pt idx="7">
                  <c:v>6.0241910147659415E-2</c:v>
                </c:pt>
                <c:pt idx="8">
                  <c:v>6.1400541271989156E-2</c:v>
                </c:pt>
                <c:pt idx="9" formatCode="0.00%">
                  <c:v>6.4050032348501318E-2</c:v>
                </c:pt>
                <c:pt idx="10">
                  <c:v>6.6111467008327998E-2</c:v>
                </c:pt>
                <c:pt idx="11">
                  <c:v>6.4019171516603912E-2</c:v>
                </c:pt>
                <c:pt idx="12">
                  <c:v>6.8105192178017498E-2</c:v>
                </c:pt>
                <c:pt idx="13">
                  <c:v>5.9288537549407133E-2</c:v>
                </c:pt>
                <c:pt idx="14">
                  <c:v>5.9576837416481135E-2</c:v>
                </c:pt>
                <c:pt idx="15">
                  <c:v>6.7843866171003714E-2</c:v>
                </c:pt>
                <c:pt idx="16">
                  <c:v>5.6862745098039222E-2</c:v>
                </c:pt>
                <c:pt idx="17">
                  <c:v>6.8493150684931503E-2</c:v>
                </c:pt>
                <c:pt idx="18">
                  <c:v>4.5454545454545463E-2</c:v>
                </c:pt>
                <c:pt idx="19">
                  <c:v>0.12000000000000002</c:v>
                </c:pt>
              </c:numCache>
            </c:numRef>
          </c:val>
          <c:smooth val="0"/>
        </c:ser>
        <c:dLbls>
          <c:showLegendKey val="0"/>
          <c:showVal val="0"/>
          <c:showCatName val="0"/>
          <c:showSerName val="0"/>
          <c:showPercent val="0"/>
          <c:showBubbleSize val="0"/>
        </c:dLbls>
        <c:marker val="1"/>
        <c:smooth val="0"/>
        <c:axId val="186460416"/>
        <c:axId val="186462592"/>
      </c:lineChart>
      <c:catAx>
        <c:axId val="186460416"/>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186462592"/>
        <c:crosses val="autoZero"/>
        <c:auto val="1"/>
        <c:lblAlgn val="ctr"/>
        <c:lblOffset val="100"/>
        <c:noMultiLvlLbl val="0"/>
      </c:catAx>
      <c:valAx>
        <c:axId val="186462592"/>
        <c:scaling>
          <c:orientation val="minMax"/>
        </c:scaling>
        <c:delete val="0"/>
        <c:axPos val="l"/>
        <c:title>
          <c:tx>
            <c:rich>
              <a:bodyPr rot="-5400000" vert="horz"/>
              <a:lstStyle/>
              <a:p>
                <a:pPr>
                  <a:defRPr/>
                </a:pPr>
                <a:r>
                  <a:rPr lang="es-EC"/>
                  <a:t>Proporción</a:t>
                </a:r>
              </a:p>
            </c:rich>
          </c:tx>
          <c:overlay val="0"/>
        </c:title>
        <c:numFmt formatCode="#,##0.00" sourceLinked="0"/>
        <c:majorTickMark val="out"/>
        <c:minorTickMark val="none"/>
        <c:tickLblPos val="nextTo"/>
        <c:spPr>
          <a:ln>
            <a:solidFill>
              <a:schemeClr val="tx1"/>
            </a:solidFill>
          </a:ln>
        </c:spPr>
        <c:crossAx val="186460416"/>
        <c:crosses val="autoZero"/>
        <c:crossBetween val="between"/>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056882821387982E-2"/>
          <c:y val="3.6166365280289346E-2"/>
          <c:w val="0.89988623435722359"/>
          <c:h val="0.86121157323689035"/>
        </c:manualLayout>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'Inmigracion(Perfil)'!$M$630:$M$632</c:f>
              <c:numCache>
                <c:formatCode>###0</c:formatCode>
                <c:ptCount val="3"/>
                <c:pt idx="0" formatCode="0">
                  <c:v>181848</c:v>
                </c:pt>
                <c:pt idx="1">
                  <c:v>150049</c:v>
                </c:pt>
                <c:pt idx="2">
                  <c:v>94721</c:v>
                </c:pt>
              </c:numCache>
            </c:numRef>
          </c:val>
        </c:ser>
        <c:ser>
          <c:idx val="1"/>
          <c:order val="1"/>
          <c:spPr>
            <a:solidFill>
              <a:srgbClr val="00B0F0"/>
            </a:solidFill>
          </c:spPr>
          <c:invertIfNegative val="0"/>
          <c:val>
            <c:numRef>
              <c:f>'Inmigracion(Perfil)'!$O$631:$O$633</c:f>
              <c:numCache>
                <c:formatCode>General</c:formatCode>
                <c:ptCount val="3"/>
                <c:pt idx="2" formatCode="###0">
                  <c:v>55328</c:v>
                </c:pt>
              </c:numCache>
            </c:numRef>
          </c:val>
        </c:ser>
        <c:dLbls>
          <c:showLegendKey val="0"/>
          <c:showVal val="1"/>
          <c:showCatName val="0"/>
          <c:showSerName val="0"/>
          <c:showPercent val="0"/>
          <c:showBubbleSize val="0"/>
        </c:dLbls>
        <c:gapWidth val="30"/>
        <c:overlap val="100"/>
        <c:axId val="186489856"/>
        <c:axId val="186495744"/>
      </c:barChart>
      <c:catAx>
        <c:axId val="186489856"/>
        <c:scaling>
          <c:orientation val="minMax"/>
        </c:scaling>
        <c:delete val="0"/>
        <c:axPos val="b"/>
        <c:majorTickMark val="none"/>
        <c:minorTickMark val="none"/>
        <c:tickLblPos val="none"/>
        <c:spPr>
          <a:ln>
            <a:solidFill>
              <a:schemeClr val="tx1"/>
            </a:solidFill>
          </a:ln>
        </c:spPr>
        <c:crossAx val="186495744"/>
        <c:crosses val="autoZero"/>
        <c:auto val="1"/>
        <c:lblAlgn val="ctr"/>
        <c:lblOffset val="100"/>
        <c:noMultiLvlLbl val="0"/>
      </c:catAx>
      <c:valAx>
        <c:axId val="186495744"/>
        <c:scaling>
          <c:orientation val="minMax"/>
        </c:scaling>
        <c:delete val="1"/>
        <c:axPos val="l"/>
        <c:numFmt formatCode="0" sourceLinked="1"/>
        <c:majorTickMark val="out"/>
        <c:minorTickMark val="none"/>
        <c:tickLblPos val="none"/>
        <c:crossAx val="186489856"/>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'Inmigracion(Perfil)'!$N$737:$N$739</c:f>
              <c:numCache>
                <c:formatCode>###0</c:formatCode>
                <c:ptCount val="3"/>
                <c:pt idx="0">
                  <c:v>92310</c:v>
                </c:pt>
                <c:pt idx="1">
                  <c:v>76016</c:v>
                </c:pt>
                <c:pt idx="2">
                  <c:v>58671</c:v>
                </c:pt>
              </c:numCache>
            </c:numRef>
          </c:val>
        </c:ser>
        <c:ser>
          <c:idx val="1"/>
          <c:order val="1"/>
          <c:spPr>
            <a:solidFill>
              <a:srgbClr val="00B0F0"/>
            </a:solidFill>
          </c:spPr>
          <c:invertIfNegative val="0"/>
          <c:val>
            <c:numRef>
              <c:f>'Inmigracion(Perfil)'!$O$738:$O$740</c:f>
              <c:numCache>
                <c:formatCode>General</c:formatCode>
                <c:ptCount val="3"/>
                <c:pt idx="2" formatCode="###0">
                  <c:v>17345</c:v>
                </c:pt>
              </c:numCache>
            </c:numRef>
          </c:val>
        </c:ser>
        <c:dLbls>
          <c:showLegendKey val="0"/>
          <c:showVal val="1"/>
          <c:showCatName val="0"/>
          <c:showSerName val="0"/>
          <c:showPercent val="0"/>
          <c:showBubbleSize val="0"/>
        </c:dLbls>
        <c:gapWidth val="30"/>
        <c:overlap val="100"/>
        <c:axId val="186399744"/>
        <c:axId val="186401536"/>
      </c:barChart>
      <c:catAx>
        <c:axId val="186399744"/>
        <c:scaling>
          <c:orientation val="minMax"/>
        </c:scaling>
        <c:delete val="0"/>
        <c:axPos val="b"/>
        <c:majorTickMark val="none"/>
        <c:minorTickMark val="none"/>
        <c:tickLblPos val="none"/>
        <c:spPr>
          <a:ln>
            <a:solidFill>
              <a:schemeClr val="tx1"/>
            </a:solidFill>
          </a:ln>
        </c:spPr>
        <c:crossAx val="186401536"/>
        <c:crosses val="autoZero"/>
        <c:auto val="1"/>
        <c:lblAlgn val="ctr"/>
        <c:lblOffset val="100"/>
        <c:noMultiLvlLbl val="0"/>
      </c:catAx>
      <c:valAx>
        <c:axId val="186401536"/>
        <c:scaling>
          <c:orientation val="minMax"/>
        </c:scaling>
        <c:delete val="1"/>
        <c:axPos val="l"/>
        <c:numFmt formatCode="###0" sourceLinked="1"/>
        <c:majorTickMark val="out"/>
        <c:minorTickMark val="none"/>
        <c:tickLblPos val="none"/>
        <c:crossAx val="186399744"/>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'Inmigracion(Perfil)'!$S$737:$S$739</c:f>
              <c:numCache>
                <c:formatCode>###0</c:formatCode>
                <c:ptCount val="3"/>
                <c:pt idx="0">
                  <c:v>89538</c:v>
                </c:pt>
                <c:pt idx="1">
                  <c:v>74033</c:v>
                </c:pt>
                <c:pt idx="2">
                  <c:v>36050</c:v>
                </c:pt>
              </c:numCache>
            </c:numRef>
          </c:val>
        </c:ser>
        <c:ser>
          <c:idx val="1"/>
          <c:order val="1"/>
          <c:spPr>
            <a:solidFill>
              <a:srgbClr val="00B0F0"/>
            </a:solidFill>
          </c:spPr>
          <c:invertIfNegative val="0"/>
          <c:val>
            <c:numRef>
              <c:f>'Inmigracion(Perfil)'!$T$738:$T$740</c:f>
              <c:numCache>
                <c:formatCode>General</c:formatCode>
                <c:ptCount val="3"/>
                <c:pt idx="2" formatCode="###0">
                  <c:v>37983</c:v>
                </c:pt>
              </c:numCache>
            </c:numRef>
          </c:val>
        </c:ser>
        <c:dLbls>
          <c:showLegendKey val="0"/>
          <c:showVal val="1"/>
          <c:showCatName val="0"/>
          <c:showSerName val="0"/>
          <c:showPercent val="0"/>
          <c:showBubbleSize val="0"/>
        </c:dLbls>
        <c:gapWidth val="30"/>
        <c:overlap val="100"/>
        <c:axId val="186424320"/>
        <c:axId val="186581760"/>
      </c:barChart>
      <c:catAx>
        <c:axId val="186424320"/>
        <c:scaling>
          <c:orientation val="minMax"/>
        </c:scaling>
        <c:delete val="0"/>
        <c:axPos val="b"/>
        <c:majorTickMark val="none"/>
        <c:minorTickMark val="none"/>
        <c:tickLblPos val="none"/>
        <c:spPr>
          <a:ln>
            <a:solidFill>
              <a:schemeClr val="tx1"/>
            </a:solidFill>
          </a:ln>
        </c:spPr>
        <c:crossAx val="186581760"/>
        <c:crosses val="autoZero"/>
        <c:auto val="1"/>
        <c:lblAlgn val="ctr"/>
        <c:lblOffset val="100"/>
        <c:noMultiLvlLbl val="0"/>
      </c:catAx>
      <c:valAx>
        <c:axId val="186581760"/>
        <c:scaling>
          <c:orientation val="minMax"/>
        </c:scaling>
        <c:delete val="1"/>
        <c:axPos val="l"/>
        <c:numFmt formatCode="###0" sourceLinked="1"/>
        <c:majorTickMark val="out"/>
        <c:minorTickMark val="none"/>
        <c:tickLblPos val="none"/>
        <c:crossAx val="186424320"/>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784017563842322"/>
          <c:y val="3.8244236399205218E-2"/>
          <c:w val="0.43190280460225555"/>
          <c:h val="0.84130803934205733"/>
        </c:manualLayout>
      </c:layout>
      <c:barChart>
        <c:barDir val="bar"/>
        <c:grouping val="clustered"/>
        <c:varyColors val="0"/>
        <c:ser>
          <c:idx val="0"/>
          <c:order val="0"/>
          <c:spPr>
            <a:gradFill>
              <a:gsLst>
                <a:gs pos="0">
                  <a:schemeClr val="bg1">
                    <a:lumMod val="65000"/>
                  </a:schemeClr>
                </a:gs>
                <a:gs pos="50000">
                  <a:schemeClr val="bg1">
                    <a:lumMod val="95000"/>
                  </a:schemeClr>
                </a:gs>
                <a:gs pos="100000">
                  <a:schemeClr val="bg1">
                    <a:lumMod val="65000"/>
                  </a:schemeClr>
                </a:gs>
              </a:gsLst>
              <a:lin ang="13200000" scaled="0"/>
            </a:gradFill>
            <a:ln>
              <a:solidFill>
                <a:schemeClr val="bg1">
                  <a:lumMod val="50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'Inmigracion(Perfil)'!$N$686:$N$694</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Trabajador no remunerado</c:v>
                </c:pt>
                <c:pt idx="7">
                  <c:v>Empleado doméstico</c:v>
                </c:pt>
                <c:pt idx="8">
                  <c:v>Se ignora</c:v>
                </c:pt>
              </c:strCache>
            </c:strRef>
          </c:cat>
          <c:val>
            <c:numRef>
              <c:f>'Inmigracion(Perfil)'!$O$686:$O$694</c:f>
              <c:numCache>
                <c:formatCode>0,000</c:formatCode>
                <c:ptCount val="9"/>
                <c:pt idx="0">
                  <c:v>4.9635988024613685E-2</c:v>
                </c:pt>
                <c:pt idx="1">
                  <c:v>0.41186933130061154</c:v>
                </c:pt>
                <c:pt idx="2">
                  <c:v>0.10952396734387262</c:v>
                </c:pt>
                <c:pt idx="3">
                  <c:v>6.1821275091417272E-2</c:v>
                </c:pt>
                <c:pt idx="4">
                  <c:v>2.6867287530794665E-2</c:v>
                </c:pt>
                <c:pt idx="5">
                  <c:v>0.24813575050541892</c:v>
                </c:pt>
                <c:pt idx="6">
                  <c:v>2.3188501861487593E-2</c:v>
                </c:pt>
                <c:pt idx="7">
                  <c:v>3.5815685104784632E-2</c:v>
                </c:pt>
                <c:pt idx="8">
                  <c:v>3.3142213236999965E-2</c:v>
                </c:pt>
              </c:numCache>
            </c:numRef>
          </c:val>
        </c:ser>
        <c:dLbls>
          <c:showLegendKey val="0"/>
          <c:showVal val="1"/>
          <c:showCatName val="0"/>
          <c:showSerName val="0"/>
          <c:showPercent val="0"/>
          <c:showBubbleSize val="0"/>
        </c:dLbls>
        <c:gapWidth val="40"/>
        <c:axId val="186592256"/>
        <c:axId val="186599680"/>
      </c:barChart>
      <c:catAx>
        <c:axId val="186592256"/>
        <c:scaling>
          <c:orientation val="maxMin"/>
        </c:scaling>
        <c:delete val="0"/>
        <c:axPos val="l"/>
        <c:title>
          <c:tx>
            <c:rich>
              <a:bodyPr rot="-5400000" vert="horz"/>
              <a:lstStyle/>
              <a:p>
                <a:pPr>
                  <a:defRPr/>
                </a:pPr>
                <a:r>
                  <a:rPr lang="es-EC"/>
                  <a:t>En el lugar</a:t>
                </a:r>
                <a:r>
                  <a:rPr lang="es-EC" baseline="0"/>
                  <a:t> indicado trabaja como</a:t>
                </a:r>
                <a:endParaRPr lang="es-EC"/>
              </a:p>
            </c:rich>
          </c:tx>
          <c:overlay val="0"/>
        </c:title>
        <c:majorTickMark val="out"/>
        <c:minorTickMark val="none"/>
        <c:tickLblPos val="nextTo"/>
        <c:spPr>
          <a:ln>
            <a:solidFill>
              <a:schemeClr val="tx1"/>
            </a:solidFill>
          </a:ln>
        </c:spPr>
        <c:txPr>
          <a:bodyPr/>
          <a:lstStyle/>
          <a:p>
            <a:pPr>
              <a:defRPr sz="750"/>
            </a:pPr>
            <a:endParaRPr lang="es-EC"/>
          </a:p>
        </c:txPr>
        <c:crossAx val="186599680"/>
        <c:crosses val="autoZero"/>
        <c:auto val="1"/>
        <c:lblAlgn val="ctr"/>
        <c:lblOffset val="100"/>
        <c:noMultiLvlLbl val="0"/>
      </c:catAx>
      <c:valAx>
        <c:axId val="186599680"/>
        <c:scaling>
          <c:orientation val="minMax"/>
          <c:max val="1"/>
          <c:min val="0"/>
        </c:scaling>
        <c:delete val="0"/>
        <c:axPos val="t"/>
        <c:title>
          <c:tx>
            <c:rich>
              <a:bodyPr/>
              <a:lstStyle/>
              <a:p>
                <a:pPr>
                  <a:defRPr/>
                </a:pPr>
                <a:r>
                  <a:rPr lang="es-EC"/>
                  <a:t>Frecuencia</a:t>
                </a:r>
                <a:r>
                  <a:rPr lang="es-EC" baseline="0"/>
                  <a:t> Relativa</a:t>
                </a:r>
                <a:endParaRPr lang="es-EC"/>
              </a:p>
            </c:rich>
          </c:tx>
          <c:layout>
            <c:manualLayout>
              <c:xMode val="edge"/>
              <c:yMode val="edge"/>
              <c:x val="0.64144868683867451"/>
              <c:y val="0.94579601116739453"/>
            </c:manualLayout>
          </c:layout>
          <c:overlay val="0"/>
        </c:title>
        <c:numFmt formatCode="#,##0.00" sourceLinked="0"/>
        <c:majorTickMark val="in"/>
        <c:minorTickMark val="none"/>
        <c:tickLblPos val="high"/>
        <c:spPr>
          <a:ln>
            <a:solidFill>
              <a:schemeClr val="tx1"/>
            </a:solidFill>
          </a:ln>
        </c:spPr>
        <c:crossAx val="186592256"/>
        <c:crossesAt val="10"/>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78530067333589"/>
          <c:y val="5.319014578623215E-2"/>
          <c:w val="0.49472609715359872"/>
          <c:h val="0.83864721219414406"/>
        </c:manualLayout>
      </c:layout>
      <c:barChart>
        <c:barDir val="bar"/>
        <c:grouping val="stacked"/>
        <c:varyColors val="0"/>
        <c:ser>
          <c:idx val="0"/>
          <c:order val="0"/>
          <c:tx>
            <c:v>Hombre</c:v>
          </c:tx>
          <c:spPr>
            <a:solidFill>
              <a:srgbClr val="00B0F0"/>
            </a:solidFill>
          </c:spPr>
          <c:invertIfNegative val="0"/>
          <c:dLbls>
            <c:dLbl>
              <c:idx val="0"/>
              <c:layout>
                <c:manualLayout>
                  <c:x val="-4.1048937618939525E-2"/>
                  <c:y val="0"/>
                </c:manualLayout>
              </c:layout>
              <c:dLblPos val="ctr"/>
              <c:showLegendKey val="0"/>
              <c:showVal val="1"/>
              <c:showCatName val="0"/>
              <c:showSerName val="0"/>
              <c:showPercent val="0"/>
              <c:showBubbleSize val="0"/>
            </c:dLbl>
            <c:dLbl>
              <c:idx val="1"/>
              <c:layout>
                <c:manualLayout>
                  <c:x val="-8.0398065541142219E-2"/>
                  <c:y val="5.1973701307138633E-7"/>
                </c:manualLayout>
              </c:layout>
              <c:dLblPos val="ctr"/>
              <c:showLegendKey val="0"/>
              <c:showVal val="1"/>
              <c:showCatName val="0"/>
              <c:showSerName val="0"/>
              <c:showPercent val="0"/>
              <c:showBubbleSize val="0"/>
            </c:dLbl>
            <c:dLbl>
              <c:idx val="2"/>
              <c:layout>
                <c:manualLayout>
                  <c:x val="-5.2852628454702621E-2"/>
                  <c:y val="0"/>
                </c:manualLayout>
              </c:layout>
              <c:dLblPos val="ctr"/>
              <c:showLegendKey val="0"/>
              <c:showVal val="1"/>
              <c:showCatName val="0"/>
              <c:showSerName val="0"/>
              <c:showPercent val="0"/>
              <c:showBubbleSize val="0"/>
            </c:dLbl>
            <c:dLbl>
              <c:idx val="3"/>
              <c:layout>
                <c:manualLayout>
                  <c:x val="-3.9949950823774547E-2"/>
                  <c:y val="0"/>
                </c:manualLayout>
              </c:layout>
              <c:dLblPos val="ctr"/>
              <c:showLegendKey val="0"/>
              <c:showVal val="1"/>
              <c:showCatName val="0"/>
              <c:showSerName val="0"/>
              <c:showPercent val="0"/>
              <c:showBubbleSize val="0"/>
            </c:dLbl>
            <c:dLbl>
              <c:idx val="4"/>
              <c:layout>
                <c:manualLayout>
                  <c:x val="-3.91943246562029E-2"/>
                  <c:y val="0"/>
                </c:manualLayout>
              </c:layout>
              <c:dLblPos val="ctr"/>
              <c:showLegendKey val="0"/>
              <c:showVal val="1"/>
              <c:showCatName val="0"/>
              <c:showSerName val="0"/>
              <c:showPercent val="0"/>
              <c:showBubbleSize val="0"/>
            </c:dLbl>
            <c:dLbl>
              <c:idx val="5"/>
              <c:layout>
                <c:manualLayout>
                  <c:x val="-6.3942129185071375E-2"/>
                  <c:y val="0"/>
                </c:manualLayout>
              </c:layout>
              <c:dLblPos val="ctr"/>
              <c:showLegendKey val="0"/>
              <c:showVal val="1"/>
              <c:showCatName val="0"/>
              <c:showSerName val="0"/>
              <c:showPercent val="0"/>
              <c:showBubbleSize val="0"/>
            </c:dLbl>
            <c:dLbl>
              <c:idx val="6"/>
              <c:layout>
                <c:manualLayout>
                  <c:x val="-3.6704901909434276E-2"/>
                  <c:y val="0"/>
                </c:manualLayout>
              </c:layout>
              <c:dLblPos val="ctr"/>
              <c:showLegendKey val="0"/>
              <c:showVal val="1"/>
              <c:showCatName val="0"/>
              <c:showSerName val="0"/>
              <c:showPercent val="0"/>
              <c:showBubbleSize val="0"/>
            </c:dLbl>
            <c:dLbl>
              <c:idx val="8"/>
              <c:layout>
                <c:manualLayout>
                  <c:x val="-3.8389580459870454E-2"/>
                  <c:y val="0"/>
                </c:manualLayout>
              </c:layout>
              <c:dLblPos val="ctr"/>
              <c:showLegendKey val="0"/>
              <c:showVal val="1"/>
              <c:showCatName val="0"/>
              <c:showSerName val="0"/>
              <c:showPercent val="0"/>
              <c:showBubbleSize val="0"/>
            </c:dLbl>
            <c:numFmt formatCode="0.000;0.000" sourceLinked="0"/>
            <c:txPr>
              <a:bodyPr/>
              <a:lstStyle/>
              <a:p>
                <a:pPr>
                  <a:defRPr sz="700"/>
                </a:pPr>
                <a:endParaRPr lang="es-EC"/>
              </a:p>
            </c:txPr>
            <c:dLblPos val="inEnd"/>
            <c:showLegendKey val="0"/>
            <c:showVal val="1"/>
            <c:showCatName val="0"/>
            <c:showSerName val="0"/>
            <c:showPercent val="0"/>
            <c:showBubbleSize val="0"/>
            <c:showLeaderLines val="0"/>
          </c:dLbls>
          <c:cat>
            <c:strRef>
              <c:f>'Inmigracion(Perfil)'!$P$837:$P$845</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Trabajador no remunerado</c:v>
                </c:pt>
                <c:pt idx="7">
                  <c:v>Empleado doméstico</c:v>
                </c:pt>
                <c:pt idx="8">
                  <c:v>Se ignora</c:v>
                </c:pt>
              </c:strCache>
            </c:strRef>
          </c:cat>
          <c:val>
            <c:numRef>
              <c:f>'Inmigracion(Perfil)'!$Q$837:$Q$845</c:f>
              <c:numCache>
                <c:formatCode>0.00%</c:formatCode>
                <c:ptCount val="9"/>
                <c:pt idx="0">
                  <c:v>-4.7727795776019273E-2</c:v>
                </c:pt>
                <c:pt idx="1">
                  <c:v>-0.40981110698036727</c:v>
                </c:pt>
                <c:pt idx="2">
                  <c:v>-0.15130915077805518</c:v>
                </c:pt>
                <c:pt idx="3">
                  <c:v>-6.6139111654008889E-2</c:v>
                </c:pt>
                <c:pt idx="4">
                  <c:v>-2.7811708888770891E-2</c:v>
                </c:pt>
                <c:pt idx="5">
                  <c:v>-0.24658771044665145</c:v>
                </c:pt>
                <c:pt idx="6">
                  <c:v>-2.0730433551082547E-2</c:v>
                </c:pt>
                <c:pt idx="7">
                  <c:v>-3.5229344804999399E-3</c:v>
                </c:pt>
                <c:pt idx="8">
                  <c:v>-2.636004744454478E-2</c:v>
                </c:pt>
              </c:numCache>
            </c:numRef>
          </c:val>
        </c:ser>
        <c:ser>
          <c:idx val="1"/>
          <c:order val="1"/>
          <c:tx>
            <c:v>Mujer</c:v>
          </c:tx>
          <c:spPr>
            <a:solidFill>
              <a:srgbClr val="D735B4"/>
            </a:solidFill>
          </c:spPr>
          <c:invertIfNegative val="0"/>
          <c:dLbls>
            <c:dLbl>
              <c:idx val="0"/>
              <c:layout>
                <c:manualLayout>
                  <c:x val="3.7239613341015311E-2"/>
                  <c:y val="0"/>
                </c:manualLayout>
              </c:layout>
              <c:dLblPos val="ctr"/>
              <c:showLegendKey val="0"/>
              <c:showVal val="1"/>
              <c:showCatName val="0"/>
              <c:showSerName val="0"/>
              <c:showPercent val="0"/>
              <c:showBubbleSize val="0"/>
            </c:dLbl>
            <c:dLbl>
              <c:idx val="1"/>
              <c:layout>
                <c:manualLayout>
                  <c:x val="8.484173402936615E-2"/>
                  <c:y val="1.0394740261427725E-6"/>
                </c:manualLayout>
              </c:layout>
              <c:dLblPos val="ctr"/>
              <c:showLegendKey val="0"/>
              <c:showVal val="1"/>
              <c:showCatName val="0"/>
              <c:showSerName val="0"/>
              <c:showPercent val="0"/>
              <c:showBubbleSize val="0"/>
            </c:dLbl>
            <c:dLbl>
              <c:idx val="3"/>
              <c:layout>
                <c:manualLayout>
                  <c:x val="3.8627255850224945E-2"/>
                  <c:y val="0"/>
                </c:manualLayout>
              </c:layout>
              <c:dLblPos val="ctr"/>
              <c:showLegendKey val="0"/>
              <c:showVal val="1"/>
              <c:showCatName val="0"/>
              <c:showSerName val="0"/>
              <c:showPercent val="0"/>
              <c:showBubbleSize val="0"/>
            </c:dLbl>
            <c:dLbl>
              <c:idx val="4"/>
              <c:layout>
                <c:manualLayout>
                  <c:x val="3.4724118465236195E-2"/>
                  <c:y val="-3.0755437748499876E-3"/>
                </c:manualLayout>
              </c:layout>
              <c:dLblPos val="ctr"/>
              <c:showLegendKey val="0"/>
              <c:showVal val="1"/>
              <c:showCatName val="0"/>
              <c:showSerName val="0"/>
              <c:showPercent val="0"/>
              <c:showBubbleSize val="0"/>
            </c:dLbl>
            <c:dLbl>
              <c:idx val="5"/>
              <c:layout>
                <c:manualLayout>
                  <c:x val="5.5341352840872715E-2"/>
                  <c:y val="0"/>
                </c:manualLayout>
              </c:layout>
              <c:dLblPos val="ctr"/>
              <c:showLegendKey val="0"/>
              <c:showVal val="1"/>
              <c:showCatName val="0"/>
              <c:showSerName val="0"/>
              <c:showPercent val="0"/>
              <c:showBubbleSize val="0"/>
            </c:dLbl>
            <c:dLbl>
              <c:idx val="7"/>
              <c:layout>
                <c:manualLayout>
                  <c:x val="4.2769465346765137E-2"/>
                  <c:y val="0"/>
                </c:manualLayout>
              </c:layout>
              <c:dLblPos val="ctr"/>
              <c:showLegendKey val="0"/>
              <c:showVal val="1"/>
              <c:showCatName val="0"/>
              <c:showSerName val="0"/>
              <c:showPercent val="0"/>
              <c:showBubbleSize val="0"/>
            </c:dLbl>
            <c:dLbl>
              <c:idx val="8"/>
              <c:layout>
                <c:manualLayout>
                  <c:x val="3.4269252928749772E-2"/>
                  <c:y val="5.1973701307138633E-7"/>
                </c:manualLayout>
              </c:layout>
              <c:dLblPos val="ctr"/>
              <c:showLegendKey val="0"/>
              <c:showVal val="1"/>
              <c:showCatName val="0"/>
              <c:showSerName val="0"/>
              <c:showPercent val="0"/>
              <c:showBubbleSize val="0"/>
            </c:dLbl>
            <c:dLbl>
              <c:idx val="10"/>
              <c:layout>
                <c:manualLayout>
                  <c:x val="3.6013292130058022E-2"/>
                  <c:y val="0"/>
                </c:manualLayout>
              </c:layout>
              <c:dLblPos val="ctr"/>
              <c:showLegendKey val="0"/>
              <c:showVal val="1"/>
              <c:showCatName val="0"/>
              <c:showSerName val="0"/>
              <c:showPercent val="0"/>
              <c:showBubbleSize val="0"/>
            </c:dLbl>
            <c:numFmt formatCode="#,##0.000" sourceLinked="0"/>
            <c:txPr>
              <a:bodyPr/>
              <a:lstStyle/>
              <a:p>
                <a:pPr>
                  <a:defRPr sz="700"/>
                </a:pPr>
                <a:endParaRPr lang="es-EC"/>
              </a:p>
            </c:txPr>
            <c:dLblPos val="inBase"/>
            <c:showLegendKey val="0"/>
            <c:showVal val="1"/>
            <c:showCatName val="0"/>
            <c:showSerName val="0"/>
            <c:showPercent val="0"/>
            <c:showBubbleSize val="0"/>
            <c:showLeaderLines val="0"/>
          </c:dLbls>
          <c:cat>
            <c:strRef>
              <c:f>'Inmigracion(Perfil)'!$P$837:$P$845</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Trabajador no remunerado</c:v>
                </c:pt>
                <c:pt idx="7">
                  <c:v>Empleado doméstico</c:v>
                </c:pt>
                <c:pt idx="8">
                  <c:v>Se ignora</c:v>
                </c:pt>
              </c:strCache>
            </c:strRef>
          </c:cat>
          <c:val>
            <c:numRef>
              <c:f>'Inmigracion(Perfil)'!$R$837:$R$845</c:f>
              <c:numCache>
                <c:formatCode>0.00%</c:formatCode>
                <c:ptCount val="9"/>
                <c:pt idx="0">
                  <c:v>5.2803244005641792E-2</c:v>
                </c:pt>
                <c:pt idx="1">
                  <c:v>0.41528561354019744</c:v>
                </c:pt>
                <c:pt idx="2">
                  <c:v>4.0168077103902224E-2</c:v>
                </c:pt>
                <c:pt idx="3">
                  <c:v>5.4654442877291973E-2</c:v>
                </c:pt>
                <c:pt idx="4">
                  <c:v>2.5299717912552897E-2</c:v>
                </c:pt>
                <c:pt idx="5">
                  <c:v>0.2507052186177714</c:v>
                </c:pt>
                <c:pt idx="6">
                  <c:v>2.7268453220498347E-2</c:v>
                </c:pt>
                <c:pt idx="7">
                  <c:v>8.9415843911612655E-2</c:v>
                </c:pt>
                <c:pt idx="8">
                  <c:v>4.4399388810531314E-2</c:v>
                </c:pt>
              </c:numCache>
            </c:numRef>
          </c:val>
        </c:ser>
        <c:dLbls>
          <c:showLegendKey val="0"/>
          <c:showVal val="0"/>
          <c:showCatName val="0"/>
          <c:showSerName val="0"/>
          <c:showPercent val="0"/>
          <c:showBubbleSize val="0"/>
        </c:dLbls>
        <c:gapWidth val="40"/>
        <c:overlap val="100"/>
        <c:axId val="186637696"/>
        <c:axId val="186643968"/>
      </c:barChart>
      <c:catAx>
        <c:axId val="186637696"/>
        <c:scaling>
          <c:orientation val="maxMin"/>
        </c:scaling>
        <c:delete val="0"/>
        <c:axPos val="l"/>
        <c:title>
          <c:tx>
            <c:rich>
              <a:bodyPr rot="-5400000" vert="horz"/>
              <a:lstStyle/>
              <a:p>
                <a:pPr>
                  <a:defRPr/>
                </a:pPr>
                <a:r>
                  <a:rPr lang="es-EC"/>
                  <a:t>En el lugar indicado trabaja como</a:t>
                </a:r>
              </a:p>
            </c:rich>
          </c:tx>
          <c:overlay val="0"/>
        </c:title>
        <c:majorTickMark val="out"/>
        <c:minorTickMark val="none"/>
        <c:tickLblPos val="nextTo"/>
        <c:spPr>
          <a:ln>
            <a:solidFill>
              <a:schemeClr val="tx1"/>
            </a:solidFill>
          </a:ln>
        </c:spPr>
        <c:txPr>
          <a:bodyPr/>
          <a:lstStyle/>
          <a:p>
            <a:pPr>
              <a:defRPr sz="730"/>
            </a:pPr>
            <a:endParaRPr lang="es-EC"/>
          </a:p>
        </c:txPr>
        <c:crossAx val="186643968"/>
        <c:crossesAt val="-1"/>
        <c:auto val="1"/>
        <c:lblAlgn val="ctr"/>
        <c:lblOffset val="100"/>
        <c:noMultiLvlLbl val="0"/>
      </c:catAx>
      <c:valAx>
        <c:axId val="186643968"/>
        <c:scaling>
          <c:orientation val="minMax"/>
          <c:max val="1"/>
          <c:min val="-1"/>
        </c:scaling>
        <c:delete val="0"/>
        <c:axPos val="t"/>
        <c:title>
          <c:tx>
            <c:rich>
              <a:bodyPr/>
              <a:lstStyle/>
              <a:p>
                <a:pPr>
                  <a:defRPr/>
                </a:pPr>
                <a:r>
                  <a:rPr lang="es-EC"/>
                  <a:t>Frecuencia Relativa</a:t>
                </a:r>
              </a:p>
            </c:rich>
          </c:tx>
          <c:layout>
            <c:manualLayout>
              <c:xMode val="edge"/>
              <c:yMode val="edge"/>
              <c:x val="0.59493548893971382"/>
              <c:y val="0.95709570957095713"/>
            </c:manualLayout>
          </c:layout>
          <c:overlay val="0"/>
        </c:title>
        <c:numFmt formatCode="0.00;0.00" sourceLinked="0"/>
        <c:majorTickMark val="in"/>
        <c:minorTickMark val="none"/>
        <c:tickLblPos val="high"/>
        <c:spPr>
          <a:ln>
            <a:solidFill>
              <a:schemeClr val="tx1"/>
            </a:solidFill>
          </a:ln>
        </c:spPr>
        <c:crossAx val="186637696"/>
        <c:crossesAt val="10"/>
        <c:crossBetween val="between"/>
        <c:majorUnit val="0.4"/>
      </c:valAx>
      <c:spPr>
        <a:noFill/>
        <a:ln>
          <a:solidFill>
            <a:schemeClr val="tx1"/>
          </a:solidFill>
        </a:ln>
      </c:spPr>
    </c:plotArea>
    <c:legend>
      <c:legendPos val="t"/>
      <c:layout>
        <c:manualLayout>
          <c:xMode val="edge"/>
          <c:yMode val="edge"/>
          <c:x val="0.4513073892370994"/>
          <c:y val="4.1300901743717708E-3"/>
          <c:w val="0.49547753315757942"/>
          <c:h val="4.8188607266301912E-2"/>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03651396295913"/>
          <c:y val="5.4726368159204022E-2"/>
          <c:w val="0.78968528558695639"/>
          <c:h val="0.78198041033227894"/>
        </c:manualLayout>
      </c:layout>
      <c:lineChart>
        <c:grouping val="standard"/>
        <c:varyColors val="0"/>
        <c:ser>
          <c:idx val="1"/>
          <c:order val="0"/>
          <c:tx>
            <c:v>Urbana</c:v>
          </c:tx>
          <c:spPr>
            <a:ln w="19050">
              <a:solidFill>
                <a:schemeClr val="bg1">
                  <a:lumMod val="65000"/>
                </a:schemeClr>
              </a:solidFill>
            </a:ln>
          </c:spPr>
          <c:marker>
            <c:symbol val="square"/>
            <c:size val="5"/>
            <c:spPr>
              <a:solidFill>
                <a:schemeClr val="bg1">
                  <a:lumMod val="65000"/>
                </a:schemeClr>
              </a:solidFill>
              <a:ln>
                <a:solidFill>
                  <a:schemeClr val="bg1">
                    <a:lumMod val="65000"/>
                  </a:schemeClr>
                </a:solidFill>
              </a:ln>
            </c:spPr>
          </c:marker>
          <c:dLbls>
            <c:dLbl>
              <c:idx val="1"/>
              <c:layout>
                <c:manualLayout>
                  <c:x val="-6.9149141167480652E-2"/>
                  <c:y val="-2.1206938039659052E-2"/>
                </c:manualLayout>
              </c:layout>
              <c:dLblPos val="r"/>
              <c:showLegendKey val="0"/>
              <c:showVal val="1"/>
              <c:showCatName val="0"/>
              <c:showSerName val="0"/>
              <c:showPercent val="0"/>
              <c:showBubbleSize val="0"/>
            </c:dLbl>
            <c:dLbl>
              <c:idx val="2"/>
              <c:layout>
                <c:manualLayout>
                  <c:x val="-4.9535864978902951E-2"/>
                  <c:y val="-3.8009044833194679E-2"/>
                </c:manualLayout>
              </c:layout>
              <c:dLblPos val="r"/>
              <c:showLegendKey val="0"/>
              <c:showVal val="1"/>
              <c:showCatName val="0"/>
              <c:showSerName val="0"/>
              <c:showPercent val="0"/>
              <c:showBubbleSize val="0"/>
            </c:dLbl>
            <c:dLbl>
              <c:idx val="3"/>
              <c:layout>
                <c:manualLayout>
                  <c:x val="-5.5161744022503532E-2"/>
                  <c:y val="-3.1373451495412701E-2"/>
                </c:manualLayout>
              </c:layout>
              <c:dLblPos val="r"/>
              <c:showLegendKey val="0"/>
              <c:showVal val="1"/>
              <c:showCatName val="0"/>
              <c:showSerName val="0"/>
              <c:showPercent val="0"/>
              <c:showBubbleSize val="0"/>
            </c:dLbl>
            <c:dLbl>
              <c:idx val="4"/>
              <c:layout>
                <c:manualLayout>
                  <c:x val="-6.9303963586830594E-2"/>
                  <c:y val="-5.2706793787630345E-2"/>
                </c:manualLayout>
              </c:layout>
              <c:dLblPos val="r"/>
              <c:showLegendKey val="0"/>
              <c:showVal val="1"/>
              <c:showCatName val="0"/>
              <c:showSerName val="0"/>
              <c:showPercent val="0"/>
              <c:showBubbleSize val="0"/>
            </c:dLbl>
            <c:dLbl>
              <c:idx val="5"/>
              <c:tx>
                <c:rich>
                  <a:bodyPr/>
                  <a:lstStyle/>
                  <a:p>
                    <a:r>
                      <a:rPr lang="en-US" sz="700">
                        <a:solidFill>
                          <a:schemeClr val="bg1">
                            <a:lumMod val="50000"/>
                          </a:schemeClr>
                        </a:solidFill>
                      </a:rPr>
                      <a:t>5716894</a:t>
                    </a:r>
                    <a:endParaRPr lang="en-US" sz="700"/>
                  </a:p>
                </c:rich>
              </c:tx>
              <c:dLblPos val="t"/>
              <c:showLegendKey val="0"/>
              <c:showVal val="1"/>
              <c:showCatName val="0"/>
              <c:showSerName val="0"/>
              <c:showPercent val="0"/>
              <c:showBubbleSize val="0"/>
            </c:dLbl>
            <c:dLbl>
              <c:idx val="6"/>
              <c:layout>
                <c:manualLayout>
                  <c:x val="-9.4664135362526672E-2"/>
                  <c:y val="-7.0695507132324123E-3"/>
                </c:manualLayout>
              </c:layout>
              <c:dLblPos val="r"/>
              <c:showLegendKey val="0"/>
              <c:showVal val="1"/>
              <c:showCatName val="0"/>
              <c:showSerName val="0"/>
              <c:showPercent val="0"/>
              <c:showBubbleSize val="0"/>
            </c:dLbl>
            <c:dLbl>
              <c:idx val="7"/>
              <c:spPr>
                <a:solidFill>
                  <a:schemeClr val="bg1"/>
                </a:solidFill>
              </c:spPr>
              <c:txPr>
                <a:bodyPr/>
                <a:lstStyle/>
                <a:p>
                  <a:pPr>
                    <a:defRPr sz="700">
                      <a:solidFill>
                        <a:schemeClr val="bg1">
                          <a:lumMod val="50000"/>
                        </a:schemeClr>
                      </a:solidFill>
                    </a:defRPr>
                  </a:pPr>
                  <a:endParaRPr lang="es-EC"/>
                </a:p>
              </c:txPr>
              <c:dLblPos val="t"/>
              <c:showLegendKey val="0"/>
              <c:showVal val="1"/>
              <c:showCatName val="0"/>
              <c:showSerName val="0"/>
              <c:showPercent val="0"/>
              <c:showBubbleSize val="0"/>
            </c:dLbl>
            <c:txPr>
              <a:bodyPr/>
              <a:lstStyle/>
              <a:p>
                <a:pPr>
                  <a:defRPr sz="700">
                    <a:solidFill>
                      <a:schemeClr val="bg1">
                        <a:lumMod val="50000"/>
                      </a:schemeClr>
                    </a:solidFill>
                  </a:defRPr>
                </a:pPr>
                <a:endParaRPr lang="es-EC"/>
              </a:p>
            </c:txPr>
            <c:dLblPos val="t"/>
            <c:showLegendKey val="0"/>
            <c:showVal val="1"/>
            <c:showCatName val="0"/>
            <c:showSerName val="0"/>
            <c:showPercent val="0"/>
            <c:showBubbleSize val="0"/>
            <c:showLeaderLines val="0"/>
          </c:dLbls>
          <c:cat>
            <c:strRef>
              <c:f>Hoja1!$A$80:$A$87</c:f>
              <c:strCache>
                <c:ptCount val="7"/>
                <c:pt idx="1">
                  <c:v>1950</c:v>
                </c:pt>
                <c:pt idx="2">
                  <c:v>1962</c:v>
                </c:pt>
                <c:pt idx="3">
                  <c:v>1974</c:v>
                </c:pt>
                <c:pt idx="4">
                  <c:v>1982</c:v>
                </c:pt>
                <c:pt idx="5">
                  <c:v>1990</c:v>
                </c:pt>
                <c:pt idx="6">
                  <c:v>2001</c:v>
                </c:pt>
              </c:strCache>
            </c:strRef>
          </c:cat>
          <c:val>
            <c:numRef>
              <c:f>Hoja1!$C$80:$C$87</c:f>
              <c:numCache>
                <c:formatCode>General</c:formatCode>
                <c:ptCount val="8"/>
                <c:pt idx="1">
                  <c:v>913932</c:v>
                </c:pt>
                <c:pt idx="2">
                  <c:v>1612346</c:v>
                </c:pt>
                <c:pt idx="3">
                  <c:v>2698722</c:v>
                </c:pt>
                <c:pt idx="4">
                  <c:v>3981559</c:v>
                </c:pt>
                <c:pt idx="5">
                  <c:v>5716894</c:v>
                </c:pt>
                <c:pt idx="6">
                  <c:v>7431355</c:v>
                </c:pt>
              </c:numCache>
            </c:numRef>
          </c:val>
          <c:smooth val="0"/>
        </c:ser>
        <c:ser>
          <c:idx val="0"/>
          <c:order val="1"/>
          <c:tx>
            <c:v>Rural</c:v>
          </c:tx>
          <c:spPr>
            <a:ln w="19050">
              <a:solidFill>
                <a:sysClr val="windowText" lastClr="000000"/>
              </a:solidFill>
            </a:ln>
          </c:spPr>
          <c:marker>
            <c:symbol val="diamond"/>
            <c:size val="5"/>
            <c:spPr>
              <a:solidFill>
                <a:schemeClr val="tx1"/>
              </a:solidFill>
              <a:ln>
                <a:solidFill>
                  <a:sysClr val="windowText" lastClr="000000"/>
                </a:solidFill>
              </a:ln>
            </c:spPr>
          </c:marker>
          <c:dLbls>
            <c:dLbl>
              <c:idx val="1"/>
              <c:layout>
                <c:manualLayout>
                  <c:x val="-4.7342187292254506E-2"/>
                  <c:y val="-2.6496246108771406E-2"/>
                </c:manualLayout>
              </c:layout>
              <c:dLblPos val="r"/>
              <c:showLegendKey val="0"/>
              <c:showVal val="1"/>
              <c:showCatName val="0"/>
              <c:showSerName val="0"/>
              <c:showPercent val="0"/>
              <c:showBubbleSize val="0"/>
            </c:dLbl>
            <c:dLbl>
              <c:idx val="2"/>
              <c:layout>
                <c:manualLayout>
                  <c:x val="-5.2345314246600973E-2"/>
                  <c:y val="-3.2697796496368212E-2"/>
                </c:manualLayout>
              </c:layout>
              <c:dLblPos val="r"/>
              <c:showLegendKey val="0"/>
              <c:showVal val="1"/>
              <c:showCatName val="0"/>
              <c:showSerName val="0"/>
              <c:showPercent val="0"/>
              <c:showBubbleSize val="0"/>
            </c:dLbl>
            <c:dLbl>
              <c:idx val="3"/>
              <c:layout>
                <c:manualLayout>
                  <c:x val="-4.9843750769427743E-2"/>
                  <c:y val="-5.7503998046755912E-2"/>
                </c:manualLayout>
              </c:layout>
              <c:dLblPos val="r"/>
              <c:showLegendKey val="0"/>
              <c:showVal val="1"/>
              <c:showCatName val="0"/>
              <c:showSerName val="0"/>
              <c:showPercent val="0"/>
              <c:showBubbleSize val="0"/>
            </c:dLbl>
            <c:dLbl>
              <c:idx val="4"/>
              <c:layout>
                <c:manualLayout>
                  <c:x val="-5.4846877723774223E-2"/>
                  <c:y val="5.4123908929988598E-2"/>
                </c:manualLayout>
              </c:layout>
              <c:dLblPos val="r"/>
              <c:showLegendKey val="0"/>
              <c:showVal val="1"/>
              <c:showCatName val="0"/>
              <c:showSerName val="0"/>
              <c:showPercent val="0"/>
              <c:showBubbleSize val="0"/>
            </c:dLbl>
            <c:dLbl>
              <c:idx val="5"/>
              <c:layout>
                <c:manualLayout>
                  <c:x val="-5.4846838412714337E-2"/>
                  <c:y val="5.2937573979723138E-2"/>
                </c:manualLayout>
              </c:layout>
              <c:dLblPos val="r"/>
              <c:showLegendKey val="0"/>
              <c:showVal val="1"/>
              <c:showCatName val="0"/>
              <c:showSerName val="0"/>
              <c:showPercent val="0"/>
              <c:showBubbleSize val="0"/>
            </c:dLbl>
            <c:dLbl>
              <c:idx val="6"/>
              <c:layout>
                <c:manualLayout>
                  <c:x val="-5.4846877723774119E-2"/>
                  <c:y val="-5.1302447659158833E-2"/>
                </c:manualLayout>
              </c:layout>
              <c:dLblPos val="r"/>
              <c:showLegendKey val="0"/>
              <c:showVal val="1"/>
              <c:showCatName val="0"/>
              <c:showSerName val="0"/>
              <c:showPercent val="0"/>
              <c:showBubbleSize val="0"/>
            </c:dLbl>
            <c:txPr>
              <a:bodyPr/>
              <a:lstStyle/>
              <a:p>
                <a:pPr>
                  <a:defRPr sz="700"/>
                </a:pPr>
                <a:endParaRPr lang="es-EC"/>
              </a:p>
            </c:txPr>
            <c:dLblPos val="t"/>
            <c:showLegendKey val="0"/>
            <c:showVal val="1"/>
            <c:showCatName val="0"/>
            <c:showSerName val="0"/>
            <c:showPercent val="0"/>
            <c:showBubbleSize val="0"/>
            <c:showLeaderLines val="0"/>
          </c:dLbls>
          <c:val>
            <c:numRef>
              <c:f>Hoja1!$E$80:$E$87</c:f>
              <c:numCache>
                <c:formatCode>General</c:formatCode>
                <c:ptCount val="8"/>
                <c:pt idx="1">
                  <c:v>2288825</c:v>
                </c:pt>
                <c:pt idx="2">
                  <c:v>2951734</c:v>
                </c:pt>
                <c:pt idx="3">
                  <c:v>3822988</c:v>
                </c:pt>
                <c:pt idx="4">
                  <c:v>4079153</c:v>
                </c:pt>
                <c:pt idx="5">
                  <c:v>3391295</c:v>
                </c:pt>
                <c:pt idx="6">
                  <c:v>4725253</c:v>
                </c:pt>
              </c:numCache>
            </c:numRef>
          </c:val>
          <c:smooth val="0"/>
        </c:ser>
        <c:dLbls>
          <c:showLegendKey val="0"/>
          <c:showVal val="1"/>
          <c:showCatName val="0"/>
          <c:showSerName val="0"/>
          <c:showPercent val="0"/>
          <c:showBubbleSize val="0"/>
        </c:dLbls>
        <c:marker val="1"/>
        <c:smooth val="0"/>
        <c:axId val="215985536"/>
        <c:axId val="216897792"/>
      </c:lineChart>
      <c:catAx>
        <c:axId val="215985536"/>
        <c:scaling>
          <c:orientation val="minMax"/>
        </c:scaling>
        <c:delete val="0"/>
        <c:axPos val="b"/>
        <c:title>
          <c:tx>
            <c:rich>
              <a:bodyPr/>
              <a:lstStyle/>
              <a:p>
                <a:pPr>
                  <a:defRPr/>
                </a:pPr>
                <a:r>
                  <a:rPr lang="es-EC"/>
                  <a:t>Censo</a:t>
                </a:r>
              </a:p>
            </c:rich>
          </c:tx>
          <c:layout>
            <c:manualLayout>
              <c:xMode val="edge"/>
              <c:yMode val="edge"/>
              <c:x val="0.50159202431711847"/>
              <c:y val="0.91380974898961109"/>
            </c:manualLayout>
          </c:layout>
          <c:overlay val="0"/>
        </c:title>
        <c:numFmt formatCode="General" sourceLinked="1"/>
        <c:majorTickMark val="out"/>
        <c:minorTickMark val="none"/>
        <c:tickLblPos val="nextTo"/>
        <c:spPr>
          <a:ln>
            <a:solidFill>
              <a:schemeClr val="tx1"/>
            </a:solidFill>
          </a:ln>
        </c:spPr>
        <c:txPr>
          <a:bodyPr rot="0" vert="horz"/>
          <a:lstStyle/>
          <a:p>
            <a:pPr>
              <a:defRPr/>
            </a:pPr>
            <a:endParaRPr lang="es-EC"/>
          </a:p>
        </c:txPr>
        <c:crossAx val="216897792"/>
        <c:crosses val="autoZero"/>
        <c:auto val="1"/>
        <c:lblAlgn val="ctr"/>
        <c:lblOffset val="100"/>
        <c:noMultiLvlLbl val="0"/>
      </c:catAx>
      <c:valAx>
        <c:axId val="216897792"/>
        <c:scaling>
          <c:orientation val="minMax"/>
          <c:max val="8000000"/>
          <c:min val="0"/>
        </c:scaling>
        <c:delete val="0"/>
        <c:axPos val="l"/>
        <c:title>
          <c:tx>
            <c:rich>
              <a:bodyPr rot="-5400000" vert="horz"/>
              <a:lstStyle/>
              <a:p>
                <a:pPr>
                  <a:defRPr/>
                </a:pPr>
                <a:r>
                  <a:rPr lang="es-EC"/>
                  <a:t>Número de personas</a:t>
                </a:r>
              </a:p>
            </c:rich>
          </c:tx>
          <c:layout>
            <c:manualLayout>
              <c:xMode val="edge"/>
              <c:yMode val="edge"/>
              <c:x val="5.3668132247800234E-3"/>
              <c:y val="0.10153198801176141"/>
            </c:manualLayout>
          </c:layout>
          <c:overlay val="0"/>
        </c:title>
        <c:numFmt formatCode="General" sourceLinked="1"/>
        <c:majorTickMark val="out"/>
        <c:minorTickMark val="none"/>
        <c:tickLblPos val="nextTo"/>
        <c:spPr>
          <a:ln>
            <a:solidFill>
              <a:sysClr val="windowText" lastClr="000000"/>
            </a:solidFill>
          </a:ln>
        </c:spPr>
        <c:txPr>
          <a:bodyPr/>
          <a:lstStyle/>
          <a:p>
            <a:pPr>
              <a:defRPr sz="750"/>
            </a:pPr>
            <a:endParaRPr lang="es-EC"/>
          </a:p>
        </c:txPr>
        <c:crossAx val="215985536"/>
        <c:crosses val="autoZero"/>
        <c:crossBetween val="midCat"/>
        <c:majorUnit val="1000000"/>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6951006124234"/>
          <c:y val="2.9901457894059801E-2"/>
          <c:w val="0.46985433070866173"/>
          <c:h val="0.85944260501006253"/>
        </c:manualLayout>
      </c:layout>
      <c:barChart>
        <c:barDir val="bar"/>
        <c:grouping val="stacked"/>
        <c:varyColors val="0"/>
        <c:ser>
          <c:idx val="0"/>
          <c:order val="0"/>
          <c:tx>
            <c:strRef>
              <c:f>'Inmigracion(Perfil)'!$V$686</c:f>
              <c:strCache>
                <c:ptCount val="1"/>
                <c:pt idx="0">
                  <c:v>Empleado u obrero del Estado, Gobierno, Municipio, Consejo Provincial, Juntas Parroquiales</c:v>
                </c:pt>
              </c:strCache>
            </c:strRef>
          </c:tx>
          <c:spPr>
            <a:solidFill>
              <a:srgbClr val="0070C0"/>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'Inmigracion(Perfil)'!$V$687:$V$706</c:f>
              <c:numCache>
                <c:formatCode>0,000</c:formatCode>
                <c:ptCount val="20"/>
                <c:pt idx="0">
                  <c:v>0</c:v>
                </c:pt>
                <c:pt idx="1">
                  <c:v>0</c:v>
                </c:pt>
                <c:pt idx="2">
                  <c:v>2.3154848046309694E-2</c:v>
                </c:pt>
                <c:pt idx="3">
                  <c:v>4.5193687230990036E-2</c:v>
                </c:pt>
                <c:pt idx="4">
                  <c:v>5.8025339230826901E-2</c:v>
                </c:pt>
                <c:pt idx="5">
                  <c:v>5.2136479591836829E-2</c:v>
                </c:pt>
                <c:pt idx="6">
                  <c:v>5.0408360410994967E-2</c:v>
                </c:pt>
                <c:pt idx="7">
                  <c:v>4.9511065362840972E-2</c:v>
                </c:pt>
                <c:pt idx="8">
                  <c:v>5.5084745762711856E-2</c:v>
                </c:pt>
                <c:pt idx="9">
                  <c:v>5.1350154935812332E-2</c:v>
                </c:pt>
                <c:pt idx="10">
                  <c:v>5.5834729201563404E-2</c:v>
                </c:pt>
                <c:pt idx="11">
                  <c:v>4.5820605387392389E-2</c:v>
                </c:pt>
                <c:pt idx="12">
                  <c:v>4.9482681061628557E-2</c:v>
                </c:pt>
                <c:pt idx="13">
                  <c:v>3.3014769765421371E-2</c:v>
                </c:pt>
                <c:pt idx="14">
                  <c:v>3.3457249070631981E-2</c:v>
                </c:pt>
                <c:pt idx="15">
                  <c:v>0</c:v>
                </c:pt>
                <c:pt idx="16">
                  <c:v>0</c:v>
                </c:pt>
                <c:pt idx="17">
                  <c:v>0</c:v>
                </c:pt>
                <c:pt idx="18">
                  <c:v>0</c:v>
                </c:pt>
                <c:pt idx="19">
                  <c:v>0</c:v>
                </c:pt>
              </c:numCache>
            </c:numRef>
          </c:val>
        </c:ser>
        <c:ser>
          <c:idx val="1"/>
          <c:order val="1"/>
          <c:tx>
            <c:strRef>
              <c:f>'Inmigracion(Perfil)'!$W$686</c:f>
              <c:strCache>
                <c:ptCount val="1"/>
                <c:pt idx="0">
                  <c:v>Empleado u obrero privado</c:v>
                </c:pt>
              </c:strCache>
            </c:strRef>
          </c:tx>
          <c:spPr>
            <a:solidFill>
              <a:srgbClr val="D735B4"/>
            </a:solidFill>
          </c:spPr>
          <c:invertIfNegative val="0"/>
          <c:dLbls>
            <c:dLbl>
              <c:idx val="0"/>
              <c:numFmt formatCode="#,##0.000" sourceLinked="0"/>
              <c:spPr/>
              <c:txPr>
                <a:bodyPr/>
                <a:lstStyle/>
                <a:p>
                  <a:pPr>
                    <a:defRPr sz="700">
                      <a:solidFill>
                        <a:sysClr val="windowText" lastClr="000000"/>
                      </a:solidFill>
                    </a:defRPr>
                  </a:pPr>
                  <a:endParaRPr lang="es-EC"/>
                </a:p>
              </c:txPr>
              <c:dLblPos val="ctr"/>
              <c:showLegendKey val="0"/>
              <c:showVal val="1"/>
              <c:showCatName val="0"/>
              <c:showSerName val="0"/>
              <c:showPercent val="0"/>
              <c:showBubbleSize val="0"/>
            </c:dLbl>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'Inmigracion(Perfil)'!$W$687:$W$706</c:f>
              <c:numCache>
                <c:formatCode>0,000</c:formatCode>
                <c:ptCount val="20"/>
                <c:pt idx="0">
                  <c:v>3.968253968253968E-2</c:v>
                </c:pt>
                <c:pt idx="1">
                  <c:v>0.20598591549295792</c:v>
                </c:pt>
                <c:pt idx="2">
                  <c:v>0.40448625180897296</c:v>
                </c:pt>
                <c:pt idx="3">
                  <c:v>0.47274031563845048</c:v>
                </c:pt>
                <c:pt idx="4">
                  <c:v>0.47627258415173551</c:v>
                </c:pt>
                <c:pt idx="5">
                  <c:v>0.45758928571428614</c:v>
                </c:pt>
                <c:pt idx="6">
                  <c:v>0.44401510494423468</c:v>
                </c:pt>
                <c:pt idx="7">
                  <c:v>0.40339680905815783</c:v>
                </c:pt>
                <c:pt idx="8">
                  <c:v>0.37957181088314051</c:v>
                </c:pt>
                <c:pt idx="9">
                  <c:v>0.36269735871329473</c:v>
                </c:pt>
                <c:pt idx="10">
                  <c:v>0.33835845896147465</c:v>
                </c:pt>
                <c:pt idx="11">
                  <c:v>0.30685920577617332</c:v>
                </c:pt>
                <c:pt idx="12">
                  <c:v>0.25955915429599624</c:v>
                </c:pt>
                <c:pt idx="13">
                  <c:v>0.24934839270199868</c:v>
                </c:pt>
                <c:pt idx="14">
                  <c:v>0.19702602230483268</c:v>
                </c:pt>
                <c:pt idx="15">
                  <c:v>0.15639810426540307</c:v>
                </c:pt>
                <c:pt idx="16">
                  <c:v>0.12676056338028169</c:v>
                </c:pt>
                <c:pt idx="17">
                  <c:v>0.11764705882352942</c:v>
                </c:pt>
                <c:pt idx="18">
                  <c:v>0.33333333333333331</c:v>
                </c:pt>
                <c:pt idx="19">
                  <c:v>0.66666666666666663</c:v>
                </c:pt>
              </c:numCache>
            </c:numRef>
          </c:val>
        </c:ser>
        <c:ser>
          <c:idx val="2"/>
          <c:order val="2"/>
          <c:tx>
            <c:strRef>
              <c:f>'Inmigracion(Perfil)'!$X$686</c:f>
              <c:strCache>
                <c:ptCount val="1"/>
                <c:pt idx="0">
                  <c:v>Jornalero o peón</c:v>
                </c:pt>
              </c:strCache>
            </c:strRef>
          </c:tx>
          <c:spPr>
            <a:solidFill>
              <a:srgbClr val="00B0F0"/>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'Inmigracion(Perfil)'!$X$687:$X$706</c:f>
              <c:numCache>
                <c:formatCode>0,000</c:formatCode>
                <c:ptCount val="20"/>
                <c:pt idx="0">
                  <c:v>4.7619047619047623E-2</c:v>
                </c:pt>
                <c:pt idx="1">
                  <c:v>0.24823943661971851</c:v>
                </c:pt>
                <c:pt idx="2">
                  <c:v>0.23058369512783425</c:v>
                </c:pt>
                <c:pt idx="3">
                  <c:v>0.14244722279155583</c:v>
                </c:pt>
                <c:pt idx="4">
                  <c:v>0.12197316140640244</c:v>
                </c:pt>
                <c:pt idx="5">
                  <c:v>9.4467474489795922E-2</c:v>
                </c:pt>
                <c:pt idx="6">
                  <c:v>9.0893123737595505E-2</c:v>
                </c:pt>
                <c:pt idx="7">
                  <c:v>9.1405043746783432E-2</c:v>
                </c:pt>
                <c:pt idx="8">
                  <c:v>8.5637823371989552E-2</c:v>
                </c:pt>
                <c:pt idx="9">
                  <c:v>8.3517780728936147E-2</c:v>
                </c:pt>
                <c:pt idx="10">
                  <c:v>9.231341894658468E-2</c:v>
                </c:pt>
                <c:pt idx="11">
                  <c:v>0.10191613440710921</c:v>
                </c:pt>
                <c:pt idx="12">
                  <c:v>0.11021142600089968</c:v>
                </c:pt>
                <c:pt idx="13">
                  <c:v>0.13292788879235468</c:v>
                </c:pt>
                <c:pt idx="14">
                  <c:v>0.11338289962825267</c:v>
                </c:pt>
                <c:pt idx="15">
                  <c:v>9.9526066350711123E-2</c:v>
                </c:pt>
                <c:pt idx="16">
                  <c:v>8.4507042253521278E-2</c:v>
                </c:pt>
                <c:pt idx="17">
                  <c:v>0.17647058823529421</c:v>
                </c:pt>
                <c:pt idx="18">
                  <c:v>0</c:v>
                </c:pt>
                <c:pt idx="19">
                  <c:v>0</c:v>
                </c:pt>
              </c:numCache>
            </c:numRef>
          </c:val>
        </c:ser>
        <c:ser>
          <c:idx val="3"/>
          <c:order val="3"/>
          <c:tx>
            <c:strRef>
              <c:f>'Inmigracion(Perfil)'!$Y$686</c:f>
              <c:strCache>
                <c:ptCount val="1"/>
                <c:pt idx="0">
                  <c:v>Patrón</c:v>
                </c:pt>
              </c:strCache>
            </c:strRef>
          </c:tx>
          <c:spPr>
            <a:solidFill>
              <a:srgbClr val="7030A0"/>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'Inmigracion(Perfil)'!$Y$687:$Y$706</c:f>
              <c:numCache>
                <c:formatCode>0,000</c:formatCode>
                <c:ptCount val="20"/>
                <c:pt idx="0">
                  <c:v>0</c:v>
                </c:pt>
                <c:pt idx="1">
                  <c:v>0</c:v>
                </c:pt>
                <c:pt idx="2">
                  <c:v>6.9946936806560668E-3</c:v>
                </c:pt>
                <c:pt idx="3">
                  <c:v>2.3980323836851797E-2</c:v>
                </c:pt>
                <c:pt idx="4">
                  <c:v>3.7484069270560055E-2</c:v>
                </c:pt>
                <c:pt idx="5">
                  <c:v>5.2056760204081724E-2</c:v>
                </c:pt>
                <c:pt idx="6">
                  <c:v>6.8411346272064605E-2</c:v>
                </c:pt>
                <c:pt idx="7">
                  <c:v>7.1641791044776124E-2</c:v>
                </c:pt>
                <c:pt idx="8">
                  <c:v>8.7979482604817111E-2</c:v>
                </c:pt>
                <c:pt idx="9">
                  <c:v>8.8239634056367131E-2</c:v>
                </c:pt>
                <c:pt idx="10">
                  <c:v>9.8269123394751565E-2</c:v>
                </c:pt>
                <c:pt idx="11">
                  <c:v>0.10302693696195518</c:v>
                </c:pt>
                <c:pt idx="12">
                  <c:v>0.10526315789473686</c:v>
                </c:pt>
                <c:pt idx="13">
                  <c:v>8.6880973066898348E-2</c:v>
                </c:pt>
                <c:pt idx="14">
                  <c:v>9.851301115241648E-2</c:v>
                </c:pt>
                <c:pt idx="15">
                  <c:v>0.10426540284360207</c:v>
                </c:pt>
                <c:pt idx="16">
                  <c:v>9.8591549295774836E-2</c:v>
                </c:pt>
                <c:pt idx="17">
                  <c:v>0.17647058823529421</c:v>
                </c:pt>
                <c:pt idx="18">
                  <c:v>0</c:v>
                </c:pt>
                <c:pt idx="19">
                  <c:v>0</c:v>
                </c:pt>
              </c:numCache>
            </c:numRef>
          </c:val>
        </c:ser>
        <c:ser>
          <c:idx val="4"/>
          <c:order val="4"/>
          <c:tx>
            <c:strRef>
              <c:f>'Inmigracion(Perfil)'!$Z$686</c:f>
              <c:strCache>
                <c:ptCount val="1"/>
                <c:pt idx="0">
                  <c:v>Socio</c:v>
                </c:pt>
              </c:strCache>
            </c:strRef>
          </c:tx>
          <c:spPr>
            <a:solidFill>
              <a:srgbClr val="00B050"/>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'Inmigracion(Perfil)'!$Z$687:$Z$706</c:f>
              <c:numCache>
                <c:formatCode>0,000</c:formatCode>
                <c:ptCount val="20"/>
                <c:pt idx="0">
                  <c:v>0</c:v>
                </c:pt>
                <c:pt idx="1">
                  <c:v>0</c:v>
                </c:pt>
                <c:pt idx="2">
                  <c:v>1.3506994693680672E-2</c:v>
                </c:pt>
                <c:pt idx="3">
                  <c:v>1.5781922525107604E-2</c:v>
                </c:pt>
                <c:pt idx="4">
                  <c:v>2.1965664592548166E-2</c:v>
                </c:pt>
                <c:pt idx="5">
                  <c:v>2.9416454081632626E-2</c:v>
                </c:pt>
                <c:pt idx="6">
                  <c:v>2.8365680161587747E-2</c:v>
                </c:pt>
                <c:pt idx="7">
                  <c:v>3.4276891405043787E-2</c:v>
                </c:pt>
                <c:pt idx="8">
                  <c:v>2.943800178412137E-2</c:v>
                </c:pt>
                <c:pt idx="9">
                  <c:v>3.2167625793123801E-2</c:v>
                </c:pt>
                <c:pt idx="10">
                  <c:v>3.2011911408896407E-2</c:v>
                </c:pt>
                <c:pt idx="11">
                  <c:v>3.6101083032490974E-2</c:v>
                </c:pt>
                <c:pt idx="12">
                  <c:v>3.0589293747188478E-2</c:v>
                </c:pt>
                <c:pt idx="13">
                  <c:v>2.3457862728062596E-2</c:v>
                </c:pt>
                <c:pt idx="14">
                  <c:v>2.2304832713754684E-2</c:v>
                </c:pt>
                <c:pt idx="15">
                  <c:v>4.7393364928910046E-2</c:v>
                </c:pt>
                <c:pt idx="16">
                  <c:v>4.2253521126760563E-2</c:v>
                </c:pt>
                <c:pt idx="17">
                  <c:v>0</c:v>
                </c:pt>
                <c:pt idx="18">
                  <c:v>0</c:v>
                </c:pt>
                <c:pt idx="19">
                  <c:v>0</c:v>
                </c:pt>
              </c:numCache>
            </c:numRef>
          </c:val>
        </c:ser>
        <c:ser>
          <c:idx val="5"/>
          <c:order val="5"/>
          <c:tx>
            <c:strRef>
              <c:f>'Inmigracion(Perfil)'!$AA$686</c:f>
              <c:strCache>
                <c:ptCount val="1"/>
                <c:pt idx="0">
                  <c:v>Cuenta propia</c:v>
                </c:pt>
              </c:strCache>
            </c:strRef>
          </c:tx>
          <c:spPr>
            <a:solidFill>
              <a:schemeClr val="accent6">
                <a:lumMod val="75000"/>
              </a:schemeClr>
            </a:solidFill>
          </c:spPr>
          <c:invertIfNegative val="0"/>
          <c:dLbls>
            <c:dLbl>
              <c:idx val="19"/>
              <c:delete val="1"/>
            </c:dLbl>
            <c:numFmt formatCode="#,##0.000" sourceLinked="0"/>
            <c:txPr>
              <a:bodyPr/>
              <a:lstStyle/>
              <a:p>
                <a:pPr>
                  <a:defRPr sz="700"/>
                </a:pPr>
                <a:endParaRPr lang="es-EC"/>
              </a:p>
            </c:txPr>
            <c:dLblPos val="ctr"/>
            <c:showLegendKey val="0"/>
            <c:showVal val="1"/>
            <c:showCatName val="0"/>
            <c:showSerName val="0"/>
            <c:showPercent val="0"/>
            <c:showBubbleSize val="0"/>
            <c:showLeaderLines val="0"/>
          </c:dLbls>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'Inmigracion(Perfil)'!$AA$687:$AA$706</c:f>
              <c:numCache>
                <c:formatCode>0,000</c:formatCode>
                <c:ptCount val="20"/>
                <c:pt idx="0">
                  <c:v>0.19841269841269857</c:v>
                </c:pt>
                <c:pt idx="1">
                  <c:v>0.31866197183098655</c:v>
                </c:pt>
                <c:pt idx="2">
                  <c:v>0.19633381572600098</c:v>
                </c:pt>
                <c:pt idx="3">
                  <c:v>0.19358475097356015</c:v>
                </c:pt>
                <c:pt idx="4">
                  <c:v>0.20631231726516241</c:v>
                </c:pt>
                <c:pt idx="5">
                  <c:v>0.23357780612244899</c:v>
                </c:pt>
                <c:pt idx="6">
                  <c:v>0.23913234390093971</c:v>
                </c:pt>
                <c:pt idx="7">
                  <c:v>0.26103962943901177</c:v>
                </c:pt>
                <c:pt idx="8">
                  <c:v>0.27899197145405924</c:v>
                </c:pt>
                <c:pt idx="9">
                  <c:v>0.28626235797550537</c:v>
                </c:pt>
                <c:pt idx="10">
                  <c:v>0.29350455983621832</c:v>
                </c:pt>
                <c:pt idx="11">
                  <c:v>0.31685642876978665</c:v>
                </c:pt>
                <c:pt idx="12">
                  <c:v>0.33243364822312177</c:v>
                </c:pt>
                <c:pt idx="13">
                  <c:v>0.34578627280625585</c:v>
                </c:pt>
                <c:pt idx="14">
                  <c:v>0.39219330855018575</c:v>
                </c:pt>
                <c:pt idx="15">
                  <c:v>0.35545023696682482</c:v>
                </c:pt>
                <c:pt idx="16">
                  <c:v>0.28169014084507044</c:v>
                </c:pt>
                <c:pt idx="17">
                  <c:v>0.35294117647058826</c:v>
                </c:pt>
                <c:pt idx="18">
                  <c:v>0.66666666666666663</c:v>
                </c:pt>
                <c:pt idx="19">
                  <c:v>0</c:v>
                </c:pt>
              </c:numCache>
            </c:numRef>
          </c:val>
        </c:ser>
        <c:ser>
          <c:idx val="6"/>
          <c:order val="6"/>
          <c:tx>
            <c:strRef>
              <c:f>'Inmigracion(Perfil)'!$AB$686</c:f>
              <c:strCache>
                <c:ptCount val="1"/>
                <c:pt idx="0">
                  <c:v>Trabajador no remunerado</c:v>
                </c:pt>
              </c:strCache>
            </c:strRef>
          </c:tx>
          <c:spPr>
            <a:solidFill>
              <a:srgbClr val="FFFF00"/>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'Inmigracion(Perfil)'!$AB$687:$AB$706</c:f>
              <c:numCache>
                <c:formatCode>0,000</c:formatCode>
                <c:ptCount val="20"/>
                <c:pt idx="0">
                  <c:v>2.3809523809523812E-2</c:v>
                </c:pt>
                <c:pt idx="1">
                  <c:v>7.3943661971831068E-2</c:v>
                </c:pt>
                <c:pt idx="2">
                  <c:v>3.5214664737095995E-2</c:v>
                </c:pt>
                <c:pt idx="3">
                  <c:v>3.1973765115802452E-2</c:v>
                </c:pt>
                <c:pt idx="4">
                  <c:v>2.0316365544643552E-2</c:v>
                </c:pt>
                <c:pt idx="5">
                  <c:v>1.642219387755102E-2</c:v>
                </c:pt>
                <c:pt idx="6">
                  <c:v>1.8090805304294383E-2</c:v>
                </c:pt>
                <c:pt idx="7">
                  <c:v>2.00720535254761E-2</c:v>
                </c:pt>
                <c:pt idx="8">
                  <c:v>1.8844781445138306E-2</c:v>
                </c:pt>
                <c:pt idx="9">
                  <c:v>2.5379961634941738E-2</c:v>
                </c:pt>
                <c:pt idx="10">
                  <c:v>1.8983807928531545E-2</c:v>
                </c:pt>
                <c:pt idx="11">
                  <c:v>2.2771452374340476E-2</c:v>
                </c:pt>
                <c:pt idx="12">
                  <c:v>3.3288349077822806E-2</c:v>
                </c:pt>
                <c:pt idx="13">
                  <c:v>4.6915725456125108E-2</c:v>
                </c:pt>
                <c:pt idx="14">
                  <c:v>5.5762081784386748E-2</c:v>
                </c:pt>
                <c:pt idx="15">
                  <c:v>9.4786729857819968E-2</c:v>
                </c:pt>
                <c:pt idx="16">
                  <c:v>0.18309859154929611</c:v>
                </c:pt>
                <c:pt idx="17">
                  <c:v>0.11764705882352942</c:v>
                </c:pt>
                <c:pt idx="18">
                  <c:v>0</c:v>
                </c:pt>
                <c:pt idx="19">
                  <c:v>0</c:v>
                </c:pt>
              </c:numCache>
            </c:numRef>
          </c:val>
        </c:ser>
        <c:ser>
          <c:idx val="7"/>
          <c:order val="7"/>
          <c:tx>
            <c:strRef>
              <c:f>'Inmigracion(Perfil)'!$AC$686</c:f>
              <c:strCache>
                <c:ptCount val="1"/>
                <c:pt idx="0">
                  <c:v>Empleado doméstico</c:v>
                </c:pt>
              </c:strCache>
            </c:strRef>
          </c:tx>
          <c:spPr>
            <a:solidFill>
              <a:srgbClr val="FF0000"/>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'Inmigracion(Perfil)'!$AC$687:$AC$706</c:f>
              <c:numCache>
                <c:formatCode>0,000</c:formatCode>
                <c:ptCount val="20"/>
                <c:pt idx="0">
                  <c:v>1.5873015873015879E-2</c:v>
                </c:pt>
                <c:pt idx="1">
                  <c:v>2.4647887323943699E-2</c:v>
                </c:pt>
                <c:pt idx="2">
                  <c:v>4.7756874095513838E-2</c:v>
                </c:pt>
                <c:pt idx="3">
                  <c:v>4.2529206804673092E-2</c:v>
                </c:pt>
                <c:pt idx="4">
                  <c:v>2.9537446585201292E-2</c:v>
                </c:pt>
                <c:pt idx="5">
                  <c:v>3.2445790816326606E-2</c:v>
                </c:pt>
                <c:pt idx="6">
                  <c:v>3.3195749538947925E-2</c:v>
                </c:pt>
                <c:pt idx="7">
                  <c:v>4.2511580030880104E-2</c:v>
                </c:pt>
                <c:pt idx="8">
                  <c:v>3.8916146297948234E-2</c:v>
                </c:pt>
                <c:pt idx="9">
                  <c:v>4.2201564113914715E-2</c:v>
                </c:pt>
                <c:pt idx="10">
                  <c:v>3.5361995160990152E-2</c:v>
                </c:pt>
                <c:pt idx="11">
                  <c:v>2.9713968342127191E-2</c:v>
                </c:pt>
                <c:pt idx="12">
                  <c:v>2.1592442645074251E-2</c:v>
                </c:pt>
                <c:pt idx="13">
                  <c:v>2.1720243266724611E-2</c:v>
                </c:pt>
                <c:pt idx="14">
                  <c:v>1.858736059479554E-2</c:v>
                </c:pt>
                <c:pt idx="15">
                  <c:v>2.3696682464454992E-2</c:v>
                </c:pt>
                <c:pt idx="16">
                  <c:v>1.4084507042253521E-2</c:v>
                </c:pt>
                <c:pt idx="17">
                  <c:v>0</c:v>
                </c:pt>
                <c:pt idx="18">
                  <c:v>0</c:v>
                </c:pt>
                <c:pt idx="19">
                  <c:v>0</c:v>
                </c:pt>
              </c:numCache>
            </c:numRef>
          </c:val>
        </c:ser>
        <c:ser>
          <c:idx val="8"/>
          <c:order val="8"/>
          <c:tx>
            <c:strRef>
              <c:f>'Inmigracion(Perfil)'!$AD$686</c:f>
              <c:strCache>
                <c:ptCount val="1"/>
                <c:pt idx="0">
                  <c:v>Se ignora</c:v>
                </c:pt>
              </c:strCache>
            </c:strRef>
          </c:tx>
          <c:spPr>
            <a:solidFill>
              <a:schemeClr val="bg1">
                <a:lumMod val="65000"/>
              </a:schemeClr>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'Inmigracion(Perfil)'!$AD$687:$AD$706</c:f>
              <c:numCache>
                <c:formatCode>0,000</c:formatCode>
                <c:ptCount val="20"/>
                <c:pt idx="0">
                  <c:v>0.67460317460317654</c:v>
                </c:pt>
                <c:pt idx="1">
                  <c:v>0.12852112676056338</c:v>
                </c:pt>
                <c:pt idx="2">
                  <c:v>4.1968162083936326E-2</c:v>
                </c:pt>
                <c:pt idx="3">
                  <c:v>3.1768805083008812E-2</c:v>
                </c:pt>
                <c:pt idx="4">
                  <c:v>2.8113051952920007E-2</c:v>
                </c:pt>
                <c:pt idx="5">
                  <c:v>3.1887755102040845E-2</c:v>
                </c:pt>
                <c:pt idx="6">
                  <c:v>2.7487485729340504E-2</c:v>
                </c:pt>
                <c:pt idx="7">
                  <c:v>2.6145136387030393E-2</c:v>
                </c:pt>
                <c:pt idx="8">
                  <c:v>2.5535236396074967E-2</c:v>
                </c:pt>
                <c:pt idx="9">
                  <c:v>2.8183562048103881E-2</c:v>
                </c:pt>
                <c:pt idx="10">
                  <c:v>3.5361995160990152E-2</c:v>
                </c:pt>
                <c:pt idx="11">
                  <c:v>3.6934184948625381E-2</c:v>
                </c:pt>
                <c:pt idx="12">
                  <c:v>5.7579847053531329E-2</c:v>
                </c:pt>
                <c:pt idx="13">
                  <c:v>5.9947871416159856E-2</c:v>
                </c:pt>
                <c:pt idx="14">
                  <c:v>6.8773234200743591E-2</c:v>
                </c:pt>
                <c:pt idx="15">
                  <c:v>0.11848341232227488</c:v>
                </c:pt>
                <c:pt idx="16">
                  <c:v>0.16901408450704258</c:v>
                </c:pt>
                <c:pt idx="17">
                  <c:v>5.8823529411764705E-2</c:v>
                </c:pt>
                <c:pt idx="18">
                  <c:v>0</c:v>
                </c:pt>
                <c:pt idx="19">
                  <c:v>0.33333333333333331</c:v>
                </c:pt>
              </c:numCache>
            </c:numRef>
          </c:val>
        </c:ser>
        <c:dLbls>
          <c:showLegendKey val="0"/>
          <c:showVal val="0"/>
          <c:showCatName val="0"/>
          <c:showSerName val="0"/>
          <c:showPercent val="0"/>
          <c:showBubbleSize val="0"/>
        </c:dLbls>
        <c:gapWidth val="0"/>
        <c:overlap val="100"/>
        <c:axId val="207099008"/>
        <c:axId val="207100928"/>
      </c:barChart>
      <c:catAx>
        <c:axId val="207099008"/>
        <c:scaling>
          <c:orientation val="maxMin"/>
        </c:scaling>
        <c:delete val="0"/>
        <c:axPos val="l"/>
        <c:title>
          <c:tx>
            <c:rich>
              <a:bodyPr rot="-5400000" vert="horz"/>
              <a:lstStyle/>
              <a:p>
                <a:pPr>
                  <a:defRPr/>
                </a:pPr>
                <a:r>
                  <a:rPr lang="es-EC"/>
                  <a:t>Grupos Etarios</a:t>
                </a:r>
              </a:p>
            </c:rich>
          </c:tx>
          <c:overlay val="0"/>
        </c:title>
        <c:majorTickMark val="out"/>
        <c:minorTickMark val="none"/>
        <c:tickLblPos val="nextTo"/>
        <c:spPr>
          <a:ln>
            <a:solidFill>
              <a:schemeClr val="tx1"/>
            </a:solidFill>
          </a:ln>
        </c:spPr>
        <c:txPr>
          <a:bodyPr/>
          <a:lstStyle/>
          <a:p>
            <a:pPr>
              <a:defRPr sz="750"/>
            </a:pPr>
            <a:endParaRPr lang="es-EC"/>
          </a:p>
        </c:txPr>
        <c:crossAx val="207100928"/>
        <c:crosses val="autoZero"/>
        <c:auto val="1"/>
        <c:lblAlgn val="ctr"/>
        <c:lblOffset val="100"/>
        <c:noMultiLvlLbl val="0"/>
      </c:catAx>
      <c:valAx>
        <c:axId val="207100928"/>
        <c:scaling>
          <c:orientation val="minMax"/>
          <c:max val="1"/>
          <c:min val="0"/>
        </c:scaling>
        <c:delete val="0"/>
        <c:axPos val="t"/>
        <c:title>
          <c:tx>
            <c:rich>
              <a:bodyPr/>
              <a:lstStyle/>
              <a:p>
                <a:pPr>
                  <a:defRPr/>
                </a:pPr>
                <a:r>
                  <a:rPr lang="es-EC"/>
                  <a:t>Frecuencia Relativa</a:t>
                </a:r>
              </a:p>
            </c:rich>
          </c:tx>
          <c:layout>
            <c:manualLayout>
              <c:xMode val="edge"/>
              <c:yMode val="edge"/>
              <c:x val="0.27318000874890641"/>
              <c:y val="0.95734322683348883"/>
            </c:manualLayout>
          </c:layout>
          <c:overlay val="0"/>
        </c:title>
        <c:numFmt formatCode="#,##0.00" sourceLinked="0"/>
        <c:majorTickMark val="in"/>
        <c:minorTickMark val="none"/>
        <c:tickLblPos val="high"/>
        <c:spPr>
          <a:ln>
            <a:solidFill>
              <a:schemeClr val="tx1"/>
            </a:solidFill>
          </a:ln>
        </c:spPr>
        <c:crossAx val="207099008"/>
        <c:crossesAt val="21"/>
        <c:crossBetween val="between"/>
        <c:majorUnit val="0.2"/>
      </c:valAx>
      <c:spPr>
        <a:noFill/>
        <a:ln>
          <a:solidFill>
            <a:schemeClr val="tx1"/>
          </a:solidFill>
        </a:ln>
      </c:spPr>
    </c:plotArea>
    <c:legend>
      <c:legendPos val="r"/>
      <c:layout>
        <c:manualLayout>
          <c:xMode val="edge"/>
          <c:yMode val="edge"/>
          <c:x val="0.62550021872265948"/>
          <c:y val="1.5680884412416649E-2"/>
          <c:w val="0.3578331146106738"/>
          <c:h val="0.96884857590681051"/>
        </c:manualLayout>
      </c:layout>
      <c:overlay val="0"/>
      <c:txPr>
        <a:bodyPr/>
        <a:lstStyle/>
        <a:p>
          <a:pPr>
            <a:defRPr sz="700"/>
          </a:pPr>
          <a:endParaRPr lang="es-EC"/>
        </a:p>
      </c:txPr>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461033057142364"/>
          <c:y val="3.8244236399205218E-2"/>
          <c:w val="0.50735765872403149"/>
          <c:h val="0.84470044505306419"/>
        </c:manualLayout>
      </c:layout>
      <c:barChart>
        <c:barDir val="bar"/>
        <c:grouping val="clustered"/>
        <c:varyColors val="0"/>
        <c:ser>
          <c:idx val="0"/>
          <c:order val="0"/>
          <c:spPr>
            <a:gradFill>
              <a:gsLst>
                <a:gs pos="0">
                  <a:schemeClr val="bg1">
                    <a:lumMod val="65000"/>
                  </a:schemeClr>
                </a:gs>
                <a:gs pos="50000">
                  <a:schemeClr val="bg1">
                    <a:lumMod val="95000"/>
                  </a:schemeClr>
                </a:gs>
                <a:gs pos="100000">
                  <a:schemeClr val="bg1">
                    <a:lumMod val="65000"/>
                  </a:schemeClr>
                </a:gs>
              </a:gsLst>
              <a:lin ang="13200000" scaled="0"/>
            </a:gradFill>
            <a:ln>
              <a:solidFill>
                <a:schemeClr val="bg1">
                  <a:lumMod val="50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'Inmigracion(Perfil)'!$R$714:$R$725</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'Inmigracion(Perfil)'!$S$714:$S$725</c:f>
              <c:numCache>
                <c:formatCode>0,000</c:formatCode>
                <c:ptCount val="12"/>
                <c:pt idx="0">
                  <c:v>7.4021359816976093E-2</c:v>
                </c:pt>
                <c:pt idx="1">
                  <c:v>0.11061559709438999</c:v>
                </c:pt>
                <c:pt idx="2">
                  <c:v>5.7321483168337774E-2</c:v>
                </c:pt>
                <c:pt idx="3">
                  <c:v>5.9187567869606106E-2</c:v>
                </c:pt>
                <c:pt idx="4">
                  <c:v>0.22306565033578982</c:v>
                </c:pt>
                <c:pt idx="5">
                  <c:v>6.6683535228938023E-2</c:v>
                </c:pt>
                <c:pt idx="6">
                  <c:v>0.103699486563136</c:v>
                </c:pt>
                <c:pt idx="7">
                  <c:v>2.6494185617442094E-2</c:v>
                </c:pt>
                <c:pt idx="8">
                  <c:v>0.17662438983247442</c:v>
                </c:pt>
                <c:pt idx="9">
                  <c:v>4.6388546246217807E-4</c:v>
                </c:pt>
                <c:pt idx="10">
                  <c:v>4.5671632349685312E-2</c:v>
                </c:pt>
                <c:pt idx="11">
                  <c:v>5.6151226660762665E-2</c:v>
                </c:pt>
              </c:numCache>
            </c:numRef>
          </c:val>
        </c:ser>
        <c:dLbls>
          <c:showLegendKey val="0"/>
          <c:showVal val="1"/>
          <c:showCatName val="0"/>
          <c:showSerName val="0"/>
          <c:showPercent val="0"/>
          <c:showBubbleSize val="0"/>
        </c:dLbls>
        <c:gapWidth val="40"/>
        <c:axId val="207108352"/>
        <c:axId val="207128064"/>
      </c:barChart>
      <c:catAx>
        <c:axId val="207108352"/>
        <c:scaling>
          <c:orientation val="maxMin"/>
        </c:scaling>
        <c:delete val="0"/>
        <c:axPos val="l"/>
        <c:title>
          <c:tx>
            <c:rich>
              <a:bodyPr rot="-5400000" vert="horz"/>
              <a:lstStyle/>
              <a:p>
                <a:pPr>
                  <a:defRPr/>
                </a:pPr>
                <a:r>
                  <a:rPr lang="es-EC"/>
                  <a:t>Ocupación</a:t>
                </a:r>
              </a:p>
            </c:rich>
          </c:tx>
          <c:overlay val="0"/>
        </c:title>
        <c:majorTickMark val="out"/>
        <c:minorTickMark val="none"/>
        <c:tickLblPos val="nextTo"/>
        <c:spPr>
          <a:ln>
            <a:solidFill>
              <a:schemeClr val="tx1"/>
            </a:solidFill>
          </a:ln>
        </c:spPr>
        <c:txPr>
          <a:bodyPr/>
          <a:lstStyle/>
          <a:p>
            <a:pPr>
              <a:defRPr sz="800"/>
            </a:pPr>
            <a:endParaRPr lang="es-EC"/>
          </a:p>
        </c:txPr>
        <c:crossAx val="207128064"/>
        <c:crossesAt val="0"/>
        <c:auto val="1"/>
        <c:lblAlgn val="ctr"/>
        <c:lblOffset val="100"/>
        <c:noMultiLvlLbl val="0"/>
      </c:catAx>
      <c:valAx>
        <c:axId val="207128064"/>
        <c:scaling>
          <c:orientation val="minMax"/>
          <c:max val="1"/>
          <c:min val="0"/>
        </c:scaling>
        <c:delete val="0"/>
        <c:axPos val="t"/>
        <c:title>
          <c:tx>
            <c:rich>
              <a:bodyPr/>
              <a:lstStyle/>
              <a:p>
                <a:pPr>
                  <a:defRPr/>
                </a:pPr>
                <a:r>
                  <a:rPr lang="es-EC"/>
                  <a:t>Frecuencia</a:t>
                </a:r>
                <a:r>
                  <a:rPr lang="es-EC" baseline="0"/>
                  <a:t> Relativa</a:t>
                </a:r>
                <a:endParaRPr lang="es-EC"/>
              </a:p>
            </c:rich>
          </c:tx>
          <c:layout>
            <c:manualLayout>
              <c:xMode val="edge"/>
              <c:yMode val="edge"/>
              <c:x val="0.6117971854825337"/>
              <c:y val="0.95056682384615887"/>
            </c:manualLayout>
          </c:layout>
          <c:overlay val="0"/>
        </c:title>
        <c:numFmt formatCode="#,##0.00" sourceLinked="0"/>
        <c:majorTickMark val="in"/>
        <c:minorTickMark val="none"/>
        <c:tickLblPos val="high"/>
        <c:spPr>
          <a:ln>
            <a:solidFill>
              <a:schemeClr val="tx1"/>
            </a:solidFill>
          </a:ln>
        </c:spPr>
        <c:crossAx val="207108352"/>
        <c:crossesAt val="13"/>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78530067333589"/>
          <c:y val="4.6136095912705184E-2"/>
          <c:w val="0.49472609715359872"/>
          <c:h val="0.85783383271781311"/>
        </c:manualLayout>
      </c:layout>
      <c:barChart>
        <c:barDir val="bar"/>
        <c:grouping val="stacked"/>
        <c:varyColors val="0"/>
        <c:ser>
          <c:idx val="0"/>
          <c:order val="0"/>
          <c:tx>
            <c:strRef>
              <c:f>'Inmigracion(Perfil)'!$U$884</c:f>
              <c:strCache>
                <c:ptCount val="1"/>
                <c:pt idx="0">
                  <c:v>Hombre</c:v>
                </c:pt>
              </c:strCache>
            </c:strRef>
          </c:tx>
          <c:spPr>
            <a:solidFill>
              <a:srgbClr val="00B0F0"/>
            </a:solidFill>
          </c:spPr>
          <c:invertIfNegative val="0"/>
          <c:dLbls>
            <c:dLbl>
              <c:idx val="0"/>
              <c:layout>
                <c:manualLayout>
                  <c:x val="-4.1048937618939525E-2"/>
                  <c:y val="0"/>
                </c:manualLayout>
              </c:layout>
              <c:dLblPos val="ctr"/>
              <c:showLegendKey val="0"/>
              <c:showVal val="1"/>
              <c:showCatName val="0"/>
              <c:showSerName val="0"/>
              <c:showPercent val="0"/>
              <c:showBubbleSize val="0"/>
            </c:dLbl>
            <c:dLbl>
              <c:idx val="1"/>
              <c:layout>
                <c:manualLayout>
                  <c:x val="-4.1964953937298877E-2"/>
                  <c:y val="2.4218423051288809E-7"/>
                </c:manualLayout>
              </c:layout>
              <c:dLblPos val="ctr"/>
              <c:showLegendKey val="0"/>
              <c:showVal val="1"/>
              <c:showCatName val="0"/>
              <c:showSerName val="0"/>
              <c:showPercent val="0"/>
              <c:showBubbleSize val="0"/>
            </c:dLbl>
            <c:dLbl>
              <c:idx val="4"/>
              <c:layout>
                <c:manualLayout>
                  <c:x val="-5.1019897457385464E-2"/>
                  <c:y val="0"/>
                </c:manualLayout>
              </c:layout>
              <c:dLblPos val="ctr"/>
              <c:showLegendKey val="0"/>
              <c:showVal val="1"/>
              <c:showCatName val="0"/>
              <c:showSerName val="0"/>
              <c:showPercent val="0"/>
              <c:showBubbleSize val="0"/>
            </c:dLbl>
            <c:dLbl>
              <c:idx val="5"/>
              <c:layout>
                <c:manualLayout>
                  <c:x val="-4.0290983582706288E-2"/>
                  <c:y val="-5.6387910273132978E-17"/>
                </c:manualLayout>
              </c:layout>
              <c:dLblPos val="ctr"/>
              <c:showLegendKey val="0"/>
              <c:showVal val="1"/>
              <c:showCatName val="0"/>
              <c:showSerName val="0"/>
              <c:showPercent val="0"/>
              <c:showBubbleSize val="0"/>
            </c:dLbl>
            <c:dLbl>
              <c:idx val="6"/>
              <c:layout>
                <c:manualLayout>
                  <c:x val="-4.8530474710616833E-2"/>
                  <c:y val="0"/>
                </c:manualLayout>
              </c:layout>
              <c:dLblPos val="ctr"/>
              <c:showLegendKey val="0"/>
              <c:showVal val="1"/>
              <c:showCatName val="0"/>
              <c:showSerName val="0"/>
              <c:showPercent val="0"/>
              <c:showBubbleSize val="0"/>
            </c:dLbl>
            <c:dLbl>
              <c:idx val="8"/>
              <c:layout>
                <c:manualLayout>
                  <c:x val="-5.3171546461348647E-2"/>
                  <c:y val="0"/>
                </c:manualLayout>
              </c:layout>
              <c:dLblPos val="ctr"/>
              <c:showLegendKey val="0"/>
              <c:showVal val="1"/>
              <c:showCatName val="0"/>
              <c:showSerName val="0"/>
              <c:showPercent val="0"/>
              <c:showBubbleSize val="0"/>
            </c:dLbl>
            <c:numFmt formatCode="0.000;0.000" sourceLinked="0"/>
            <c:txPr>
              <a:bodyPr/>
              <a:lstStyle/>
              <a:p>
                <a:pPr>
                  <a:defRPr sz="700"/>
                </a:pPr>
                <a:endParaRPr lang="es-EC"/>
              </a:p>
            </c:txPr>
            <c:dLblPos val="inEnd"/>
            <c:showLegendKey val="0"/>
            <c:showVal val="1"/>
            <c:showCatName val="0"/>
            <c:showSerName val="0"/>
            <c:showPercent val="0"/>
            <c:showBubbleSize val="0"/>
            <c:showLeaderLines val="0"/>
          </c:dLbls>
          <c:cat>
            <c:strRef>
              <c:f>'Inmigracion(Perfil)'!$T$886:$T$897</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'Inmigracion(Perfil)'!$U$886:$U$897</c:f>
              <c:numCache>
                <c:formatCode>0.00%</c:formatCode>
                <c:ptCount val="12"/>
                <c:pt idx="0">
                  <c:v>-8.1155620626840799E-2</c:v>
                </c:pt>
                <c:pt idx="1">
                  <c:v>-9.7652326393026845E-2</c:v>
                </c:pt>
                <c:pt idx="2">
                  <c:v>-5.7406493130628754E-2</c:v>
                </c:pt>
                <c:pt idx="3">
                  <c:v>-4.9404994977783112E-2</c:v>
                </c:pt>
                <c:pt idx="4">
                  <c:v>-0.19176356424181543</c:v>
                </c:pt>
                <c:pt idx="5">
                  <c:v>-8.7284427722637448E-2</c:v>
                </c:pt>
                <c:pt idx="6">
                  <c:v>-0.13910689661042921</c:v>
                </c:pt>
                <c:pt idx="7">
                  <c:v>-3.7658114710839491E-2</c:v>
                </c:pt>
                <c:pt idx="8">
                  <c:v>-0.17329202063365057</c:v>
                </c:pt>
                <c:pt idx="9">
                  <c:v>-7.3205195866460099E-4</c:v>
                </c:pt>
                <c:pt idx="10">
                  <c:v>-3.8339093277039112E-2</c:v>
                </c:pt>
                <c:pt idx="11">
                  <c:v>-4.6204395716644801E-2</c:v>
                </c:pt>
              </c:numCache>
            </c:numRef>
          </c:val>
        </c:ser>
        <c:ser>
          <c:idx val="1"/>
          <c:order val="1"/>
          <c:tx>
            <c:strRef>
              <c:f>'Inmigracion(Perfil)'!$V$884</c:f>
              <c:strCache>
                <c:ptCount val="1"/>
                <c:pt idx="0">
                  <c:v>Mujer</c:v>
                </c:pt>
              </c:strCache>
            </c:strRef>
          </c:tx>
          <c:spPr>
            <a:solidFill>
              <a:srgbClr val="D735B4"/>
            </a:solidFill>
          </c:spPr>
          <c:invertIfNegative val="0"/>
          <c:dLbls>
            <c:dLbl>
              <c:idx val="0"/>
              <c:layout>
                <c:manualLayout>
                  <c:x val="3.7239613341015311E-2"/>
                  <c:y val="0"/>
                </c:manualLayout>
              </c:layout>
              <c:dLblPos val="ctr"/>
              <c:showLegendKey val="0"/>
              <c:showVal val="1"/>
              <c:showCatName val="0"/>
              <c:showSerName val="0"/>
              <c:showPercent val="0"/>
              <c:showBubbleSize val="0"/>
            </c:dLbl>
            <c:dLbl>
              <c:idx val="1"/>
              <c:layout>
                <c:manualLayout>
                  <c:x val="4.6408622425522766E-2"/>
                  <c:y val="0"/>
                </c:manualLayout>
              </c:layout>
              <c:dLblPos val="ctr"/>
              <c:showLegendKey val="0"/>
              <c:showVal val="1"/>
              <c:showCatName val="0"/>
              <c:showSerName val="0"/>
              <c:showPercent val="0"/>
              <c:showBubbleSize val="0"/>
            </c:dLbl>
            <c:dLbl>
              <c:idx val="3"/>
              <c:layout>
                <c:manualLayout>
                  <c:x val="3.8627255850224945E-2"/>
                  <c:y val="0"/>
                </c:manualLayout>
              </c:layout>
              <c:dLblPos val="ctr"/>
              <c:showLegendKey val="0"/>
              <c:showVal val="1"/>
              <c:showCatName val="0"/>
              <c:showSerName val="0"/>
              <c:showPercent val="0"/>
              <c:showBubbleSize val="0"/>
            </c:dLbl>
            <c:dLbl>
              <c:idx val="4"/>
              <c:layout>
                <c:manualLayout>
                  <c:x val="6.4288050468192567E-2"/>
                  <c:y val="-3.07573972751368E-3"/>
                </c:manualLayout>
              </c:layout>
              <c:dLblPos val="ctr"/>
              <c:showLegendKey val="0"/>
              <c:showVal val="1"/>
              <c:showCatName val="0"/>
              <c:showSerName val="0"/>
              <c:showPercent val="0"/>
              <c:showBubbleSize val="0"/>
            </c:dLbl>
            <c:dLbl>
              <c:idx val="8"/>
              <c:layout>
                <c:manualLayout>
                  <c:x val="4.9051218930227979E-2"/>
                  <c:y val="0"/>
                </c:manualLayout>
              </c:layout>
              <c:dLblPos val="ctr"/>
              <c:showLegendKey val="0"/>
              <c:showVal val="1"/>
              <c:showCatName val="0"/>
              <c:showSerName val="0"/>
              <c:showPercent val="0"/>
              <c:showBubbleSize val="0"/>
            </c:dLbl>
            <c:dLbl>
              <c:idx val="10"/>
              <c:layout>
                <c:manualLayout>
                  <c:x val="3.6013292130058022E-2"/>
                  <c:y val="0"/>
                </c:manualLayout>
              </c:layout>
              <c:dLblPos val="ctr"/>
              <c:showLegendKey val="0"/>
              <c:showVal val="1"/>
              <c:showCatName val="0"/>
              <c:showSerName val="0"/>
              <c:showPercent val="0"/>
              <c:showBubbleSize val="0"/>
            </c:dLbl>
            <c:dLbl>
              <c:idx val="11"/>
              <c:layout>
                <c:manualLayout>
                  <c:x val="3.6013292130058022E-2"/>
                  <c:y val="1.1277582054626588E-16"/>
                </c:manualLayout>
              </c:layout>
              <c:dLblPos val="ctr"/>
              <c:showLegendKey val="0"/>
              <c:showVal val="1"/>
              <c:showCatName val="0"/>
              <c:showSerName val="0"/>
              <c:showPercent val="0"/>
              <c:showBubbleSize val="0"/>
            </c:dLbl>
            <c:numFmt formatCode="#,##0.00" sourceLinked="0"/>
            <c:txPr>
              <a:bodyPr/>
              <a:lstStyle/>
              <a:p>
                <a:pPr>
                  <a:defRPr sz="700"/>
                </a:pPr>
                <a:endParaRPr lang="es-EC"/>
              </a:p>
            </c:txPr>
            <c:dLblPos val="inBase"/>
            <c:showLegendKey val="0"/>
            <c:showVal val="1"/>
            <c:showCatName val="0"/>
            <c:showSerName val="0"/>
            <c:showPercent val="0"/>
            <c:showBubbleSize val="0"/>
            <c:showLeaderLines val="0"/>
          </c:dLbls>
          <c:cat>
            <c:strRef>
              <c:f>'Inmigracion(Perfil)'!$T$886:$T$897</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'Inmigracion(Perfil)'!$V$886:$V$897</c:f>
              <c:numCache>
                <c:formatCode>0.00%</c:formatCode>
                <c:ptCount val="12"/>
                <c:pt idx="0">
                  <c:v>6.2416925121843193E-2</c:v>
                </c:pt>
                <c:pt idx="1">
                  <c:v>0.13170137350465219</c:v>
                </c:pt>
                <c:pt idx="2">
                  <c:v>5.7183207797961912E-2</c:v>
                </c:pt>
                <c:pt idx="3">
                  <c:v>7.5099689853788273E-2</c:v>
                </c:pt>
                <c:pt idx="4">
                  <c:v>0.27398094816127616</c:v>
                </c:pt>
                <c:pt idx="5">
                  <c:v>3.3174568010633586E-2</c:v>
                </c:pt>
                <c:pt idx="6">
                  <c:v>4.6106557377049176E-2</c:v>
                </c:pt>
                <c:pt idx="7">
                  <c:v>8.3351794417368189E-3</c:v>
                </c:pt>
                <c:pt idx="8">
                  <c:v>0.18204474966770054</c:v>
                </c:pt>
                <c:pt idx="9">
                  <c:v>2.76916260522818E-5</c:v>
                </c:pt>
                <c:pt idx="10">
                  <c:v>5.7598582188746146E-2</c:v>
                </c:pt>
                <c:pt idx="11">
                  <c:v>7.2330527248560067E-2</c:v>
                </c:pt>
              </c:numCache>
            </c:numRef>
          </c:val>
        </c:ser>
        <c:dLbls>
          <c:showLegendKey val="0"/>
          <c:showVal val="0"/>
          <c:showCatName val="0"/>
          <c:showSerName val="0"/>
          <c:showPercent val="0"/>
          <c:showBubbleSize val="0"/>
        </c:dLbls>
        <c:gapWidth val="40"/>
        <c:overlap val="100"/>
        <c:axId val="207157888"/>
        <c:axId val="218043136"/>
      </c:barChart>
      <c:catAx>
        <c:axId val="207157888"/>
        <c:scaling>
          <c:orientation val="maxMin"/>
        </c:scaling>
        <c:delete val="0"/>
        <c:axPos val="l"/>
        <c:title>
          <c:tx>
            <c:rich>
              <a:bodyPr rot="-5400000" vert="horz"/>
              <a:lstStyle/>
              <a:p>
                <a:pPr>
                  <a:defRPr/>
                </a:pPr>
                <a:r>
                  <a:rPr lang="es-EC"/>
                  <a:t>Ocupación</a:t>
                </a:r>
              </a:p>
            </c:rich>
          </c:tx>
          <c:overlay val="0"/>
        </c:title>
        <c:majorTickMark val="out"/>
        <c:minorTickMark val="none"/>
        <c:tickLblPos val="nextTo"/>
        <c:spPr>
          <a:ln>
            <a:solidFill>
              <a:schemeClr val="tx1"/>
            </a:solidFill>
          </a:ln>
        </c:spPr>
        <c:crossAx val="218043136"/>
        <c:crossesAt val="-1"/>
        <c:auto val="1"/>
        <c:lblAlgn val="ctr"/>
        <c:lblOffset val="100"/>
        <c:noMultiLvlLbl val="0"/>
      </c:catAx>
      <c:valAx>
        <c:axId val="218043136"/>
        <c:scaling>
          <c:orientation val="minMax"/>
          <c:max val="1"/>
          <c:min val="-1"/>
        </c:scaling>
        <c:delete val="0"/>
        <c:axPos val="t"/>
        <c:title>
          <c:tx>
            <c:rich>
              <a:bodyPr/>
              <a:lstStyle/>
              <a:p>
                <a:pPr>
                  <a:defRPr/>
                </a:pPr>
                <a:r>
                  <a:rPr lang="es-EC"/>
                  <a:t>Frecuencia Relativa</a:t>
                </a:r>
              </a:p>
            </c:rich>
          </c:tx>
          <c:layout>
            <c:manualLayout>
              <c:xMode val="edge"/>
              <c:yMode val="edge"/>
              <c:x val="0.60380466854060111"/>
              <c:y val="0.96035347272811844"/>
            </c:manualLayout>
          </c:layout>
          <c:overlay val="0"/>
        </c:title>
        <c:numFmt formatCode="0.00;0.00" sourceLinked="0"/>
        <c:majorTickMark val="in"/>
        <c:minorTickMark val="none"/>
        <c:tickLblPos val="high"/>
        <c:spPr>
          <a:ln>
            <a:solidFill>
              <a:schemeClr val="tx1"/>
            </a:solidFill>
          </a:ln>
        </c:spPr>
        <c:crossAx val="207157888"/>
        <c:crossesAt val="13"/>
        <c:crossBetween val="between"/>
        <c:majorUnit val="0.4"/>
      </c:valAx>
      <c:spPr>
        <a:noFill/>
        <a:ln>
          <a:solidFill>
            <a:schemeClr val="tx1"/>
          </a:solidFill>
        </a:ln>
      </c:spPr>
    </c:plotArea>
    <c:legend>
      <c:legendPos val="t"/>
      <c:layout>
        <c:manualLayout>
          <c:xMode val="edge"/>
          <c:yMode val="edge"/>
          <c:x val="0.44835099603680373"/>
          <c:y val="0"/>
          <c:w val="0.49843392635787498"/>
          <c:h val="4.8188607266301912E-2"/>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6951006124234"/>
          <c:y val="2.9901457894059801E-2"/>
          <c:w val="0.46985433070866173"/>
          <c:h val="0.8832125984251965"/>
        </c:manualLayout>
      </c:layout>
      <c:barChart>
        <c:barDir val="bar"/>
        <c:grouping val="stacked"/>
        <c:varyColors val="0"/>
        <c:ser>
          <c:idx val="0"/>
          <c:order val="0"/>
          <c:tx>
            <c:strRef>
              <c:f>'Inmigracion(Perfil)'!$AA$713</c:f>
              <c:strCache>
                <c:ptCount val="1"/>
                <c:pt idx="0">
                  <c:v>Directores y gerentes</c:v>
                </c:pt>
              </c:strCache>
            </c:strRef>
          </c:tx>
          <c:spPr>
            <a:solidFill>
              <a:srgbClr val="0070C0"/>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'Inmigracion(Perfil)'!$AA$714:$AA$733</c:f>
              <c:numCache>
                <c:formatCode>0,000</c:formatCode>
                <c:ptCount val="20"/>
                <c:pt idx="0">
                  <c:v>0</c:v>
                </c:pt>
                <c:pt idx="1">
                  <c:v>0</c:v>
                </c:pt>
                <c:pt idx="2">
                  <c:v>3.9439088518843203E-3</c:v>
                </c:pt>
                <c:pt idx="3">
                  <c:v>1.9185107797511661E-2</c:v>
                </c:pt>
                <c:pt idx="4">
                  <c:v>4.5541064504758547E-2</c:v>
                </c:pt>
                <c:pt idx="5">
                  <c:v>7.3213336371231119E-2</c:v>
                </c:pt>
                <c:pt idx="6">
                  <c:v>9.2148447361777325E-2</c:v>
                </c:pt>
                <c:pt idx="7">
                  <c:v>9.1986957810493014E-2</c:v>
                </c:pt>
                <c:pt idx="8">
                  <c:v>0.10547798066595059</c:v>
                </c:pt>
                <c:pt idx="9">
                  <c:v>0.10818168792090566</c:v>
                </c:pt>
                <c:pt idx="10">
                  <c:v>0.10664493934455919</c:v>
                </c:pt>
                <c:pt idx="11">
                  <c:v>0.11810154525386322</c:v>
                </c:pt>
                <c:pt idx="12">
                  <c:v>0.10751237067026542</c:v>
                </c:pt>
                <c:pt idx="13">
                  <c:v>9.122502172024341E-2</c:v>
                </c:pt>
                <c:pt idx="14">
                  <c:v>7.2490706319702697E-2</c:v>
                </c:pt>
                <c:pt idx="15">
                  <c:v>8.5308056872037921E-2</c:v>
                </c:pt>
                <c:pt idx="16">
                  <c:v>0.11267605633802817</c:v>
                </c:pt>
                <c:pt idx="17">
                  <c:v>0.11764705882352942</c:v>
                </c:pt>
                <c:pt idx="18">
                  <c:v>0</c:v>
                </c:pt>
                <c:pt idx="19">
                  <c:v>0</c:v>
                </c:pt>
              </c:numCache>
            </c:numRef>
          </c:val>
        </c:ser>
        <c:ser>
          <c:idx val="1"/>
          <c:order val="1"/>
          <c:tx>
            <c:strRef>
              <c:f>'Inmigracion(Perfil)'!$AB$713</c:f>
              <c:strCache>
                <c:ptCount val="1"/>
                <c:pt idx="0">
                  <c:v>Profesionales científicos e intelectuales</c:v>
                </c:pt>
              </c:strCache>
            </c:strRef>
          </c:tx>
          <c:spPr>
            <a:solidFill>
              <a:srgbClr val="D735B4"/>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'Inmigracion(Perfil)'!$AB$714:$AB$733</c:f>
              <c:numCache>
                <c:formatCode>0,000</c:formatCode>
                <c:ptCount val="20"/>
                <c:pt idx="0">
                  <c:v>0</c:v>
                </c:pt>
                <c:pt idx="1">
                  <c:v>0</c:v>
                </c:pt>
                <c:pt idx="2">
                  <c:v>0</c:v>
                </c:pt>
                <c:pt idx="3">
                  <c:v>5.6890492924304384E-2</c:v>
                </c:pt>
                <c:pt idx="4">
                  <c:v>0.10870637997885109</c:v>
                </c:pt>
                <c:pt idx="5">
                  <c:v>0.12417407154249269</c:v>
                </c:pt>
                <c:pt idx="6">
                  <c:v>0.12522090381216874</c:v>
                </c:pt>
                <c:pt idx="7">
                  <c:v>0.12271514672463214</c:v>
                </c:pt>
                <c:pt idx="8">
                  <c:v>0.12341568206229862</c:v>
                </c:pt>
                <c:pt idx="9">
                  <c:v>0.13483307064049291</c:v>
                </c:pt>
                <c:pt idx="10">
                  <c:v>0.13814955640050697</c:v>
                </c:pt>
                <c:pt idx="11">
                  <c:v>0.14045253863134671</c:v>
                </c:pt>
                <c:pt idx="12">
                  <c:v>0.15249662618083687</c:v>
                </c:pt>
                <c:pt idx="13">
                  <c:v>0.14248479582971341</c:v>
                </c:pt>
                <c:pt idx="14">
                  <c:v>0.13568773234200743</c:v>
                </c:pt>
                <c:pt idx="15">
                  <c:v>0.17061611374407584</c:v>
                </c:pt>
                <c:pt idx="16">
                  <c:v>0.14084507042253538</c:v>
                </c:pt>
                <c:pt idx="17">
                  <c:v>5.8823529411764705E-2</c:v>
                </c:pt>
                <c:pt idx="18">
                  <c:v>0.33333333333333331</c:v>
                </c:pt>
                <c:pt idx="19">
                  <c:v>0</c:v>
                </c:pt>
              </c:numCache>
            </c:numRef>
          </c:val>
        </c:ser>
        <c:ser>
          <c:idx val="2"/>
          <c:order val="2"/>
          <c:tx>
            <c:strRef>
              <c:f>'Inmigracion(Perfil)'!$AC$713</c:f>
              <c:strCache>
                <c:ptCount val="1"/>
                <c:pt idx="0">
                  <c:v>Técnicos y profesionales del nivel medio</c:v>
                </c:pt>
              </c:strCache>
            </c:strRef>
          </c:tx>
          <c:spPr>
            <a:solidFill>
              <a:srgbClr val="00B0F0"/>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'Inmigracion(Perfil)'!$AC$714:$AC$733</c:f>
              <c:numCache>
                <c:formatCode>0,000</c:formatCode>
                <c:ptCount val="20"/>
                <c:pt idx="0">
                  <c:v>0</c:v>
                </c:pt>
                <c:pt idx="1">
                  <c:v>0</c:v>
                </c:pt>
                <c:pt idx="2">
                  <c:v>0</c:v>
                </c:pt>
                <c:pt idx="3">
                  <c:v>4.568335074555982E-2</c:v>
                </c:pt>
                <c:pt idx="4">
                  <c:v>6.0979908353894947E-2</c:v>
                </c:pt>
                <c:pt idx="5">
                  <c:v>6.645401382243489E-2</c:v>
                </c:pt>
                <c:pt idx="6">
                  <c:v>6.5555836068332915E-2</c:v>
                </c:pt>
                <c:pt idx="7">
                  <c:v>6.3432467147515173E-2</c:v>
                </c:pt>
                <c:pt idx="8">
                  <c:v>6.519871106337273E-2</c:v>
                </c:pt>
                <c:pt idx="9">
                  <c:v>5.8174523570712081E-2</c:v>
                </c:pt>
                <c:pt idx="10">
                  <c:v>5.9569074778200309E-2</c:v>
                </c:pt>
                <c:pt idx="11">
                  <c:v>6.5949227373068436E-2</c:v>
                </c:pt>
                <c:pt idx="12">
                  <c:v>5.1731893837157004E-2</c:v>
                </c:pt>
                <c:pt idx="13">
                  <c:v>5.2128583840139034E-2</c:v>
                </c:pt>
                <c:pt idx="14">
                  <c:v>4.6468401486988893E-2</c:v>
                </c:pt>
                <c:pt idx="15">
                  <c:v>3.7914691943127965E-2</c:v>
                </c:pt>
                <c:pt idx="16">
                  <c:v>8.4507042253521278E-2</c:v>
                </c:pt>
                <c:pt idx="17">
                  <c:v>0</c:v>
                </c:pt>
                <c:pt idx="18">
                  <c:v>0</c:v>
                </c:pt>
                <c:pt idx="19">
                  <c:v>0</c:v>
                </c:pt>
              </c:numCache>
            </c:numRef>
          </c:val>
        </c:ser>
        <c:ser>
          <c:idx val="3"/>
          <c:order val="3"/>
          <c:tx>
            <c:strRef>
              <c:f>'Inmigracion(Perfil)'!$AD$713</c:f>
              <c:strCache>
                <c:ptCount val="1"/>
                <c:pt idx="0">
                  <c:v>Personal de apoyo administrativo</c:v>
                </c:pt>
              </c:strCache>
            </c:strRef>
          </c:tx>
          <c:spPr>
            <a:solidFill>
              <a:srgbClr val="7030A0"/>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'Inmigracion(Perfil)'!$AD$714:$AD$733</c:f>
              <c:numCache>
                <c:formatCode>0,000</c:formatCode>
                <c:ptCount val="20"/>
                <c:pt idx="0">
                  <c:v>7.6923076923076988E-3</c:v>
                </c:pt>
                <c:pt idx="1">
                  <c:v>2.1001615508885359E-2</c:v>
                </c:pt>
                <c:pt idx="2">
                  <c:v>6.2007011393514513E-2</c:v>
                </c:pt>
                <c:pt idx="3">
                  <c:v>7.8734922594738424E-2</c:v>
                </c:pt>
                <c:pt idx="4">
                  <c:v>6.7959111737751141E-2</c:v>
                </c:pt>
                <c:pt idx="5">
                  <c:v>6.3188273714589488E-2</c:v>
                </c:pt>
                <c:pt idx="6">
                  <c:v>5.5036606917445219E-2</c:v>
                </c:pt>
                <c:pt idx="7">
                  <c:v>5.5231696472680572E-2</c:v>
                </c:pt>
                <c:pt idx="8">
                  <c:v>4.9301825993555322E-2</c:v>
                </c:pt>
                <c:pt idx="9">
                  <c:v>5.430577446625591E-2</c:v>
                </c:pt>
                <c:pt idx="10">
                  <c:v>5.2145573058120592E-2</c:v>
                </c:pt>
                <c:pt idx="11">
                  <c:v>4.5253863134657783E-2</c:v>
                </c:pt>
                <c:pt idx="12">
                  <c:v>3.913630229419704E-2</c:v>
                </c:pt>
                <c:pt idx="13">
                  <c:v>4.6915725456125108E-2</c:v>
                </c:pt>
                <c:pt idx="14">
                  <c:v>5.2044609665427496E-2</c:v>
                </c:pt>
                <c:pt idx="15">
                  <c:v>7.582938388625593E-2</c:v>
                </c:pt>
                <c:pt idx="16">
                  <c:v>5.6338028169014086E-2</c:v>
                </c:pt>
                <c:pt idx="17">
                  <c:v>0</c:v>
                </c:pt>
                <c:pt idx="18">
                  <c:v>0</c:v>
                </c:pt>
                <c:pt idx="19">
                  <c:v>0</c:v>
                </c:pt>
              </c:numCache>
            </c:numRef>
          </c:val>
        </c:ser>
        <c:ser>
          <c:idx val="4"/>
          <c:order val="4"/>
          <c:tx>
            <c:strRef>
              <c:f>'Inmigracion(Perfil)'!$AE$713</c:f>
              <c:strCache>
                <c:ptCount val="1"/>
                <c:pt idx="0">
                  <c:v>Trabajadores de los servicios y vendedores</c:v>
                </c:pt>
              </c:strCache>
            </c:strRef>
          </c:tx>
          <c:spPr>
            <a:solidFill>
              <a:srgbClr val="00B050"/>
            </a:solidFill>
          </c:spPr>
          <c:invertIfNegative val="0"/>
          <c:dLbls>
            <c:dLbl>
              <c:idx val="18"/>
              <c:delete val="1"/>
            </c:dLbl>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'Inmigracion(Perfil)'!$AE$714:$AE$733</c:f>
              <c:numCache>
                <c:formatCode>0,000</c:formatCode>
                <c:ptCount val="20"/>
                <c:pt idx="0">
                  <c:v>6.9230769230769235E-2</c:v>
                </c:pt>
                <c:pt idx="1">
                  <c:v>0.18093699515347367</c:v>
                </c:pt>
                <c:pt idx="2">
                  <c:v>0.21472392638036827</c:v>
                </c:pt>
                <c:pt idx="3">
                  <c:v>0.24237819356064219</c:v>
                </c:pt>
                <c:pt idx="4">
                  <c:v>0.2369404300317241</c:v>
                </c:pt>
                <c:pt idx="5">
                  <c:v>0.23012075643654575</c:v>
                </c:pt>
                <c:pt idx="6">
                  <c:v>0.23411596398215939</c:v>
                </c:pt>
                <c:pt idx="7">
                  <c:v>0.22991799229325174</c:v>
                </c:pt>
                <c:pt idx="8">
                  <c:v>0.22556390977443624</c:v>
                </c:pt>
                <c:pt idx="9">
                  <c:v>0.20561685055165496</c:v>
                </c:pt>
                <c:pt idx="10">
                  <c:v>0.20423682781097241</c:v>
                </c:pt>
                <c:pt idx="11">
                  <c:v>0.19067328918322296</c:v>
                </c:pt>
                <c:pt idx="12">
                  <c:v>0.16644174538911391</c:v>
                </c:pt>
                <c:pt idx="13">
                  <c:v>0.1390095569070374</c:v>
                </c:pt>
                <c:pt idx="14">
                  <c:v>0.15055762081784391</c:v>
                </c:pt>
                <c:pt idx="15">
                  <c:v>0.12796208530805686</c:v>
                </c:pt>
                <c:pt idx="16">
                  <c:v>0.11267605633802817</c:v>
                </c:pt>
                <c:pt idx="17">
                  <c:v>0.17647058823529421</c:v>
                </c:pt>
                <c:pt idx="18">
                  <c:v>0</c:v>
                </c:pt>
                <c:pt idx="19">
                  <c:v>0.66666666666666663</c:v>
                </c:pt>
              </c:numCache>
            </c:numRef>
          </c:val>
        </c:ser>
        <c:ser>
          <c:idx val="5"/>
          <c:order val="5"/>
          <c:tx>
            <c:strRef>
              <c:f>'Inmigracion(Perfil)'!$AF$713</c:f>
              <c:strCache>
                <c:ptCount val="1"/>
                <c:pt idx="0">
                  <c:v>Agricultores y trabajadores calificados</c:v>
                </c:pt>
              </c:strCache>
            </c:strRef>
          </c:tx>
          <c:spPr>
            <a:solidFill>
              <a:schemeClr val="accent6">
                <a:lumMod val="75000"/>
              </a:schemeClr>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'Inmigracion(Perfil)'!$AF$714:$AF$733</c:f>
              <c:numCache>
                <c:formatCode>0,000</c:formatCode>
                <c:ptCount val="20"/>
                <c:pt idx="0">
                  <c:v>0</c:v>
                </c:pt>
                <c:pt idx="1">
                  <c:v>0</c:v>
                </c:pt>
                <c:pt idx="2">
                  <c:v>5.2147239263803713E-2</c:v>
                </c:pt>
                <c:pt idx="3">
                  <c:v>7.3416278848893665E-2</c:v>
                </c:pt>
                <c:pt idx="4">
                  <c:v>6.0979908353894947E-2</c:v>
                </c:pt>
                <c:pt idx="5">
                  <c:v>5.1720209614946513E-2</c:v>
                </c:pt>
                <c:pt idx="6">
                  <c:v>5.3774299419338603E-2</c:v>
                </c:pt>
                <c:pt idx="7">
                  <c:v>5.5330500938642529E-2</c:v>
                </c:pt>
                <c:pt idx="8">
                  <c:v>6.4983888292158967E-2</c:v>
                </c:pt>
                <c:pt idx="9">
                  <c:v>7.0927066915030895E-2</c:v>
                </c:pt>
                <c:pt idx="10">
                  <c:v>7.6045627376425853E-2</c:v>
                </c:pt>
                <c:pt idx="11">
                  <c:v>9.8509933774834579E-2</c:v>
                </c:pt>
                <c:pt idx="12">
                  <c:v>0.13360323886639708</c:v>
                </c:pt>
                <c:pt idx="13">
                  <c:v>0.18418766290182451</c:v>
                </c:pt>
                <c:pt idx="14">
                  <c:v>0.22304832713754646</c:v>
                </c:pt>
                <c:pt idx="15">
                  <c:v>0.19431279620853067</c:v>
                </c:pt>
                <c:pt idx="16">
                  <c:v>0.19718309859154928</c:v>
                </c:pt>
                <c:pt idx="17">
                  <c:v>0.41176470588235342</c:v>
                </c:pt>
                <c:pt idx="18">
                  <c:v>0.33333333333333331</c:v>
                </c:pt>
                <c:pt idx="19">
                  <c:v>0</c:v>
                </c:pt>
              </c:numCache>
            </c:numRef>
          </c:val>
        </c:ser>
        <c:ser>
          <c:idx val="6"/>
          <c:order val="6"/>
          <c:tx>
            <c:strRef>
              <c:f>'Inmigracion(Perfil)'!$AG$713</c:f>
              <c:strCache>
                <c:ptCount val="1"/>
                <c:pt idx="0">
                  <c:v>Oficiales, operarios y artesanos</c:v>
                </c:pt>
              </c:strCache>
            </c:strRef>
          </c:tx>
          <c:spPr>
            <a:solidFill>
              <a:srgbClr val="FFFF00"/>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'Inmigracion(Perfil)'!$AG$714:$AG$733</c:f>
              <c:numCache>
                <c:formatCode>0,000</c:formatCode>
                <c:ptCount val="20"/>
                <c:pt idx="0">
                  <c:v>0</c:v>
                </c:pt>
                <c:pt idx="1">
                  <c:v>9.8546042003231235E-2</c:v>
                </c:pt>
                <c:pt idx="2">
                  <c:v>0.1222611744084139</c:v>
                </c:pt>
                <c:pt idx="3">
                  <c:v>0.10618292335454459</c:v>
                </c:pt>
                <c:pt idx="4">
                  <c:v>0.10623898484314416</c:v>
                </c:pt>
                <c:pt idx="5">
                  <c:v>0.1029847345636821</c:v>
                </c:pt>
                <c:pt idx="6">
                  <c:v>0.10275183034587225</c:v>
                </c:pt>
                <c:pt idx="7">
                  <c:v>0.10325066693014524</c:v>
                </c:pt>
                <c:pt idx="8">
                  <c:v>0.10332975295381325</c:v>
                </c:pt>
                <c:pt idx="9">
                  <c:v>0.10603238286287436</c:v>
                </c:pt>
                <c:pt idx="10">
                  <c:v>0.10175629187036032</c:v>
                </c:pt>
                <c:pt idx="11">
                  <c:v>0.10347682119205298</c:v>
                </c:pt>
                <c:pt idx="12">
                  <c:v>9.311740890688279E-2</c:v>
                </c:pt>
                <c:pt idx="13">
                  <c:v>6.776715899218072E-2</c:v>
                </c:pt>
                <c:pt idx="14">
                  <c:v>5.9479553903345778E-2</c:v>
                </c:pt>
                <c:pt idx="15">
                  <c:v>4.2654028436018961E-2</c:v>
                </c:pt>
                <c:pt idx="16">
                  <c:v>4.2253521126760563E-2</c:v>
                </c:pt>
                <c:pt idx="17">
                  <c:v>5.8823529411764705E-2</c:v>
                </c:pt>
                <c:pt idx="18">
                  <c:v>0</c:v>
                </c:pt>
                <c:pt idx="19">
                  <c:v>0.33333333333333331</c:v>
                </c:pt>
              </c:numCache>
            </c:numRef>
          </c:val>
        </c:ser>
        <c:ser>
          <c:idx val="7"/>
          <c:order val="7"/>
          <c:tx>
            <c:strRef>
              <c:f>'Inmigracion(Perfil)'!$AH$713</c:f>
              <c:strCache>
                <c:ptCount val="1"/>
                <c:pt idx="0">
                  <c:v>Operadores de instalaciones y maquinaria</c:v>
                </c:pt>
              </c:strCache>
            </c:strRef>
          </c:tx>
          <c:spPr>
            <a:solidFill>
              <a:srgbClr val="FF0000"/>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'Inmigracion(Perfil)'!$AH$714:$AH$733</c:f>
              <c:numCache>
                <c:formatCode>0,000</c:formatCode>
                <c:ptCount val="20"/>
                <c:pt idx="0">
                  <c:v>0</c:v>
                </c:pt>
                <c:pt idx="1">
                  <c:v>0</c:v>
                </c:pt>
                <c:pt idx="2">
                  <c:v>2.7826468010517091E-2</c:v>
                </c:pt>
                <c:pt idx="3">
                  <c:v>3.3051571849178459E-2</c:v>
                </c:pt>
                <c:pt idx="4">
                  <c:v>2.7916813535424786E-2</c:v>
                </c:pt>
                <c:pt idx="5">
                  <c:v>2.5290498974709502E-2</c:v>
                </c:pt>
                <c:pt idx="6">
                  <c:v>2.4404611630059751E-2</c:v>
                </c:pt>
                <c:pt idx="7">
                  <c:v>2.6874814741626375E-2</c:v>
                </c:pt>
                <c:pt idx="8">
                  <c:v>2.5456498388829216E-2</c:v>
                </c:pt>
                <c:pt idx="9">
                  <c:v>2.6364808711849836E-2</c:v>
                </c:pt>
                <c:pt idx="10">
                  <c:v>2.8969762810066992E-2</c:v>
                </c:pt>
                <c:pt idx="11">
                  <c:v>2.4282560706401772E-2</c:v>
                </c:pt>
                <c:pt idx="12">
                  <c:v>2.1142600089968516E-2</c:v>
                </c:pt>
                <c:pt idx="13">
                  <c:v>2.0851433536055605E-2</c:v>
                </c:pt>
                <c:pt idx="14">
                  <c:v>1.1152416356877323E-2</c:v>
                </c:pt>
                <c:pt idx="15">
                  <c:v>0</c:v>
                </c:pt>
                <c:pt idx="16">
                  <c:v>1.4084507042253521E-2</c:v>
                </c:pt>
                <c:pt idx="17">
                  <c:v>0</c:v>
                </c:pt>
                <c:pt idx="18">
                  <c:v>0</c:v>
                </c:pt>
                <c:pt idx="19">
                  <c:v>0</c:v>
                </c:pt>
              </c:numCache>
            </c:numRef>
          </c:val>
        </c:ser>
        <c:ser>
          <c:idx val="8"/>
          <c:order val="8"/>
          <c:tx>
            <c:strRef>
              <c:f>'Inmigracion(Perfil)'!$AI$713</c:f>
              <c:strCache>
                <c:ptCount val="1"/>
                <c:pt idx="0">
                  <c:v>Ocupaciones elementales</c:v>
                </c:pt>
              </c:strCache>
            </c:strRef>
          </c:tx>
          <c:spPr>
            <a:solidFill>
              <a:srgbClr val="00F0EA"/>
            </a:solidFill>
          </c:spPr>
          <c:invertIfNegative val="0"/>
          <c:dLbls>
            <c:dLbl>
              <c:idx val="19"/>
              <c:delete val="1"/>
            </c:dLbl>
            <c:numFmt formatCode="#,##0.000" sourceLinked="0"/>
            <c:txPr>
              <a:bodyPr/>
              <a:lstStyle/>
              <a:p>
                <a:pPr>
                  <a:defRPr sz="700"/>
                </a:pPr>
                <a:endParaRPr lang="es-EC"/>
              </a:p>
            </c:txPr>
            <c:dLblPos val="ctr"/>
            <c:showLegendKey val="0"/>
            <c:showVal val="1"/>
            <c:showCatName val="0"/>
            <c:showSerName val="0"/>
            <c:showPercent val="0"/>
            <c:showBubbleSize val="0"/>
            <c:showLeaderLines val="0"/>
          </c:dLbls>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'Inmigracion(Perfil)'!$AI$714:$AI$733</c:f>
              <c:numCache>
                <c:formatCode>0,000</c:formatCode>
                <c:ptCount val="20"/>
                <c:pt idx="0">
                  <c:v>0.17692307692307688</c:v>
                </c:pt>
                <c:pt idx="1">
                  <c:v>0.46042003231017781</c:v>
                </c:pt>
                <c:pt idx="2">
                  <c:v>0.36349693251533743</c:v>
                </c:pt>
                <c:pt idx="3">
                  <c:v>0.21787444201728581</c:v>
                </c:pt>
                <c:pt idx="4">
                  <c:v>0.1765244977088474</c:v>
                </c:pt>
                <c:pt idx="5">
                  <c:v>0.15774284195336852</c:v>
                </c:pt>
                <c:pt idx="6">
                  <c:v>0.15290751493730556</c:v>
                </c:pt>
                <c:pt idx="7">
                  <c:v>0.16184171524552907</c:v>
                </c:pt>
                <c:pt idx="8">
                  <c:v>0.15123523093447933</c:v>
                </c:pt>
                <c:pt idx="9">
                  <c:v>0.15360366814729925</c:v>
                </c:pt>
                <c:pt idx="10">
                  <c:v>0.1466594242259642</c:v>
                </c:pt>
                <c:pt idx="11">
                  <c:v>0.14652317880794719</c:v>
                </c:pt>
                <c:pt idx="12">
                  <c:v>0.15339631129104833</c:v>
                </c:pt>
                <c:pt idx="13">
                  <c:v>0.15030408340573434</c:v>
                </c:pt>
                <c:pt idx="14">
                  <c:v>0.14684014869888476</c:v>
                </c:pt>
                <c:pt idx="15">
                  <c:v>0.15165876777251186</c:v>
                </c:pt>
                <c:pt idx="16">
                  <c:v>9.8591549295774836E-2</c:v>
                </c:pt>
                <c:pt idx="17">
                  <c:v>0.11764705882352942</c:v>
                </c:pt>
                <c:pt idx="18">
                  <c:v>0.33333333333333331</c:v>
                </c:pt>
                <c:pt idx="19">
                  <c:v>0</c:v>
                </c:pt>
              </c:numCache>
            </c:numRef>
          </c:val>
        </c:ser>
        <c:ser>
          <c:idx val="9"/>
          <c:order val="9"/>
          <c:tx>
            <c:strRef>
              <c:f>'Inmigracion(Perfil)'!$AJ$713</c:f>
              <c:strCache>
                <c:ptCount val="1"/>
                <c:pt idx="0">
                  <c:v>Ocupaciones militares</c:v>
                </c:pt>
              </c:strCache>
            </c:strRef>
          </c:tx>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'Inmigracion(Perfil)'!$AJ$714:$AJ$733</c:f>
              <c:numCache>
                <c:formatCode>0,000</c:formatCode>
                <c:ptCount val="20"/>
                <c:pt idx="0">
                  <c:v>0</c:v>
                </c:pt>
                <c:pt idx="1">
                  <c:v>0</c:v>
                </c:pt>
                <c:pt idx="2">
                  <c:v>1.0955302366345311E-3</c:v>
                </c:pt>
                <c:pt idx="3">
                  <c:v>1.899515623516008E-4</c:v>
                </c:pt>
                <c:pt idx="4">
                  <c:v>7.0497003877335374E-4</c:v>
                </c:pt>
                <c:pt idx="5">
                  <c:v>6.075795549479768E-4</c:v>
                </c:pt>
                <c:pt idx="6">
                  <c:v>3.3661533282841046E-4</c:v>
                </c:pt>
                <c:pt idx="7">
                  <c:v>3.9521786384744606E-4</c:v>
                </c:pt>
                <c:pt idx="8">
                  <c:v>6.4446831364124702E-4</c:v>
                </c:pt>
                <c:pt idx="9">
                  <c:v>2.8657400773749852E-4</c:v>
                </c:pt>
                <c:pt idx="10">
                  <c:v>1.8106101756291891E-4</c:v>
                </c:pt>
                <c:pt idx="11">
                  <c:v>0</c:v>
                </c:pt>
                <c:pt idx="12">
                  <c:v>4.4984255510571323E-4</c:v>
                </c:pt>
                <c:pt idx="13">
                  <c:v>8.6880973066898464E-4</c:v>
                </c:pt>
                <c:pt idx="14">
                  <c:v>0</c:v>
                </c:pt>
                <c:pt idx="15">
                  <c:v>0</c:v>
                </c:pt>
                <c:pt idx="16">
                  <c:v>0</c:v>
                </c:pt>
                <c:pt idx="17">
                  <c:v>0</c:v>
                </c:pt>
                <c:pt idx="18">
                  <c:v>0</c:v>
                </c:pt>
                <c:pt idx="19">
                  <c:v>0</c:v>
                </c:pt>
              </c:numCache>
            </c:numRef>
          </c:val>
        </c:ser>
        <c:ser>
          <c:idx val="10"/>
          <c:order val="10"/>
          <c:tx>
            <c:strRef>
              <c:f>'Inmigracion(Perfil)'!$AK$713</c:f>
              <c:strCache>
                <c:ptCount val="1"/>
                <c:pt idx="0">
                  <c:v>Trabajadores nuevos</c:v>
                </c:pt>
              </c:strCache>
            </c:strRef>
          </c:tx>
          <c:spPr>
            <a:solidFill>
              <a:srgbClr val="C00000"/>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'Inmigracion(Perfil)'!$AK$714:$AK$733</c:f>
              <c:numCache>
                <c:formatCode>0,000</c:formatCode>
                <c:ptCount val="20"/>
                <c:pt idx="0">
                  <c:v>3.0769230769230792E-2</c:v>
                </c:pt>
                <c:pt idx="1">
                  <c:v>8.239095315024246E-2</c:v>
                </c:pt>
                <c:pt idx="2">
                  <c:v>9.1586327782647012E-2</c:v>
                </c:pt>
                <c:pt idx="3">
                  <c:v>7.3226327286541937E-2</c:v>
                </c:pt>
                <c:pt idx="4">
                  <c:v>5.9640465280225576E-2</c:v>
                </c:pt>
                <c:pt idx="5">
                  <c:v>4.7315257841573762E-2</c:v>
                </c:pt>
                <c:pt idx="6">
                  <c:v>4.1740301270722875E-2</c:v>
                </c:pt>
                <c:pt idx="7">
                  <c:v>4.0114613180515818E-2</c:v>
                </c:pt>
                <c:pt idx="8">
                  <c:v>3.6734693877551045E-2</c:v>
                </c:pt>
                <c:pt idx="9">
                  <c:v>2.8943974781487351E-2</c:v>
                </c:pt>
                <c:pt idx="10">
                  <c:v>2.7159152634437807E-2</c:v>
                </c:pt>
                <c:pt idx="11">
                  <c:v>6.3465783664459156E-3</c:v>
                </c:pt>
                <c:pt idx="12">
                  <c:v>0</c:v>
                </c:pt>
                <c:pt idx="13">
                  <c:v>0</c:v>
                </c:pt>
                <c:pt idx="14">
                  <c:v>0</c:v>
                </c:pt>
                <c:pt idx="15">
                  <c:v>0</c:v>
                </c:pt>
                <c:pt idx="16">
                  <c:v>0</c:v>
                </c:pt>
                <c:pt idx="17">
                  <c:v>0</c:v>
                </c:pt>
                <c:pt idx="18">
                  <c:v>0</c:v>
                </c:pt>
                <c:pt idx="19">
                  <c:v>0</c:v>
                </c:pt>
              </c:numCache>
            </c:numRef>
          </c:val>
        </c:ser>
        <c:ser>
          <c:idx val="11"/>
          <c:order val="11"/>
          <c:tx>
            <c:strRef>
              <c:f>'Inmigracion(Perfil)'!$AL$713</c:f>
              <c:strCache>
                <c:ptCount val="1"/>
                <c:pt idx="0">
                  <c:v>No declarado</c:v>
                </c:pt>
              </c:strCache>
            </c:strRef>
          </c:tx>
          <c:spPr>
            <a:solidFill>
              <a:schemeClr val="bg1">
                <a:lumMod val="65000"/>
              </a:schemeClr>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'Inmigracion(Perfil)'!$AL$714:$AL$733</c:f>
              <c:numCache>
                <c:formatCode>0,000</c:formatCode>
                <c:ptCount val="20"/>
                <c:pt idx="0">
                  <c:v>0.71538461538461562</c:v>
                </c:pt>
                <c:pt idx="1">
                  <c:v>0.1567043618739907</c:v>
                </c:pt>
                <c:pt idx="2">
                  <c:v>6.0911481156879992E-2</c:v>
                </c:pt>
                <c:pt idx="3">
                  <c:v>5.3186437458448234E-2</c:v>
                </c:pt>
                <c:pt idx="4">
                  <c:v>4.7867465632710701E-2</c:v>
                </c:pt>
                <c:pt idx="5">
                  <c:v>5.7188425609478295E-2</c:v>
                </c:pt>
                <c:pt idx="6">
                  <c:v>5.2007068921989412E-2</c:v>
                </c:pt>
                <c:pt idx="7">
                  <c:v>4.8908210651121491E-2</c:v>
                </c:pt>
                <c:pt idx="8">
                  <c:v>4.8657357679914005E-2</c:v>
                </c:pt>
                <c:pt idx="9">
                  <c:v>5.2729617423699734E-2</c:v>
                </c:pt>
                <c:pt idx="10">
                  <c:v>5.8482708672822743E-2</c:v>
                </c:pt>
                <c:pt idx="11">
                  <c:v>6.0430463576158944E-2</c:v>
                </c:pt>
                <c:pt idx="12">
                  <c:v>8.0971659919028313E-2</c:v>
                </c:pt>
                <c:pt idx="13">
                  <c:v>0.10425716768027801</c:v>
                </c:pt>
                <c:pt idx="14">
                  <c:v>0.10223048327137554</c:v>
                </c:pt>
                <c:pt idx="15">
                  <c:v>0.11374407582938389</c:v>
                </c:pt>
                <c:pt idx="16">
                  <c:v>0.14084507042253538</c:v>
                </c:pt>
                <c:pt idx="17">
                  <c:v>5.8823529411764705E-2</c:v>
                </c:pt>
                <c:pt idx="18">
                  <c:v>0</c:v>
                </c:pt>
                <c:pt idx="19">
                  <c:v>0</c:v>
                </c:pt>
              </c:numCache>
            </c:numRef>
          </c:val>
        </c:ser>
        <c:dLbls>
          <c:showLegendKey val="0"/>
          <c:showVal val="0"/>
          <c:showCatName val="0"/>
          <c:showSerName val="0"/>
          <c:showPercent val="0"/>
          <c:showBubbleSize val="0"/>
        </c:dLbls>
        <c:gapWidth val="0"/>
        <c:overlap val="100"/>
        <c:axId val="229902592"/>
        <c:axId val="229912960"/>
      </c:barChart>
      <c:catAx>
        <c:axId val="229902592"/>
        <c:scaling>
          <c:orientation val="maxMin"/>
        </c:scaling>
        <c:delete val="0"/>
        <c:axPos val="l"/>
        <c:title>
          <c:tx>
            <c:rich>
              <a:bodyPr rot="-5400000" vert="horz"/>
              <a:lstStyle/>
              <a:p>
                <a:pPr>
                  <a:defRPr/>
                </a:pPr>
                <a:r>
                  <a:rPr lang="es-EC"/>
                  <a:t>Grupos Etarios</a:t>
                </a:r>
              </a:p>
            </c:rich>
          </c:tx>
          <c:overlay val="0"/>
        </c:title>
        <c:majorTickMark val="out"/>
        <c:minorTickMark val="none"/>
        <c:tickLblPos val="nextTo"/>
        <c:spPr>
          <a:ln>
            <a:solidFill>
              <a:schemeClr val="tx1"/>
            </a:solidFill>
          </a:ln>
        </c:spPr>
        <c:crossAx val="229912960"/>
        <c:crosses val="autoZero"/>
        <c:auto val="1"/>
        <c:lblAlgn val="ctr"/>
        <c:lblOffset val="100"/>
        <c:noMultiLvlLbl val="0"/>
      </c:catAx>
      <c:valAx>
        <c:axId val="229912960"/>
        <c:scaling>
          <c:orientation val="minMax"/>
          <c:max val="1"/>
          <c:min val="0"/>
        </c:scaling>
        <c:delete val="0"/>
        <c:axPos val="t"/>
        <c:title>
          <c:tx>
            <c:rich>
              <a:bodyPr/>
              <a:lstStyle/>
              <a:p>
                <a:pPr>
                  <a:defRPr/>
                </a:pPr>
                <a:r>
                  <a:rPr lang="es-EC"/>
                  <a:t>Frecuencia Relativa</a:t>
                </a:r>
              </a:p>
            </c:rich>
          </c:tx>
          <c:layout>
            <c:manualLayout>
              <c:xMode val="edge"/>
              <c:yMode val="edge"/>
              <c:x val="0.27318000874890641"/>
              <c:y val="0.95708074114498054"/>
            </c:manualLayout>
          </c:layout>
          <c:overlay val="0"/>
        </c:title>
        <c:numFmt formatCode="#,##0.00" sourceLinked="0"/>
        <c:majorTickMark val="in"/>
        <c:minorTickMark val="none"/>
        <c:tickLblPos val="high"/>
        <c:spPr>
          <a:ln>
            <a:solidFill>
              <a:schemeClr val="tx1"/>
            </a:solidFill>
          </a:ln>
        </c:spPr>
        <c:crossAx val="229902592"/>
        <c:crossesAt val="21"/>
        <c:crossBetween val="between"/>
        <c:majorUnit val="0.2"/>
      </c:valAx>
      <c:spPr>
        <a:noFill/>
        <a:ln>
          <a:solidFill>
            <a:schemeClr val="tx1"/>
          </a:solidFill>
        </a:ln>
      </c:spPr>
    </c:plotArea>
    <c:legend>
      <c:legendPos val="r"/>
      <c:layout>
        <c:manualLayout>
          <c:xMode val="edge"/>
          <c:yMode val="edge"/>
          <c:x val="0.65050021872265951"/>
          <c:y val="4.8660823503701732E-2"/>
          <c:w val="0.34166666666666706"/>
          <c:h val="0.88692546976579967"/>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7188087870339166"/>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'Inmigracion(Perfil)'!$H$936:$H$941</c:f>
              <c:strCache>
                <c:ptCount val="6"/>
                <c:pt idx="0">
                  <c:v>Casa/Villa</c:v>
                </c:pt>
                <c:pt idx="1">
                  <c:v>Departamento en casa o edificio</c:v>
                </c:pt>
                <c:pt idx="2">
                  <c:v>Cuarto(s) en casa de inquilinato</c:v>
                </c:pt>
                <c:pt idx="3">
                  <c:v>Otras viviendas particulares</c:v>
                </c:pt>
                <c:pt idx="4">
                  <c:v>Viviendas colectivas</c:v>
                </c:pt>
                <c:pt idx="5">
                  <c:v>Sin viviendas</c:v>
                </c:pt>
              </c:strCache>
            </c:strRef>
          </c:cat>
          <c:val>
            <c:numRef>
              <c:f>'Inmigracion(Perfil)'!$I$936:$I$941</c:f>
              <c:numCache>
                <c:formatCode>0.00%</c:formatCode>
                <c:ptCount val="6"/>
                <c:pt idx="0">
                  <c:v>0.55164823268318475</c:v>
                </c:pt>
                <c:pt idx="1">
                  <c:v>0.28390740306370998</c:v>
                </c:pt>
                <c:pt idx="2">
                  <c:v>0.10013893149053642</c:v>
                </c:pt>
                <c:pt idx="3">
                  <c:v>5.6420619598361692E-2</c:v>
                </c:pt>
                <c:pt idx="4">
                  <c:v>7.8126409613337514E-3</c:v>
                </c:pt>
                <c:pt idx="5">
                  <c:v>7.2172202876062385E-5</c:v>
                </c:pt>
              </c:numCache>
            </c:numRef>
          </c:val>
        </c:ser>
        <c:dLbls>
          <c:showLegendKey val="0"/>
          <c:showVal val="1"/>
          <c:showCatName val="0"/>
          <c:showSerName val="0"/>
          <c:showPercent val="0"/>
          <c:showBubbleSize val="0"/>
        </c:dLbls>
        <c:gapWidth val="50"/>
        <c:axId val="229928320"/>
        <c:axId val="229952128"/>
      </c:barChart>
      <c:catAx>
        <c:axId val="229928320"/>
        <c:scaling>
          <c:orientation val="minMax"/>
        </c:scaling>
        <c:delete val="0"/>
        <c:axPos val="b"/>
        <c:title>
          <c:tx>
            <c:rich>
              <a:bodyPr/>
              <a:lstStyle/>
              <a:p>
                <a:pPr>
                  <a:defRPr/>
                </a:pPr>
                <a:r>
                  <a:rPr lang="es-EC"/>
                  <a:t>Tipo de vivienda</a:t>
                </a:r>
              </a:p>
            </c:rich>
          </c:tx>
          <c:overlay val="0"/>
        </c:title>
        <c:numFmt formatCode="###0" sourceLinked="1"/>
        <c:majorTickMark val="out"/>
        <c:minorTickMark val="none"/>
        <c:tickLblPos val="nextTo"/>
        <c:spPr>
          <a:ln>
            <a:solidFill>
              <a:schemeClr val="tx1"/>
            </a:solidFill>
          </a:ln>
        </c:spPr>
        <c:txPr>
          <a:bodyPr rot="0" vert="horz"/>
          <a:lstStyle/>
          <a:p>
            <a:pPr>
              <a:defRPr sz="700"/>
            </a:pPr>
            <a:endParaRPr lang="es-EC"/>
          </a:p>
        </c:txPr>
        <c:crossAx val="229952128"/>
        <c:crosses val="autoZero"/>
        <c:auto val="1"/>
        <c:lblAlgn val="ctr"/>
        <c:lblOffset val="100"/>
        <c:noMultiLvlLbl val="0"/>
      </c:catAx>
      <c:valAx>
        <c:axId val="229952128"/>
        <c:scaling>
          <c:orientation val="minMax"/>
          <c:max val="1"/>
          <c:min val="0"/>
        </c:scaling>
        <c:delete val="0"/>
        <c:axPos val="l"/>
        <c:title>
          <c:tx>
            <c:rich>
              <a:bodyPr rot="-5400000" vert="horz"/>
              <a:lstStyle/>
              <a:p>
                <a:pPr>
                  <a:defRPr/>
                </a:pPr>
                <a:r>
                  <a:rPr lang="es-EC"/>
                  <a:t>Frecuencia Relativa</a:t>
                </a:r>
              </a:p>
            </c:rich>
          </c:tx>
          <c:layout>
            <c:manualLayout>
              <c:xMode val="edge"/>
              <c:yMode val="edge"/>
              <c:x val="8.7278789722100179E-4"/>
              <c:y val="0.2017063431273429"/>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29928320"/>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62843181558826955"/>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'Inmigracion(Perfil)'!$B$1021:$B$1027</c:f>
              <c:strCache>
                <c:ptCount val="7"/>
                <c:pt idx="0">
                  <c:v>Propia y totalmente pagada</c:v>
                </c:pt>
                <c:pt idx="1">
                  <c:v>Propia y la está pagando</c:v>
                </c:pt>
                <c:pt idx="2">
                  <c:v>Propia (regalada, donada, heredada o por posesión)</c:v>
                </c:pt>
                <c:pt idx="3">
                  <c:v>Prestada o cedida (no pagada)</c:v>
                </c:pt>
                <c:pt idx="4">
                  <c:v>Por servicios</c:v>
                </c:pt>
                <c:pt idx="5">
                  <c:v>Arrendada</c:v>
                </c:pt>
                <c:pt idx="6">
                  <c:v>Anticresis</c:v>
                </c:pt>
              </c:strCache>
            </c:strRef>
          </c:cat>
          <c:val>
            <c:numRef>
              <c:f>'Inmigracion(Perfil)'!$G$1021:$G$1027</c:f>
              <c:numCache>
                <c:formatCode>0.00%</c:formatCode>
                <c:ptCount val="7"/>
                <c:pt idx="0">
                  <c:v>0.2416657753057368</c:v>
                </c:pt>
                <c:pt idx="1">
                  <c:v>5.4711733875280888E-2</c:v>
                </c:pt>
                <c:pt idx="2">
                  <c:v>3.2837736656326937E-2</c:v>
                </c:pt>
                <c:pt idx="3">
                  <c:v>8.2557849324348578E-2</c:v>
                </c:pt>
                <c:pt idx="4">
                  <c:v>3.0484543801476128E-2</c:v>
                </c:pt>
                <c:pt idx="5">
                  <c:v>0.55571005811673269</c:v>
                </c:pt>
                <c:pt idx="6">
                  <c:v>2.032302920098406E-3</c:v>
                </c:pt>
              </c:numCache>
            </c:numRef>
          </c:val>
        </c:ser>
        <c:dLbls>
          <c:showLegendKey val="0"/>
          <c:showVal val="1"/>
          <c:showCatName val="0"/>
          <c:showSerName val="0"/>
          <c:showPercent val="0"/>
          <c:showBubbleSize val="0"/>
        </c:dLbls>
        <c:gapWidth val="50"/>
        <c:axId val="232859136"/>
        <c:axId val="232866560"/>
      </c:barChart>
      <c:catAx>
        <c:axId val="232859136"/>
        <c:scaling>
          <c:orientation val="minMax"/>
        </c:scaling>
        <c:delete val="0"/>
        <c:axPos val="b"/>
        <c:title>
          <c:tx>
            <c:rich>
              <a:bodyPr/>
              <a:lstStyle/>
              <a:p>
                <a:pPr>
                  <a:defRPr/>
                </a:pPr>
                <a:r>
                  <a:rPr lang="es-EC"/>
                  <a:t>La vivienda que ocupa</a:t>
                </a:r>
                <a:r>
                  <a:rPr lang="es-EC" baseline="0"/>
                  <a:t> este hogar</a:t>
                </a:r>
                <a:endParaRPr lang="es-EC"/>
              </a:p>
            </c:rich>
          </c:tx>
          <c:overlay val="0"/>
        </c:title>
        <c:numFmt formatCode="###0" sourceLinked="1"/>
        <c:majorTickMark val="out"/>
        <c:minorTickMark val="none"/>
        <c:tickLblPos val="nextTo"/>
        <c:spPr>
          <a:ln>
            <a:solidFill>
              <a:schemeClr val="tx1"/>
            </a:solidFill>
          </a:ln>
        </c:spPr>
        <c:txPr>
          <a:bodyPr rot="0" vert="horz"/>
          <a:lstStyle/>
          <a:p>
            <a:pPr>
              <a:defRPr sz="700"/>
            </a:pPr>
            <a:endParaRPr lang="es-EC"/>
          </a:p>
        </c:txPr>
        <c:crossAx val="232866560"/>
        <c:crosses val="autoZero"/>
        <c:auto val="1"/>
        <c:lblAlgn val="ctr"/>
        <c:lblOffset val="100"/>
        <c:noMultiLvlLbl val="0"/>
      </c:catAx>
      <c:valAx>
        <c:axId val="232866560"/>
        <c:scaling>
          <c:orientation val="minMax"/>
          <c:max val="1"/>
          <c:min val="0"/>
        </c:scaling>
        <c:delete val="0"/>
        <c:axPos val="l"/>
        <c:title>
          <c:tx>
            <c:rich>
              <a:bodyPr rot="-5400000" vert="horz"/>
              <a:lstStyle/>
              <a:p>
                <a:pPr>
                  <a:defRPr/>
                </a:pPr>
                <a:r>
                  <a:rPr lang="es-EC"/>
                  <a:t>Frecuencia Relativa</a:t>
                </a:r>
              </a:p>
            </c:rich>
          </c:tx>
          <c:layout>
            <c:manualLayout>
              <c:xMode val="edge"/>
              <c:yMode val="edge"/>
              <c:x val="8.7278770058740816E-4"/>
              <c:y val="0.13478123930160904"/>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32859136"/>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24715834823457"/>
          <c:y val="5.2663066076126593E-2"/>
          <c:w val="0.52605975049931564"/>
          <c:h val="0.79197177116345963"/>
        </c:manualLayout>
      </c:layout>
      <c:barChart>
        <c:barDir val="bar"/>
        <c:grouping val="stacked"/>
        <c:varyColors val="0"/>
        <c:ser>
          <c:idx val="0"/>
          <c:order val="0"/>
          <c:tx>
            <c:strRef>
              <c:f>ViviendaPaís!$M$4</c:f>
              <c:strCache>
                <c:ptCount val="1"/>
                <c:pt idx="0">
                  <c:v>Propia y totalmente pagada</c:v>
                </c:pt>
              </c:strCache>
            </c:strRef>
          </c:tx>
          <c:spPr>
            <a:solidFill>
              <a:srgbClr val="0070C0"/>
            </a:solidFill>
          </c:spPr>
          <c:invertIfNegative val="0"/>
          <c:dLbls>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ViviendaPaís!$L$5:$L$10</c:f>
              <c:strCache>
                <c:ptCount val="6"/>
                <c:pt idx="0">
                  <c:v>Colombia</c:v>
                </c:pt>
                <c:pt idx="1">
                  <c:v>Perú</c:v>
                </c:pt>
                <c:pt idx="2">
                  <c:v>Estados Unidos</c:v>
                </c:pt>
                <c:pt idx="3">
                  <c:v>España</c:v>
                </c:pt>
                <c:pt idx="4">
                  <c:v>Cuba</c:v>
                </c:pt>
                <c:pt idx="5">
                  <c:v>Venezuela</c:v>
                </c:pt>
              </c:strCache>
            </c:strRef>
          </c:cat>
          <c:val>
            <c:numRef>
              <c:f>ViviendaPaís!$M$5:$M$10</c:f>
              <c:numCache>
                <c:formatCode>0.00%</c:formatCode>
                <c:ptCount val="6"/>
                <c:pt idx="0">
                  <c:v>0.22571512252269862</c:v>
                </c:pt>
                <c:pt idx="1">
                  <c:v>0.13814074717636857</c:v>
                </c:pt>
                <c:pt idx="2">
                  <c:v>0.3268892794376107</c:v>
                </c:pt>
                <c:pt idx="3">
                  <c:v>0.39596700274977137</c:v>
                </c:pt>
                <c:pt idx="4">
                  <c:v>9.2551622418879251E-2</c:v>
                </c:pt>
                <c:pt idx="5">
                  <c:v>0.24269889224572022</c:v>
                </c:pt>
              </c:numCache>
            </c:numRef>
          </c:val>
        </c:ser>
        <c:ser>
          <c:idx val="1"/>
          <c:order val="1"/>
          <c:tx>
            <c:strRef>
              <c:f>ViviendaPaís!$N$4</c:f>
              <c:strCache>
                <c:ptCount val="1"/>
                <c:pt idx="0">
                  <c:v>Propia y la está pagando</c:v>
                </c:pt>
              </c:strCache>
            </c:strRef>
          </c:tx>
          <c:spPr>
            <a:solidFill>
              <a:srgbClr val="D735B4"/>
            </a:solidFill>
          </c:spPr>
          <c:invertIfNegative val="0"/>
          <c:cat>
            <c:strRef>
              <c:f>ViviendaPaís!$L$5:$L$10</c:f>
              <c:strCache>
                <c:ptCount val="6"/>
                <c:pt idx="0">
                  <c:v>Colombia</c:v>
                </c:pt>
                <c:pt idx="1">
                  <c:v>Perú</c:v>
                </c:pt>
                <c:pt idx="2">
                  <c:v>Estados Unidos</c:v>
                </c:pt>
                <c:pt idx="3">
                  <c:v>España</c:v>
                </c:pt>
                <c:pt idx="4">
                  <c:v>Cuba</c:v>
                </c:pt>
                <c:pt idx="5">
                  <c:v>Venezuela</c:v>
                </c:pt>
              </c:strCache>
            </c:strRef>
          </c:cat>
          <c:val>
            <c:numRef>
              <c:f>ViviendaPaís!$N$5:$N$10</c:f>
              <c:numCache>
                <c:formatCode>0.00%</c:formatCode>
                <c:ptCount val="6"/>
                <c:pt idx="0">
                  <c:v>4.7837547593478483E-2</c:v>
                </c:pt>
                <c:pt idx="1">
                  <c:v>3.6490008688097354E-2</c:v>
                </c:pt>
                <c:pt idx="2">
                  <c:v>8.5676625659051084E-2</c:v>
                </c:pt>
                <c:pt idx="3">
                  <c:v>7.791017415215401E-2</c:v>
                </c:pt>
                <c:pt idx="4">
                  <c:v>3.9823008849557542E-2</c:v>
                </c:pt>
                <c:pt idx="5">
                  <c:v>8.862034239677781E-2</c:v>
                </c:pt>
              </c:numCache>
            </c:numRef>
          </c:val>
        </c:ser>
        <c:ser>
          <c:idx val="2"/>
          <c:order val="2"/>
          <c:tx>
            <c:strRef>
              <c:f>ViviendaPaís!$O$4</c:f>
              <c:strCache>
                <c:ptCount val="1"/>
                <c:pt idx="0">
                  <c:v>Propia (regalada, donada, heredada o por posesión)</c:v>
                </c:pt>
              </c:strCache>
            </c:strRef>
          </c:tx>
          <c:spPr>
            <a:solidFill>
              <a:schemeClr val="accent4">
                <a:lumMod val="75000"/>
              </a:schemeClr>
            </a:solidFill>
          </c:spPr>
          <c:invertIfNegative val="0"/>
          <c:cat>
            <c:strRef>
              <c:f>ViviendaPaís!$L$5:$L$10</c:f>
              <c:strCache>
                <c:ptCount val="6"/>
                <c:pt idx="0">
                  <c:v>Colombia</c:v>
                </c:pt>
                <c:pt idx="1">
                  <c:v>Perú</c:v>
                </c:pt>
                <c:pt idx="2">
                  <c:v>Estados Unidos</c:v>
                </c:pt>
                <c:pt idx="3">
                  <c:v>España</c:v>
                </c:pt>
                <c:pt idx="4">
                  <c:v>Cuba</c:v>
                </c:pt>
                <c:pt idx="5">
                  <c:v>Venezuela</c:v>
                </c:pt>
              </c:strCache>
            </c:strRef>
          </c:cat>
          <c:val>
            <c:numRef>
              <c:f>ViviendaPaís!$O$5:$O$10</c:f>
              <c:numCache>
                <c:formatCode>0.00%</c:formatCode>
                <c:ptCount val="6"/>
                <c:pt idx="0">
                  <c:v>3.5796804321650555E-2</c:v>
                </c:pt>
                <c:pt idx="1">
                  <c:v>3.5621198957428352E-2</c:v>
                </c:pt>
                <c:pt idx="2">
                  <c:v>2.3725834797891004E-2</c:v>
                </c:pt>
                <c:pt idx="3">
                  <c:v>2.4747937671860728E-2</c:v>
                </c:pt>
                <c:pt idx="4">
                  <c:v>1.5117994100294957E-2</c:v>
                </c:pt>
                <c:pt idx="5">
                  <c:v>6.6465256797583083E-2</c:v>
                </c:pt>
              </c:numCache>
            </c:numRef>
          </c:val>
        </c:ser>
        <c:ser>
          <c:idx val="3"/>
          <c:order val="3"/>
          <c:tx>
            <c:strRef>
              <c:f>ViviendaPaís!$P$4</c:f>
              <c:strCache>
                <c:ptCount val="1"/>
                <c:pt idx="0">
                  <c:v>Prestada o cedida (no pagada)</c:v>
                </c:pt>
              </c:strCache>
            </c:strRef>
          </c:tx>
          <c:spPr>
            <a:solidFill>
              <a:srgbClr val="00B050"/>
            </a:solidFill>
          </c:spPr>
          <c:invertIfNegative val="0"/>
          <c:cat>
            <c:strRef>
              <c:f>ViviendaPaís!$L$5:$L$10</c:f>
              <c:strCache>
                <c:ptCount val="6"/>
                <c:pt idx="0">
                  <c:v>Colombia</c:v>
                </c:pt>
                <c:pt idx="1">
                  <c:v>Perú</c:v>
                </c:pt>
                <c:pt idx="2">
                  <c:v>Estados Unidos</c:v>
                </c:pt>
                <c:pt idx="3">
                  <c:v>España</c:v>
                </c:pt>
                <c:pt idx="4">
                  <c:v>Cuba</c:v>
                </c:pt>
                <c:pt idx="5">
                  <c:v>Venezuela</c:v>
                </c:pt>
              </c:strCache>
            </c:strRef>
          </c:cat>
          <c:val>
            <c:numRef>
              <c:f>ViviendaPaís!$P$5:$P$10</c:f>
              <c:numCache>
                <c:formatCode>0.00%</c:formatCode>
                <c:ptCount val="6"/>
                <c:pt idx="0">
                  <c:v>0.10068664779198813</c:v>
                </c:pt>
                <c:pt idx="1">
                  <c:v>8.7923544743701135E-2</c:v>
                </c:pt>
                <c:pt idx="2">
                  <c:v>4.6572934973638021E-2</c:v>
                </c:pt>
                <c:pt idx="3">
                  <c:v>7.9743354720439974E-2</c:v>
                </c:pt>
                <c:pt idx="4">
                  <c:v>4.1297935103244837E-2</c:v>
                </c:pt>
                <c:pt idx="5">
                  <c:v>0.1027190332326284</c:v>
                </c:pt>
              </c:numCache>
            </c:numRef>
          </c:val>
        </c:ser>
        <c:ser>
          <c:idx val="4"/>
          <c:order val="4"/>
          <c:tx>
            <c:strRef>
              <c:f>ViviendaPaís!$Q$4</c:f>
              <c:strCache>
                <c:ptCount val="1"/>
                <c:pt idx="0">
                  <c:v>Por servicios</c:v>
                </c:pt>
              </c:strCache>
            </c:strRef>
          </c:tx>
          <c:spPr>
            <a:solidFill>
              <a:srgbClr val="00B0F0"/>
            </a:solidFill>
          </c:spPr>
          <c:invertIfNegative val="0"/>
          <c:cat>
            <c:strRef>
              <c:f>ViviendaPaís!$L$5:$L$10</c:f>
              <c:strCache>
                <c:ptCount val="6"/>
                <c:pt idx="0">
                  <c:v>Colombia</c:v>
                </c:pt>
                <c:pt idx="1">
                  <c:v>Perú</c:v>
                </c:pt>
                <c:pt idx="2">
                  <c:v>Estados Unidos</c:v>
                </c:pt>
                <c:pt idx="3">
                  <c:v>España</c:v>
                </c:pt>
                <c:pt idx="4">
                  <c:v>Cuba</c:v>
                </c:pt>
                <c:pt idx="5">
                  <c:v>Venezuela</c:v>
                </c:pt>
              </c:strCache>
            </c:strRef>
          </c:cat>
          <c:val>
            <c:numRef>
              <c:f>ViviendaPaís!$Q$5:$Q$10</c:f>
              <c:numCache>
                <c:formatCode>0.00%</c:formatCode>
                <c:ptCount val="6"/>
                <c:pt idx="0">
                  <c:v>3.7749357284649745E-2</c:v>
                </c:pt>
                <c:pt idx="1">
                  <c:v>4.8305821025195483E-2</c:v>
                </c:pt>
                <c:pt idx="2">
                  <c:v>1.1423550087873484E-2</c:v>
                </c:pt>
                <c:pt idx="3">
                  <c:v>2.1998166819431713E-2</c:v>
                </c:pt>
                <c:pt idx="4">
                  <c:v>1.2905604719764029E-2</c:v>
                </c:pt>
                <c:pt idx="5">
                  <c:v>6.0422960725075589E-3</c:v>
                </c:pt>
              </c:numCache>
            </c:numRef>
          </c:val>
        </c:ser>
        <c:ser>
          <c:idx val="5"/>
          <c:order val="5"/>
          <c:tx>
            <c:strRef>
              <c:f>ViviendaPaís!$R$4</c:f>
              <c:strCache>
                <c:ptCount val="1"/>
                <c:pt idx="0">
                  <c:v>Arrendada</c:v>
                </c:pt>
              </c:strCache>
            </c:strRef>
          </c:tx>
          <c:spPr>
            <a:solidFill>
              <a:schemeClr val="accent6">
                <a:lumMod val="75000"/>
              </a:schemeClr>
            </a:solidFill>
          </c:spPr>
          <c:invertIfNegative val="0"/>
          <c:dLbls>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ViviendaPaís!$L$5:$L$10</c:f>
              <c:strCache>
                <c:ptCount val="6"/>
                <c:pt idx="0">
                  <c:v>Colombia</c:v>
                </c:pt>
                <c:pt idx="1">
                  <c:v>Perú</c:v>
                </c:pt>
                <c:pt idx="2">
                  <c:v>Estados Unidos</c:v>
                </c:pt>
                <c:pt idx="3">
                  <c:v>España</c:v>
                </c:pt>
                <c:pt idx="4">
                  <c:v>Cuba</c:v>
                </c:pt>
                <c:pt idx="5">
                  <c:v>Venezuela</c:v>
                </c:pt>
              </c:strCache>
            </c:strRef>
          </c:cat>
          <c:val>
            <c:numRef>
              <c:f>ViviendaPaís!$R$5:$R$10</c:f>
              <c:numCache>
                <c:formatCode>0.00%</c:formatCode>
                <c:ptCount val="6"/>
                <c:pt idx="0">
                  <c:v>0.54974128673240263</c:v>
                </c:pt>
                <c:pt idx="1">
                  <c:v>0.65299739357080933</c:v>
                </c:pt>
                <c:pt idx="2">
                  <c:v>0.5043936731107207</c:v>
                </c:pt>
                <c:pt idx="3">
                  <c:v>0.39871677360220048</c:v>
                </c:pt>
                <c:pt idx="4">
                  <c:v>0.79646017699115046</c:v>
                </c:pt>
                <c:pt idx="5">
                  <c:v>0.49244712990936595</c:v>
                </c:pt>
              </c:numCache>
            </c:numRef>
          </c:val>
        </c:ser>
        <c:ser>
          <c:idx val="6"/>
          <c:order val="6"/>
          <c:tx>
            <c:strRef>
              <c:f>ViviendaPaís!$S$4</c:f>
              <c:strCache>
                <c:ptCount val="1"/>
                <c:pt idx="0">
                  <c:v>Anticresis</c:v>
                </c:pt>
              </c:strCache>
            </c:strRef>
          </c:tx>
          <c:spPr>
            <a:solidFill>
              <a:srgbClr val="FF0000"/>
            </a:solidFill>
          </c:spPr>
          <c:invertIfNegative val="0"/>
          <c:cat>
            <c:strRef>
              <c:f>ViviendaPaís!$L$5:$L$10</c:f>
              <c:strCache>
                <c:ptCount val="6"/>
                <c:pt idx="0">
                  <c:v>Colombia</c:v>
                </c:pt>
                <c:pt idx="1">
                  <c:v>Perú</c:v>
                </c:pt>
                <c:pt idx="2">
                  <c:v>Estados Unidos</c:v>
                </c:pt>
                <c:pt idx="3">
                  <c:v>España</c:v>
                </c:pt>
                <c:pt idx="4">
                  <c:v>Cuba</c:v>
                </c:pt>
                <c:pt idx="5">
                  <c:v>Venezuela</c:v>
                </c:pt>
              </c:strCache>
            </c:strRef>
          </c:cat>
          <c:val>
            <c:numRef>
              <c:f>ViviendaPaís!$S$5:$S$10</c:f>
              <c:numCache>
                <c:formatCode>0.00%</c:formatCode>
                <c:ptCount val="6"/>
                <c:pt idx="0">
                  <c:v>2.4732337531322246E-3</c:v>
                </c:pt>
                <c:pt idx="1">
                  <c:v>5.2128583840139108E-4</c:v>
                </c:pt>
                <c:pt idx="2">
                  <c:v>1.3181019332161707E-3</c:v>
                </c:pt>
                <c:pt idx="3">
                  <c:v>9.1659028414299028E-4</c:v>
                </c:pt>
                <c:pt idx="4">
                  <c:v>1.8436578171091445E-3</c:v>
                </c:pt>
                <c:pt idx="5">
                  <c:v>1.0070493454179255E-3</c:v>
                </c:pt>
              </c:numCache>
            </c:numRef>
          </c:val>
        </c:ser>
        <c:dLbls>
          <c:showLegendKey val="0"/>
          <c:showVal val="0"/>
          <c:showCatName val="0"/>
          <c:showSerName val="0"/>
          <c:showPercent val="0"/>
          <c:showBubbleSize val="0"/>
        </c:dLbls>
        <c:gapWidth val="40"/>
        <c:overlap val="100"/>
        <c:axId val="232789888"/>
        <c:axId val="232804352"/>
      </c:barChart>
      <c:catAx>
        <c:axId val="232789888"/>
        <c:scaling>
          <c:orientation val="maxMin"/>
        </c:scaling>
        <c:delete val="0"/>
        <c:axPos val="l"/>
        <c:title>
          <c:tx>
            <c:rich>
              <a:bodyPr rot="-5400000" vert="horz"/>
              <a:lstStyle/>
              <a:p>
                <a:pPr>
                  <a:defRPr/>
                </a:pPr>
                <a:r>
                  <a:rPr lang="es-EC"/>
                  <a:t>País de nacimiento</a:t>
                </a:r>
              </a:p>
            </c:rich>
          </c:tx>
          <c:overlay val="0"/>
        </c:title>
        <c:majorTickMark val="out"/>
        <c:minorTickMark val="none"/>
        <c:tickLblPos val="nextTo"/>
        <c:spPr>
          <a:ln>
            <a:solidFill>
              <a:schemeClr val="tx1"/>
            </a:solidFill>
          </a:ln>
        </c:spPr>
        <c:crossAx val="232804352"/>
        <c:crosses val="autoZero"/>
        <c:auto val="1"/>
        <c:lblAlgn val="ctr"/>
        <c:lblOffset val="100"/>
        <c:noMultiLvlLbl val="0"/>
      </c:catAx>
      <c:valAx>
        <c:axId val="232804352"/>
        <c:scaling>
          <c:orientation val="minMax"/>
          <c:max val="1"/>
        </c:scaling>
        <c:delete val="0"/>
        <c:axPos val="t"/>
        <c:title>
          <c:tx>
            <c:rich>
              <a:bodyPr/>
              <a:lstStyle/>
              <a:p>
                <a:pPr>
                  <a:defRPr/>
                </a:pPr>
                <a:r>
                  <a:rPr lang="es-EC"/>
                  <a:t>Frecuencia</a:t>
                </a:r>
                <a:r>
                  <a:rPr lang="es-EC" baseline="0"/>
                  <a:t> Relativa</a:t>
                </a:r>
                <a:endParaRPr lang="es-EC"/>
              </a:p>
            </c:rich>
          </c:tx>
          <c:layout>
            <c:manualLayout>
              <c:xMode val="edge"/>
              <c:yMode val="edge"/>
              <c:x val="0.29949472451401776"/>
              <c:y val="0.91247231025582387"/>
            </c:manualLayout>
          </c:layout>
          <c:overlay val="0"/>
        </c:title>
        <c:numFmt formatCode="#,##0.00" sourceLinked="0"/>
        <c:majorTickMark val="in"/>
        <c:minorTickMark val="none"/>
        <c:tickLblPos val="high"/>
        <c:spPr>
          <a:ln>
            <a:solidFill>
              <a:schemeClr val="tx1"/>
            </a:solidFill>
          </a:ln>
        </c:spPr>
        <c:crossAx val="232789888"/>
        <c:crossesAt val="7"/>
        <c:crossBetween val="between"/>
        <c:majorUnit val="0.2"/>
      </c:valAx>
      <c:spPr>
        <a:noFill/>
        <a:ln>
          <a:solidFill>
            <a:schemeClr val="tx1"/>
          </a:solidFill>
        </a:ln>
      </c:spPr>
    </c:plotArea>
    <c:legend>
      <c:legendPos val="r"/>
      <c:layout>
        <c:manualLayout>
          <c:xMode val="edge"/>
          <c:yMode val="edge"/>
          <c:x val="0.67617027951187525"/>
          <c:y val="5.0573800226191297E-2"/>
          <c:w val="0.30789346550804703"/>
          <c:h val="0.89885239954761686"/>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72290454916"/>
          <c:y val="5.2173913043478327E-2"/>
          <c:w val="0.87510417016341302"/>
          <c:h val="0.67480862718247325"/>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'Inmigracion(Perfil)'!$B$1035:$B$1039</c:f>
              <c:strCache>
                <c:ptCount val="5"/>
                <c:pt idx="0">
                  <c:v>Viviendas sin dormitorio</c:v>
                </c:pt>
                <c:pt idx="1">
                  <c:v>Menos de 2 personas por dormitorio</c:v>
                </c:pt>
                <c:pt idx="2">
                  <c:v>De 2 a 3 personas por dormitorio</c:v>
                </c:pt>
                <c:pt idx="3">
                  <c:v>De 4 a 5 personas por dormitorio</c:v>
                </c:pt>
                <c:pt idx="4">
                  <c:v>Más de 5 personas por dormitorio</c:v>
                </c:pt>
              </c:strCache>
            </c:strRef>
          </c:cat>
          <c:val>
            <c:numRef>
              <c:f>'Inmigracion(Perfil)'!$G$1035:$G$1039</c:f>
              <c:numCache>
                <c:formatCode>0.00%</c:formatCode>
                <c:ptCount val="5"/>
                <c:pt idx="0">
                  <c:v>3.0462299494416787E-2</c:v>
                </c:pt>
                <c:pt idx="1">
                  <c:v>0.57320045102389783</c:v>
                </c:pt>
                <c:pt idx="2">
                  <c:v>0.29187429527516168</c:v>
                </c:pt>
                <c:pt idx="3">
                  <c:v>8.2821081729894927E-2</c:v>
                </c:pt>
                <c:pt idx="4">
                  <c:v>2.1641872476630478E-2</c:v>
                </c:pt>
              </c:numCache>
            </c:numRef>
          </c:val>
        </c:ser>
        <c:dLbls>
          <c:showLegendKey val="0"/>
          <c:showVal val="1"/>
          <c:showCatName val="0"/>
          <c:showSerName val="0"/>
          <c:showPercent val="0"/>
          <c:showBubbleSize val="0"/>
        </c:dLbls>
        <c:gapWidth val="50"/>
        <c:axId val="232811520"/>
        <c:axId val="232814848"/>
      </c:barChart>
      <c:catAx>
        <c:axId val="232811520"/>
        <c:scaling>
          <c:orientation val="minMax"/>
        </c:scaling>
        <c:delete val="0"/>
        <c:axPos val="b"/>
        <c:title>
          <c:tx>
            <c:rich>
              <a:bodyPr/>
              <a:lstStyle/>
              <a:p>
                <a:pPr>
                  <a:defRPr/>
                </a:pPr>
                <a:r>
                  <a:rPr lang="es-EC"/>
                  <a:t>Número de personas por dormitorio</a:t>
                </a:r>
              </a:p>
            </c:rich>
          </c:tx>
          <c:overlay val="0"/>
        </c:title>
        <c:numFmt formatCode="###0" sourceLinked="1"/>
        <c:majorTickMark val="out"/>
        <c:minorTickMark val="none"/>
        <c:tickLblPos val="nextTo"/>
        <c:spPr>
          <a:ln>
            <a:solidFill>
              <a:schemeClr val="tx1"/>
            </a:solidFill>
          </a:ln>
        </c:spPr>
        <c:txPr>
          <a:bodyPr rot="0" vert="horz"/>
          <a:lstStyle/>
          <a:p>
            <a:pPr>
              <a:defRPr sz="700"/>
            </a:pPr>
            <a:endParaRPr lang="es-EC"/>
          </a:p>
        </c:txPr>
        <c:crossAx val="232814848"/>
        <c:crosses val="autoZero"/>
        <c:auto val="1"/>
        <c:lblAlgn val="ctr"/>
        <c:lblOffset val="100"/>
        <c:noMultiLvlLbl val="0"/>
      </c:catAx>
      <c:valAx>
        <c:axId val="232814848"/>
        <c:scaling>
          <c:orientation val="minMax"/>
          <c:max val="1"/>
          <c:min val="0"/>
        </c:scaling>
        <c:delete val="0"/>
        <c:axPos val="l"/>
        <c:title>
          <c:tx>
            <c:rich>
              <a:bodyPr rot="-5400000" vert="horz"/>
              <a:lstStyle/>
              <a:p>
                <a:pPr>
                  <a:defRPr/>
                </a:pPr>
                <a:r>
                  <a:rPr lang="es-EC"/>
                  <a:t>Frecuencia Relativa</a:t>
                </a:r>
              </a:p>
            </c:rich>
          </c:tx>
          <c:layout>
            <c:manualLayout>
              <c:xMode val="edge"/>
              <c:yMode val="edge"/>
              <c:x val="8.7278770058740816E-4"/>
              <c:y val="0.13478123930160904"/>
            </c:manualLayout>
          </c:layout>
          <c:overlay val="0"/>
        </c:title>
        <c:numFmt formatCode="0.00" sourceLinked="0"/>
        <c:majorTickMark val="out"/>
        <c:minorTickMark val="none"/>
        <c:tickLblPos val="nextTo"/>
        <c:spPr>
          <a:ln>
            <a:solidFill>
              <a:schemeClr val="tx1"/>
            </a:solidFill>
          </a:ln>
        </c:spPr>
        <c:txPr>
          <a:bodyPr/>
          <a:lstStyle/>
          <a:p>
            <a:pPr>
              <a:defRPr sz="800"/>
            </a:pPr>
            <a:endParaRPr lang="es-EC"/>
          </a:p>
        </c:txPr>
        <c:crossAx val="232811520"/>
        <c:crosses val="autoZero"/>
        <c:crossBetween val="between"/>
        <c:majorUnit val="0.1"/>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48120143922432"/>
          <c:y val="5.0925925925925923E-2"/>
          <c:w val="0.48047313622221088"/>
          <c:h val="0.77453491088483062"/>
        </c:manualLayout>
      </c:layout>
      <c:barChart>
        <c:barDir val="bar"/>
        <c:grouping val="stacked"/>
        <c:varyColors val="0"/>
        <c:ser>
          <c:idx val="0"/>
          <c:order val="0"/>
          <c:tx>
            <c:strRef>
              <c:f>ViviendaPaís!$K$182</c:f>
              <c:strCache>
                <c:ptCount val="1"/>
                <c:pt idx="0">
                  <c:v>Viviendas sin dormitorio</c:v>
                </c:pt>
              </c:strCache>
            </c:strRef>
          </c:tx>
          <c:spPr>
            <a:solidFill>
              <a:srgbClr val="0070C0"/>
            </a:solidFill>
          </c:spPr>
          <c:invertIfNegative val="0"/>
          <c:cat>
            <c:strRef>
              <c:f>ViviendaPaís!$J$183:$J$188</c:f>
              <c:strCache>
                <c:ptCount val="6"/>
                <c:pt idx="0">
                  <c:v>Colombia</c:v>
                </c:pt>
                <c:pt idx="1">
                  <c:v>Perú</c:v>
                </c:pt>
                <c:pt idx="2">
                  <c:v>Estados Unidos</c:v>
                </c:pt>
                <c:pt idx="3">
                  <c:v>España</c:v>
                </c:pt>
                <c:pt idx="4">
                  <c:v>Cuba</c:v>
                </c:pt>
                <c:pt idx="5">
                  <c:v>Venezuela</c:v>
                </c:pt>
              </c:strCache>
            </c:strRef>
          </c:cat>
          <c:val>
            <c:numRef>
              <c:f>ViviendaPaís!$K$183:$K$188</c:f>
              <c:numCache>
                <c:formatCode>0.00%</c:formatCode>
                <c:ptCount val="6"/>
                <c:pt idx="0">
                  <c:v>3.4155723570765392E-2</c:v>
                </c:pt>
                <c:pt idx="1">
                  <c:v>6.45392613840087E-2</c:v>
                </c:pt>
                <c:pt idx="2">
                  <c:v>9.4086021505376521E-3</c:v>
                </c:pt>
                <c:pt idx="3">
                  <c:v>1.1183597390493943E-2</c:v>
                </c:pt>
                <c:pt idx="4">
                  <c:v>1.4350453172205438E-2</c:v>
                </c:pt>
                <c:pt idx="5">
                  <c:v>3.0895983522142168E-2</c:v>
                </c:pt>
              </c:numCache>
            </c:numRef>
          </c:val>
        </c:ser>
        <c:ser>
          <c:idx val="1"/>
          <c:order val="1"/>
          <c:tx>
            <c:strRef>
              <c:f>ViviendaPaís!$L$182</c:f>
              <c:strCache>
                <c:ptCount val="1"/>
                <c:pt idx="0">
                  <c:v>Menos de 2 personas por dormitorio</c:v>
                </c:pt>
              </c:strCache>
            </c:strRef>
          </c:tx>
          <c:spPr>
            <a:solidFill>
              <a:srgbClr val="D735B4"/>
            </a:solidFill>
          </c:spPr>
          <c:invertIfNegative val="0"/>
          <c:dLbls>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ViviendaPaís!$J$183:$J$188</c:f>
              <c:strCache>
                <c:ptCount val="6"/>
                <c:pt idx="0">
                  <c:v>Colombia</c:v>
                </c:pt>
                <c:pt idx="1">
                  <c:v>Perú</c:v>
                </c:pt>
                <c:pt idx="2">
                  <c:v>Estados Unidos</c:v>
                </c:pt>
                <c:pt idx="3">
                  <c:v>España</c:v>
                </c:pt>
                <c:pt idx="4">
                  <c:v>Cuba</c:v>
                </c:pt>
                <c:pt idx="5">
                  <c:v>Venezuela</c:v>
                </c:pt>
              </c:strCache>
            </c:strRef>
          </c:cat>
          <c:val>
            <c:numRef>
              <c:f>ViviendaPaís!$L$183:$L$188</c:f>
              <c:numCache>
                <c:formatCode>0.00%</c:formatCode>
                <c:ptCount val="6"/>
                <c:pt idx="0">
                  <c:v>0.4885926515452978</c:v>
                </c:pt>
                <c:pt idx="1">
                  <c:v>0.42237361061312301</c:v>
                </c:pt>
                <c:pt idx="2">
                  <c:v>0.82482078853046592</c:v>
                </c:pt>
                <c:pt idx="3">
                  <c:v>0.7968313140726937</c:v>
                </c:pt>
                <c:pt idx="4">
                  <c:v>0.64010574018126887</c:v>
                </c:pt>
                <c:pt idx="5">
                  <c:v>0.65911431513903262</c:v>
                </c:pt>
              </c:numCache>
            </c:numRef>
          </c:val>
        </c:ser>
        <c:ser>
          <c:idx val="2"/>
          <c:order val="2"/>
          <c:tx>
            <c:strRef>
              <c:f>ViviendaPaís!$M$182</c:f>
              <c:strCache>
                <c:ptCount val="1"/>
                <c:pt idx="0">
                  <c:v>De 2 a 3 personas por dormitorio</c:v>
                </c:pt>
              </c:strCache>
            </c:strRef>
          </c:tx>
          <c:spPr>
            <a:solidFill>
              <a:schemeClr val="accent6">
                <a:lumMod val="75000"/>
              </a:schemeClr>
            </a:solidFill>
          </c:spPr>
          <c:invertIfNegative val="0"/>
          <c:dLbls>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ViviendaPaís!$J$183:$J$188</c:f>
              <c:strCache>
                <c:ptCount val="6"/>
                <c:pt idx="0">
                  <c:v>Colombia</c:v>
                </c:pt>
                <c:pt idx="1">
                  <c:v>Perú</c:v>
                </c:pt>
                <c:pt idx="2">
                  <c:v>Estados Unidos</c:v>
                </c:pt>
                <c:pt idx="3">
                  <c:v>España</c:v>
                </c:pt>
                <c:pt idx="4">
                  <c:v>Cuba</c:v>
                </c:pt>
                <c:pt idx="5">
                  <c:v>Venezuela</c:v>
                </c:pt>
              </c:strCache>
            </c:strRef>
          </c:cat>
          <c:val>
            <c:numRef>
              <c:f>ViviendaPaís!$M$183:$M$188</c:f>
              <c:numCache>
                <c:formatCode>0.00%</c:formatCode>
                <c:ptCount val="6"/>
                <c:pt idx="0">
                  <c:v>0.33396339037007627</c:v>
                </c:pt>
                <c:pt idx="1">
                  <c:v>0.35568304051631378</c:v>
                </c:pt>
                <c:pt idx="2">
                  <c:v>0.15277777777777779</c:v>
                </c:pt>
                <c:pt idx="3">
                  <c:v>0.17241379310344851</c:v>
                </c:pt>
                <c:pt idx="4">
                  <c:v>0.32175226586102756</c:v>
                </c:pt>
                <c:pt idx="5">
                  <c:v>0.25540679711637487</c:v>
                </c:pt>
              </c:numCache>
            </c:numRef>
          </c:val>
        </c:ser>
        <c:ser>
          <c:idx val="3"/>
          <c:order val="3"/>
          <c:tx>
            <c:strRef>
              <c:f>ViviendaPaís!$N$182</c:f>
              <c:strCache>
                <c:ptCount val="1"/>
                <c:pt idx="0">
                  <c:v>De 4 a 5 personas por dormitorio</c:v>
                </c:pt>
              </c:strCache>
            </c:strRef>
          </c:tx>
          <c:spPr>
            <a:solidFill>
              <a:srgbClr val="00B050"/>
            </a:solidFill>
          </c:spPr>
          <c:invertIfNegative val="0"/>
          <c:cat>
            <c:strRef>
              <c:f>ViviendaPaís!$J$183:$J$188</c:f>
              <c:strCache>
                <c:ptCount val="6"/>
                <c:pt idx="0">
                  <c:v>Colombia</c:v>
                </c:pt>
                <c:pt idx="1">
                  <c:v>Perú</c:v>
                </c:pt>
                <c:pt idx="2">
                  <c:v>Estados Unidos</c:v>
                </c:pt>
                <c:pt idx="3">
                  <c:v>España</c:v>
                </c:pt>
                <c:pt idx="4">
                  <c:v>Cuba</c:v>
                </c:pt>
                <c:pt idx="5">
                  <c:v>Venezuela</c:v>
                </c:pt>
              </c:strCache>
            </c:strRef>
          </c:cat>
          <c:val>
            <c:numRef>
              <c:f>ViviendaPaís!$N$183:$N$188</c:f>
              <c:numCache>
                <c:formatCode>0.00%</c:formatCode>
                <c:ptCount val="6"/>
                <c:pt idx="0">
                  <c:v>0.11191802626343016</c:v>
                </c:pt>
                <c:pt idx="1">
                  <c:v>0.12818214413768375</c:v>
                </c:pt>
                <c:pt idx="2">
                  <c:v>1.2544802867383523E-2</c:v>
                </c:pt>
                <c:pt idx="3">
                  <c:v>1.7707362534948739E-2</c:v>
                </c:pt>
                <c:pt idx="4">
                  <c:v>2.2658610271903377E-2</c:v>
                </c:pt>
                <c:pt idx="5">
                  <c:v>4.6343975283213185E-2</c:v>
                </c:pt>
              </c:numCache>
            </c:numRef>
          </c:val>
        </c:ser>
        <c:ser>
          <c:idx val="4"/>
          <c:order val="4"/>
          <c:tx>
            <c:strRef>
              <c:f>ViviendaPaís!$O$182</c:f>
              <c:strCache>
                <c:ptCount val="1"/>
                <c:pt idx="0">
                  <c:v>Más de 5 personas por dormitorio</c:v>
                </c:pt>
              </c:strCache>
            </c:strRef>
          </c:tx>
          <c:spPr>
            <a:solidFill>
              <a:srgbClr val="7030A0"/>
            </a:solidFill>
          </c:spPr>
          <c:invertIfNegative val="0"/>
          <c:cat>
            <c:strRef>
              <c:f>ViviendaPaís!$J$183:$J$188</c:f>
              <c:strCache>
                <c:ptCount val="6"/>
                <c:pt idx="0">
                  <c:v>Colombia</c:v>
                </c:pt>
                <c:pt idx="1">
                  <c:v>Perú</c:v>
                </c:pt>
                <c:pt idx="2">
                  <c:v>Estados Unidos</c:v>
                </c:pt>
                <c:pt idx="3">
                  <c:v>España</c:v>
                </c:pt>
                <c:pt idx="4">
                  <c:v>Cuba</c:v>
                </c:pt>
                <c:pt idx="5">
                  <c:v>Venezuela</c:v>
                </c:pt>
              </c:strCache>
            </c:strRef>
          </c:cat>
          <c:val>
            <c:numRef>
              <c:f>ViviendaPaís!$O$183:$O$188</c:f>
              <c:numCache>
                <c:formatCode>0.00%</c:formatCode>
                <c:ptCount val="6"/>
                <c:pt idx="0">
                  <c:v>3.1370208250431089E-2</c:v>
                </c:pt>
                <c:pt idx="1">
                  <c:v>2.9221943348870599E-2</c:v>
                </c:pt>
                <c:pt idx="2">
                  <c:v>4.4802867383512604E-4</c:v>
                </c:pt>
                <c:pt idx="3">
                  <c:v>1.8639328984156581E-3</c:v>
                </c:pt>
                <c:pt idx="4">
                  <c:v>1.1329305135951663E-3</c:v>
                </c:pt>
                <c:pt idx="5">
                  <c:v>8.2389289392378919E-3</c:v>
                </c:pt>
              </c:numCache>
            </c:numRef>
          </c:val>
        </c:ser>
        <c:dLbls>
          <c:showLegendKey val="0"/>
          <c:showVal val="0"/>
          <c:showCatName val="0"/>
          <c:showSerName val="0"/>
          <c:showPercent val="0"/>
          <c:showBubbleSize val="0"/>
        </c:dLbls>
        <c:gapWidth val="40"/>
        <c:overlap val="100"/>
        <c:axId val="232916864"/>
        <c:axId val="232939520"/>
      </c:barChart>
      <c:catAx>
        <c:axId val="232916864"/>
        <c:scaling>
          <c:orientation val="maxMin"/>
        </c:scaling>
        <c:delete val="0"/>
        <c:axPos val="l"/>
        <c:title>
          <c:tx>
            <c:rich>
              <a:bodyPr rot="-5400000" vert="horz"/>
              <a:lstStyle/>
              <a:p>
                <a:pPr>
                  <a:defRPr/>
                </a:pPr>
                <a:r>
                  <a:rPr lang="es-EC"/>
                  <a:t>País de nacimiento</a:t>
                </a:r>
              </a:p>
            </c:rich>
          </c:tx>
          <c:overlay val="0"/>
        </c:title>
        <c:majorTickMark val="out"/>
        <c:minorTickMark val="none"/>
        <c:tickLblPos val="nextTo"/>
        <c:spPr>
          <a:ln>
            <a:solidFill>
              <a:schemeClr val="tx1"/>
            </a:solidFill>
          </a:ln>
        </c:spPr>
        <c:crossAx val="232939520"/>
        <c:crosses val="autoZero"/>
        <c:auto val="1"/>
        <c:lblAlgn val="ctr"/>
        <c:lblOffset val="100"/>
        <c:noMultiLvlLbl val="0"/>
      </c:catAx>
      <c:valAx>
        <c:axId val="232939520"/>
        <c:scaling>
          <c:orientation val="minMax"/>
          <c:max val="1"/>
          <c:min val="0"/>
        </c:scaling>
        <c:delete val="0"/>
        <c:axPos val="t"/>
        <c:title>
          <c:tx>
            <c:rich>
              <a:bodyPr/>
              <a:lstStyle/>
              <a:p>
                <a:pPr>
                  <a:defRPr/>
                </a:pPr>
                <a:r>
                  <a:rPr lang="es-EC"/>
                  <a:t>Frecuencia Relativa</a:t>
                </a:r>
              </a:p>
            </c:rich>
          </c:tx>
          <c:layout>
            <c:manualLayout>
              <c:xMode val="edge"/>
              <c:yMode val="edge"/>
              <c:x val="0.30672417939789492"/>
              <c:y val="0.91267218752828305"/>
            </c:manualLayout>
          </c:layout>
          <c:overlay val="0"/>
        </c:title>
        <c:numFmt formatCode="#,##0.00" sourceLinked="0"/>
        <c:majorTickMark val="in"/>
        <c:minorTickMark val="none"/>
        <c:tickLblPos val="high"/>
        <c:spPr>
          <a:ln>
            <a:solidFill>
              <a:schemeClr val="tx1"/>
            </a:solidFill>
          </a:ln>
        </c:spPr>
        <c:crossAx val="232916864"/>
        <c:crossesAt val="7"/>
        <c:crossBetween val="between"/>
        <c:majorUnit val="0.2"/>
      </c:valAx>
      <c:spPr>
        <a:noFill/>
        <a:ln>
          <a:solidFill>
            <a:schemeClr val="tx1"/>
          </a:solidFill>
        </a:ln>
      </c:spPr>
    </c:plotArea>
    <c:legend>
      <c:legendPos val="r"/>
      <c:layout>
        <c:manualLayout>
          <c:xMode val="edge"/>
          <c:yMode val="edge"/>
          <c:x val="0.65531522135891962"/>
          <c:y val="7.3018737241178314E-2"/>
          <c:w val="0.33143974552849781"/>
          <c:h val="0.81692548848060664"/>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534304818232563"/>
          <c:y val="3.0651337633589532E-2"/>
          <c:w val="0.66798280305459712"/>
          <c:h val="0.87612208140354664"/>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dLblPos val="outEnd"/>
            <c:showLegendKey val="0"/>
            <c:showVal val="1"/>
            <c:showCatName val="0"/>
            <c:showSerName val="0"/>
            <c:showPercent val="0"/>
            <c:showBubbleSize val="0"/>
            <c:showLeaderLines val="0"/>
          </c:dLbls>
          <c:cat>
            <c:strRef>
              <c:f>Perfil!$B$3:$B$27</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Perfil!$H$3:$H$27</c:f>
              <c:numCache>
                <c:formatCode>0.00%</c:formatCode>
                <c:ptCount val="25"/>
                <c:pt idx="0">
                  <c:v>2.0704762540169692E-2</c:v>
                </c:pt>
                <c:pt idx="1">
                  <c:v>1.1230832527159712E-3</c:v>
                </c:pt>
                <c:pt idx="2">
                  <c:v>2.601994862728098E-3</c:v>
                </c:pt>
                <c:pt idx="3">
                  <c:v>0.1295993595089569</c:v>
                </c:pt>
                <c:pt idx="4">
                  <c:v>5.5820573550833513E-3</c:v>
                </c:pt>
                <c:pt idx="5">
                  <c:v>3.8918726579266357E-3</c:v>
                </c:pt>
                <c:pt idx="6">
                  <c:v>1.1208593254828715E-2</c:v>
                </c:pt>
                <c:pt idx="7">
                  <c:v>7.8949416775083089E-2</c:v>
                </c:pt>
                <c:pt idx="8">
                  <c:v>0.11419866341973292</c:v>
                </c:pt>
                <c:pt idx="9">
                  <c:v>5.7377322614004071E-2</c:v>
                </c:pt>
                <c:pt idx="10">
                  <c:v>4.4589741023673734E-3</c:v>
                </c:pt>
                <c:pt idx="11">
                  <c:v>1.3021093949805967E-2</c:v>
                </c:pt>
                <c:pt idx="12">
                  <c:v>2.4963583191557941E-2</c:v>
                </c:pt>
                <c:pt idx="13">
                  <c:v>1.5789883355016646E-3</c:v>
                </c:pt>
                <c:pt idx="14">
                  <c:v>4.2921795598848071E-3</c:v>
                </c:pt>
                <c:pt idx="15">
                  <c:v>2.9022250391967175E-3</c:v>
                </c:pt>
                <c:pt idx="16">
                  <c:v>0.30197595934661065</c:v>
                </c:pt>
                <c:pt idx="17">
                  <c:v>1.5211662274410379E-2</c:v>
                </c:pt>
                <c:pt idx="18">
                  <c:v>2.3128843224249711E-3</c:v>
                </c:pt>
                <c:pt idx="19">
                  <c:v>1.8903381481357966E-4</c:v>
                </c:pt>
                <c:pt idx="20">
                  <c:v>0.11458785068552549</c:v>
                </c:pt>
                <c:pt idx="21">
                  <c:v>2.8099320590230289E-2</c:v>
                </c:pt>
                <c:pt idx="22">
                  <c:v>5.4030312128187173E-2</c:v>
                </c:pt>
                <c:pt idx="23">
                  <c:v>6.760738788626844E-3</c:v>
                </c:pt>
                <c:pt idx="24">
                  <c:v>3.7806762962715938E-4</c:v>
                </c:pt>
              </c:numCache>
            </c:numRef>
          </c:val>
        </c:ser>
        <c:dLbls>
          <c:showLegendKey val="0"/>
          <c:showVal val="0"/>
          <c:showCatName val="0"/>
          <c:showSerName val="0"/>
          <c:showPercent val="0"/>
          <c:showBubbleSize val="0"/>
        </c:dLbls>
        <c:gapWidth val="40"/>
        <c:axId val="232956288"/>
        <c:axId val="232958208"/>
      </c:barChart>
      <c:catAx>
        <c:axId val="232956288"/>
        <c:scaling>
          <c:orientation val="maxMin"/>
        </c:scaling>
        <c:delete val="0"/>
        <c:axPos val="l"/>
        <c:title>
          <c:tx>
            <c:rich>
              <a:bodyPr rot="-5400000" vert="horz"/>
              <a:lstStyle/>
              <a:p>
                <a:pPr>
                  <a:defRPr/>
                </a:pPr>
                <a:r>
                  <a:rPr lang="es-EC"/>
                  <a:t>Provincia de residencia</a:t>
                </a:r>
                <a:r>
                  <a:rPr lang="es-EC" baseline="0"/>
                  <a:t> habitual</a:t>
                </a:r>
                <a:endParaRPr lang="es-EC"/>
              </a:p>
            </c:rich>
          </c:tx>
          <c:overlay val="0"/>
        </c:title>
        <c:majorTickMark val="out"/>
        <c:minorTickMark val="none"/>
        <c:tickLblPos val="nextTo"/>
        <c:spPr>
          <a:ln>
            <a:solidFill>
              <a:schemeClr val="tx1"/>
            </a:solidFill>
          </a:ln>
        </c:spPr>
        <c:txPr>
          <a:bodyPr/>
          <a:lstStyle/>
          <a:p>
            <a:pPr>
              <a:defRPr sz="700"/>
            </a:pPr>
            <a:endParaRPr lang="es-EC"/>
          </a:p>
        </c:txPr>
        <c:crossAx val="232958208"/>
        <c:crosses val="autoZero"/>
        <c:auto val="1"/>
        <c:lblAlgn val="ctr"/>
        <c:lblOffset val="100"/>
        <c:noMultiLvlLbl val="0"/>
      </c:catAx>
      <c:valAx>
        <c:axId val="232958208"/>
        <c:scaling>
          <c:orientation val="minMax"/>
          <c:max val="1"/>
          <c:min val="0"/>
        </c:scaling>
        <c:delete val="0"/>
        <c:axPos val="t"/>
        <c:title>
          <c:tx>
            <c:rich>
              <a:bodyPr/>
              <a:lstStyle/>
              <a:p>
                <a:pPr>
                  <a:defRPr/>
                </a:pPr>
                <a:r>
                  <a:rPr lang="es-EC"/>
                  <a:t>Frecuencia Relativa</a:t>
                </a:r>
              </a:p>
            </c:rich>
          </c:tx>
          <c:layout>
            <c:manualLayout>
              <c:xMode val="edge"/>
              <c:yMode val="edge"/>
              <c:x val="0.48692105794468055"/>
              <c:y val="0.95950155763239875"/>
            </c:manualLayout>
          </c:layout>
          <c:overlay val="0"/>
        </c:title>
        <c:numFmt formatCode="#,##0.00" sourceLinked="0"/>
        <c:majorTickMark val="in"/>
        <c:minorTickMark val="none"/>
        <c:tickLblPos val="high"/>
        <c:spPr>
          <a:ln>
            <a:solidFill>
              <a:schemeClr val="tx1"/>
            </a:solidFill>
          </a:ln>
        </c:spPr>
        <c:crossAx val="232956288"/>
        <c:crossesAt val="26"/>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11806642323E-2"/>
          <c:y val="5.1400554097404488E-2"/>
          <c:w val="0.90012693444618364"/>
          <c:h val="0.58685312499999975"/>
        </c:manualLayout>
      </c:layout>
      <c:lineChart>
        <c:grouping val="standard"/>
        <c:varyColors val="0"/>
        <c:ser>
          <c:idx val="0"/>
          <c:order val="0"/>
          <c:tx>
            <c:strRef>
              <c:f>Inmigracion!$AP$48</c:f>
              <c:strCache>
                <c:ptCount val="1"/>
                <c:pt idx="0">
                  <c:v>Área Urbana</c:v>
                </c:pt>
              </c:strCache>
            </c:strRef>
          </c:tx>
          <c:spPr>
            <a:ln w="12700">
              <a:noFill/>
            </a:ln>
          </c:spPr>
          <c:marker>
            <c:symbol val="diamond"/>
            <c:size val="5"/>
            <c:spPr>
              <a:solidFill>
                <a:schemeClr val="tx1"/>
              </a:solidFill>
              <a:ln>
                <a:solidFill>
                  <a:schemeClr val="tx1"/>
                </a:solidFill>
              </a:ln>
            </c:spPr>
          </c:marker>
          <c:cat>
            <c:strRef>
              <c:f>Inmigracion!$AO$49:$AO$73</c:f>
              <c:strCache>
                <c:ptCount val="25"/>
                <c:pt idx="0">
                  <c:v>Guayas</c:v>
                </c:pt>
                <c:pt idx="1">
                  <c:v>Galápagos</c:v>
                </c:pt>
                <c:pt idx="2">
                  <c:v>El Oro</c:v>
                </c:pt>
                <c:pt idx="3">
                  <c:v>Chimborazo</c:v>
                </c:pt>
                <c:pt idx="4">
                  <c:v>Imbabura</c:v>
                </c:pt>
                <c:pt idx="5">
                  <c:v>Santo Domingo</c:v>
                </c:pt>
                <c:pt idx="6">
                  <c:v>Loja</c:v>
                </c:pt>
                <c:pt idx="7">
                  <c:v>Pichincha</c:v>
                </c:pt>
                <c:pt idx="8">
                  <c:v>Azuay</c:v>
                </c:pt>
                <c:pt idx="9">
                  <c:v>Santa Elena</c:v>
                </c:pt>
                <c:pt idx="10">
                  <c:v>Manabi</c:v>
                </c:pt>
                <c:pt idx="11">
                  <c:v>Tungurahua</c:v>
                </c:pt>
                <c:pt idx="12">
                  <c:v>Napo</c:v>
                </c:pt>
                <c:pt idx="13">
                  <c:v>Cañar</c:v>
                </c:pt>
                <c:pt idx="14">
                  <c:v>Morona Santiago</c:v>
                </c:pt>
                <c:pt idx="15">
                  <c:v>Carchi</c:v>
                </c:pt>
                <c:pt idx="16">
                  <c:v>Los Rios</c:v>
                </c:pt>
                <c:pt idx="17">
                  <c:v>Pastaza</c:v>
                </c:pt>
                <c:pt idx="18">
                  <c:v>Cotopaxi</c:v>
                </c:pt>
                <c:pt idx="19">
                  <c:v>Orellana</c:v>
                </c:pt>
                <c:pt idx="20">
                  <c:v>Sucumbíos</c:v>
                </c:pt>
                <c:pt idx="21">
                  <c:v>Zamora Chinchipe</c:v>
                </c:pt>
                <c:pt idx="22">
                  <c:v>Esmeraldas</c:v>
                </c:pt>
                <c:pt idx="23">
                  <c:v>Bolivar</c:v>
                </c:pt>
                <c:pt idx="24">
                  <c:v>Zonas no Delimitadas</c:v>
                </c:pt>
              </c:strCache>
            </c:strRef>
          </c:cat>
          <c:val>
            <c:numRef>
              <c:f>Inmigracion!$AP$49:$AP$73</c:f>
              <c:numCache>
                <c:formatCode>0.00</c:formatCode>
                <c:ptCount val="25"/>
                <c:pt idx="0">
                  <c:v>877.77504211839664</c:v>
                </c:pt>
                <c:pt idx="1">
                  <c:v>826.82524405334789</c:v>
                </c:pt>
                <c:pt idx="2">
                  <c:v>772.59609522132052</c:v>
                </c:pt>
                <c:pt idx="3">
                  <c:v>758.51429648122826</c:v>
                </c:pt>
                <c:pt idx="4">
                  <c:v>754.41866770602098</c:v>
                </c:pt>
                <c:pt idx="5">
                  <c:v>740.55705259245462</c:v>
                </c:pt>
                <c:pt idx="6">
                  <c:v>740.15422748554067</c:v>
                </c:pt>
                <c:pt idx="7">
                  <c:v>732.64284797246194</c:v>
                </c:pt>
                <c:pt idx="8">
                  <c:v>710.31588555101393</c:v>
                </c:pt>
                <c:pt idx="9">
                  <c:v>704.9095087136651</c:v>
                </c:pt>
                <c:pt idx="10">
                  <c:v>635.25561984254921</c:v>
                </c:pt>
                <c:pt idx="11">
                  <c:v>620.94505626047408</c:v>
                </c:pt>
                <c:pt idx="12">
                  <c:v>594.84006844807141</c:v>
                </c:pt>
                <c:pt idx="13">
                  <c:v>593.41588774912736</c:v>
                </c:pt>
                <c:pt idx="14">
                  <c:v>586.77484504491963</c:v>
                </c:pt>
                <c:pt idx="15">
                  <c:v>554.05797943414848</c:v>
                </c:pt>
                <c:pt idx="16">
                  <c:v>551.15433113492179</c:v>
                </c:pt>
                <c:pt idx="17">
                  <c:v>526.93624442865439</c:v>
                </c:pt>
                <c:pt idx="18">
                  <c:v>490.53840955170074</c:v>
                </c:pt>
                <c:pt idx="19">
                  <c:v>487.8545168067227</c:v>
                </c:pt>
                <c:pt idx="20">
                  <c:v>453.79849671734843</c:v>
                </c:pt>
                <c:pt idx="21">
                  <c:v>432.88060134851759</c:v>
                </c:pt>
                <c:pt idx="22">
                  <c:v>404.19851003667986</c:v>
                </c:pt>
                <c:pt idx="23">
                  <c:v>391.87796330653475</c:v>
                </c:pt>
                <c:pt idx="24">
                  <c:v>0.41396439906168087</c:v>
                </c:pt>
              </c:numCache>
            </c:numRef>
          </c:val>
          <c:smooth val="0"/>
        </c:ser>
        <c:ser>
          <c:idx val="1"/>
          <c:order val="1"/>
          <c:tx>
            <c:strRef>
              <c:f>Inmigracion!$AQ$48</c:f>
              <c:strCache>
                <c:ptCount val="1"/>
                <c:pt idx="0">
                  <c:v>Área Rural</c:v>
                </c:pt>
              </c:strCache>
            </c:strRef>
          </c:tx>
          <c:spPr>
            <a:ln w="12700">
              <a:noFill/>
            </a:ln>
          </c:spPr>
          <c:marker>
            <c:symbol val="circle"/>
            <c:size val="5"/>
            <c:spPr>
              <a:solidFill>
                <a:schemeClr val="bg1">
                  <a:lumMod val="50000"/>
                </a:schemeClr>
              </a:solidFill>
              <a:ln>
                <a:solidFill>
                  <a:schemeClr val="bg1">
                    <a:lumMod val="50000"/>
                  </a:schemeClr>
                </a:solidFill>
              </a:ln>
            </c:spPr>
          </c:marker>
          <c:cat>
            <c:strRef>
              <c:f>Inmigracion!$AO$49:$AO$73</c:f>
              <c:strCache>
                <c:ptCount val="25"/>
                <c:pt idx="0">
                  <c:v>Guayas</c:v>
                </c:pt>
                <c:pt idx="1">
                  <c:v>Galápagos</c:v>
                </c:pt>
                <c:pt idx="2">
                  <c:v>El Oro</c:v>
                </c:pt>
                <c:pt idx="3">
                  <c:v>Chimborazo</c:v>
                </c:pt>
                <c:pt idx="4">
                  <c:v>Imbabura</c:v>
                </c:pt>
                <c:pt idx="5">
                  <c:v>Santo Domingo</c:v>
                </c:pt>
                <c:pt idx="6">
                  <c:v>Loja</c:v>
                </c:pt>
                <c:pt idx="7">
                  <c:v>Pichincha</c:v>
                </c:pt>
                <c:pt idx="8">
                  <c:v>Azuay</c:v>
                </c:pt>
                <c:pt idx="9">
                  <c:v>Santa Elena</c:v>
                </c:pt>
                <c:pt idx="10">
                  <c:v>Manabi</c:v>
                </c:pt>
                <c:pt idx="11">
                  <c:v>Tungurahua</c:v>
                </c:pt>
                <c:pt idx="12">
                  <c:v>Napo</c:v>
                </c:pt>
                <c:pt idx="13">
                  <c:v>Cañar</c:v>
                </c:pt>
                <c:pt idx="14">
                  <c:v>Morona Santiago</c:v>
                </c:pt>
                <c:pt idx="15">
                  <c:v>Carchi</c:v>
                </c:pt>
                <c:pt idx="16">
                  <c:v>Los Rios</c:v>
                </c:pt>
                <c:pt idx="17">
                  <c:v>Pastaza</c:v>
                </c:pt>
                <c:pt idx="18">
                  <c:v>Cotopaxi</c:v>
                </c:pt>
                <c:pt idx="19">
                  <c:v>Orellana</c:v>
                </c:pt>
                <c:pt idx="20">
                  <c:v>Sucumbíos</c:v>
                </c:pt>
                <c:pt idx="21">
                  <c:v>Zamora Chinchipe</c:v>
                </c:pt>
                <c:pt idx="22">
                  <c:v>Esmeraldas</c:v>
                </c:pt>
                <c:pt idx="23">
                  <c:v>Bolivar</c:v>
                </c:pt>
                <c:pt idx="24">
                  <c:v>Zonas no Delimitadas</c:v>
                </c:pt>
              </c:strCache>
            </c:strRef>
          </c:cat>
          <c:val>
            <c:numRef>
              <c:f>Inmigracion!$AQ$49:$AQ$73</c:f>
              <c:numCache>
                <c:formatCode>0.00</c:formatCode>
                <c:ptCount val="25"/>
                <c:pt idx="0">
                  <c:v>122.22495788160373</c:v>
                </c:pt>
                <c:pt idx="1">
                  <c:v>173.17475594665189</c:v>
                </c:pt>
                <c:pt idx="2">
                  <c:v>227.40390477867953</c:v>
                </c:pt>
                <c:pt idx="3">
                  <c:v>241.48570351877149</c:v>
                </c:pt>
                <c:pt idx="4">
                  <c:v>245.58133229397907</c:v>
                </c:pt>
                <c:pt idx="5">
                  <c:v>259.44294740754509</c:v>
                </c:pt>
                <c:pt idx="6">
                  <c:v>259.84577251445893</c:v>
                </c:pt>
                <c:pt idx="7">
                  <c:v>267.35715202753806</c:v>
                </c:pt>
                <c:pt idx="8">
                  <c:v>289.68411444898584</c:v>
                </c:pt>
                <c:pt idx="9">
                  <c:v>295.0904912863349</c:v>
                </c:pt>
                <c:pt idx="10">
                  <c:v>364.74438015745051</c:v>
                </c:pt>
                <c:pt idx="11">
                  <c:v>379.05494373952615</c:v>
                </c:pt>
                <c:pt idx="12">
                  <c:v>405.15993155192837</c:v>
                </c:pt>
                <c:pt idx="13">
                  <c:v>406.58411225087264</c:v>
                </c:pt>
                <c:pt idx="14">
                  <c:v>413.22515495508014</c:v>
                </c:pt>
                <c:pt idx="15">
                  <c:v>445.94202056585152</c:v>
                </c:pt>
                <c:pt idx="16">
                  <c:v>448.84566886507832</c:v>
                </c:pt>
                <c:pt idx="17">
                  <c:v>473.0637555713455</c:v>
                </c:pt>
                <c:pt idx="18">
                  <c:v>509.46159044829886</c:v>
                </c:pt>
                <c:pt idx="19">
                  <c:v>512.1454831932773</c:v>
                </c:pt>
                <c:pt idx="20">
                  <c:v>546.20150328265152</c:v>
                </c:pt>
                <c:pt idx="21">
                  <c:v>567.11939865148281</c:v>
                </c:pt>
                <c:pt idx="22">
                  <c:v>595.80148996331991</c:v>
                </c:pt>
                <c:pt idx="23">
                  <c:v>608.12203669346536</c:v>
                </c:pt>
                <c:pt idx="24">
                  <c:v>999.58603560093832</c:v>
                </c:pt>
              </c:numCache>
            </c:numRef>
          </c:val>
          <c:smooth val="0"/>
        </c:ser>
        <c:dLbls>
          <c:showLegendKey val="0"/>
          <c:showVal val="0"/>
          <c:showCatName val="0"/>
          <c:showSerName val="0"/>
          <c:showPercent val="0"/>
          <c:showBubbleSize val="0"/>
        </c:dLbls>
        <c:hiLowLines/>
        <c:marker val="1"/>
        <c:smooth val="0"/>
        <c:axId val="218564096"/>
        <c:axId val="218584960"/>
      </c:lineChart>
      <c:catAx>
        <c:axId val="218564096"/>
        <c:scaling>
          <c:orientation val="minMax"/>
        </c:scaling>
        <c:delete val="0"/>
        <c:axPos val="b"/>
        <c:title>
          <c:tx>
            <c:rich>
              <a:bodyPr/>
              <a:lstStyle/>
              <a:p>
                <a:pPr>
                  <a:defRPr/>
                </a:pPr>
                <a:r>
                  <a:rPr lang="es-EC" sz="800"/>
                  <a:t>Provincia de residencia habitual</a:t>
                </a:r>
              </a:p>
            </c:rich>
          </c:tx>
          <c:overlay val="0"/>
        </c:title>
        <c:numFmt formatCode="General" sourceLinked="1"/>
        <c:majorTickMark val="out"/>
        <c:minorTickMark val="none"/>
        <c:tickLblPos val="nextTo"/>
        <c:spPr>
          <a:ln>
            <a:solidFill>
              <a:schemeClr val="tx1"/>
            </a:solidFill>
          </a:ln>
        </c:spPr>
        <c:txPr>
          <a:bodyPr rot="-5400000" vert="horz"/>
          <a:lstStyle/>
          <a:p>
            <a:pPr>
              <a:defRPr/>
            </a:pPr>
            <a:endParaRPr lang="es-EC"/>
          </a:p>
        </c:txPr>
        <c:crossAx val="218584960"/>
        <c:crosses val="autoZero"/>
        <c:auto val="1"/>
        <c:lblAlgn val="ctr"/>
        <c:lblOffset val="100"/>
        <c:noMultiLvlLbl val="0"/>
      </c:catAx>
      <c:valAx>
        <c:axId val="218584960"/>
        <c:scaling>
          <c:orientation val="minMax"/>
          <c:max val="1100"/>
          <c:min val="0"/>
        </c:scaling>
        <c:delete val="0"/>
        <c:axPos val="l"/>
        <c:majorGridlines>
          <c:spPr>
            <a:ln>
              <a:prstDash val="dash"/>
            </a:ln>
          </c:spPr>
        </c:majorGridlines>
        <c:title>
          <c:tx>
            <c:rich>
              <a:bodyPr rot="-5400000" vert="horz"/>
              <a:lstStyle/>
              <a:p>
                <a:pPr>
                  <a:defRPr sz="800"/>
                </a:pPr>
                <a:r>
                  <a:rPr lang="es-EC" sz="800"/>
                  <a:t>Tasa por cada 1000 inmigrantes</a:t>
                </a:r>
              </a:p>
            </c:rich>
          </c:tx>
          <c:overlay val="0"/>
        </c:title>
        <c:numFmt formatCode="0" sourceLinked="0"/>
        <c:majorTickMark val="out"/>
        <c:minorTickMark val="none"/>
        <c:tickLblPos val="nextTo"/>
        <c:spPr>
          <a:ln>
            <a:solidFill>
              <a:schemeClr val="tx1"/>
            </a:solidFill>
          </a:ln>
        </c:spPr>
        <c:crossAx val="218564096"/>
        <c:crosses val="autoZero"/>
        <c:crossBetween val="between"/>
        <c:majorUnit val="200"/>
      </c:valAx>
      <c:spPr>
        <a:noFill/>
        <a:ln>
          <a:solidFill>
            <a:schemeClr val="tx1"/>
          </a:solidFill>
        </a:ln>
      </c:spPr>
    </c:plotArea>
    <c:legend>
      <c:legendPos val="r"/>
      <c:layout>
        <c:manualLayout>
          <c:xMode val="edge"/>
          <c:yMode val="edge"/>
          <c:x val="0.425020207949585"/>
          <c:y val="3.0184823862882168E-2"/>
          <c:w val="0.31917751283660245"/>
          <c:h val="0.11073632351576475"/>
        </c:manualLayout>
      </c:layout>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613600256968981E-2"/>
          <c:y val="5.1400554097404488E-2"/>
          <c:w val="0.91227652328582898"/>
          <c:h val="0.5855161653180444"/>
        </c:manualLayout>
      </c:layout>
      <c:lineChart>
        <c:grouping val="standard"/>
        <c:varyColors val="0"/>
        <c:ser>
          <c:idx val="1"/>
          <c:order val="0"/>
          <c:tx>
            <c:v>Tasa a nivel Nacional</c:v>
          </c:tx>
          <c:spPr>
            <a:ln w="19050">
              <a:solidFill>
                <a:srgbClr val="D735B4"/>
              </a:solidFill>
            </a:ln>
          </c:spPr>
          <c:marker>
            <c:symbol val="none"/>
          </c:marker>
          <c:cat>
            <c:strRef>
              <c:f>Perfil!$AF$3:$AF$27</c:f>
              <c:strCache>
                <c:ptCount val="25"/>
                <c:pt idx="0">
                  <c:v>Azuay</c:v>
                </c:pt>
                <c:pt idx="1">
                  <c:v>Bolívar</c:v>
                </c:pt>
                <c:pt idx="2">
                  <c:v>Cañar</c:v>
                </c:pt>
                <c:pt idx="3">
                  <c:v>Carchi</c:v>
                </c:pt>
                <c:pt idx="4">
                  <c:v>Chimborazo</c:v>
                </c:pt>
                <c:pt idx="5">
                  <c:v>Cotopaxi</c:v>
                </c:pt>
                <c:pt idx="6">
                  <c:v>El Oro</c:v>
                </c:pt>
                <c:pt idx="7">
                  <c:v>Esmeraldas</c:v>
                </c:pt>
                <c:pt idx="8">
                  <c:v>Galápagos</c:v>
                </c:pt>
                <c:pt idx="9">
                  <c:v>Guayas</c:v>
                </c:pt>
                <c:pt idx="10">
                  <c:v>Imbabura</c:v>
                </c:pt>
                <c:pt idx="11">
                  <c:v>Loja</c:v>
                </c:pt>
                <c:pt idx="12">
                  <c:v>Los Ríos</c:v>
                </c:pt>
                <c:pt idx="13">
                  <c:v>Manabí</c:v>
                </c:pt>
                <c:pt idx="14">
                  <c:v>Morona Santiago</c:v>
                </c:pt>
                <c:pt idx="15">
                  <c:v>Napo</c:v>
                </c:pt>
                <c:pt idx="16">
                  <c:v>Orellana</c:v>
                </c:pt>
                <c:pt idx="17">
                  <c:v>Pastaza</c:v>
                </c:pt>
                <c:pt idx="18">
                  <c:v>Pichincha</c:v>
                </c:pt>
                <c:pt idx="19">
                  <c:v>Santa Elena</c:v>
                </c:pt>
                <c:pt idx="20">
                  <c:v>Santo Domingo</c:v>
                </c:pt>
                <c:pt idx="21">
                  <c:v>Sucumbíos</c:v>
                </c:pt>
                <c:pt idx="22">
                  <c:v>Tungurahua</c:v>
                </c:pt>
                <c:pt idx="23">
                  <c:v>Zamora Chinchipe</c:v>
                </c:pt>
                <c:pt idx="24">
                  <c:v>Zonas No Delimitadas</c:v>
                </c:pt>
              </c:strCache>
            </c:strRef>
          </c:cat>
          <c:val>
            <c:numRef>
              <c:f>Perfil!$AH$3:$AH$27</c:f>
              <c:numCache>
                <c:formatCode>0.00</c:formatCode>
                <c:ptCount val="25"/>
                <c:pt idx="0">
                  <c:v>6.2092040051923991</c:v>
                </c:pt>
                <c:pt idx="1">
                  <c:v>6.2092040051923991</c:v>
                </c:pt>
                <c:pt idx="2">
                  <c:v>6.2092040051923991</c:v>
                </c:pt>
                <c:pt idx="3">
                  <c:v>6.2092040051923991</c:v>
                </c:pt>
                <c:pt idx="4">
                  <c:v>6.2092040051923991</c:v>
                </c:pt>
                <c:pt idx="5">
                  <c:v>6.2092040051923991</c:v>
                </c:pt>
                <c:pt idx="6">
                  <c:v>6.2092040051923991</c:v>
                </c:pt>
                <c:pt idx="7">
                  <c:v>6.2092040051923991</c:v>
                </c:pt>
                <c:pt idx="8">
                  <c:v>6.2092040051923991</c:v>
                </c:pt>
                <c:pt idx="9">
                  <c:v>6.2092040051923991</c:v>
                </c:pt>
                <c:pt idx="10">
                  <c:v>6.2092040051923991</c:v>
                </c:pt>
                <c:pt idx="11">
                  <c:v>6.2092040051923991</c:v>
                </c:pt>
                <c:pt idx="12">
                  <c:v>6.2092040051923991</c:v>
                </c:pt>
                <c:pt idx="13">
                  <c:v>6.2092040051923991</c:v>
                </c:pt>
                <c:pt idx="14">
                  <c:v>6.2092040051923991</c:v>
                </c:pt>
                <c:pt idx="15">
                  <c:v>6.2092040051923991</c:v>
                </c:pt>
                <c:pt idx="16">
                  <c:v>6.2092040051923991</c:v>
                </c:pt>
                <c:pt idx="17">
                  <c:v>6.2092040051923991</c:v>
                </c:pt>
                <c:pt idx="18">
                  <c:v>6.2092040051923991</c:v>
                </c:pt>
                <c:pt idx="19">
                  <c:v>6.2092040051923991</c:v>
                </c:pt>
                <c:pt idx="20">
                  <c:v>6.2092040051923991</c:v>
                </c:pt>
                <c:pt idx="21">
                  <c:v>6.2092040051923991</c:v>
                </c:pt>
                <c:pt idx="22">
                  <c:v>6.2092040051923991</c:v>
                </c:pt>
                <c:pt idx="23">
                  <c:v>6.2092040051923991</c:v>
                </c:pt>
                <c:pt idx="24">
                  <c:v>6.2092040051923991</c:v>
                </c:pt>
              </c:numCache>
            </c:numRef>
          </c:val>
          <c:smooth val="0"/>
        </c:ser>
        <c:ser>
          <c:idx val="0"/>
          <c:order val="1"/>
          <c:tx>
            <c:v>Tasa a nivel Provincial</c:v>
          </c:tx>
          <c:spPr>
            <a:ln>
              <a:noFill/>
            </a:ln>
          </c:spPr>
          <c:marker>
            <c:symbol val="circle"/>
            <c:size val="4"/>
            <c:spPr>
              <a:solidFill>
                <a:srgbClr val="002060"/>
              </a:solidFill>
            </c:spPr>
          </c:marker>
          <c:cat>
            <c:strRef>
              <c:f>Perfil!$AF$3:$AF$27</c:f>
              <c:strCache>
                <c:ptCount val="25"/>
                <c:pt idx="0">
                  <c:v>Azuay</c:v>
                </c:pt>
                <c:pt idx="1">
                  <c:v>Bolívar</c:v>
                </c:pt>
                <c:pt idx="2">
                  <c:v>Cañar</c:v>
                </c:pt>
                <c:pt idx="3">
                  <c:v>Carchi</c:v>
                </c:pt>
                <c:pt idx="4">
                  <c:v>Chimborazo</c:v>
                </c:pt>
                <c:pt idx="5">
                  <c:v>Cotopaxi</c:v>
                </c:pt>
                <c:pt idx="6">
                  <c:v>El Oro</c:v>
                </c:pt>
                <c:pt idx="7">
                  <c:v>Esmeraldas</c:v>
                </c:pt>
                <c:pt idx="8">
                  <c:v>Galápagos</c:v>
                </c:pt>
                <c:pt idx="9">
                  <c:v>Guayas</c:v>
                </c:pt>
                <c:pt idx="10">
                  <c:v>Imbabura</c:v>
                </c:pt>
                <c:pt idx="11">
                  <c:v>Loja</c:v>
                </c:pt>
                <c:pt idx="12">
                  <c:v>Los Ríos</c:v>
                </c:pt>
                <c:pt idx="13">
                  <c:v>Manabí</c:v>
                </c:pt>
                <c:pt idx="14">
                  <c:v>Morona Santiago</c:v>
                </c:pt>
                <c:pt idx="15">
                  <c:v>Napo</c:v>
                </c:pt>
                <c:pt idx="16">
                  <c:v>Orellana</c:v>
                </c:pt>
                <c:pt idx="17">
                  <c:v>Pastaza</c:v>
                </c:pt>
                <c:pt idx="18">
                  <c:v>Pichincha</c:v>
                </c:pt>
                <c:pt idx="19">
                  <c:v>Santa Elena</c:v>
                </c:pt>
                <c:pt idx="20">
                  <c:v>Santo Domingo</c:v>
                </c:pt>
                <c:pt idx="21">
                  <c:v>Sucumbíos</c:v>
                </c:pt>
                <c:pt idx="22">
                  <c:v>Tungurahua</c:v>
                </c:pt>
                <c:pt idx="23">
                  <c:v>Zamora Chinchipe</c:v>
                </c:pt>
                <c:pt idx="24">
                  <c:v>Zonas No Delimitadas</c:v>
                </c:pt>
              </c:strCache>
            </c:strRef>
          </c:cat>
          <c:val>
            <c:numRef>
              <c:f>Perfil!$AG$3:$AG$27</c:f>
              <c:numCache>
                <c:formatCode>0.00</c:formatCode>
                <c:ptCount val="25"/>
                <c:pt idx="0">
                  <c:v>2.6197088774645945</c:v>
                </c:pt>
                <c:pt idx="1">
                  <c:v>0.54968379575709359</c:v>
                </c:pt>
                <c:pt idx="2">
                  <c:v>1.0426274211011761</c:v>
                </c:pt>
                <c:pt idx="3">
                  <c:v>70.996942045053046</c:v>
                </c:pt>
                <c:pt idx="4">
                  <c:v>0.76325889741800579</c:v>
                </c:pt>
                <c:pt idx="5">
                  <c:v>1.2312582625523338</c:v>
                </c:pt>
                <c:pt idx="6">
                  <c:v>1.6856440983225498</c:v>
                </c:pt>
                <c:pt idx="7">
                  <c:v>13.31945108853683</c:v>
                </c:pt>
                <c:pt idx="8">
                  <c:v>0.71942446043165453</c:v>
                </c:pt>
                <c:pt idx="9">
                  <c:v>2.8229323257636385</c:v>
                </c:pt>
                <c:pt idx="10">
                  <c:v>12.99096926225897</c:v>
                </c:pt>
                <c:pt idx="11">
                  <c:v>0.89043438098156402</c:v>
                </c:pt>
                <c:pt idx="12">
                  <c:v>1.5048802585669578</c:v>
                </c:pt>
                <c:pt idx="13">
                  <c:v>1.6373714535774182</c:v>
                </c:pt>
                <c:pt idx="14">
                  <c:v>0.96170126307947712</c:v>
                </c:pt>
                <c:pt idx="15">
                  <c:v>3.752637053888257</c:v>
                </c:pt>
                <c:pt idx="16">
                  <c:v>18.761740008463896</c:v>
                </c:pt>
                <c:pt idx="17">
                  <c:v>3.1265722705383454</c:v>
                </c:pt>
                <c:pt idx="18">
                  <c:v>10.533199339546657</c:v>
                </c:pt>
                <c:pt idx="19">
                  <c:v>1.9834408784555271</c:v>
                </c:pt>
                <c:pt idx="20">
                  <c:v>13.228139811555499</c:v>
                </c:pt>
                <c:pt idx="21">
                  <c:v>59.060871957405105</c:v>
                </c:pt>
                <c:pt idx="22">
                  <c:v>2.7201091225063214</c:v>
                </c:pt>
                <c:pt idx="23">
                  <c:v>2.3007068036767064</c:v>
                </c:pt>
                <c:pt idx="24">
                  <c:v>1.0757451116876542</c:v>
                </c:pt>
              </c:numCache>
            </c:numRef>
          </c:val>
          <c:smooth val="0"/>
        </c:ser>
        <c:dLbls>
          <c:showLegendKey val="0"/>
          <c:showVal val="0"/>
          <c:showCatName val="0"/>
          <c:showSerName val="0"/>
          <c:showPercent val="0"/>
          <c:showBubbleSize val="0"/>
        </c:dLbls>
        <c:marker val="1"/>
        <c:smooth val="0"/>
        <c:axId val="232978688"/>
        <c:axId val="250049280"/>
      </c:lineChart>
      <c:catAx>
        <c:axId val="232978688"/>
        <c:scaling>
          <c:orientation val="minMax"/>
        </c:scaling>
        <c:delete val="0"/>
        <c:axPos val="b"/>
        <c:title>
          <c:tx>
            <c:rich>
              <a:bodyPr/>
              <a:lstStyle/>
              <a:p>
                <a:pPr>
                  <a:defRPr/>
                </a:pPr>
                <a:r>
                  <a:rPr lang="es-EC"/>
                  <a:t>Provincia</a:t>
                </a:r>
              </a:p>
            </c:rich>
          </c:tx>
          <c:overlay val="0"/>
        </c:title>
        <c:majorTickMark val="out"/>
        <c:minorTickMark val="none"/>
        <c:tickLblPos val="nextTo"/>
        <c:spPr>
          <a:ln>
            <a:solidFill>
              <a:schemeClr val="tx1"/>
            </a:solidFill>
          </a:ln>
        </c:spPr>
        <c:txPr>
          <a:bodyPr rot="-5400000" vert="horz"/>
          <a:lstStyle/>
          <a:p>
            <a:pPr>
              <a:defRPr sz="550"/>
            </a:pPr>
            <a:endParaRPr lang="es-EC"/>
          </a:p>
        </c:txPr>
        <c:crossAx val="250049280"/>
        <c:crosses val="autoZero"/>
        <c:auto val="1"/>
        <c:lblAlgn val="ctr"/>
        <c:lblOffset val="100"/>
        <c:noMultiLvlLbl val="0"/>
      </c:catAx>
      <c:valAx>
        <c:axId val="250049280"/>
        <c:scaling>
          <c:orientation val="minMax"/>
          <c:max val="80"/>
        </c:scaling>
        <c:delete val="0"/>
        <c:axPos val="l"/>
        <c:title>
          <c:tx>
            <c:rich>
              <a:bodyPr rot="-5400000" vert="horz"/>
              <a:lstStyle/>
              <a:p>
                <a:pPr>
                  <a:defRPr/>
                </a:pPr>
                <a:r>
                  <a:rPr lang="es-EC"/>
                  <a:t>Tasa de Inmigración</a:t>
                </a:r>
              </a:p>
            </c:rich>
          </c:tx>
          <c:overlay val="0"/>
        </c:title>
        <c:numFmt formatCode="0" sourceLinked="0"/>
        <c:majorTickMark val="out"/>
        <c:minorTickMark val="none"/>
        <c:tickLblPos val="nextTo"/>
        <c:spPr>
          <a:ln>
            <a:solidFill>
              <a:schemeClr val="tx1"/>
            </a:solidFill>
          </a:ln>
        </c:spPr>
        <c:crossAx val="232978688"/>
        <c:crosses val="autoZero"/>
        <c:crossBetween val="between"/>
        <c:majorUnit val="10"/>
      </c:valAx>
      <c:spPr>
        <a:noFill/>
        <a:ln>
          <a:solidFill>
            <a:schemeClr val="tx1"/>
          </a:solidFill>
        </a:ln>
      </c:spPr>
    </c:plotArea>
    <c:legend>
      <c:legendPos val="r"/>
      <c:layout>
        <c:manualLayout>
          <c:xMode val="edge"/>
          <c:yMode val="edge"/>
          <c:x val="0.36702135162616778"/>
          <c:y val="6.9060586176727903E-2"/>
          <c:w val="0.61630148767998216"/>
          <c:h val="7.9471420239136906E-2"/>
        </c:manualLayout>
      </c:layout>
      <c:overlay val="0"/>
      <c:spPr>
        <a:ln>
          <a:noFill/>
        </a:ln>
      </c:spPr>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035897524937301E-2"/>
          <c:y val="5.1400554097404488E-2"/>
          <c:w val="0.90785427647990313"/>
          <c:h val="0.56978967937378011"/>
        </c:manualLayout>
      </c:layout>
      <c:lineChart>
        <c:grouping val="standard"/>
        <c:varyColors val="0"/>
        <c:ser>
          <c:idx val="1"/>
          <c:order val="0"/>
          <c:tx>
            <c:v>Tasa a nivel Nacional</c:v>
          </c:tx>
          <c:spPr>
            <a:ln w="19050">
              <a:solidFill>
                <a:srgbClr val="D735B4"/>
              </a:solidFill>
            </a:ln>
          </c:spPr>
          <c:marker>
            <c:symbol val="none"/>
          </c:marker>
          <c:cat>
            <c:strRef>
              <c:f>Perfil!$AR$3:$AR$27</c:f>
              <c:strCache>
                <c:ptCount val="25"/>
                <c:pt idx="0">
                  <c:v>Carchi</c:v>
                </c:pt>
                <c:pt idx="1">
                  <c:v>Sucumbíos</c:v>
                </c:pt>
                <c:pt idx="2">
                  <c:v>Orellana</c:v>
                </c:pt>
                <c:pt idx="3">
                  <c:v>Esmeraldas</c:v>
                </c:pt>
                <c:pt idx="4">
                  <c:v>Santo Domingo</c:v>
                </c:pt>
                <c:pt idx="5">
                  <c:v>Imbabura</c:v>
                </c:pt>
                <c:pt idx="6">
                  <c:v>Pichincha</c:v>
                </c:pt>
                <c:pt idx="7">
                  <c:v>Napo</c:v>
                </c:pt>
                <c:pt idx="8">
                  <c:v>Pastaza</c:v>
                </c:pt>
                <c:pt idx="9">
                  <c:v>Guayas</c:v>
                </c:pt>
                <c:pt idx="10">
                  <c:v>Tungurahua</c:v>
                </c:pt>
                <c:pt idx="11">
                  <c:v>Azuay</c:v>
                </c:pt>
                <c:pt idx="12">
                  <c:v>Zamora Chinchipe</c:v>
                </c:pt>
                <c:pt idx="13">
                  <c:v>Santa Elena</c:v>
                </c:pt>
                <c:pt idx="14">
                  <c:v>El Oro</c:v>
                </c:pt>
                <c:pt idx="15">
                  <c:v>Manabí</c:v>
                </c:pt>
                <c:pt idx="16">
                  <c:v>Los Ríos</c:v>
                </c:pt>
                <c:pt idx="17">
                  <c:v>Cotopaxi</c:v>
                </c:pt>
                <c:pt idx="18">
                  <c:v>Zonas No Delimitadas</c:v>
                </c:pt>
                <c:pt idx="19">
                  <c:v>Cañar</c:v>
                </c:pt>
                <c:pt idx="20">
                  <c:v>Morona Santiago</c:v>
                </c:pt>
                <c:pt idx="21">
                  <c:v>Loja</c:v>
                </c:pt>
                <c:pt idx="22">
                  <c:v>Chimborazo</c:v>
                </c:pt>
                <c:pt idx="23">
                  <c:v>Galápagos</c:v>
                </c:pt>
                <c:pt idx="24">
                  <c:v>Bolívar</c:v>
                </c:pt>
              </c:strCache>
            </c:strRef>
          </c:cat>
          <c:val>
            <c:numRef>
              <c:f>Perfil!$AT$3:$AT$27</c:f>
              <c:numCache>
                <c:formatCode>0.00</c:formatCode>
                <c:ptCount val="25"/>
                <c:pt idx="0">
                  <c:v>6.2092040051923991</c:v>
                </c:pt>
                <c:pt idx="1">
                  <c:v>6.2092040051923991</c:v>
                </c:pt>
                <c:pt idx="2">
                  <c:v>6.2092040051923991</c:v>
                </c:pt>
                <c:pt idx="3">
                  <c:v>6.2092040051923991</c:v>
                </c:pt>
                <c:pt idx="4">
                  <c:v>6.2092040051923991</c:v>
                </c:pt>
                <c:pt idx="5">
                  <c:v>6.2092040051923991</c:v>
                </c:pt>
                <c:pt idx="6">
                  <c:v>6.2092040051923991</c:v>
                </c:pt>
                <c:pt idx="7">
                  <c:v>6.2092040051923991</c:v>
                </c:pt>
                <c:pt idx="8">
                  <c:v>6.2092040051923991</c:v>
                </c:pt>
                <c:pt idx="9">
                  <c:v>6.2092040051923991</c:v>
                </c:pt>
                <c:pt idx="10">
                  <c:v>6.2092040051923991</c:v>
                </c:pt>
                <c:pt idx="11">
                  <c:v>6.2092040051923991</c:v>
                </c:pt>
                <c:pt idx="12">
                  <c:v>6.2092040051923991</c:v>
                </c:pt>
                <c:pt idx="13">
                  <c:v>6.2092040051923991</c:v>
                </c:pt>
                <c:pt idx="14">
                  <c:v>6.2092040051923991</c:v>
                </c:pt>
                <c:pt idx="15">
                  <c:v>6.2092040051923991</c:v>
                </c:pt>
                <c:pt idx="16">
                  <c:v>6.2092040051923991</c:v>
                </c:pt>
                <c:pt idx="17">
                  <c:v>6.2092040051923991</c:v>
                </c:pt>
                <c:pt idx="18">
                  <c:v>6.2092040051923991</c:v>
                </c:pt>
                <c:pt idx="19">
                  <c:v>6.2092040051923991</c:v>
                </c:pt>
                <c:pt idx="20">
                  <c:v>6.2092040051923991</c:v>
                </c:pt>
                <c:pt idx="21">
                  <c:v>6.2092040051923991</c:v>
                </c:pt>
                <c:pt idx="22">
                  <c:v>6.2092040051923991</c:v>
                </c:pt>
                <c:pt idx="23">
                  <c:v>6.2092040051923991</c:v>
                </c:pt>
                <c:pt idx="24">
                  <c:v>6.2092040051923991</c:v>
                </c:pt>
              </c:numCache>
            </c:numRef>
          </c:val>
          <c:smooth val="0"/>
        </c:ser>
        <c:ser>
          <c:idx val="0"/>
          <c:order val="1"/>
          <c:tx>
            <c:v>Tasa a nivel Provincial</c:v>
          </c:tx>
          <c:spPr>
            <a:ln>
              <a:noFill/>
            </a:ln>
          </c:spPr>
          <c:marker>
            <c:symbol val="circle"/>
            <c:size val="4"/>
            <c:spPr>
              <a:solidFill>
                <a:srgbClr val="002060"/>
              </a:solidFill>
            </c:spPr>
          </c:marker>
          <c:cat>
            <c:strRef>
              <c:f>Perfil!$AR$3:$AR$27</c:f>
              <c:strCache>
                <c:ptCount val="25"/>
                <c:pt idx="0">
                  <c:v>Carchi</c:v>
                </c:pt>
                <c:pt idx="1">
                  <c:v>Sucumbíos</c:v>
                </c:pt>
                <c:pt idx="2">
                  <c:v>Orellana</c:v>
                </c:pt>
                <c:pt idx="3">
                  <c:v>Esmeraldas</c:v>
                </c:pt>
                <c:pt idx="4">
                  <c:v>Santo Domingo</c:v>
                </c:pt>
                <c:pt idx="5">
                  <c:v>Imbabura</c:v>
                </c:pt>
                <c:pt idx="6">
                  <c:v>Pichincha</c:v>
                </c:pt>
                <c:pt idx="7">
                  <c:v>Napo</c:v>
                </c:pt>
                <c:pt idx="8">
                  <c:v>Pastaza</c:v>
                </c:pt>
                <c:pt idx="9">
                  <c:v>Guayas</c:v>
                </c:pt>
                <c:pt idx="10">
                  <c:v>Tungurahua</c:v>
                </c:pt>
                <c:pt idx="11">
                  <c:v>Azuay</c:v>
                </c:pt>
                <c:pt idx="12">
                  <c:v>Zamora Chinchipe</c:v>
                </c:pt>
                <c:pt idx="13">
                  <c:v>Santa Elena</c:v>
                </c:pt>
                <c:pt idx="14">
                  <c:v>El Oro</c:v>
                </c:pt>
                <c:pt idx="15">
                  <c:v>Manabí</c:v>
                </c:pt>
                <c:pt idx="16">
                  <c:v>Los Ríos</c:v>
                </c:pt>
                <c:pt idx="17">
                  <c:v>Cotopaxi</c:v>
                </c:pt>
                <c:pt idx="18">
                  <c:v>Zonas No Delimitadas</c:v>
                </c:pt>
                <c:pt idx="19">
                  <c:v>Cañar</c:v>
                </c:pt>
                <c:pt idx="20">
                  <c:v>Morona Santiago</c:v>
                </c:pt>
                <c:pt idx="21">
                  <c:v>Loja</c:v>
                </c:pt>
                <c:pt idx="22">
                  <c:v>Chimborazo</c:v>
                </c:pt>
                <c:pt idx="23">
                  <c:v>Galápagos</c:v>
                </c:pt>
                <c:pt idx="24">
                  <c:v>Bolívar</c:v>
                </c:pt>
              </c:strCache>
            </c:strRef>
          </c:cat>
          <c:val>
            <c:numRef>
              <c:f>Perfil!$AS$3:$AS$27</c:f>
              <c:numCache>
                <c:formatCode>0.00</c:formatCode>
                <c:ptCount val="25"/>
                <c:pt idx="0">
                  <c:v>70.996942045053046</c:v>
                </c:pt>
                <c:pt idx="1">
                  <c:v>59.060871957405105</c:v>
                </c:pt>
                <c:pt idx="2">
                  <c:v>18.761740008463896</c:v>
                </c:pt>
                <c:pt idx="3">
                  <c:v>13.31945108853683</c:v>
                </c:pt>
                <c:pt idx="4">
                  <c:v>13.228139811555499</c:v>
                </c:pt>
                <c:pt idx="5">
                  <c:v>12.99096926225897</c:v>
                </c:pt>
                <c:pt idx="6">
                  <c:v>10.533199339546657</c:v>
                </c:pt>
                <c:pt idx="7">
                  <c:v>3.752637053888257</c:v>
                </c:pt>
                <c:pt idx="8">
                  <c:v>3.1265722705383454</c:v>
                </c:pt>
                <c:pt idx="9">
                  <c:v>2.8229323257636385</c:v>
                </c:pt>
                <c:pt idx="10">
                  <c:v>2.7201091225063214</c:v>
                </c:pt>
                <c:pt idx="11">
                  <c:v>2.6197088774645945</c:v>
                </c:pt>
                <c:pt idx="12">
                  <c:v>2.3007068036767064</c:v>
                </c:pt>
                <c:pt idx="13">
                  <c:v>1.9834408784555271</c:v>
                </c:pt>
                <c:pt idx="14">
                  <c:v>1.6856440983225498</c:v>
                </c:pt>
                <c:pt idx="15">
                  <c:v>1.6373714535774182</c:v>
                </c:pt>
                <c:pt idx="16">
                  <c:v>1.5048802585669578</c:v>
                </c:pt>
                <c:pt idx="17">
                  <c:v>1.2312582625523338</c:v>
                </c:pt>
                <c:pt idx="18">
                  <c:v>1.0757451116876542</c:v>
                </c:pt>
                <c:pt idx="19">
                  <c:v>1.0426274211011761</c:v>
                </c:pt>
                <c:pt idx="20">
                  <c:v>0.96170126307947712</c:v>
                </c:pt>
                <c:pt idx="21">
                  <c:v>0.89043438098156402</c:v>
                </c:pt>
                <c:pt idx="22">
                  <c:v>0.76325889741800579</c:v>
                </c:pt>
                <c:pt idx="23">
                  <c:v>0.71942446043165453</c:v>
                </c:pt>
                <c:pt idx="24">
                  <c:v>0.54968379575709359</c:v>
                </c:pt>
              </c:numCache>
            </c:numRef>
          </c:val>
          <c:smooth val="0"/>
        </c:ser>
        <c:dLbls>
          <c:showLegendKey val="0"/>
          <c:showVal val="0"/>
          <c:showCatName val="0"/>
          <c:showSerName val="0"/>
          <c:showPercent val="0"/>
          <c:showBubbleSize val="0"/>
        </c:dLbls>
        <c:marker val="1"/>
        <c:smooth val="0"/>
        <c:axId val="250061952"/>
        <c:axId val="250064256"/>
      </c:lineChart>
      <c:catAx>
        <c:axId val="250061952"/>
        <c:scaling>
          <c:orientation val="minMax"/>
        </c:scaling>
        <c:delete val="0"/>
        <c:axPos val="b"/>
        <c:title>
          <c:tx>
            <c:rich>
              <a:bodyPr/>
              <a:lstStyle/>
              <a:p>
                <a:pPr>
                  <a:defRPr/>
                </a:pPr>
                <a:r>
                  <a:rPr lang="es-EC"/>
                  <a:t>Provincia</a:t>
                </a:r>
              </a:p>
            </c:rich>
          </c:tx>
          <c:overlay val="0"/>
        </c:title>
        <c:majorTickMark val="out"/>
        <c:minorTickMark val="none"/>
        <c:tickLblPos val="nextTo"/>
        <c:spPr>
          <a:ln>
            <a:solidFill>
              <a:schemeClr val="tx1"/>
            </a:solidFill>
          </a:ln>
        </c:spPr>
        <c:txPr>
          <a:bodyPr rot="-5400000" vert="horz"/>
          <a:lstStyle/>
          <a:p>
            <a:pPr>
              <a:defRPr sz="550"/>
            </a:pPr>
            <a:endParaRPr lang="es-EC"/>
          </a:p>
        </c:txPr>
        <c:crossAx val="250064256"/>
        <c:crosses val="autoZero"/>
        <c:auto val="1"/>
        <c:lblAlgn val="ctr"/>
        <c:lblOffset val="100"/>
        <c:noMultiLvlLbl val="0"/>
      </c:catAx>
      <c:valAx>
        <c:axId val="250064256"/>
        <c:scaling>
          <c:orientation val="minMax"/>
          <c:max val="80"/>
        </c:scaling>
        <c:delete val="0"/>
        <c:axPos val="l"/>
        <c:title>
          <c:tx>
            <c:rich>
              <a:bodyPr rot="-5400000" vert="horz"/>
              <a:lstStyle/>
              <a:p>
                <a:pPr>
                  <a:defRPr/>
                </a:pPr>
                <a:r>
                  <a:rPr lang="es-EC"/>
                  <a:t>Tasa de Inmigración</a:t>
                </a:r>
              </a:p>
            </c:rich>
          </c:tx>
          <c:overlay val="0"/>
        </c:title>
        <c:numFmt formatCode="0" sourceLinked="0"/>
        <c:majorTickMark val="out"/>
        <c:minorTickMark val="none"/>
        <c:tickLblPos val="nextTo"/>
        <c:spPr>
          <a:ln>
            <a:solidFill>
              <a:schemeClr val="tx1"/>
            </a:solidFill>
          </a:ln>
        </c:spPr>
        <c:crossAx val="250061952"/>
        <c:crosses val="autoZero"/>
        <c:crossBetween val="between"/>
        <c:majorUnit val="10"/>
      </c:valAx>
      <c:spPr>
        <a:noFill/>
        <a:ln>
          <a:solidFill>
            <a:schemeClr val="tx1"/>
          </a:solidFill>
        </a:ln>
      </c:spPr>
    </c:plotArea>
    <c:legend>
      <c:legendPos val="r"/>
      <c:layout>
        <c:manualLayout>
          <c:xMode val="edge"/>
          <c:yMode val="edge"/>
          <c:x val="0.36702135162616778"/>
          <c:y val="6.9060586176727903E-2"/>
          <c:w val="0.61630148767998216"/>
          <c:h val="7.9471420239136906E-2"/>
        </c:manualLayout>
      </c:layout>
      <c:overlay val="0"/>
      <c:spPr>
        <a:ln>
          <a:noFill/>
        </a:ln>
      </c:spPr>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637398169144414E-2"/>
          <c:y val="2.0740887039532366E-2"/>
          <c:w val="0.88733791047283106"/>
          <c:h val="0.63854659090985677"/>
        </c:manualLayout>
      </c:layout>
      <c:lineChart>
        <c:grouping val="standard"/>
        <c:varyColors val="0"/>
        <c:ser>
          <c:idx val="0"/>
          <c:order val="0"/>
          <c:tx>
            <c:strRef>
              <c:f>Perfil!$C$268</c:f>
              <c:strCache>
                <c:ptCount val="1"/>
                <c:pt idx="0">
                  <c:v>Área Urbana</c:v>
                </c:pt>
              </c:strCache>
            </c:strRef>
          </c:tx>
          <c:spPr>
            <a:ln>
              <a:noFill/>
            </a:ln>
          </c:spPr>
          <c:marker>
            <c:symbol val="diamond"/>
            <c:size val="5"/>
            <c:spPr>
              <a:solidFill>
                <a:schemeClr val="tx1"/>
              </a:solidFill>
              <a:ln>
                <a:solidFill>
                  <a:schemeClr val="tx1"/>
                </a:solidFill>
              </a:ln>
            </c:spPr>
          </c:marker>
          <c:cat>
            <c:strRef>
              <c:f>Perfil!$B$269:$B$293</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Perfil!$F$269:$F$293</c:f>
              <c:numCache>
                <c:formatCode>0.00</c:formatCode>
                <c:ptCount val="25"/>
                <c:pt idx="0">
                  <c:v>909.77443609022555</c:v>
                </c:pt>
                <c:pt idx="1">
                  <c:v>455.44554455445547</c:v>
                </c:pt>
                <c:pt idx="2">
                  <c:v>717.94871794871801</c:v>
                </c:pt>
                <c:pt idx="3">
                  <c:v>479.79407979407938</c:v>
                </c:pt>
                <c:pt idx="4">
                  <c:v>743.02788844621512</c:v>
                </c:pt>
                <c:pt idx="5">
                  <c:v>894.28571428571422</c:v>
                </c:pt>
                <c:pt idx="6">
                  <c:v>919.64285714285711</c:v>
                </c:pt>
                <c:pt idx="7">
                  <c:v>635.91549295774655</c:v>
                </c:pt>
                <c:pt idx="8">
                  <c:v>974.97565725413824</c:v>
                </c:pt>
                <c:pt idx="9">
                  <c:v>775</c:v>
                </c:pt>
                <c:pt idx="10">
                  <c:v>905.23690773067335</c:v>
                </c:pt>
                <c:pt idx="11">
                  <c:v>718.1895815542282</c:v>
                </c:pt>
                <c:pt idx="12">
                  <c:v>835.63474387527833</c:v>
                </c:pt>
                <c:pt idx="13">
                  <c:v>746.47887323943803</c:v>
                </c:pt>
                <c:pt idx="14">
                  <c:v>608.80829015543975</c:v>
                </c:pt>
                <c:pt idx="15">
                  <c:v>685.82375478927202</c:v>
                </c:pt>
                <c:pt idx="16">
                  <c:v>699.04628640866076</c:v>
                </c:pt>
                <c:pt idx="17">
                  <c:v>838.45029239766041</c:v>
                </c:pt>
                <c:pt idx="18">
                  <c:v>788.46153846153788</c:v>
                </c:pt>
                <c:pt idx="19">
                  <c:v>882.35294117647049</c:v>
                </c:pt>
                <c:pt idx="20">
                  <c:v>448.52013585637985</c:v>
                </c:pt>
                <c:pt idx="21">
                  <c:v>626.43450732093322</c:v>
                </c:pt>
                <c:pt idx="22">
                  <c:v>629.34760238732247</c:v>
                </c:pt>
                <c:pt idx="23">
                  <c:v>833.88157894736855</c:v>
                </c:pt>
                <c:pt idx="24">
                  <c:v>0</c:v>
                </c:pt>
              </c:numCache>
            </c:numRef>
          </c:val>
          <c:smooth val="0"/>
        </c:ser>
        <c:ser>
          <c:idx val="1"/>
          <c:order val="1"/>
          <c:tx>
            <c:strRef>
              <c:f>Perfil!$D$268</c:f>
              <c:strCache>
                <c:ptCount val="1"/>
                <c:pt idx="0">
                  <c:v>Área Rural</c:v>
                </c:pt>
              </c:strCache>
            </c:strRef>
          </c:tx>
          <c:spPr>
            <a:ln>
              <a:noFill/>
            </a:ln>
          </c:spPr>
          <c:marker>
            <c:symbol val="circle"/>
            <c:size val="5"/>
            <c:spPr>
              <a:solidFill>
                <a:schemeClr val="bg1">
                  <a:lumMod val="50000"/>
                </a:schemeClr>
              </a:solidFill>
              <a:ln>
                <a:solidFill>
                  <a:schemeClr val="bg1">
                    <a:lumMod val="50000"/>
                  </a:schemeClr>
                </a:solidFill>
              </a:ln>
            </c:spPr>
          </c:marker>
          <c:cat>
            <c:strRef>
              <c:f>Perfil!$B$269:$B$293</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Perfil!$G$269:$G$293</c:f>
              <c:numCache>
                <c:formatCode>0.00</c:formatCode>
                <c:ptCount val="25"/>
                <c:pt idx="0">
                  <c:v>90.225563909774436</c:v>
                </c:pt>
                <c:pt idx="1">
                  <c:v>544.55445544554448</c:v>
                </c:pt>
                <c:pt idx="2">
                  <c:v>282.05128205128199</c:v>
                </c:pt>
                <c:pt idx="3">
                  <c:v>520.20592020592017</c:v>
                </c:pt>
                <c:pt idx="4">
                  <c:v>256.97211155378443</c:v>
                </c:pt>
                <c:pt idx="5">
                  <c:v>105.71428571428572</c:v>
                </c:pt>
                <c:pt idx="6">
                  <c:v>80.357142857142819</c:v>
                </c:pt>
                <c:pt idx="7">
                  <c:v>364.08450704225322</c:v>
                </c:pt>
                <c:pt idx="8">
                  <c:v>25.024342745861706</c:v>
                </c:pt>
                <c:pt idx="9">
                  <c:v>225</c:v>
                </c:pt>
                <c:pt idx="10">
                  <c:v>94.763092269326677</c:v>
                </c:pt>
                <c:pt idx="11">
                  <c:v>281.81041844577237</c:v>
                </c:pt>
                <c:pt idx="12">
                  <c:v>164.36525612472158</c:v>
                </c:pt>
                <c:pt idx="13">
                  <c:v>253.52112676056353</c:v>
                </c:pt>
                <c:pt idx="14">
                  <c:v>391.19170984455923</c:v>
                </c:pt>
                <c:pt idx="15">
                  <c:v>314.17624521072798</c:v>
                </c:pt>
                <c:pt idx="16">
                  <c:v>300.95371359133929</c:v>
                </c:pt>
                <c:pt idx="17">
                  <c:v>161.5497076023392</c:v>
                </c:pt>
                <c:pt idx="18">
                  <c:v>211.5384615384616</c:v>
                </c:pt>
                <c:pt idx="19">
                  <c:v>117.64705882352926</c:v>
                </c:pt>
                <c:pt idx="20">
                  <c:v>551.47986414361958</c:v>
                </c:pt>
                <c:pt idx="21">
                  <c:v>373.56549267906667</c:v>
                </c:pt>
                <c:pt idx="22">
                  <c:v>370.65239761267725</c:v>
                </c:pt>
                <c:pt idx="23">
                  <c:v>166.1184210526319</c:v>
                </c:pt>
                <c:pt idx="24">
                  <c:v>1000</c:v>
                </c:pt>
              </c:numCache>
            </c:numRef>
          </c:val>
          <c:smooth val="0"/>
        </c:ser>
        <c:dLbls>
          <c:showLegendKey val="0"/>
          <c:showVal val="0"/>
          <c:showCatName val="0"/>
          <c:showSerName val="0"/>
          <c:showPercent val="0"/>
          <c:showBubbleSize val="0"/>
        </c:dLbls>
        <c:hiLowLines/>
        <c:marker val="1"/>
        <c:smooth val="0"/>
        <c:axId val="253174528"/>
        <c:axId val="253176448"/>
      </c:lineChart>
      <c:catAx>
        <c:axId val="253174528"/>
        <c:scaling>
          <c:orientation val="minMax"/>
        </c:scaling>
        <c:delete val="0"/>
        <c:axPos val="b"/>
        <c:title>
          <c:tx>
            <c:rich>
              <a:bodyPr/>
              <a:lstStyle/>
              <a:p>
                <a:pPr>
                  <a:defRPr sz="800"/>
                </a:pPr>
                <a:r>
                  <a:rPr lang="es-EC" sz="800"/>
                  <a:t>Provincia de residencia habitual</a:t>
                </a:r>
              </a:p>
            </c:rich>
          </c:tx>
          <c:overlay val="0"/>
        </c:title>
        <c:majorTickMark val="out"/>
        <c:minorTickMark val="none"/>
        <c:tickLblPos val="nextTo"/>
        <c:spPr>
          <a:ln>
            <a:solidFill>
              <a:schemeClr val="tx1"/>
            </a:solidFill>
          </a:ln>
        </c:spPr>
        <c:txPr>
          <a:bodyPr rot="-5400000" vert="horz"/>
          <a:lstStyle/>
          <a:p>
            <a:pPr>
              <a:defRPr sz="600"/>
            </a:pPr>
            <a:endParaRPr lang="es-EC"/>
          </a:p>
        </c:txPr>
        <c:crossAx val="253176448"/>
        <c:crosses val="autoZero"/>
        <c:auto val="1"/>
        <c:lblAlgn val="ctr"/>
        <c:lblOffset val="100"/>
        <c:noMultiLvlLbl val="0"/>
      </c:catAx>
      <c:valAx>
        <c:axId val="253176448"/>
        <c:scaling>
          <c:orientation val="minMax"/>
          <c:max val="1200"/>
          <c:min val="0"/>
        </c:scaling>
        <c:delete val="0"/>
        <c:axPos val="l"/>
        <c:majorGridlines>
          <c:spPr>
            <a:ln>
              <a:solidFill>
                <a:schemeClr val="bg1">
                  <a:lumMod val="65000"/>
                </a:schemeClr>
              </a:solidFill>
              <a:prstDash val="dash"/>
            </a:ln>
          </c:spPr>
        </c:majorGridlines>
        <c:title>
          <c:tx>
            <c:rich>
              <a:bodyPr rot="-5400000" vert="horz"/>
              <a:lstStyle/>
              <a:p>
                <a:pPr>
                  <a:defRPr sz="700"/>
                </a:pPr>
                <a:r>
                  <a:rPr lang="es-EC" sz="700"/>
                  <a:t>Tasa por cada 1000 colombianos</a:t>
                </a:r>
              </a:p>
            </c:rich>
          </c:tx>
          <c:layout>
            <c:manualLayout>
              <c:xMode val="edge"/>
              <c:yMode val="edge"/>
              <c:x val="0"/>
              <c:y val="2.577613021044433E-3"/>
            </c:manualLayout>
          </c:layout>
          <c:overlay val="0"/>
        </c:title>
        <c:numFmt formatCode="0" sourceLinked="0"/>
        <c:majorTickMark val="out"/>
        <c:minorTickMark val="none"/>
        <c:tickLblPos val="nextTo"/>
        <c:spPr>
          <a:ln>
            <a:solidFill>
              <a:schemeClr val="tx1"/>
            </a:solidFill>
          </a:ln>
        </c:spPr>
        <c:crossAx val="253174528"/>
        <c:crosses val="autoZero"/>
        <c:crossBetween val="between"/>
        <c:majorUnit val="200"/>
      </c:valAx>
      <c:spPr>
        <a:noFill/>
        <a:ln>
          <a:solidFill>
            <a:schemeClr val="tx1"/>
          </a:solidFill>
        </a:ln>
      </c:spPr>
    </c:plotArea>
    <c:legend>
      <c:legendPos val="t"/>
      <c:layout>
        <c:manualLayout>
          <c:xMode val="edge"/>
          <c:yMode val="edge"/>
          <c:x val="0.48364619257757618"/>
          <c:y val="2.5682178657637691E-2"/>
          <c:w val="0.40947370589665366"/>
          <c:h val="6.3544518135595168E-2"/>
        </c:manualLayout>
      </c:layout>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3553302810514301"/>
        </c:manualLayout>
      </c:layout>
      <c:lineChart>
        <c:grouping val="standard"/>
        <c:varyColors val="0"/>
        <c:ser>
          <c:idx val="0"/>
          <c:order val="0"/>
          <c:tx>
            <c:strRef>
              <c:f>Perfil!$D$399</c:f>
              <c:strCache>
                <c:ptCount val="1"/>
                <c:pt idx="0">
                  <c:v>Área Urbana</c:v>
                </c:pt>
              </c:strCache>
            </c:strRef>
          </c:tx>
          <c:spPr>
            <a:ln w="19050">
              <a:solidFill>
                <a:srgbClr val="0070C0"/>
              </a:solidFill>
            </a:ln>
          </c:spPr>
          <c:marker>
            <c:symbol val="none"/>
          </c:marker>
          <c:cat>
            <c:strRef>
              <c:f>Perfil!$C$400:$C$421</c:f>
              <c:strCache>
                <c:ptCount val="22"/>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&gt; 100</c:v>
                </c:pt>
              </c:strCache>
            </c:strRef>
          </c:cat>
          <c:val>
            <c:numRef>
              <c:f>Perfil!$G$400:$G$421</c:f>
              <c:numCache>
                <c:formatCode>0.00</c:formatCode>
                <c:ptCount val="22"/>
                <c:pt idx="0">
                  <c:v>641.50943396226455</c:v>
                </c:pt>
                <c:pt idx="1">
                  <c:v>629.15407854984983</c:v>
                </c:pt>
                <c:pt idx="2">
                  <c:v>648.5168630637952</c:v>
                </c:pt>
                <c:pt idx="3">
                  <c:v>660.29792746113992</c:v>
                </c:pt>
                <c:pt idx="4">
                  <c:v>662.98177472363352</c:v>
                </c:pt>
                <c:pt idx="5">
                  <c:v>693.62559838750292</c:v>
                </c:pt>
                <c:pt idx="6">
                  <c:v>702.12765957446788</c:v>
                </c:pt>
                <c:pt idx="7">
                  <c:v>723.57723577235811</c:v>
                </c:pt>
                <c:pt idx="8">
                  <c:v>688.98372899439858</c:v>
                </c:pt>
                <c:pt idx="9">
                  <c:v>687.53781004234725</c:v>
                </c:pt>
                <c:pt idx="10">
                  <c:v>657.96019900497402</c:v>
                </c:pt>
                <c:pt idx="11">
                  <c:v>650.88757396449705</c:v>
                </c:pt>
                <c:pt idx="12">
                  <c:v>607.96545105566224</c:v>
                </c:pt>
                <c:pt idx="13">
                  <c:v>605.24632117722331</c:v>
                </c:pt>
                <c:pt idx="14">
                  <c:v>532.6768128916741</c:v>
                </c:pt>
                <c:pt idx="15">
                  <c:v>497.3045822102427</c:v>
                </c:pt>
                <c:pt idx="16">
                  <c:v>505.26315789473688</c:v>
                </c:pt>
                <c:pt idx="17">
                  <c:v>518.90034364261248</c:v>
                </c:pt>
                <c:pt idx="18">
                  <c:v>483.87096774193549</c:v>
                </c:pt>
                <c:pt idx="19">
                  <c:v>475.40983606557364</c:v>
                </c:pt>
                <c:pt idx="20">
                  <c:v>764.70588235294179</c:v>
                </c:pt>
                <c:pt idx="21">
                  <c:v>571.42857142857213</c:v>
                </c:pt>
              </c:numCache>
            </c:numRef>
          </c:val>
          <c:smooth val="1"/>
        </c:ser>
        <c:ser>
          <c:idx val="1"/>
          <c:order val="1"/>
          <c:tx>
            <c:strRef>
              <c:f>Perfil!$E$399</c:f>
              <c:strCache>
                <c:ptCount val="1"/>
                <c:pt idx="0">
                  <c:v>Área Rural</c:v>
                </c:pt>
              </c:strCache>
            </c:strRef>
          </c:tx>
          <c:spPr>
            <a:ln w="19050">
              <a:solidFill>
                <a:schemeClr val="accent6">
                  <a:lumMod val="75000"/>
                </a:schemeClr>
              </a:solidFill>
            </a:ln>
          </c:spPr>
          <c:marker>
            <c:symbol val="none"/>
          </c:marker>
          <c:cat>
            <c:strRef>
              <c:f>Perfil!$C$400:$C$421</c:f>
              <c:strCache>
                <c:ptCount val="22"/>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&gt; 100</c:v>
                </c:pt>
              </c:strCache>
            </c:strRef>
          </c:cat>
          <c:val>
            <c:numRef>
              <c:f>Perfil!$H$400:$H$421</c:f>
              <c:numCache>
                <c:formatCode>0.00</c:formatCode>
                <c:ptCount val="22"/>
                <c:pt idx="0">
                  <c:v>358.49056603773585</c:v>
                </c:pt>
                <c:pt idx="1">
                  <c:v>370.84592145015102</c:v>
                </c:pt>
                <c:pt idx="2">
                  <c:v>351.48313693620383</c:v>
                </c:pt>
                <c:pt idx="3">
                  <c:v>339.70207253886008</c:v>
                </c:pt>
                <c:pt idx="4">
                  <c:v>337.01822527636688</c:v>
                </c:pt>
                <c:pt idx="5">
                  <c:v>306.37440161249702</c:v>
                </c:pt>
                <c:pt idx="6">
                  <c:v>297.872340425532</c:v>
                </c:pt>
                <c:pt idx="7">
                  <c:v>276.42276422764229</c:v>
                </c:pt>
                <c:pt idx="8">
                  <c:v>311.01627100560125</c:v>
                </c:pt>
                <c:pt idx="9">
                  <c:v>312.46218995765219</c:v>
                </c:pt>
                <c:pt idx="10">
                  <c:v>342.0398009950249</c:v>
                </c:pt>
                <c:pt idx="11">
                  <c:v>349.11242603550335</c:v>
                </c:pt>
                <c:pt idx="12">
                  <c:v>392.03454894433764</c:v>
                </c:pt>
                <c:pt idx="13">
                  <c:v>394.75367882277675</c:v>
                </c:pt>
                <c:pt idx="14">
                  <c:v>467.3231871083259</c:v>
                </c:pt>
                <c:pt idx="15">
                  <c:v>502.69541778975747</c:v>
                </c:pt>
                <c:pt idx="16">
                  <c:v>494.73684210526312</c:v>
                </c:pt>
                <c:pt idx="17">
                  <c:v>481.09965635738826</c:v>
                </c:pt>
                <c:pt idx="18">
                  <c:v>516.12903225806542</c:v>
                </c:pt>
                <c:pt idx="19">
                  <c:v>524.5901639344263</c:v>
                </c:pt>
                <c:pt idx="20">
                  <c:v>235.29411764705878</c:v>
                </c:pt>
                <c:pt idx="21">
                  <c:v>428.57142857142856</c:v>
                </c:pt>
              </c:numCache>
            </c:numRef>
          </c:val>
          <c:smooth val="1"/>
        </c:ser>
        <c:dLbls>
          <c:showLegendKey val="0"/>
          <c:showVal val="0"/>
          <c:showCatName val="0"/>
          <c:showSerName val="0"/>
          <c:showPercent val="0"/>
          <c:showBubbleSize val="0"/>
        </c:dLbls>
        <c:marker val="1"/>
        <c:smooth val="0"/>
        <c:axId val="253227392"/>
        <c:axId val="253229312"/>
      </c:lineChart>
      <c:catAx>
        <c:axId val="253227392"/>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53229312"/>
        <c:crosses val="autoZero"/>
        <c:auto val="1"/>
        <c:lblAlgn val="ctr"/>
        <c:lblOffset val="100"/>
        <c:noMultiLvlLbl val="0"/>
      </c:catAx>
      <c:valAx>
        <c:axId val="253229312"/>
        <c:scaling>
          <c:orientation val="minMax"/>
          <c:max val="1000"/>
          <c:min val="0"/>
        </c:scaling>
        <c:delete val="0"/>
        <c:axPos val="l"/>
        <c:title>
          <c:tx>
            <c:rich>
              <a:bodyPr rot="-5400000" vert="horz"/>
              <a:lstStyle/>
              <a:p>
                <a:pPr>
                  <a:defRPr sz="600"/>
                </a:pPr>
                <a:r>
                  <a:rPr lang="es-EC" sz="600"/>
                  <a:t>Tasa por</a:t>
                </a:r>
                <a:r>
                  <a:rPr lang="es-EC" sz="600" baseline="0"/>
                  <a:t> cada 1000 colombianos</a:t>
                </a:r>
                <a:endParaRPr lang="es-EC" sz="600"/>
              </a:p>
            </c:rich>
          </c:tx>
          <c:layout>
            <c:manualLayout>
              <c:xMode val="edge"/>
              <c:yMode val="edge"/>
              <c:x val="0"/>
              <c:y val="4.6711752435692165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53227392"/>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3553302810514301"/>
        </c:manualLayout>
      </c:layout>
      <c:lineChart>
        <c:grouping val="standard"/>
        <c:varyColors val="0"/>
        <c:ser>
          <c:idx val="0"/>
          <c:order val="0"/>
          <c:tx>
            <c:strRef>
              <c:f>Perfil!$D$399</c:f>
              <c:strCache>
                <c:ptCount val="1"/>
                <c:pt idx="0">
                  <c:v>Área Urbana</c:v>
                </c:pt>
              </c:strCache>
            </c:strRef>
          </c:tx>
          <c:spPr>
            <a:ln w="19050">
              <a:solidFill>
                <a:srgbClr val="0070C0"/>
              </a:solidFill>
            </a:ln>
          </c:spPr>
          <c:marker>
            <c:symbol val="none"/>
          </c:marker>
          <c:cat>
            <c:strRef>
              <c:f>Perfil!$C$400:$C$421</c:f>
              <c:strCache>
                <c:ptCount val="22"/>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&gt; 100</c:v>
                </c:pt>
              </c:strCache>
            </c:strRef>
          </c:cat>
          <c:val>
            <c:numRef>
              <c:f>Perfil!$G$423:$G$444</c:f>
              <c:numCache>
                <c:formatCode>0.00</c:formatCode>
                <c:ptCount val="22"/>
                <c:pt idx="0">
                  <c:v>618.42105263157896</c:v>
                </c:pt>
                <c:pt idx="1">
                  <c:v>649.69604863221889</c:v>
                </c:pt>
                <c:pt idx="2">
                  <c:v>631.18189438390618</c:v>
                </c:pt>
                <c:pt idx="3">
                  <c:v>653.98855604173673</c:v>
                </c:pt>
                <c:pt idx="4">
                  <c:v>691.03369503141039</c:v>
                </c:pt>
                <c:pt idx="5">
                  <c:v>721.60782645682684</c:v>
                </c:pt>
                <c:pt idx="6">
                  <c:v>737.78966131907305</c:v>
                </c:pt>
                <c:pt idx="7">
                  <c:v>738.28278849940921</c:v>
                </c:pt>
                <c:pt idx="8">
                  <c:v>710.41139967823483</c:v>
                </c:pt>
                <c:pt idx="9">
                  <c:v>709.94546870942531</c:v>
                </c:pt>
                <c:pt idx="10">
                  <c:v>723.03921568627447</c:v>
                </c:pt>
                <c:pt idx="11">
                  <c:v>707.44494931842019</c:v>
                </c:pt>
                <c:pt idx="12">
                  <c:v>706.1085006407526</c:v>
                </c:pt>
                <c:pt idx="13">
                  <c:v>663.10496543054683</c:v>
                </c:pt>
                <c:pt idx="14">
                  <c:v>612.39078633836459</c:v>
                </c:pt>
                <c:pt idx="15">
                  <c:v>631.23359580052499</c:v>
                </c:pt>
                <c:pt idx="16">
                  <c:v>593.63957597173226</c:v>
                </c:pt>
                <c:pt idx="17">
                  <c:v>577.41935483870941</c:v>
                </c:pt>
                <c:pt idx="18">
                  <c:v>587.87878787878867</c:v>
                </c:pt>
                <c:pt idx="19">
                  <c:v>590.90909090909167</c:v>
                </c:pt>
                <c:pt idx="20">
                  <c:v>833.3333333333336</c:v>
                </c:pt>
                <c:pt idx="21">
                  <c:v>615.38461538461547</c:v>
                </c:pt>
              </c:numCache>
            </c:numRef>
          </c:val>
          <c:smooth val="1"/>
        </c:ser>
        <c:ser>
          <c:idx val="1"/>
          <c:order val="1"/>
          <c:tx>
            <c:strRef>
              <c:f>Perfil!$E$399</c:f>
              <c:strCache>
                <c:ptCount val="1"/>
                <c:pt idx="0">
                  <c:v>Área Rural</c:v>
                </c:pt>
              </c:strCache>
            </c:strRef>
          </c:tx>
          <c:spPr>
            <a:ln w="19050">
              <a:solidFill>
                <a:schemeClr val="accent6">
                  <a:lumMod val="75000"/>
                </a:schemeClr>
              </a:solidFill>
            </a:ln>
          </c:spPr>
          <c:marker>
            <c:symbol val="none"/>
          </c:marker>
          <c:cat>
            <c:strRef>
              <c:f>Perfil!$C$400:$C$421</c:f>
              <c:strCache>
                <c:ptCount val="22"/>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&gt; 100</c:v>
                </c:pt>
              </c:strCache>
            </c:strRef>
          </c:cat>
          <c:val>
            <c:numRef>
              <c:f>Perfil!$H$423:$H$444</c:f>
              <c:numCache>
                <c:formatCode>0.00</c:formatCode>
                <c:ptCount val="22"/>
                <c:pt idx="0">
                  <c:v>381.5789473684211</c:v>
                </c:pt>
                <c:pt idx="1">
                  <c:v>350.30395136778117</c:v>
                </c:pt>
                <c:pt idx="2">
                  <c:v>368.81810561609393</c:v>
                </c:pt>
                <c:pt idx="3">
                  <c:v>346.01144395826287</c:v>
                </c:pt>
                <c:pt idx="4">
                  <c:v>308.96630496858842</c:v>
                </c:pt>
                <c:pt idx="5">
                  <c:v>278.39217354317276</c:v>
                </c:pt>
                <c:pt idx="6">
                  <c:v>262.2103386809269</c:v>
                </c:pt>
                <c:pt idx="7">
                  <c:v>261.71721150059045</c:v>
                </c:pt>
                <c:pt idx="8">
                  <c:v>289.58860032176551</c:v>
                </c:pt>
                <c:pt idx="9">
                  <c:v>290.05453129057389</c:v>
                </c:pt>
                <c:pt idx="10">
                  <c:v>276.96078431372598</c:v>
                </c:pt>
                <c:pt idx="11">
                  <c:v>292.55505068157964</c:v>
                </c:pt>
                <c:pt idx="12">
                  <c:v>293.8914993592482</c:v>
                </c:pt>
                <c:pt idx="13">
                  <c:v>336.89503456945317</c:v>
                </c:pt>
                <c:pt idx="14">
                  <c:v>387.60921366163632</c:v>
                </c:pt>
                <c:pt idx="15">
                  <c:v>368.76640419947506</c:v>
                </c:pt>
                <c:pt idx="16">
                  <c:v>406.36042402826871</c:v>
                </c:pt>
                <c:pt idx="17">
                  <c:v>422.58064516129025</c:v>
                </c:pt>
                <c:pt idx="18">
                  <c:v>412.12121212121195</c:v>
                </c:pt>
                <c:pt idx="19">
                  <c:v>409.09090909090895</c:v>
                </c:pt>
                <c:pt idx="20">
                  <c:v>166.66666666666652</c:v>
                </c:pt>
                <c:pt idx="21">
                  <c:v>384.6153846153847</c:v>
                </c:pt>
              </c:numCache>
            </c:numRef>
          </c:val>
          <c:smooth val="1"/>
        </c:ser>
        <c:dLbls>
          <c:showLegendKey val="0"/>
          <c:showVal val="0"/>
          <c:showCatName val="0"/>
          <c:showSerName val="0"/>
          <c:showPercent val="0"/>
          <c:showBubbleSize val="0"/>
        </c:dLbls>
        <c:marker val="1"/>
        <c:smooth val="0"/>
        <c:axId val="235694720"/>
        <c:axId val="235696896"/>
      </c:lineChart>
      <c:catAx>
        <c:axId val="235694720"/>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35696896"/>
        <c:crosses val="autoZero"/>
        <c:auto val="1"/>
        <c:lblAlgn val="ctr"/>
        <c:lblOffset val="100"/>
        <c:noMultiLvlLbl val="0"/>
      </c:catAx>
      <c:valAx>
        <c:axId val="235696896"/>
        <c:scaling>
          <c:orientation val="minMax"/>
          <c:max val="1000"/>
          <c:min val="0"/>
        </c:scaling>
        <c:delete val="0"/>
        <c:axPos val="l"/>
        <c:title>
          <c:tx>
            <c:rich>
              <a:bodyPr rot="-5400000" vert="horz"/>
              <a:lstStyle/>
              <a:p>
                <a:pPr>
                  <a:defRPr sz="600"/>
                </a:pPr>
                <a:r>
                  <a:rPr lang="es-EC" sz="600"/>
                  <a:t>Tasa por</a:t>
                </a:r>
                <a:r>
                  <a:rPr lang="es-EC" sz="600" baseline="0"/>
                  <a:t> cada 1000 colombianos</a:t>
                </a:r>
                <a:endParaRPr lang="es-EC" sz="600"/>
              </a:p>
            </c:rich>
          </c:tx>
          <c:layout>
            <c:manualLayout>
              <c:xMode val="edge"/>
              <c:yMode val="edge"/>
              <c:x val="0"/>
              <c:y val="5.3126120620425973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3569472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6947817963441"/>
          <c:y val="8.6274456523417364E-2"/>
          <c:w val="0.7878635170603675"/>
          <c:h val="0.5479847769028876"/>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700"/>
                </a:pPr>
                <a:endParaRPr lang="es-EC"/>
              </a:p>
            </c:txPr>
            <c:dLblPos val="outEnd"/>
            <c:showLegendKey val="0"/>
            <c:showVal val="1"/>
            <c:showCatName val="0"/>
            <c:showSerName val="0"/>
            <c:showPercent val="0"/>
            <c:showBubbleSize val="0"/>
            <c:showLeaderLines val="0"/>
          </c:dLbls>
          <c:cat>
            <c:strRef>
              <c:f>AñoLlegó!$I$3:$I$9</c:f>
              <c:strCache>
                <c:ptCount val="7"/>
                <c:pt idx="0">
                  <c:v>Menos de 1</c:v>
                </c:pt>
                <c:pt idx="1">
                  <c:v>[1 - 20)</c:v>
                </c:pt>
                <c:pt idx="2">
                  <c:v>[20 - 40)</c:v>
                </c:pt>
                <c:pt idx="3">
                  <c:v>[40 - 60)</c:v>
                </c:pt>
                <c:pt idx="4">
                  <c:v>[60 - 80)</c:v>
                </c:pt>
                <c:pt idx="5">
                  <c:v>[80 - 100]</c:v>
                </c:pt>
                <c:pt idx="6">
                  <c:v>No declarado</c:v>
                </c:pt>
              </c:strCache>
            </c:strRef>
          </c:cat>
          <c:val>
            <c:numRef>
              <c:f>AñoLlegó!$J$3:$J$9</c:f>
              <c:numCache>
                <c:formatCode>0,000</c:formatCode>
                <c:ptCount val="7"/>
                <c:pt idx="0">
                  <c:v>0.12151538401663507</c:v>
                </c:pt>
                <c:pt idx="1">
                  <c:v>0.54298295359775828</c:v>
                </c:pt>
                <c:pt idx="2">
                  <c:v>0.12628570793163638</c:v>
                </c:pt>
                <c:pt idx="3">
                  <c:v>4.6368882810154451E-2</c:v>
                </c:pt>
                <c:pt idx="4">
                  <c:v>1.0652611446553469E-2</c:v>
                </c:pt>
                <c:pt idx="5">
                  <c:v>9.4516907406789791E-4</c:v>
                </c:pt>
                <c:pt idx="6">
                  <c:v>0.15124929112319493</c:v>
                </c:pt>
              </c:numCache>
            </c:numRef>
          </c:val>
        </c:ser>
        <c:dLbls>
          <c:showLegendKey val="0"/>
          <c:showVal val="1"/>
          <c:showCatName val="0"/>
          <c:showSerName val="0"/>
          <c:showPercent val="0"/>
          <c:showBubbleSize val="0"/>
        </c:dLbls>
        <c:gapWidth val="30"/>
        <c:axId val="235711872"/>
        <c:axId val="235731584"/>
      </c:barChart>
      <c:catAx>
        <c:axId val="235711872"/>
        <c:scaling>
          <c:orientation val="minMax"/>
        </c:scaling>
        <c:delete val="0"/>
        <c:axPos val="b"/>
        <c:title>
          <c:tx>
            <c:rich>
              <a:bodyPr/>
              <a:lstStyle/>
              <a:p>
                <a:pPr>
                  <a:defRPr/>
                </a:pPr>
                <a:r>
                  <a:rPr lang="es-EC"/>
                  <a:t>Años de residencia en Ecuador</a:t>
                </a:r>
              </a:p>
            </c:rich>
          </c:tx>
          <c:overlay val="0"/>
        </c:title>
        <c:numFmt formatCode="General" sourceLinked="1"/>
        <c:majorTickMark val="out"/>
        <c:minorTickMark val="none"/>
        <c:tickLblPos val="low"/>
        <c:spPr>
          <a:ln>
            <a:solidFill>
              <a:schemeClr val="tx1"/>
            </a:solidFill>
          </a:ln>
        </c:spPr>
        <c:txPr>
          <a:bodyPr rot="-5400000" vert="horz"/>
          <a:lstStyle/>
          <a:p>
            <a:pPr>
              <a:defRPr sz="700"/>
            </a:pPr>
            <a:endParaRPr lang="es-EC"/>
          </a:p>
        </c:txPr>
        <c:crossAx val="235731584"/>
        <c:crosses val="autoZero"/>
        <c:auto val="1"/>
        <c:lblAlgn val="ctr"/>
        <c:lblOffset val="100"/>
        <c:noMultiLvlLbl val="0"/>
      </c:catAx>
      <c:valAx>
        <c:axId val="235731584"/>
        <c:scaling>
          <c:orientation val="minMax"/>
          <c:max val="1"/>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low"/>
        <c:spPr>
          <a:ln>
            <a:solidFill>
              <a:schemeClr val="tx1"/>
            </a:solidFill>
          </a:ln>
        </c:spPr>
        <c:crossAx val="235711872"/>
        <c:crossesAt val="1"/>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212815990593797E-2"/>
          <c:y val="5.0925925925925923E-2"/>
          <c:w val="0.88745569832871463"/>
          <c:h val="0.57106955380577462"/>
        </c:manualLayout>
      </c:layout>
      <c:barChart>
        <c:barDir val="col"/>
        <c:grouping val="clustered"/>
        <c:varyColors val="0"/>
        <c:ser>
          <c:idx val="0"/>
          <c:order val="0"/>
          <c:tx>
            <c:strRef>
              <c:f>Perfil!$F$367</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Perfil!$B$368:$B$392</c:f>
              <c:strCache>
                <c:ptCount val="25"/>
                <c:pt idx="0">
                  <c:v>Azuay</c:v>
                </c:pt>
                <c:pt idx="1">
                  <c:v>Bolívar</c:v>
                </c:pt>
                <c:pt idx="2">
                  <c:v>Cañar</c:v>
                </c:pt>
                <c:pt idx="3">
                  <c:v>Carchi</c:v>
                </c:pt>
                <c:pt idx="4">
                  <c:v>Cotopaxi</c:v>
                </c:pt>
                <c:pt idx="5">
                  <c:v>Chimborazo</c:v>
                </c:pt>
                <c:pt idx="6">
                  <c:v>El Oro</c:v>
                </c:pt>
                <c:pt idx="7">
                  <c:v>Esmeraldas</c:v>
                </c:pt>
                <c:pt idx="8">
                  <c:v>Guayas</c:v>
                </c:pt>
                <c:pt idx="9">
                  <c:v>Imbabura</c:v>
                </c:pt>
                <c:pt idx="10">
                  <c:v>Loja</c:v>
                </c:pt>
                <c:pt idx="11">
                  <c:v>Los Ríos</c:v>
                </c:pt>
                <c:pt idx="12">
                  <c:v>Manabí</c:v>
                </c:pt>
                <c:pt idx="13">
                  <c:v>Morona Santiago</c:v>
                </c:pt>
                <c:pt idx="14">
                  <c:v>Napo</c:v>
                </c:pt>
                <c:pt idx="15">
                  <c:v>Pastaza</c:v>
                </c:pt>
                <c:pt idx="16">
                  <c:v>Pichincha</c:v>
                </c:pt>
                <c:pt idx="17">
                  <c:v>Tungurahua</c:v>
                </c:pt>
                <c:pt idx="18">
                  <c:v>Zamora Chinchipe</c:v>
                </c:pt>
                <c:pt idx="19">
                  <c:v>Galápagos</c:v>
                </c:pt>
                <c:pt idx="20">
                  <c:v>Sucumbíos</c:v>
                </c:pt>
                <c:pt idx="21">
                  <c:v>Orellana</c:v>
                </c:pt>
                <c:pt idx="22">
                  <c:v>Santo Domingo</c:v>
                </c:pt>
                <c:pt idx="23">
                  <c:v>Santa Elena</c:v>
                </c:pt>
                <c:pt idx="24">
                  <c:v>Zonas No Delimitadas</c:v>
                </c:pt>
              </c:strCache>
            </c:strRef>
          </c:cat>
          <c:val>
            <c:numRef>
              <c:f>Perfil!$F$368:$F$392</c:f>
              <c:numCache>
                <c:formatCode>0.00</c:formatCode>
                <c:ptCount val="25"/>
                <c:pt idx="0">
                  <c:v>107.8125</c:v>
                </c:pt>
                <c:pt idx="1">
                  <c:v>119.56521739130434</c:v>
                </c:pt>
                <c:pt idx="2">
                  <c:v>103.47826086956522</c:v>
                </c:pt>
                <c:pt idx="3">
                  <c:v>116.55518394648821</c:v>
                </c:pt>
                <c:pt idx="4">
                  <c:v>100</c:v>
                </c:pt>
                <c:pt idx="5">
                  <c:v>141.37931034482759</c:v>
                </c:pt>
                <c:pt idx="6">
                  <c:v>102.40963855421687</c:v>
                </c:pt>
                <c:pt idx="7">
                  <c:v>91.58121964382093</c:v>
                </c:pt>
                <c:pt idx="8">
                  <c:v>101.17531831537698</c:v>
                </c:pt>
                <c:pt idx="9">
                  <c:v>123.3766233766233</c:v>
                </c:pt>
                <c:pt idx="10">
                  <c:v>111.05263157894736</c:v>
                </c:pt>
                <c:pt idx="11">
                  <c:v>93.234323432343331</c:v>
                </c:pt>
                <c:pt idx="12">
                  <c:v>91.389599317988058</c:v>
                </c:pt>
                <c:pt idx="13">
                  <c:v>75.308641975308646</c:v>
                </c:pt>
                <c:pt idx="14">
                  <c:v>95.939086294416242</c:v>
                </c:pt>
                <c:pt idx="15">
                  <c:v>107.14285714285704</c:v>
                </c:pt>
                <c:pt idx="16">
                  <c:v>125.5939524838013</c:v>
                </c:pt>
                <c:pt idx="17">
                  <c:v>114.42006269592477</c:v>
                </c:pt>
                <c:pt idx="18">
                  <c:v>80.869565217391298</c:v>
                </c:pt>
                <c:pt idx="19">
                  <c:v>240</c:v>
                </c:pt>
                <c:pt idx="20">
                  <c:v>109.45121951219512</c:v>
                </c:pt>
                <c:pt idx="21">
                  <c:v>107.13114754098358</c:v>
                </c:pt>
                <c:pt idx="22">
                  <c:v>103.98824517212415</c:v>
                </c:pt>
                <c:pt idx="23">
                  <c:v>101.32450331125828</c:v>
                </c:pt>
                <c:pt idx="24">
                  <c:v>100</c:v>
                </c:pt>
              </c:numCache>
            </c:numRef>
          </c:val>
        </c:ser>
        <c:dLbls>
          <c:showLegendKey val="0"/>
          <c:showVal val="0"/>
          <c:showCatName val="0"/>
          <c:showSerName val="0"/>
          <c:showPercent val="0"/>
          <c:showBubbleSize val="0"/>
        </c:dLbls>
        <c:gapWidth val="40"/>
        <c:axId val="253234560"/>
        <c:axId val="253257216"/>
      </c:barChart>
      <c:lineChart>
        <c:grouping val="standard"/>
        <c:varyColors val="0"/>
        <c:ser>
          <c:idx val="1"/>
          <c:order val="1"/>
          <c:tx>
            <c:strRef>
              <c:f>Perfil!$G$367</c:f>
              <c:strCache>
                <c:ptCount val="1"/>
                <c:pt idx="0">
                  <c:v>100 Hombres</c:v>
                </c:pt>
              </c:strCache>
            </c:strRef>
          </c:tx>
          <c:spPr>
            <a:ln w="19050">
              <a:solidFill>
                <a:schemeClr val="tx1"/>
              </a:solidFill>
            </a:ln>
          </c:spPr>
          <c:marker>
            <c:symbol val="none"/>
          </c:marker>
          <c:val>
            <c:numRef>
              <c:f>Perfil!$G$368:$G$392</c:f>
              <c:numCache>
                <c:formatCode>General</c:formatCode>
                <c:ptCount val="2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numCache>
            </c:numRef>
          </c:val>
          <c:smooth val="0"/>
        </c:ser>
        <c:dLbls>
          <c:showLegendKey val="0"/>
          <c:showVal val="0"/>
          <c:showCatName val="0"/>
          <c:showSerName val="0"/>
          <c:showPercent val="0"/>
          <c:showBubbleSize val="0"/>
        </c:dLbls>
        <c:marker val="1"/>
        <c:smooth val="0"/>
        <c:axId val="253234560"/>
        <c:axId val="253257216"/>
      </c:lineChart>
      <c:catAx>
        <c:axId val="253234560"/>
        <c:scaling>
          <c:orientation val="minMax"/>
        </c:scaling>
        <c:delete val="0"/>
        <c:axPos val="b"/>
        <c:title>
          <c:tx>
            <c:rich>
              <a:bodyPr/>
              <a:lstStyle/>
              <a:p>
                <a:pPr>
                  <a:defRPr sz="800"/>
                </a:pPr>
                <a:r>
                  <a:rPr lang="es-EC" sz="800"/>
                  <a:t>Provincia de residencia</a:t>
                </a:r>
                <a:r>
                  <a:rPr lang="es-EC" sz="800" baseline="0"/>
                  <a:t> habitual</a:t>
                </a:r>
                <a:endParaRPr lang="es-EC" sz="800"/>
              </a:p>
            </c:rich>
          </c:tx>
          <c:layout>
            <c:manualLayout>
              <c:xMode val="edge"/>
              <c:yMode val="edge"/>
              <c:x val="0.35589396325459377"/>
              <c:y val="0.90611571379664457"/>
            </c:manualLayout>
          </c:layout>
          <c:overlay val="0"/>
        </c:title>
        <c:majorTickMark val="out"/>
        <c:minorTickMark val="none"/>
        <c:tickLblPos val="nextTo"/>
        <c:spPr>
          <a:ln>
            <a:solidFill>
              <a:schemeClr val="tx1"/>
            </a:solidFill>
          </a:ln>
        </c:spPr>
        <c:txPr>
          <a:bodyPr rot="-5400000" vert="horz"/>
          <a:lstStyle/>
          <a:p>
            <a:pPr>
              <a:defRPr sz="600"/>
            </a:pPr>
            <a:endParaRPr lang="es-EC"/>
          </a:p>
        </c:txPr>
        <c:crossAx val="253257216"/>
        <c:crosses val="autoZero"/>
        <c:auto val="1"/>
        <c:lblAlgn val="ctr"/>
        <c:lblOffset val="100"/>
        <c:noMultiLvlLbl val="0"/>
      </c:catAx>
      <c:valAx>
        <c:axId val="253257216"/>
        <c:scaling>
          <c:orientation val="minMax"/>
          <c:max val="250"/>
          <c:min val="0"/>
        </c:scaling>
        <c:delete val="0"/>
        <c:axPos val="l"/>
        <c:title>
          <c:tx>
            <c:rich>
              <a:bodyPr rot="-5400000" vert="horz"/>
              <a:lstStyle/>
              <a:p>
                <a:pPr>
                  <a:defRPr sz="800"/>
                </a:pPr>
                <a:r>
                  <a:rPr lang="es-EC" sz="800"/>
                  <a:t>Índice de Feminidad</a:t>
                </a:r>
              </a:p>
            </c:rich>
          </c:tx>
          <c:overlay val="0"/>
        </c:title>
        <c:numFmt formatCode="0" sourceLinked="0"/>
        <c:majorTickMark val="out"/>
        <c:minorTickMark val="none"/>
        <c:tickLblPos val="nextTo"/>
        <c:spPr>
          <a:ln>
            <a:solidFill>
              <a:schemeClr val="tx1"/>
            </a:solidFill>
          </a:ln>
        </c:spPr>
        <c:crossAx val="253234560"/>
        <c:crosses val="autoZero"/>
        <c:crossBetween val="between"/>
        <c:majorUnit val="50"/>
      </c:valAx>
      <c:spPr>
        <a:noFill/>
        <a:ln>
          <a:solidFill>
            <a:schemeClr val="tx1"/>
          </a:solidFill>
        </a:ln>
      </c:spPr>
    </c:plotArea>
    <c:legend>
      <c:legendPos val="t"/>
      <c:layout>
        <c:manualLayout>
          <c:xMode val="edge"/>
          <c:yMode val="edge"/>
          <c:x val="0.12708595783992621"/>
          <c:y val="5.5555555555555483E-2"/>
          <c:w val="0.6178361468044008"/>
          <c:h val="6.3619495479731711E-2"/>
        </c:manualLayout>
      </c:layout>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19508275751261"/>
          <c:y val="4.5407636738906167E-2"/>
          <c:w val="0.80797857410680862"/>
          <c:h val="0.85883068022070064"/>
        </c:manualLayout>
      </c:layout>
      <c:barChart>
        <c:barDir val="bar"/>
        <c:grouping val="stacked"/>
        <c:varyColors val="0"/>
        <c:ser>
          <c:idx val="0"/>
          <c:order val="0"/>
          <c:spPr>
            <a:solidFill>
              <a:schemeClr val="accent5">
                <a:lumMod val="40000"/>
                <a:lumOff val="60000"/>
              </a:schemeClr>
            </a:solidFill>
            <a:ln>
              <a:solidFill>
                <a:schemeClr val="accent5">
                  <a:lumMod val="75000"/>
                </a:schemeClr>
              </a:solidFill>
            </a:ln>
          </c:spPr>
          <c:invertIfNegative val="0"/>
          <c:cat>
            <c:strRef>
              <c:f>[CAPITULO2.xlsx]Inmigrantes_Guayaquil!$G$36:$G$57</c:f>
              <c:strCache>
                <c:ptCount val="22"/>
                <c:pt idx="0">
                  <c:v>Menores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Más de 100</c:v>
                </c:pt>
              </c:strCache>
            </c:strRef>
          </c:cat>
          <c:val>
            <c:numRef>
              <c:f>Perfil!$F$56:$F$77</c:f>
              <c:numCache>
                <c:formatCode>0,000</c:formatCode>
                <c:ptCount val="22"/>
                <c:pt idx="0">
                  <c:v>-1.1786814335434962E-3</c:v>
                </c:pt>
                <c:pt idx="1">
                  <c:v>-1.4722398283128183E-2</c:v>
                </c:pt>
                <c:pt idx="2">
                  <c:v>-2.736542460330698E-2</c:v>
                </c:pt>
                <c:pt idx="3">
                  <c:v>-3.4337436479078415E-2</c:v>
                </c:pt>
                <c:pt idx="4">
                  <c:v>-3.7217422245944112E-2</c:v>
                </c:pt>
                <c:pt idx="5">
                  <c:v>-4.41338359408881E-2</c:v>
                </c:pt>
                <c:pt idx="6">
                  <c:v>-5.2262289977872002E-2</c:v>
                </c:pt>
                <c:pt idx="7">
                  <c:v>-4.650231844414051E-2</c:v>
                </c:pt>
                <c:pt idx="8">
                  <c:v>-4.1687515984476987E-2</c:v>
                </c:pt>
                <c:pt idx="9">
                  <c:v>-3.6761517163158432E-2</c:v>
                </c:pt>
                <c:pt idx="10">
                  <c:v>-3.5760749908263001E-2</c:v>
                </c:pt>
                <c:pt idx="11">
                  <c:v>-2.8188277679554376E-2</c:v>
                </c:pt>
                <c:pt idx="12">
                  <c:v>-2.3173321768911754E-2</c:v>
                </c:pt>
                <c:pt idx="13">
                  <c:v>-1.7379991326683792E-2</c:v>
                </c:pt>
                <c:pt idx="14">
                  <c:v>-1.2420633596868721E-2</c:v>
                </c:pt>
                <c:pt idx="15">
                  <c:v>-8.2507700348044728E-3</c:v>
                </c:pt>
                <c:pt idx="16">
                  <c:v>-5.2818271786147274E-3</c:v>
                </c:pt>
                <c:pt idx="17">
                  <c:v>-3.2358141241618592E-3</c:v>
                </c:pt>
                <c:pt idx="18">
                  <c:v>-1.3788348845225798E-3</c:v>
                </c:pt>
                <c:pt idx="19">
                  <c:v>-6.782978060957853E-4</c:v>
                </c:pt>
                <c:pt idx="20">
                  <c:v>-1.8903381481357966E-4</c:v>
                </c:pt>
                <c:pt idx="21">
                  <c:v>-7.7837453158532854E-5</c:v>
                </c:pt>
              </c:numCache>
            </c:numRef>
          </c:val>
        </c:ser>
        <c:ser>
          <c:idx val="1"/>
          <c:order val="1"/>
          <c:spPr>
            <a:solidFill>
              <a:schemeClr val="accent6">
                <a:lumMod val="60000"/>
                <a:lumOff val="40000"/>
              </a:schemeClr>
            </a:solidFill>
            <a:ln>
              <a:solidFill>
                <a:schemeClr val="accent6">
                  <a:lumMod val="75000"/>
                </a:schemeClr>
              </a:solidFill>
            </a:ln>
          </c:spPr>
          <c:invertIfNegative val="0"/>
          <c:cat>
            <c:strRef>
              <c:f>[CAPITULO2.xlsx]Inmigrantes_Guayaquil!$G$36:$G$57</c:f>
              <c:strCache>
                <c:ptCount val="22"/>
                <c:pt idx="0">
                  <c:v>Menores de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Más de 100</c:v>
                </c:pt>
              </c:strCache>
            </c:strRef>
          </c:cat>
          <c:val>
            <c:numRef>
              <c:f>Perfil!$G$56:$G$77</c:f>
              <c:numCache>
                <c:formatCode>0,000</c:formatCode>
                <c:ptCount val="22"/>
                <c:pt idx="0">
                  <c:v>8.4509234857835464E-4</c:v>
                </c:pt>
                <c:pt idx="1">
                  <c:v>1.463344119380414E-2</c:v>
                </c:pt>
                <c:pt idx="2">
                  <c:v>2.653145189089413E-2</c:v>
                </c:pt>
                <c:pt idx="3">
                  <c:v>3.3036439047714375E-2</c:v>
                </c:pt>
                <c:pt idx="4">
                  <c:v>3.8940965851597335E-2</c:v>
                </c:pt>
                <c:pt idx="5">
                  <c:v>5.2284529250202931E-2</c:v>
                </c:pt>
                <c:pt idx="6">
                  <c:v>6.238115888848117E-2</c:v>
                </c:pt>
                <c:pt idx="7">
                  <c:v>5.6465512448432703E-2</c:v>
                </c:pt>
                <c:pt idx="8">
                  <c:v>4.8381536956110888E-2</c:v>
                </c:pt>
                <c:pt idx="9">
                  <c:v>4.2821718873358464E-2</c:v>
                </c:pt>
                <c:pt idx="10">
                  <c:v>4.0831303999733178E-2</c:v>
                </c:pt>
                <c:pt idx="11">
                  <c:v>3.1813279069508885E-2</c:v>
                </c:pt>
                <c:pt idx="12">
                  <c:v>2.6031068263446446E-2</c:v>
                </c:pt>
                <c:pt idx="13">
                  <c:v>1.7691341139317921E-2</c:v>
                </c:pt>
                <c:pt idx="14">
                  <c:v>1.3999621932370377E-2</c:v>
                </c:pt>
                <c:pt idx="15">
                  <c:v>8.4731627581145566E-3</c:v>
                </c:pt>
                <c:pt idx="16">
                  <c:v>6.29371406967564E-3</c:v>
                </c:pt>
                <c:pt idx="17">
                  <c:v>3.447087211306453E-3</c:v>
                </c:pt>
                <c:pt idx="18">
                  <c:v>1.8347399673082716E-3</c:v>
                </c:pt>
                <c:pt idx="19">
                  <c:v>7.3389598692330852E-4</c:v>
                </c:pt>
                <c:pt idx="20">
                  <c:v>2.0015345097908432E-4</c:v>
                </c:pt>
                <c:pt idx="21">
                  <c:v>1.4455527015156086E-4</c:v>
                </c:pt>
              </c:numCache>
            </c:numRef>
          </c:val>
        </c:ser>
        <c:dLbls>
          <c:showLegendKey val="0"/>
          <c:showVal val="0"/>
          <c:showCatName val="0"/>
          <c:showSerName val="0"/>
          <c:showPercent val="0"/>
          <c:showBubbleSize val="0"/>
        </c:dLbls>
        <c:gapWidth val="0"/>
        <c:overlap val="100"/>
        <c:axId val="253283328"/>
        <c:axId val="253564032"/>
      </c:barChart>
      <c:catAx>
        <c:axId val="253283328"/>
        <c:scaling>
          <c:orientation val="minMax"/>
        </c:scaling>
        <c:delete val="0"/>
        <c:axPos val="l"/>
        <c:title>
          <c:tx>
            <c:rich>
              <a:bodyPr rot="-5400000" vert="horz"/>
              <a:lstStyle/>
              <a:p>
                <a:pPr>
                  <a:defRPr sz="800"/>
                </a:pPr>
                <a:r>
                  <a:rPr lang="es-EC" sz="800"/>
                  <a:t>Grupos Etarios</a:t>
                </a:r>
              </a:p>
            </c:rich>
          </c:tx>
          <c:overlay val="0"/>
        </c:title>
        <c:majorTickMark val="out"/>
        <c:minorTickMark val="none"/>
        <c:tickLblPos val="nextTo"/>
        <c:spPr>
          <a:ln>
            <a:solidFill>
              <a:sysClr val="windowText" lastClr="000000"/>
            </a:solidFill>
          </a:ln>
        </c:spPr>
        <c:crossAx val="253564032"/>
        <c:crossesAt val="-15"/>
        <c:auto val="1"/>
        <c:lblAlgn val="ctr"/>
        <c:lblOffset val="100"/>
        <c:noMultiLvlLbl val="0"/>
      </c:catAx>
      <c:valAx>
        <c:axId val="253564032"/>
        <c:scaling>
          <c:orientation val="minMax"/>
          <c:max val="7.0000000000000021E-2"/>
          <c:min val="-7.0000000000000021E-2"/>
        </c:scaling>
        <c:delete val="0"/>
        <c:axPos val="b"/>
        <c:majorGridlines>
          <c:spPr>
            <a:ln>
              <a:prstDash val="dash"/>
            </a:ln>
          </c:spPr>
        </c:majorGridlines>
        <c:numFmt formatCode="0%;0%" sourceLinked="0"/>
        <c:majorTickMark val="out"/>
        <c:minorTickMark val="none"/>
        <c:tickLblPos val="nextTo"/>
        <c:spPr>
          <a:ln>
            <a:solidFill>
              <a:schemeClr val="tx1"/>
            </a:solidFill>
          </a:ln>
        </c:spPr>
        <c:txPr>
          <a:bodyPr/>
          <a:lstStyle/>
          <a:p>
            <a:pPr>
              <a:defRPr sz="800"/>
            </a:pPr>
            <a:endParaRPr lang="es-EC"/>
          </a:p>
        </c:txPr>
        <c:crossAx val="253283328"/>
        <c:crosses val="autoZero"/>
        <c:crossBetween val="between"/>
        <c:majorUnit val="2.0000000000000011E-2"/>
      </c:valAx>
      <c:spPr>
        <a:noFill/>
        <a:ln>
          <a:solidFill>
            <a:sysClr val="windowText" lastClr="000000"/>
          </a:solidFill>
        </a:ln>
      </c:spPr>
    </c:plotArea>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241796538918125E-2"/>
          <c:y val="5.7066993464052342E-2"/>
          <c:w val="0.87242656908550331"/>
          <c:h val="0.65080565436934645"/>
        </c:manualLayout>
      </c:layout>
      <c:barChart>
        <c:barDir val="col"/>
        <c:grouping val="clustered"/>
        <c:varyColors val="0"/>
        <c:ser>
          <c:idx val="0"/>
          <c:order val="0"/>
          <c:tx>
            <c:strRef>
              <c:f>Perfil!$H$55</c:f>
              <c:strCache>
                <c:ptCount val="1"/>
                <c:pt idx="0">
                  <c:v>Índice de Feminidad</c:v>
                </c:pt>
              </c:strCache>
            </c:strRef>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cat>
            <c:strRef>
              <c:f>Perfil!$B$56:$B$77</c:f>
              <c:strCache>
                <c:ptCount val="22"/>
                <c:pt idx="0">
                  <c:v>&lt; 1</c:v>
                </c:pt>
                <c:pt idx="1">
                  <c:v>1 a 4</c:v>
                </c:pt>
                <c:pt idx="2">
                  <c:v>  5 a 9 </c:v>
                </c:pt>
                <c:pt idx="3">
                  <c:v>  10 a 14 </c:v>
                </c:pt>
                <c:pt idx="4">
                  <c:v>  15 a 19 </c:v>
                </c:pt>
                <c:pt idx="5">
                  <c:v>  20 a 24 </c:v>
                </c:pt>
                <c:pt idx="6">
                  <c:v>  25 a 29 </c:v>
                </c:pt>
                <c:pt idx="7">
                  <c:v>  30 a 34 </c:v>
                </c:pt>
                <c:pt idx="8">
                  <c:v>  35 a 39 </c:v>
                </c:pt>
                <c:pt idx="9">
                  <c:v>  40 a 44 </c:v>
                </c:pt>
                <c:pt idx="10">
                  <c:v>  45 a 49 </c:v>
                </c:pt>
                <c:pt idx="11">
                  <c:v>  50 a 54 </c:v>
                </c:pt>
                <c:pt idx="12">
                  <c:v>  55 a 59 </c:v>
                </c:pt>
                <c:pt idx="13">
                  <c:v>  60 a 64 </c:v>
                </c:pt>
                <c:pt idx="14">
                  <c:v>  65 a 69 </c:v>
                </c:pt>
                <c:pt idx="15">
                  <c:v>  70 a 74 </c:v>
                </c:pt>
                <c:pt idx="16">
                  <c:v>  75 a 79 </c:v>
                </c:pt>
                <c:pt idx="17">
                  <c:v>  80 a 84 </c:v>
                </c:pt>
                <c:pt idx="18">
                  <c:v>  85 a 89 </c:v>
                </c:pt>
                <c:pt idx="19">
                  <c:v>  90 a 94 </c:v>
                </c:pt>
                <c:pt idx="20">
                  <c:v>  95 a 99 </c:v>
                </c:pt>
                <c:pt idx="21">
                  <c:v>&gt; 100</c:v>
                </c:pt>
              </c:strCache>
            </c:strRef>
          </c:cat>
          <c:val>
            <c:numRef>
              <c:f>Perfil!$H$56:$H$77</c:f>
              <c:numCache>
                <c:formatCode>0.00</c:formatCode>
                <c:ptCount val="22"/>
                <c:pt idx="0">
                  <c:v>71.698113207547166</c:v>
                </c:pt>
                <c:pt idx="1">
                  <c:v>99.395770392749085</c:v>
                </c:pt>
                <c:pt idx="2">
                  <c:v>96.952458350263967</c:v>
                </c:pt>
                <c:pt idx="3">
                  <c:v>96.211139896373126</c:v>
                </c:pt>
                <c:pt idx="4">
                  <c:v>104.63101284732595</c:v>
                </c:pt>
                <c:pt idx="5">
                  <c:v>118.46812799193766</c:v>
                </c:pt>
                <c:pt idx="6">
                  <c:v>119.3617021276594</c:v>
                </c:pt>
                <c:pt idx="7">
                  <c:v>121.42515542802488</c:v>
                </c:pt>
                <c:pt idx="8">
                  <c:v>116.05761536409719</c:v>
                </c:pt>
                <c:pt idx="9">
                  <c:v>116.48517846339988</c:v>
                </c:pt>
                <c:pt idx="10">
                  <c:v>114.17910447761186</c:v>
                </c:pt>
                <c:pt idx="11">
                  <c:v>112.85996055226821</c:v>
                </c:pt>
                <c:pt idx="12">
                  <c:v>112.3320537428023</c:v>
                </c:pt>
                <c:pt idx="13">
                  <c:v>101.79142674344219</c:v>
                </c:pt>
                <c:pt idx="14">
                  <c:v>112.71262309758282</c:v>
                </c:pt>
                <c:pt idx="15">
                  <c:v>102.69541778975741</c:v>
                </c:pt>
                <c:pt idx="16">
                  <c:v>119.15789473684211</c:v>
                </c:pt>
                <c:pt idx="17">
                  <c:v>106.52920962199325</c:v>
                </c:pt>
                <c:pt idx="18">
                  <c:v>133.06451612903209</c:v>
                </c:pt>
                <c:pt idx="19">
                  <c:v>108.19672131147533</c:v>
                </c:pt>
                <c:pt idx="20">
                  <c:v>105.88235294117648</c:v>
                </c:pt>
                <c:pt idx="21">
                  <c:v>185.7142857142855</c:v>
                </c:pt>
              </c:numCache>
            </c:numRef>
          </c:val>
        </c:ser>
        <c:dLbls>
          <c:showLegendKey val="0"/>
          <c:showVal val="0"/>
          <c:showCatName val="0"/>
          <c:showSerName val="0"/>
          <c:showPercent val="0"/>
          <c:showBubbleSize val="0"/>
        </c:dLbls>
        <c:gapWidth val="0"/>
        <c:axId val="253588992"/>
        <c:axId val="253590912"/>
      </c:barChart>
      <c:lineChart>
        <c:grouping val="standard"/>
        <c:varyColors val="0"/>
        <c:ser>
          <c:idx val="1"/>
          <c:order val="1"/>
          <c:tx>
            <c:strRef>
              <c:f>Perfil!$I$55</c:f>
              <c:strCache>
                <c:ptCount val="1"/>
                <c:pt idx="0">
                  <c:v>100 Hombres</c:v>
                </c:pt>
              </c:strCache>
            </c:strRef>
          </c:tx>
          <c:spPr>
            <a:ln w="19050">
              <a:solidFill>
                <a:schemeClr val="tx1"/>
              </a:solidFill>
            </a:ln>
          </c:spPr>
          <c:marker>
            <c:symbol val="none"/>
          </c:marker>
          <c:val>
            <c:numRef>
              <c:f>Perfil!$I$56:$I$77</c:f>
              <c:numCache>
                <c:formatCode>General</c:formatCode>
                <c:ptCount val="22"/>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numCache>
            </c:numRef>
          </c:val>
          <c:smooth val="0"/>
        </c:ser>
        <c:dLbls>
          <c:showLegendKey val="0"/>
          <c:showVal val="0"/>
          <c:showCatName val="0"/>
          <c:showSerName val="0"/>
          <c:showPercent val="0"/>
          <c:showBubbleSize val="0"/>
        </c:dLbls>
        <c:marker val="1"/>
        <c:smooth val="0"/>
        <c:axId val="253588992"/>
        <c:axId val="253590912"/>
      </c:lineChart>
      <c:catAx>
        <c:axId val="253588992"/>
        <c:scaling>
          <c:orientation val="minMax"/>
        </c:scaling>
        <c:delete val="0"/>
        <c:axPos val="b"/>
        <c:title>
          <c:tx>
            <c:rich>
              <a:bodyPr/>
              <a:lstStyle/>
              <a:p>
                <a:pPr>
                  <a:defRPr/>
                </a:pPr>
                <a:r>
                  <a:rPr lang="es-EC"/>
                  <a:t>Grupos Etarios</a:t>
                </a:r>
              </a:p>
            </c:rich>
          </c:tx>
          <c:overlay val="0"/>
        </c:title>
        <c:majorTickMark val="out"/>
        <c:minorTickMark val="none"/>
        <c:tickLblPos val="nextTo"/>
        <c:spPr>
          <a:ln>
            <a:solidFill>
              <a:schemeClr val="tx1"/>
            </a:solidFill>
          </a:ln>
        </c:spPr>
        <c:txPr>
          <a:bodyPr rot="-5400000" vert="horz"/>
          <a:lstStyle/>
          <a:p>
            <a:pPr>
              <a:defRPr sz="700"/>
            </a:pPr>
            <a:endParaRPr lang="es-EC"/>
          </a:p>
        </c:txPr>
        <c:crossAx val="253590912"/>
        <c:crosses val="autoZero"/>
        <c:auto val="1"/>
        <c:lblAlgn val="ctr"/>
        <c:lblOffset val="100"/>
        <c:noMultiLvlLbl val="0"/>
      </c:catAx>
      <c:valAx>
        <c:axId val="253590912"/>
        <c:scaling>
          <c:orientation val="minMax"/>
          <c:max val="220"/>
          <c:min val="0"/>
        </c:scaling>
        <c:delete val="0"/>
        <c:axPos val="l"/>
        <c:title>
          <c:tx>
            <c:rich>
              <a:bodyPr rot="-5400000" vert="horz"/>
              <a:lstStyle/>
              <a:p>
                <a:pPr>
                  <a:defRPr/>
                </a:pPr>
                <a:r>
                  <a:rPr lang="es-EC"/>
                  <a:t>Índice de Feminidad</a:t>
                </a:r>
              </a:p>
            </c:rich>
          </c:tx>
          <c:overlay val="0"/>
        </c:title>
        <c:numFmt formatCode="0" sourceLinked="0"/>
        <c:majorTickMark val="out"/>
        <c:minorTickMark val="none"/>
        <c:tickLblPos val="nextTo"/>
        <c:spPr>
          <a:ln>
            <a:solidFill>
              <a:schemeClr val="tx1"/>
            </a:solidFill>
          </a:ln>
        </c:spPr>
        <c:txPr>
          <a:bodyPr/>
          <a:lstStyle/>
          <a:p>
            <a:pPr>
              <a:defRPr sz="750"/>
            </a:pPr>
            <a:endParaRPr lang="es-EC"/>
          </a:p>
        </c:txPr>
        <c:crossAx val="253588992"/>
        <c:crosses val="autoZero"/>
        <c:crossBetween val="between"/>
        <c:majorUnit val="20"/>
      </c:valAx>
      <c:spPr>
        <a:noFill/>
        <a:ln>
          <a:solidFill>
            <a:schemeClr val="tx1"/>
          </a:solidFill>
        </a:ln>
      </c:spPr>
    </c:plotArea>
    <c:legend>
      <c:legendPos val="t"/>
      <c:layout>
        <c:manualLayout>
          <c:xMode val="edge"/>
          <c:yMode val="edge"/>
          <c:x val="0.18309124884521738"/>
          <c:y val="5.7066993464052342E-2"/>
          <c:w val="0.67381498278323682"/>
          <c:h val="7.7017565359477139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4271893930490731"/>
        </c:manualLayout>
      </c:layout>
      <c:lineChart>
        <c:grouping val="standard"/>
        <c:varyColors val="0"/>
        <c:ser>
          <c:idx val="0"/>
          <c:order val="0"/>
          <c:tx>
            <c:strRef>
              <c:f>Perfil!$G$83</c:f>
              <c:strCache>
                <c:ptCount val="1"/>
                <c:pt idx="0">
                  <c:v>Alfabeto</c:v>
                </c:pt>
              </c:strCache>
            </c:strRef>
          </c:tx>
          <c:spPr>
            <a:ln w="19050">
              <a:solidFill>
                <a:srgbClr val="0070C0"/>
              </a:solidFill>
            </a:ln>
          </c:spPr>
          <c:marker>
            <c:symbol val="none"/>
          </c:marker>
          <c:cat>
            <c:strRef>
              <c:f>Perfil!$C$86:$C$103</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Perfil!$G$86:$G$103</c:f>
              <c:numCache>
                <c:formatCode>0.00</c:formatCode>
                <c:ptCount val="18"/>
                <c:pt idx="0">
                  <c:v>976.99432327457453</c:v>
                </c:pt>
                <c:pt idx="1">
                  <c:v>979.08793146888456</c:v>
                </c:pt>
                <c:pt idx="2">
                  <c:v>974.68085106383046</c:v>
                </c:pt>
                <c:pt idx="3">
                  <c:v>969.87087517934094</c:v>
                </c:pt>
                <c:pt idx="4">
                  <c:v>963.72365964257153</c:v>
                </c:pt>
                <c:pt idx="5">
                  <c:v>954.02298850574709</c:v>
                </c:pt>
                <c:pt idx="6">
                  <c:v>936.56716417910377</c:v>
                </c:pt>
                <c:pt idx="7">
                  <c:v>915.97633136094748</c:v>
                </c:pt>
                <c:pt idx="8">
                  <c:v>897.79270633397311</c:v>
                </c:pt>
                <c:pt idx="9">
                  <c:v>865.64299424184264</c:v>
                </c:pt>
                <c:pt idx="10">
                  <c:v>823.6347358997316</c:v>
                </c:pt>
                <c:pt idx="11">
                  <c:v>770.88948787062054</c:v>
                </c:pt>
                <c:pt idx="12">
                  <c:v>709.47368421052715</c:v>
                </c:pt>
                <c:pt idx="13">
                  <c:v>680.41237113402042</c:v>
                </c:pt>
                <c:pt idx="14">
                  <c:v>661.29032258064592</c:v>
                </c:pt>
                <c:pt idx="15">
                  <c:v>704.91803278688553</c:v>
                </c:pt>
                <c:pt idx="16">
                  <c:v>764.70588235294179</c:v>
                </c:pt>
                <c:pt idx="17">
                  <c:v>571.42857142857213</c:v>
                </c:pt>
              </c:numCache>
            </c:numRef>
          </c:val>
          <c:smooth val="1"/>
        </c:ser>
        <c:ser>
          <c:idx val="1"/>
          <c:order val="1"/>
          <c:tx>
            <c:strRef>
              <c:f>Perfil!$H$83</c:f>
              <c:strCache>
                <c:ptCount val="1"/>
                <c:pt idx="0">
                  <c:v>Analfabeto</c:v>
                </c:pt>
              </c:strCache>
            </c:strRef>
          </c:tx>
          <c:spPr>
            <a:ln w="19050">
              <a:solidFill>
                <a:schemeClr val="accent6">
                  <a:lumMod val="75000"/>
                </a:schemeClr>
              </a:solidFill>
            </a:ln>
          </c:spPr>
          <c:marker>
            <c:symbol val="none"/>
          </c:marker>
          <c:cat>
            <c:strRef>
              <c:f>Perfil!$C$86:$C$103</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Perfil!$H$86:$H$103</c:f>
              <c:numCache>
                <c:formatCode>0.00</c:formatCode>
                <c:ptCount val="18"/>
                <c:pt idx="0">
                  <c:v>23.005676725425733</c:v>
                </c:pt>
                <c:pt idx="1">
                  <c:v>20.912068531116152</c:v>
                </c:pt>
                <c:pt idx="2">
                  <c:v>25.319148936170212</c:v>
                </c:pt>
                <c:pt idx="3">
                  <c:v>30.129124820659971</c:v>
                </c:pt>
                <c:pt idx="4">
                  <c:v>36.276340357428651</c:v>
                </c:pt>
                <c:pt idx="5">
                  <c:v>45.977011494252828</c:v>
                </c:pt>
                <c:pt idx="6">
                  <c:v>63.432835820895562</c:v>
                </c:pt>
                <c:pt idx="7">
                  <c:v>84.023668639053255</c:v>
                </c:pt>
                <c:pt idx="8">
                  <c:v>102.20729366602696</c:v>
                </c:pt>
                <c:pt idx="9">
                  <c:v>134.35700575815738</c:v>
                </c:pt>
                <c:pt idx="10">
                  <c:v>176.36526410026858</c:v>
                </c:pt>
                <c:pt idx="11">
                  <c:v>229.11051212937971</c:v>
                </c:pt>
                <c:pt idx="12">
                  <c:v>290.52631578947319</c:v>
                </c:pt>
                <c:pt idx="13">
                  <c:v>319.58762886597924</c:v>
                </c:pt>
                <c:pt idx="14">
                  <c:v>338.70967741935482</c:v>
                </c:pt>
                <c:pt idx="15">
                  <c:v>295.08196721311469</c:v>
                </c:pt>
                <c:pt idx="16">
                  <c:v>235.29411764705878</c:v>
                </c:pt>
                <c:pt idx="17">
                  <c:v>428.57142857142856</c:v>
                </c:pt>
              </c:numCache>
            </c:numRef>
          </c:val>
          <c:smooth val="1"/>
        </c:ser>
        <c:dLbls>
          <c:showLegendKey val="0"/>
          <c:showVal val="0"/>
          <c:showCatName val="0"/>
          <c:showSerName val="0"/>
          <c:showPercent val="0"/>
          <c:showBubbleSize val="0"/>
        </c:dLbls>
        <c:marker val="1"/>
        <c:smooth val="0"/>
        <c:axId val="253599104"/>
        <c:axId val="253625856"/>
      </c:lineChart>
      <c:catAx>
        <c:axId val="253599104"/>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53625856"/>
        <c:crosses val="autoZero"/>
        <c:auto val="1"/>
        <c:lblAlgn val="ctr"/>
        <c:lblOffset val="100"/>
        <c:noMultiLvlLbl val="0"/>
      </c:catAx>
      <c:valAx>
        <c:axId val="253625856"/>
        <c:scaling>
          <c:orientation val="minMax"/>
          <c:max val="1000"/>
          <c:min val="0"/>
        </c:scaling>
        <c:delete val="0"/>
        <c:axPos val="l"/>
        <c:title>
          <c:tx>
            <c:rich>
              <a:bodyPr rot="-5400000" vert="horz"/>
              <a:lstStyle/>
              <a:p>
                <a:pPr>
                  <a:defRPr sz="600"/>
                </a:pPr>
                <a:r>
                  <a:rPr lang="es-EC" sz="600"/>
                  <a:t>Tasa por</a:t>
                </a:r>
                <a:r>
                  <a:rPr lang="es-EC" sz="600" baseline="0"/>
                  <a:t> cada 1000 colombianos</a:t>
                </a:r>
                <a:endParaRPr lang="es-EC" sz="600"/>
              </a:p>
            </c:rich>
          </c:tx>
          <c:layout>
            <c:manualLayout>
              <c:xMode val="edge"/>
              <c:yMode val="edge"/>
              <c:x val="0"/>
              <c:y val="5.4561963538341578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53599104"/>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128472222222434E-2"/>
          <c:y val="4.8645652116381846E-2"/>
          <c:w val="0.89465694444444432"/>
          <c:h val="0.56215402732453201"/>
        </c:manualLayout>
      </c:layout>
      <c:barChart>
        <c:barDir val="col"/>
        <c:grouping val="clustered"/>
        <c:varyColors val="0"/>
        <c:ser>
          <c:idx val="0"/>
          <c:order val="0"/>
          <c:tx>
            <c:v>Índice de Feminidad por Provincia</c:v>
          </c:tx>
          <c:spPr>
            <a:gradFill flip="none" rotWithShape="1">
              <a:gsLst>
                <a:gs pos="0">
                  <a:schemeClr val="bg1">
                    <a:lumMod val="65000"/>
                  </a:schemeClr>
                </a:gs>
                <a:gs pos="48000">
                  <a:schemeClr val="bg1">
                    <a:lumMod val="85000"/>
                  </a:schemeClr>
                </a:gs>
                <a:gs pos="100000">
                  <a:schemeClr val="bg1">
                    <a:lumMod val="85000"/>
                  </a:schemeClr>
                </a:gs>
              </a:gsLst>
              <a:lin ang="9000000" scaled="0"/>
              <a:tileRect/>
            </a:gradFill>
            <a:ln>
              <a:solidFill>
                <a:schemeClr val="bg1">
                  <a:lumMod val="50000"/>
                </a:schemeClr>
              </a:solidFill>
            </a:ln>
          </c:spPr>
          <c:invertIfNegative val="0"/>
          <c:cat>
            <c:strRef>
              <c:f>Femenidad!$B$33:$B$57</c:f>
              <c:strCache>
                <c:ptCount val="25"/>
                <c:pt idx="0">
                  <c:v> Azuay</c:v>
                </c:pt>
                <c:pt idx="1">
                  <c:v> Bolivar</c:v>
                </c:pt>
                <c:pt idx="2">
                  <c:v> Cañar</c:v>
                </c:pt>
                <c:pt idx="3">
                  <c:v> Carchi</c:v>
                </c:pt>
                <c:pt idx="4">
                  <c:v> Cotopaxi</c:v>
                </c:pt>
                <c:pt idx="5">
                  <c:v> Chimborazo</c:v>
                </c:pt>
                <c:pt idx="6">
                  <c:v> El Oro</c:v>
                </c:pt>
                <c:pt idx="7">
                  <c:v> Esmeraldas</c:v>
                </c:pt>
                <c:pt idx="8">
                  <c:v> Guayas</c:v>
                </c:pt>
                <c:pt idx="9">
                  <c:v> Imbabura</c:v>
                </c:pt>
                <c:pt idx="10">
                  <c:v> Loja</c:v>
                </c:pt>
                <c:pt idx="11">
                  <c:v> Los Rios</c:v>
                </c:pt>
                <c:pt idx="12">
                  <c:v> Manabi</c:v>
                </c:pt>
                <c:pt idx="13">
                  <c:v> Morona Santiago</c:v>
                </c:pt>
                <c:pt idx="14">
                  <c:v> Napo</c:v>
                </c:pt>
                <c:pt idx="15">
                  <c:v> Pastaza</c:v>
                </c:pt>
                <c:pt idx="16">
                  <c:v> Pichincha</c:v>
                </c:pt>
                <c:pt idx="17">
                  <c:v> Tungurahua</c:v>
                </c:pt>
                <c:pt idx="18">
                  <c:v> Zamora Chinchipe</c:v>
                </c:pt>
                <c:pt idx="19">
                  <c:v> Galápagos</c:v>
                </c:pt>
                <c:pt idx="20">
                  <c:v> Sucumbíos</c:v>
                </c:pt>
                <c:pt idx="21">
                  <c:v> Orellana</c:v>
                </c:pt>
                <c:pt idx="22">
                  <c:v> Santo Domingo</c:v>
                </c:pt>
                <c:pt idx="23">
                  <c:v> Santa Elena</c:v>
                </c:pt>
                <c:pt idx="24">
                  <c:v> Zonas No Delimitadas</c:v>
                </c:pt>
              </c:strCache>
            </c:strRef>
          </c:cat>
          <c:val>
            <c:numRef>
              <c:f>Femenidad!$AE$33:$AE$57</c:f>
              <c:numCache>
                <c:formatCode>0.00</c:formatCode>
                <c:ptCount val="25"/>
                <c:pt idx="0">
                  <c:v>104.42042358731</c:v>
                </c:pt>
                <c:pt idx="1">
                  <c:v>99.169568321216801</c:v>
                </c:pt>
                <c:pt idx="2">
                  <c:v>113.68525979150226</c:v>
                </c:pt>
                <c:pt idx="3">
                  <c:v>102.51716703928457</c:v>
                </c:pt>
                <c:pt idx="4">
                  <c:v>97.577435765342301</c:v>
                </c:pt>
                <c:pt idx="5">
                  <c:v>96.302397565710081</c:v>
                </c:pt>
                <c:pt idx="6">
                  <c:v>105.73183790790736</c:v>
                </c:pt>
                <c:pt idx="7">
                  <c:v>106.96152240373868</c:v>
                </c:pt>
                <c:pt idx="8">
                  <c:v>100.9147667381674</c:v>
                </c:pt>
                <c:pt idx="9">
                  <c:v>100.2869043709708</c:v>
                </c:pt>
                <c:pt idx="10">
                  <c:v>102.30343795425806</c:v>
                </c:pt>
                <c:pt idx="11">
                  <c:v>112.28435430116102</c:v>
                </c:pt>
                <c:pt idx="12">
                  <c:v>103.93271546631071</c:v>
                </c:pt>
                <c:pt idx="13">
                  <c:v>121.18036403750683</c:v>
                </c:pt>
                <c:pt idx="14">
                  <c:v>108.93757881462797</c:v>
                </c:pt>
                <c:pt idx="15">
                  <c:v>105.70427470217241</c:v>
                </c:pt>
                <c:pt idx="16">
                  <c:v>88.266673103381663</c:v>
                </c:pt>
                <c:pt idx="17">
                  <c:v>94.611837188530984</c:v>
                </c:pt>
                <c:pt idx="18">
                  <c:v>115.9901045766333</c:v>
                </c:pt>
                <c:pt idx="19">
                  <c:v>113.36946702800361</c:v>
                </c:pt>
                <c:pt idx="20">
                  <c:v>109.76726796896914</c:v>
                </c:pt>
                <c:pt idx="21">
                  <c:v>116.24644549763032</c:v>
                </c:pt>
                <c:pt idx="22">
                  <c:v>101.46457085828344</c:v>
                </c:pt>
                <c:pt idx="23">
                  <c:v>100.33252334058061</c:v>
                </c:pt>
                <c:pt idx="24">
                  <c:v>98.165137614678869</c:v>
                </c:pt>
              </c:numCache>
            </c:numRef>
          </c:val>
        </c:ser>
        <c:dLbls>
          <c:showLegendKey val="0"/>
          <c:showVal val="0"/>
          <c:showCatName val="0"/>
          <c:showSerName val="0"/>
          <c:showPercent val="0"/>
          <c:showBubbleSize val="0"/>
        </c:dLbls>
        <c:gapWidth val="40"/>
        <c:axId val="219598208"/>
        <c:axId val="219735552"/>
      </c:barChart>
      <c:lineChart>
        <c:grouping val="standard"/>
        <c:varyColors val="0"/>
        <c:ser>
          <c:idx val="1"/>
          <c:order val="1"/>
          <c:tx>
            <c:v>100 Hombres</c:v>
          </c:tx>
          <c:spPr>
            <a:ln w="19050">
              <a:solidFill>
                <a:schemeClr val="tx1"/>
              </a:solidFill>
            </a:ln>
          </c:spPr>
          <c:marker>
            <c:symbol val="none"/>
          </c:marker>
          <c:val>
            <c:numRef>
              <c:f>Femenidad!$AF$33:$AF$57</c:f>
              <c:numCache>
                <c:formatCode>0.00</c:formatCode>
                <c:ptCount val="2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numCache>
            </c:numRef>
          </c:val>
          <c:smooth val="0"/>
        </c:ser>
        <c:dLbls>
          <c:showLegendKey val="0"/>
          <c:showVal val="0"/>
          <c:showCatName val="0"/>
          <c:showSerName val="0"/>
          <c:showPercent val="0"/>
          <c:showBubbleSize val="0"/>
        </c:dLbls>
        <c:marker val="1"/>
        <c:smooth val="0"/>
        <c:axId val="219598208"/>
        <c:axId val="219735552"/>
      </c:lineChart>
      <c:catAx>
        <c:axId val="219598208"/>
        <c:scaling>
          <c:orientation val="minMax"/>
        </c:scaling>
        <c:delete val="0"/>
        <c:axPos val="b"/>
        <c:title>
          <c:tx>
            <c:rich>
              <a:bodyPr/>
              <a:lstStyle/>
              <a:p>
                <a:pPr>
                  <a:defRPr/>
                </a:pPr>
                <a:r>
                  <a:rPr lang="es-EC"/>
                  <a:t>Provincia de Nacimiento</a:t>
                </a:r>
              </a:p>
            </c:rich>
          </c:tx>
          <c:overlay val="0"/>
        </c:title>
        <c:majorTickMark val="out"/>
        <c:minorTickMark val="none"/>
        <c:tickLblPos val="nextTo"/>
        <c:spPr>
          <a:ln>
            <a:solidFill>
              <a:schemeClr val="tx1"/>
            </a:solidFill>
          </a:ln>
        </c:spPr>
        <c:txPr>
          <a:bodyPr rot="-5400000" vert="horz"/>
          <a:lstStyle/>
          <a:p>
            <a:pPr>
              <a:defRPr sz="700"/>
            </a:pPr>
            <a:endParaRPr lang="es-EC"/>
          </a:p>
        </c:txPr>
        <c:crossAx val="219735552"/>
        <c:crosses val="autoZero"/>
        <c:auto val="1"/>
        <c:lblAlgn val="ctr"/>
        <c:lblOffset val="100"/>
        <c:noMultiLvlLbl val="0"/>
      </c:catAx>
      <c:valAx>
        <c:axId val="219735552"/>
        <c:scaling>
          <c:orientation val="minMax"/>
          <c:max val="160"/>
          <c:min val="0"/>
        </c:scaling>
        <c:delete val="0"/>
        <c:axPos val="l"/>
        <c:title>
          <c:tx>
            <c:rich>
              <a:bodyPr rot="-5400000" vert="horz"/>
              <a:lstStyle/>
              <a:p>
                <a:pPr>
                  <a:defRPr/>
                </a:pPr>
                <a:r>
                  <a:rPr lang="es-EC"/>
                  <a:t>Índice de Feminidad</a:t>
                </a:r>
              </a:p>
            </c:rich>
          </c:tx>
          <c:layout>
            <c:manualLayout>
              <c:xMode val="edge"/>
              <c:yMode val="edge"/>
              <c:x val="0"/>
              <c:y val="0.11670508866999998"/>
            </c:manualLayout>
          </c:layout>
          <c:overlay val="0"/>
        </c:title>
        <c:numFmt formatCode="0" sourceLinked="0"/>
        <c:majorTickMark val="out"/>
        <c:minorTickMark val="none"/>
        <c:tickLblPos val="nextTo"/>
        <c:spPr>
          <a:ln>
            <a:solidFill>
              <a:schemeClr val="tx1"/>
            </a:solidFill>
          </a:ln>
        </c:spPr>
        <c:crossAx val="219598208"/>
        <c:crosses val="autoZero"/>
        <c:crossBetween val="between"/>
        <c:majorUnit val="20"/>
      </c:valAx>
      <c:spPr>
        <a:noFill/>
        <a:ln>
          <a:solidFill>
            <a:schemeClr val="tx1"/>
          </a:solidFill>
        </a:ln>
      </c:spPr>
    </c:plotArea>
    <c:legend>
      <c:legendPos val="t"/>
      <c:layout>
        <c:manualLayout>
          <c:xMode val="edge"/>
          <c:yMode val="edge"/>
          <c:x val="0.25662908333641432"/>
          <c:y val="5.3067984126962078E-2"/>
          <c:w val="0.71263703607297035"/>
          <c:h val="7.5459260920374374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3593467878930354"/>
        </c:manualLayout>
      </c:layout>
      <c:lineChart>
        <c:grouping val="standard"/>
        <c:varyColors val="0"/>
        <c:ser>
          <c:idx val="0"/>
          <c:order val="0"/>
          <c:tx>
            <c:strRef>
              <c:f>Perfil!$G$83</c:f>
              <c:strCache>
                <c:ptCount val="1"/>
                <c:pt idx="0">
                  <c:v>Alfabeto</c:v>
                </c:pt>
              </c:strCache>
            </c:strRef>
          </c:tx>
          <c:spPr>
            <a:ln w="19050">
              <a:solidFill>
                <a:srgbClr val="0070C0"/>
              </a:solidFill>
            </a:ln>
          </c:spPr>
          <c:marker>
            <c:symbol val="none"/>
          </c:marker>
          <c:cat>
            <c:strRef>
              <c:f>Perfil!$C$107:$C$124</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Perfil!$G$107:$G$124</c:f>
              <c:numCache>
                <c:formatCode>0.00</c:formatCode>
                <c:ptCount val="18"/>
                <c:pt idx="0">
                  <c:v>984.86579097658546</c:v>
                </c:pt>
                <c:pt idx="1">
                  <c:v>981.49723521905571</c:v>
                </c:pt>
                <c:pt idx="2">
                  <c:v>977.89661319072957</c:v>
                </c:pt>
                <c:pt idx="3">
                  <c:v>978.53485624261555</c:v>
                </c:pt>
                <c:pt idx="4">
                  <c:v>963.22684440358557</c:v>
                </c:pt>
                <c:pt idx="5">
                  <c:v>946.24772786289282</c:v>
                </c:pt>
                <c:pt idx="6">
                  <c:v>935.18518518518522</c:v>
                </c:pt>
                <c:pt idx="7">
                  <c:v>910.52079692415305</c:v>
                </c:pt>
                <c:pt idx="8">
                  <c:v>865.86928662964544</c:v>
                </c:pt>
                <c:pt idx="9">
                  <c:v>813.32495285983669</c:v>
                </c:pt>
                <c:pt idx="10">
                  <c:v>737.8872120730731</c:v>
                </c:pt>
                <c:pt idx="11">
                  <c:v>711.28608923884644</c:v>
                </c:pt>
                <c:pt idx="12">
                  <c:v>648.40989399293289</c:v>
                </c:pt>
                <c:pt idx="13">
                  <c:v>580.64516129032268</c:v>
                </c:pt>
                <c:pt idx="14">
                  <c:v>600</c:v>
                </c:pt>
                <c:pt idx="15">
                  <c:v>439.39393939393926</c:v>
                </c:pt>
                <c:pt idx="16">
                  <c:v>444.4444444444444</c:v>
                </c:pt>
                <c:pt idx="17">
                  <c:v>615.38461538461547</c:v>
                </c:pt>
              </c:numCache>
            </c:numRef>
          </c:val>
          <c:smooth val="1"/>
        </c:ser>
        <c:ser>
          <c:idx val="1"/>
          <c:order val="1"/>
          <c:tx>
            <c:strRef>
              <c:f>Perfil!$H$83</c:f>
              <c:strCache>
                <c:ptCount val="1"/>
                <c:pt idx="0">
                  <c:v>Analfabeto</c:v>
                </c:pt>
              </c:strCache>
            </c:strRef>
          </c:tx>
          <c:spPr>
            <a:ln w="19050">
              <a:solidFill>
                <a:schemeClr val="accent6">
                  <a:lumMod val="75000"/>
                </a:schemeClr>
              </a:solidFill>
            </a:ln>
          </c:spPr>
          <c:marker>
            <c:symbol val="none"/>
          </c:marker>
          <c:cat>
            <c:strRef>
              <c:f>Perfil!$C$107:$C$124</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Perfil!$H$107:$H$124</c:f>
              <c:numCache>
                <c:formatCode>0.00</c:formatCode>
                <c:ptCount val="18"/>
                <c:pt idx="0">
                  <c:v>15.134209023415176</c:v>
                </c:pt>
                <c:pt idx="1">
                  <c:v>18.502764780944279</c:v>
                </c:pt>
                <c:pt idx="2">
                  <c:v>22.103386809269139</c:v>
                </c:pt>
                <c:pt idx="3">
                  <c:v>21.465143757384769</c:v>
                </c:pt>
                <c:pt idx="4">
                  <c:v>36.773155596414611</c:v>
                </c:pt>
                <c:pt idx="5">
                  <c:v>53.752272137107262</c:v>
                </c:pt>
                <c:pt idx="6">
                  <c:v>64.81481481481481</c:v>
                </c:pt>
                <c:pt idx="7">
                  <c:v>89.479203075847707</c:v>
                </c:pt>
                <c:pt idx="8">
                  <c:v>134.13071337035453</c:v>
                </c:pt>
                <c:pt idx="9">
                  <c:v>186.67504714016343</c:v>
                </c:pt>
                <c:pt idx="10">
                  <c:v>262.11278792692644</c:v>
                </c:pt>
                <c:pt idx="11">
                  <c:v>288.71391076115424</c:v>
                </c:pt>
                <c:pt idx="12">
                  <c:v>351.59010600706699</c:v>
                </c:pt>
                <c:pt idx="13">
                  <c:v>419.35483870967744</c:v>
                </c:pt>
                <c:pt idx="14">
                  <c:v>400</c:v>
                </c:pt>
                <c:pt idx="15">
                  <c:v>560.60606060606051</c:v>
                </c:pt>
                <c:pt idx="16">
                  <c:v>555.55555555555543</c:v>
                </c:pt>
                <c:pt idx="17">
                  <c:v>384.6153846153847</c:v>
                </c:pt>
              </c:numCache>
            </c:numRef>
          </c:val>
          <c:smooth val="1"/>
        </c:ser>
        <c:dLbls>
          <c:showLegendKey val="0"/>
          <c:showVal val="0"/>
          <c:showCatName val="0"/>
          <c:showSerName val="0"/>
          <c:showPercent val="0"/>
          <c:showBubbleSize val="0"/>
        </c:dLbls>
        <c:marker val="1"/>
        <c:smooth val="0"/>
        <c:axId val="253654912"/>
        <c:axId val="253657088"/>
      </c:lineChart>
      <c:catAx>
        <c:axId val="253654912"/>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53657088"/>
        <c:crosses val="autoZero"/>
        <c:auto val="1"/>
        <c:lblAlgn val="ctr"/>
        <c:lblOffset val="100"/>
        <c:noMultiLvlLbl val="0"/>
      </c:catAx>
      <c:valAx>
        <c:axId val="253657088"/>
        <c:scaling>
          <c:orientation val="minMax"/>
          <c:max val="1000"/>
          <c:min val="0"/>
        </c:scaling>
        <c:delete val="0"/>
        <c:axPos val="l"/>
        <c:title>
          <c:tx>
            <c:rich>
              <a:bodyPr rot="-5400000" vert="horz"/>
              <a:lstStyle/>
              <a:p>
                <a:pPr>
                  <a:defRPr sz="600"/>
                </a:pPr>
                <a:r>
                  <a:rPr lang="es-EC" sz="600"/>
                  <a:t>Tasa por</a:t>
                </a:r>
                <a:r>
                  <a:rPr lang="es-EC" sz="600" baseline="0"/>
                  <a:t> cada 1000 colombianos</a:t>
                </a:r>
                <a:endParaRPr lang="es-EC" sz="600"/>
              </a:p>
            </c:rich>
          </c:tx>
          <c:layout>
            <c:manualLayout>
              <c:xMode val="edge"/>
              <c:yMode val="edge"/>
              <c:x val="0"/>
              <c:y val="6.59123690619753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53654912"/>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5064601140739"/>
          <c:y val="3.3409263477600655E-2"/>
          <c:w val="0.69431328212283039"/>
          <c:h val="0.90505192545692559"/>
        </c:manualLayout>
      </c:layout>
      <c:barChart>
        <c:barDir val="bar"/>
        <c:grouping val="stacked"/>
        <c:varyColors val="0"/>
        <c:ser>
          <c:idx val="0"/>
          <c:order val="0"/>
          <c:tx>
            <c:strRef>
              <c:f>Perfil!$M$130</c:f>
              <c:strCache>
                <c:ptCount val="1"/>
                <c:pt idx="0">
                  <c:v>Se ignora</c:v>
                </c:pt>
              </c:strCache>
            </c:strRef>
          </c:tx>
          <c:spPr>
            <a:solidFill>
              <a:schemeClr val="bg1">
                <a:lumMod val="65000"/>
              </a:schemeClr>
            </a:solidFill>
            <a:ln>
              <a:noFill/>
            </a:ln>
          </c:spPr>
          <c:invertIfNegative val="0"/>
          <c:cat>
            <c:strRef>
              <c:f>'[CAPITULO3.xlsx]Inmigracion(Perfil)'!$M$297:$M$316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Perfil!$M$131:$M$150</c:f>
              <c:numCache>
                <c:formatCode>0,000</c:formatCode>
                <c:ptCount val="20"/>
                <c:pt idx="0">
                  <c:v>-2.3189337496699598E-3</c:v>
                </c:pt>
                <c:pt idx="1">
                  <c:v>-6.4287272268077921E-4</c:v>
                </c:pt>
                <c:pt idx="2">
                  <c:v>-5.1659415215419766E-4</c:v>
                </c:pt>
                <c:pt idx="3">
                  <c:v>-8.1507077339884723E-4</c:v>
                </c:pt>
                <c:pt idx="4">
                  <c:v>-8.0359090335097646E-4</c:v>
                </c:pt>
                <c:pt idx="5">
                  <c:v>-8.0359090335097646E-4</c:v>
                </c:pt>
                <c:pt idx="6">
                  <c:v>-6.3139285263290822E-4</c:v>
                </c:pt>
                <c:pt idx="7">
                  <c:v>-6.5435259272865031E-4</c:v>
                </c:pt>
                <c:pt idx="8">
                  <c:v>-4.7067467196271472E-4</c:v>
                </c:pt>
                <c:pt idx="9">
                  <c:v>-4.3623506181910017E-4</c:v>
                </c:pt>
                <c:pt idx="10">
                  <c:v>-3.673558415318739E-4</c:v>
                </c:pt>
                <c:pt idx="11">
                  <c:v>-3.3291623138826081E-4</c:v>
                </c:pt>
                <c:pt idx="12">
                  <c:v>-2.4107727100529269E-4</c:v>
                </c:pt>
                <c:pt idx="13">
                  <c:v>-1.3775844057445285E-4</c:v>
                </c:pt>
                <c:pt idx="14">
                  <c:v>-1.1479870047871084E-4</c:v>
                </c:pt>
                <c:pt idx="15">
                  <c:v>-9.1838960382968691E-5</c:v>
                </c:pt>
                <c:pt idx="16">
                  <c:v>-2.2959740095742153E-5</c:v>
                </c:pt>
                <c:pt idx="17">
                  <c:v>-2.2959740095742153E-5</c:v>
                </c:pt>
                <c:pt idx="18">
                  <c:v>0</c:v>
                </c:pt>
                <c:pt idx="19">
                  <c:v>-1.147987004787109E-5</c:v>
                </c:pt>
              </c:numCache>
            </c:numRef>
          </c:val>
        </c:ser>
        <c:ser>
          <c:idx val="2"/>
          <c:order val="1"/>
          <c:tx>
            <c:strRef>
              <c:f>Perfil!$N$130</c:f>
              <c:strCache>
                <c:ptCount val="1"/>
                <c:pt idx="0">
                  <c:v>Ninguno</c:v>
                </c:pt>
              </c:strCache>
            </c:strRef>
          </c:tx>
          <c:spPr>
            <a:solidFill>
              <a:srgbClr val="C00000"/>
            </a:solidFill>
            <a:ln>
              <a:noFill/>
            </a:ln>
          </c:spPr>
          <c:invertIfNegative val="0"/>
          <c:cat>
            <c:strRef>
              <c:f>'[CAPITULO3.xlsx]Inmigracion(Perfil)'!$M$297:$M$316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Perfil!$N$131:$N$150</c:f>
              <c:numCache>
                <c:formatCode>0,000</c:formatCode>
                <c:ptCount val="20"/>
                <c:pt idx="0">
                  <c:v>0</c:v>
                </c:pt>
                <c:pt idx="1">
                  <c:v>0</c:v>
                </c:pt>
                <c:pt idx="2">
                  <c:v>-1.0791077844998801E-3</c:v>
                </c:pt>
                <c:pt idx="3">
                  <c:v>-1.0676279144520102E-3</c:v>
                </c:pt>
                <c:pt idx="4">
                  <c:v>-1.3775844057445281E-3</c:v>
                </c:pt>
                <c:pt idx="5">
                  <c:v>-1.5842220666062096E-3</c:v>
                </c:pt>
                <c:pt idx="6">
                  <c:v>-1.7564201173242721E-3</c:v>
                </c:pt>
                <c:pt idx="7">
                  <c:v>-1.7564201173242721E-3</c:v>
                </c:pt>
                <c:pt idx="8">
                  <c:v>-2.192655179143372E-3</c:v>
                </c:pt>
                <c:pt idx="9">
                  <c:v>-2.3074538796220832E-3</c:v>
                </c:pt>
                <c:pt idx="10">
                  <c:v>-2.4681720602922814E-3</c:v>
                </c:pt>
                <c:pt idx="11">
                  <c:v>-2.16969543904763E-3</c:v>
                </c:pt>
                <c:pt idx="12">
                  <c:v>-2.181175309095504E-3</c:v>
                </c:pt>
                <c:pt idx="13">
                  <c:v>-1.6531012868934323E-3</c:v>
                </c:pt>
                <c:pt idx="14">
                  <c:v>-1.4464636260317551E-3</c:v>
                </c:pt>
                <c:pt idx="15">
                  <c:v>-9.5282921397329794E-4</c:v>
                </c:pt>
                <c:pt idx="16">
                  <c:v>-4.3623506181910017E-4</c:v>
                </c:pt>
                <c:pt idx="17">
                  <c:v>-1.8367792076593695E-4</c:v>
                </c:pt>
                <c:pt idx="18">
                  <c:v>-2.2959740095742153E-5</c:v>
                </c:pt>
                <c:pt idx="19">
                  <c:v>-2.2959740095742153E-5</c:v>
                </c:pt>
              </c:numCache>
            </c:numRef>
          </c:val>
        </c:ser>
        <c:ser>
          <c:idx val="3"/>
          <c:order val="2"/>
          <c:tx>
            <c:strRef>
              <c:f>Perfil!$O$130</c:f>
              <c:strCache>
                <c:ptCount val="1"/>
                <c:pt idx="0">
                  <c:v>Centro de Alfabetización</c:v>
                </c:pt>
              </c:strCache>
            </c:strRef>
          </c:tx>
          <c:spPr>
            <a:solidFill>
              <a:schemeClr val="accent3">
                <a:lumMod val="75000"/>
              </a:schemeClr>
            </a:solidFill>
          </c:spPr>
          <c:invertIfNegative val="0"/>
          <c:cat>
            <c:strRef>
              <c:f>'[CAPITULO3.xlsx]Inmigracion(Perfil)'!$M$297:$M$316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Perfil!$O$131:$O$150</c:f>
              <c:numCache>
                <c:formatCode>0,000</c:formatCode>
                <c:ptCount val="20"/>
                <c:pt idx="0">
                  <c:v>0</c:v>
                </c:pt>
                <c:pt idx="1">
                  <c:v>0</c:v>
                </c:pt>
                <c:pt idx="2">
                  <c:v>-3.4439610143613252E-5</c:v>
                </c:pt>
                <c:pt idx="3">
                  <c:v>-5.7399350239355378E-5</c:v>
                </c:pt>
                <c:pt idx="4">
                  <c:v>-1.033188304308397E-4</c:v>
                </c:pt>
                <c:pt idx="5">
                  <c:v>-1.033188304308397E-4</c:v>
                </c:pt>
                <c:pt idx="6">
                  <c:v>-6.8879220287226478E-5</c:v>
                </c:pt>
                <c:pt idx="7">
                  <c:v>-1.1479870047871084E-4</c:v>
                </c:pt>
                <c:pt idx="8">
                  <c:v>-2.2959740095742151E-4</c:v>
                </c:pt>
                <c:pt idx="9">
                  <c:v>-2.6403701110103497E-4</c:v>
                </c:pt>
                <c:pt idx="10">
                  <c:v>-2.5255714105316377E-4</c:v>
                </c:pt>
                <c:pt idx="11">
                  <c:v>-1.2627857052658183E-4</c:v>
                </c:pt>
                <c:pt idx="12">
                  <c:v>-1.951577908138084E-4</c:v>
                </c:pt>
                <c:pt idx="13">
                  <c:v>-1.033188304308397E-4</c:v>
                </c:pt>
                <c:pt idx="14">
                  <c:v>-3.4439610143613252E-5</c:v>
                </c:pt>
                <c:pt idx="15">
                  <c:v>-6.8879220287226478E-5</c:v>
                </c:pt>
                <c:pt idx="16">
                  <c:v>-2.2959740095742153E-5</c:v>
                </c:pt>
                <c:pt idx="17">
                  <c:v>0</c:v>
                </c:pt>
                <c:pt idx="18">
                  <c:v>0</c:v>
                </c:pt>
                <c:pt idx="19">
                  <c:v>0</c:v>
                </c:pt>
              </c:numCache>
            </c:numRef>
          </c:val>
        </c:ser>
        <c:ser>
          <c:idx val="4"/>
          <c:order val="3"/>
          <c:tx>
            <c:strRef>
              <c:f>Perfil!$P$130</c:f>
              <c:strCache>
                <c:ptCount val="1"/>
                <c:pt idx="0">
                  <c:v>Primaria</c:v>
                </c:pt>
              </c:strCache>
            </c:strRef>
          </c:tx>
          <c:spPr>
            <a:solidFill>
              <a:schemeClr val="accent6">
                <a:lumMod val="75000"/>
              </a:schemeClr>
            </a:solidFill>
          </c:spPr>
          <c:invertIfNegative val="0"/>
          <c:cat>
            <c:strRef>
              <c:f>'[CAPITULO3.xlsx]Inmigracion(Perfil)'!$M$297:$M$316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Perfil!$P$131:$P$150</c:f>
              <c:numCache>
                <c:formatCode>0,000</c:formatCode>
                <c:ptCount val="20"/>
                <c:pt idx="0">
                  <c:v>-2.5933026438140747E-2</c:v>
                </c:pt>
                <c:pt idx="1">
                  <c:v>-2.4130686840624971E-2</c:v>
                </c:pt>
                <c:pt idx="2">
                  <c:v>-1.1858705759450803E-2</c:v>
                </c:pt>
                <c:pt idx="3">
                  <c:v>-1.3936562238115489E-2</c:v>
                </c:pt>
                <c:pt idx="4">
                  <c:v>-1.7805278444248021E-2</c:v>
                </c:pt>
                <c:pt idx="5">
                  <c:v>-1.5750381705679103E-2</c:v>
                </c:pt>
                <c:pt idx="6">
                  <c:v>-1.5222307683477043E-2</c:v>
                </c:pt>
                <c:pt idx="7">
                  <c:v>-1.407432067868992E-2</c:v>
                </c:pt>
                <c:pt idx="8">
                  <c:v>-1.3844723277732526E-2</c:v>
                </c:pt>
                <c:pt idx="9">
                  <c:v>-1.0997715505860473E-2</c:v>
                </c:pt>
                <c:pt idx="10">
                  <c:v>-1.0320403173036081E-2</c:v>
                </c:pt>
                <c:pt idx="11">
                  <c:v>-8.7706207165734896E-3</c:v>
                </c:pt>
                <c:pt idx="12">
                  <c:v>-6.5664856673822453E-3</c:v>
                </c:pt>
                <c:pt idx="13">
                  <c:v>-4.7641460698664845E-3</c:v>
                </c:pt>
                <c:pt idx="14">
                  <c:v>-2.9158869921592488E-3</c:v>
                </c:pt>
                <c:pt idx="15">
                  <c:v>-1.6990207670849165E-3</c:v>
                </c:pt>
                <c:pt idx="16">
                  <c:v>-7.6915129320736175E-4</c:v>
                </c:pt>
                <c:pt idx="17">
                  <c:v>-4.1327532172335814E-4</c:v>
                </c:pt>
                <c:pt idx="18">
                  <c:v>-1.4923831062232411E-4</c:v>
                </c:pt>
                <c:pt idx="19">
                  <c:v>-2.2959740095742153E-5</c:v>
                </c:pt>
              </c:numCache>
            </c:numRef>
          </c:val>
        </c:ser>
        <c:ser>
          <c:idx val="5"/>
          <c:order val="4"/>
          <c:tx>
            <c:strRef>
              <c:f>Perfil!$Q$130</c:f>
              <c:strCache>
                <c:ptCount val="1"/>
                <c:pt idx="0">
                  <c:v>Secundaria</c:v>
                </c:pt>
              </c:strCache>
            </c:strRef>
          </c:tx>
          <c:spPr>
            <a:solidFill>
              <a:srgbClr val="00B0F0"/>
            </a:solidFill>
          </c:spPr>
          <c:invertIfNegative val="0"/>
          <c:cat>
            <c:strRef>
              <c:f>'[CAPITULO3.xlsx]Inmigracion(Perfil)'!$M$297:$M$316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Perfil!$Q$131:$Q$150</c:f>
              <c:numCache>
                <c:formatCode>0,000</c:formatCode>
                <c:ptCount val="20"/>
                <c:pt idx="0">
                  <c:v>0</c:v>
                </c:pt>
                <c:pt idx="1">
                  <c:v>-1.0676279144520085E-2</c:v>
                </c:pt>
                <c:pt idx="2">
                  <c:v>-2.3258216716986781E-2</c:v>
                </c:pt>
                <c:pt idx="3">
                  <c:v>-2.3522253728087777E-2</c:v>
                </c:pt>
                <c:pt idx="4">
                  <c:v>-2.4107727100529257E-2</c:v>
                </c:pt>
                <c:pt idx="5">
                  <c:v>-1.9102503759657476E-2</c:v>
                </c:pt>
                <c:pt idx="6">
                  <c:v>-1.5027149892663233E-2</c:v>
                </c:pt>
                <c:pt idx="7">
                  <c:v>-1.2363820041557162E-2</c:v>
                </c:pt>
                <c:pt idx="8">
                  <c:v>-1.0882916805381759E-2</c:v>
                </c:pt>
                <c:pt idx="9">
                  <c:v>-7.8063116325523289E-3</c:v>
                </c:pt>
                <c:pt idx="10">
                  <c:v>-5.3151798321642999E-3</c:v>
                </c:pt>
                <c:pt idx="11">
                  <c:v>-3.2947227037389997E-3</c:v>
                </c:pt>
                <c:pt idx="12">
                  <c:v>-1.7105006371327881E-3</c:v>
                </c:pt>
                <c:pt idx="13">
                  <c:v>-9.413493439254289E-4</c:v>
                </c:pt>
                <c:pt idx="14">
                  <c:v>-6.3139285263290822E-4</c:v>
                </c:pt>
                <c:pt idx="15">
                  <c:v>-2.1811753090955041E-4</c:v>
                </c:pt>
                <c:pt idx="16">
                  <c:v>-9.1838960382968691E-5</c:v>
                </c:pt>
                <c:pt idx="17">
                  <c:v>-2.2959740095742153E-5</c:v>
                </c:pt>
                <c:pt idx="18">
                  <c:v>-1.147987004787109E-5</c:v>
                </c:pt>
                <c:pt idx="19">
                  <c:v>-1.147987004787109E-5</c:v>
                </c:pt>
              </c:numCache>
            </c:numRef>
          </c:val>
        </c:ser>
        <c:ser>
          <c:idx val="6"/>
          <c:order val="5"/>
          <c:tx>
            <c:strRef>
              <c:f>Perfil!$R$130</c:f>
              <c:strCache>
                <c:ptCount val="1"/>
                <c:pt idx="0">
                  <c:v>Superior</c:v>
                </c:pt>
              </c:strCache>
            </c:strRef>
          </c:tx>
          <c:spPr>
            <a:solidFill>
              <a:srgbClr val="D735B4"/>
            </a:solidFill>
          </c:spPr>
          <c:invertIfNegative val="0"/>
          <c:cat>
            <c:strRef>
              <c:f>'[CAPITULO3.xlsx]Inmigracion(Perfil)'!$M$297:$M$316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Perfil!$R$131:$R$150</c:f>
              <c:numCache>
                <c:formatCode>0,000</c:formatCode>
                <c:ptCount val="20"/>
                <c:pt idx="0">
                  <c:v>0</c:v>
                </c:pt>
                <c:pt idx="1">
                  <c:v>0</c:v>
                </c:pt>
                <c:pt idx="2">
                  <c:v>-1.6760610269891765E-3</c:v>
                </c:pt>
                <c:pt idx="3">
                  <c:v>-6.1646902157067585E-3</c:v>
                </c:pt>
                <c:pt idx="4">
                  <c:v>-9.7578895406904027E-3</c:v>
                </c:pt>
                <c:pt idx="5">
                  <c:v>-1.0664799274472229E-2</c:v>
                </c:pt>
                <c:pt idx="6">
                  <c:v>-1.0331883043083965E-2</c:v>
                </c:pt>
                <c:pt idx="7">
                  <c:v>-8.9887382474830579E-3</c:v>
                </c:pt>
                <c:pt idx="8">
                  <c:v>-9.2986947387755578E-3</c:v>
                </c:pt>
                <c:pt idx="9">
                  <c:v>-7.289717480398139E-3</c:v>
                </c:pt>
                <c:pt idx="10">
                  <c:v>-5.2003811316855934E-3</c:v>
                </c:pt>
                <c:pt idx="11">
                  <c:v>-3.2488032235475149E-3</c:v>
                </c:pt>
                <c:pt idx="12">
                  <c:v>-1.9286181680423409E-3</c:v>
                </c:pt>
                <c:pt idx="13">
                  <c:v>-9.1838960382968648E-4</c:v>
                </c:pt>
                <c:pt idx="14">
                  <c:v>-3.0995649129251894E-4</c:v>
                </c:pt>
                <c:pt idx="15">
                  <c:v>-3.0995649129251894E-4</c:v>
                </c:pt>
                <c:pt idx="16">
                  <c:v>-8.0359090335097646E-5</c:v>
                </c:pt>
                <c:pt idx="17">
                  <c:v>-5.7399350239355378E-5</c:v>
                </c:pt>
                <c:pt idx="18">
                  <c:v>-1.147987004787109E-5</c:v>
                </c:pt>
                <c:pt idx="19">
                  <c:v>-1.147987004787109E-5</c:v>
                </c:pt>
              </c:numCache>
            </c:numRef>
          </c:val>
        </c:ser>
        <c:ser>
          <c:idx val="1"/>
          <c:order val="6"/>
          <c:tx>
            <c:strRef>
              <c:f>Perfil!$M$130</c:f>
              <c:strCache>
                <c:ptCount val="1"/>
                <c:pt idx="0">
                  <c:v>Se ignora</c:v>
                </c:pt>
              </c:strCache>
            </c:strRef>
          </c:tx>
          <c:spPr>
            <a:solidFill>
              <a:schemeClr val="bg1">
                <a:lumMod val="65000"/>
              </a:schemeClr>
            </a:solidFill>
            <a:ln>
              <a:noFill/>
            </a:ln>
          </c:spPr>
          <c:invertIfNegative val="0"/>
          <c:cat>
            <c:strRef>
              <c:f>'[CAPITULO3.xlsx]Inmigracion(Perfil)'!$M$297:$M$316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Perfil!$M$152:$M$171</c:f>
              <c:numCache>
                <c:formatCode>0,000</c:formatCode>
                <c:ptCount val="20"/>
                <c:pt idx="0">
                  <c:v>2.0434168685210547E-3</c:v>
                </c:pt>
                <c:pt idx="1">
                  <c:v>6.4287272268077921E-4</c:v>
                </c:pt>
                <c:pt idx="2">
                  <c:v>4.2475519177122907E-4</c:v>
                </c:pt>
                <c:pt idx="3">
                  <c:v>8.1507077339884723E-4</c:v>
                </c:pt>
                <c:pt idx="4">
                  <c:v>9.1838960382968648E-4</c:v>
                </c:pt>
                <c:pt idx="5">
                  <c:v>9.5282921397329794E-4</c:v>
                </c:pt>
                <c:pt idx="6">
                  <c:v>5.3955389224993996E-4</c:v>
                </c:pt>
                <c:pt idx="7">
                  <c:v>6.3139285263290822E-4</c:v>
                </c:pt>
                <c:pt idx="8">
                  <c:v>4.2475519177122907E-4</c:v>
                </c:pt>
                <c:pt idx="9">
                  <c:v>4.4771493186697192E-4</c:v>
                </c:pt>
                <c:pt idx="10">
                  <c:v>3.5587597148400318E-4</c:v>
                </c:pt>
                <c:pt idx="11">
                  <c:v>3.2143636134038971E-4</c:v>
                </c:pt>
                <c:pt idx="12">
                  <c:v>3.673558415318739E-4</c:v>
                </c:pt>
                <c:pt idx="13">
                  <c:v>1.607181806701951E-4</c:v>
                </c:pt>
                <c:pt idx="14">
                  <c:v>5.7399350239355378E-5</c:v>
                </c:pt>
                <c:pt idx="15">
                  <c:v>1.2627857052658183E-4</c:v>
                </c:pt>
                <c:pt idx="16">
                  <c:v>6.8879220287226478E-5</c:v>
                </c:pt>
                <c:pt idx="17">
                  <c:v>3.4439610143613252E-5</c:v>
                </c:pt>
                <c:pt idx="18">
                  <c:v>0</c:v>
                </c:pt>
                <c:pt idx="19">
                  <c:v>1.147987004787109E-5</c:v>
                </c:pt>
              </c:numCache>
            </c:numRef>
          </c:val>
        </c:ser>
        <c:ser>
          <c:idx val="7"/>
          <c:order val="7"/>
          <c:tx>
            <c:strRef>
              <c:f>Perfil!$N$130</c:f>
              <c:strCache>
                <c:ptCount val="1"/>
                <c:pt idx="0">
                  <c:v>Ninguno</c:v>
                </c:pt>
              </c:strCache>
            </c:strRef>
          </c:tx>
          <c:spPr>
            <a:solidFill>
              <a:srgbClr val="C00000"/>
            </a:solidFill>
          </c:spPr>
          <c:invertIfNegative val="0"/>
          <c:cat>
            <c:strRef>
              <c:f>'[CAPITULO3.xlsx]Inmigracion(Perfil)'!$M$297:$M$316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Perfil!$N$152:$N$171</c:f>
              <c:numCache>
                <c:formatCode>0,000</c:formatCode>
                <c:ptCount val="20"/>
                <c:pt idx="0">
                  <c:v>0</c:v>
                </c:pt>
                <c:pt idx="1">
                  <c:v>0</c:v>
                </c:pt>
                <c:pt idx="2">
                  <c:v>7.6915129320736175E-4</c:v>
                </c:pt>
                <c:pt idx="3">
                  <c:v>1.1020675245956249E-3</c:v>
                </c:pt>
                <c:pt idx="4">
                  <c:v>1.5727421965583378E-3</c:v>
                </c:pt>
                <c:pt idx="5">
                  <c:v>1.3316649255530441E-3</c:v>
                </c:pt>
                <c:pt idx="6">
                  <c:v>2.0204571284253093E-3</c:v>
                </c:pt>
                <c:pt idx="7">
                  <c:v>2.192655179143372E-3</c:v>
                </c:pt>
                <c:pt idx="8">
                  <c:v>2.2041350491912477E-3</c:v>
                </c:pt>
                <c:pt idx="9">
                  <c:v>2.5140915404837649E-3</c:v>
                </c:pt>
                <c:pt idx="10">
                  <c:v>2.9044071221113808E-3</c:v>
                </c:pt>
                <c:pt idx="11">
                  <c:v>2.663329851106093E-3</c:v>
                </c:pt>
                <c:pt idx="12">
                  <c:v>3.1799240032602842E-3</c:v>
                </c:pt>
                <c:pt idx="13">
                  <c:v>2.0893363487125421E-3</c:v>
                </c:pt>
                <c:pt idx="14">
                  <c:v>2.0319369984731772E-3</c:v>
                </c:pt>
                <c:pt idx="15">
                  <c:v>1.2398259651700742E-3</c:v>
                </c:pt>
                <c:pt idx="16">
                  <c:v>7.117519429680056E-4</c:v>
                </c:pt>
                <c:pt idx="17">
                  <c:v>3.5587597148400318E-4</c:v>
                </c:pt>
                <c:pt idx="18">
                  <c:v>1.033188304308397E-4</c:v>
                </c:pt>
                <c:pt idx="19">
                  <c:v>5.7399350239355378E-5</c:v>
                </c:pt>
              </c:numCache>
            </c:numRef>
          </c:val>
        </c:ser>
        <c:ser>
          <c:idx val="8"/>
          <c:order val="8"/>
          <c:tx>
            <c:strRef>
              <c:f>Perfil!$O$130</c:f>
              <c:strCache>
                <c:ptCount val="1"/>
                <c:pt idx="0">
                  <c:v>Centro de Alfabetización</c:v>
                </c:pt>
              </c:strCache>
            </c:strRef>
          </c:tx>
          <c:spPr>
            <a:solidFill>
              <a:schemeClr val="accent3">
                <a:lumMod val="75000"/>
              </a:schemeClr>
            </a:solidFill>
          </c:spPr>
          <c:invertIfNegative val="0"/>
          <c:cat>
            <c:strRef>
              <c:f>'[CAPITULO3.xlsx]Inmigracion(Perfil)'!$M$297:$M$316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Perfil!$O$152:$O$171</c:f>
              <c:numCache>
                <c:formatCode>0,000</c:formatCode>
                <c:ptCount val="20"/>
                <c:pt idx="0">
                  <c:v>0</c:v>
                </c:pt>
                <c:pt idx="1">
                  <c:v>0</c:v>
                </c:pt>
                <c:pt idx="2">
                  <c:v>1.2627857052658183E-4</c:v>
                </c:pt>
                <c:pt idx="3">
                  <c:v>1.8367792076593695E-4</c:v>
                </c:pt>
                <c:pt idx="4">
                  <c:v>1.607181806701951E-4</c:v>
                </c:pt>
                <c:pt idx="5">
                  <c:v>2.1811753090955041E-4</c:v>
                </c:pt>
                <c:pt idx="6">
                  <c:v>2.4107727100529269E-4</c:v>
                </c:pt>
                <c:pt idx="7">
                  <c:v>3.5587597148400318E-4</c:v>
                </c:pt>
                <c:pt idx="8">
                  <c:v>5.8547337244142491E-4</c:v>
                </c:pt>
                <c:pt idx="9">
                  <c:v>4.5919480191484302E-4</c:v>
                </c:pt>
                <c:pt idx="10">
                  <c:v>4.8215454201058474E-4</c:v>
                </c:pt>
                <c:pt idx="11">
                  <c:v>3.4439610143613251E-4</c:v>
                </c:pt>
                <c:pt idx="12">
                  <c:v>2.0663766086167947E-4</c:v>
                </c:pt>
                <c:pt idx="13">
                  <c:v>1.4923831062232411E-4</c:v>
                </c:pt>
                <c:pt idx="14">
                  <c:v>4.5919480191484305E-5</c:v>
                </c:pt>
                <c:pt idx="15">
                  <c:v>1.147987004787109E-5</c:v>
                </c:pt>
                <c:pt idx="16">
                  <c:v>0</c:v>
                </c:pt>
                <c:pt idx="17">
                  <c:v>0</c:v>
                </c:pt>
                <c:pt idx="18">
                  <c:v>0</c:v>
                </c:pt>
                <c:pt idx="19">
                  <c:v>0</c:v>
                </c:pt>
              </c:numCache>
            </c:numRef>
          </c:val>
        </c:ser>
        <c:ser>
          <c:idx val="9"/>
          <c:order val="9"/>
          <c:tx>
            <c:strRef>
              <c:f>Perfil!$P$130</c:f>
              <c:strCache>
                <c:ptCount val="1"/>
                <c:pt idx="0">
                  <c:v>Primaria</c:v>
                </c:pt>
              </c:strCache>
            </c:strRef>
          </c:tx>
          <c:spPr>
            <a:solidFill>
              <a:schemeClr val="accent6">
                <a:lumMod val="75000"/>
              </a:schemeClr>
            </a:solidFill>
            <a:ln>
              <a:noFill/>
            </a:ln>
          </c:spPr>
          <c:invertIfNegative val="0"/>
          <c:cat>
            <c:strRef>
              <c:f>'[CAPITULO3.xlsx]Inmigracion(Perfil)'!$M$297:$M$316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Perfil!$P$152:$P$171</c:f>
              <c:numCache>
                <c:formatCode>0,000</c:formatCode>
                <c:ptCount val="20"/>
                <c:pt idx="0">
                  <c:v>2.5347553065699295E-2</c:v>
                </c:pt>
                <c:pt idx="1">
                  <c:v>2.236278685325279E-2</c:v>
                </c:pt>
                <c:pt idx="2">
                  <c:v>1.0320403173036081E-2</c:v>
                </c:pt>
                <c:pt idx="3">
                  <c:v>1.4372797299934565E-2</c:v>
                </c:pt>
                <c:pt idx="4">
                  <c:v>1.8528510257263913E-2</c:v>
                </c:pt>
                <c:pt idx="5">
                  <c:v>1.7770838834104397E-2</c:v>
                </c:pt>
                <c:pt idx="6">
                  <c:v>1.7678999873721409E-2</c:v>
                </c:pt>
                <c:pt idx="7">
                  <c:v>1.6152177157354577E-2</c:v>
                </c:pt>
                <c:pt idx="8">
                  <c:v>1.624401611773757E-2</c:v>
                </c:pt>
                <c:pt idx="9">
                  <c:v>1.3684005097062338E-2</c:v>
                </c:pt>
                <c:pt idx="10">
                  <c:v>1.208830316040822E-2</c:v>
                </c:pt>
                <c:pt idx="11">
                  <c:v>8.3917850049937508E-3</c:v>
                </c:pt>
                <c:pt idx="12">
                  <c:v>6.5435259272865025E-3</c:v>
                </c:pt>
                <c:pt idx="13">
                  <c:v>4.1557129573293215E-3</c:v>
                </c:pt>
                <c:pt idx="14">
                  <c:v>3.0536454327336981E-3</c:v>
                </c:pt>
                <c:pt idx="15">
                  <c:v>1.6186616767498207E-3</c:v>
                </c:pt>
                <c:pt idx="16">
                  <c:v>8.8394999368607416E-4</c:v>
                </c:pt>
                <c:pt idx="17">
                  <c:v>3.3291623138826081E-4</c:v>
                </c:pt>
                <c:pt idx="18">
                  <c:v>5.7399350239355378E-5</c:v>
                </c:pt>
                <c:pt idx="19">
                  <c:v>5.7399350239355378E-5</c:v>
                </c:pt>
              </c:numCache>
            </c:numRef>
          </c:val>
        </c:ser>
        <c:ser>
          <c:idx val="10"/>
          <c:order val="10"/>
          <c:tx>
            <c:strRef>
              <c:f>Perfil!$Q$130</c:f>
              <c:strCache>
                <c:ptCount val="1"/>
                <c:pt idx="0">
                  <c:v>Secundaria</c:v>
                </c:pt>
              </c:strCache>
            </c:strRef>
          </c:tx>
          <c:spPr>
            <a:solidFill>
              <a:srgbClr val="00B0F0"/>
            </a:solidFill>
          </c:spPr>
          <c:invertIfNegative val="0"/>
          <c:cat>
            <c:strRef>
              <c:f>'[CAPITULO3.xlsx]Inmigracion(Perfil)'!$M$297:$M$316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Perfil!$Q$152:$Q$171</c:f>
              <c:numCache>
                <c:formatCode>0,000</c:formatCode>
                <c:ptCount val="20"/>
                <c:pt idx="0">
                  <c:v>0</c:v>
                </c:pt>
                <c:pt idx="1">
                  <c:v>1.110103433629132E-2</c:v>
                </c:pt>
                <c:pt idx="2">
                  <c:v>2.6357781629911956E-2</c:v>
                </c:pt>
                <c:pt idx="3">
                  <c:v>2.8711154989725516E-2</c:v>
                </c:pt>
                <c:pt idx="4">
                  <c:v>3.0329816666475388E-2</c:v>
                </c:pt>
                <c:pt idx="5">
                  <c:v>2.425696541115158E-2</c:v>
                </c:pt>
                <c:pt idx="6">
                  <c:v>1.8746627788173445E-2</c:v>
                </c:pt>
                <c:pt idx="7">
                  <c:v>1.5474864824530187E-2</c:v>
                </c:pt>
                <c:pt idx="8">
                  <c:v>1.4292438209599467E-2</c:v>
                </c:pt>
                <c:pt idx="9">
                  <c:v>9.7004901904510447E-3</c:v>
                </c:pt>
                <c:pt idx="10">
                  <c:v>7.1978785200151486E-3</c:v>
                </c:pt>
                <c:pt idx="11">
                  <c:v>4.178672697425073E-3</c:v>
                </c:pt>
                <c:pt idx="12">
                  <c:v>2.9503266023028643E-3</c:v>
                </c:pt>
                <c:pt idx="13">
                  <c:v>1.6186616767498207E-3</c:v>
                </c:pt>
                <c:pt idx="14">
                  <c:v>9.9874869416478494E-4</c:v>
                </c:pt>
                <c:pt idx="15">
                  <c:v>5.0511428210632742E-4</c:v>
                </c:pt>
                <c:pt idx="16">
                  <c:v>1.951577908138084E-4</c:v>
                </c:pt>
                <c:pt idx="17">
                  <c:v>3.4439610143613252E-5</c:v>
                </c:pt>
                <c:pt idx="18">
                  <c:v>4.5919480191484305E-5</c:v>
                </c:pt>
                <c:pt idx="19">
                  <c:v>2.2959740095742153E-5</c:v>
                </c:pt>
              </c:numCache>
            </c:numRef>
          </c:val>
        </c:ser>
        <c:ser>
          <c:idx val="11"/>
          <c:order val="11"/>
          <c:tx>
            <c:strRef>
              <c:f>Perfil!$R$130</c:f>
              <c:strCache>
                <c:ptCount val="1"/>
                <c:pt idx="0">
                  <c:v>Superior</c:v>
                </c:pt>
              </c:strCache>
            </c:strRef>
          </c:tx>
          <c:spPr>
            <a:solidFill>
              <a:srgbClr val="D735B4"/>
            </a:solidFill>
          </c:spPr>
          <c:invertIfNegative val="0"/>
          <c:cat>
            <c:strRef>
              <c:f>'[CAPITULO3.xlsx]Inmigracion(Perfil)'!$M$297:$M$316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Más de 100</c:v>
                </c:pt>
              </c:strCache>
            </c:strRef>
          </c:cat>
          <c:val>
            <c:numRef>
              <c:f>Perfil!$R$152:$R$171</c:f>
              <c:numCache>
                <c:formatCode>0,000</c:formatCode>
                <c:ptCount val="20"/>
                <c:pt idx="0">
                  <c:v>0</c:v>
                </c:pt>
                <c:pt idx="1">
                  <c:v>0</c:v>
                </c:pt>
                <c:pt idx="2">
                  <c:v>2.2041350491912477E-3</c:v>
                </c:pt>
                <c:pt idx="3">
                  <c:v>8.7935804566692533E-3</c:v>
                </c:pt>
                <c:pt idx="4">
                  <c:v>1.28918940637592E-2</c:v>
                </c:pt>
                <c:pt idx="5">
                  <c:v>1.3764364187397401E-2</c:v>
                </c:pt>
                <c:pt idx="6">
                  <c:v>1.0722198624711585E-2</c:v>
                </c:pt>
                <c:pt idx="7">
                  <c:v>9.4020135692064171E-3</c:v>
                </c:pt>
                <c:pt idx="8">
                  <c:v>8.4032648750416352E-3</c:v>
                </c:pt>
                <c:pt idx="9">
                  <c:v>6.0384116451801858E-3</c:v>
                </c:pt>
                <c:pt idx="10">
                  <c:v>3.8457564660368052E-3</c:v>
                </c:pt>
                <c:pt idx="11">
                  <c:v>2.3648532298614407E-3</c:v>
                </c:pt>
                <c:pt idx="12">
                  <c:v>1.2053863550264611E-3</c:v>
                </c:pt>
                <c:pt idx="13">
                  <c:v>5.7399350239355381E-4</c:v>
                </c:pt>
                <c:pt idx="14">
                  <c:v>3.0995649129251894E-4</c:v>
                </c:pt>
                <c:pt idx="15">
                  <c:v>5.7399350239355378E-5</c:v>
                </c:pt>
                <c:pt idx="16">
                  <c:v>3.4439610143613252E-5</c:v>
                </c:pt>
                <c:pt idx="17">
                  <c:v>0</c:v>
                </c:pt>
                <c:pt idx="18">
                  <c:v>0</c:v>
                </c:pt>
                <c:pt idx="19">
                  <c:v>0</c:v>
                </c:pt>
              </c:numCache>
            </c:numRef>
          </c:val>
        </c:ser>
        <c:dLbls>
          <c:showLegendKey val="0"/>
          <c:showVal val="0"/>
          <c:showCatName val="0"/>
          <c:showSerName val="0"/>
          <c:showPercent val="0"/>
          <c:showBubbleSize val="0"/>
        </c:dLbls>
        <c:gapWidth val="0"/>
        <c:overlap val="100"/>
        <c:axId val="253800832"/>
        <c:axId val="253802752"/>
      </c:barChart>
      <c:catAx>
        <c:axId val="253800832"/>
        <c:scaling>
          <c:orientation val="minMax"/>
        </c:scaling>
        <c:delete val="0"/>
        <c:axPos val="l"/>
        <c:title>
          <c:tx>
            <c:rich>
              <a:bodyPr rot="-5400000" vert="horz"/>
              <a:lstStyle/>
              <a:p>
                <a:pPr>
                  <a:defRPr sz="800"/>
                </a:pPr>
                <a:r>
                  <a:rPr lang="es-EC" sz="800"/>
                  <a:t>Grupos Etarios</a:t>
                </a:r>
              </a:p>
            </c:rich>
          </c:tx>
          <c:overlay val="0"/>
        </c:title>
        <c:majorTickMark val="out"/>
        <c:minorTickMark val="none"/>
        <c:tickLblPos val="nextTo"/>
        <c:spPr>
          <a:ln>
            <a:solidFill>
              <a:sysClr val="windowText" lastClr="000000"/>
            </a:solidFill>
          </a:ln>
        </c:spPr>
        <c:crossAx val="253802752"/>
        <c:crossesAt val="-15"/>
        <c:auto val="1"/>
        <c:lblAlgn val="ctr"/>
        <c:lblOffset val="100"/>
        <c:noMultiLvlLbl val="0"/>
      </c:catAx>
      <c:valAx>
        <c:axId val="253802752"/>
        <c:scaling>
          <c:orientation val="minMax"/>
          <c:max val="7.0000000000000021E-2"/>
          <c:min val="-7.0000000000000021E-2"/>
        </c:scaling>
        <c:delete val="0"/>
        <c:axPos val="b"/>
        <c:majorGridlines>
          <c:spPr>
            <a:ln>
              <a:prstDash val="dash"/>
            </a:ln>
          </c:spPr>
        </c:majorGridlines>
        <c:numFmt formatCode="0%;0%" sourceLinked="0"/>
        <c:majorTickMark val="out"/>
        <c:minorTickMark val="none"/>
        <c:tickLblPos val="nextTo"/>
        <c:spPr>
          <a:ln>
            <a:solidFill>
              <a:schemeClr val="tx1"/>
            </a:solidFill>
          </a:ln>
        </c:spPr>
        <c:txPr>
          <a:bodyPr/>
          <a:lstStyle/>
          <a:p>
            <a:pPr>
              <a:defRPr sz="750"/>
            </a:pPr>
            <a:endParaRPr lang="es-EC"/>
          </a:p>
        </c:txPr>
        <c:crossAx val="253800832"/>
        <c:crosses val="autoZero"/>
        <c:crossBetween val="between"/>
        <c:majorUnit val="2.0000000000000011E-2"/>
      </c:valAx>
      <c:spPr>
        <a:noFill/>
        <a:ln>
          <a:solidFill>
            <a:sysClr val="windowText" lastClr="000000"/>
          </a:solidFill>
        </a:ln>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83593672990468859"/>
          <c:y val="0.20159823985555353"/>
          <c:w val="0.15451203019174575"/>
          <c:h val="0.56848989898989966"/>
        </c:manualLayout>
      </c:layout>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s-EC"/>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87904636920384"/>
          <c:y val="8.3333333333333343E-2"/>
          <c:w val="0.75582239720034994"/>
          <c:h val="0.75725914971288488"/>
        </c:manualLayout>
      </c:layout>
      <c:barChart>
        <c:barDir val="bar"/>
        <c:grouping val="stacked"/>
        <c:varyColors val="0"/>
        <c:ser>
          <c:idx val="0"/>
          <c:order val="0"/>
          <c:tx>
            <c:strRef>
              <c:f>Perfil!$H$39</c:f>
              <c:strCache>
                <c:ptCount val="1"/>
                <c:pt idx="0">
                  <c:v>Hombre</c:v>
                </c:pt>
              </c:strCache>
            </c:strRef>
          </c:tx>
          <c:spPr>
            <a:solidFill>
              <a:srgbClr val="00B0F0"/>
            </a:solidFill>
          </c:spPr>
          <c:invertIfNegative val="0"/>
          <c:dLbls>
            <c:numFmt formatCode="#,##0.000" sourceLinked="0"/>
            <c:dLblPos val="ctr"/>
            <c:showLegendKey val="0"/>
            <c:showVal val="1"/>
            <c:showCatName val="0"/>
            <c:showSerName val="0"/>
            <c:showPercent val="0"/>
            <c:showBubbleSize val="0"/>
            <c:showLeaderLines val="0"/>
          </c:dLbls>
          <c:cat>
            <c:strRef>
              <c:f>Perfil!$G$40:$G$45</c:f>
              <c:strCache>
                <c:ptCount val="6"/>
                <c:pt idx="0">
                  <c:v>Se ignora</c:v>
                </c:pt>
                <c:pt idx="1">
                  <c:v>Ninguno</c:v>
                </c:pt>
                <c:pt idx="2">
                  <c:v>Centro de 
Alfabetización</c:v>
                </c:pt>
                <c:pt idx="3">
                  <c:v>Primaria</c:v>
                </c:pt>
                <c:pt idx="4">
                  <c:v>Secundaria</c:v>
                </c:pt>
                <c:pt idx="5">
                  <c:v>Superior</c:v>
                </c:pt>
              </c:strCache>
            </c:strRef>
          </c:cat>
          <c:val>
            <c:numRef>
              <c:f>Perfil!$H$40:$H$45</c:f>
              <c:numCache>
                <c:formatCode>0,000</c:formatCode>
                <c:ptCount val="6"/>
                <c:pt idx="0">
                  <c:v>0.49396621078037045</c:v>
                </c:pt>
                <c:pt idx="1">
                  <c:v>0.46460264247682903</c:v>
                </c:pt>
                <c:pt idx="2">
                  <c:v>0.33261802575107341</c:v>
                </c:pt>
                <c:pt idx="3">
                  <c:v>0.488158300400796</c:v>
                </c:pt>
                <c:pt idx="4">
                  <c:v>0.44697605370167182</c:v>
                </c:pt>
                <c:pt idx="5">
                  <c:v>0.48609484777517581</c:v>
                </c:pt>
              </c:numCache>
            </c:numRef>
          </c:val>
        </c:ser>
        <c:ser>
          <c:idx val="1"/>
          <c:order val="1"/>
          <c:tx>
            <c:strRef>
              <c:f>Perfil!$I$39</c:f>
              <c:strCache>
                <c:ptCount val="1"/>
                <c:pt idx="0">
                  <c:v>Mujer</c:v>
                </c:pt>
              </c:strCache>
            </c:strRef>
          </c:tx>
          <c:spPr>
            <a:solidFill>
              <a:srgbClr val="E010C2"/>
            </a:solidFill>
          </c:spPr>
          <c:invertIfNegative val="0"/>
          <c:dLbls>
            <c:numFmt formatCode="#,##0.000" sourceLinked="0"/>
            <c:txPr>
              <a:bodyPr/>
              <a:lstStyle/>
              <a:p>
                <a:pPr>
                  <a:defRPr>
                    <a:solidFill>
                      <a:schemeClr val="bg1"/>
                    </a:solidFill>
                  </a:defRPr>
                </a:pPr>
                <a:endParaRPr lang="es-EC"/>
              </a:p>
            </c:txPr>
            <c:dLblPos val="ctr"/>
            <c:showLegendKey val="0"/>
            <c:showVal val="1"/>
            <c:showCatName val="0"/>
            <c:showSerName val="0"/>
            <c:showPercent val="0"/>
            <c:showBubbleSize val="0"/>
            <c:showLeaderLines val="0"/>
          </c:dLbls>
          <c:cat>
            <c:strRef>
              <c:f>Perfil!$G$40:$G$45</c:f>
              <c:strCache>
                <c:ptCount val="6"/>
                <c:pt idx="0">
                  <c:v>Se ignora</c:v>
                </c:pt>
                <c:pt idx="1">
                  <c:v>Ninguno</c:v>
                </c:pt>
                <c:pt idx="2">
                  <c:v>Centro de 
Alfabetización</c:v>
                </c:pt>
                <c:pt idx="3">
                  <c:v>Primaria</c:v>
                </c:pt>
                <c:pt idx="4">
                  <c:v>Secundaria</c:v>
                </c:pt>
                <c:pt idx="5">
                  <c:v>Superior</c:v>
                </c:pt>
              </c:strCache>
            </c:strRef>
          </c:cat>
          <c:val>
            <c:numRef>
              <c:f>Perfil!$I$40:$I$45</c:f>
              <c:numCache>
                <c:formatCode>0,000</c:formatCode>
                <c:ptCount val="6"/>
                <c:pt idx="0">
                  <c:v>0.50603378921962905</c:v>
                </c:pt>
                <c:pt idx="1">
                  <c:v>0.53539735752317208</c:v>
                </c:pt>
                <c:pt idx="2">
                  <c:v>0.66738197424892765</c:v>
                </c:pt>
                <c:pt idx="3">
                  <c:v>0.51184169959920478</c:v>
                </c:pt>
                <c:pt idx="4">
                  <c:v>0.55302394629832863</c:v>
                </c:pt>
                <c:pt idx="5">
                  <c:v>0.51390515222482525</c:v>
                </c:pt>
              </c:numCache>
            </c:numRef>
          </c:val>
        </c:ser>
        <c:dLbls>
          <c:showLegendKey val="0"/>
          <c:showVal val="0"/>
          <c:showCatName val="0"/>
          <c:showSerName val="0"/>
          <c:showPercent val="0"/>
          <c:showBubbleSize val="0"/>
        </c:dLbls>
        <c:gapWidth val="40"/>
        <c:overlap val="100"/>
        <c:axId val="253691776"/>
        <c:axId val="253706240"/>
      </c:barChart>
      <c:catAx>
        <c:axId val="253691776"/>
        <c:scaling>
          <c:orientation val="maxMin"/>
        </c:scaling>
        <c:delete val="0"/>
        <c:axPos val="l"/>
        <c:title>
          <c:tx>
            <c:rich>
              <a:bodyPr rot="-5400000" vert="horz"/>
              <a:lstStyle/>
              <a:p>
                <a:pPr>
                  <a:defRPr sz="730"/>
                </a:pPr>
                <a:r>
                  <a:rPr lang="es-EC" sz="730"/>
                  <a:t>Nivel más alto de Instrucción</a:t>
                </a:r>
              </a:p>
            </c:rich>
          </c:tx>
          <c:overlay val="0"/>
        </c:title>
        <c:majorTickMark val="out"/>
        <c:minorTickMark val="none"/>
        <c:tickLblPos val="nextTo"/>
        <c:spPr>
          <a:ln>
            <a:solidFill>
              <a:schemeClr val="tx1"/>
            </a:solidFill>
          </a:ln>
        </c:spPr>
        <c:txPr>
          <a:bodyPr/>
          <a:lstStyle/>
          <a:p>
            <a:pPr>
              <a:defRPr sz="730"/>
            </a:pPr>
            <a:endParaRPr lang="es-EC"/>
          </a:p>
        </c:txPr>
        <c:crossAx val="253706240"/>
        <c:crosses val="autoZero"/>
        <c:auto val="1"/>
        <c:lblAlgn val="ctr"/>
        <c:lblOffset val="100"/>
        <c:noMultiLvlLbl val="0"/>
      </c:catAx>
      <c:valAx>
        <c:axId val="253706240"/>
        <c:scaling>
          <c:orientation val="minMax"/>
          <c:max val="1"/>
        </c:scaling>
        <c:delete val="0"/>
        <c:axPos val="t"/>
        <c:title>
          <c:tx>
            <c:rich>
              <a:bodyPr/>
              <a:lstStyle/>
              <a:p>
                <a:pPr>
                  <a:defRPr/>
                </a:pPr>
                <a:r>
                  <a:rPr lang="es-EC"/>
                  <a:t>Frecuencia Relativa</a:t>
                </a:r>
              </a:p>
            </c:rich>
          </c:tx>
          <c:layout>
            <c:manualLayout>
              <c:xMode val="edge"/>
              <c:yMode val="edge"/>
              <c:x val="0.47801246719160179"/>
              <c:y val="0.92289370439556473"/>
            </c:manualLayout>
          </c:layout>
          <c:overlay val="0"/>
        </c:title>
        <c:numFmt formatCode="#,##0.00" sourceLinked="0"/>
        <c:majorTickMark val="in"/>
        <c:minorTickMark val="none"/>
        <c:tickLblPos val="high"/>
        <c:spPr>
          <a:ln>
            <a:solidFill>
              <a:schemeClr val="tx1"/>
            </a:solidFill>
          </a:ln>
        </c:spPr>
        <c:crossAx val="253691776"/>
        <c:crossesAt val="7"/>
        <c:crossBetween val="between"/>
        <c:majorUnit val="0.2"/>
      </c:valAx>
      <c:spPr>
        <a:noFill/>
        <a:ln>
          <a:solidFill>
            <a:schemeClr val="tx1"/>
          </a:solidFill>
        </a:ln>
      </c:spPr>
    </c:plotArea>
    <c:legend>
      <c:legendPos val="t"/>
      <c:layout>
        <c:manualLayout>
          <c:xMode val="edge"/>
          <c:yMode val="edge"/>
          <c:x val="0.29242804024496993"/>
          <c:y val="1.339879242889173E-3"/>
          <c:w val="0.56792169728783992"/>
          <c:h val="6.8729585885097699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Perfil!$S$130</c:f>
              <c:strCache>
                <c:ptCount val="1"/>
                <c:pt idx="0">
                  <c:v>Tasa de Universitarios</c:v>
                </c:pt>
              </c:strCache>
            </c:strRef>
          </c:tx>
          <c:spPr>
            <a:ln w="19050">
              <a:solidFill>
                <a:srgbClr val="0070C0"/>
              </a:solidFill>
            </a:ln>
          </c:spPr>
          <c:marker>
            <c:symbol val="none"/>
          </c:marker>
          <c:cat>
            <c:strRef>
              <c:f>Perfil!$C$107:$C$124</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Perfil!$S$133:$S$150</c:f>
              <c:numCache>
                <c:formatCode>0.00</c:formatCode>
                <c:ptCount val="18"/>
                <c:pt idx="0">
                  <c:v>43.621153271586493</c:v>
                </c:pt>
                <c:pt idx="1">
                  <c:v>135.29856386999228</c:v>
                </c:pt>
                <c:pt idx="2">
                  <c:v>180.85106382978725</c:v>
                </c:pt>
                <c:pt idx="3">
                  <c:v>222.14251554280222</c:v>
                </c:pt>
                <c:pt idx="4">
                  <c:v>240.06401707121898</c:v>
                </c:pt>
                <c:pt idx="5">
                  <c:v>236.84210526315763</c:v>
                </c:pt>
                <c:pt idx="6">
                  <c:v>251.86567164179098</c:v>
                </c:pt>
                <c:pt idx="7">
                  <c:v>250.49309664694275</c:v>
                </c:pt>
                <c:pt idx="8">
                  <c:v>217.37044145873361</c:v>
                </c:pt>
                <c:pt idx="9">
                  <c:v>181.06206014075497</c:v>
                </c:pt>
                <c:pt idx="10">
                  <c:v>150.40286481647269</c:v>
                </c:pt>
                <c:pt idx="11">
                  <c:v>107.81671159029651</c:v>
                </c:pt>
                <c:pt idx="12">
                  <c:v>56.842105263157912</c:v>
                </c:pt>
                <c:pt idx="13">
                  <c:v>92.783505154639158</c:v>
                </c:pt>
                <c:pt idx="14">
                  <c:v>56.451612903225808</c:v>
                </c:pt>
                <c:pt idx="15">
                  <c:v>81.967213114754102</c:v>
                </c:pt>
                <c:pt idx="16">
                  <c:v>58.823529411764639</c:v>
                </c:pt>
                <c:pt idx="17">
                  <c:v>142.85714285714312</c:v>
                </c:pt>
              </c:numCache>
            </c:numRef>
          </c:val>
          <c:smooth val="1"/>
        </c:ser>
        <c:ser>
          <c:idx val="1"/>
          <c:order val="1"/>
          <c:tx>
            <c:strRef>
              <c:f>Perfil!$T$130</c:f>
              <c:strCache>
                <c:ptCount val="1"/>
                <c:pt idx="0">
                  <c:v>No especifica</c:v>
                </c:pt>
              </c:strCache>
            </c:strRef>
          </c:tx>
          <c:spPr>
            <a:ln w="19050">
              <a:solidFill>
                <a:srgbClr val="E010C2"/>
              </a:solidFill>
            </a:ln>
          </c:spPr>
          <c:marker>
            <c:symbol val="none"/>
          </c:marker>
          <c:cat>
            <c:strRef>
              <c:f>Perfil!$C$107:$C$124</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Perfil!$T$133:$T$150</c:f>
              <c:numCache>
                <c:formatCode>0.00</c:formatCode>
                <c:ptCount val="18"/>
                <c:pt idx="0">
                  <c:v>13.4448760083657</c:v>
                </c:pt>
                <c:pt idx="1">
                  <c:v>17.888636936255942</c:v>
                </c:pt>
                <c:pt idx="2">
                  <c:v>14.893617021276597</c:v>
                </c:pt>
                <c:pt idx="3">
                  <c:v>16.738402678144407</c:v>
                </c:pt>
                <c:pt idx="4">
                  <c:v>14.670578821018939</c:v>
                </c:pt>
                <c:pt idx="5">
                  <c:v>17.241379310344826</c:v>
                </c:pt>
                <c:pt idx="6">
                  <c:v>12.748756218905472</c:v>
                </c:pt>
                <c:pt idx="7">
                  <c:v>14.990138067061142</c:v>
                </c:pt>
                <c:pt idx="8">
                  <c:v>15.355086372360867</c:v>
                </c:pt>
                <c:pt idx="9">
                  <c:v>18.554062699936033</c:v>
                </c:pt>
                <c:pt idx="10">
                  <c:v>18.800358102059111</c:v>
                </c:pt>
                <c:pt idx="11">
                  <c:v>16.172506738544474</c:v>
                </c:pt>
                <c:pt idx="12">
                  <c:v>21.052631578947317</c:v>
                </c:pt>
                <c:pt idx="13">
                  <c:v>27.491408934707874</c:v>
                </c:pt>
                <c:pt idx="14">
                  <c:v>16.129032258064516</c:v>
                </c:pt>
                <c:pt idx="15">
                  <c:v>32.786885245901651</c:v>
                </c:pt>
                <c:pt idx="16">
                  <c:v>0</c:v>
                </c:pt>
                <c:pt idx="17">
                  <c:v>142.85714285714312</c:v>
                </c:pt>
              </c:numCache>
            </c:numRef>
          </c:val>
          <c:smooth val="1"/>
        </c:ser>
        <c:ser>
          <c:idx val="2"/>
          <c:order val="2"/>
          <c:tx>
            <c:strRef>
              <c:f>Perfil!$U$130</c:f>
              <c:strCache>
                <c:ptCount val="1"/>
                <c:pt idx="0">
                  <c:v>Tasa de no universitarios</c:v>
                </c:pt>
              </c:strCache>
            </c:strRef>
          </c:tx>
          <c:spPr>
            <a:ln w="19050">
              <a:solidFill>
                <a:schemeClr val="accent6">
                  <a:lumMod val="75000"/>
                </a:schemeClr>
              </a:solidFill>
            </a:ln>
          </c:spPr>
          <c:marker>
            <c:symbol val="none"/>
          </c:marker>
          <c:val>
            <c:numRef>
              <c:f>Perfil!$U$133:$U$150</c:f>
              <c:numCache>
                <c:formatCode>0.00</c:formatCode>
                <c:ptCount val="18"/>
                <c:pt idx="0">
                  <c:v>942.93397072004802</c:v>
                </c:pt>
                <c:pt idx="1">
                  <c:v>846.81279919375049</c:v>
                </c:pt>
                <c:pt idx="2">
                  <c:v>804.25531914893622</c:v>
                </c:pt>
                <c:pt idx="3">
                  <c:v>761.11908177905354</c:v>
                </c:pt>
                <c:pt idx="4">
                  <c:v>745.26540410776215</c:v>
                </c:pt>
                <c:pt idx="5">
                  <c:v>745.91651542649731</c:v>
                </c:pt>
                <c:pt idx="6">
                  <c:v>735.38557213930358</c:v>
                </c:pt>
                <c:pt idx="7">
                  <c:v>734.51676528599546</c:v>
                </c:pt>
                <c:pt idx="8">
                  <c:v>767.2744721689071</c:v>
                </c:pt>
                <c:pt idx="9">
                  <c:v>800.3838771593098</c:v>
                </c:pt>
                <c:pt idx="10">
                  <c:v>830.79677708146824</c:v>
                </c:pt>
                <c:pt idx="11">
                  <c:v>876.01078167115986</c:v>
                </c:pt>
                <c:pt idx="12">
                  <c:v>922.1052631578948</c:v>
                </c:pt>
                <c:pt idx="13">
                  <c:v>879.72508591065355</c:v>
                </c:pt>
                <c:pt idx="14">
                  <c:v>927.41935483870941</c:v>
                </c:pt>
                <c:pt idx="15">
                  <c:v>885.24590163934454</c:v>
                </c:pt>
                <c:pt idx="16">
                  <c:v>941.17647058823604</c:v>
                </c:pt>
                <c:pt idx="17">
                  <c:v>714.28571428571433</c:v>
                </c:pt>
              </c:numCache>
            </c:numRef>
          </c:val>
          <c:smooth val="0"/>
        </c:ser>
        <c:dLbls>
          <c:showLegendKey val="0"/>
          <c:showVal val="0"/>
          <c:showCatName val="0"/>
          <c:showSerName val="0"/>
          <c:showPercent val="0"/>
          <c:showBubbleSize val="0"/>
        </c:dLbls>
        <c:marker val="1"/>
        <c:smooth val="0"/>
        <c:axId val="253732352"/>
        <c:axId val="253734272"/>
      </c:lineChart>
      <c:catAx>
        <c:axId val="253732352"/>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53734272"/>
        <c:crosses val="autoZero"/>
        <c:auto val="1"/>
        <c:lblAlgn val="ctr"/>
        <c:lblOffset val="100"/>
        <c:noMultiLvlLbl val="0"/>
      </c:catAx>
      <c:valAx>
        <c:axId val="253734272"/>
        <c:scaling>
          <c:orientation val="minMax"/>
          <c:max val="1000"/>
          <c:min val="0"/>
        </c:scaling>
        <c:delete val="0"/>
        <c:axPos val="l"/>
        <c:title>
          <c:tx>
            <c:rich>
              <a:bodyPr rot="-5400000" vert="horz"/>
              <a:lstStyle/>
              <a:p>
                <a:pPr>
                  <a:defRPr sz="700"/>
                </a:pPr>
                <a:r>
                  <a:rPr lang="es-EC" sz="700"/>
                  <a:t>Tasa por</a:t>
                </a:r>
                <a:r>
                  <a:rPr lang="es-EC" sz="700" baseline="0"/>
                  <a:t> cada 1000 colombianos</a:t>
                </a:r>
                <a:endParaRPr lang="es-EC" sz="700"/>
              </a:p>
            </c:rich>
          </c:tx>
          <c:layout>
            <c:manualLayout>
              <c:xMode val="edge"/>
              <c:yMode val="edge"/>
              <c:x val="0"/>
              <c:y val="6.59123690619753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53732352"/>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Perfil!$S$130</c:f>
              <c:strCache>
                <c:ptCount val="1"/>
                <c:pt idx="0">
                  <c:v>Tasa de Universitarios</c:v>
                </c:pt>
              </c:strCache>
            </c:strRef>
          </c:tx>
          <c:spPr>
            <a:ln w="19050">
              <a:solidFill>
                <a:srgbClr val="0070C0"/>
              </a:solidFill>
            </a:ln>
          </c:spPr>
          <c:marker>
            <c:symbol val="none"/>
          </c:marker>
          <c:cat>
            <c:strRef>
              <c:f>Perfil!$C$107:$C$124</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Perfil!$S$154:$S$171</c:f>
              <c:numCache>
                <c:formatCode>0.00</c:formatCode>
                <c:ptCount val="18"/>
                <c:pt idx="0">
                  <c:v>54.825813820673943</c:v>
                </c:pt>
                <c:pt idx="1">
                  <c:v>162.90940025521061</c:v>
                </c:pt>
                <c:pt idx="2">
                  <c:v>200.17825311942957</c:v>
                </c:pt>
                <c:pt idx="3">
                  <c:v>236.1165813312326</c:v>
                </c:pt>
                <c:pt idx="4">
                  <c:v>214.66329579407</c:v>
                </c:pt>
                <c:pt idx="5">
                  <c:v>212.67203323811998</c:v>
                </c:pt>
                <c:pt idx="6">
                  <c:v>199.34640522875799</c:v>
                </c:pt>
                <c:pt idx="7">
                  <c:v>183.85180006990561</c:v>
                </c:pt>
                <c:pt idx="8">
                  <c:v>143.10123878684323</c:v>
                </c:pt>
                <c:pt idx="9">
                  <c:v>129.478315524827</c:v>
                </c:pt>
                <c:pt idx="10">
                  <c:v>83.399523431294696</c:v>
                </c:pt>
                <c:pt idx="11">
                  <c:v>65.616797900262469</c:v>
                </c:pt>
                <c:pt idx="12">
                  <c:v>47.703180212014132</c:v>
                </c:pt>
                <c:pt idx="13">
                  <c:v>16.129032258064516</c:v>
                </c:pt>
                <c:pt idx="14">
                  <c:v>18.181818181818208</c:v>
                </c:pt>
                <c:pt idx="15">
                  <c:v>0</c:v>
                </c:pt>
                <c:pt idx="16">
                  <c:v>0</c:v>
                </c:pt>
                <c:pt idx="17">
                  <c:v>0</c:v>
                </c:pt>
              </c:numCache>
            </c:numRef>
          </c:val>
          <c:smooth val="1"/>
        </c:ser>
        <c:ser>
          <c:idx val="1"/>
          <c:order val="1"/>
          <c:tx>
            <c:strRef>
              <c:f>Perfil!$T$130</c:f>
              <c:strCache>
                <c:ptCount val="1"/>
                <c:pt idx="0">
                  <c:v>No especifica</c:v>
                </c:pt>
              </c:strCache>
            </c:strRef>
          </c:tx>
          <c:spPr>
            <a:ln w="19050">
              <a:solidFill>
                <a:srgbClr val="E010C2"/>
              </a:solidFill>
            </a:ln>
          </c:spPr>
          <c:marker>
            <c:symbol val="none"/>
          </c:marker>
          <c:cat>
            <c:strRef>
              <c:f>Perfil!$C$107:$C$124</c:f>
              <c:strCache>
                <c:ptCount val="18"/>
                <c:pt idx="0">
                  <c:v>  15 a 19 </c:v>
                </c:pt>
                <c:pt idx="1">
                  <c:v>  20 a 24 </c:v>
                </c:pt>
                <c:pt idx="2">
                  <c:v>  25 a 29 </c:v>
                </c:pt>
                <c:pt idx="3">
                  <c:v>  30 a 34 </c:v>
                </c:pt>
                <c:pt idx="4">
                  <c:v>  35 a 39 </c:v>
                </c:pt>
                <c:pt idx="5">
                  <c:v>  40 a 44 </c:v>
                </c:pt>
                <c:pt idx="6">
                  <c:v>  45 a 49 </c:v>
                </c:pt>
                <c:pt idx="7">
                  <c:v>  50 a 54 </c:v>
                </c:pt>
                <c:pt idx="8">
                  <c:v>  55 a 59 </c:v>
                </c:pt>
                <c:pt idx="9">
                  <c:v>  60 a 64 </c:v>
                </c:pt>
                <c:pt idx="10">
                  <c:v>  65 a 69 </c:v>
                </c:pt>
                <c:pt idx="11">
                  <c:v>  70 a 74 </c:v>
                </c:pt>
                <c:pt idx="12">
                  <c:v>  75 a 79 </c:v>
                </c:pt>
                <c:pt idx="13">
                  <c:v>  80 a 84 </c:v>
                </c:pt>
                <c:pt idx="14">
                  <c:v>  85 a 89 </c:v>
                </c:pt>
                <c:pt idx="15">
                  <c:v>  90 a 94 </c:v>
                </c:pt>
                <c:pt idx="16">
                  <c:v>  95 a 99 </c:v>
                </c:pt>
                <c:pt idx="17">
                  <c:v>&gt; 100</c:v>
                </c:pt>
              </c:strCache>
            </c:strRef>
          </c:cat>
          <c:val>
            <c:numRef>
              <c:f>Perfil!$T$154:$T$171</c:f>
              <c:numCache>
                <c:formatCode>0.00</c:formatCode>
                <c:ptCount val="18"/>
                <c:pt idx="0">
                  <c:v>10.56539120502571</c:v>
                </c:pt>
                <c:pt idx="1">
                  <c:v>15.099957464908551</c:v>
                </c:pt>
                <c:pt idx="2">
                  <c:v>14.260249554367222</c:v>
                </c:pt>
                <c:pt idx="3">
                  <c:v>16.345017723513187</c:v>
                </c:pt>
                <c:pt idx="4">
                  <c:v>10.802114456446807</c:v>
                </c:pt>
                <c:pt idx="5">
                  <c:v>14.28200467411062</c:v>
                </c:pt>
                <c:pt idx="6">
                  <c:v>10.076252723311548</c:v>
                </c:pt>
                <c:pt idx="7">
                  <c:v>13.631597343586158</c:v>
                </c:pt>
                <c:pt idx="8">
                  <c:v>13.242204186245193</c:v>
                </c:pt>
                <c:pt idx="9">
                  <c:v>17.598994343180387</c:v>
                </c:pt>
                <c:pt idx="10">
                  <c:v>25.416997617156504</c:v>
                </c:pt>
                <c:pt idx="11">
                  <c:v>18.372703412073488</c:v>
                </c:pt>
                <c:pt idx="12">
                  <c:v>8.8339222614840995</c:v>
                </c:pt>
                <c:pt idx="13">
                  <c:v>35.483870967741893</c:v>
                </c:pt>
                <c:pt idx="14">
                  <c:v>36.363636363636289</c:v>
                </c:pt>
                <c:pt idx="15">
                  <c:v>45.454545454545389</c:v>
                </c:pt>
                <c:pt idx="16">
                  <c:v>0</c:v>
                </c:pt>
                <c:pt idx="17">
                  <c:v>76.923076923076849</c:v>
                </c:pt>
              </c:numCache>
            </c:numRef>
          </c:val>
          <c:smooth val="1"/>
        </c:ser>
        <c:ser>
          <c:idx val="2"/>
          <c:order val="2"/>
          <c:tx>
            <c:strRef>
              <c:f>Perfil!$U$130</c:f>
              <c:strCache>
                <c:ptCount val="1"/>
                <c:pt idx="0">
                  <c:v>Tasa de no universitarios</c:v>
                </c:pt>
              </c:strCache>
            </c:strRef>
          </c:tx>
          <c:spPr>
            <a:ln w="19050">
              <a:solidFill>
                <a:schemeClr val="accent6">
                  <a:lumMod val="75000"/>
                </a:schemeClr>
              </a:solidFill>
            </a:ln>
          </c:spPr>
          <c:marker>
            <c:symbol val="none"/>
          </c:marker>
          <c:val>
            <c:numRef>
              <c:f>Perfil!$U$154:$U$171</c:f>
              <c:numCache>
                <c:formatCode>0.00</c:formatCode>
                <c:ptCount val="18"/>
                <c:pt idx="0">
                  <c:v>934.60879497430142</c:v>
                </c:pt>
                <c:pt idx="1">
                  <c:v>821.99064227988185</c:v>
                </c:pt>
                <c:pt idx="2">
                  <c:v>785.56149732620293</c:v>
                </c:pt>
                <c:pt idx="3">
                  <c:v>747.53840094525401</c:v>
                </c:pt>
                <c:pt idx="4">
                  <c:v>774.53458974948285</c:v>
                </c:pt>
                <c:pt idx="5">
                  <c:v>773.04596208776877</c:v>
                </c:pt>
                <c:pt idx="6">
                  <c:v>790.57734204793053</c:v>
                </c:pt>
                <c:pt idx="7">
                  <c:v>802.51660258650827</c:v>
                </c:pt>
                <c:pt idx="8">
                  <c:v>843.6565570269114</c:v>
                </c:pt>
                <c:pt idx="9">
                  <c:v>852.92269013199189</c:v>
                </c:pt>
                <c:pt idx="10">
                  <c:v>891.18347895155011</c:v>
                </c:pt>
                <c:pt idx="11">
                  <c:v>916.01049868766404</c:v>
                </c:pt>
                <c:pt idx="12">
                  <c:v>943.46289752650182</c:v>
                </c:pt>
                <c:pt idx="13">
                  <c:v>948.38709677419342</c:v>
                </c:pt>
                <c:pt idx="14">
                  <c:v>945.45454545454538</c:v>
                </c:pt>
                <c:pt idx="15">
                  <c:v>954.54545454545439</c:v>
                </c:pt>
                <c:pt idx="16">
                  <c:v>1000</c:v>
                </c:pt>
                <c:pt idx="17">
                  <c:v>923.07692307692309</c:v>
                </c:pt>
              </c:numCache>
            </c:numRef>
          </c:val>
          <c:smooth val="0"/>
        </c:ser>
        <c:dLbls>
          <c:showLegendKey val="0"/>
          <c:showVal val="0"/>
          <c:showCatName val="0"/>
          <c:showSerName val="0"/>
          <c:showPercent val="0"/>
          <c:showBubbleSize val="0"/>
        </c:dLbls>
        <c:marker val="1"/>
        <c:smooth val="0"/>
        <c:axId val="253960960"/>
        <c:axId val="253962880"/>
      </c:lineChart>
      <c:catAx>
        <c:axId val="253960960"/>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53962880"/>
        <c:crosses val="autoZero"/>
        <c:auto val="1"/>
        <c:lblAlgn val="ctr"/>
        <c:lblOffset val="100"/>
        <c:noMultiLvlLbl val="0"/>
      </c:catAx>
      <c:valAx>
        <c:axId val="253962880"/>
        <c:scaling>
          <c:orientation val="minMax"/>
          <c:max val="1000"/>
          <c:min val="0"/>
        </c:scaling>
        <c:delete val="0"/>
        <c:axPos val="l"/>
        <c:title>
          <c:tx>
            <c:rich>
              <a:bodyPr rot="-5400000" vert="horz"/>
              <a:lstStyle/>
              <a:p>
                <a:pPr>
                  <a:defRPr sz="700"/>
                </a:pPr>
                <a:r>
                  <a:rPr lang="es-EC" sz="700"/>
                  <a:t>Tasa por</a:t>
                </a:r>
                <a:r>
                  <a:rPr lang="es-EC" sz="700" baseline="0"/>
                  <a:t> cada 1000 colombianos</a:t>
                </a:r>
                <a:endParaRPr lang="es-EC" sz="700"/>
              </a:p>
            </c:rich>
          </c:tx>
          <c:layout>
            <c:manualLayout>
              <c:xMode val="edge"/>
              <c:yMode val="edge"/>
              <c:x val="0"/>
              <c:y val="6.59123690619753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53960960"/>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6947817963441"/>
          <c:y val="4.6274540682414614E-2"/>
          <c:w val="0.7878635170603675"/>
          <c:h val="0.60798477690288777"/>
        </c:manualLayout>
      </c:layout>
      <c:barChart>
        <c:barDir val="col"/>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700"/>
                </a:pPr>
                <a:endParaRPr lang="es-EC"/>
              </a:p>
            </c:txPr>
            <c:dLblPos val="outEnd"/>
            <c:showLegendKey val="0"/>
            <c:showVal val="1"/>
            <c:showCatName val="0"/>
            <c:showSerName val="0"/>
            <c:showPercent val="0"/>
            <c:showBubbleSize val="0"/>
            <c:showLeaderLines val="0"/>
          </c:dLbls>
          <c:cat>
            <c:strRef>
              <c:f>Perfil!$L$179:$L$184</c:f>
              <c:strCache>
                <c:ptCount val="6"/>
                <c:pt idx="0">
                  <c:v>Soltero</c:v>
                </c:pt>
                <c:pt idx="1">
                  <c:v>Casado</c:v>
                </c:pt>
                <c:pt idx="2">
                  <c:v>Unido</c:v>
                </c:pt>
                <c:pt idx="3">
                  <c:v>Separado</c:v>
                </c:pt>
                <c:pt idx="4">
                  <c:v>Divorciado</c:v>
                </c:pt>
                <c:pt idx="5">
                  <c:v>Viudo</c:v>
                </c:pt>
              </c:strCache>
            </c:strRef>
          </c:cat>
          <c:val>
            <c:numRef>
              <c:f>Perfil!$M$179:$M$184</c:f>
              <c:numCache>
                <c:formatCode>0,000</c:formatCode>
                <c:ptCount val="6"/>
                <c:pt idx="0">
                  <c:v>0.28147507922788895</c:v>
                </c:pt>
                <c:pt idx="1">
                  <c:v>0.27923289867598611</c:v>
                </c:pt>
                <c:pt idx="2">
                  <c:v>0.33602645522528357</c:v>
                </c:pt>
                <c:pt idx="3">
                  <c:v>5.108163290869696E-2</c:v>
                </c:pt>
                <c:pt idx="4">
                  <c:v>1.6058522165019483E-2</c:v>
                </c:pt>
                <c:pt idx="5">
                  <c:v>3.61254117971265E-2</c:v>
                </c:pt>
              </c:numCache>
            </c:numRef>
          </c:val>
        </c:ser>
        <c:dLbls>
          <c:showLegendKey val="0"/>
          <c:showVal val="1"/>
          <c:showCatName val="0"/>
          <c:showSerName val="0"/>
          <c:showPercent val="0"/>
          <c:showBubbleSize val="0"/>
        </c:dLbls>
        <c:gapWidth val="30"/>
        <c:axId val="253986304"/>
        <c:axId val="253997824"/>
      </c:barChart>
      <c:catAx>
        <c:axId val="253986304"/>
        <c:scaling>
          <c:orientation val="minMax"/>
        </c:scaling>
        <c:delete val="0"/>
        <c:axPos val="b"/>
        <c:title>
          <c:tx>
            <c:rich>
              <a:bodyPr/>
              <a:lstStyle/>
              <a:p>
                <a:pPr>
                  <a:defRPr/>
                </a:pPr>
                <a:r>
                  <a:rPr lang="es-EC"/>
                  <a:t>Estado Civil</a:t>
                </a:r>
              </a:p>
            </c:rich>
          </c:tx>
          <c:overlay val="0"/>
        </c:title>
        <c:numFmt formatCode="General" sourceLinked="1"/>
        <c:majorTickMark val="out"/>
        <c:minorTickMark val="none"/>
        <c:tickLblPos val="low"/>
        <c:spPr>
          <a:ln>
            <a:solidFill>
              <a:schemeClr val="tx1"/>
            </a:solidFill>
          </a:ln>
        </c:spPr>
        <c:txPr>
          <a:bodyPr rot="-5400000" vert="horz"/>
          <a:lstStyle/>
          <a:p>
            <a:pPr>
              <a:defRPr sz="700"/>
            </a:pPr>
            <a:endParaRPr lang="es-EC"/>
          </a:p>
        </c:txPr>
        <c:crossAx val="253997824"/>
        <c:crosses val="autoZero"/>
        <c:auto val="1"/>
        <c:lblAlgn val="ctr"/>
        <c:lblOffset val="100"/>
        <c:noMultiLvlLbl val="0"/>
      </c:catAx>
      <c:valAx>
        <c:axId val="253997824"/>
        <c:scaling>
          <c:orientation val="minMax"/>
          <c:max val="1"/>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low"/>
        <c:spPr>
          <a:ln>
            <a:solidFill>
              <a:schemeClr val="tx1"/>
            </a:solidFill>
          </a:ln>
        </c:spPr>
        <c:crossAx val="253986304"/>
        <c:crossesAt val="1"/>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Perfil!$S$130</c:f>
              <c:strCache>
                <c:ptCount val="1"/>
                <c:pt idx="0">
                  <c:v>Tasa de Universitarios</c:v>
                </c:pt>
              </c:strCache>
            </c:strRef>
          </c:tx>
          <c:spPr>
            <a:ln w="19050">
              <a:solidFill>
                <a:srgbClr val="0070C0"/>
              </a:solidFill>
            </a:ln>
          </c:spPr>
          <c:marker>
            <c:symbol val="none"/>
          </c:marker>
          <c:cat>
            <c:strRef>
              <c:f>Perfil!$S$179:$S$197</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Perfil!$T$179:$T$197</c:f>
              <c:numCache>
                <c:formatCode>0.00</c:formatCode>
                <c:ptCount val="19"/>
                <c:pt idx="0">
                  <c:v>992.46095853527197</c:v>
                </c:pt>
                <c:pt idx="1">
                  <c:v>911.86136838960249</c:v>
                </c:pt>
                <c:pt idx="2">
                  <c:v>575.71176618795641</c:v>
                </c:pt>
                <c:pt idx="3">
                  <c:v>317.44680851063828</c:v>
                </c:pt>
                <c:pt idx="4">
                  <c:v>217.83835485413681</c:v>
                </c:pt>
                <c:pt idx="5">
                  <c:v>161.64310482795412</c:v>
                </c:pt>
                <c:pt idx="6">
                  <c:v>145.79552329098581</c:v>
                </c:pt>
                <c:pt idx="7">
                  <c:v>124.68905472636816</c:v>
                </c:pt>
                <c:pt idx="8">
                  <c:v>115.97633136094666</c:v>
                </c:pt>
                <c:pt idx="9">
                  <c:v>113.7236084452976</c:v>
                </c:pt>
                <c:pt idx="10">
                  <c:v>110.68458093410108</c:v>
                </c:pt>
                <c:pt idx="11">
                  <c:v>103.84959713518344</c:v>
                </c:pt>
                <c:pt idx="12">
                  <c:v>129.38005390835579</c:v>
                </c:pt>
                <c:pt idx="13">
                  <c:v>120</c:v>
                </c:pt>
                <c:pt idx="14">
                  <c:v>127.14776632302396</c:v>
                </c:pt>
                <c:pt idx="15">
                  <c:v>80.645161290322577</c:v>
                </c:pt>
                <c:pt idx="16">
                  <c:v>49.180327868852444</c:v>
                </c:pt>
                <c:pt idx="17">
                  <c:v>176.47058823529414</c:v>
                </c:pt>
                <c:pt idx="18">
                  <c:v>142.85714285714312</c:v>
                </c:pt>
              </c:numCache>
            </c:numRef>
          </c:val>
          <c:smooth val="1"/>
        </c:ser>
        <c:ser>
          <c:idx val="1"/>
          <c:order val="1"/>
          <c:tx>
            <c:strRef>
              <c:f>Perfil!$T$130</c:f>
              <c:strCache>
                <c:ptCount val="1"/>
                <c:pt idx="0">
                  <c:v>No especifica</c:v>
                </c:pt>
              </c:strCache>
            </c:strRef>
          </c:tx>
          <c:spPr>
            <a:ln w="19050">
              <a:solidFill>
                <a:srgbClr val="E010C2"/>
              </a:solidFill>
            </a:ln>
          </c:spPr>
          <c:marker>
            <c:symbol val="none"/>
          </c:marker>
          <c:cat>
            <c:strRef>
              <c:f>Perfil!$S$179:$S$197</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Perfil!$V$179:$V$197</c:f>
              <c:numCache>
                <c:formatCode>0.00</c:formatCode>
                <c:ptCount val="19"/>
                <c:pt idx="0">
                  <c:v>1.6155088852988693</c:v>
                </c:pt>
                <c:pt idx="1">
                  <c:v>8.3657006274275609</c:v>
                </c:pt>
                <c:pt idx="2">
                  <c:v>14.613252708490798</c:v>
                </c:pt>
                <c:pt idx="3">
                  <c:v>31.914893617021274</c:v>
                </c:pt>
                <c:pt idx="4">
                  <c:v>53.323768531802955</c:v>
                </c:pt>
                <c:pt idx="5">
                  <c:v>68.551613763670431</c:v>
                </c:pt>
                <c:pt idx="6">
                  <c:v>79.249848759830613</c:v>
                </c:pt>
                <c:pt idx="7">
                  <c:v>98.880597014925286</c:v>
                </c:pt>
                <c:pt idx="8">
                  <c:v>109.27021696252457</c:v>
                </c:pt>
                <c:pt idx="9">
                  <c:v>131.95777351247617</c:v>
                </c:pt>
                <c:pt idx="10">
                  <c:v>145.87332053742801</c:v>
                </c:pt>
                <c:pt idx="11">
                  <c:v>190.68934646374217</c:v>
                </c:pt>
                <c:pt idx="12">
                  <c:v>177.89757412398922</c:v>
                </c:pt>
                <c:pt idx="13">
                  <c:v>214.73684210526321</c:v>
                </c:pt>
                <c:pt idx="14">
                  <c:v>268.04123711340208</c:v>
                </c:pt>
                <c:pt idx="15">
                  <c:v>314.5161290322576</c:v>
                </c:pt>
                <c:pt idx="16">
                  <c:v>573.77049180327867</c:v>
                </c:pt>
                <c:pt idx="17">
                  <c:v>411.76470588235298</c:v>
                </c:pt>
                <c:pt idx="18">
                  <c:v>428.57142857142856</c:v>
                </c:pt>
              </c:numCache>
            </c:numRef>
          </c:val>
          <c:smooth val="1"/>
        </c:ser>
        <c:ser>
          <c:idx val="2"/>
          <c:order val="2"/>
          <c:tx>
            <c:strRef>
              <c:f>Perfil!$U$130</c:f>
              <c:strCache>
                <c:ptCount val="1"/>
                <c:pt idx="0">
                  <c:v>Tasa de no universitarios</c:v>
                </c:pt>
              </c:strCache>
            </c:strRef>
          </c:tx>
          <c:spPr>
            <a:ln w="19050">
              <a:solidFill>
                <a:schemeClr val="accent6">
                  <a:lumMod val="75000"/>
                </a:schemeClr>
              </a:solidFill>
            </a:ln>
          </c:spPr>
          <c:marker>
            <c:symbol val="none"/>
          </c:marker>
          <c:cat>
            <c:strRef>
              <c:f>Perfil!$S$179:$S$197</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Perfil!$U$179:$U$197</c:f>
              <c:numCache>
                <c:formatCode>0.00</c:formatCode>
                <c:ptCount val="19"/>
                <c:pt idx="0">
                  <c:v>5.9235325794291809</c:v>
                </c:pt>
                <c:pt idx="1">
                  <c:v>79.772930982969697</c:v>
                </c:pt>
                <c:pt idx="2">
                  <c:v>409.67498110355331</c:v>
                </c:pt>
                <c:pt idx="3">
                  <c:v>650.63829787234044</c:v>
                </c:pt>
                <c:pt idx="4">
                  <c:v>728.83787661406029</c:v>
                </c:pt>
                <c:pt idx="5">
                  <c:v>769.80528140837544</c:v>
                </c:pt>
                <c:pt idx="6">
                  <c:v>774.9546279491833</c:v>
                </c:pt>
                <c:pt idx="7">
                  <c:v>776.43034825870654</c:v>
                </c:pt>
                <c:pt idx="8">
                  <c:v>774.75345167652949</c:v>
                </c:pt>
                <c:pt idx="9">
                  <c:v>754.31861804222649</c:v>
                </c:pt>
                <c:pt idx="10">
                  <c:v>743.44209852847086</c:v>
                </c:pt>
                <c:pt idx="11">
                  <c:v>705.46105640107339</c:v>
                </c:pt>
                <c:pt idx="12">
                  <c:v>692.7223719676565</c:v>
                </c:pt>
                <c:pt idx="13">
                  <c:v>665.26315789473608</c:v>
                </c:pt>
                <c:pt idx="14">
                  <c:v>604.81099656357389</c:v>
                </c:pt>
                <c:pt idx="15">
                  <c:v>604.8387096774195</c:v>
                </c:pt>
                <c:pt idx="16">
                  <c:v>377.04918032786935</c:v>
                </c:pt>
                <c:pt idx="17">
                  <c:v>411.76470588235298</c:v>
                </c:pt>
                <c:pt idx="18">
                  <c:v>428.57142857142856</c:v>
                </c:pt>
              </c:numCache>
            </c:numRef>
          </c:val>
          <c:smooth val="0"/>
        </c:ser>
        <c:dLbls>
          <c:showLegendKey val="0"/>
          <c:showVal val="0"/>
          <c:showCatName val="0"/>
          <c:showSerName val="0"/>
          <c:showPercent val="0"/>
          <c:showBubbleSize val="0"/>
        </c:dLbls>
        <c:marker val="1"/>
        <c:smooth val="0"/>
        <c:axId val="254101376"/>
        <c:axId val="254107648"/>
      </c:lineChart>
      <c:catAx>
        <c:axId val="254101376"/>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54107648"/>
        <c:crosses val="autoZero"/>
        <c:auto val="1"/>
        <c:lblAlgn val="l"/>
        <c:lblOffset val="100"/>
        <c:noMultiLvlLbl val="0"/>
      </c:catAx>
      <c:valAx>
        <c:axId val="254107648"/>
        <c:scaling>
          <c:orientation val="minMax"/>
          <c:max val="1000"/>
          <c:min val="0"/>
        </c:scaling>
        <c:delete val="0"/>
        <c:axPos val="l"/>
        <c:title>
          <c:tx>
            <c:rich>
              <a:bodyPr rot="-5400000" vert="horz"/>
              <a:lstStyle/>
              <a:p>
                <a:pPr>
                  <a:defRPr sz="700"/>
                </a:pPr>
                <a:r>
                  <a:rPr lang="es-EC" sz="700"/>
                  <a:t>Tasa por</a:t>
                </a:r>
                <a:r>
                  <a:rPr lang="es-EC" sz="700" baseline="0"/>
                  <a:t> cada 1000 colombianos</a:t>
                </a:r>
                <a:endParaRPr lang="es-EC" sz="700"/>
              </a:p>
            </c:rich>
          </c:tx>
          <c:layout>
            <c:manualLayout>
              <c:xMode val="edge"/>
              <c:yMode val="edge"/>
              <c:x val="0"/>
              <c:y val="6.59123690619753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54101376"/>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558122383473"/>
          <c:y val="7.7924323600695011E-2"/>
          <c:w val="0.87929415847812531"/>
          <c:h val="0.65628725650812125"/>
        </c:manualLayout>
      </c:layout>
      <c:lineChart>
        <c:grouping val="standard"/>
        <c:varyColors val="0"/>
        <c:ser>
          <c:idx val="0"/>
          <c:order val="0"/>
          <c:tx>
            <c:strRef>
              <c:f>Perfil!$S$130</c:f>
              <c:strCache>
                <c:ptCount val="1"/>
                <c:pt idx="0">
                  <c:v>Tasa de Universitarios</c:v>
                </c:pt>
              </c:strCache>
            </c:strRef>
          </c:tx>
          <c:spPr>
            <a:ln w="19050">
              <a:solidFill>
                <a:srgbClr val="0070C0"/>
              </a:solidFill>
            </a:ln>
          </c:spPr>
          <c:marker>
            <c:symbol val="none"/>
          </c:marker>
          <c:cat>
            <c:strRef>
              <c:f>Perfil!$S$179:$S$197</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Perfil!$T$199:$T$217</c:f>
              <c:numCache>
                <c:formatCode>0.00</c:formatCode>
                <c:ptCount val="19"/>
                <c:pt idx="0">
                  <c:v>971.79921037789165</c:v>
                </c:pt>
                <c:pt idx="1">
                  <c:v>683.60936607652843</c:v>
                </c:pt>
                <c:pt idx="2">
                  <c:v>339.85538068906914</c:v>
                </c:pt>
                <c:pt idx="3">
                  <c:v>200.53475935828877</c:v>
                </c:pt>
                <c:pt idx="4">
                  <c:v>156.95155573060242</c:v>
                </c:pt>
                <c:pt idx="5">
                  <c:v>127.7867156975408</c:v>
                </c:pt>
                <c:pt idx="6">
                  <c:v>124.64294988314732</c:v>
                </c:pt>
                <c:pt idx="7">
                  <c:v>120.0980392156862</c:v>
                </c:pt>
                <c:pt idx="8">
                  <c:v>122.68437609227534</c:v>
                </c:pt>
                <c:pt idx="9">
                  <c:v>126.44169158479295</c:v>
                </c:pt>
                <c:pt idx="10">
                  <c:v>127.59270898805781</c:v>
                </c:pt>
                <c:pt idx="11">
                  <c:v>140.58776806989675</c:v>
                </c:pt>
                <c:pt idx="12">
                  <c:v>122.04724409448819</c:v>
                </c:pt>
                <c:pt idx="13">
                  <c:v>136.04240282685512</c:v>
                </c:pt>
                <c:pt idx="14">
                  <c:v>116.12903225806436</c:v>
                </c:pt>
                <c:pt idx="15">
                  <c:v>96.969696969696997</c:v>
                </c:pt>
                <c:pt idx="16">
                  <c:v>90.909090909090907</c:v>
                </c:pt>
                <c:pt idx="17">
                  <c:v>55.55555555555555</c:v>
                </c:pt>
                <c:pt idx="18">
                  <c:v>153.84615384615378</c:v>
                </c:pt>
              </c:numCache>
            </c:numRef>
          </c:val>
          <c:smooth val="1"/>
        </c:ser>
        <c:ser>
          <c:idx val="1"/>
          <c:order val="1"/>
          <c:tx>
            <c:strRef>
              <c:f>Perfil!$T$130</c:f>
              <c:strCache>
                <c:ptCount val="1"/>
                <c:pt idx="0">
                  <c:v>No especifica</c:v>
                </c:pt>
              </c:strCache>
            </c:strRef>
          </c:tx>
          <c:spPr>
            <a:ln w="19050">
              <a:solidFill>
                <a:srgbClr val="E010C2"/>
              </a:solidFill>
            </a:ln>
          </c:spPr>
          <c:marker>
            <c:symbol val="none"/>
          </c:marker>
          <c:cat>
            <c:strRef>
              <c:f>Perfil!$S$179:$S$197</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Perfil!$V$199:$V$217</c:f>
              <c:numCache>
                <c:formatCode>0.00</c:formatCode>
                <c:ptCount val="19"/>
                <c:pt idx="0">
                  <c:v>3.9481105470953244</c:v>
                </c:pt>
                <c:pt idx="1">
                  <c:v>15.134209023415176</c:v>
                </c:pt>
                <c:pt idx="2">
                  <c:v>38.068906848149815</c:v>
                </c:pt>
                <c:pt idx="3">
                  <c:v>58.645276292335119</c:v>
                </c:pt>
                <c:pt idx="4">
                  <c:v>77.983458054352113</c:v>
                </c:pt>
                <c:pt idx="5">
                  <c:v>96.989197885543561</c:v>
                </c:pt>
                <c:pt idx="6">
                  <c:v>132.1734614385872</c:v>
                </c:pt>
                <c:pt idx="7">
                  <c:v>160.94771241830065</c:v>
                </c:pt>
                <c:pt idx="8">
                  <c:v>216.00838867528844</c:v>
                </c:pt>
                <c:pt idx="9">
                  <c:v>240.49551473729176</c:v>
                </c:pt>
                <c:pt idx="10">
                  <c:v>304.83972344437427</c:v>
                </c:pt>
                <c:pt idx="11">
                  <c:v>351.07227958697365</c:v>
                </c:pt>
                <c:pt idx="12">
                  <c:v>423.88451443569517</c:v>
                </c:pt>
                <c:pt idx="13">
                  <c:v>478.79858657243813</c:v>
                </c:pt>
                <c:pt idx="14">
                  <c:v>587.0967741935483</c:v>
                </c:pt>
                <c:pt idx="15">
                  <c:v>703.030303030303</c:v>
                </c:pt>
                <c:pt idx="16">
                  <c:v>742.42424242424238</c:v>
                </c:pt>
                <c:pt idx="17">
                  <c:v>722.22222222222217</c:v>
                </c:pt>
                <c:pt idx="18">
                  <c:v>615.38461538461547</c:v>
                </c:pt>
              </c:numCache>
            </c:numRef>
          </c:val>
          <c:smooth val="1"/>
        </c:ser>
        <c:ser>
          <c:idx val="2"/>
          <c:order val="2"/>
          <c:tx>
            <c:strRef>
              <c:f>Perfil!$U$130</c:f>
              <c:strCache>
                <c:ptCount val="1"/>
                <c:pt idx="0">
                  <c:v>Tasa de no universitarios</c:v>
                </c:pt>
              </c:strCache>
            </c:strRef>
          </c:tx>
          <c:spPr>
            <a:ln w="19050">
              <a:solidFill>
                <a:schemeClr val="accent6">
                  <a:lumMod val="75000"/>
                </a:schemeClr>
              </a:solidFill>
            </a:ln>
          </c:spPr>
          <c:marker>
            <c:symbol val="none"/>
          </c:marker>
          <c:cat>
            <c:strRef>
              <c:f>Perfil!$S$179:$S$197</c:f>
              <c:strCache>
                <c:ptCount val="19"/>
                <c:pt idx="0">
                  <c:v>  10 a 14 </c:v>
                </c:pt>
                <c:pt idx="1">
                  <c:v>  15 a 19 </c:v>
                </c:pt>
                <c:pt idx="2">
                  <c:v>  20 a 24 </c:v>
                </c:pt>
                <c:pt idx="3">
                  <c:v>  25 a 29 </c:v>
                </c:pt>
                <c:pt idx="4">
                  <c:v>  30 a 34 </c:v>
                </c:pt>
                <c:pt idx="5">
                  <c:v>  35 a 39 </c:v>
                </c:pt>
                <c:pt idx="6">
                  <c:v>  40 a 44 </c:v>
                </c:pt>
                <c:pt idx="7">
                  <c:v>  45 a 49 </c:v>
                </c:pt>
                <c:pt idx="8">
                  <c:v>  50 a 54 </c:v>
                </c:pt>
                <c:pt idx="9">
                  <c:v>  55 a 59 </c:v>
                </c:pt>
                <c:pt idx="10">
                  <c:v>  60 a 64 </c:v>
                </c:pt>
                <c:pt idx="11">
                  <c:v>  65 a 69 </c:v>
                </c:pt>
                <c:pt idx="12">
                  <c:v>  70 a 74 </c:v>
                </c:pt>
                <c:pt idx="13">
                  <c:v>  75 a 79 </c:v>
                </c:pt>
                <c:pt idx="14">
                  <c:v>  80 a 84 </c:v>
                </c:pt>
                <c:pt idx="15">
                  <c:v>  85 a 89 </c:v>
                </c:pt>
                <c:pt idx="16">
                  <c:v>  90 a 94 </c:v>
                </c:pt>
                <c:pt idx="17">
                  <c:v>  95 a 99 </c:v>
                </c:pt>
                <c:pt idx="18">
                  <c:v>&gt; 100</c:v>
                </c:pt>
              </c:strCache>
            </c:strRef>
          </c:cat>
          <c:val>
            <c:numRef>
              <c:f>Perfil!$U$199:$U$217</c:f>
              <c:numCache>
                <c:formatCode>0.00</c:formatCode>
                <c:ptCount val="19"/>
                <c:pt idx="0">
                  <c:v>24.252679075014086</c:v>
                </c:pt>
                <c:pt idx="1">
                  <c:v>301.25642490005703</c:v>
                </c:pt>
                <c:pt idx="2">
                  <c:v>622.07571246278246</c:v>
                </c:pt>
                <c:pt idx="3">
                  <c:v>740.81996434937651</c:v>
                </c:pt>
                <c:pt idx="4">
                  <c:v>765.06498621504522</c:v>
                </c:pt>
                <c:pt idx="5">
                  <c:v>775.22408641691561</c:v>
                </c:pt>
                <c:pt idx="6">
                  <c:v>743.1835886782668</c:v>
                </c:pt>
                <c:pt idx="7">
                  <c:v>718.95424836601308</c:v>
                </c:pt>
                <c:pt idx="8">
                  <c:v>661.30723523243546</c:v>
                </c:pt>
                <c:pt idx="9">
                  <c:v>633.06279367791535</c:v>
                </c:pt>
                <c:pt idx="10">
                  <c:v>567.56756756756761</c:v>
                </c:pt>
                <c:pt idx="11">
                  <c:v>508.33995234312943</c:v>
                </c:pt>
                <c:pt idx="12">
                  <c:v>454.06824146981631</c:v>
                </c:pt>
                <c:pt idx="13">
                  <c:v>385.15901060070718</c:v>
                </c:pt>
                <c:pt idx="14">
                  <c:v>296.77419354838668</c:v>
                </c:pt>
                <c:pt idx="15">
                  <c:v>200</c:v>
                </c:pt>
                <c:pt idx="16">
                  <c:v>166.66666666666652</c:v>
                </c:pt>
                <c:pt idx="17">
                  <c:v>222.2222222222222</c:v>
                </c:pt>
                <c:pt idx="18">
                  <c:v>230.76923076923075</c:v>
                </c:pt>
              </c:numCache>
            </c:numRef>
          </c:val>
          <c:smooth val="0"/>
        </c:ser>
        <c:dLbls>
          <c:showLegendKey val="0"/>
          <c:showVal val="0"/>
          <c:showCatName val="0"/>
          <c:showSerName val="0"/>
          <c:showPercent val="0"/>
          <c:showBubbleSize val="0"/>
        </c:dLbls>
        <c:marker val="1"/>
        <c:smooth val="0"/>
        <c:axId val="254141568"/>
        <c:axId val="254143488"/>
      </c:lineChart>
      <c:catAx>
        <c:axId val="254141568"/>
        <c:scaling>
          <c:orientation val="minMax"/>
        </c:scaling>
        <c:delete val="0"/>
        <c:axPos val="b"/>
        <c:title>
          <c:tx>
            <c:rich>
              <a:bodyPr/>
              <a:lstStyle/>
              <a:p>
                <a:pPr>
                  <a:defRPr/>
                </a:pPr>
                <a:r>
                  <a:rPr lang="es-EC"/>
                  <a:t>Grupos Etarios</a:t>
                </a:r>
              </a:p>
            </c:rich>
          </c:tx>
          <c:overlay val="0"/>
        </c:title>
        <c:numFmt formatCode="General" sourceLinked="1"/>
        <c:majorTickMark val="out"/>
        <c:minorTickMark val="none"/>
        <c:tickLblPos val="nextTo"/>
        <c:spPr>
          <a:ln>
            <a:solidFill>
              <a:schemeClr val="tx1"/>
            </a:solidFill>
          </a:ln>
        </c:spPr>
        <c:txPr>
          <a:bodyPr rot="-5400000" vert="horz"/>
          <a:lstStyle/>
          <a:p>
            <a:pPr>
              <a:defRPr sz="700"/>
            </a:pPr>
            <a:endParaRPr lang="es-EC"/>
          </a:p>
        </c:txPr>
        <c:crossAx val="254143488"/>
        <c:crosses val="autoZero"/>
        <c:auto val="1"/>
        <c:lblAlgn val="l"/>
        <c:lblOffset val="100"/>
        <c:noMultiLvlLbl val="0"/>
      </c:catAx>
      <c:valAx>
        <c:axId val="254143488"/>
        <c:scaling>
          <c:orientation val="minMax"/>
          <c:max val="1000"/>
          <c:min val="0"/>
        </c:scaling>
        <c:delete val="0"/>
        <c:axPos val="l"/>
        <c:title>
          <c:tx>
            <c:rich>
              <a:bodyPr rot="-5400000" vert="horz"/>
              <a:lstStyle/>
              <a:p>
                <a:pPr>
                  <a:defRPr sz="700"/>
                </a:pPr>
                <a:r>
                  <a:rPr lang="es-EC" sz="700"/>
                  <a:t>Tasa por</a:t>
                </a:r>
                <a:r>
                  <a:rPr lang="es-EC" sz="700" baseline="0"/>
                  <a:t> cada 1000 colombianos</a:t>
                </a:r>
                <a:endParaRPr lang="es-EC" sz="700"/>
              </a:p>
            </c:rich>
          </c:tx>
          <c:layout>
            <c:manualLayout>
              <c:xMode val="edge"/>
              <c:yMode val="edge"/>
              <c:x val="0"/>
              <c:y val="6.5912369061975382E-2"/>
            </c:manualLayout>
          </c:layout>
          <c:overlay val="0"/>
        </c:title>
        <c:numFmt formatCode="0" sourceLinked="0"/>
        <c:majorTickMark val="out"/>
        <c:minorTickMark val="none"/>
        <c:tickLblPos val="nextTo"/>
        <c:spPr>
          <a:ln>
            <a:solidFill>
              <a:schemeClr val="tx1"/>
            </a:solidFill>
          </a:ln>
        </c:spPr>
        <c:txPr>
          <a:bodyPr/>
          <a:lstStyle/>
          <a:p>
            <a:pPr>
              <a:defRPr sz="700"/>
            </a:pPr>
            <a:endParaRPr lang="es-EC"/>
          </a:p>
        </c:txPr>
        <c:crossAx val="254141568"/>
        <c:crosses val="autoZero"/>
        <c:crossBetween val="between"/>
        <c:majorUnit val="100"/>
      </c:valAx>
      <c:spPr>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80234485906653052"/>
        </c:manualLayout>
      </c:layout>
      <c:barChart>
        <c:barDir val="bar"/>
        <c:grouping val="clustered"/>
        <c:varyColors val="0"/>
        <c:ser>
          <c:idx val="0"/>
          <c:order val="0"/>
          <c:tx>
            <c:v>Teléfono Celular</c:v>
          </c:tx>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dLbl>
              <c:idx val="0"/>
              <c:numFmt formatCode="#,##0.000" sourceLinked="0"/>
              <c:spPr>
                <a:solidFill>
                  <a:schemeClr val="bg1"/>
                </a:solidFill>
              </c:spPr>
              <c:txPr>
                <a:bodyPr/>
                <a:lstStyle/>
                <a:p>
                  <a:pPr>
                    <a:defRPr sz="650"/>
                  </a:pPr>
                  <a:endParaRPr lang="es-EC"/>
                </a:p>
              </c:txPr>
              <c:dLblPos val="outEnd"/>
              <c:showLegendKey val="0"/>
              <c:showVal val="1"/>
              <c:showCatName val="0"/>
              <c:showSerName val="0"/>
              <c:showPercent val="0"/>
              <c:showBubbleSize val="0"/>
            </c:dLbl>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Perfil!$B$332:$B$334</c:f>
              <c:strCache>
                <c:ptCount val="3"/>
                <c:pt idx="0">
                  <c:v>Sí</c:v>
                </c:pt>
                <c:pt idx="1">
                  <c:v>No</c:v>
                </c:pt>
                <c:pt idx="2">
                  <c:v>Se ignora</c:v>
                </c:pt>
              </c:strCache>
            </c:strRef>
          </c:cat>
          <c:val>
            <c:numRef>
              <c:f>Perfil!$G$332:$G$334</c:f>
              <c:numCache>
                <c:formatCode>0,000</c:formatCode>
                <c:ptCount val="3"/>
                <c:pt idx="0">
                  <c:v>0.67955090748372815</c:v>
                </c:pt>
                <c:pt idx="1">
                  <c:v>0.29822406410359437</c:v>
                </c:pt>
                <c:pt idx="2">
                  <c:v>2.222502841267841E-2</c:v>
                </c:pt>
              </c:numCache>
            </c:numRef>
          </c:val>
        </c:ser>
        <c:dLbls>
          <c:showLegendKey val="0"/>
          <c:showVal val="1"/>
          <c:showCatName val="0"/>
          <c:showSerName val="0"/>
          <c:showPercent val="0"/>
          <c:showBubbleSize val="0"/>
        </c:dLbls>
        <c:gapWidth val="50"/>
        <c:axId val="254152064"/>
        <c:axId val="254170624"/>
      </c:barChart>
      <c:catAx>
        <c:axId val="254152064"/>
        <c:scaling>
          <c:orientation val="maxMin"/>
        </c:scaling>
        <c:delete val="0"/>
        <c:axPos val="l"/>
        <c:title>
          <c:tx>
            <c:rich>
              <a:bodyPr rot="-5400000" vert="horz"/>
              <a:lstStyle/>
              <a:p>
                <a:pPr>
                  <a:defRPr sz="700"/>
                </a:pPr>
                <a:r>
                  <a:rPr lang="es-EC" sz="700"/>
                  <a:t>Teléfono Celular</a:t>
                </a:r>
              </a:p>
            </c:rich>
          </c:tx>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54170624"/>
        <c:crosses val="autoZero"/>
        <c:auto val="1"/>
        <c:lblAlgn val="ctr"/>
        <c:lblOffset val="100"/>
        <c:noMultiLvlLbl val="0"/>
      </c:catAx>
      <c:valAx>
        <c:axId val="254170624"/>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54152064"/>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80234485906653052"/>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Perfil!$B$344:$B$346</c:f>
              <c:strCache>
                <c:ptCount val="3"/>
                <c:pt idx="0">
                  <c:v>Sí</c:v>
                </c:pt>
                <c:pt idx="1">
                  <c:v>No</c:v>
                </c:pt>
                <c:pt idx="2">
                  <c:v>Se ignora</c:v>
                </c:pt>
              </c:strCache>
            </c:strRef>
          </c:cat>
          <c:val>
            <c:numRef>
              <c:f>Perfil!$G$344:$G$346</c:f>
              <c:numCache>
                <c:formatCode>0,000</c:formatCode>
                <c:ptCount val="3"/>
                <c:pt idx="0">
                  <c:v>0.33377722164185153</c:v>
                </c:pt>
                <c:pt idx="1">
                  <c:v>0.59057043474267856</c:v>
                </c:pt>
                <c:pt idx="2">
                  <c:v>7.5652343615470269E-2</c:v>
                </c:pt>
              </c:numCache>
            </c:numRef>
          </c:val>
        </c:ser>
        <c:dLbls>
          <c:showLegendKey val="0"/>
          <c:showVal val="1"/>
          <c:showCatName val="0"/>
          <c:showSerName val="0"/>
          <c:showPercent val="0"/>
          <c:showBubbleSize val="0"/>
        </c:dLbls>
        <c:gapWidth val="50"/>
        <c:axId val="254198144"/>
        <c:axId val="254201216"/>
      </c:barChart>
      <c:catAx>
        <c:axId val="254198144"/>
        <c:scaling>
          <c:orientation val="maxMin"/>
        </c:scaling>
        <c:delete val="0"/>
        <c:axPos val="l"/>
        <c:title>
          <c:tx>
            <c:rich>
              <a:bodyPr rot="-5400000" vert="horz"/>
              <a:lstStyle/>
              <a:p>
                <a:pPr>
                  <a:defRPr sz="700"/>
                </a:pPr>
                <a:r>
                  <a:rPr lang="es-EC" sz="700"/>
                  <a:t>Internet</a:t>
                </a:r>
              </a:p>
            </c:rich>
          </c:tx>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54201216"/>
        <c:crosses val="autoZero"/>
        <c:auto val="1"/>
        <c:lblAlgn val="ctr"/>
        <c:lblOffset val="100"/>
        <c:noMultiLvlLbl val="0"/>
      </c:catAx>
      <c:valAx>
        <c:axId val="254201216"/>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54198144"/>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878179784489013E-2"/>
          <c:y val="8.8265655305223151E-2"/>
          <c:w val="0.88190238878368032"/>
          <c:h val="0.53686789151356085"/>
        </c:manualLayout>
      </c:layout>
      <c:barChart>
        <c:barDir val="col"/>
        <c:grouping val="stacked"/>
        <c:varyColors val="0"/>
        <c:ser>
          <c:idx val="0"/>
          <c:order val="0"/>
          <c:tx>
            <c:strRef>
              <c:f>Edad_Inmigrantes_Emigrantes!$K$3</c:f>
              <c:strCache>
                <c:ptCount val="1"/>
                <c:pt idx="0">
                  <c:v>Menores de 15 años</c:v>
                </c:pt>
              </c:strCache>
            </c:strRef>
          </c:tx>
          <c:spPr>
            <a:solidFill>
              <a:srgbClr val="00B0F0"/>
            </a:solidFill>
          </c:spPr>
          <c:invertIfNegative val="0"/>
          <c:dLbls>
            <c:numFmt formatCode="#,##0.00" sourceLinked="0"/>
            <c:txPr>
              <a:bodyPr rot="-5400000" vert="horz"/>
              <a:lstStyle/>
              <a:p>
                <a:pPr>
                  <a:defRPr sz="600"/>
                </a:pPr>
                <a:endParaRPr lang="es-EC"/>
              </a:p>
            </c:txPr>
            <c:dLblPos val="ctr"/>
            <c:showLegendKey val="0"/>
            <c:showVal val="1"/>
            <c:showCatName val="0"/>
            <c:showSerName val="0"/>
            <c:showPercent val="0"/>
            <c:showBubbleSize val="0"/>
            <c:showLeaderLines val="0"/>
          </c:dLbls>
          <c:cat>
            <c:strRef>
              <c:f>Edad_Inmigrantes_Emigrantes!$J$4:$J$28</c:f>
              <c:strCache>
                <c:ptCount val="25"/>
                <c:pt idx="0">
                  <c:v>Bolívar</c:v>
                </c:pt>
                <c:pt idx="1">
                  <c:v>Carchi</c:v>
                </c:pt>
                <c:pt idx="2">
                  <c:v>Manabí</c:v>
                </c:pt>
                <c:pt idx="3">
                  <c:v>Zonas No Delimitadas</c:v>
                </c:pt>
                <c:pt idx="4">
                  <c:v>Cañar</c:v>
                </c:pt>
                <c:pt idx="5">
                  <c:v>Loja</c:v>
                </c:pt>
                <c:pt idx="6">
                  <c:v>Cotopaxi</c:v>
                </c:pt>
                <c:pt idx="7">
                  <c:v>Chimborazo</c:v>
                </c:pt>
                <c:pt idx="8">
                  <c:v>Esmeraldas</c:v>
                </c:pt>
                <c:pt idx="9">
                  <c:v>Los Ríos</c:v>
                </c:pt>
                <c:pt idx="10">
                  <c:v>Napo</c:v>
                </c:pt>
                <c:pt idx="11">
                  <c:v>Azuay</c:v>
                </c:pt>
                <c:pt idx="12">
                  <c:v>Morona Santiago</c:v>
                </c:pt>
                <c:pt idx="13">
                  <c:v>Pastaza</c:v>
                </c:pt>
                <c:pt idx="14">
                  <c:v>Zamora Chinchipe</c:v>
                </c:pt>
                <c:pt idx="15">
                  <c:v>Galápagos</c:v>
                </c:pt>
                <c:pt idx="16">
                  <c:v>Orellana</c:v>
                </c:pt>
                <c:pt idx="17">
                  <c:v>Santa Elena</c:v>
                </c:pt>
                <c:pt idx="18">
                  <c:v>Imbabura</c:v>
                </c:pt>
                <c:pt idx="19">
                  <c:v>Tungurahua</c:v>
                </c:pt>
                <c:pt idx="20">
                  <c:v>Santo Domingo</c:v>
                </c:pt>
                <c:pt idx="21">
                  <c:v>Sucumbíos</c:v>
                </c:pt>
                <c:pt idx="22">
                  <c:v>El Oro</c:v>
                </c:pt>
                <c:pt idx="23">
                  <c:v>Pichincha</c:v>
                </c:pt>
                <c:pt idx="24">
                  <c:v>Guayas</c:v>
                </c:pt>
              </c:strCache>
            </c:strRef>
          </c:cat>
          <c:val>
            <c:numRef>
              <c:f>Edad_Inmigrantes_Emigrantes!$K$4:$K$28</c:f>
              <c:numCache>
                <c:formatCode>General</c:formatCode>
                <c:ptCount val="25"/>
                <c:pt idx="0">
                  <c:v>0.38000000000000012</c:v>
                </c:pt>
                <c:pt idx="1">
                  <c:v>0.3600000000000001</c:v>
                </c:pt>
                <c:pt idx="2">
                  <c:v>0.35000000000000009</c:v>
                </c:pt>
                <c:pt idx="3">
                  <c:v>0.32000000000000012</c:v>
                </c:pt>
                <c:pt idx="4">
                  <c:v>0.31000000000000011</c:v>
                </c:pt>
                <c:pt idx="5">
                  <c:v>0.29000000000000009</c:v>
                </c:pt>
                <c:pt idx="6">
                  <c:v>0.25</c:v>
                </c:pt>
                <c:pt idx="7">
                  <c:v>0.23</c:v>
                </c:pt>
                <c:pt idx="8">
                  <c:v>0.21000000000000005</c:v>
                </c:pt>
                <c:pt idx="9">
                  <c:v>0.2</c:v>
                </c:pt>
                <c:pt idx="10">
                  <c:v>0.19</c:v>
                </c:pt>
                <c:pt idx="11">
                  <c:v>0.18000000000000005</c:v>
                </c:pt>
                <c:pt idx="12">
                  <c:v>0.18000000000000005</c:v>
                </c:pt>
                <c:pt idx="13">
                  <c:v>0.18000000000000005</c:v>
                </c:pt>
                <c:pt idx="14">
                  <c:v>0.18000000000000005</c:v>
                </c:pt>
                <c:pt idx="15">
                  <c:v>0.18000000000000005</c:v>
                </c:pt>
                <c:pt idx="16">
                  <c:v>0.18000000000000005</c:v>
                </c:pt>
                <c:pt idx="17">
                  <c:v>0.18000000000000005</c:v>
                </c:pt>
                <c:pt idx="18">
                  <c:v>0.16</c:v>
                </c:pt>
                <c:pt idx="19">
                  <c:v>0.16</c:v>
                </c:pt>
                <c:pt idx="20">
                  <c:v>0.15000000000000005</c:v>
                </c:pt>
                <c:pt idx="21">
                  <c:v>0.14000000000000001</c:v>
                </c:pt>
                <c:pt idx="22">
                  <c:v>0.11</c:v>
                </c:pt>
                <c:pt idx="23">
                  <c:v>0.11</c:v>
                </c:pt>
                <c:pt idx="24">
                  <c:v>0.1</c:v>
                </c:pt>
              </c:numCache>
            </c:numRef>
          </c:val>
        </c:ser>
        <c:ser>
          <c:idx val="1"/>
          <c:order val="1"/>
          <c:tx>
            <c:strRef>
              <c:f>Edad_Inmigrantes_Emigrantes!$L$3</c:f>
              <c:strCache>
                <c:ptCount val="1"/>
                <c:pt idx="0">
                  <c:v>15 a 64 años</c:v>
                </c:pt>
              </c:strCache>
            </c:strRef>
          </c:tx>
          <c:spPr>
            <a:solidFill>
              <a:srgbClr val="DB15CD"/>
            </a:solidFill>
          </c:spPr>
          <c:invertIfNegative val="0"/>
          <c:dLbls>
            <c:numFmt formatCode="#,##0.00" sourceLinked="0"/>
            <c:txPr>
              <a:bodyPr rot="-5400000" vert="horz"/>
              <a:lstStyle/>
              <a:p>
                <a:pPr>
                  <a:defRPr sz="600">
                    <a:solidFill>
                      <a:schemeClr val="bg1"/>
                    </a:solidFill>
                  </a:defRPr>
                </a:pPr>
                <a:endParaRPr lang="es-EC"/>
              </a:p>
            </c:txPr>
            <c:dLblPos val="ctr"/>
            <c:showLegendKey val="0"/>
            <c:showVal val="1"/>
            <c:showCatName val="0"/>
            <c:showSerName val="0"/>
            <c:showPercent val="0"/>
            <c:showBubbleSize val="0"/>
            <c:showLeaderLines val="0"/>
          </c:dLbls>
          <c:cat>
            <c:strRef>
              <c:f>Edad_Inmigrantes_Emigrantes!$J$4:$J$28</c:f>
              <c:strCache>
                <c:ptCount val="25"/>
                <c:pt idx="0">
                  <c:v>Bolívar</c:v>
                </c:pt>
                <c:pt idx="1">
                  <c:v>Carchi</c:v>
                </c:pt>
                <c:pt idx="2">
                  <c:v>Manabí</c:v>
                </c:pt>
                <c:pt idx="3">
                  <c:v>Zonas No Delimitadas</c:v>
                </c:pt>
                <c:pt idx="4">
                  <c:v>Cañar</c:v>
                </c:pt>
                <c:pt idx="5">
                  <c:v>Loja</c:v>
                </c:pt>
                <c:pt idx="6">
                  <c:v>Cotopaxi</c:v>
                </c:pt>
                <c:pt idx="7">
                  <c:v>Chimborazo</c:v>
                </c:pt>
                <c:pt idx="8">
                  <c:v>Esmeraldas</c:v>
                </c:pt>
                <c:pt idx="9">
                  <c:v>Los Ríos</c:v>
                </c:pt>
                <c:pt idx="10">
                  <c:v>Napo</c:v>
                </c:pt>
                <c:pt idx="11">
                  <c:v>Azuay</c:v>
                </c:pt>
                <c:pt idx="12">
                  <c:v>Morona Santiago</c:v>
                </c:pt>
                <c:pt idx="13">
                  <c:v>Pastaza</c:v>
                </c:pt>
                <c:pt idx="14">
                  <c:v>Zamora Chinchipe</c:v>
                </c:pt>
                <c:pt idx="15">
                  <c:v>Galápagos</c:v>
                </c:pt>
                <c:pt idx="16">
                  <c:v>Orellana</c:v>
                </c:pt>
                <c:pt idx="17">
                  <c:v>Santa Elena</c:v>
                </c:pt>
                <c:pt idx="18">
                  <c:v>Imbabura</c:v>
                </c:pt>
                <c:pt idx="19">
                  <c:v>Tungurahua</c:v>
                </c:pt>
                <c:pt idx="20">
                  <c:v>Santo Domingo</c:v>
                </c:pt>
                <c:pt idx="21">
                  <c:v>Sucumbíos</c:v>
                </c:pt>
                <c:pt idx="22">
                  <c:v>El Oro</c:v>
                </c:pt>
                <c:pt idx="23">
                  <c:v>Pichincha</c:v>
                </c:pt>
                <c:pt idx="24">
                  <c:v>Guayas</c:v>
                </c:pt>
              </c:strCache>
            </c:strRef>
          </c:cat>
          <c:val>
            <c:numRef>
              <c:f>Edad_Inmigrantes_Emigrantes!$L$4:$L$28</c:f>
              <c:numCache>
                <c:formatCode>General</c:formatCode>
                <c:ptCount val="25"/>
                <c:pt idx="0">
                  <c:v>0.55000000000000004</c:v>
                </c:pt>
                <c:pt idx="1">
                  <c:v>0.59</c:v>
                </c:pt>
                <c:pt idx="2">
                  <c:v>0.61000000000000021</c:v>
                </c:pt>
                <c:pt idx="3">
                  <c:v>0.61000000000000021</c:v>
                </c:pt>
                <c:pt idx="4">
                  <c:v>0.63000000000000023</c:v>
                </c:pt>
                <c:pt idx="5">
                  <c:v>0.67000000000000026</c:v>
                </c:pt>
                <c:pt idx="6">
                  <c:v>0.69000000000000017</c:v>
                </c:pt>
                <c:pt idx="7">
                  <c:v>0.70000000000000018</c:v>
                </c:pt>
                <c:pt idx="8">
                  <c:v>0.71000000000000019</c:v>
                </c:pt>
                <c:pt idx="9">
                  <c:v>0.71000000000000019</c:v>
                </c:pt>
                <c:pt idx="10">
                  <c:v>0.74000000000000021</c:v>
                </c:pt>
                <c:pt idx="11">
                  <c:v>0.76000000000000023</c:v>
                </c:pt>
                <c:pt idx="12">
                  <c:v>0.69000000000000017</c:v>
                </c:pt>
                <c:pt idx="13">
                  <c:v>0.7300000000000002</c:v>
                </c:pt>
                <c:pt idx="14">
                  <c:v>0.70000000000000018</c:v>
                </c:pt>
                <c:pt idx="15">
                  <c:v>0.78</c:v>
                </c:pt>
                <c:pt idx="16">
                  <c:v>0.77000000000000024</c:v>
                </c:pt>
                <c:pt idx="17">
                  <c:v>0.76000000000000023</c:v>
                </c:pt>
                <c:pt idx="18">
                  <c:v>0.7300000000000002</c:v>
                </c:pt>
                <c:pt idx="19">
                  <c:v>0.75000000000000022</c:v>
                </c:pt>
                <c:pt idx="20">
                  <c:v>0.76000000000000023</c:v>
                </c:pt>
                <c:pt idx="21">
                  <c:v>0.79</c:v>
                </c:pt>
                <c:pt idx="22">
                  <c:v>0.77000000000000024</c:v>
                </c:pt>
                <c:pt idx="23">
                  <c:v>0.8</c:v>
                </c:pt>
                <c:pt idx="24">
                  <c:v>0.79</c:v>
                </c:pt>
              </c:numCache>
            </c:numRef>
          </c:val>
        </c:ser>
        <c:ser>
          <c:idx val="2"/>
          <c:order val="2"/>
          <c:tx>
            <c:strRef>
              <c:f>Edad_Inmigrantes_Emigrantes!$M$3</c:f>
              <c:strCache>
                <c:ptCount val="1"/>
                <c:pt idx="0">
                  <c:v>65 años o más</c:v>
                </c:pt>
              </c:strCache>
            </c:strRef>
          </c:tx>
          <c:spPr>
            <a:solidFill>
              <a:srgbClr val="FFC000"/>
            </a:solidFill>
          </c:spPr>
          <c:invertIfNegative val="0"/>
          <c:cat>
            <c:strRef>
              <c:f>Edad_Inmigrantes_Emigrantes!$J$4:$J$28</c:f>
              <c:strCache>
                <c:ptCount val="25"/>
                <c:pt idx="0">
                  <c:v>Bolívar</c:v>
                </c:pt>
                <c:pt idx="1">
                  <c:v>Carchi</c:v>
                </c:pt>
                <c:pt idx="2">
                  <c:v>Manabí</c:v>
                </c:pt>
                <c:pt idx="3">
                  <c:v>Zonas No Delimitadas</c:v>
                </c:pt>
                <c:pt idx="4">
                  <c:v>Cañar</c:v>
                </c:pt>
                <c:pt idx="5">
                  <c:v>Loja</c:v>
                </c:pt>
                <c:pt idx="6">
                  <c:v>Cotopaxi</c:v>
                </c:pt>
                <c:pt idx="7">
                  <c:v>Chimborazo</c:v>
                </c:pt>
                <c:pt idx="8">
                  <c:v>Esmeraldas</c:v>
                </c:pt>
                <c:pt idx="9">
                  <c:v>Los Ríos</c:v>
                </c:pt>
                <c:pt idx="10">
                  <c:v>Napo</c:v>
                </c:pt>
                <c:pt idx="11">
                  <c:v>Azuay</c:v>
                </c:pt>
                <c:pt idx="12">
                  <c:v>Morona Santiago</c:v>
                </c:pt>
                <c:pt idx="13">
                  <c:v>Pastaza</c:v>
                </c:pt>
                <c:pt idx="14">
                  <c:v>Zamora Chinchipe</c:v>
                </c:pt>
                <c:pt idx="15">
                  <c:v>Galápagos</c:v>
                </c:pt>
                <c:pt idx="16">
                  <c:v>Orellana</c:v>
                </c:pt>
                <c:pt idx="17">
                  <c:v>Santa Elena</c:v>
                </c:pt>
                <c:pt idx="18">
                  <c:v>Imbabura</c:v>
                </c:pt>
                <c:pt idx="19">
                  <c:v>Tungurahua</c:v>
                </c:pt>
                <c:pt idx="20">
                  <c:v>Santo Domingo</c:v>
                </c:pt>
                <c:pt idx="21">
                  <c:v>Sucumbíos</c:v>
                </c:pt>
                <c:pt idx="22">
                  <c:v>El Oro</c:v>
                </c:pt>
                <c:pt idx="23">
                  <c:v>Pichincha</c:v>
                </c:pt>
                <c:pt idx="24">
                  <c:v>Guayas</c:v>
                </c:pt>
              </c:strCache>
            </c:strRef>
          </c:cat>
          <c:val>
            <c:numRef>
              <c:f>Edad_Inmigrantes_Emigrantes!$M$4:$M$28</c:f>
              <c:numCache>
                <c:formatCode>General</c:formatCode>
                <c:ptCount val="25"/>
                <c:pt idx="0">
                  <c:v>7.0000000000000021E-2</c:v>
                </c:pt>
                <c:pt idx="1">
                  <c:v>0.05</c:v>
                </c:pt>
                <c:pt idx="2">
                  <c:v>4.0000000000000015E-2</c:v>
                </c:pt>
                <c:pt idx="3">
                  <c:v>7.0000000000000021E-2</c:v>
                </c:pt>
                <c:pt idx="4">
                  <c:v>6.0000000000000019E-2</c:v>
                </c:pt>
                <c:pt idx="5">
                  <c:v>4.0000000000000015E-2</c:v>
                </c:pt>
                <c:pt idx="6">
                  <c:v>6.0000000000000019E-2</c:v>
                </c:pt>
                <c:pt idx="7">
                  <c:v>7.0000000000000021E-2</c:v>
                </c:pt>
                <c:pt idx="8">
                  <c:v>8.0000000000000029E-2</c:v>
                </c:pt>
                <c:pt idx="9">
                  <c:v>9.0000000000000024E-2</c:v>
                </c:pt>
                <c:pt idx="10">
                  <c:v>7.0000000000000021E-2</c:v>
                </c:pt>
                <c:pt idx="11">
                  <c:v>6.0000000000000019E-2</c:v>
                </c:pt>
                <c:pt idx="12">
                  <c:v>0.13</c:v>
                </c:pt>
                <c:pt idx="13">
                  <c:v>9.0000000000000024E-2</c:v>
                </c:pt>
                <c:pt idx="14">
                  <c:v>0.12000000000000002</c:v>
                </c:pt>
                <c:pt idx="15">
                  <c:v>4.0000000000000015E-2</c:v>
                </c:pt>
                <c:pt idx="16">
                  <c:v>0.05</c:v>
                </c:pt>
                <c:pt idx="17">
                  <c:v>6.0000000000000019E-2</c:v>
                </c:pt>
                <c:pt idx="18">
                  <c:v>0.11</c:v>
                </c:pt>
                <c:pt idx="19">
                  <c:v>9.0000000000000024E-2</c:v>
                </c:pt>
                <c:pt idx="20">
                  <c:v>9.0000000000000024E-2</c:v>
                </c:pt>
                <c:pt idx="21">
                  <c:v>7.0000000000000021E-2</c:v>
                </c:pt>
                <c:pt idx="22">
                  <c:v>0.12000000000000002</c:v>
                </c:pt>
                <c:pt idx="23">
                  <c:v>9.0000000000000024E-2</c:v>
                </c:pt>
                <c:pt idx="24">
                  <c:v>0.11</c:v>
                </c:pt>
              </c:numCache>
            </c:numRef>
          </c:val>
        </c:ser>
        <c:dLbls>
          <c:showLegendKey val="0"/>
          <c:showVal val="0"/>
          <c:showCatName val="0"/>
          <c:showSerName val="0"/>
          <c:showPercent val="0"/>
          <c:showBubbleSize val="0"/>
        </c:dLbls>
        <c:gapWidth val="40"/>
        <c:overlap val="100"/>
        <c:axId val="230815232"/>
        <c:axId val="230957440"/>
      </c:barChart>
      <c:catAx>
        <c:axId val="230815232"/>
        <c:scaling>
          <c:orientation val="minMax"/>
        </c:scaling>
        <c:delete val="0"/>
        <c:axPos val="b"/>
        <c:title>
          <c:tx>
            <c:rich>
              <a:bodyPr/>
              <a:lstStyle/>
              <a:p>
                <a:pPr>
                  <a:defRPr/>
                </a:pPr>
                <a:r>
                  <a:rPr lang="es-EC"/>
                  <a:t>Provincia de residencia habitual</a:t>
                </a:r>
              </a:p>
            </c:rich>
          </c:tx>
          <c:overlay val="0"/>
        </c:title>
        <c:majorTickMark val="out"/>
        <c:minorTickMark val="none"/>
        <c:tickLblPos val="nextTo"/>
        <c:spPr>
          <a:ln>
            <a:solidFill>
              <a:schemeClr val="tx1"/>
            </a:solidFill>
          </a:ln>
        </c:spPr>
        <c:txPr>
          <a:bodyPr rot="-5400000" vert="horz"/>
          <a:lstStyle/>
          <a:p>
            <a:pPr>
              <a:defRPr sz="600"/>
            </a:pPr>
            <a:endParaRPr lang="es-EC"/>
          </a:p>
        </c:txPr>
        <c:crossAx val="230957440"/>
        <c:crosses val="autoZero"/>
        <c:auto val="1"/>
        <c:lblAlgn val="ctr"/>
        <c:lblOffset val="100"/>
        <c:noMultiLvlLbl val="0"/>
      </c:catAx>
      <c:valAx>
        <c:axId val="230957440"/>
        <c:scaling>
          <c:orientation val="minMax"/>
          <c:max val="1"/>
          <c:min val="0"/>
        </c:scaling>
        <c:delete val="0"/>
        <c:axPos val="l"/>
        <c:title>
          <c:tx>
            <c:rich>
              <a:bodyPr rot="-5400000" vert="horz"/>
              <a:lstStyle/>
              <a:p>
                <a:pPr>
                  <a:defRPr/>
                </a:pPr>
                <a:r>
                  <a:rPr lang="es-EC"/>
                  <a:t>Frecuencia Relativa</a:t>
                </a:r>
              </a:p>
            </c:rich>
          </c:tx>
          <c:overlay val="0"/>
        </c:title>
        <c:numFmt formatCode="#,##0.00" sourceLinked="0"/>
        <c:majorTickMark val="out"/>
        <c:minorTickMark val="none"/>
        <c:tickLblPos val="nextTo"/>
        <c:spPr>
          <a:ln>
            <a:solidFill>
              <a:schemeClr val="tx1"/>
            </a:solidFill>
          </a:ln>
        </c:spPr>
        <c:crossAx val="230815232"/>
        <c:crosses val="autoZero"/>
        <c:crossBetween val="between"/>
        <c:majorUnit val="0.1"/>
      </c:valAx>
      <c:spPr>
        <a:ln>
          <a:solidFill>
            <a:schemeClr val="tx1"/>
          </a:solidFill>
        </a:ln>
      </c:spPr>
    </c:plotArea>
    <c:legend>
      <c:legendPos val="t"/>
      <c:layout>
        <c:manualLayout>
          <c:xMode val="edge"/>
          <c:yMode val="edge"/>
          <c:x val="7.3175930139292925E-2"/>
          <c:y val="0"/>
          <c:w val="0.88597250527195415"/>
          <c:h val="5.8235145594967661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87148594377553"/>
          <c:y val="5.2173913043478327E-2"/>
          <c:w val="0.8352472088416375"/>
          <c:h val="0.80234485906653052"/>
        </c:manualLayout>
      </c:layout>
      <c:barChart>
        <c:barDir val="bar"/>
        <c:grouping val="clustered"/>
        <c:varyColors val="0"/>
        <c:ser>
          <c:idx val="0"/>
          <c:order val="0"/>
          <c:spPr>
            <a:gradFill>
              <a:gsLst>
                <a:gs pos="0">
                  <a:schemeClr val="bg1">
                    <a:lumMod val="65000"/>
                  </a:schemeClr>
                </a:gs>
                <a:gs pos="50000">
                  <a:schemeClr val="bg1">
                    <a:lumMod val="85000"/>
                  </a:schemeClr>
                </a:gs>
                <a:gs pos="100000">
                  <a:schemeClr val="bg1">
                    <a:lumMod val="85000"/>
                  </a:schemeClr>
                </a:gs>
              </a:gsLst>
              <a:lin ang="4200000" scaled="0"/>
            </a:gradFill>
            <a:ln>
              <a:solidFill>
                <a:schemeClr val="bg1">
                  <a:lumMod val="65000"/>
                </a:schemeClr>
              </a:solidFill>
            </a:ln>
          </c:spPr>
          <c:invertIfNegative val="0"/>
          <c:dLbls>
            <c:numFmt formatCode="#,##0.000" sourceLinked="0"/>
            <c:txPr>
              <a:bodyPr/>
              <a:lstStyle/>
              <a:p>
                <a:pPr>
                  <a:defRPr sz="650"/>
                </a:pPr>
                <a:endParaRPr lang="es-EC"/>
              </a:p>
            </c:txPr>
            <c:dLblPos val="outEnd"/>
            <c:showLegendKey val="0"/>
            <c:showVal val="1"/>
            <c:showCatName val="0"/>
            <c:showSerName val="0"/>
            <c:showPercent val="0"/>
            <c:showBubbleSize val="0"/>
            <c:showLeaderLines val="0"/>
          </c:dLbls>
          <c:cat>
            <c:strRef>
              <c:f>Perfil!$B$356:$B$358</c:f>
              <c:strCache>
                <c:ptCount val="3"/>
                <c:pt idx="0">
                  <c:v>Sí</c:v>
                </c:pt>
                <c:pt idx="1">
                  <c:v>No</c:v>
                </c:pt>
                <c:pt idx="2">
                  <c:v>Se ignora</c:v>
                </c:pt>
              </c:strCache>
            </c:strRef>
          </c:cat>
          <c:val>
            <c:numRef>
              <c:f>Perfil!$G$356:$G$358</c:f>
              <c:numCache>
                <c:formatCode>0,000</c:formatCode>
                <c:ptCount val="3"/>
                <c:pt idx="0">
                  <c:v>0.3617536649485128</c:v>
                </c:pt>
                <c:pt idx="1">
                  <c:v>0.56314502519831544</c:v>
                </c:pt>
                <c:pt idx="2">
                  <c:v>7.5101309853172468E-2</c:v>
                </c:pt>
              </c:numCache>
            </c:numRef>
          </c:val>
        </c:ser>
        <c:dLbls>
          <c:showLegendKey val="0"/>
          <c:showVal val="1"/>
          <c:showCatName val="0"/>
          <c:showSerName val="0"/>
          <c:showPercent val="0"/>
          <c:showBubbleSize val="0"/>
        </c:dLbls>
        <c:gapWidth val="50"/>
        <c:axId val="254216448"/>
        <c:axId val="254248448"/>
      </c:barChart>
      <c:catAx>
        <c:axId val="254216448"/>
        <c:scaling>
          <c:orientation val="maxMin"/>
        </c:scaling>
        <c:delete val="0"/>
        <c:axPos val="l"/>
        <c:title>
          <c:tx>
            <c:rich>
              <a:bodyPr rot="-5400000" vert="horz"/>
              <a:lstStyle/>
              <a:p>
                <a:pPr>
                  <a:defRPr sz="700"/>
                </a:pPr>
                <a:r>
                  <a:rPr lang="es-EC" sz="700"/>
                  <a:t>Computadora</a:t>
                </a:r>
              </a:p>
            </c:rich>
          </c:tx>
          <c:overlay val="0"/>
        </c:title>
        <c:numFmt formatCode="General" sourceLinked="1"/>
        <c:majorTickMark val="out"/>
        <c:minorTickMark val="none"/>
        <c:tickLblPos val="nextTo"/>
        <c:spPr>
          <a:ln>
            <a:solidFill>
              <a:schemeClr val="tx1"/>
            </a:solidFill>
          </a:ln>
        </c:spPr>
        <c:txPr>
          <a:bodyPr rot="0" vert="horz"/>
          <a:lstStyle/>
          <a:p>
            <a:pPr>
              <a:defRPr sz="600"/>
            </a:pPr>
            <a:endParaRPr lang="es-EC"/>
          </a:p>
        </c:txPr>
        <c:crossAx val="254248448"/>
        <c:crosses val="autoZero"/>
        <c:auto val="1"/>
        <c:lblAlgn val="ctr"/>
        <c:lblOffset val="100"/>
        <c:noMultiLvlLbl val="0"/>
      </c:catAx>
      <c:valAx>
        <c:axId val="254248448"/>
        <c:scaling>
          <c:orientation val="minMax"/>
          <c:max val="1"/>
          <c:min val="0"/>
        </c:scaling>
        <c:delete val="0"/>
        <c:axPos val="t"/>
        <c:title>
          <c:tx>
            <c:rich>
              <a:bodyPr/>
              <a:lstStyle/>
              <a:p>
                <a:pPr>
                  <a:defRPr sz="700"/>
                </a:pPr>
                <a:r>
                  <a:rPr lang="es-EC" sz="700"/>
                  <a:t>Frecuencia Relativa</a:t>
                </a:r>
              </a:p>
            </c:rich>
          </c:tx>
          <c:layout>
            <c:manualLayout>
              <c:xMode val="edge"/>
              <c:yMode val="edge"/>
              <c:x val="0.28208636340839582"/>
              <c:y val="0.91594202898550725"/>
            </c:manualLayout>
          </c:layout>
          <c:overlay val="0"/>
        </c:title>
        <c:numFmt formatCode="0.00" sourceLinked="0"/>
        <c:majorTickMark val="in"/>
        <c:minorTickMark val="none"/>
        <c:tickLblPos val="high"/>
        <c:spPr>
          <a:ln>
            <a:solidFill>
              <a:schemeClr val="tx1"/>
            </a:solidFill>
          </a:ln>
        </c:spPr>
        <c:txPr>
          <a:bodyPr/>
          <a:lstStyle/>
          <a:p>
            <a:pPr>
              <a:defRPr sz="600"/>
            </a:pPr>
            <a:endParaRPr lang="es-EC"/>
          </a:p>
        </c:txPr>
        <c:crossAx val="254216448"/>
        <c:crossesAt val="4"/>
        <c:crossBetween val="between"/>
        <c:majorUnit val="0.25"/>
      </c:valAx>
      <c:spPr>
        <a:noFill/>
        <a:ln>
          <a:solidFill>
            <a:schemeClr val="tx1"/>
          </a:solid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C"/>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056882821387982E-2"/>
          <c:y val="3.6166365280289346E-2"/>
          <c:w val="0.89988623435722359"/>
          <c:h val="0.86121157323689035"/>
        </c:manualLayout>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Economía!$M$1:$M$3</c:f>
              <c:numCache>
                <c:formatCode>###0</c:formatCode>
                <c:ptCount val="3"/>
                <c:pt idx="0" formatCode="General">
                  <c:v>89931</c:v>
                </c:pt>
                <c:pt idx="1">
                  <c:v>82262</c:v>
                </c:pt>
                <c:pt idx="2">
                  <c:v>52285</c:v>
                </c:pt>
              </c:numCache>
            </c:numRef>
          </c:val>
        </c:ser>
        <c:ser>
          <c:idx val="1"/>
          <c:order val="1"/>
          <c:spPr>
            <a:solidFill>
              <a:srgbClr val="00B0F0"/>
            </a:solidFill>
          </c:spPr>
          <c:invertIfNegative val="0"/>
          <c:val>
            <c:numRef>
              <c:f>Economía!$O$1:$O$3</c:f>
              <c:numCache>
                <c:formatCode>General</c:formatCode>
                <c:ptCount val="3"/>
                <c:pt idx="2" formatCode="###0">
                  <c:v>29977</c:v>
                </c:pt>
              </c:numCache>
            </c:numRef>
          </c:val>
        </c:ser>
        <c:dLbls>
          <c:showLegendKey val="0"/>
          <c:showVal val="1"/>
          <c:showCatName val="0"/>
          <c:showSerName val="0"/>
          <c:showPercent val="0"/>
          <c:showBubbleSize val="0"/>
        </c:dLbls>
        <c:gapWidth val="30"/>
        <c:overlap val="100"/>
        <c:axId val="254267776"/>
        <c:axId val="254269312"/>
      </c:barChart>
      <c:catAx>
        <c:axId val="254267776"/>
        <c:scaling>
          <c:orientation val="minMax"/>
        </c:scaling>
        <c:delete val="0"/>
        <c:axPos val="b"/>
        <c:majorTickMark val="none"/>
        <c:minorTickMark val="none"/>
        <c:tickLblPos val="none"/>
        <c:spPr>
          <a:ln>
            <a:solidFill>
              <a:schemeClr val="tx1"/>
            </a:solidFill>
          </a:ln>
        </c:spPr>
        <c:crossAx val="254269312"/>
        <c:crosses val="autoZero"/>
        <c:auto val="1"/>
        <c:lblAlgn val="ctr"/>
        <c:lblOffset val="100"/>
        <c:noMultiLvlLbl val="0"/>
      </c:catAx>
      <c:valAx>
        <c:axId val="254269312"/>
        <c:scaling>
          <c:orientation val="minMax"/>
        </c:scaling>
        <c:delete val="1"/>
        <c:axPos val="l"/>
        <c:numFmt formatCode="General" sourceLinked="1"/>
        <c:majorTickMark val="out"/>
        <c:minorTickMark val="none"/>
        <c:tickLblPos val="none"/>
        <c:crossAx val="254267776"/>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Economía!$N$252:$N$254</c:f>
              <c:numCache>
                <c:formatCode>###0</c:formatCode>
                <c:ptCount val="3"/>
                <c:pt idx="0" formatCode="General">
                  <c:v>42464</c:v>
                </c:pt>
                <c:pt idx="1">
                  <c:v>38573</c:v>
                </c:pt>
                <c:pt idx="2">
                  <c:v>31210</c:v>
                </c:pt>
              </c:numCache>
            </c:numRef>
          </c:val>
        </c:ser>
        <c:ser>
          <c:idx val="1"/>
          <c:order val="1"/>
          <c:spPr>
            <a:solidFill>
              <a:srgbClr val="00B0F0"/>
            </a:solidFill>
          </c:spPr>
          <c:invertIfNegative val="0"/>
          <c:val>
            <c:numRef>
              <c:f>Economía!$P$252:$P$254</c:f>
              <c:numCache>
                <c:formatCode>General</c:formatCode>
                <c:ptCount val="3"/>
                <c:pt idx="2" formatCode="###0">
                  <c:v>7363</c:v>
                </c:pt>
              </c:numCache>
            </c:numRef>
          </c:val>
        </c:ser>
        <c:dLbls>
          <c:showLegendKey val="0"/>
          <c:showVal val="1"/>
          <c:showCatName val="0"/>
          <c:showSerName val="0"/>
          <c:showPercent val="0"/>
          <c:showBubbleSize val="0"/>
        </c:dLbls>
        <c:gapWidth val="30"/>
        <c:overlap val="100"/>
        <c:axId val="254312832"/>
        <c:axId val="254314368"/>
      </c:barChart>
      <c:catAx>
        <c:axId val="254312832"/>
        <c:scaling>
          <c:orientation val="minMax"/>
        </c:scaling>
        <c:delete val="0"/>
        <c:axPos val="b"/>
        <c:majorTickMark val="none"/>
        <c:minorTickMark val="none"/>
        <c:tickLblPos val="none"/>
        <c:spPr>
          <a:ln>
            <a:solidFill>
              <a:schemeClr val="tx1"/>
            </a:solidFill>
          </a:ln>
        </c:spPr>
        <c:crossAx val="254314368"/>
        <c:crosses val="autoZero"/>
        <c:auto val="1"/>
        <c:lblAlgn val="ctr"/>
        <c:lblOffset val="100"/>
        <c:noMultiLvlLbl val="0"/>
      </c:catAx>
      <c:valAx>
        <c:axId val="254314368"/>
        <c:scaling>
          <c:orientation val="minMax"/>
        </c:scaling>
        <c:delete val="1"/>
        <c:axPos val="l"/>
        <c:numFmt formatCode="General" sourceLinked="1"/>
        <c:majorTickMark val="out"/>
        <c:minorTickMark val="none"/>
        <c:tickLblPos val="none"/>
        <c:crossAx val="254312832"/>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0"/>
            <c:invertIfNegative val="0"/>
            <c:bubble3D val="0"/>
            <c:spPr>
              <a:solidFill>
                <a:srgbClr val="FFC000"/>
              </a:solidFill>
            </c:spPr>
          </c:dPt>
          <c:dPt>
            <c:idx val="1"/>
            <c:invertIfNegative val="0"/>
            <c:bubble3D val="0"/>
            <c:spPr>
              <a:solidFill>
                <a:schemeClr val="accent6">
                  <a:lumMod val="75000"/>
                </a:schemeClr>
              </a:solidFill>
            </c:spPr>
          </c:dPt>
          <c:dPt>
            <c:idx val="2"/>
            <c:invertIfNegative val="0"/>
            <c:bubble3D val="0"/>
            <c:spPr>
              <a:solidFill>
                <a:srgbClr val="D735B4"/>
              </a:solidFill>
            </c:spPr>
          </c:dPt>
          <c:val>
            <c:numRef>
              <c:f>Economía!$S$252:$S$254</c:f>
              <c:numCache>
                <c:formatCode>###0</c:formatCode>
                <c:ptCount val="3"/>
                <c:pt idx="0" formatCode="General">
                  <c:v>47467</c:v>
                </c:pt>
                <c:pt idx="1">
                  <c:v>43689</c:v>
                </c:pt>
                <c:pt idx="2">
                  <c:v>21075</c:v>
                </c:pt>
              </c:numCache>
            </c:numRef>
          </c:val>
        </c:ser>
        <c:ser>
          <c:idx val="1"/>
          <c:order val="1"/>
          <c:spPr>
            <a:solidFill>
              <a:srgbClr val="00B0F0"/>
            </a:solidFill>
          </c:spPr>
          <c:invertIfNegative val="0"/>
          <c:val>
            <c:numRef>
              <c:f>Economía!$U$252:$U$254</c:f>
              <c:numCache>
                <c:formatCode>General</c:formatCode>
                <c:ptCount val="3"/>
                <c:pt idx="2" formatCode="###0">
                  <c:v>22614</c:v>
                </c:pt>
              </c:numCache>
            </c:numRef>
          </c:val>
        </c:ser>
        <c:dLbls>
          <c:showLegendKey val="0"/>
          <c:showVal val="1"/>
          <c:showCatName val="0"/>
          <c:showSerName val="0"/>
          <c:showPercent val="0"/>
          <c:showBubbleSize val="0"/>
        </c:dLbls>
        <c:gapWidth val="30"/>
        <c:overlap val="100"/>
        <c:axId val="254345600"/>
        <c:axId val="254347136"/>
      </c:barChart>
      <c:catAx>
        <c:axId val="254345600"/>
        <c:scaling>
          <c:orientation val="minMax"/>
        </c:scaling>
        <c:delete val="0"/>
        <c:axPos val="b"/>
        <c:majorTickMark val="none"/>
        <c:minorTickMark val="none"/>
        <c:tickLblPos val="none"/>
        <c:spPr>
          <a:ln>
            <a:solidFill>
              <a:schemeClr val="tx1"/>
            </a:solidFill>
          </a:ln>
        </c:spPr>
        <c:crossAx val="254347136"/>
        <c:crosses val="autoZero"/>
        <c:auto val="1"/>
        <c:lblAlgn val="ctr"/>
        <c:lblOffset val="100"/>
        <c:noMultiLvlLbl val="0"/>
      </c:catAx>
      <c:valAx>
        <c:axId val="254347136"/>
        <c:scaling>
          <c:orientation val="minMax"/>
        </c:scaling>
        <c:delete val="1"/>
        <c:axPos val="l"/>
        <c:numFmt formatCode="General" sourceLinked="1"/>
        <c:majorTickMark val="out"/>
        <c:minorTickMark val="none"/>
        <c:tickLblPos val="none"/>
        <c:crossAx val="254345600"/>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784017563842322"/>
          <c:y val="3.8244236399205218E-2"/>
          <c:w val="0.43190280460225555"/>
          <c:h val="0.85554307303943766"/>
        </c:manualLayout>
      </c:layout>
      <c:barChart>
        <c:barDir val="bar"/>
        <c:grouping val="clustered"/>
        <c:varyColors val="0"/>
        <c:ser>
          <c:idx val="0"/>
          <c:order val="0"/>
          <c:spPr>
            <a:gradFill>
              <a:gsLst>
                <a:gs pos="0">
                  <a:schemeClr val="bg1">
                    <a:lumMod val="65000"/>
                  </a:schemeClr>
                </a:gs>
                <a:gs pos="50000">
                  <a:schemeClr val="bg1">
                    <a:lumMod val="95000"/>
                  </a:schemeClr>
                </a:gs>
                <a:gs pos="100000">
                  <a:schemeClr val="bg1">
                    <a:lumMod val="65000"/>
                  </a:schemeClr>
                </a:gs>
              </a:gsLst>
              <a:lin ang="13200000" scaled="0"/>
            </a:gradFill>
            <a:ln>
              <a:solidFill>
                <a:schemeClr val="bg1">
                  <a:lumMod val="50000"/>
                </a:schemeClr>
              </a:solidFill>
            </a:ln>
          </c:spPr>
          <c:invertIfNegative val="0"/>
          <c:dLbls>
            <c:numFmt formatCode="#,##0.000" sourceLinked="0"/>
            <c:dLblPos val="outEnd"/>
            <c:showLegendKey val="0"/>
            <c:showVal val="1"/>
            <c:showCatName val="0"/>
            <c:showSerName val="0"/>
            <c:showPercent val="0"/>
            <c:showBubbleSize val="0"/>
            <c:showLeaderLines val="0"/>
          </c:dLbls>
          <c:cat>
            <c:strRef>
              <c:f>Economía!$H$56:$H$64</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Trabajador no remunerado</c:v>
                </c:pt>
                <c:pt idx="7">
                  <c:v>Empleado doméstico</c:v>
                </c:pt>
                <c:pt idx="8">
                  <c:v>Se ignora</c:v>
                </c:pt>
              </c:strCache>
            </c:strRef>
          </c:cat>
          <c:val>
            <c:numRef>
              <c:f>Economía!$I$56:$I$64</c:f>
              <c:numCache>
                <c:formatCode>#.##0000_);\(#.##0000\)</c:formatCode>
                <c:ptCount val="9"/>
                <c:pt idx="0">
                  <c:v>3.820853743876839E-2</c:v>
                </c:pt>
                <c:pt idx="1">
                  <c:v>0.36653004098770381</c:v>
                </c:pt>
                <c:pt idx="2">
                  <c:v>0.15855243426971921</c:v>
                </c:pt>
                <c:pt idx="3">
                  <c:v>4.7965610316904932E-2</c:v>
                </c:pt>
                <c:pt idx="4">
                  <c:v>2.2473258022593291E-2</c:v>
                </c:pt>
                <c:pt idx="5">
                  <c:v>0.26540037988603432</c:v>
                </c:pt>
                <c:pt idx="6">
                  <c:v>1.9594121763470987E-2</c:v>
                </c:pt>
                <c:pt idx="7">
                  <c:v>4.9865040487853673E-2</c:v>
                </c:pt>
                <c:pt idx="8">
                  <c:v>3.1410576826951912E-2</c:v>
                </c:pt>
              </c:numCache>
            </c:numRef>
          </c:val>
        </c:ser>
        <c:dLbls>
          <c:showLegendKey val="0"/>
          <c:showVal val="1"/>
          <c:showCatName val="0"/>
          <c:showSerName val="0"/>
          <c:showPercent val="0"/>
          <c:showBubbleSize val="0"/>
        </c:dLbls>
        <c:gapWidth val="40"/>
        <c:axId val="254353792"/>
        <c:axId val="254368384"/>
      </c:barChart>
      <c:catAx>
        <c:axId val="254353792"/>
        <c:scaling>
          <c:orientation val="maxMin"/>
        </c:scaling>
        <c:delete val="0"/>
        <c:axPos val="l"/>
        <c:title>
          <c:tx>
            <c:rich>
              <a:bodyPr rot="-5400000" vert="horz"/>
              <a:lstStyle/>
              <a:p>
                <a:pPr>
                  <a:defRPr/>
                </a:pPr>
                <a:r>
                  <a:rPr lang="es-EC"/>
                  <a:t>En el lugar</a:t>
                </a:r>
                <a:r>
                  <a:rPr lang="es-EC" baseline="0"/>
                  <a:t> indicado trabaja como</a:t>
                </a:r>
                <a:endParaRPr lang="es-EC"/>
              </a:p>
            </c:rich>
          </c:tx>
          <c:overlay val="0"/>
        </c:title>
        <c:majorTickMark val="out"/>
        <c:minorTickMark val="none"/>
        <c:tickLblPos val="nextTo"/>
        <c:spPr>
          <a:ln>
            <a:solidFill>
              <a:schemeClr val="tx1"/>
            </a:solidFill>
          </a:ln>
        </c:spPr>
        <c:txPr>
          <a:bodyPr/>
          <a:lstStyle/>
          <a:p>
            <a:pPr>
              <a:defRPr sz="800"/>
            </a:pPr>
            <a:endParaRPr lang="es-EC"/>
          </a:p>
        </c:txPr>
        <c:crossAx val="254368384"/>
        <c:crosses val="autoZero"/>
        <c:auto val="1"/>
        <c:lblAlgn val="ctr"/>
        <c:lblOffset val="100"/>
        <c:noMultiLvlLbl val="0"/>
      </c:catAx>
      <c:valAx>
        <c:axId val="254368384"/>
        <c:scaling>
          <c:orientation val="minMax"/>
          <c:max val="1"/>
          <c:min val="0"/>
        </c:scaling>
        <c:delete val="0"/>
        <c:axPos val="t"/>
        <c:title>
          <c:tx>
            <c:rich>
              <a:bodyPr/>
              <a:lstStyle/>
              <a:p>
                <a:pPr>
                  <a:defRPr/>
                </a:pPr>
                <a:r>
                  <a:rPr lang="es-EC"/>
                  <a:t>Frecuencia</a:t>
                </a:r>
                <a:r>
                  <a:rPr lang="es-EC" baseline="0"/>
                  <a:t> Relativa</a:t>
                </a:r>
                <a:endParaRPr lang="es-EC"/>
              </a:p>
            </c:rich>
          </c:tx>
          <c:layout>
            <c:manualLayout>
              <c:xMode val="edge"/>
              <c:yMode val="edge"/>
              <c:x val="0.64144868683867451"/>
              <c:y val="0.94579601116739453"/>
            </c:manualLayout>
          </c:layout>
          <c:overlay val="0"/>
        </c:title>
        <c:numFmt formatCode="#,##0.00" sourceLinked="0"/>
        <c:majorTickMark val="in"/>
        <c:minorTickMark val="none"/>
        <c:tickLblPos val="high"/>
        <c:spPr>
          <a:ln>
            <a:solidFill>
              <a:schemeClr val="tx1"/>
            </a:solidFill>
          </a:ln>
        </c:spPr>
        <c:crossAx val="254353792"/>
        <c:crossesAt val="10"/>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78530067333589"/>
          <c:y val="7.0495344132938814E-2"/>
          <c:w val="0.51294869959436884"/>
          <c:h val="0.82819265426216648"/>
        </c:manualLayout>
      </c:layout>
      <c:barChart>
        <c:barDir val="bar"/>
        <c:grouping val="stacked"/>
        <c:varyColors val="0"/>
        <c:ser>
          <c:idx val="0"/>
          <c:order val="0"/>
          <c:tx>
            <c:strRef>
              <c:f>Economía!$F$92</c:f>
              <c:strCache>
                <c:ptCount val="1"/>
                <c:pt idx="0">
                  <c:v>Hombre</c:v>
                </c:pt>
              </c:strCache>
            </c:strRef>
          </c:tx>
          <c:spPr>
            <a:solidFill>
              <a:srgbClr val="00B0F0"/>
            </a:solidFill>
          </c:spPr>
          <c:invertIfNegative val="0"/>
          <c:dLbls>
            <c:dLbl>
              <c:idx val="0"/>
              <c:layout>
                <c:manualLayout>
                  <c:x val="-4.1048937618939525E-2"/>
                  <c:y val="0"/>
                </c:manualLayout>
              </c:layout>
              <c:dLblPos val="ctr"/>
              <c:showLegendKey val="0"/>
              <c:showVal val="1"/>
              <c:showCatName val="0"/>
              <c:showSerName val="0"/>
              <c:showPercent val="0"/>
              <c:showBubbleSize val="0"/>
            </c:dLbl>
            <c:dLbl>
              <c:idx val="1"/>
              <c:layout>
                <c:manualLayout>
                  <c:x val="-8.0398065541142219E-2"/>
                  <c:y val="5.1973701307138633E-7"/>
                </c:manualLayout>
              </c:layout>
              <c:dLblPos val="ctr"/>
              <c:showLegendKey val="0"/>
              <c:showVal val="1"/>
              <c:showCatName val="0"/>
              <c:showSerName val="0"/>
              <c:showPercent val="0"/>
              <c:showBubbleSize val="0"/>
            </c:dLbl>
            <c:dLbl>
              <c:idx val="2"/>
              <c:layout>
                <c:manualLayout>
                  <c:x val="-5.2852628454702621E-2"/>
                  <c:y val="0"/>
                </c:manualLayout>
              </c:layout>
              <c:dLblPos val="ctr"/>
              <c:showLegendKey val="0"/>
              <c:showVal val="1"/>
              <c:showCatName val="0"/>
              <c:showSerName val="0"/>
              <c:showPercent val="0"/>
              <c:showBubbleSize val="0"/>
            </c:dLbl>
            <c:dLbl>
              <c:idx val="3"/>
              <c:layout>
                <c:manualLayout>
                  <c:x val="-3.9949950823774547E-2"/>
                  <c:y val="0"/>
                </c:manualLayout>
              </c:layout>
              <c:dLblPos val="ctr"/>
              <c:showLegendKey val="0"/>
              <c:showVal val="1"/>
              <c:showCatName val="0"/>
              <c:showSerName val="0"/>
              <c:showPercent val="0"/>
              <c:showBubbleSize val="0"/>
            </c:dLbl>
            <c:dLbl>
              <c:idx val="4"/>
              <c:layout>
                <c:manualLayout>
                  <c:x val="-3.91943246562029E-2"/>
                  <c:y val="0"/>
                </c:manualLayout>
              </c:layout>
              <c:dLblPos val="ctr"/>
              <c:showLegendKey val="0"/>
              <c:showVal val="1"/>
              <c:showCatName val="0"/>
              <c:showSerName val="0"/>
              <c:showPercent val="0"/>
              <c:showBubbleSize val="0"/>
            </c:dLbl>
            <c:dLbl>
              <c:idx val="5"/>
              <c:layout>
                <c:manualLayout>
                  <c:x val="-6.3942129185071375E-2"/>
                  <c:y val="0"/>
                </c:manualLayout>
              </c:layout>
              <c:dLblPos val="ctr"/>
              <c:showLegendKey val="0"/>
              <c:showVal val="1"/>
              <c:showCatName val="0"/>
              <c:showSerName val="0"/>
              <c:showPercent val="0"/>
              <c:showBubbleSize val="0"/>
            </c:dLbl>
            <c:dLbl>
              <c:idx val="6"/>
              <c:layout>
                <c:manualLayout>
                  <c:x val="-3.6704901909434276E-2"/>
                  <c:y val="0"/>
                </c:manualLayout>
              </c:layout>
              <c:dLblPos val="ctr"/>
              <c:showLegendKey val="0"/>
              <c:showVal val="1"/>
              <c:showCatName val="0"/>
              <c:showSerName val="0"/>
              <c:showPercent val="0"/>
              <c:showBubbleSize val="0"/>
            </c:dLbl>
            <c:dLbl>
              <c:idx val="8"/>
              <c:layout>
                <c:manualLayout>
                  <c:x val="-3.8389580459870454E-2"/>
                  <c:y val="0"/>
                </c:manualLayout>
              </c:layout>
              <c:dLblPos val="ctr"/>
              <c:showLegendKey val="0"/>
              <c:showVal val="1"/>
              <c:showCatName val="0"/>
              <c:showSerName val="0"/>
              <c:showPercent val="0"/>
              <c:showBubbleSize val="0"/>
            </c:dLbl>
            <c:numFmt formatCode="0.000;0.000" sourceLinked="0"/>
            <c:txPr>
              <a:bodyPr/>
              <a:lstStyle/>
              <a:p>
                <a:pPr>
                  <a:defRPr sz="700"/>
                </a:pPr>
                <a:endParaRPr lang="es-EC"/>
              </a:p>
            </c:txPr>
            <c:dLblPos val="inEnd"/>
            <c:showLegendKey val="0"/>
            <c:showVal val="1"/>
            <c:showCatName val="0"/>
            <c:showSerName val="0"/>
            <c:showPercent val="0"/>
            <c:showBubbleSize val="0"/>
            <c:showLeaderLines val="0"/>
          </c:dLbls>
          <c:cat>
            <c:strRef>
              <c:f>'Inmigracion(Perfil)'!$P$837:$P$845</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Trabajador no remunerado</c:v>
                </c:pt>
                <c:pt idx="7">
                  <c:v>Empleado doméstico</c:v>
                </c:pt>
                <c:pt idx="8">
                  <c:v>Se ignora</c:v>
                </c:pt>
              </c:strCache>
            </c:strRef>
          </c:cat>
          <c:val>
            <c:numRef>
              <c:f>Economía!$F$93:$F$101</c:f>
              <c:numCache>
                <c:formatCode>0.00%</c:formatCode>
                <c:ptCount val="9"/>
                <c:pt idx="0">
                  <c:v>-3.6399165369456497E-2</c:v>
                </c:pt>
                <c:pt idx="1">
                  <c:v>-0.3626337230483887</c:v>
                </c:pt>
                <c:pt idx="2">
                  <c:v>-0.22303182856953593</c:v>
                </c:pt>
                <c:pt idx="3">
                  <c:v>-4.8786142483357053E-2</c:v>
                </c:pt>
                <c:pt idx="4">
                  <c:v>-2.2985460206008008E-2</c:v>
                </c:pt>
                <c:pt idx="5">
                  <c:v>-0.26151757029775136</c:v>
                </c:pt>
                <c:pt idx="6">
                  <c:v>-1.831550359354818E-2</c:v>
                </c:pt>
                <c:pt idx="7">
                  <c:v>-4.3387540158314839E-3</c:v>
                </c:pt>
                <c:pt idx="8">
                  <c:v>-2.1991852416122958E-2</c:v>
                </c:pt>
              </c:numCache>
            </c:numRef>
          </c:val>
        </c:ser>
        <c:ser>
          <c:idx val="1"/>
          <c:order val="1"/>
          <c:tx>
            <c:strRef>
              <c:f>Economía!$G$92</c:f>
              <c:strCache>
                <c:ptCount val="1"/>
                <c:pt idx="0">
                  <c:v>Mujer</c:v>
                </c:pt>
              </c:strCache>
            </c:strRef>
          </c:tx>
          <c:spPr>
            <a:solidFill>
              <a:srgbClr val="D735B4"/>
            </a:solidFill>
          </c:spPr>
          <c:invertIfNegative val="0"/>
          <c:dLbls>
            <c:dLbl>
              <c:idx val="0"/>
              <c:layout>
                <c:manualLayout>
                  <c:x val="3.7239613341015311E-2"/>
                  <c:y val="0"/>
                </c:manualLayout>
              </c:layout>
              <c:dLblPos val="ctr"/>
              <c:showLegendKey val="0"/>
              <c:showVal val="1"/>
              <c:showCatName val="0"/>
              <c:showSerName val="0"/>
              <c:showPercent val="0"/>
              <c:showBubbleSize val="0"/>
            </c:dLbl>
            <c:dLbl>
              <c:idx val="1"/>
              <c:layout>
                <c:manualLayout>
                  <c:x val="8.484173402936615E-2"/>
                  <c:y val="1.0394740261427725E-6"/>
                </c:manualLayout>
              </c:layout>
              <c:dLblPos val="ctr"/>
              <c:showLegendKey val="0"/>
              <c:showVal val="1"/>
              <c:showCatName val="0"/>
              <c:showSerName val="0"/>
              <c:showPercent val="0"/>
              <c:showBubbleSize val="0"/>
            </c:dLbl>
            <c:dLbl>
              <c:idx val="3"/>
              <c:layout>
                <c:manualLayout>
                  <c:x val="3.8627255850224945E-2"/>
                  <c:y val="0"/>
                </c:manualLayout>
              </c:layout>
              <c:dLblPos val="ctr"/>
              <c:showLegendKey val="0"/>
              <c:showVal val="1"/>
              <c:showCatName val="0"/>
              <c:showSerName val="0"/>
              <c:showPercent val="0"/>
              <c:showBubbleSize val="0"/>
            </c:dLbl>
            <c:dLbl>
              <c:idx val="4"/>
              <c:layout>
                <c:manualLayout>
                  <c:x val="3.4724118465236195E-2"/>
                  <c:y val="-3.0755437748499876E-3"/>
                </c:manualLayout>
              </c:layout>
              <c:dLblPos val="ctr"/>
              <c:showLegendKey val="0"/>
              <c:showVal val="1"/>
              <c:showCatName val="0"/>
              <c:showSerName val="0"/>
              <c:showPercent val="0"/>
              <c:showBubbleSize val="0"/>
            </c:dLbl>
            <c:dLbl>
              <c:idx val="5"/>
              <c:layout>
                <c:manualLayout>
                  <c:x val="6.3422041941727014E-2"/>
                  <c:y val="2.8298349492176786E-7"/>
                </c:manualLayout>
              </c:layout>
              <c:dLblPos val="ctr"/>
              <c:showLegendKey val="0"/>
              <c:showVal val="1"/>
              <c:showCatName val="0"/>
              <c:showSerName val="0"/>
              <c:showPercent val="0"/>
              <c:showBubbleSize val="0"/>
            </c:dLbl>
            <c:dLbl>
              <c:idx val="7"/>
              <c:layout>
                <c:manualLayout>
                  <c:x val="4.2769465346765137E-2"/>
                  <c:y val="0"/>
                </c:manualLayout>
              </c:layout>
              <c:dLblPos val="ctr"/>
              <c:showLegendKey val="0"/>
              <c:showVal val="1"/>
              <c:showCatName val="0"/>
              <c:showSerName val="0"/>
              <c:showPercent val="0"/>
              <c:showBubbleSize val="0"/>
            </c:dLbl>
            <c:dLbl>
              <c:idx val="8"/>
              <c:layout>
                <c:manualLayout>
                  <c:x val="3.4269252928749772E-2"/>
                  <c:y val="5.1973701307138633E-7"/>
                </c:manualLayout>
              </c:layout>
              <c:dLblPos val="ctr"/>
              <c:showLegendKey val="0"/>
              <c:showVal val="1"/>
              <c:showCatName val="0"/>
              <c:showSerName val="0"/>
              <c:showPercent val="0"/>
              <c:showBubbleSize val="0"/>
            </c:dLbl>
            <c:dLbl>
              <c:idx val="10"/>
              <c:layout>
                <c:manualLayout>
                  <c:x val="3.6013292130058022E-2"/>
                  <c:y val="0"/>
                </c:manualLayout>
              </c:layout>
              <c:dLblPos val="ctr"/>
              <c:showLegendKey val="0"/>
              <c:showVal val="1"/>
              <c:showCatName val="0"/>
              <c:showSerName val="0"/>
              <c:showPercent val="0"/>
              <c:showBubbleSize val="0"/>
            </c:dLbl>
            <c:numFmt formatCode="#,##0.000" sourceLinked="0"/>
            <c:txPr>
              <a:bodyPr/>
              <a:lstStyle/>
              <a:p>
                <a:pPr>
                  <a:defRPr sz="700"/>
                </a:pPr>
                <a:endParaRPr lang="es-EC"/>
              </a:p>
            </c:txPr>
            <c:dLblPos val="inBase"/>
            <c:showLegendKey val="0"/>
            <c:showVal val="1"/>
            <c:showCatName val="0"/>
            <c:showSerName val="0"/>
            <c:showPercent val="0"/>
            <c:showBubbleSize val="0"/>
            <c:showLeaderLines val="0"/>
          </c:dLbls>
          <c:cat>
            <c:strRef>
              <c:f>'Inmigracion(Perfil)'!$P$837:$P$845</c:f>
              <c:strCache>
                <c:ptCount val="9"/>
                <c:pt idx="0">
                  <c:v>Empleado u obrero del Estado, Gobierno, Municipio, Consejo Provincial, Juntas Parroquiales</c:v>
                </c:pt>
                <c:pt idx="1">
                  <c:v>Empleado u obrero privado</c:v>
                </c:pt>
                <c:pt idx="2">
                  <c:v>Jornalero o peón</c:v>
                </c:pt>
                <c:pt idx="3">
                  <c:v>Patrón</c:v>
                </c:pt>
                <c:pt idx="4">
                  <c:v>Socio</c:v>
                </c:pt>
                <c:pt idx="5">
                  <c:v>Cuenta propia</c:v>
                </c:pt>
                <c:pt idx="6">
                  <c:v>Trabajador no remunerado</c:v>
                </c:pt>
                <c:pt idx="7">
                  <c:v>Empleado doméstico</c:v>
                </c:pt>
                <c:pt idx="8">
                  <c:v>Se ignora</c:v>
                </c:pt>
              </c:strCache>
            </c:strRef>
          </c:cat>
          <c:val>
            <c:numRef>
              <c:f>Economía!$G$93:$G$101</c:f>
              <c:numCache>
                <c:formatCode>0.00%</c:formatCode>
                <c:ptCount val="9"/>
                <c:pt idx="0">
                  <c:v>4.0964584804762408E-2</c:v>
                </c:pt>
                <c:pt idx="1">
                  <c:v>0.37246493794773505</c:v>
                </c:pt>
                <c:pt idx="2">
                  <c:v>6.033699929371409E-2</c:v>
                </c:pt>
                <c:pt idx="3">
                  <c:v>4.671577035616991E-2</c:v>
                </c:pt>
                <c:pt idx="4">
                  <c:v>2.1693068307940672E-2</c:v>
                </c:pt>
                <c:pt idx="5">
                  <c:v>0.27131470083745357</c:v>
                </c:pt>
                <c:pt idx="6">
                  <c:v>2.154172131974574E-2</c:v>
                </c:pt>
                <c:pt idx="7">
                  <c:v>0.11921097770154376</c:v>
                </c:pt>
                <c:pt idx="8">
                  <c:v>4.5757239430935362E-2</c:v>
                </c:pt>
              </c:numCache>
            </c:numRef>
          </c:val>
        </c:ser>
        <c:dLbls>
          <c:showLegendKey val="0"/>
          <c:showVal val="0"/>
          <c:showCatName val="0"/>
          <c:showSerName val="0"/>
          <c:showPercent val="0"/>
          <c:showBubbleSize val="0"/>
        </c:dLbls>
        <c:gapWidth val="40"/>
        <c:overlap val="100"/>
        <c:axId val="254558208"/>
        <c:axId val="254560128"/>
      </c:barChart>
      <c:catAx>
        <c:axId val="254558208"/>
        <c:scaling>
          <c:orientation val="maxMin"/>
        </c:scaling>
        <c:delete val="0"/>
        <c:axPos val="l"/>
        <c:title>
          <c:tx>
            <c:rich>
              <a:bodyPr rot="-5400000" vert="horz"/>
              <a:lstStyle/>
              <a:p>
                <a:pPr>
                  <a:defRPr/>
                </a:pPr>
                <a:r>
                  <a:rPr lang="es-EC"/>
                  <a:t>En el lugar indicado trabaja como</a:t>
                </a:r>
              </a:p>
            </c:rich>
          </c:tx>
          <c:overlay val="0"/>
        </c:title>
        <c:majorTickMark val="out"/>
        <c:minorTickMark val="none"/>
        <c:tickLblPos val="nextTo"/>
        <c:spPr>
          <a:ln>
            <a:solidFill>
              <a:schemeClr val="tx1"/>
            </a:solidFill>
          </a:ln>
        </c:spPr>
        <c:txPr>
          <a:bodyPr/>
          <a:lstStyle/>
          <a:p>
            <a:pPr>
              <a:defRPr sz="740"/>
            </a:pPr>
            <a:endParaRPr lang="es-EC"/>
          </a:p>
        </c:txPr>
        <c:crossAx val="254560128"/>
        <c:crossesAt val="-1"/>
        <c:auto val="1"/>
        <c:lblAlgn val="ctr"/>
        <c:lblOffset val="100"/>
        <c:noMultiLvlLbl val="0"/>
      </c:catAx>
      <c:valAx>
        <c:axId val="254560128"/>
        <c:scaling>
          <c:orientation val="minMax"/>
          <c:max val="1"/>
          <c:min val="-1"/>
        </c:scaling>
        <c:delete val="0"/>
        <c:axPos val="t"/>
        <c:title>
          <c:tx>
            <c:rich>
              <a:bodyPr/>
              <a:lstStyle/>
              <a:p>
                <a:pPr>
                  <a:defRPr/>
                </a:pPr>
                <a:r>
                  <a:rPr lang="es-EC"/>
                  <a:t>Frecuencia Relativa</a:t>
                </a:r>
              </a:p>
            </c:rich>
          </c:tx>
          <c:layout>
            <c:manualLayout>
              <c:xMode val="edge"/>
              <c:yMode val="edge"/>
              <c:x val="0.61379060950714515"/>
              <c:y val="0.95709570957095713"/>
            </c:manualLayout>
          </c:layout>
          <c:overlay val="0"/>
        </c:title>
        <c:numFmt formatCode="0.00;0.00" sourceLinked="0"/>
        <c:majorTickMark val="in"/>
        <c:minorTickMark val="none"/>
        <c:tickLblPos val="high"/>
        <c:spPr>
          <a:ln>
            <a:solidFill>
              <a:schemeClr val="tx1"/>
            </a:solidFill>
          </a:ln>
        </c:spPr>
        <c:crossAx val="254558208"/>
        <c:crossesAt val="10"/>
        <c:crossBetween val="between"/>
        <c:majorUnit val="0.4"/>
      </c:valAx>
      <c:spPr>
        <a:noFill/>
        <a:ln>
          <a:solidFill>
            <a:schemeClr val="tx1"/>
          </a:solidFill>
        </a:ln>
      </c:spPr>
    </c:plotArea>
    <c:legend>
      <c:legendPos val="t"/>
      <c:layout>
        <c:manualLayout>
          <c:xMode val="edge"/>
          <c:yMode val="edge"/>
          <c:x val="0.4513073892370994"/>
          <c:y val="4.1300901743717708E-3"/>
          <c:w val="0.49547753315757942"/>
          <c:h val="4.8188607266301912E-2"/>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6951006124234"/>
          <c:y val="2.9901457894059801E-2"/>
          <c:w val="0.49485433070866192"/>
          <c:h val="0.8832776075404366"/>
        </c:manualLayout>
      </c:layout>
      <c:barChart>
        <c:barDir val="bar"/>
        <c:grouping val="stacked"/>
        <c:varyColors val="0"/>
        <c:ser>
          <c:idx val="0"/>
          <c:order val="0"/>
          <c:tx>
            <c:strRef>
              <c:f>Economía!$M$351</c:f>
              <c:strCache>
                <c:ptCount val="1"/>
                <c:pt idx="0">
                  <c:v>Empleado u obrero del Estado, Gobierno, Municipio, Consejo Provincial, Juntas Parroquiales</c:v>
                </c:pt>
              </c:strCache>
            </c:strRef>
          </c:tx>
          <c:spPr>
            <a:solidFill>
              <a:srgbClr val="0070C0"/>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Economía!$M$352:$M$371</c:f>
              <c:numCache>
                <c:formatCode>0,000</c:formatCode>
                <c:ptCount val="20"/>
                <c:pt idx="0">
                  <c:v>0</c:v>
                </c:pt>
                <c:pt idx="1">
                  <c:v>0</c:v>
                </c:pt>
                <c:pt idx="2">
                  <c:v>1.8950437317784282E-2</c:v>
                </c:pt>
                <c:pt idx="3">
                  <c:v>3.6363636363636362E-2</c:v>
                </c:pt>
                <c:pt idx="4">
                  <c:v>4.7471474855613573E-2</c:v>
                </c:pt>
                <c:pt idx="5">
                  <c:v>4.2850766255021641E-2</c:v>
                </c:pt>
                <c:pt idx="6">
                  <c:v>4.0635451505016733E-2</c:v>
                </c:pt>
                <c:pt idx="7">
                  <c:v>4.1543026706231452E-2</c:v>
                </c:pt>
                <c:pt idx="8">
                  <c:v>4.1951219512195076E-2</c:v>
                </c:pt>
                <c:pt idx="9">
                  <c:v>3.7094682230869001E-2</c:v>
                </c:pt>
                <c:pt idx="10">
                  <c:v>3.6234337961395233E-2</c:v>
                </c:pt>
                <c:pt idx="11">
                  <c:v>2.9457364341085271E-2</c:v>
                </c:pt>
                <c:pt idx="12">
                  <c:v>2.4937655860349156E-2</c:v>
                </c:pt>
                <c:pt idx="13">
                  <c:v>1.8808777429467124E-2</c:v>
                </c:pt>
                <c:pt idx="14">
                  <c:v>1.6447368421052631E-2</c:v>
                </c:pt>
                <c:pt idx="15">
                  <c:v>0</c:v>
                </c:pt>
                <c:pt idx="16">
                  <c:v>0</c:v>
                </c:pt>
                <c:pt idx="17">
                  <c:v>0</c:v>
                </c:pt>
                <c:pt idx="18">
                  <c:v>0</c:v>
                </c:pt>
                <c:pt idx="19">
                  <c:v>0</c:v>
                </c:pt>
              </c:numCache>
            </c:numRef>
          </c:val>
        </c:ser>
        <c:ser>
          <c:idx val="1"/>
          <c:order val="1"/>
          <c:tx>
            <c:strRef>
              <c:f>Economía!$N$351</c:f>
              <c:strCache>
                <c:ptCount val="1"/>
                <c:pt idx="0">
                  <c:v>Empleado u obrero privado</c:v>
                </c:pt>
              </c:strCache>
            </c:strRef>
          </c:tx>
          <c:spPr>
            <a:solidFill>
              <a:srgbClr val="D735B4"/>
            </a:solidFill>
          </c:spPr>
          <c:invertIfNegative val="0"/>
          <c:dLbls>
            <c:dLbl>
              <c:idx val="0"/>
              <c:delete val="1"/>
            </c:dLbl>
            <c:dLbl>
              <c:idx val="15"/>
              <c:delete val="1"/>
            </c:dLbl>
            <c:dLbl>
              <c:idx val="16"/>
              <c:delete val="1"/>
            </c:dLbl>
            <c:dLbl>
              <c:idx val="17"/>
              <c:delete val="1"/>
            </c:dLbl>
            <c:dLbl>
              <c:idx val="18"/>
              <c:delete val="1"/>
            </c:dLbl>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Economía!$N$352:$N$371</c:f>
              <c:numCache>
                <c:formatCode>0,000</c:formatCode>
                <c:ptCount val="20"/>
                <c:pt idx="0">
                  <c:v>4.3478260869565223E-2</c:v>
                </c:pt>
                <c:pt idx="1">
                  <c:v>0.20531400966183574</c:v>
                </c:pt>
                <c:pt idx="2">
                  <c:v>0.38265306122449044</c:v>
                </c:pt>
                <c:pt idx="3">
                  <c:v>0.45105601469237833</c:v>
                </c:pt>
                <c:pt idx="4">
                  <c:v>0.43794900690238081</c:v>
                </c:pt>
                <c:pt idx="5">
                  <c:v>0.41853890790061066</c:v>
                </c:pt>
                <c:pt idx="6">
                  <c:v>0.37826086956521793</c:v>
                </c:pt>
                <c:pt idx="7">
                  <c:v>0.36109050445103824</c:v>
                </c:pt>
                <c:pt idx="8">
                  <c:v>0.33346341463414686</c:v>
                </c:pt>
                <c:pt idx="9">
                  <c:v>0.31102464332036389</c:v>
                </c:pt>
                <c:pt idx="10">
                  <c:v>0.29258381307145337</c:v>
                </c:pt>
                <c:pt idx="11">
                  <c:v>0.23255813953488388</c:v>
                </c:pt>
                <c:pt idx="12">
                  <c:v>0.19783873649210332</c:v>
                </c:pt>
                <c:pt idx="13">
                  <c:v>0.16144200626959249</c:v>
                </c:pt>
                <c:pt idx="14">
                  <c:v>0.11513157894736842</c:v>
                </c:pt>
                <c:pt idx="15">
                  <c:v>5.5555555555555483E-2</c:v>
                </c:pt>
                <c:pt idx="16">
                  <c:v>2.8571428571428591E-2</c:v>
                </c:pt>
                <c:pt idx="17">
                  <c:v>7.6923076923076927E-2</c:v>
                </c:pt>
                <c:pt idx="18">
                  <c:v>0</c:v>
                </c:pt>
                <c:pt idx="19">
                  <c:v>0.66666666666666663</c:v>
                </c:pt>
              </c:numCache>
            </c:numRef>
          </c:val>
        </c:ser>
        <c:ser>
          <c:idx val="2"/>
          <c:order val="2"/>
          <c:tx>
            <c:strRef>
              <c:f>Economía!$O$351</c:f>
              <c:strCache>
                <c:ptCount val="1"/>
                <c:pt idx="0">
                  <c:v>Jornalero o peón</c:v>
                </c:pt>
              </c:strCache>
            </c:strRef>
          </c:tx>
          <c:spPr>
            <a:solidFill>
              <a:srgbClr val="00B0F0"/>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Economía!$O$352:$O$371</c:f>
              <c:numCache>
                <c:formatCode>0,000</c:formatCode>
                <c:ptCount val="20"/>
                <c:pt idx="0">
                  <c:v>8.6956521739130543E-2</c:v>
                </c:pt>
                <c:pt idx="1">
                  <c:v>0.30434782608695682</c:v>
                </c:pt>
                <c:pt idx="2">
                  <c:v>0.27587463556851338</c:v>
                </c:pt>
                <c:pt idx="3">
                  <c:v>0.18640955004591386</c:v>
                </c:pt>
                <c:pt idx="4">
                  <c:v>0.16523454007606725</c:v>
                </c:pt>
                <c:pt idx="5">
                  <c:v>0.13435500669543224</c:v>
                </c:pt>
                <c:pt idx="6">
                  <c:v>0.13929765886287648</c:v>
                </c:pt>
                <c:pt idx="7">
                  <c:v>0.13520029673590525</c:v>
                </c:pt>
                <c:pt idx="8">
                  <c:v>0.12878048780487822</c:v>
                </c:pt>
                <c:pt idx="9">
                  <c:v>0.1245136186770428</c:v>
                </c:pt>
                <c:pt idx="10">
                  <c:v>0.15306467998645445</c:v>
                </c:pt>
                <c:pt idx="11">
                  <c:v>0.17571059431524549</c:v>
                </c:pt>
                <c:pt idx="12">
                  <c:v>0.18620116375727383</c:v>
                </c:pt>
                <c:pt idx="13">
                  <c:v>0.22884012539184953</c:v>
                </c:pt>
                <c:pt idx="14">
                  <c:v>0.19078947368421054</c:v>
                </c:pt>
                <c:pt idx="15">
                  <c:v>0.19444444444444481</c:v>
                </c:pt>
                <c:pt idx="16">
                  <c:v>0.17142857142857137</c:v>
                </c:pt>
                <c:pt idx="17">
                  <c:v>0.23076923076923112</c:v>
                </c:pt>
                <c:pt idx="18">
                  <c:v>0</c:v>
                </c:pt>
                <c:pt idx="19">
                  <c:v>0</c:v>
                </c:pt>
              </c:numCache>
            </c:numRef>
          </c:val>
        </c:ser>
        <c:ser>
          <c:idx val="3"/>
          <c:order val="3"/>
          <c:tx>
            <c:strRef>
              <c:f>Economía!$P$351</c:f>
              <c:strCache>
                <c:ptCount val="1"/>
                <c:pt idx="0">
                  <c:v>Patrón</c:v>
                </c:pt>
              </c:strCache>
            </c:strRef>
          </c:tx>
          <c:spPr>
            <a:solidFill>
              <a:srgbClr val="7030A0"/>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Economía!$P$352:$P$371</c:f>
              <c:numCache>
                <c:formatCode>0,000</c:formatCode>
                <c:ptCount val="20"/>
                <c:pt idx="0">
                  <c:v>0</c:v>
                </c:pt>
                <c:pt idx="1">
                  <c:v>0</c:v>
                </c:pt>
                <c:pt idx="2">
                  <c:v>4.0087463556851373E-3</c:v>
                </c:pt>
                <c:pt idx="3">
                  <c:v>1.7447199265381109E-2</c:v>
                </c:pt>
                <c:pt idx="4">
                  <c:v>3.1412875052824411E-2</c:v>
                </c:pt>
                <c:pt idx="5">
                  <c:v>4.2106829340871912E-2</c:v>
                </c:pt>
                <c:pt idx="6">
                  <c:v>6.0535117056856193E-2</c:v>
                </c:pt>
                <c:pt idx="7">
                  <c:v>5.7307121661721125E-2</c:v>
                </c:pt>
                <c:pt idx="8">
                  <c:v>6.9463414634146542E-2</c:v>
                </c:pt>
                <c:pt idx="9">
                  <c:v>6.4072632944228436E-2</c:v>
                </c:pt>
                <c:pt idx="10">
                  <c:v>7.6870978665763617E-2</c:v>
                </c:pt>
                <c:pt idx="11">
                  <c:v>7.183462532299742E-2</c:v>
                </c:pt>
                <c:pt idx="12">
                  <c:v>6.5669160432252696E-2</c:v>
                </c:pt>
                <c:pt idx="13">
                  <c:v>5.4858934169279033E-2</c:v>
                </c:pt>
                <c:pt idx="14">
                  <c:v>5.9210526315789484E-2</c:v>
                </c:pt>
                <c:pt idx="15">
                  <c:v>0.10185185185185186</c:v>
                </c:pt>
                <c:pt idx="16">
                  <c:v>5.7142857142857141E-2</c:v>
                </c:pt>
                <c:pt idx="17">
                  <c:v>0.15384615384615413</c:v>
                </c:pt>
                <c:pt idx="18">
                  <c:v>0</c:v>
                </c:pt>
                <c:pt idx="19">
                  <c:v>0</c:v>
                </c:pt>
              </c:numCache>
            </c:numRef>
          </c:val>
        </c:ser>
        <c:ser>
          <c:idx val="4"/>
          <c:order val="4"/>
          <c:tx>
            <c:strRef>
              <c:f>Economía!$Q$351</c:f>
              <c:strCache>
                <c:ptCount val="1"/>
                <c:pt idx="0">
                  <c:v>Socio</c:v>
                </c:pt>
              </c:strCache>
            </c:strRef>
          </c:tx>
          <c:spPr>
            <a:solidFill>
              <a:srgbClr val="00B050"/>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Economía!$Q$352:$Q$371</c:f>
              <c:numCache>
                <c:formatCode>0,000</c:formatCode>
                <c:ptCount val="20"/>
                <c:pt idx="0">
                  <c:v>0</c:v>
                </c:pt>
                <c:pt idx="1">
                  <c:v>0</c:v>
                </c:pt>
                <c:pt idx="2">
                  <c:v>1.3483965014577283E-2</c:v>
                </c:pt>
                <c:pt idx="3">
                  <c:v>1.6161616161616162E-2</c:v>
                </c:pt>
                <c:pt idx="4">
                  <c:v>1.9861952387660264E-2</c:v>
                </c:pt>
                <c:pt idx="5">
                  <c:v>2.7079303675048415E-2</c:v>
                </c:pt>
                <c:pt idx="6">
                  <c:v>2.4080267558528462E-2</c:v>
                </c:pt>
                <c:pt idx="7">
                  <c:v>2.6149851632047468E-2</c:v>
                </c:pt>
                <c:pt idx="8">
                  <c:v>2.5560975609756096E-2</c:v>
                </c:pt>
                <c:pt idx="9">
                  <c:v>2.7237354085603196E-2</c:v>
                </c:pt>
                <c:pt idx="10">
                  <c:v>2.3704707077548254E-2</c:v>
                </c:pt>
                <c:pt idx="11">
                  <c:v>2.48062015503876E-2</c:v>
                </c:pt>
                <c:pt idx="12">
                  <c:v>1.9118869492934353E-2</c:v>
                </c:pt>
                <c:pt idx="13">
                  <c:v>1.0971786833855799E-2</c:v>
                </c:pt>
                <c:pt idx="14">
                  <c:v>9.8684210526315784E-3</c:v>
                </c:pt>
                <c:pt idx="15">
                  <c:v>2.7777777777777842E-2</c:v>
                </c:pt>
                <c:pt idx="16">
                  <c:v>2.8571428571428591E-2</c:v>
                </c:pt>
                <c:pt idx="17">
                  <c:v>0</c:v>
                </c:pt>
                <c:pt idx="18">
                  <c:v>0</c:v>
                </c:pt>
                <c:pt idx="19">
                  <c:v>0</c:v>
                </c:pt>
              </c:numCache>
            </c:numRef>
          </c:val>
        </c:ser>
        <c:ser>
          <c:idx val="5"/>
          <c:order val="5"/>
          <c:tx>
            <c:strRef>
              <c:f>Economía!$R$351</c:f>
              <c:strCache>
                <c:ptCount val="1"/>
                <c:pt idx="0">
                  <c:v>Cuenta propia</c:v>
                </c:pt>
              </c:strCache>
            </c:strRef>
          </c:tx>
          <c:spPr>
            <a:solidFill>
              <a:schemeClr val="accent6">
                <a:lumMod val="75000"/>
              </a:schemeClr>
            </a:solidFill>
          </c:spPr>
          <c:invertIfNegative val="0"/>
          <c:dLbls>
            <c:dLbl>
              <c:idx val="19"/>
              <c:delete val="1"/>
            </c:dLbl>
            <c:numFmt formatCode="#,##0.000" sourceLinked="0"/>
            <c:txPr>
              <a:bodyPr/>
              <a:lstStyle/>
              <a:p>
                <a:pPr>
                  <a:defRPr sz="700"/>
                </a:pPr>
                <a:endParaRPr lang="es-EC"/>
              </a:p>
            </c:txPr>
            <c:dLblPos val="ctr"/>
            <c:showLegendKey val="0"/>
            <c:showVal val="1"/>
            <c:showCatName val="0"/>
            <c:showSerName val="0"/>
            <c:showPercent val="0"/>
            <c:showBubbleSize val="0"/>
            <c:showLeaderLines val="0"/>
          </c:dLbls>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Economía!$R$352:$R$371</c:f>
              <c:numCache>
                <c:formatCode>0,000</c:formatCode>
                <c:ptCount val="20"/>
                <c:pt idx="0">
                  <c:v>0.21739130434782641</c:v>
                </c:pt>
                <c:pt idx="1">
                  <c:v>0.30917874396135314</c:v>
                </c:pt>
                <c:pt idx="2">
                  <c:v>0.18294460641399446</c:v>
                </c:pt>
                <c:pt idx="3">
                  <c:v>0.18861340679522534</c:v>
                </c:pt>
                <c:pt idx="4">
                  <c:v>0.21157909564727445</c:v>
                </c:pt>
                <c:pt idx="5">
                  <c:v>0.24594554381788458</c:v>
                </c:pt>
                <c:pt idx="6">
                  <c:v>0.26170568561872909</c:v>
                </c:pt>
                <c:pt idx="7">
                  <c:v>0.28152818991097989</c:v>
                </c:pt>
                <c:pt idx="8">
                  <c:v>0.30400000000000038</c:v>
                </c:pt>
                <c:pt idx="9">
                  <c:v>0.32425421530479948</c:v>
                </c:pt>
                <c:pt idx="10">
                  <c:v>0.31154757873349137</c:v>
                </c:pt>
                <c:pt idx="11">
                  <c:v>0.36124031007751939</c:v>
                </c:pt>
                <c:pt idx="12">
                  <c:v>0.38736492103075743</c:v>
                </c:pt>
                <c:pt idx="13">
                  <c:v>0.41692789968652072</c:v>
                </c:pt>
                <c:pt idx="14">
                  <c:v>0.47697368421052638</c:v>
                </c:pt>
                <c:pt idx="15">
                  <c:v>0.39814814814814831</c:v>
                </c:pt>
                <c:pt idx="16">
                  <c:v>0.42857142857142855</c:v>
                </c:pt>
                <c:pt idx="17">
                  <c:v>0.3846153846153848</c:v>
                </c:pt>
                <c:pt idx="18">
                  <c:v>1</c:v>
                </c:pt>
                <c:pt idx="19">
                  <c:v>0</c:v>
                </c:pt>
              </c:numCache>
            </c:numRef>
          </c:val>
        </c:ser>
        <c:ser>
          <c:idx val="6"/>
          <c:order val="6"/>
          <c:tx>
            <c:strRef>
              <c:f>Economía!$S$351</c:f>
              <c:strCache>
                <c:ptCount val="1"/>
                <c:pt idx="0">
                  <c:v>Trabajador no remunerado</c:v>
                </c:pt>
              </c:strCache>
            </c:strRef>
          </c:tx>
          <c:spPr>
            <a:solidFill>
              <a:srgbClr val="FFFF00"/>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Economía!$S$352:$S$371</c:f>
              <c:numCache>
                <c:formatCode>0,000</c:formatCode>
                <c:ptCount val="20"/>
                <c:pt idx="0">
                  <c:v>2.1739130434782612E-2</c:v>
                </c:pt>
                <c:pt idx="1">
                  <c:v>6.0386473429951786E-2</c:v>
                </c:pt>
                <c:pt idx="2">
                  <c:v>2.5874635568513195E-2</c:v>
                </c:pt>
                <c:pt idx="3">
                  <c:v>2.3875114784205748E-2</c:v>
                </c:pt>
                <c:pt idx="4">
                  <c:v>1.901676292435554E-2</c:v>
                </c:pt>
                <c:pt idx="5">
                  <c:v>1.3688439220354129E-2</c:v>
                </c:pt>
                <c:pt idx="6">
                  <c:v>1.6889632107023413E-2</c:v>
                </c:pt>
                <c:pt idx="7">
                  <c:v>1.7433234421364976E-2</c:v>
                </c:pt>
                <c:pt idx="8">
                  <c:v>1.6390243902439022E-2</c:v>
                </c:pt>
                <c:pt idx="9">
                  <c:v>2.2049286640726373E-2</c:v>
                </c:pt>
                <c:pt idx="10">
                  <c:v>1.6593294954283778E-2</c:v>
                </c:pt>
                <c:pt idx="11">
                  <c:v>2.0155038759689946E-2</c:v>
                </c:pt>
                <c:pt idx="12">
                  <c:v>2.9925187032418948E-2</c:v>
                </c:pt>
                <c:pt idx="13">
                  <c:v>2.1943573667711637E-2</c:v>
                </c:pt>
                <c:pt idx="14">
                  <c:v>3.2894736842105261E-2</c:v>
                </c:pt>
                <c:pt idx="15">
                  <c:v>7.407407407407407E-2</c:v>
                </c:pt>
                <c:pt idx="16">
                  <c:v>0.11428571428571441</c:v>
                </c:pt>
                <c:pt idx="17">
                  <c:v>0.15384615384615413</c:v>
                </c:pt>
                <c:pt idx="18">
                  <c:v>0</c:v>
                </c:pt>
                <c:pt idx="19">
                  <c:v>0</c:v>
                </c:pt>
              </c:numCache>
            </c:numRef>
          </c:val>
        </c:ser>
        <c:ser>
          <c:idx val="7"/>
          <c:order val="7"/>
          <c:tx>
            <c:strRef>
              <c:f>Economía!$T$351</c:f>
              <c:strCache>
                <c:ptCount val="1"/>
                <c:pt idx="0">
                  <c:v>Empleado doméstico</c:v>
                </c:pt>
              </c:strCache>
            </c:strRef>
          </c:tx>
          <c:spPr>
            <a:solidFill>
              <a:srgbClr val="FF0000"/>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Economía!$T$352:$T$371</c:f>
              <c:numCache>
                <c:formatCode>0,000</c:formatCode>
                <c:ptCount val="20"/>
                <c:pt idx="0">
                  <c:v>0</c:v>
                </c:pt>
                <c:pt idx="1">
                  <c:v>2.1739130434782612E-2</c:v>
                </c:pt>
                <c:pt idx="2">
                  <c:v>5.5029154518950379E-2</c:v>
                </c:pt>
                <c:pt idx="3">
                  <c:v>5.0505050505050456E-2</c:v>
                </c:pt>
                <c:pt idx="4">
                  <c:v>4.0005634596422091E-2</c:v>
                </c:pt>
                <c:pt idx="5">
                  <c:v>4.6421663442940082E-2</c:v>
                </c:pt>
                <c:pt idx="6">
                  <c:v>5.1337792642140528E-2</c:v>
                </c:pt>
                <c:pt idx="7">
                  <c:v>5.7307121661721125E-2</c:v>
                </c:pt>
                <c:pt idx="8">
                  <c:v>5.6780487804878141E-2</c:v>
                </c:pt>
                <c:pt idx="9">
                  <c:v>6.1219195849546118E-2</c:v>
                </c:pt>
                <c:pt idx="10">
                  <c:v>5.4859464950897496E-2</c:v>
                </c:pt>
                <c:pt idx="11">
                  <c:v>4.5994832041343775E-2</c:v>
                </c:pt>
                <c:pt idx="12">
                  <c:v>3.0756442227763959E-2</c:v>
                </c:pt>
                <c:pt idx="13">
                  <c:v>2.9780564263322873E-2</c:v>
                </c:pt>
                <c:pt idx="14">
                  <c:v>2.9605263157894773E-2</c:v>
                </c:pt>
                <c:pt idx="15">
                  <c:v>2.7777777777777842E-2</c:v>
                </c:pt>
                <c:pt idx="16">
                  <c:v>2.8571428571428591E-2</c:v>
                </c:pt>
                <c:pt idx="17">
                  <c:v>0</c:v>
                </c:pt>
                <c:pt idx="18">
                  <c:v>0</c:v>
                </c:pt>
                <c:pt idx="19">
                  <c:v>0</c:v>
                </c:pt>
              </c:numCache>
            </c:numRef>
          </c:val>
        </c:ser>
        <c:ser>
          <c:idx val="8"/>
          <c:order val="8"/>
          <c:tx>
            <c:strRef>
              <c:f>Economía!$U$351</c:f>
              <c:strCache>
                <c:ptCount val="1"/>
                <c:pt idx="0">
                  <c:v>Se ignora</c:v>
                </c:pt>
              </c:strCache>
            </c:strRef>
          </c:tx>
          <c:spPr>
            <a:solidFill>
              <a:schemeClr val="bg1">
                <a:lumMod val="65000"/>
              </a:schemeClr>
            </a:solidFill>
          </c:spPr>
          <c:invertIfNegative val="0"/>
          <c:cat>
            <c:strRef>
              <c:f>'Inmigracion(Perfil)'!$U$687:$U$706</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Economía!$U$352:$U$371</c:f>
              <c:numCache>
                <c:formatCode>0,000</c:formatCode>
                <c:ptCount val="20"/>
                <c:pt idx="0">
                  <c:v>0.63043478260869634</c:v>
                </c:pt>
                <c:pt idx="1">
                  <c:v>9.9033816425120769E-2</c:v>
                </c:pt>
                <c:pt idx="2">
                  <c:v>4.1180758017492686E-2</c:v>
                </c:pt>
                <c:pt idx="3">
                  <c:v>2.9568411386593198E-2</c:v>
                </c:pt>
                <c:pt idx="4">
                  <c:v>2.7468657557402451E-2</c:v>
                </c:pt>
                <c:pt idx="5">
                  <c:v>2.9013539651837526E-2</c:v>
                </c:pt>
                <c:pt idx="6">
                  <c:v>2.7257525083612073E-2</c:v>
                </c:pt>
                <c:pt idx="7">
                  <c:v>2.2440652818991099E-2</c:v>
                </c:pt>
                <c:pt idx="8">
                  <c:v>2.3609756097560976E-2</c:v>
                </c:pt>
                <c:pt idx="9">
                  <c:v>2.8534370946822311E-2</c:v>
                </c:pt>
                <c:pt idx="10">
                  <c:v>3.4541144598713214E-2</c:v>
                </c:pt>
                <c:pt idx="11">
                  <c:v>3.8242894056847547E-2</c:v>
                </c:pt>
                <c:pt idx="12">
                  <c:v>5.8187863674147966E-2</c:v>
                </c:pt>
                <c:pt idx="13">
                  <c:v>5.6426332288401312E-2</c:v>
                </c:pt>
                <c:pt idx="14">
                  <c:v>6.9078947368421073E-2</c:v>
                </c:pt>
                <c:pt idx="15">
                  <c:v>0.12037037037037036</c:v>
                </c:pt>
                <c:pt idx="16">
                  <c:v>0.14285714285714307</c:v>
                </c:pt>
                <c:pt idx="17">
                  <c:v>0</c:v>
                </c:pt>
                <c:pt idx="18">
                  <c:v>0</c:v>
                </c:pt>
                <c:pt idx="19">
                  <c:v>0.33333333333333331</c:v>
                </c:pt>
              </c:numCache>
            </c:numRef>
          </c:val>
        </c:ser>
        <c:dLbls>
          <c:showLegendKey val="0"/>
          <c:showVal val="0"/>
          <c:showCatName val="0"/>
          <c:showSerName val="0"/>
          <c:showPercent val="0"/>
          <c:showBubbleSize val="0"/>
        </c:dLbls>
        <c:gapWidth val="0"/>
        <c:overlap val="100"/>
        <c:axId val="254653568"/>
        <c:axId val="254655488"/>
      </c:barChart>
      <c:catAx>
        <c:axId val="254653568"/>
        <c:scaling>
          <c:orientation val="maxMin"/>
        </c:scaling>
        <c:delete val="0"/>
        <c:axPos val="l"/>
        <c:title>
          <c:tx>
            <c:rich>
              <a:bodyPr rot="-5400000" vert="horz"/>
              <a:lstStyle/>
              <a:p>
                <a:pPr>
                  <a:defRPr/>
                </a:pPr>
                <a:r>
                  <a:rPr lang="es-EC"/>
                  <a:t>Grupos Etarios</a:t>
                </a:r>
              </a:p>
            </c:rich>
          </c:tx>
          <c:overlay val="0"/>
        </c:title>
        <c:majorTickMark val="out"/>
        <c:minorTickMark val="none"/>
        <c:tickLblPos val="nextTo"/>
        <c:spPr>
          <a:ln>
            <a:solidFill>
              <a:schemeClr val="tx1"/>
            </a:solidFill>
          </a:ln>
        </c:spPr>
        <c:crossAx val="254655488"/>
        <c:crosses val="autoZero"/>
        <c:auto val="1"/>
        <c:lblAlgn val="ctr"/>
        <c:lblOffset val="100"/>
        <c:noMultiLvlLbl val="0"/>
      </c:catAx>
      <c:valAx>
        <c:axId val="254655488"/>
        <c:scaling>
          <c:orientation val="minMax"/>
          <c:max val="1"/>
          <c:min val="0"/>
        </c:scaling>
        <c:delete val="0"/>
        <c:axPos val="t"/>
        <c:title>
          <c:tx>
            <c:rich>
              <a:bodyPr/>
              <a:lstStyle/>
              <a:p>
                <a:pPr>
                  <a:defRPr/>
                </a:pPr>
                <a:r>
                  <a:rPr lang="es-EC"/>
                  <a:t>Frecuencia Relativa</a:t>
                </a:r>
              </a:p>
            </c:rich>
          </c:tx>
          <c:layout>
            <c:manualLayout>
              <c:xMode val="edge"/>
              <c:yMode val="edge"/>
              <c:x val="0.28706889763779575"/>
              <c:y val="0.95412384772658165"/>
            </c:manualLayout>
          </c:layout>
          <c:overlay val="0"/>
        </c:title>
        <c:numFmt formatCode="#,##0.00" sourceLinked="0"/>
        <c:majorTickMark val="in"/>
        <c:minorTickMark val="none"/>
        <c:tickLblPos val="high"/>
        <c:spPr>
          <a:ln>
            <a:solidFill>
              <a:schemeClr val="tx1"/>
            </a:solidFill>
          </a:ln>
        </c:spPr>
        <c:crossAx val="254653568"/>
        <c:crossesAt val="21"/>
        <c:crossBetween val="between"/>
        <c:majorUnit val="0.2"/>
      </c:valAx>
      <c:spPr>
        <a:noFill/>
        <a:ln>
          <a:solidFill>
            <a:schemeClr val="tx1"/>
          </a:solidFill>
        </a:ln>
      </c:spPr>
    </c:plotArea>
    <c:legend>
      <c:legendPos val="r"/>
      <c:layout>
        <c:manualLayout>
          <c:xMode val="edge"/>
          <c:yMode val="edge"/>
          <c:x val="0.65050021872265951"/>
          <c:y val="4.8660823503701732E-2"/>
          <c:w val="0.332833114610674"/>
          <c:h val="0.88093183816055365"/>
        </c:manualLayout>
      </c:layout>
      <c:overlay val="0"/>
      <c:txPr>
        <a:bodyPr/>
        <a:lstStyle/>
        <a:p>
          <a:pPr>
            <a:defRPr sz="800"/>
          </a:pPr>
          <a:endParaRPr lang="es-EC"/>
        </a:p>
      </c:txPr>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332492752131482"/>
          <c:y val="3.8244236399205218E-2"/>
          <c:w val="0.49864306177414147"/>
          <c:h val="0.84558101517587203"/>
        </c:manualLayout>
      </c:layout>
      <c:barChart>
        <c:barDir val="bar"/>
        <c:grouping val="clustered"/>
        <c:varyColors val="0"/>
        <c:ser>
          <c:idx val="0"/>
          <c:order val="0"/>
          <c:spPr>
            <a:gradFill>
              <a:gsLst>
                <a:gs pos="0">
                  <a:schemeClr val="bg1">
                    <a:lumMod val="65000"/>
                  </a:schemeClr>
                </a:gs>
                <a:gs pos="50000">
                  <a:schemeClr val="bg1">
                    <a:lumMod val="95000"/>
                  </a:schemeClr>
                </a:gs>
                <a:gs pos="100000">
                  <a:schemeClr val="bg1">
                    <a:lumMod val="65000"/>
                  </a:schemeClr>
                </a:gs>
              </a:gsLst>
              <a:lin ang="13200000" scaled="0"/>
            </a:gradFill>
            <a:ln>
              <a:solidFill>
                <a:schemeClr val="bg1">
                  <a:lumMod val="50000"/>
                </a:schemeClr>
              </a:solidFill>
            </a:ln>
          </c:spPr>
          <c:invertIfNegative val="0"/>
          <c:dLbls>
            <c:numFmt formatCode="#,##0.000" sourceLinked="0"/>
            <c:dLblPos val="outEnd"/>
            <c:showLegendKey val="0"/>
            <c:showVal val="1"/>
            <c:showCatName val="0"/>
            <c:showSerName val="0"/>
            <c:showPercent val="0"/>
            <c:showBubbleSize val="0"/>
            <c:showLeaderLines val="0"/>
          </c:dLbls>
          <c:cat>
            <c:strRef>
              <c:f>'Inmigracion(Perfil)'!$R$714:$R$725</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Economía!$I$72:$I$83</c:f>
              <c:numCache>
                <c:formatCode>0,000</c:formatCode>
                <c:ptCount val="12"/>
                <c:pt idx="0">
                  <c:v>4.7829244057173433E-2</c:v>
                </c:pt>
                <c:pt idx="1">
                  <c:v>5.3179698845830514E-2</c:v>
                </c:pt>
                <c:pt idx="2">
                  <c:v>4.1332263242375676E-2</c:v>
                </c:pt>
                <c:pt idx="3">
                  <c:v>4.7657265153252311E-2</c:v>
                </c:pt>
                <c:pt idx="4">
                  <c:v>0.23436902851028069</c:v>
                </c:pt>
                <c:pt idx="5">
                  <c:v>9.3289000993655891E-2</c:v>
                </c:pt>
                <c:pt idx="6">
                  <c:v>0.12434074753496913</c:v>
                </c:pt>
                <c:pt idx="7">
                  <c:v>2.6370098601238248E-2</c:v>
                </c:pt>
                <c:pt idx="8">
                  <c:v>0.23148360467782636</c:v>
                </c:pt>
                <c:pt idx="9">
                  <c:v>1.9108767102346563E-4</c:v>
                </c:pt>
                <c:pt idx="10">
                  <c:v>4.4275013376136971E-2</c:v>
                </c:pt>
                <c:pt idx="11">
                  <c:v>5.5682947336237923E-2</c:v>
                </c:pt>
              </c:numCache>
            </c:numRef>
          </c:val>
        </c:ser>
        <c:dLbls>
          <c:showLegendKey val="0"/>
          <c:showVal val="1"/>
          <c:showCatName val="0"/>
          <c:showSerName val="0"/>
          <c:showPercent val="0"/>
          <c:showBubbleSize val="0"/>
        </c:dLbls>
        <c:gapWidth val="40"/>
        <c:axId val="254667392"/>
        <c:axId val="254752256"/>
      </c:barChart>
      <c:catAx>
        <c:axId val="254667392"/>
        <c:scaling>
          <c:orientation val="maxMin"/>
        </c:scaling>
        <c:delete val="0"/>
        <c:axPos val="l"/>
        <c:title>
          <c:tx>
            <c:rich>
              <a:bodyPr rot="-5400000" vert="horz"/>
              <a:lstStyle/>
              <a:p>
                <a:pPr>
                  <a:defRPr/>
                </a:pPr>
                <a:r>
                  <a:rPr lang="es-EC"/>
                  <a:t>Ocupación</a:t>
                </a:r>
              </a:p>
            </c:rich>
          </c:tx>
          <c:overlay val="0"/>
        </c:title>
        <c:majorTickMark val="out"/>
        <c:minorTickMark val="none"/>
        <c:tickLblPos val="nextTo"/>
        <c:spPr>
          <a:ln>
            <a:solidFill>
              <a:schemeClr val="tx1"/>
            </a:solidFill>
          </a:ln>
        </c:spPr>
        <c:txPr>
          <a:bodyPr/>
          <a:lstStyle/>
          <a:p>
            <a:pPr>
              <a:defRPr sz="800"/>
            </a:pPr>
            <a:endParaRPr lang="es-EC"/>
          </a:p>
        </c:txPr>
        <c:crossAx val="254752256"/>
        <c:crossesAt val="0"/>
        <c:auto val="1"/>
        <c:lblAlgn val="ctr"/>
        <c:lblOffset val="100"/>
        <c:noMultiLvlLbl val="0"/>
      </c:catAx>
      <c:valAx>
        <c:axId val="254752256"/>
        <c:scaling>
          <c:orientation val="minMax"/>
          <c:max val="1"/>
          <c:min val="0"/>
        </c:scaling>
        <c:delete val="0"/>
        <c:axPos val="t"/>
        <c:title>
          <c:tx>
            <c:rich>
              <a:bodyPr/>
              <a:lstStyle/>
              <a:p>
                <a:pPr>
                  <a:defRPr/>
                </a:pPr>
                <a:r>
                  <a:rPr lang="es-EC"/>
                  <a:t>Frecuencia</a:t>
                </a:r>
                <a:r>
                  <a:rPr lang="es-EC" baseline="0"/>
                  <a:t> Relativa</a:t>
                </a:r>
                <a:endParaRPr lang="es-EC"/>
              </a:p>
            </c:rich>
          </c:tx>
          <c:layout>
            <c:manualLayout>
              <c:xMode val="edge"/>
              <c:yMode val="edge"/>
              <c:x val="0.6117971854825337"/>
              <c:y val="0.95056682384615887"/>
            </c:manualLayout>
          </c:layout>
          <c:overlay val="0"/>
        </c:title>
        <c:numFmt formatCode="#,##0.00" sourceLinked="0"/>
        <c:majorTickMark val="in"/>
        <c:minorTickMark val="none"/>
        <c:tickLblPos val="high"/>
        <c:spPr>
          <a:ln>
            <a:solidFill>
              <a:schemeClr val="tx1"/>
            </a:solidFill>
          </a:ln>
        </c:spPr>
        <c:crossAx val="254667392"/>
        <c:crossesAt val="13"/>
        <c:crossBetween val="between"/>
        <c:majorUnit val="0.2"/>
      </c:valAx>
      <c:spPr>
        <a:noFill/>
        <a:ln>
          <a:solidFill>
            <a:schemeClr val="tx1"/>
          </a:solidFill>
        </a:ln>
      </c:spPr>
    </c:plotArea>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178530067333589"/>
          <c:y val="6.5826771653543351E-2"/>
          <c:w val="0.51184667541557338"/>
          <c:h val="0.82270638850556055"/>
        </c:manualLayout>
      </c:layout>
      <c:barChart>
        <c:barDir val="bar"/>
        <c:grouping val="stacked"/>
        <c:varyColors val="0"/>
        <c:ser>
          <c:idx val="0"/>
          <c:order val="0"/>
          <c:tx>
            <c:strRef>
              <c:f>Economía!$F$108</c:f>
              <c:strCache>
                <c:ptCount val="1"/>
                <c:pt idx="0">
                  <c:v>Hombres</c:v>
                </c:pt>
              </c:strCache>
            </c:strRef>
          </c:tx>
          <c:spPr>
            <a:solidFill>
              <a:srgbClr val="00B0F0"/>
            </a:solidFill>
          </c:spPr>
          <c:invertIfNegative val="0"/>
          <c:dLbls>
            <c:dLbl>
              <c:idx val="0"/>
              <c:layout>
                <c:manualLayout>
                  <c:x val="-4.1048937618939525E-2"/>
                  <c:y val="0"/>
                </c:manualLayout>
              </c:layout>
              <c:dLblPos val="ctr"/>
              <c:showLegendKey val="0"/>
              <c:showVal val="1"/>
              <c:showCatName val="0"/>
              <c:showSerName val="0"/>
              <c:showPercent val="0"/>
              <c:showBubbleSize val="0"/>
            </c:dLbl>
            <c:dLbl>
              <c:idx val="1"/>
              <c:layout>
                <c:manualLayout>
                  <c:x val="-4.1964953937298877E-2"/>
                  <c:y val="2.4218423051288809E-7"/>
                </c:manualLayout>
              </c:layout>
              <c:dLblPos val="ctr"/>
              <c:showLegendKey val="0"/>
              <c:showVal val="1"/>
              <c:showCatName val="0"/>
              <c:showSerName val="0"/>
              <c:showPercent val="0"/>
              <c:showBubbleSize val="0"/>
            </c:dLbl>
            <c:dLbl>
              <c:idx val="4"/>
              <c:layout>
                <c:manualLayout>
                  <c:x val="-5.1019897457385464E-2"/>
                  <c:y val="0"/>
                </c:manualLayout>
              </c:layout>
              <c:dLblPos val="ctr"/>
              <c:showLegendKey val="0"/>
              <c:showVal val="1"/>
              <c:showCatName val="0"/>
              <c:showSerName val="0"/>
              <c:showPercent val="0"/>
              <c:showBubbleSize val="0"/>
            </c:dLbl>
            <c:dLbl>
              <c:idx val="5"/>
              <c:layout>
                <c:manualLayout>
                  <c:x val="-4.0290983582706288E-2"/>
                  <c:y val="-5.6387910273132978E-17"/>
                </c:manualLayout>
              </c:layout>
              <c:dLblPos val="ctr"/>
              <c:showLegendKey val="0"/>
              <c:showVal val="1"/>
              <c:showCatName val="0"/>
              <c:showSerName val="0"/>
              <c:showPercent val="0"/>
              <c:showBubbleSize val="0"/>
            </c:dLbl>
            <c:dLbl>
              <c:idx val="6"/>
              <c:layout>
                <c:manualLayout>
                  <c:x val="-4.8530474710616833E-2"/>
                  <c:y val="0"/>
                </c:manualLayout>
              </c:layout>
              <c:dLblPos val="ctr"/>
              <c:showLegendKey val="0"/>
              <c:showVal val="1"/>
              <c:showCatName val="0"/>
              <c:showSerName val="0"/>
              <c:showPercent val="0"/>
              <c:showBubbleSize val="0"/>
            </c:dLbl>
            <c:dLbl>
              <c:idx val="8"/>
              <c:layout>
                <c:manualLayout>
                  <c:x val="-5.3171546461348647E-2"/>
                  <c:y val="0"/>
                </c:manualLayout>
              </c:layout>
              <c:dLblPos val="ctr"/>
              <c:showLegendKey val="0"/>
              <c:showVal val="1"/>
              <c:showCatName val="0"/>
              <c:showSerName val="0"/>
              <c:showPercent val="0"/>
              <c:showBubbleSize val="0"/>
            </c:dLbl>
            <c:numFmt formatCode="0.000;0.000" sourceLinked="0"/>
            <c:txPr>
              <a:bodyPr/>
              <a:lstStyle/>
              <a:p>
                <a:pPr>
                  <a:defRPr sz="700"/>
                </a:pPr>
                <a:endParaRPr lang="es-EC"/>
              </a:p>
            </c:txPr>
            <c:dLblPos val="inEnd"/>
            <c:showLegendKey val="0"/>
            <c:showVal val="1"/>
            <c:showCatName val="0"/>
            <c:showSerName val="0"/>
            <c:showPercent val="0"/>
            <c:showBubbleSize val="0"/>
            <c:showLeaderLines val="0"/>
          </c:dLbls>
          <c:cat>
            <c:strRef>
              <c:f>'Inmigracion(Perfil)'!$T$886:$T$897</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Economía!$F$109:$F$120</c:f>
              <c:numCache>
                <c:formatCode>0.00%</c:formatCode>
                <c:ptCount val="12"/>
                <c:pt idx="0">
                  <c:v>-4.9879942372338726E-2</c:v>
                </c:pt>
                <c:pt idx="1">
                  <c:v>-4.5717944613414468E-2</c:v>
                </c:pt>
                <c:pt idx="2">
                  <c:v>-3.8322394749479752E-2</c:v>
                </c:pt>
                <c:pt idx="3">
                  <c:v>-3.979510164879143E-2</c:v>
                </c:pt>
                <c:pt idx="4">
                  <c:v>-0.18693773011045312</c:v>
                </c:pt>
                <c:pt idx="5">
                  <c:v>-0.12502000960461013</c:v>
                </c:pt>
                <c:pt idx="6">
                  <c:v>-0.1698415239314871</c:v>
                </c:pt>
                <c:pt idx="7">
                  <c:v>-3.8034256443092683E-2</c:v>
                </c:pt>
                <c:pt idx="8">
                  <c:v>-0.23070273731391069</c:v>
                </c:pt>
                <c:pt idx="9">
                  <c:v>-3.2015367376340666E-4</c:v>
                </c:pt>
                <c:pt idx="10">
                  <c:v>-3.3360012806146949E-2</c:v>
                </c:pt>
                <c:pt idx="11">
                  <c:v>-4.2068192732511618E-2</c:v>
                </c:pt>
              </c:numCache>
            </c:numRef>
          </c:val>
        </c:ser>
        <c:ser>
          <c:idx val="1"/>
          <c:order val="1"/>
          <c:tx>
            <c:strRef>
              <c:f>Economía!$G$108</c:f>
              <c:strCache>
                <c:ptCount val="1"/>
                <c:pt idx="0">
                  <c:v>Mujeres</c:v>
                </c:pt>
              </c:strCache>
            </c:strRef>
          </c:tx>
          <c:spPr>
            <a:solidFill>
              <a:srgbClr val="D735B4"/>
            </a:solidFill>
          </c:spPr>
          <c:invertIfNegative val="0"/>
          <c:dLbls>
            <c:dLbl>
              <c:idx val="0"/>
              <c:layout>
                <c:manualLayout>
                  <c:x val="3.7239613341015311E-2"/>
                  <c:y val="0"/>
                </c:manualLayout>
              </c:layout>
              <c:dLblPos val="ctr"/>
              <c:showLegendKey val="0"/>
              <c:showVal val="1"/>
              <c:showCatName val="0"/>
              <c:showSerName val="0"/>
              <c:showPercent val="0"/>
              <c:showBubbleSize val="0"/>
            </c:dLbl>
            <c:dLbl>
              <c:idx val="1"/>
              <c:layout>
                <c:manualLayout>
                  <c:x val="4.6408622425522766E-2"/>
                  <c:y val="0"/>
                </c:manualLayout>
              </c:layout>
              <c:dLblPos val="ctr"/>
              <c:showLegendKey val="0"/>
              <c:showVal val="1"/>
              <c:showCatName val="0"/>
              <c:showSerName val="0"/>
              <c:showPercent val="0"/>
              <c:showBubbleSize val="0"/>
            </c:dLbl>
            <c:dLbl>
              <c:idx val="3"/>
              <c:layout>
                <c:manualLayout>
                  <c:x val="3.8627255850224945E-2"/>
                  <c:y val="0"/>
                </c:manualLayout>
              </c:layout>
              <c:dLblPos val="ctr"/>
              <c:showLegendKey val="0"/>
              <c:showVal val="1"/>
              <c:showCatName val="0"/>
              <c:showSerName val="0"/>
              <c:showPercent val="0"/>
              <c:showBubbleSize val="0"/>
            </c:dLbl>
            <c:dLbl>
              <c:idx val="4"/>
              <c:layout>
                <c:manualLayout>
                  <c:x val="6.4288050468192567E-2"/>
                  <c:y val="-3.07573972751368E-3"/>
                </c:manualLayout>
              </c:layout>
              <c:dLblPos val="ctr"/>
              <c:showLegendKey val="0"/>
              <c:showVal val="1"/>
              <c:showCatName val="0"/>
              <c:showSerName val="0"/>
              <c:showPercent val="0"/>
              <c:showBubbleSize val="0"/>
            </c:dLbl>
            <c:dLbl>
              <c:idx val="8"/>
              <c:layout>
                <c:manualLayout>
                  <c:x val="6.0279265091863495E-2"/>
                  <c:y val="3.3435311031980897E-7"/>
                </c:manualLayout>
              </c:layout>
              <c:dLblPos val="ctr"/>
              <c:showLegendKey val="0"/>
              <c:showVal val="1"/>
              <c:showCatName val="0"/>
              <c:showSerName val="0"/>
              <c:showPercent val="0"/>
              <c:showBubbleSize val="0"/>
            </c:dLbl>
            <c:dLbl>
              <c:idx val="10"/>
              <c:layout>
                <c:manualLayout>
                  <c:x val="3.6013292130058022E-2"/>
                  <c:y val="0"/>
                </c:manualLayout>
              </c:layout>
              <c:dLblPos val="ctr"/>
              <c:showLegendKey val="0"/>
              <c:showVal val="1"/>
              <c:showCatName val="0"/>
              <c:showSerName val="0"/>
              <c:showPercent val="0"/>
              <c:showBubbleSize val="0"/>
            </c:dLbl>
            <c:dLbl>
              <c:idx val="11"/>
              <c:layout>
                <c:manualLayout>
                  <c:x val="3.6013292130058022E-2"/>
                  <c:y val="1.1277582054626588E-16"/>
                </c:manualLayout>
              </c:layout>
              <c:dLblPos val="ctr"/>
              <c:showLegendKey val="0"/>
              <c:showVal val="1"/>
              <c:showCatName val="0"/>
              <c:showSerName val="0"/>
              <c:showPercent val="0"/>
              <c:showBubbleSize val="0"/>
            </c:dLbl>
            <c:numFmt formatCode="#,##0.000" sourceLinked="0"/>
            <c:txPr>
              <a:bodyPr/>
              <a:lstStyle/>
              <a:p>
                <a:pPr>
                  <a:defRPr sz="700"/>
                </a:pPr>
                <a:endParaRPr lang="es-EC"/>
              </a:p>
            </c:txPr>
            <c:dLblPos val="inBase"/>
            <c:showLegendKey val="0"/>
            <c:showVal val="1"/>
            <c:showCatName val="0"/>
            <c:showSerName val="0"/>
            <c:showPercent val="0"/>
            <c:showBubbleSize val="0"/>
            <c:showLeaderLines val="0"/>
          </c:dLbls>
          <c:cat>
            <c:strRef>
              <c:f>'Inmigracion(Perfil)'!$T$886:$T$897</c:f>
              <c:strCache>
                <c:ptCount val="12"/>
                <c:pt idx="0">
                  <c:v>Directores y gerentes</c:v>
                </c:pt>
                <c:pt idx="1">
                  <c:v>Profesionales científicos e intelectuales</c:v>
                </c:pt>
                <c:pt idx="2">
                  <c:v>Técnicos y profesionales del nivel medio</c:v>
                </c:pt>
                <c:pt idx="3">
                  <c:v>Personal de apoyo administrativo</c:v>
                </c:pt>
                <c:pt idx="4">
                  <c:v>Trabajadores de los servicios y vendedores</c:v>
                </c:pt>
                <c:pt idx="5">
                  <c:v>Agricultores y trabajadores calificados</c:v>
                </c:pt>
                <c:pt idx="6">
                  <c:v>Oficiales, operarios y artesanos</c:v>
                </c:pt>
                <c:pt idx="7">
                  <c:v>Operadores de instalaciones y maquinaria</c:v>
                </c:pt>
                <c:pt idx="8">
                  <c:v>Ocupaciones elementales</c:v>
                </c:pt>
                <c:pt idx="9">
                  <c:v>Ocupaciones militares</c:v>
                </c:pt>
                <c:pt idx="10">
                  <c:v>Trabajadores nuevos</c:v>
                </c:pt>
                <c:pt idx="11">
                  <c:v>No declarado</c:v>
                </c:pt>
              </c:strCache>
            </c:strRef>
          </c:cat>
          <c:val>
            <c:numRef>
              <c:f>Economía!$G$109:$G$120</c:f>
              <c:numCache>
                <c:formatCode>0.00%</c:formatCode>
                <c:ptCount val="12"/>
                <c:pt idx="0">
                  <c:v>4.4793098544816841E-2</c:v>
                </c:pt>
                <c:pt idx="1">
                  <c:v>6.4227141299710869E-2</c:v>
                </c:pt>
                <c:pt idx="2">
                  <c:v>4.5788500734701636E-2</c:v>
                </c:pt>
                <c:pt idx="3">
                  <c:v>5.9297530454567017E-2</c:v>
                </c:pt>
                <c:pt idx="4">
                  <c:v>0.30459307010475439</c:v>
                </c:pt>
                <c:pt idx="5">
                  <c:v>4.6309901881784125E-2</c:v>
                </c:pt>
                <c:pt idx="6">
                  <c:v>5.6974925344835774E-2</c:v>
                </c:pt>
                <c:pt idx="7">
                  <c:v>9.1008200218040524E-3</c:v>
                </c:pt>
                <c:pt idx="8">
                  <c:v>0.23263971180736603</c:v>
                </c:pt>
                <c:pt idx="9">
                  <c:v>0</c:v>
                </c:pt>
                <c:pt idx="10">
                  <c:v>6.0435132957292512E-2</c:v>
                </c:pt>
                <c:pt idx="11">
                  <c:v>7.5840166848367072E-2</c:v>
                </c:pt>
              </c:numCache>
            </c:numRef>
          </c:val>
        </c:ser>
        <c:dLbls>
          <c:showLegendKey val="0"/>
          <c:showVal val="0"/>
          <c:showCatName val="0"/>
          <c:showSerName val="0"/>
          <c:showPercent val="0"/>
          <c:showBubbleSize val="0"/>
        </c:dLbls>
        <c:gapWidth val="40"/>
        <c:overlap val="100"/>
        <c:axId val="254769792"/>
        <c:axId val="254477056"/>
      </c:barChart>
      <c:catAx>
        <c:axId val="254769792"/>
        <c:scaling>
          <c:orientation val="maxMin"/>
        </c:scaling>
        <c:delete val="0"/>
        <c:axPos val="l"/>
        <c:title>
          <c:tx>
            <c:rich>
              <a:bodyPr rot="-5400000" vert="horz"/>
              <a:lstStyle/>
              <a:p>
                <a:pPr>
                  <a:defRPr/>
                </a:pPr>
                <a:r>
                  <a:rPr lang="es-EC"/>
                  <a:t>Ocupación</a:t>
                </a:r>
              </a:p>
            </c:rich>
          </c:tx>
          <c:overlay val="0"/>
        </c:title>
        <c:majorTickMark val="out"/>
        <c:minorTickMark val="none"/>
        <c:tickLblPos val="nextTo"/>
        <c:spPr>
          <a:ln>
            <a:solidFill>
              <a:schemeClr val="tx1"/>
            </a:solidFill>
          </a:ln>
        </c:spPr>
        <c:crossAx val="254477056"/>
        <c:crossesAt val="-1"/>
        <c:auto val="1"/>
        <c:lblAlgn val="ctr"/>
        <c:lblOffset val="100"/>
        <c:noMultiLvlLbl val="0"/>
      </c:catAx>
      <c:valAx>
        <c:axId val="254477056"/>
        <c:scaling>
          <c:orientation val="minMax"/>
          <c:max val="1"/>
          <c:min val="-1"/>
        </c:scaling>
        <c:delete val="0"/>
        <c:axPos val="t"/>
        <c:title>
          <c:tx>
            <c:rich>
              <a:bodyPr/>
              <a:lstStyle/>
              <a:p>
                <a:pPr>
                  <a:defRPr/>
                </a:pPr>
                <a:r>
                  <a:rPr lang="es-EC"/>
                  <a:t>Frecuencia Relativa</a:t>
                </a:r>
              </a:p>
            </c:rich>
          </c:tx>
          <c:layout>
            <c:manualLayout>
              <c:xMode val="edge"/>
              <c:yMode val="edge"/>
              <c:x val="0.62047134733158382"/>
              <c:y val="0.96035351239293698"/>
            </c:manualLayout>
          </c:layout>
          <c:overlay val="0"/>
        </c:title>
        <c:numFmt formatCode="0.00;0.00" sourceLinked="0"/>
        <c:majorTickMark val="in"/>
        <c:minorTickMark val="none"/>
        <c:tickLblPos val="high"/>
        <c:spPr>
          <a:ln>
            <a:solidFill>
              <a:schemeClr val="tx1"/>
            </a:solidFill>
          </a:ln>
        </c:spPr>
        <c:crossAx val="254769792"/>
        <c:crossesAt val="13"/>
        <c:crossBetween val="between"/>
        <c:majorUnit val="0.4"/>
      </c:valAx>
      <c:spPr>
        <a:noFill/>
        <a:ln>
          <a:solidFill>
            <a:schemeClr val="tx1"/>
          </a:solidFill>
        </a:ln>
      </c:spPr>
    </c:plotArea>
    <c:legend>
      <c:legendPos val="t"/>
      <c:layout>
        <c:manualLayout>
          <c:xMode val="edge"/>
          <c:yMode val="edge"/>
          <c:x val="0.44835099603680373"/>
          <c:y val="0"/>
          <c:w val="0.49843392635787498"/>
          <c:h val="4.8188607266301912E-2"/>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6951006124234"/>
          <c:y val="2.9901457894059801E-2"/>
          <c:w val="0.46985433070866173"/>
          <c:h val="0.8832125984251965"/>
        </c:manualLayout>
      </c:layout>
      <c:barChart>
        <c:barDir val="bar"/>
        <c:grouping val="stacked"/>
        <c:varyColors val="0"/>
        <c:ser>
          <c:idx val="0"/>
          <c:order val="0"/>
          <c:tx>
            <c:strRef>
              <c:f>Economía!$P$377</c:f>
              <c:strCache>
                <c:ptCount val="1"/>
                <c:pt idx="0">
                  <c:v>Directores y gerentes</c:v>
                </c:pt>
              </c:strCache>
            </c:strRef>
          </c:tx>
          <c:spPr>
            <a:solidFill>
              <a:srgbClr val="0070C0"/>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Economía!$P$378:$P$397</c:f>
              <c:numCache>
                <c:formatCode>0,000</c:formatCode>
                <c:ptCount val="20"/>
                <c:pt idx="0">
                  <c:v>0</c:v>
                </c:pt>
                <c:pt idx="1">
                  <c:v>0</c:v>
                </c:pt>
                <c:pt idx="2">
                  <c:v>2.6238110856018405E-3</c:v>
                </c:pt>
                <c:pt idx="3">
                  <c:v>1.3449097718760655E-2</c:v>
                </c:pt>
                <c:pt idx="4">
                  <c:v>3.297872340425536E-2</c:v>
                </c:pt>
                <c:pt idx="5">
                  <c:v>5.3021664766248582E-2</c:v>
                </c:pt>
                <c:pt idx="6">
                  <c:v>5.8804575479297565E-2</c:v>
                </c:pt>
                <c:pt idx="7">
                  <c:v>6.4446831364124685E-2</c:v>
                </c:pt>
                <c:pt idx="8">
                  <c:v>7.0659361420744374E-2</c:v>
                </c:pt>
                <c:pt idx="9">
                  <c:v>7.5263421976919334E-2</c:v>
                </c:pt>
                <c:pt idx="10">
                  <c:v>6.5876152832674575E-2</c:v>
                </c:pt>
                <c:pt idx="11">
                  <c:v>5.2307692307692402E-2</c:v>
                </c:pt>
                <c:pt idx="12">
                  <c:v>5.2369077306733285E-2</c:v>
                </c:pt>
                <c:pt idx="13">
                  <c:v>3.1347962382445187E-2</c:v>
                </c:pt>
                <c:pt idx="14">
                  <c:v>9.8684210526315784E-3</c:v>
                </c:pt>
                <c:pt idx="15">
                  <c:v>4.6296296296296363E-2</c:v>
                </c:pt>
                <c:pt idx="16">
                  <c:v>8.5714285714285715E-2</c:v>
                </c:pt>
                <c:pt idx="17">
                  <c:v>7.6923076923076927E-2</c:v>
                </c:pt>
                <c:pt idx="18">
                  <c:v>0</c:v>
                </c:pt>
                <c:pt idx="19">
                  <c:v>0</c:v>
                </c:pt>
              </c:numCache>
            </c:numRef>
          </c:val>
        </c:ser>
        <c:ser>
          <c:idx val="1"/>
          <c:order val="1"/>
          <c:tx>
            <c:strRef>
              <c:f>Economía!$Q$377</c:f>
              <c:strCache>
                <c:ptCount val="1"/>
                <c:pt idx="0">
                  <c:v>Profesionales científicos e intelectuales</c:v>
                </c:pt>
              </c:strCache>
            </c:strRef>
          </c:tx>
          <c:spPr>
            <a:solidFill>
              <a:srgbClr val="D735B4"/>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Economía!$Q$378:$Q$397</c:f>
              <c:numCache>
                <c:formatCode>0,000</c:formatCode>
                <c:ptCount val="20"/>
                <c:pt idx="0">
                  <c:v>0</c:v>
                </c:pt>
                <c:pt idx="1">
                  <c:v>0</c:v>
                </c:pt>
                <c:pt idx="2">
                  <c:v>0</c:v>
                </c:pt>
                <c:pt idx="3">
                  <c:v>1.8556350017024173E-2</c:v>
                </c:pt>
                <c:pt idx="4">
                  <c:v>5.0132978723404283E-2</c:v>
                </c:pt>
                <c:pt idx="5">
                  <c:v>6.8700114025085524E-2</c:v>
                </c:pt>
                <c:pt idx="6">
                  <c:v>6.6215563073948769E-2</c:v>
                </c:pt>
                <c:pt idx="7">
                  <c:v>6.7490153956319451E-2</c:v>
                </c:pt>
                <c:pt idx="8">
                  <c:v>6.7069714717551493E-2</c:v>
                </c:pt>
                <c:pt idx="9">
                  <c:v>6.2217762167586552E-2</c:v>
                </c:pt>
                <c:pt idx="10">
                  <c:v>6.7523056653491439E-2</c:v>
                </c:pt>
                <c:pt idx="11">
                  <c:v>6.0512820512820524E-2</c:v>
                </c:pt>
                <c:pt idx="12">
                  <c:v>5.1537822111388187E-2</c:v>
                </c:pt>
                <c:pt idx="13">
                  <c:v>4.0752351097178743E-2</c:v>
                </c:pt>
                <c:pt idx="14">
                  <c:v>2.9605263157894773E-2</c:v>
                </c:pt>
                <c:pt idx="15">
                  <c:v>3.7037037037037056E-2</c:v>
                </c:pt>
                <c:pt idx="16">
                  <c:v>0</c:v>
                </c:pt>
                <c:pt idx="17">
                  <c:v>0</c:v>
                </c:pt>
                <c:pt idx="18">
                  <c:v>0</c:v>
                </c:pt>
                <c:pt idx="19">
                  <c:v>0</c:v>
                </c:pt>
              </c:numCache>
            </c:numRef>
          </c:val>
        </c:ser>
        <c:ser>
          <c:idx val="2"/>
          <c:order val="2"/>
          <c:tx>
            <c:strRef>
              <c:f>Economía!$R$377</c:f>
              <c:strCache>
                <c:ptCount val="1"/>
                <c:pt idx="0">
                  <c:v>Técnicos y profesionales del nivel medio</c:v>
                </c:pt>
              </c:strCache>
            </c:strRef>
          </c:tx>
          <c:spPr>
            <a:solidFill>
              <a:srgbClr val="00B0F0"/>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Economía!$R$378:$R$397</c:f>
              <c:numCache>
                <c:formatCode>0,000</c:formatCode>
                <c:ptCount val="20"/>
                <c:pt idx="0">
                  <c:v>0</c:v>
                </c:pt>
                <c:pt idx="1">
                  <c:v>0</c:v>
                </c:pt>
                <c:pt idx="2">
                  <c:v>0</c:v>
                </c:pt>
                <c:pt idx="3">
                  <c:v>3.3367381681988426E-2</c:v>
                </c:pt>
                <c:pt idx="4">
                  <c:v>4.7074468085106402E-2</c:v>
                </c:pt>
                <c:pt idx="5">
                  <c:v>5.1881413911060464E-2</c:v>
                </c:pt>
                <c:pt idx="6">
                  <c:v>5.1232479458675713E-2</c:v>
                </c:pt>
                <c:pt idx="7">
                  <c:v>4.5112781954887368E-2</c:v>
                </c:pt>
                <c:pt idx="8">
                  <c:v>4.8932552427734761E-2</c:v>
                </c:pt>
                <c:pt idx="9">
                  <c:v>3.9638735574510836E-2</c:v>
                </c:pt>
                <c:pt idx="10">
                  <c:v>3.7549407114624581E-2</c:v>
                </c:pt>
                <c:pt idx="11">
                  <c:v>4.5128205128205125E-2</c:v>
                </c:pt>
                <c:pt idx="12">
                  <c:v>2.6600166251039076E-2</c:v>
                </c:pt>
                <c:pt idx="13">
                  <c:v>2.1943573667711637E-2</c:v>
                </c:pt>
                <c:pt idx="14">
                  <c:v>3.2894736842105261E-2</c:v>
                </c:pt>
                <c:pt idx="15">
                  <c:v>2.7777777777777842E-2</c:v>
                </c:pt>
                <c:pt idx="16">
                  <c:v>2.8571428571428591E-2</c:v>
                </c:pt>
                <c:pt idx="17">
                  <c:v>0</c:v>
                </c:pt>
                <c:pt idx="18">
                  <c:v>0</c:v>
                </c:pt>
                <c:pt idx="19">
                  <c:v>0</c:v>
                </c:pt>
              </c:numCache>
            </c:numRef>
          </c:val>
        </c:ser>
        <c:ser>
          <c:idx val="3"/>
          <c:order val="3"/>
          <c:tx>
            <c:strRef>
              <c:f>Economía!$S$377</c:f>
              <c:strCache>
                <c:ptCount val="1"/>
                <c:pt idx="0">
                  <c:v>Personal de apoyo administrativo</c:v>
                </c:pt>
              </c:strCache>
            </c:strRef>
          </c:tx>
          <c:spPr>
            <a:solidFill>
              <a:srgbClr val="7030A0"/>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Economía!$S$378:$S$397</c:f>
              <c:numCache>
                <c:formatCode>0,000</c:formatCode>
                <c:ptCount val="20"/>
                <c:pt idx="0">
                  <c:v>2.1276595744680847E-2</c:v>
                </c:pt>
                <c:pt idx="1">
                  <c:v>1.2987012987012988E-2</c:v>
                </c:pt>
                <c:pt idx="2">
                  <c:v>4.2308953755329684E-2</c:v>
                </c:pt>
                <c:pt idx="3">
                  <c:v>6.4010895471569629E-2</c:v>
                </c:pt>
                <c:pt idx="4">
                  <c:v>5.9707446808510777E-2</c:v>
                </c:pt>
                <c:pt idx="5">
                  <c:v>5.2736602052451648E-2</c:v>
                </c:pt>
                <c:pt idx="6">
                  <c:v>4.5915901401643387E-2</c:v>
                </c:pt>
                <c:pt idx="7">
                  <c:v>4.582885785893312E-2</c:v>
                </c:pt>
                <c:pt idx="8">
                  <c:v>4.1375401473644435E-2</c:v>
                </c:pt>
                <c:pt idx="9">
                  <c:v>4.014049172102363E-2</c:v>
                </c:pt>
                <c:pt idx="10">
                  <c:v>3.6561264822134391E-2</c:v>
                </c:pt>
                <c:pt idx="11">
                  <c:v>3.0769230769230792E-2</c:v>
                </c:pt>
                <c:pt idx="12">
                  <c:v>3.2418952618453907E-2</c:v>
                </c:pt>
                <c:pt idx="13">
                  <c:v>2.8213166144200632E-2</c:v>
                </c:pt>
                <c:pt idx="14">
                  <c:v>3.2894736842105261E-2</c:v>
                </c:pt>
                <c:pt idx="15">
                  <c:v>4.6296296296296363E-2</c:v>
                </c:pt>
                <c:pt idx="16">
                  <c:v>0</c:v>
                </c:pt>
                <c:pt idx="17">
                  <c:v>0</c:v>
                </c:pt>
                <c:pt idx="18">
                  <c:v>0</c:v>
                </c:pt>
                <c:pt idx="19">
                  <c:v>0</c:v>
                </c:pt>
              </c:numCache>
            </c:numRef>
          </c:val>
        </c:ser>
        <c:ser>
          <c:idx val="4"/>
          <c:order val="4"/>
          <c:tx>
            <c:strRef>
              <c:f>Economía!$T$377</c:f>
              <c:strCache>
                <c:ptCount val="1"/>
                <c:pt idx="0">
                  <c:v>Trabajadores de los servicios y vendedores</c:v>
                </c:pt>
              </c:strCache>
            </c:strRef>
          </c:tx>
          <c:spPr>
            <a:solidFill>
              <a:srgbClr val="00B050"/>
            </a:solidFill>
          </c:spPr>
          <c:invertIfNegative val="0"/>
          <c:dLbls>
            <c:dLbl>
              <c:idx val="18"/>
              <c:delete val="1"/>
            </c:dLbl>
            <c:numFmt formatCode="#,##0.000" sourceLinked="0"/>
            <c:txPr>
              <a:bodyPr/>
              <a:lstStyle/>
              <a:p>
                <a:pPr>
                  <a:defRPr sz="700">
                    <a:solidFill>
                      <a:schemeClr val="bg1"/>
                    </a:solidFill>
                  </a:defRPr>
                </a:pPr>
                <a:endParaRPr lang="es-EC"/>
              </a:p>
            </c:txPr>
            <c:dLblPos val="ctr"/>
            <c:showLegendKey val="0"/>
            <c:showVal val="1"/>
            <c:showCatName val="0"/>
            <c:showSerName val="0"/>
            <c:showPercent val="0"/>
            <c:showBubbleSize val="0"/>
            <c:showLeaderLines val="0"/>
          </c:dLbls>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Economía!$T$378:$T$397</c:f>
              <c:numCache>
                <c:formatCode>0,000</c:formatCode>
                <c:ptCount val="20"/>
                <c:pt idx="0">
                  <c:v>6.3829787234042562E-2</c:v>
                </c:pt>
                <c:pt idx="1">
                  <c:v>0.15584415584415603</c:v>
                </c:pt>
                <c:pt idx="2">
                  <c:v>0.20268940636274191</c:v>
                </c:pt>
                <c:pt idx="3">
                  <c:v>0.24906367041198504</c:v>
                </c:pt>
                <c:pt idx="4">
                  <c:v>0.25226063829787232</c:v>
                </c:pt>
                <c:pt idx="5">
                  <c:v>0.24714937286203001</c:v>
                </c:pt>
                <c:pt idx="6">
                  <c:v>0.24536813275334327</c:v>
                </c:pt>
                <c:pt idx="7">
                  <c:v>0.25008950948800585</c:v>
                </c:pt>
                <c:pt idx="8">
                  <c:v>0.23691668241073147</c:v>
                </c:pt>
                <c:pt idx="9">
                  <c:v>0.2210235825388861</c:v>
                </c:pt>
                <c:pt idx="10">
                  <c:v>0.2164031620553363</c:v>
                </c:pt>
                <c:pt idx="11">
                  <c:v>0.20153846153846186</c:v>
                </c:pt>
                <c:pt idx="12">
                  <c:v>0.17290108063175394</c:v>
                </c:pt>
                <c:pt idx="13">
                  <c:v>0.15517241379310345</c:v>
                </c:pt>
                <c:pt idx="14">
                  <c:v>0.15460526315789502</c:v>
                </c:pt>
                <c:pt idx="15">
                  <c:v>9.2592592592592823E-2</c:v>
                </c:pt>
                <c:pt idx="16">
                  <c:v>0.14285714285714307</c:v>
                </c:pt>
                <c:pt idx="17">
                  <c:v>0.15384615384615413</c:v>
                </c:pt>
                <c:pt idx="18">
                  <c:v>0</c:v>
                </c:pt>
                <c:pt idx="19">
                  <c:v>0.66666666666666663</c:v>
                </c:pt>
              </c:numCache>
            </c:numRef>
          </c:val>
        </c:ser>
        <c:ser>
          <c:idx val="5"/>
          <c:order val="5"/>
          <c:tx>
            <c:strRef>
              <c:f>Economía!$U$377</c:f>
              <c:strCache>
                <c:ptCount val="1"/>
                <c:pt idx="0">
                  <c:v>Agricultores y trabajadores calificados</c:v>
                </c:pt>
              </c:strCache>
            </c:strRef>
          </c:tx>
          <c:spPr>
            <a:solidFill>
              <a:schemeClr val="accent6">
                <a:lumMod val="75000"/>
              </a:schemeClr>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Economía!$U$378:$U$397</c:f>
              <c:numCache>
                <c:formatCode>0,000</c:formatCode>
                <c:ptCount val="20"/>
                <c:pt idx="0">
                  <c:v>0</c:v>
                </c:pt>
                <c:pt idx="1">
                  <c:v>0</c:v>
                </c:pt>
                <c:pt idx="2">
                  <c:v>5.5100032797638573E-2</c:v>
                </c:pt>
                <c:pt idx="3">
                  <c:v>9.5505617977528087E-2</c:v>
                </c:pt>
                <c:pt idx="4">
                  <c:v>8.3909574468085127E-2</c:v>
                </c:pt>
                <c:pt idx="5">
                  <c:v>7.2405929304447031E-2</c:v>
                </c:pt>
                <c:pt idx="6">
                  <c:v>7.7170936039954896E-2</c:v>
                </c:pt>
                <c:pt idx="7">
                  <c:v>7.9305406373075552E-2</c:v>
                </c:pt>
                <c:pt idx="8">
                  <c:v>9.1252597770640528E-2</c:v>
                </c:pt>
                <c:pt idx="9">
                  <c:v>0.10235825388861022</c:v>
                </c:pt>
                <c:pt idx="10">
                  <c:v>0.11067193675889328</c:v>
                </c:pt>
                <c:pt idx="11">
                  <c:v>0.14923076923076922</c:v>
                </c:pt>
                <c:pt idx="12">
                  <c:v>0.2044887780548629</c:v>
                </c:pt>
                <c:pt idx="13">
                  <c:v>0.27586206896551763</c:v>
                </c:pt>
                <c:pt idx="14">
                  <c:v>0.3322368421052635</c:v>
                </c:pt>
                <c:pt idx="15">
                  <c:v>0.29629629629629628</c:v>
                </c:pt>
                <c:pt idx="16">
                  <c:v>0.34285714285714286</c:v>
                </c:pt>
                <c:pt idx="17">
                  <c:v>0.46153846153846195</c:v>
                </c:pt>
                <c:pt idx="18">
                  <c:v>0.5</c:v>
                </c:pt>
                <c:pt idx="19">
                  <c:v>0</c:v>
                </c:pt>
              </c:numCache>
            </c:numRef>
          </c:val>
        </c:ser>
        <c:ser>
          <c:idx val="6"/>
          <c:order val="6"/>
          <c:tx>
            <c:strRef>
              <c:f>Economía!$V$377</c:f>
              <c:strCache>
                <c:ptCount val="1"/>
                <c:pt idx="0">
                  <c:v>Oficiales, operarios y artesanos</c:v>
                </c:pt>
              </c:strCache>
            </c:strRef>
          </c:tx>
          <c:spPr>
            <a:solidFill>
              <a:srgbClr val="FFFF00"/>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Economía!$V$378:$V$397</c:f>
              <c:numCache>
                <c:formatCode>0,000</c:formatCode>
                <c:ptCount val="20"/>
                <c:pt idx="0">
                  <c:v>0</c:v>
                </c:pt>
                <c:pt idx="1">
                  <c:v>0.10173160173160194</c:v>
                </c:pt>
                <c:pt idx="2">
                  <c:v>0.13348638897999363</c:v>
                </c:pt>
                <c:pt idx="3">
                  <c:v>0.11967994552264216</c:v>
                </c:pt>
                <c:pt idx="4">
                  <c:v>0.12659574468085105</c:v>
                </c:pt>
                <c:pt idx="5">
                  <c:v>0.12827822120866575</c:v>
                </c:pt>
                <c:pt idx="6">
                  <c:v>0.12614789753504121</c:v>
                </c:pt>
                <c:pt idx="7">
                  <c:v>0.12567132116004287</c:v>
                </c:pt>
                <c:pt idx="8">
                  <c:v>0.1250708482901946</c:v>
                </c:pt>
                <c:pt idx="9">
                  <c:v>0.12769693928750628</c:v>
                </c:pt>
                <c:pt idx="10">
                  <c:v>0.12384716732542807</c:v>
                </c:pt>
                <c:pt idx="11">
                  <c:v>0.13025641025641024</c:v>
                </c:pt>
                <c:pt idx="12">
                  <c:v>0.11138819617622601</c:v>
                </c:pt>
                <c:pt idx="13">
                  <c:v>7.5235109717868343E-2</c:v>
                </c:pt>
                <c:pt idx="14">
                  <c:v>6.5789473684210523E-2</c:v>
                </c:pt>
                <c:pt idx="15">
                  <c:v>5.5555555555555483E-2</c:v>
                </c:pt>
                <c:pt idx="16">
                  <c:v>5.7142857142857141E-2</c:v>
                </c:pt>
                <c:pt idx="17">
                  <c:v>7.6923076923076927E-2</c:v>
                </c:pt>
                <c:pt idx="18">
                  <c:v>0</c:v>
                </c:pt>
                <c:pt idx="19">
                  <c:v>0.33333333333333331</c:v>
                </c:pt>
              </c:numCache>
            </c:numRef>
          </c:val>
        </c:ser>
        <c:ser>
          <c:idx val="7"/>
          <c:order val="7"/>
          <c:tx>
            <c:strRef>
              <c:f>Economía!$W$377</c:f>
              <c:strCache>
                <c:ptCount val="1"/>
                <c:pt idx="0">
                  <c:v>Operadores de instalaciones y maquinaria</c:v>
                </c:pt>
              </c:strCache>
            </c:strRef>
          </c:tx>
          <c:spPr>
            <a:solidFill>
              <a:srgbClr val="FF0000"/>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Economía!$W$378:$W$397</c:f>
              <c:numCache>
                <c:formatCode>0,000</c:formatCode>
                <c:ptCount val="20"/>
                <c:pt idx="0">
                  <c:v>0</c:v>
                </c:pt>
                <c:pt idx="1">
                  <c:v>0</c:v>
                </c:pt>
                <c:pt idx="2">
                  <c:v>2.1318465070514932E-2</c:v>
                </c:pt>
                <c:pt idx="3">
                  <c:v>2.6557711950970401E-2</c:v>
                </c:pt>
                <c:pt idx="4">
                  <c:v>2.3803191489361754E-2</c:v>
                </c:pt>
                <c:pt idx="5">
                  <c:v>2.2377423033067275E-2</c:v>
                </c:pt>
                <c:pt idx="6">
                  <c:v>2.5455131303367191E-2</c:v>
                </c:pt>
                <c:pt idx="7">
                  <c:v>3.1149301825993608E-2</c:v>
                </c:pt>
                <c:pt idx="8">
                  <c:v>2.947288872095221E-2</c:v>
                </c:pt>
                <c:pt idx="9">
                  <c:v>3.0356246864024092E-2</c:v>
                </c:pt>
                <c:pt idx="10">
                  <c:v>3.5243741765480896E-2</c:v>
                </c:pt>
                <c:pt idx="11">
                  <c:v>2.8717948717948742E-2</c:v>
                </c:pt>
                <c:pt idx="12">
                  <c:v>2.2443890274314263E-2</c:v>
                </c:pt>
                <c:pt idx="13">
                  <c:v>2.9780564263322873E-2</c:v>
                </c:pt>
                <c:pt idx="14">
                  <c:v>1.3157894736842111E-2</c:v>
                </c:pt>
                <c:pt idx="15">
                  <c:v>0</c:v>
                </c:pt>
                <c:pt idx="16">
                  <c:v>2.8571428571428591E-2</c:v>
                </c:pt>
                <c:pt idx="17">
                  <c:v>0</c:v>
                </c:pt>
                <c:pt idx="18">
                  <c:v>0</c:v>
                </c:pt>
                <c:pt idx="19">
                  <c:v>0</c:v>
                </c:pt>
              </c:numCache>
            </c:numRef>
          </c:val>
        </c:ser>
        <c:ser>
          <c:idx val="8"/>
          <c:order val="8"/>
          <c:tx>
            <c:strRef>
              <c:f>Economía!$X$377</c:f>
              <c:strCache>
                <c:ptCount val="1"/>
                <c:pt idx="0">
                  <c:v>Ocupaciones elementales</c:v>
                </c:pt>
              </c:strCache>
            </c:strRef>
          </c:tx>
          <c:spPr>
            <a:solidFill>
              <a:srgbClr val="00F0EA"/>
            </a:solidFill>
          </c:spPr>
          <c:invertIfNegative val="0"/>
          <c:dLbls>
            <c:dLbl>
              <c:idx val="19"/>
              <c:delete val="1"/>
            </c:dLbl>
            <c:numFmt formatCode="#,##0.000" sourceLinked="0"/>
            <c:txPr>
              <a:bodyPr/>
              <a:lstStyle/>
              <a:p>
                <a:pPr>
                  <a:defRPr sz="700"/>
                </a:pPr>
                <a:endParaRPr lang="es-EC"/>
              </a:p>
            </c:txPr>
            <c:dLblPos val="ctr"/>
            <c:showLegendKey val="0"/>
            <c:showVal val="1"/>
            <c:showCatName val="0"/>
            <c:showSerName val="0"/>
            <c:showPercent val="0"/>
            <c:showBubbleSize val="0"/>
            <c:showLeaderLines val="0"/>
          </c:dLbls>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Economía!$X$378:$X$397</c:f>
              <c:numCache>
                <c:formatCode>0,000</c:formatCode>
                <c:ptCount val="20"/>
                <c:pt idx="0">
                  <c:v>0.23404255319148956</c:v>
                </c:pt>
                <c:pt idx="1">
                  <c:v>0.50216450216450215</c:v>
                </c:pt>
                <c:pt idx="2">
                  <c:v>0.38602820596917103</c:v>
                </c:pt>
                <c:pt idx="3">
                  <c:v>0.25621382362955397</c:v>
                </c:pt>
                <c:pt idx="4">
                  <c:v>0.21462765957446828</c:v>
                </c:pt>
                <c:pt idx="5">
                  <c:v>0.20453249714937313</c:v>
                </c:pt>
                <c:pt idx="6">
                  <c:v>0.21330755598517803</c:v>
                </c:pt>
                <c:pt idx="7">
                  <c:v>0.21088435374149697</c:v>
                </c:pt>
                <c:pt idx="8">
                  <c:v>0.20857736633289273</c:v>
                </c:pt>
                <c:pt idx="9">
                  <c:v>0.21274460612142534</c:v>
                </c:pt>
                <c:pt idx="10">
                  <c:v>0.22266139657444028</c:v>
                </c:pt>
                <c:pt idx="11">
                  <c:v>0.23128205128205129</c:v>
                </c:pt>
                <c:pt idx="12">
                  <c:v>0.24355777223607647</c:v>
                </c:pt>
                <c:pt idx="13">
                  <c:v>0.24294670846395</c:v>
                </c:pt>
                <c:pt idx="14">
                  <c:v>0.24671052631578938</c:v>
                </c:pt>
                <c:pt idx="15">
                  <c:v>0.25</c:v>
                </c:pt>
                <c:pt idx="16">
                  <c:v>0.17142857142857137</c:v>
                </c:pt>
                <c:pt idx="17">
                  <c:v>0.15384615384615413</c:v>
                </c:pt>
                <c:pt idx="18">
                  <c:v>0.5</c:v>
                </c:pt>
                <c:pt idx="19">
                  <c:v>0</c:v>
                </c:pt>
              </c:numCache>
            </c:numRef>
          </c:val>
        </c:ser>
        <c:ser>
          <c:idx val="9"/>
          <c:order val="9"/>
          <c:tx>
            <c:strRef>
              <c:f>Economía!$Y$377</c:f>
              <c:strCache>
                <c:ptCount val="1"/>
                <c:pt idx="0">
                  <c:v>Ocupaciones militares</c:v>
                </c:pt>
              </c:strCache>
            </c:strRef>
          </c:tx>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Economía!$Y$378:$Y$397</c:f>
              <c:numCache>
                <c:formatCode>0,000</c:formatCode>
                <c:ptCount val="20"/>
                <c:pt idx="0">
                  <c:v>0</c:v>
                </c:pt>
                <c:pt idx="1">
                  <c:v>0</c:v>
                </c:pt>
                <c:pt idx="2">
                  <c:v>1.3119055428009183E-3</c:v>
                </c:pt>
                <c:pt idx="3">
                  <c:v>3.4048348655090291E-4</c:v>
                </c:pt>
                <c:pt idx="4">
                  <c:v>0</c:v>
                </c:pt>
                <c:pt idx="5">
                  <c:v>1.4253135689851781E-4</c:v>
                </c:pt>
                <c:pt idx="6">
                  <c:v>0</c:v>
                </c:pt>
                <c:pt idx="7">
                  <c:v>1.7901897601145747E-4</c:v>
                </c:pt>
                <c:pt idx="8">
                  <c:v>3.7785754770451596E-4</c:v>
                </c:pt>
                <c:pt idx="9">
                  <c:v>0</c:v>
                </c:pt>
                <c:pt idx="10">
                  <c:v>0</c:v>
                </c:pt>
                <c:pt idx="11">
                  <c:v>0</c:v>
                </c:pt>
                <c:pt idx="12">
                  <c:v>0</c:v>
                </c:pt>
                <c:pt idx="13">
                  <c:v>0</c:v>
                </c:pt>
                <c:pt idx="14">
                  <c:v>0</c:v>
                </c:pt>
                <c:pt idx="15">
                  <c:v>0</c:v>
                </c:pt>
                <c:pt idx="16">
                  <c:v>0</c:v>
                </c:pt>
                <c:pt idx="17">
                  <c:v>0</c:v>
                </c:pt>
                <c:pt idx="18">
                  <c:v>0</c:v>
                </c:pt>
                <c:pt idx="19">
                  <c:v>0</c:v>
                </c:pt>
              </c:numCache>
            </c:numRef>
          </c:val>
        </c:ser>
        <c:ser>
          <c:idx val="10"/>
          <c:order val="10"/>
          <c:tx>
            <c:strRef>
              <c:f>Economía!$Z$377</c:f>
              <c:strCache>
                <c:ptCount val="1"/>
                <c:pt idx="0">
                  <c:v>Trabajadores nuevos</c:v>
                </c:pt>
              </c:strCache>
            </c:strRef>
          </c:tx>
          <c:spPr>
            <a:solidFill>
              <a:srgbClr val="C00000"/>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Economía!$Z$378:$Z$397</c:f>
              <c:numCache>
                <c:formatCode>0,000</c:formatCode>
                <c:ptCount val="20"/>
                <c:pt idx="0">
                  <c:v>2.1276595744680847E-2</c:v>
                </c:pt>
                <c:pt idx="1">
                  <c:v>0.10389610389610399</c:v>
                </c:pt>
                <c:pt idx="2">
                  <c:v>0.10003279763857002</c:v>
                </c:pt>
                <c:pt idx="3">
                  <c:v>7.3033707865168537E-2</c:v>
                </c:pt>
                <c:pt idx="4">
                  <c:v>5.598404255319149E-2</c:v>
                </c:pt>
                <c:pt idx="5">
                  <c:v>4.2046750285062696E-2</c:v>
                </c:pt>
                <c:pt idx="6">
                  <c:v>3.6571612695344022E-2</c:v>
                </c:pt>
                <c:pt idx="7">
                  <c:v>3.4729681346222667E-2</c:v>
                </c:pt>
                <c:pt idx="8">
                  <c:v>3.1740034007179292E-2</c:v>
                </c:pt>
                <c:pt idx="9">
                  <c:v>3.2865027596588055E-2</c:v>
                </c:pt>
                <c:pt idx="10">
                  <c:v>2.7338603425560007E-2</c:v>
                </c:pt>
                <c:pt idx="11">
                  <c:v>7.6923076923076988E-3</c:v>
                </c:pt>
                <c:pt idx="12">
                  <c:v>0</c:v>
                </c:pt>
                <c:pt idx="13">
                  <c:v>0</c:v>
                </c:pt>
                <c:pt idx="14">
                  <c:v>0</c:v>
                </c:pt>
                <c:pt idx="15">
                  <c:v>0</c:v>
                </c:pt>
                <c:pt idx="16">
                  <c:v>0</c:v>
                </c:pt>
                <c:pt idx="17">
                  <c:v>0</c:v>
                </c:pt>
                <c:pt idx="18">
                  <c:v>0</c:v>
                </c:pt>
                <c:pt idx="19">
                  <c:v>0</c:v>
                </c:pt>
              </c:numCache>
            </c:numRef>
          </c:val>
        </c:ser>
        <c:ser>
          <c:idx val="11"/>
          <c:order val="11"/>
          <c:tx>
            <c:strRef>
              <c:f>Economía!$AA$377</c:f>
              <c:strCache>
                <c:ptCount val="1"/>
                <c:pt idx="0">
                  <c:v>No declarado</c:v>
                </c:pt>
              </c:strCache>
            </c:strRef>
          </c:tx>
          <c:spPr>
            <a:solidFill>
              <a:schemeClr val="bg1">
                <a:lumMod val="65000"/>
              </a:schemeClr>
            </a:solidFill>
          </c:spPr>
          <c:invertIfNegative val="0"/>
          <c:cat>
            <c:strRef>
              <c:f>'Inmigracion(Perfil)'!$Z$714:$Z$733</c:f>
              <c:strCache>
                <c:ptCount val="20"/>
                <c:pt idx="0">
                  <c:v>  5 a 9 </c:v>
                </c:pt>
                <c:pt idx="1">
                  <c:v>  10 a 14 </c:v>
                </c:pt>
                <c:pt idx="2">
                  <c:v>  15 a 19 </c:v>
                </c:pt>
                <c:pt idx="3">
                  <c:v>  20 a 24 </c:v>
                </c:pt>
                <c:pt idx="4">
                  <c:v>  25 a 29 </c:v>
                </c:pt>
                <c:pt idx="5">
                  <c:v>  30 a 34 </c:v>
                </c:pt>
                <c:pt idx="6">
                  <c:v>  35 a 39 </c:v>
                </c:pt>
                <c:pt idx="7">
                  <c:v>  40 a 44 </c:v>
                </c:pt>
                <c:pt idx="8">
                  <c:v>  45 a 49 </c:v>
                </c:pt>
                <c:pt idx="9">
                  <c:v>  50 a 54 </c:v>
                </c:pt>
                <c:pt idx="10">
                  <c:v>  55 a 59 </c:v>
                </c:pt>
                <c:pt idx="11">
                  <c:v>  60 a 64 </c:v>
                </c:pt>
                <c:pt idx="12">
                  <c:v>  65 a 69 </c:v>
                </c:pt>
                <c:pt idx="13">
                  <c:v>  70 a 74 </c:v>
                </c:pt>
                <c:pt idx="14">
                  <c:v>  75 a 79 </c:v>
                </c:pt>
                <c:pt idx="15">
                  <c:v>  80 a 84 </c:v>
                </c:pt>
                <c:pt idx="16">
                  <c:v>  85 a 89 </c:v>
                </c:pt>
                <c:pt idx="17">
                  <c:v>  90 a 94 </c:v>
                </c:pt>
                <c:pt idx="18">
                  <c:v>  95 a 99 </c:v>
                </c:pt>
                <c:pt idx="19">
                  <c:v>&gt; 100</c:v>
                </c:pt>
              </c:strCache>
            </c:strRef>
          </c:cat>
          <c:val>
            <c:numRef>
              <c:f>Economía!$AA$378:$AA$397</c:f>
              <c:numCache>
                <c:formatCode>0,000</c:formatCode>
                <c:ptCount val="20"/>
                <c:pt idx="0">
                  <c:v>0.65957446808510711</c:v>
                </c:pt>
                <c:pt idx="1">
                  <c:v>0.12337662337662357</c:v>
                </c:pt>
                <c:pt idx="2">
                  <c:v>5.5100032797638573E-2</c:v>
                </c:pt>
                <c:pt idx="3">
                  <c:v>5.0221314266258046E-2</c:v>
                </c:pt>
                <c:pt idx="4">
                  <c:v>5.2925531914893721E-2</c:v>
                </c:pt>
                <c:pt idx="5">
                  <c:v>5.6727480045610124E-2</c:v>
                </c:pt>
                <c:pt idx="6">
                  <c:v>5.3810214274206625E-2</c:v>
                </c:pt>
                <c:pt idx="7">
                  <c:v>4.5112781954887368E-2</c:v>
                </c:pt>
                <c:pt idx="8">
                  <c:v>4.8554694880030343E-2</c:v>
                </c:pt>
                <c:pt idx="9">
                  <c:v>5.5694932262920271E-2</c:v>
                </c:pt>
                <c:pt idx="10">
                  <c:v>5.6324110671936774E-2</c:v>
                </c:pt>
                <c:pt idx="11">
                  <c:v>6.2564102564102567E-2</c:v>
                </c:pt>
                <c:pt idx="12">
                  <c:v>8.2294264339152226E-2</c:v>
                </c:pt>
                <c:pt idx="13">
                  <c:v>9.8746081504702224E-2</c:v>
                </c:pt>
                <c:pt idx="14">
                  <c:v>8.2236842105263372E-2</c:v>
                </c:pt>
                <c:pt idx="15">
                  <c:v>0.14814814814814833</c:v>
                </c:pt>
                <c:pt idx="16">
                  <c:v>0.14285714285714307</c:v>
                </c:pt>
                <c:pt idx="17">
                  <c:v>7.6923076923076927E-2</c:v>
                </c:pt>
                <c:pt idx="18">
                  <c:v>0</c:v>
                </c:pt>
                <c:pt idx="19">
                  <c:v>0</c:v>
                </c:pt>
              </c:numCache>
            </c:numRef>
          </c:val>
        </c:ser>
        <c:dLbls>
          <c:showLegendKey val="0"/>
          <c:showVal val="0"/>
          <c:showCatName val="0"/>
          <c:showSerName val="0"/>
          <c:showPercent val="0"/>
          <c:showBubbleSize val="0"/>
        </c:dLbls>
        <c:gapWidth val="0"/>
        <c:overlap val="100"/>
        <c:axId val="254810368"/>
        <c:axId val="254828928"/>
      </c:barChart>
      <c:catAx>
        <c:axId val="254810368"/>
        <c:scaling>
          <c:orientation val="maxMin"/>
        </c:scaling>
        <c:delete val="0"/>
        <c:axPos val="l"/>
        <c:title>
          <c:tx>
            <c:rich>
              <a:bodyPr rot="-5400000" vert="horz"/>
              <a:lstStyle/>
              <a:p>
                <a:pPr>
                  <a:defRPr/>
                </a:pPr>
                <a:r>
                  <a:rPr lang="es-EC"/>
                  <a:t>Grupos Etarios</a:t>
                </a:r>
              </a:p>
            </c:rich>
          </c:tx>
          <c:overlay val="0"/>
        </c:title>
        <c:majorTickMark val="out"/>
        <c:minorTickMark val="none"/>
        <c:tickLblPos val="nextTo"/>
        <c:spPr>
          <a:ln>
            <a:solidFill>
              <a:schemeClr val="tx1"/>
            </a:solidFill>
          </a:ln>
        </c:spPr>
        <c:crossAx val="254828928"/>
        <c:crosses val="autoZero"/>
        <c:auto val="1"/>
        <c:lblAlgn val="ctr"/>
        <c:lblOffset val="100"/>
        <c:noMultiLvlLbl val="0"/>
      </c:catAx>
      <c:valAx>
        <c:axId val="254828928"/>
        <c:scaling>
          <c:orientation val="minMax"/>
          <c:max val="1"/>
          <c:min val="0"/>
        </c:scaling>
        <c:delete val="0"/>
        <c:axPos val="t"/>
        <c:title>
          <c:tx>
            <c:rich>
              <a:bodyPr/>
              <a:lstStyle/>
              <a:p>
                <a:pPr>
                  <a:defRPr/>
                </a:pPr>
                <a:r>
                  <a:rPr lang="es-EC"/>
                  <a:t>Frecuencia Relativa</a:t>
                </a:r>
              </a:p>
            </c:rich>
          </c:tx>
          <c:layout>
            <c:manualLayout>
              <c:xMode val="edge"/>
              <c:yMode val="edge"/>
              <c:x val="0.27318000874890641"/>
              <c:y val="0.95708074114498054"/>
            </c:manualLayout>
          </c:layout>
          <c:overlay val="0"/>
        </c:title>
        <c:numFmt formatCode="#,##0.00" sourceLinked="0"/>
        <c:majorTickMark val="in"/>
        <c:minorTickMark val="none"/>
        <c:tickLblPos val="high"/>
        <c:spPr>
          <a:ln>
            <a:solidFill>
              <a:schemeClr val="tx1"/>
            </a:solidFill>
          </a:ln>
        </c:spPr>
        <c:crossAx val="254810368"/>
        <c:crossesAt val="21"/>
        <c:crossBetween val="between"/>
        <c:majorUnit val="0.2"/>
      </c:valAx>
      <c:spPr>
        <a:noFill/>
        <a:ln>
          <a:solidFill>
            <a:schemeClr val="tx1"/>
          </a:solidFill>
        </a:ln>
      </c:spPr>
    </c:plotArea>
    <c:legend>
      <c:legendPos val="r"/>
      <c:layout>
        <c:manualLayout>
          <c:xMode val="edge"/>
          <c:yMode val="edge"/>
          <c:x val="0.65050021872265951"/>
          <c:y val="4.8660823503701732E-2"/>
          <c:w val="0.34166666666666706"/>
          <c:h val="0.88692546976579967"/>
        </c:manualLayout>
      </c:layout>
      <c:overlay val="0"/>
    </c:legend>
    <c:plotVisOnly val="1"/>
    <c:dispBlanksAs val="gap"/>
    <c:showDLblsOverMax val="0"/>
  </c:chart>
  <c:spPr>
    <a:noFill/>
    <a:ln>
      <a:noFill/>
    </a:ln>
  </c:spPr>
  <c:txPr>
    <a:bodyPr/>
    <a:lstStyle/>
    <a:p>
      <a:pPr>
        <a:defRPr sz="800"/>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B4EC3-7720-4536-BC25-46D28CE1D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3670</TotalTime>
  <Pages>1</Pages>
  <Words>92994</Words>
  <Characters>511468</Characters>
  <Application>Microsoft Office Word</Application>
  <DocSecurity>0</DocSecurity>
  <Lines>4262</Lines>
  <Paragraphs>1206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Andreina</dc:creator>
  <cp:lastModifiedBy>Andreina</cp:lastModifiedBy>
  <cp:revision>323</cp:revision>
  <cp:lastPrinted>2012-11-29T11:51:00Z</cp:lastPrinted>
  <dcterms:created xsi:type="dcterms:W3CDTF">2012-07-19T17:36:00Z</dcterms:created>
  <dcterms:modified xsi:type="dcterms:W3CDTF">2012-11-29T11:52:00Z</dcterms:modified>
</cp:coreProperties>
</file>